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5EBFC8">
      <w:pPr>
        <w:spacing w:line="700" w:lineRule="exact"/>
        <w:ind w:firstLine="0" w:firstLineChars="0"/>
        <w:jc w:val="center"/>
        <w:rPr>
          <w:rFonts w:cs="宋体"/>
          <w:b/>
          <w:bCs/>
          <w:sz w:val="44"/>
          <w:szCs w:val="44"/>
          <w:highlight w:val="none"/>
        </w:rPr>
      </w:pPr>
      <w:r>
        <w:rPr>
          <w:rFonts w:hint="eastAsia" w:cs="宋体"/>
          <w:b/>
          <w:bCs/>
          <w:sz w:val="44"/>
          <w:szCs w:val="44"/>
          <w:highlight w:val="none"/>
        </w:rPr>
        <w:t>湖州学院</w:t>
      </w:r>
    </w:p>
    <w:p w14:paraId="6F58F85E">
      <w:pPr>
        <w:spacing w:line="700" w:lineRule="exact"/>
        <w:ind w:firstLine="0" w:firstLineChars="0"/>
        <w:jc w:val="center"/>
        <w:rPr>
          <w:rFonts w:cs="宋体"/>
          <w:b/>
          <w:bCs/>
          <w:sz w:val="44"/>
          <w:szCs w:val="44"/>
          <w:highlight w:val="none"/>
        </w:rPr>
      </w:pPr>
      <w:r>
        <w:rPr>
          <w:rFonts w:hint="eastAsia" w:cs="宋体"/>
          <w:b/>
          <w:kern w:val="0"/>
          <w:sz w:val="44"/>
          <w:szCs w:val="44"/>
          <w:highlight w:val="none"/>
        </w:rPr>
        <w:t>图书馆书架、桌椅采购项目</w:t>
      </w:r>
    </w:p>
    <w:p w14:paraId="6AC40DFE">
      <w:pPr>
        <w:pStyle w:val="2"/>
        <w:rPr>
          <w:rFonts w:ascii="宋体" w:hAnsi="宋体" w:eastAsia="宋体" w:cs="宋体"/>
          <w:sz w:val="24"/>
          <w:szCs w:val="24"/>
          <w:highlight w:val="none"/>
        </w:rPr>
      </w:pPr>
    </w:p>
    <w:p w14:paraId="2FC2ADAA">
      <w:pPr>
        <w:spacing w:line="600" w:lineRule="auto"/>
        <w:ind w:firstLine="643"/>
        <w:rPr>
          <w:rFonts w:cs="宋体"/>
          <w:b/>
          <w:bCs/>
          <w:sz w:val="32"/>
          <w:szCs w:val="32"/>
          <w:highlight w:val="none"/>
        </w:rPr>
      </w:pPr>
      <w:r>
        <w:rPr>
          <w:rFonts w:hint="eastAsia" w:cs="宋体"/>
          <w:b/>
          <w:bCs/>
          <w:sz w:val="32"/>
          <w:szCs w:val="32"/>
          <w:highlight w:val="none"/>
        </w:rPr>
        <w:t xml:space="preserve">          </w:t>
      </w:r>
    </w:p>
    <w:p w14:paraId="328D3B5D">
      <w:pPr>
        <w:pStyle w:val="6"/>
        <w:ind w:firstLine="482"/>
        <w:rPr>
          <w:highlight w:val="none"/>
        </w:rPr>
      </w:pPr>
    </w:p>
    <w:p w14:paraId="5B6C8B5C">
      <w:pPr>
        <w:snapToGrid w:val="0"/>
        <w:spacing w:line="860" w:lineRule="exact"/>
        <w:ind w:firstLine="0" w:firstLineChars="0"/>
        <w:jc w:val="center"/>
        <w:rPr>
          <w:rFonts w:cs="宋体"/>
          <w:b/>
          <w:sz w:val="84"/>
          <w:szCs w:val="84"/>
          <w:highlight w:val="none"/>
        </w:rPr>
      </w:pPr>
      <w:r>
        <w:rPr>
          <w:rFonts w:hint="eastAsia" w:cs="宋体"/>
          <w:b/>
          <w:sz w:val="84"/>
          <w:szCs w:val="84"/>
          <w:highlight w:val="none"/>
        </w:rPr>
        <w:t>公开招标文件</w:t>
      </w:r>
    </w:p>
    <w:p w14:paraId="0D281902">
      <w:pPr>
        <w:snapToGrid w:val="0"/>
        <w:spacing w:line="860" w:lineRule="exact"/>
        <w:ind w:firstLine="0" w:firstLineChars="0"/>
        <w:jc w:val="center"/>
        <w:rPr>
          <w:rFonts w:cs="宋体"/>
          <w:b/>
          <w:bCs/>
          <w:sz w:val="32"/>
          <w:szCs w:val="32"/>
          <w:highlight w:val="none"/>
        </w:rPr>
      </w:pPr>
      <w:r>
        <w:rPr>
          <w:rFonts w:hint="eastAsia" w:cs="宋体"/>
          <w:b/>
          <w:sz w:val="32"/>
          <w:szCs w:val="32"/>
          <w:highlight w:val="none"/>
        </w:rPr>
        <w:t>（电子交易）</w:t>
      </w:r>
    </w:p>
    <w:p w14:paraId="7075DAC9">
      <w:pPr>
        <w:pStyle w:val="2"/>
        <w:rPr>
          <w:sz w:val="13"/>
          <w:szCs w:val="13"/>
          <w:highlight w:val="none"/>
        </w:rPr>
      </w:pPr>
    </w:p>
    <w:p w14:paraId="13EEFAB2">
      <w:pPr>
        <w:snapToGrid w:val="0"/>
        <w:ind w:firstLine="0" w:firstLineChars="0"/>
        <w:jc w:val="center"/>
        <w:rPr>
          <w:rFonts w:cs="宋体"/>
          <w:b/>
          <w:bCs/>
          <w:highlight w:val="none"/>
        </w:rPr>
      </w:pPr>
      <w:r>
        <w:rPr>
          <w:rFonts w:hint="eastAsia" w:cs="宋体"/>
          <w:b/>
          <w:bCs/>
          <w:sz w:val="32"/>
          <w:szCs w:val="32"/>
          <w:highlight w:val="none"/>
        </w:rPr>
        <w:t>（采购计划文号：</w:t>
      </w:r>
      <w:r>
        <w:rPr>
          <w:rFonts w:hint="eastAsia" w:cs="宋体"/>
          <w:b/>
          <w:bCs/>
          <w:sz w:val="32"/>
          <w:szCs w:val="32"/>
          <w:highlight w:val="none"/>
          <w:lang w:eastAsia="zh-CN"/>
        </w:rPr>
        <w:t>临</w:t>
      </w:r>
      <w:r>
        <w:rPr>
          <w:rFonts w:hint="eastAsia" w:cs="宋体"/>
          <w:b/>
          <w:bCs/>
          <w:sz w:val="32"/>
          <w:szCs w:val="32"/>
          <w:highlight w:val="none"/>
          <w:lang w:val="en-US" w:eastAsia="zh-CN"/>
        </w:rPr>
        <w:t>[2024]38585</w:t>
      </w:r>
      <w:r>
        <w:rPr>
          <w:rFonts w:hint="eastAsia" w:cs="宋体"/>
          <w:b/>
          <w:bCs/>
          <w:sz w:val="32"/>
          <w:szCs w:val="32"/>
          <w:highlight w:val="none"/>
        </w:rPr>
        <w:t>）</w:t>
      </w:r>
    </w:p>
    <w:p w14:paraId="6575EDD8">
      <w:pPr>
        <w:snapToGrid w:val="0"/>
        <w:ind w:firstLine="0" w:firstLineChars="0"/>
        <w:rPr>
          <w:rFonts w:cs="宋体"/>
          <w:b/>
          <w:highlight w:val="none"/>
        </w:rPr>
      </w:pPr>
    </w:p>
    <w:p w14:paraId="673CF7A2">
      <w:pPr>
        <w:ind w:firstLine="480"/>
        <w:rPr>
          <w:highlight w:val="none"/>
        </w:rPr>
      </w:pPr>
    </w:p>
    <w:p w14:paraId="211EA977">
      <w:pPr>
        <w:pStyle w:val="6"/>
        <w:ind w:firstLine="482"/>
        <w:rPr>
          <w:highlight w:val="none"/>
        </w:rPr>
      </w:pPr>
    </w:p>
    <w:p w14:paraId="16BE0E7D">
      <w:pPr>
        <w:ind w:firstLine="480"/>
        <w:rPr>
          <w:highlight w:val="none"/>
        </w:rPr>
      </w:pPr>
    </w:p>
    <w:p w14:paraId="17EEF8C9">
      <w:pPr>
        <w:snapToGrid w:val="0"/>
        <w:ind w:firstLine="0" w:firstLineChars="0"/>
        <w:rPr>
          <w:rFonts w:cs="宋体"/>
          <w:b/>
          <w:highlight w:val="none"/>
        </w:rPr>
      </w:pPr>
    </w:p>
    <w:p w14:paraId="4E1E7AB0">
      <w:pPr>
        <w:ind w:left="2238" w:leftChars="266" w:hanging="1600" w:hangingChars="500"/>
        <w:rPr>
          <w:rFonts w:cs="宋体"/>
          <w:bCs/>
          <w:kern w:val="0"/>
          <w:sz w:val="32"/>
          <w:szCs w:val="32"/>
          <w:highlight w:val="none"/>
          <w:u w:val="single"/>
        </w:rPr>
      </w:pPr>
      <w:r>
        <w:rPr>
          <w:rFonts w:hint="eastAsia" w:cs="宋体"/>
          <w:sz w:val="32"/>
          <w:szCs w:val="32"/>
          <w:highlight w:val="none"/>
        </w:rPr>
        <w:t>项目名称：</w:t>
      </w:r>
      <w:r>
        <w:rPr>
          <w:rFonts w:hint="eastAsia" w:cs="宋体"/>
          <w:bCs/>
          <w:kern w:val="0"/>
          <w:sz w:val="32"/>
          <w:szCs w:val="32"/>
          <w:highlight w:val="none"/>
          <w:u w:val="single"/>
        </w:rPr>
        <w:t>湖州学院图书馆书架、桌椅采购项目</w:t>
      </w:r>
    </w:p>
    <w:p w14:paraId="00965022">
      <w:pPr>
        <w:ind w:firstLine="640"/>
        <w:rPr>
          <w:rFonts w:cs="宋体"/>
          <w:sz w:val="32"/>
          <w:szCs w:val="32"/>
          <w:highlight w:val="none"/>
        </w:rPr>
      </w:pPr>
      <w:r>
        <w:rPr>
          <w:rFonts w:hint="eastAsia" w:cs="宋体"/>
          <w:sz w:val="32"/>
          <w:szCs w:val="32"/>
          <w:highlight w:val="none"/>
        </w:rPr>
        <w:t>项目编号：</w:t>
      </w:r>
      <w:r>
        <w:rPr>
          <w:rFonts w:hint="eastAsia" w:cs="宋体"/>
          <w:sz w:val="32"/>
          <w:szCs w:val="32"/>
          <w:highlight w:val="none"/>
          <w:u w:val="single"/>
        </w:rPr>
        <w:t>ZJZX-HZXY-2024003</w:t>
      </w:r>
      <w:r>
        <w:rPr>
          <w:rFonts w:hint="eastAsia" w:cs="宋体"/>
          <w:sz w:val="32"/>
          <w:szCs w:val="32"/>
          <w:highlight w:val="none"/>
        </w:rPr>
        <w:t xml:space="preserve">                       </w:t>
      </w:r>
    </w:p>
    <w:p w14:paraId="701DDF13">
      <w:pPr>
        <w:ind w:firstLine="640"/>
        <w:rPr>
          <w:rFonts w:cs="宋体"/>
          <w:sz w:val="32"/>
          <w:szCs w:val="32"/>
          <w:highlight w:val="none"/>
        </w:rPr>
      </w:pPr>
      <w:r>
        <w:rPr>
          <w:rFonts w:hint="eastAsia" w:cs="宋体"/>
          <w:sz w:val="32"/>
          <w:szCs w:val="32"/>
          <w:highlight w:val="none"/>
        </w:rPr>
        <w:t>招 标 人：</w:t>
      </w:r>
      <w:r>
        <w:rPr>
          <w:rFonts w:hint="eastAsia" w:cs="宋体"/>
          <w:sz w:val="32"/>
          <w:szCs w:val="32"/>
          <w:highlight w:val="none"/>
          <w:u w:val="single"/>
        </w:rPr>
        <w:t>湖州学院（盖章）</w:t>
      </w:r>
      <w:r>
        <w:rPr>
          <w:rFonts w:hint="eastAsia" w:cs="宋体"/>
          <w:sz w:val="32"/>
          <w:szCs w:val="32"/>
          <w:highlight w:val="none"/>
        </w:rPr>
        <w:t xml:space="preserve">                       </w:t>
      </w:r>
    </w:p>
    <w:p w14:paraId="3060A476">
      <w:pPr>
        <w:ind w:firstLine="640"/>
        <w:rPr>
          <w:rFonts w:cs="宋体"/>
          <w:b/>
          <w:bCs/>
          <w:szCs w:val="32"/>
          <w:highlight w:val="none"/>
          <w:u w:val="single"/>
        </w:rPr>
      </w:pPr>
      <w:r>
        <w:rPr>
          <w:rFonts w:hint="eastAsia" w:cs="宋体"/>
          <w:sz w:val="32"/>
          <w:szCs w:val="32"/>
          <w:highlight w:val="none"/>
        </w:rPr>
        <w:t>招标代理机构：</w:t>
      </w:r>
      <w:r>
        <w:rPr>
          <w:rFonts w:hint="eastAsia" w:cs="宋体"/>
          <w:sz w:val="32"/>
          <w:szCs w:val="32"/>
          <w:highlight w:val="none"/>
          <w:u w:val="single"/>
        </w:rPr>
        <w:t>浙江致信招标代理有限公司（盖章）</w:t>
      </w:r>
      <w:r>
        <w:rPr>
          <w:rFonts w:hint="eastAsia" w:cs="宋体"/>
          <w:b/>
          <w:bCs/>
          <w:szCs w:val="32"/>
          <w:highlight w:val="none"/>
          <w:u w:val="single"/>
        </w:rPr>
        <w:t xml:space="preserve">                   </w:t>
      </w:r>
    </w:p>
    <w:p w14:paraId="56D2EE6F">
      <w:pPr>
        <w:pStyle w:val="6"/>
        <w:ind w:firstLine="643"/>
        <w:rPr>
          <w:rFonts w:cs="宋体"/>
          <w:sz w:val="32"/>
          <w:szCs w:val="32"/>
          <w:highlight w:val="none"/>
          <w:u w:val="single"/>
        </w:rPr>
      </w:pPr>
    </w:p>
    <w:p w14:paraId="32A92AD2">
      <w:pPr>
        <w:ind w:firstLine="643"/>
        <w:rPr>
          <w:rFonts w:cs="宋体"/>
          <w:b/>
          <w:bCs/>
          <w:sz w:val="32"/>
          <w:szCs w:val="32"/>
          <w:highlight w:val="none"/>
          <w:u w:val="single"/>
        </w:rPr>
      </w:pPr>
    </w:p>
    <w:p w14:paraId="7EC334E0">
      <w:pPr>
        <w:pStyle w:val="6"/>
        <w:ind w:firstLine="482"/>
        <w:rPr>
          <w:highlight w:val="none"/>
        </w:rPr>
      </w:pPr>
    </w:p>
    <w:p w14:paraId="5B109847">
      <w:pPr>
        <w:snapToGrid w:val="0"/>
        <w:ind w:firstLine="0" w:firstLineChars="0"/>
        <w:jc w:val="center"/>
        <w:rPr>
          <w:rFonts w:cs="宋体"/>
          <w:b/>
          <w:bCs/>
          <w:sz w:val="32"/>
          <w:szCs w:val="32"/>
          <w:highlight w:val="none"/>
        </w:rPr>
      </w:pPr>
      <w:r>
        <w:rPr>
          <w:rFonts w:hint="eastAsia" w:cs="宋体"/>
          <w:b/>
          <w:bCs/>
          <w:sz w:val="32"/>
          <w:szCs w:val="32"/>
          <w:highlight w:val="none"/>
        </w:rPr>
        <w:t>时    间：二〇二</w:t>
      </w:r>
      <w:r>
        <w:rPr>
          <w:rFonts w:hint="eastAsia" w:cs="宋体"/>
          <w:b/>
          <w:bCs/>
          <w:sz w:val="32"/>
          <w:szCs w:val="32"/>
          <w:highlight w:val="none"/>
          <w:lang w:eastAsia="zh-CN"/>
        </w:rPr>
        <w:t>五</w:t>
      </w:r>
      <w:r>
        <w:rPr>
          <w:rFonts w:hint="eastAsia" w:cs="宋体"/>
          <w:b/>
          <w:bCs/>
          <w:sz w:val="32"/>
          <w:szCs w:val="32"/>
          <w:highlight w:val="none"/>
        </w:rPr>
        <w:t>年</w:t>
      </w:r>
      <w:r>
        <w:rPr>
          <w:rFonts w:hint="eastAsia" w:cs="宋体"/>
          <w:b/>
          <w:bCs/>
          <w:sz w:val="32"/>
          <w:szCs w:val="32"/>
          <w:highlight w:val="none"/>
          <w:lang w:eastAsia="zh-CN"/>
        </w:rPr>
        <w:t>一</w:t>
      </w:r>
      <w:r>
        <w:rPr>
          <w:rFonts w:hint="eastAsia" w:cs="宋体"/>
          <w:b/>
          <w:bCs/>
          <w:sz w:val="32"/>
          <w:szCs w:val="32"/>
          <w:highlight w:val="none"/>
        </w:rPr>
        <w:t>月</w:t>
      </w:r>
    </w:p>
    <w:p w14:paraId="62CF1935">
      <w:pPr>
        <w:pStyle w:val="80"/>
        <w:rPr>
          <w:rFonts w:ascii="宋体" w:hAnsi="宋体" w:eastAsia="宋体" w:cs="宋体"/>
          <w:color w:val="auto"/>
          <w:highlight w:val="none"/>
        </w:rPr>
      </w:pPr>
    </w:p>
    <w:p w14:paraId="1CC879A0">
      <w:pPr>
        <w:snapToGrid w:val="0"/>
        <w:ind w:firstLine="482"/>
        <w:rPr>
          <w:rFonts w:cs="宋体"/>
          <w:b/>
          <w:bCs/>
          <w:highlight w:val="none"/>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247" w:right="1247" w:bottom="1247" w:left="1247" w:header="851" w:footer="992" w:gutter="0"/>
          <w:pgNumType w:start="1"/>
          <w:cols w:space="720" w:num="1"/>
          <w:docGrid w:type="lines" w:linePitch="312" w:charSpace="0"/>
        </w:sectPr>
      </w:pPr>
    </w:p>
    <w:p w14:paraId="29B42466">
      <w:pPr>
        <w:pStyle w:val="34"/>
        <w:tabs>
          <w:tab w:val="right" w:leader="dot" w:pos="8306"/>
          <w:tab w:val="clear" w:pos="8296"/>
        </w:tabs>
        <w:ind w:left="480" w:firstLine="3614" w:firstLineChars="1000"/>
        <w:rPr>
          <w:rFonts w:ascii="宋体" w:hAnsi="宋体" w:cs="宋体"/>
          <w:b/>
          <w:bCs/>
          <w:sz w:val="36"/>
          <w:szCs w:val="36"/>
          <w:highlight w:val="none"/>
          <w:lang w:val="zh-CN"/>
        </w:rPr>
      </w:pPr>
      <w:bookmarkStart w:id="0" w:name="_Toc32639"/>
      <w:r>
        <w:rPr>
          <w:rFonts w:hint="eastAsia" w:ascii="宋体" w:hAnsi="宋体" w:cs="宋体"/>
          <w:b/>
          <w:bCs/>
          <w:sz w:val="36"/>
          <w:szCs w:val="36"/>
          <w:highlight w:val="none"/>
          <w:lang w:val="zh-CN"/>
        </w:rPr>
        <w:t>目</w:t>
      </w:r>
      <w:r>
        <w:rPr>
          <w:rFonts w:hint="eastAsia" w:ascii="宋体" w:hAnsi="宋体" w:cs="宋体"/>
          <w:b/>
          <w:bCs/>
          <w:sz w:val="36"/>
          <w:szCs w:val="36"/>
          <w:highlight w:val="none"/>
        </w:rPr>
        <w:t xml:space="preserve">  </w:t>
      </w:r>
      <w:r>
        <w:rPr>
          <w:rFonts w:hint="eastAsia" w:ascii="宋体" w:hAnsi="宋体" w:cs="宋体"/>
          <w:b/>
          <w:bCs/>
          <w:sz w:val="36"/>
          <w:szCs w:val="36"/>
          <w:highlight w:val="none"/>
          <w:lang w:val="zh-CN"/>
        </w:rPr>
        <w:t>录</w:t>
      </w:r>
      <w:bookmarkEnd w:id="0"/>
    </w:p>
    <w:p w14:paraId="0848B251">
      <w:pPr>
        <w:pStyle w:val="34"/>
        <w:tabs>
          <w:tab w:val="right" w:leader="dot" w:pos="8306"/>
          <w:tab w:val="clear" w:pos="8296"/>
        </w:tabs>
        <w:ind w:left="480"/>
        <w:jc w:val="center"/>
        <w:rPr>
          <w:rFonts w:ascii="宋体" w:hAnsi="宋体" w:cs="宋体"/>
          <w:highlight w:val="none"/>
        </w:rPr>
      </w:pPr>
      <w:r>
        <w:rPr>
          <w:rFonts w:hint="eastAsia" w:ascii="宋体" w:hAnsi="宋体" w:cs="宋体"/>
          <w:highlight w:val="none"/>
        </w:rPr>
        <w:fldChar w:fldCharType="begin"/>
      </w:r>
      <w:r>
        <w:rPr>
          <w:rFonts w:hint="eastAsia" w:ascii="宋体" w:hAnsi="宋体" w:cs="宋体"/>
          <w:highlight w:val="none"/>
        </w:rPr>
        <w:instrText xml:space="preserve"> TOC \o "1-2" \h \z \u </w:instrText>
      </w:r>
      <w:r>
        <w:rPr>
          <w:rFonts w:hint="eastAsia" w:ascii="宋体" w:hAnsi="宋体" w:cs="宋体"/>
          <w:highlight w:val="none"/>
        </w:rPr>
        <w:fldChar w:fldCharType="separate"/>
      </w:r>
    </w:p>
    <w:p w14:paraId="2EA813C7">
      <w:pPr>
        <w:pStyle w:val="28"/>
        <w:tabs>
          <w:tab w:val="right" w:leader="dot" w:pos="9060"/>
          <w:tab w:val="clear" w:pos="8296"/>
        </w:tabs>
        <w:rPr>
          <w:rFonts w:ascii="宋体" w:hAnsi="宋体" w:cs="宋体"/>
          <w:sz w:val="30"/>
          <w:szCs w:val="30"/>
          <w:highlight w:val="none"/>
        </w:rPr>
      </w:pPr>
      <w:r>
        <w:rPr>
          <w:rFonts w:hint="eastAsia" w:ascii="宋体" w:hAnsi="宋体" w:cs="宋体"/>
          <w:highlight w:val="none"/>
        </w:rPr>
        <w:fldChar w:fldCharType="begin"/>
      </w:r>
      <w:r>
        <w:rPr>
          <w:rFonts w:hint="eastAsia" w:ascii="宋体" w:hAnsi="宋体" w:cs="宋体"/>
          <w:highlight w:val="none"/>
        </w:rPr>
        <w:instrText xml:space="preserve"> TOC \o "1-3" \h \z \u </w:instrText>
      </w:r>
      <w:r>
        <w:rPr>
          <w:rFonts w:hint="eastAsia" w:ascii="宋体" w:hAnsi="宋体" w:cs="宋体"/>
          <w:highlight w:val="none"/>
        </w:rPr>
        <w:fldChar w:fldCharType="separate"/>
      </w:r>
      <w:r>
        <w:rPr>
          <w:highlight w:val="none"/>
        </w:rPr>
        <w:fldChar w:fldCharType="begin"/>
      </w:r>
      <w:r>
        <w:rPr>
          <w:highlight w:val="none"/>
        </w:rPr>
        <w:instrText xml:space="preserve"> HYPERLINK \l "_Toc96595266" </w:instrText>
      </w:r>
      <w:r>
        <w:rPr>
          <w:highlight w:val="none"/>
        </w:rPr>
        <w:fldChar w:fldCharType="separate"/>
      </w:r>
      <w:r>
        <w:rPr>
          <w:rStyle w:val="52"/>
          <w:rFonts w:hint="eastAsia" w:ascii="宋体" w:hAnsi="宋体" w:cs="宋体"/>
          <w:sz w:val="30"/>
          <w:szCs w:val="30"/>
          <w:highlight w:val="none"/>
        </w:rPr>
        <w:t>第一章 招标公告</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rPr>
        <w:t>1</w:t>
      </w:r>
    </w:p>
    <w:p w14:paraId="2CA6A569">
      <w:pPr>
        <w:pStyle w:val="28"/>
        <w:tabs>
          <w:tab w:val="right" w:leader="dot" w:pos="9060"/>
          <w:tab w:val="clear" w:pos="8296"/>
        </w:tabs>
        <w:rPr>
          <w:rFonts w:ascii="宋体" w:hAnsi="宋体" w:cs="宋体"/>
          <w:sz w:val="30"/>
          <w:szCs w:val="30"/>
          <w:highlight w:val="none"/>
        </w:rPr>
      </w:pPr>
      <w:r>
        <w:rPr>
          <w:highlight w:val="none"/>
        </w:rPr>
        <w:fldChar w:fldCharType="begin"/>
      </w:r>
      <w:r>
        <w:rPr>
          <w:highlight w:val="none"/>
        </w:rPr>
        <w:instrText xml:space="preserve"> HYPERLINK \l "_Toc96595267" </w:instrText>
      </w:r>
      <w:r>
        <w:rPr>
          <w:highlight w:val="none"/>
        </w:rPr>
        <w:fldChar w:fldCharType="separate"/>
      </w:r>
      <w:r>
        <w:rPr>
          <w:rStyle w:val="52"/>
          <w:rFonts w:hint="eastAsia" w:ascii="宋体" w:hAnsi="宋体" w:cs="宋体"/>
          <w:sz w:val="30"/>
          <w:szCs w:val="30"/>
          <w:highlight w:val="none"/>
        </w:rPr>
        <w:t>第二章 采购需求</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rPr>
        <w:t>5</w:t>
      </w:r>
    </w:p>
    <w:p w14:paraId="3E036E2D">
      <w:pPr>
        <w:pStyle w:val="28"/>
        <w:tabs>
          <w:tab w:val="right" w:leader="dot" w:pos="9060"/>
          <w:tab w:val="clear" w:pos="8296"/>
        </w:tabs>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"_Toc96595268" </w:instrText>
      </w:r>
      <w:r>
        <w:rPr>
          <w:highlight w:val="none"/>
        </w:rPr>
        <w:fldChar w:fldCharType="separate"/>
      </w:r>
      <w:r>
        <w:rPr>
          <w:rStyle w:val="52"/>
          <w:rFonts w:hint="eastAsia" w:ascii="宋体" w:hAnsi="宋体" w:cs="宋体"/>
          <w:sz w:val="30"/>
          <w:szCs w:val="30"/>
          <w:highlight w:val="none"/>
        </w:rPr>
        <w:t>第三章 投标人须知</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58</w:t>
      </w:r>
    </w:p>
    <w:p w14:paraId="26F173E7">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"_Toc96595269" </w:instrText>
      </w:r>
      <w:r>
        <w:rPr>
          <w:highlight w:val="none"/>
        </w:rPr>
        <w:fldChar w:fldCharType="separate"/>
      </w:r>
      <w:r>
        <w:rPr>
          <w:rFonts w:hint="eastAsia" w:ascii="宋体" w:hAnsi="宋体" w:cs="宋体"/>
          <w:sz w:val="30"/>
          <w:szCs w:val="30"/>
          <w:highlight w:val="none"/>
        </w:rPr>
        <w:t xml:space="preserve">    </w:t>
      </w:r>
      <w:r>
        <w:rPr>
          <w:rStyle w:val="52"/>
          <w:rFonts w:hint="eastAsia" w:ascii="宋体" w:hAnsi="宋体" w:cs="宋体"/>
          <w:sz w:val="30"/>
          <w:szCs w:val="30"/>
          <w:highlight w:val="none"/>
        </w:rPr>
        <w:t>前附表</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58</w:t>
      </w:r>
    </w:p>
    <w:p w14:paraId="6AE4CEB8">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"_Toc96595270" </w:instrText>
      </w:r>
      <w:r>
        <w:rPr>
          <w:highlight w:val="none"/>
        </w:rPr>
        <w:fldChar w:fldCharType="separate"/>
      </w:r>
      <w:r>
        <w:rPr>
          <w:rStyle w:val="52"/>
          <w:rFonts w:hint="eastAsia" w:ascii="宋体" w:hAnsi="宋体" w:cs="宋体"/>
          <w:sz w:val="30"/>
          <w:szCs w:val="30"/>
          <w:highlight w:val="none"/>
        </w:rPr>
        <w:t>一、总则</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61</w:t>
      </w:r>
    </w:p>
    <w:p w14:paraId="07A2D211">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"_Toc96595271" </w:instrText>
      </w:r>
      <w:r>
        <w:rPr>
          <w:highlight w:val="none"/>
        </w:rPr>
        <w:fldChar w:fldCharType="separate"/>
      </w:r>
      <w:r>
        <w:rPr>
          <w:rStyle w:val="52"/>
          <w:rFonts w:hint="eastAsia" w:ascii="宋体" w:hAnsi="宋体" w:cs="宋体"/>
          <w:sz w:val="30"/>
          <w:szCs w:val="30"/>
          <w:highlight w:val="none"/>
        </w:rPr>
        <w:t>二、招标文件的组成、澄清、修改</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65</w:t>
      </w:r>
    </w:p>
    <w:p w14:paraId="0F839769">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"_Toc96595272" </w:instrText>
      </w:r>
      <w:r>
        <w:rPr>
          <w:highlight w:val="none"/>
        </w:rPr>
        <w:fldChar w:fldCharType="separate"/>
      </w:r>
      <w:r>
        <w:rPr>
          <w:rStyle w:val="52"/>
          <w:rFonts w:hint="eastAsia" w:ascii="宋体" w:hAnsi="宋体" w:cs="宋体"/>
          <w:sz w:val="30"/>
          <w:szCs w:val="30"/>
          <w:highlight w:val="none"/>
        </w:rPr>
        <w:t>三、投标文件</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65</w:t>
      </w:r>
    </w:p>
    <w:p w14:paraId="2D343B25">
      <w:pPr>
        <w:tabs>
          <w:tab w:val="right" w:leader="dot" w:pos="9060"/>
        </w:tabs>
        <w:ind w:firstLine="480" w:firstLineChars="160"/>
        <w:rPr>
          <w:rStyle w:val="52"/>
          <w:rFonts w:hint="eastAsia" w:ascii="宋体" w:hAnsi="宋体" w:eastAsia="宋体" w:cs="宋体"/>
          <w:sz w:val="30"/>
          <w:szCs w:val="30"/>
          <w:highlight w:val="none"/>
          <w:lang w:val="en-US" w:eastAsia="zh-CN"/>
        </w:rPr>
      </w:pPr>
      <w:r>
        <w:rPr>
          <w:rStyle w:val="52"/>
          <w:rFonts w:hint="eastAsia" w:ascii="宋体" w:hAnsi="宋体" w:eastAsia="宋体" w:cs="宋体"/>
          <w:sz w:val="30"/>
          <w:szCs w:val="30"/>
          <w:highlight w:val="none"/>
        </w:rPr>
        <w:t>四、投标文件的递交</w:t>
      </w:r>
      <w:r>
        <w:rPr>
          <w:rStyle w:val="52"/>
          <w:rFonts w:hint="eastAsia" w:ascii="宋体" w:hAnsi="宋体" w:eastAsia="宋体" w:cs="宋体"/>
          <w:sz w:val="30"/>
          <w:szCs w:val="30"/>
          <w:highlight w:val="none"/>
        </w:rPr>
        <w:tab/>
      </w:r>
      <w:r>
        <w:rPr>
          <w:rStyle w:val="52"/>
          <w:rFonts w:hint="eastAsia" w:ascii="宋体" w:hAnsi="宋体" w:eastAsia="宋体" w:cs="宋体"/>
          <w:sz w:val="30"/>
          <w:szCs w:val="30"/>
          <w:highlight w:val="none"/>
          <w:lang w:val="en-US" w:eastAsia="zh-CN"/>
        </w:rPr>
        <w:t>69</w:t>
      </w:r>
    </w:p>
    <w:p w14:paraId="286E1831">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"_Toc96595273" </w:instrText>
      </w:r>
      <w:r>
        <w:rPr>
          <w:highlight w:val="none"/>
        </w:rPr>
        <w:fldChar w:fldCharType="separate"/>
      </w:r>
      <w:r>
        <w:rPr>
          <w:rFonts w:hint="eastAsia" w:ascii="宋体" w:hAnsi="宋体" w:cs="宋体"/>
          <w:sz w:val="30"/>
          <w:szCs w:val="30"/>
          <w:highlight w:val="none"/>
        </w:rPr>
        <w:t>五</w:t>
      </w:r>
      <w:r>
        <w:rPr>
          <w:rStyle w:val="52"/>
          <w:rFonts w:hint="eastAsia" w:ascii="宋体" w:hAnsi="宋体" w:cs="宋体"/>
          <w:sz w:val="30"/>
          <w:szCs w:val="30"/>
          <w:highlight w:val="none"/>
        </w:rPr>
        <w:t>、开标</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69</w:t>
      </w:r>
    </w:p>
    <w:p w14:paraId="62C14C63">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"_Toc96595274" </w:instrText>
      </w:r>
      <w:r>
        <w:rPr>
          <w:highlight w:val="none"/>
        </w:rPr>
        <w:fldChar w:fldCharType="separate"/>
      </w:r>
      <w:r>
        <w:rPr>
          <w:rFonts w:hint="eastAsia" w:ascii="宋体" w:hAnsi="宋体" w:cs="宋体"/>
          <w:sz w:val="30"/>
          <w:szCs w:val="30"/>
          <w:highlight w:val="none"/>
        </w:rPr>
        <w:t>六</w:t>
      </w:r>
      <w:r>
        <w:rPr>
          <w:rStyle w:val="52"/>
          <w:rFonts w:hint="eastAsia" w:ascii="宋体" w:hAnsi="宋体" w:cs="宋体"/>
          <w:sz w:val="30"/>
          <w:szCs w:val="30"/>
          <w:highlight w:val="none"/>
        </w:rPr>
        <w:t>、评标</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71</w:t>
      </w:r>
    </w:p>
    <w:p w14:paraId="19D89176">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"_Toc96595275" </w:instrText>
      </w:r>
      <w:r>
        <w:rPr>
          <w:highlight w:val="none"/>
        </w:rPr>
        <w:fldChar w:fldCharType="separate"/>
      </w:r>
      <w:r>
        <w:rPr>
          <w:rFonts w:hint="eastAsia" w:ascii="宋体" w:hAnsi="宋体" w:cs="宋体"/>
          <w:sz w:val="30"/>
          <w:szCs w:val="30"/>
          <w:highlight w:val="none"/>
        </w:rPr>
        <w:t>七</w:t>
      </w:r>
      <w:r>
        <w:rPr>
          <w:rStyle w:val="52"/>
          <w:rFonts w:hint="eastAsia" w:ascii="宋体" w:hAnsi="宋体" w:cs="宋体"/>
          <w:sz w:val="30"/>
          <w:szCs w:val="30"/>
          <w:highlight w:val="none"/>
        </w:rPr>
        <w:t>、定标</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74</w:t>
      </w:r>
    </w:p>
    <w:p w14:paraId="0B08A522">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"_Toc96595276" </w:instrText>
      </w:r>
      <w:r>
        <w:rPr>
          <w:highlight w:val="none"/>
        </w:rPr>
        <w:fldChar w:fldCharType="separate"/>
      </w:r>
      <w:r>
        <w:rPr>
          <w:rFonts w:hint="eastAsia" w:ascii="宋体" w:hAnsi="宋体" w:cs="宋体"/>
          <w:sz w:val="30"/>
          <w:szCs w:val="30"/>
          <w:highlight w:val="none"/>
        </w:rPr>
        <w:t>八</w:t>
      </w:r>
      <w:r>
        <w:rPr>
          <w:rStyle w:val="52"/>
          <w:rFonts w:hint="eastAsia" w:ascii="宋体" w:hAnsi="宋体" w:cs="宋体"/>
          <w:sz w:val="30"/>
          <w:szCs w:val="30"/>
          <w:highlight w:val="none"/>
        </w:rPr>
        <w:t>、授予合同</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74</w:t>
      </w:r>
    </w:p>
    <w:p w14:paraId="762F36BF">
      <w:pPr>
        <w:pStyle w:val="34"/>
        <w:tabs>
          <w:tab w:val="right" w:leader="dot" w:pos="9060"/>
          <w:tab w:val="clear" w:pos="8296"/>
        </w:tabs>
        <w:ind w:left="480"/>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"_Toc96595277" </w:instrText>
      </w:r>
      <w:r>
        <w:rPr>
          <w:highlight w:val="none"/>
        </w:rPr>
        <w:fldChar w:fldCharType="separate"/>
      </w:r>
      <w:r>
        <w:rPr>
          <w:rFonts w:hint="eastAsia" w:ascii="宋体" w:hAnsi="宋体" w:cs="宋体"/>
          <w:sz w:val="30"/>
          <w:szCs w:val="30"/>
          <w:highlight w:val="none"/>
        </w:rPr>
        <w:t>九</w:t>
      </w:r>
      <w:r>
        <w:rPr>
          <w:rStyle w:val="52"/>
          <w:rFonts w:hint="eastAsia" w:ascii="宋体" w:hAnsi="宋体" w:cs="宋体"/>
          <w:sz w:val="30"/>
          <w:szCs w:val="30"/>
          <w:highlight w:val="none"/>
        </w:rPr>
        <w:t>、电子交易活动的中止</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75</w:t>
      </w:r>
    </w:p>
    <w:p w14:paraId="61FAB554">
      <w:pPr>
        <w:pStyle w:val="28"/>
        <w:tabs>
          <w:tab w:val="right" w:leader="dot" w:pos="9060"/>
          <w:tab w:val="clear" w:pos="8296"/>
        </w:tabs>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"_Toc96595278" </w:instrText>
      </w:r>
      <w:r>
        <w:rPr>
          <w:highlight w:val="none"/>
        </w:rPr>
        <w:fldChar w:fldCharType="separate"/>
      </w:r>
      <w:r>
        <w:rPr>
          <w:rStyle w:val="52"/>
          <w:rFonts w:hint="eastAsia" w:ascii="宋体" w:hAnsi="宋体" w:cs="宋体"/>
          <w:sz w:val="30"/>
          <w:szCs w:val="30"/>
          <w:highlight w:val="none"/>
        </w:rPr>
        <w:t>第四章 评标办法及评分标准</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76</w:t>
      </w:r>
    </w:p>
    <w:p w14:paraId="2975AA54">
      <w:pPr>
        <w:pStyle w:val="28"/>
        <w:tabs>
          <w:tab w:val="right" w:leader="dot" w:pos="9060"/>
          <w:tab w:val="clear" w:pos="8296"/>
        </w:tabs>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"_Toc96595279" </w:instrText>
      </w:r>
      <w:r>
        <w:rPr>
          <w:highlight w:val="none"/>
        </w:rPr>
        <w:fldChar w:fldCharType="separate"/>
      </w:r>
      <w:r>
        <w:rPr>
          <w:rStyle w:val="52"/>
          <w:rFonts w:hint="eastAsia" w:ascii="宋体" w:hAnsi="宋体" w:cs="宋体"/>
          <w:sz w:val="30"/>
          <w:szCs w:val="30"/>
          <w:highlight w:val="none"/>
        </w:rPr>
        <w:t>第五章 合同主要格式及条款</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86</w:t>
      </w:r>
    </w:p>
    <w:p w14:paraId="0B2B4B22">
      <w:pPr>
        <w:pStyle w:val="28"/>
        <w:tabs>
          <w:tab w:val="right" w:leader="dot" w:pos="9060"/>
          <w:tab w:val="clear" w:pos="8296"/>
        </w:tabs>
        <w:rPr>
          <w:rFonts w:hint="default" w:ascii="宋体" w:hAnsi="宋体" w:eastAsia="宋体" w:cs="宋体"/>
          <w:sz w:val="30"/>
          <w:szCs w:val="30"/>
          <w:highlight w:val="none"/>
          <w:lang w:val="en-US" w:eastAsia="zh-CN"/>
        </w:rPr>
      </w:pPr>
      <w:r>
        <w:rPr>
          <w:highlight w:val="none"/>
        </w:rPr>
        <w:fldChar w:fldCharType="begin"/>
      </w:r>
      <w:r>
        <w:rPr>
          <w:highlight w:val="none"/>
        </w:rPr>
        <w:instrText xml:space="preserve"> HYPERLINK \l "_Toc96595280" </w:instrText>
      </w:r>
      <w:r>
        <w:rPr>
          <w:highlight w:val="none"/>
        </w:rPr>
        <w:fldChar w:fldCharType="separate"/>
      </w:r>
      <w:r>
        <w:rPr>
          <w:rStyle w:val="52"/>
          <w:rFonts w:hint="eastAsia" w:ascii="宋体" w:hAnsi="宋体" w:cs="宋体"/>
          <w:sz w:val="30"/>
          <w:szCs w:val="30"/>
          <w:highlight w:val="none"/>
        </w:rPr>
        <w:t>第六章 投标文件格式</w:t>
      </w:r>
      <w:r>
        <w:rPr>
          <w:rFonts w:hint="eastAsia" w:ascii="宋体" w:hAnsi="宋体" w:cs="宋体"/>
          <w:sz w:val="30"/>
          <w:szCs w:val="30"/>
          <w:highlight w:val="none"/>
        </w:rPr>
        <w:tab/>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90</w:t>
      </w:r>
    </w:p>
    <w:p w14:paraId="4EDE5D71">
      <w:pPr>
        <w:pStyle w:val="34"/>
        <w:tabs>
          <w:tab w:val="right" w:leader="dot" w:pos="9060"/>
          <w:tab w:val="clear" w:pos="8296"/>
        </w:tabs>
        <w:ind w:left="480"/>
        <w:jc w:val="center"/>
        <w:rPr>
          <w:rFonts w:ascii="宋体" w:hAnsi="宋体" w:cs="宋体"/>
          <w:highlight w:val="none"/>
        </w:rPr>
      </w:pPr>
      <w:r>
        <w:rPr>
          <w:rFonts w:hint="eastAsia" w:ascii="宋体" w:hAnsi="宋体" w:cs="宋体"/>
          <w:b/>
          <w:bCs/>
          <w:highlight w:val="none"/>
          <w:lang w:val="zh-CN"/>
        </w:rPr>
        <w:fldChar w:fldCharType="end"/>
      </w:r>
      <w:r>
        <w:rPr>
          <w:rFonts w:hint="eastAsia" w:ascii="宋体" w:hAnsi="宋体" w:cs="宋体"/>
          <w:highlight w:val="none"/>
        </w:rPr>
        <w:fldChar w:fldCharType="end"/>
      </w:r>
    </w:p>
    <w:p w14:paraId="1027D5A9">
      <w:pPr>
        <w:pStyle w:val="3"/>
        <w:rPr>
          <w:rFonts w:cs="宋体"/>
          <w:highlight w:val="none"/>
        </w:rPr>
        <w:sectPr>
          <w:footerReference r:id="rId11" w:type="default"/>
          <w:pgSz w:w="11906" w:h="16838"/>
          <w:pgMar w:top="1247" w:right="1247" w:bottom="1247" w:left="1247" w:header="170" w:footer="567" w:gutter="0"/>
          <w:pgNumType w:start="1"/>
          <w:cols w:space="720" w:num="1"/>
          <w:docGrid w:linePitch="381" w:charSpace="0"/>
        </w:sectPr>
      </w:pPr>
      <w:bookmarkStart w:id="1" w:name="_Toc4470"/>
      <w:bookmarkStart w:id="2" w:name="_Toc12653"/>
      <w:bookmarkStart w:id="3" w:name="_Toc452457411"/>
    </w:p>
    <w:p w14:paraId="1038078D">
      <w:pPr>
        <w:pStyle w:val="3"/>
        <w:spacing w:line="480" w:lineRule="auto"/>
        <w:rPr>
          <w:rFonts w:cs="宋体"/>
          <w:highlight w:val="none"/>
        </w:rPr>
      </w:pPr>
      <w:r>
        <w:rPr>
          <w:rFonts w:hint="eastAsia" w:cs="宋体"/>
          <w:highlight w:val="none"/>
        </w:rPr>
        <w:t>电子交易须知</w:t>
      </w:r>
    </w:p>
    <w:p w14:paraId="1373077D">
      <w:pPr>
        <w:spacing w:line="480" w:lineRule="auto"/>
        <w:ind w:firstLine="458"/>
        <w:jc w:val="left"/>
        <w:rPr>
          <w:rFonts w:cs="宋体"/>
          <w:b/>
          <w:bCs/>
          <w:spacing w:val="-6"/>
          <w:highlight w:val="none"/>
        </w:rPr>
      </w:pPr>
      <w:r>
        <w:rPr>
          <w:rFonts w:hint="eastAsia" w:cs="宋体"/>
          <w:b/>
          <w:bCs/>
          <w:spacing w:val="-6"/>
          <w:highlight w:val="none"/>
        </w:rPr>
        <w:t>1、本次采购采用电子交易方式，电子交易平台为“政府采购云平台（www.zcygov.cn）”。供应商参与本项目电子交易活动前，应注册成为政府采购云平台正式供应商。编制电子投标文件前需申领CA证书并绑定帐号。供应商应充分考虑完成平台注册、申领CA证书等所需的时间。</w:t>
      </w:r>
    </w:p>
    <w:p w14:paraId="5872FA83">
      <w:pPr>
        <w:spacing w:line="480" w:lineRule="auto"/>
        <w:ind w:firstLine="458"/>
        <w:jc w:val="left"/>
        <w:rPr>
          <w:rFonts w:cs="宋体"/>
          <w:b/>
          <w:bCs/>
          <w:spacing w:val="-6"/>
          <w:highlight w:val="none"/>
        </w:rPr>
      </w:pPr>
      <w:r>
        <w:rPr>
          <w:rFonts w:hint="eastAsia" w:cs="宋体"/>
          <w:b/>
          <w:bCs/>
          <w:spacing w:val="-6"/>
          <w:highlight w:val="none"/>
        </w:rPr>
        <w:t>2、供应商编制电子投标文件应安装“电子交易客户端”软件，并按照本招标文件和电子交易平台的要求编制并加密投标文件。未按规定加密的投标文件，将被电子交易平台拒收。“电子交易客户端”请供应商自行前往“浙江政府采购网（zfcg.czt.zj.gov.cn）—下载专区—电子交易客户端”版块获取。</w:t>
      </w:r>
    </w:p>
    <w:p w14:paraId="7545856A">
      <w:pPr>
        <w:spacing w:line="480" w:lineRule="auto"/>
        <w:ind w:firstLine="458"/>
        <w:jc w:val="left"/>
        <w:rPr>
          <w:rFonts w:cs="宋体"/>
          <w:b/>
          <w:bCs/>
          <w:spacing w:val="-6"/>
          <w:highlight w:val="none"/>
        </w:rPr>
      </w:pPr>
      <w:r>
        <w:rPr>
          <w:rFonts w:hint="eastAsia" w:cs="宋体"/>
          <w:b/>
          <w:bCs/>
          <w:spacing w:val="-6"/>
          <w:highlight w:val="none"/>
        </w:rPr>
        <w:t>3、供应商应当在递交投标文件截止时间前，将“电子交易客户端”生成的“电子加密投标文件”上传电子交易平台。</w:t>
      </w:r>
    </w:p>
    <w:p w14:paraId="544F4C50">
      <w:pPr>
        <w:spacing w:line="480" w:lineRule="auto"/>
        <w:ind w:firstLine="458"/>
        <w:jc w:val="left"/>
        <w:rPr>
          <w:rFonts w:cs="宋体"/>
          <w:b/>
          <w:bCs/>
          <w:spacing w:val="-6"/>
          <w:highlight w:val="none"/>
        </w:rPr>
      </w:pPr>
      <w:r>
        <w:rPr>
          <w:rFonts w:hint="eastAsia" w:cs="宋体"/>
          <w:b/>
          <w:bCs/>
          <w:spacing w:val="-6"/>
          <w:highlight w:val="none"/>
        </w:rPr>
        <w:t>4、“电子备份投标文件”是指与“电子加密投标文件”同时生成的数据电文形式的投标文件。供应商在电子交易平台上传“电子加密投标文件”后，还可以邮寄或送达的方式在递交投标文件截止时间前提交以介质（U盘）存储的“电子备份投标文件”。“电子备份投标文件”应当密封包装并在包装上标注采购项目编号、项目名称、投标人名称等并加盖公章。</w:t>
      </w:r>
    </w:p>
    <w:p w14:paraId="77CD0804">
      <w:pPr>
        <w:spacing w:line="480" w:lineRule="auto"/>
        <w:ind w:firstLine="458"/>
        <w:jc w:val="left"/>
        <w:rPr>
          <w:rFonts w:cs="宋体"/>
          <w:b/>
          <w:bCs/>
          <w:spacing w:val="-6"/>
          <w:highlight w:val="none"/>
        </w:rPr>
      </w:pPr>
      <w:r>
        <w:rPr>
          <w:rFonts w:hint="eastAsia" w:cs="宋体"/>
          <w:b/>
          <w:bCs/>
          <w:spacing w:val="-6"/>
          <w:highlight w:val="none"/>
        </w:rPr>
        <w:t>5、通过“政府采购云平台”递交的“电子加密投标文件”如无法按时解密，供应商提交了“电子备份投标文件”的，则由采购组织机构按“政府采购云平台”操作规范将“电子备份投标文件”上传至“政府采购云平台”，上传成功后，以“电子备份投标文件”参与评审，“电子加密投标文件”自动失效。招标人、招标代理机构不强制或变相强制投标人提交“电子备份投标文件”。未上传“电子加密投标文件”，仅提交“电子备份投标文件”的，投标无效。</w:t>
      </w:r>
    </w:p>
    <w:p w14:paraId="7F7D14D6">
      <w:pPr>
        <w:spacing w:line="480" w:lineRule="auto"/>
        <w:ind w:firstLine="458"/>
        <w:jc w:val="left"/>
        <w:rPr>
          <w:rFonts w:cs="宋体"/>
          <w:highlight w:val="none"/>
        </w:rPr>
      </w:pPr>
      <w:r>
        <w:rPr>
          <w:rFonts w:hint="eastAsia" w:cs="宋体"/>
          <w:b/>
          <w:bCs/>
          <w:spacing w:val="-6"/>
          <w:highlight w:val="none"/>
        </w:rPr>
        <w:t>6、供应商在参加电子交易过程中,可登录电子交易平台“帮助文档”版面获取《电子交易管理操作指南》，或致电平台95763获取相关服务支持。</w:t>
      </w:r>
      <w:r>
        <w:rPr>
          <w:rFonts w:hint="eastAsia" w:cs="宋体"/>
          <w:highlight w:val="none"/>
        </w:rPr>
        <w:t xml:space="preserve"> </w:t>
      </w:r>
    </w:p>
    <w:p w14:paraId="226D4C3C">
      <w:pPr>
        <w:pStyle w:val="3"/>
        <w:numPr>
          <w:ilvl w:val="0"/>
          <w:numId w:val="4"/>
        </w:numPr>
        <w:rPr>
          <w:rFonts w:cs="宋体"/>
          <w:highlight w:val="none"/>
        </w:rPr>
        <w:sectPr>
          <w:footerReference r:id="rId12" w:type="default"/>
          <w:pgSz w:w="11906" w:h="16838"/>
          <w:pgMar w:top="1247" w:right="1247" w:bottom="1247" w:left="1247" w:header="170" w:footer="567" w:gutter="0"/>
          <w:pgNumType w:start="1"/>
          <w:cols w:space="720" w:num="1"/>
          <w:docGrid w:linePitch="381" w:charSpace="0"/>
        </w:sectPr>
      </w:pPr>
    </w:p>
    <w:p w14:paraId="7191E316">
      <w:pPr>
        <w:pStyle w:val="3"/>
        <w:rPr>
          <w:rFonts w:cs="宋体"/>
          <w:sz w:val="36"/>
          <w:szCs w:val="36"/>
          <w:highlight w:val="none"/>
        </w:rPr>
      </w:pPr>
      <w:r>
        <w:rPr>
          <w:rFonts w:hint="eastAsia" w:cs="宋体"/>
          <w:sz w:val="36"/>
          <w:szCs w:val="36"/>
          <w:highlight w:val="none"/>
        </w:rPr>
        <w:t>第一章  招标公告</w:t>
      </w:r>
      <w:bookmarkEnd w:id="1"/>
      <w:bookmarkEnd w:id="2"/>
    </w:p>
    <w:tbl>
      <w:tblPr>
        <w:tblStyle w:val="45"/>
        <w:tblW w:w="10065"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5"/>
      </w:tblGrid>
      <w:tr w14:paraId="33E7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10065" w:type="dxa"/>
          </w:tcPr>
          <w:p w14:paraId="53C87036">
            <w:pPr>
              <w:spacing w:line="440" w:lineRule="exact"/>
              <w:ind w:firstLine="480"/>
              <w:rPr>
                <w:rFonts w:cs="宋体"/>
                <w:highlight w:val="none"/>
              </w:rPr>
            </w:pPr>
            <w:r>
              <w:rPr>
                <w:rFonts w:hint="eastAsia" w:cs="宋体"/>
                <w:highlight w:val="none"/>
              </w:rPr>
              <w:t>项目概况</w:t>
            </w:r>
          </w:p>
          <w:p w14:paraId="35F420CA">
            <w:pPr>
              <w:spacing w:line="440" w:lineRule="exact"/>
              <w:ind w:firstLine="480"/>
              <w:rPr>
                <w:highlight w:val="none"/>
              </w:rPr>
            </w:pPr>
            <w:r>
              <w:rPr>
                <w:rFonts w:hint="eastAsia" w:cs="宋体"/>
                <w:highlight w:val="none"/>
              </w:rPr>
              <w:t>湖州学院图书馆书架、桌椅采购项目的潜在投标人应在浙江政府采购网（http://zfcg.czt.zj.gov.cn）获取（下载）招标文件，并于202</w:t>
            </w:r>
            <w:r>
              <w:rPr>
                <w:rFonts w:hint="eastAsia" w:cs="宋体"/>
                <w:highlight w:val="none"/>
                <w:lang w:val="en-US" w:eastAsia="zh-CN"/>
              </w:rPr>
              <w:t>5</w:t>
            </w:r>
            <w:r>
              <w:rPr>
                <w:rFonts w:hint="eastAsia" w:cs="宋体"/>
                <w:highlight w:val="none"/>
              </w:rPr>
              <w:t>年</w:t>
            </w:r>
            <w:r>
              <w:rPr>
                <w:rFonts w:hint="eastAsia" w:cs="宋体"/>
                <w:highlight w:val="none"/>
                <w:lang w:val="en-US" w:eastAsia="zh-CN"/>
              </w:rPr>
              <w:t>1</w:t>
            </w:r>
            <w:r>
              <w:rPr>
                <w:rFonts w:hint="eastAsia" w:cs="宋体"/>
                <w:highlight w:val="none"/>
              </w:rPr>
              <w:t>月</w:t>
            </w:r>
            <w:r>
              <w:rPr>
                <w:rFonts w:hint="eastAsia" w:cs="宋体"/>
                <w:highlight w:val="none"/>
                <w:lang w:val="en-US" w:eastAsia="zh-CN"/>
              </w:rPr>
              <w:t>26</w:t>
            </w:r>
            <w:r>
              <w:rPr>
                <w:rFonts w:hint="eastAsia" w:cs="宋体"/>
                <w:highlight w:val="none"/>
              </w:rPr>
              <w:t>日上午09:00（北京时间）前提交（上传）投标文件。</w:t>
            </w:r>
          </w:p>
        </w:tc>
      </w:tr>
    </w:tbl>
    <w:p w14:paraId="279AA262">
      <w:pPr>
        <w:spacing w:line="440" w:lineRule="exact"/>
        <w:ind w:firstLine="0" w:firstLineChars="0"/>
        <w:rPr>
          <w:b/>
          <w:bCs/>
          <w:highlight w:val="none"/>
        </w:rPr>
      </w:pPr>
      <w:bookmarkStart w:id="4" w:name="_Toc29586"/>
      <w:r>
        <w:rPr>
          <w:rFonts w:hint="eastAsia"/>
          <w:b/>
          <w:bCs/>
          <w:highlight w:val="none"/>
        </w:rPr>
        <w:t>一、项目</w:t>
      </w:r>
      <w:bookmarkEnd w:id="4"/>
      <w:r>
        <w:rPr>
          <w:rFonts w:hint="eastAsia"/>
          <w:b/>
          <w:bCs/>
          <w:highlight w:val="none"/>
        </w:rPr>
        <w:t>基本情况</w:t>
      </w:r>
    </w:p>
    <w:p w14:paraId="13E18DFA">
      <w:pPr>
        <w:spacing w:line="440" w:lineRule="exact"/>
        <w:ind w:firstLine="480"/>
        <w:rPr>
          <w:highlight w:val="none"/>
        </w:rPr>
      </w:pPr>
      <w:r>
        <w:rPr>
          <w:rFonts w:hint="eastAsia"/>
          <w:highlight w:val="none"/>
        </w:rPr>
        <w:t>项目编号：ZJZX-HZXY-2024003</w:t>
      </w:r>
    </w:p>
    <w:p w14:paraId="7B28DFF1">
      <w:pPr>
        <w:spacing w:line="440" w:lineRule="exact"/>
        <w:ind w:firstLine="480"/>
        <w:rPr>
          <w:highlight w:val="none"/>
        </w:rPr>
      </w:pPr>
      <w:bookmarkStart w:id="5" w:name="_Toc11203"/>
      <w:r>
        <w:rPr>
          <w:rFonts w:hint="eastAsia"/>
          <w:highlight w:val="none"/>
        </w:rPr>
        <w:t>项目名称：</w:t>
      </w:r>
      <w:bookmarkEnd w:id="5"/>
      <w:r>
        <w:rPr>
          <w:rFonts w:hint="eastAsia" w:cs="宋体"/>
          <w:highlight w:val="none"/>
        </w:rPr>
        <w:t>湖州学院图书馆书架、桌椅采购项目</w:t>
      </w:r>
    </w:p>
    <w:p w14:paraId="4E3361BE">
      <w:pPr>
        <w:spacing w:line="440" w:lineRule="exact"/>
        <w:ind w:firstLine="480"/>
        <w:rPr>
          <w:highlight w:val="none"/>
        </w:rPr>
      </w:pPr>
      <w:r>
        <w:rPr>
          <w:rFonts w:hint="eastAsia"/>
          <w:highlight w:val="none"/>
        </w:rPr>
        <w:t>预算金额（元）：4855410</w:t>
      </w:r>
    </w:p>
    <w:p w14:paraId="43D27219">
      <w:pPr>
        <w:spacing w:line="440" w:lineRule="exact"/>
        <w:ind w:firstLine="480"/>
        <w:rPr>
          <w:highlight w:val="none"/>
        </w:rPr>
      </w:pPr>
      <w:r>
        <w:rPr>
          <w:rFonts w:hint="eastAsia"/>
          <w:highlight w:val="none"/>
        </w:rPr>
        <w:t>最高限价（元）：4855410</w:t>
      </w:r>
    </w:p>
    <w:p w14:paraId="12CFC02B">
      <w:pPr>
        <w:spacing w:line="440" w:lineRule="exact"/>
        <w:ind w:firstLine="480"/>
        <w:rPr>
          <w:highlight w:val="none"/>
        </w:rPr>
      </w:pPr>
      <w:r>
        <w:rPr>
          <w:rFonts w:hint="eastAsia"/>
          <w:highlight w:val="none"/>
        </w:rPr>
        <w:t>采购需求：</w:t>
      </w:r>
    </w:p>
    <w:p w14:paraId="3543E591">
      <w:pPr>
        <w:spacing w:line="440" w:lineRule="exact"/>
        <w:ind w:firstLine="480"/>
        <w:rPr>
          <w:highlight w:val="none"/>
        </w:rPr>
      </w:pPr>
      <w:r>
        <w:rPr>
          <w:rFonts w:hint="eastAsia"/>
          <w:highlight w:val="none"/>
        </w:rPr>
        <w:t>标项一：</w:t>
      </w:r>
    </w:p>
    <w:p w14:paraId="3086F2F1">
      <w:pPr>
        <w:spacing w:line="440" w:lineRule="exact"/>
        <w:ind w:firstLine="480"/>
        <w:rPr>
          <w:highlight w:val="none"/>
        </w:rPr>
      </w:pPr>
      <w:r>
        <w:rPr>
          <w:rFonts w:hint="eastAsia"/>
          <w:highlight w:val="none"/>
        </w:rPr>
        <w:t>标项名称：图书馆书架</w:t>
      </w:r>
    </w:p>
    <w:p w14:paraId="49EBE58A">
      <w:pPr>
        <w:spacing w:line="440" w:lineRule="exact"/>
        <w:ind w:firstLine="480"/>
        <w:rPr>
          <w:highlight w:val="none"/>
        </w:rPr>
      </w:pPr>
      <w:r>
        <w:rPr>
          <w:rFonts w:hint="eastAsia"/>
          <w:highlight w:val="none"/>
        </w:rPr>
        <w:t>数量：1</w:t>
      </w:r>
    </w:p>
    <w:p w14:paraId="2911136B">
      <w:pPr>
        <w:spacing w:line="440" w:lineRule="exact"/>
        <w:ind w:firstLine="480"/>
        <w:rPr>
          <w:highlight w:val="none"/>
        </w:rPr>
      </w:pPr>
      <w:r>
        <w:rPr>
          <w:rFonts w:hint="eastAsia"/>
          <w:highlight w:val="none"/>
        </w:rPr>
        <w:t>预算金额（元）：2365410</w:t>
      </w:r>
    </w:p>
    <w:p w14:paraId="07375B0D">
      <w:pPr>
        <w:spacing w:line="440" w:lineRule="exact"/>
        <w:ind w:firstLine="480"/>
        <w:rPr>
          <w:highlight w:val="none"/>
        </w:rPr>
      </w:pPr>
      <w:r>
        <w:rPr>
          <w:rFonts w:hint="eastAsia"/>
          <w:highlight w:val="none"/>
        </w:rPr>
        <w:t>最高限价（元）：2365410</w:t>
      </w:r>
    </w:p>
    <w:p w14:paraId="19E7EB4F">
      <w:pPr>
        <w:spacing w:line="440" w:lineRule="exact"/>
        <w:ind w:firstLine="480"/>
        <w:rPr>
          <w:highlight w:val="none"/>
        </w:rPr>
      </w:pPr>
      <w:r>
        <w:rPr>
          <w:rFonts w:hint="eastAsia"/>
          <w:highlight w:val="none"/>
        </w:rPr>
        <w:t>简要规格描述或项目基本概况介绍、用途：详见“招标文件-采购需求”</w:t>
      </w:r>
    </w:p>
    <w:p w14:paraId="524A7EF5">
      <w:pPr>
        <w:spacing w:line="440" w:lineRule="exact"/>
        <w:ind w:firstLine="480"/>
        <w:rPr>
          <w:highlight w:val="none"/>
        </w:rPr>
      </w:pPr>
      <w:r>
        <w:rPr>
          <w:rFonts w:hint="eastAsia"/>
          <w:highlight w:val="none"/>
        </w:rPr>
        <w:t>备注：/</w:t>
      </w:r>
    </w:p>
    <w:p w14:paraId="742D8CCD">
      <w:pPr>
        <w:spacing w:line="440" w:lineRule="exact"/>
        <w:ind w:firstLine="480"/>
        <w:rPr>
          <w:highlight w:val="none"/>
        </w:rPr>
      </w:pPr>
      <w:r>
        <w:rPr>
          <w:rFonts w:hint="eastAsia"/>
          <w:highlight w:val="none"/>
        </w:rPr>
        <w:t>标项二：</w:t>
      </w:r>
    </w:p>
    <w:p w14:paraId="5F203CEA">
      <w:pPr>
        <w:spacing w:line="440" w:lineRule="exact"/>
        <w:ind w:firstLine="480"/>
        <w:rPr>
          <w:highlight w:val="none"/>
        </w:rPr>
      </w:pPr>
      <w:r>
        <w:rPr>
          <w:rFonts w:hint="eastAsia"/>
          <w:highlight w:val="none"/>
        </w:rPr>
        <w:t>标项名称：</w:t>
      </w:r>
      <w:r>
        <w:rPr>
          <w:rFonts w:hint="eastAsia" w:cs="宋体"/>
          <w:bCs/>
          <w:highlight w:val="none"/>
        </w:rPr>
        <w:t>图书馆功能服务区家具</w:t>
      </w:r>
    </w:p>
    <w:p w14:paraId="23FDFA4A">
      <w:pPr>
        <w:spacing w:line="440" w:lineRule="exact"/>
        <w:ind w:firstLine="480"/>
        <w:rPr>
          <w:highlight w:val="none"/>
        </w:rPr>
      </w:pPr>
      <w:r>
        <w:rPr>
          <w:rFonts w:hint="eastAsia"/>
          <w:highlight w:val="none"/>
        </w:rPr>
        <w:t>数量：1</w:t>
      </w:r>
    </w:p>
    <w:p w14:paraId="0F62EF36">
      <w:pPr>
        <w:spacing w:line="440" w:lineRule="exact"/>
        <w:ind w:firstLine="480"/>
        <w:rPr>
          <w:highlight w:val="none"/>
        </w:rPr>
      </w:pPr>
      <w:r>
        <w:rPr>
          <w:rFonts w:hint="eastAsia"/>
          <w:highlight w:val="none"/>
        </w:rPr>
        <w:t>预算金额（元）：1560000</w:t>
      </w:r>
    </w:p>
    <w:p w14:paraId="2AAB9408">
      <w:pPr>
        <w:spacing w:line="440" w:lineRule="exact"/>
        <w:ind w:firstLine="480"/>
        <w:rPr>
          <w:highlight w:val="none"/>
        </w:rPr>
      </w:pPr>
      <w:r>
        <w:rPr>
          <w:rFonts w:hint="eastAsia"/>
          <w:highlight w:val="none"/>
        </w:rPr>
        <w:t>最高限价（元）：1560000</w:t>
      </w:r>
    </w:p>
    <w:p w14:paraId="0F40E25F">
      <w:pPr>
        <w:spacing w:line="440" w:lineRule="exact"/>
        <w:ind w:firstLine="480"/>
        <w:rPr>
          <w:highlight w:val="none"/>
        </w:rPr>
      </w:pPr>
      <w:r>
        <w:rPr>
          <w:rFonts w:hint="eastAsia"/>
          <w:highlight w:val="none"/>
        </w:rPr>
        <w:t>简要规格描述或项目基本概况介绍、用途：详见“招标文件-采购需求”</w:t>
      </w:r>
    </w:p>
    <w:p w14:paraId="6FA7E970">
      <w:pPr>
        <w:spacing w:line="440" w:lineRule="exact"/>
        <w:ind w:firstLine="480"/>
        <w:rPr>
          <w:highlight w:val="none"/>
        </w:rPr>
      </w:pPr>
      <w:r>
        <w:rPr>
          <w:rFonts w:hint="eastAsia"/>
          <w:highlight w:val="none"/>
        </w:rPr>
        <w:t>备注：/</w:t>
      </w:r>
    </w:p>
    <w:p w14:paraId="1433F7E0">
      <w:pPr>
        <w:spacing w:line="440" w:lineRule="exact"/>
        <w:ind w:firstLine="480"/>
        <w:rPr>
          <w:highlight w:val="none"/>
        </w:rPr>
      </w:pPr>
      <w:r>
        <w:rPr>
          <w:rFonts w:hint="eastAsia"/>
          <w:highlight w:val="none"/>
        </w:rPr>
        <w:t>标项三：</w:t>
      </w:r>
    </w:p>
    <w:p w14:paraId="23B19E29">
      <w:pPr>
        <w:spacing w:line="440" w:lineRule="exact"/>
        <w:ind w:firstLine="480"/>
        <w:rPr>
          <w:highlight w:val="none"/>
        </w:rPr>
      </w:pPr>
      <w:r>
        <w:rPr>
          <w:rFonts w:hint="eastAsia" w:cs="宋体"/>
          <w:highlight w:val="none"/>
        </w:rPr>
        <w:t>标项名称：</w:t>
      </w:r>
      <w:r>
        <w:rPr>
          <w:rFonts w:hint="eastAsia" w:cs="宋体"/>
          <w:bCs/>
          <w:highlight w:val="none"/>
        </w:rPr>
        <w:t>图书馆开放服务椅</w:t>
      </w:r>
    </w:p>
    <w:p w14:paraId="23075F18">
      <w:pPr>
        <w:spacing w:line="440" w:lineRule="exact"/>
        <w:ind w:firstLine="480"/>
        <w:rPr>
          <w:highlight w:val="none"/>
        </w:rPr>
      </w:pPr>
      <w:r>
        <w:rPr>
          <w:rFonts w:hint="eastAsia"/>
          <w:highlight w:val="none"/>
        </w:rPr>
        <w:t>数量：1</w:t>
      </w:r>
    </w:p>
    <w:p w14:paraId="09F00C9C">
      <w:pPr>
        <w:spacing w:line="440" w:lineRule="exact"/>
        <w:ind w:firstLine="480"/>
        <w:rPr>
          <w:highlight w:val="none"/>
        </w:rPr>
      </w:pPr>
      <w:r>
        <w:rPr>
          <w:rFonts w:hint="eastAsia"/>
          <w:highlight w:val="none"/>
        </w:rPr>
        <w:t>预算金额（元）：860005.5</w:t>
      </w:r>
    </w:p>
    <w:p w14:paraId="68253F70">
      <w:pPr>
        <w:spacing w:line="440" w:lineRule="exact"/>
        <w:ind w:firstLine="480"/>
        <w:rPr>
          <w:highlight w:val="none"/>
        </w:rPr>
      </w:pPr>
      <w:r>
        <w:rPr>
          <w:rFonts w:hint="eastAsia"/>
          <w:highlight w:val="none"/>
        </w:rPr>
        <w:t>最高限价（元）：860005.5</w:t>
      </w:r>
    </w:p>
    <w:p w14:paraId="08D67C3B">
      <w:pPr>
        <w:spacing w:line="440" w:lineRule="exact"/>
        <w:ind w:firstLine="480"/>
        <w:rPr>
          <w:highlight w:val="none"/>
        </w:rPr>
      </w:pPr>
      <w:r>
        <w:rPr>
          <w:rFonts w:hint="eastAsia"/>
          <w:highlight w:val="none"/>
        </w:rPr>
        <w:t>简要规格描述或项目基本概况介绍、用途：详见“招标文件-采购需求”</w:t>
      </w:r>
    </w:p>
    <w:p w14:paraId="6F9B4CB9">
      <w:pPr>
        <w:spacing w:line="440" w:lineRule="exact"/>
        <w:ind w:firstLine="480"/>
        <w:rPr>
          <w:highlight w:val="none"/>
        </w:rPr>
      </w:pPr>
      <w:r>
        <w:rPr>
          <w:rFonts w:hint="eastAsia"/>
          <w:highlight w:val="none"/>
        </w:rPr>
        <w:t>备注：/</w:t>
      </w:r>
    </w:p>
    <w:p w14:paraId="187FDAB4">
      <w:pPr>
        <w:spacing w:line="440" w:lineRule="exact"/>
        <w:ind w:firstLine="480"/>
        <w:rPr>
          <w:highlight w:val="none"/>
        </w:rPr>
      </w:pPr>
      <w:r>
        <w:rPr>
          <w:rFonts w:hint="eastAsia"/>
          <w:highlight w:val="none"/>
        </w:rPr>
        <w:t>标项四：</w:t>
      </w:r>
    </w:p>
    <w:p w14:paraId="4CD87ABF">
      <w:pPr>
        <w:spacing w:line="440" w:lineRule="exact"/>
        <w:ind w:firstLine="480"/>
        <w:rPr>
          <w:highlight w:val="none"/>
        </w:rPr>
      </w:pPr>
      <w:r>
        <w:rPr>
          <w:rFonts w:hint="eastAsia" w:cs="宋体"/>
          <w:highlight w:val="none"/>
        </w:rPr>
        <w:t>标项名称：</w:t>
      </w:r>
      <w:r>
        <w:rPr>
          <w:rFonts w:hint="eastAsia" w:cs="宋体"/>
          <w:bCs/>
          <w:highlight w:val="none"/>
        </w:rPr>
        <w:t>图书馆1F-心理咨询中心家具</w:t>
      </w:r>
    </w:p>
    <w:p w14:paraId="184FA3B7">
      <w:pPr>
        <w:spacing w:line="440" w:lineRule="exact"/>
        <w:ind w:firstLine="480"/>
        <w:rPr>
          <w:highlight w:val="none"/>
        </w:rPr>
      </w:pPr>
      <w:r>
        <w:rPr>
          <w:rFonts w:hint="eastAsia"/>
          <w:highlight w:val="none"/>
        </w:rPr>
        <w:t>数量：1</w:t>
      </w:r>
    </w:p>
    <w:p w14:paraId="2A1C970F">
      <w:pPr>
        <w:spacing w:line="440" w:lineRule="exact"/>
        <w:ind w:firstLine="480"/>
        <w:rPr>
          <w:highlight w:val="none"/>
        </w:rPr>
      </w:pPr>
      <w:r>
        <w:rPr>
          <w:rFonts w:hint="eastAsia"/>
          <w:highlight w:val="none"/>
        </w:rPr>
        <w:t>预算金额（元）：69994.5</w:t>
      </w:r>
    </w:p>
    <w:p w14:paraId="25705820">
      <w:pPr>
        <w:spacing w:line="440" w:lineRule="exact"/>
        <w:ind w:firstLine="480"/>
        <w:rPr>
          <w:highlight w:val="none"/>
        </w:rPr>
      </w:pPr>
      <w:r>
        <w:rPr>
          <w:rFonts w:hint="eastAsia"/>
          <w:highlight w:val="none"/>
        </w:rPr>
        <w:t>最高限价（元）：69994.5</w:t>
      </w:r>
    </w:p>
    <w:p w14:paraId="5BB34960">
      <w:pPr>
        <w:spacing w:line="440" w:lineRule="exact"/>
        <w:ind w:firstLine="480"/>
        <w:rPr>
          <w:highlight w:val="none"/>
        </w:rPr>
      </w:pPr>
      <w:r>
        <w:rPr>
          <w:rFonts w:hint="eastAsia"/>
          <w:highlight w:val="none"/>
        </w:rPr>
        <w:t>简要规格描述或项目基本概况介绍、用途：详见“招标文件-采购需求”</w:t>
      </w:r>
    </w:p>
    <w:p w14:paraId="22E031DC">
      <w:pPr>
        <w:spacing w:line="440" w:lineRule="exact"/>
        <w:ind w:firstLine="480"/>
        <w:rPr>
          <w:highlight w:val="none"/>
        </w:rPr>
      </w:pPr>
      <w:r>
        <w:rPr>
          <w:rFonts w:hint="eastAsia"/>
          <w:highlight w:val="none"/>
        </w:rPr>
        <w:t>备注：/</w:t>
      </w:r>
    </w:p>
    <w:p w14:paraId="3FC00D7A">
      <w:pPr>
        <w:spacing w:line="440" w:lineRule="exact"/>
        <w:ind w:firstLine="480"/>
        <w:rPr>
          <w:rFonts w:cs="宋体"/>
          <w:highlight w:val="none"/>
        </w:rPr>
      </w:pPr>
      <w:r>
        <w:rPr>
          <w:rFonts w:hint="eastAsia" w:cs="宋体"/>
          <w:highlight w:val="none"/>
        </w:rPr>
        <w:t>合同履约期限：四个标项均于</w:t>
      </w:r>
      <w:r>
        <w:rPr>
          <w:rFonts w:hint="eastAsia"/>
          <w:highlight w:val="none"/>
        </w:rPr>
        <w:t>2025年5月30日之前完成供货、安装、调试</w:t>
      </w:r>
      <w:r>
        <w:rPr>
          <w:rFonts w:hint="eastAsia" w:cs="宋体"/>
          <w:highlight w:val="none"/>
        </w:rPr>
        <w:t>。</w:t>
      </w:r>
    </w:p>
    <w:p w14:paraId="6121532C">
      <w:pPr>
        <w:spacing w:line="440" w:lineRule="exact"/>
        <w:ind w:firstLine="480"/>
        <w:rPr>
          <w:rFonts w:cs="宋体"/>
          <w:color w:val="000000"/>
          <w:highlight w:val="none"/>
        </w:rPr>
      </w:pPr>
      <w:r>
        <w:rPr>
          <w:rFonts w:hint="eastAsia" w:cs="宋体"/>
          <w:highlight w:val="none"/>
        </w:rPr>
        <w:t>本项目不接受联合体投标。</w:t>
      </w:r>
    </w:p>
    <w:p w14:paraId="742ACDBD">
      <w:pPr>
        <w:spacing w:line="440" w:lineRule="exact"/>
        <w:ind w:firstLine="0" w:firstLineChars="0"/>
        <w:rPr>
          <w:b/>
          <w:bCs/>
          <w:highlight w:val="none"/>
        </w:rPr>
      </w:pPr>
      <w:bookmarkStart w:id="6" w:name="_Toc24393"/>
      <w:r>
        <w:rPr>
          <w:rFonts w:hint="eastAsia"/>
          <w:b/>
          <w:bCs/>
          <w:highlight w:val="none"/>
        </w:rPr>
        <w:t>二、申请人的资格要求:</w:t>
      </w:r>
      <w:bookmarkEnd w:id="6"/>
    </w:p>
    <w:p w14:paraId="1F2AA2AB">
      <w:pPr>
        <w:spacing w:line="440" w:lineRule="exact"/>
        <w:ind w:firstLine="480"/>
        <w:rPr>
          <w:highlight w:val="none"/>
        </w:rPr>
      </w:pPr>
      <w:r>
        <w:rPr>
          <w:rFonts w:hint="eastAsia"/>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287AC27F">
      <w:pPr>
        <w:spacing w:line="440" w:lineRule="exact"/>
        <w:ind w:firstLine="480"/>
        <w:rPr>
          <w:rStyle w:val="47"/>
          <w:rFonts w:ascii="宋体" w:hAnsi="宋体" w:cs="宋体"/>
          <w:b w:val="0"/>
          <w:bCs/>
          <w:highlight w:val="none"/>
        </w:rPr>
      </w:pPr>
      <w:r>
        <w:rPr>
          <w:rFonts w:hint="eastAsia"/>
          <w:highlight w:val="none"/>
        </w:rPr>
        <w:t>2.落实政府采购政策需满足的资格要求：</w:t>
      </w:r>
    </w:p>
    <w:p w14:paraId="1C16624C">
      <w:pPr>
        <w:spacing w:line="440" w:lineRule="exact"/>
        <w:ind w:firstLine="480"/>
        <w:rPr>
          <w:rFonts w:cs="宋体"/>
          <w:highlight w:val="none"/>
        </w:rPr>
      </w:pPr>
      <w:r>
        <w:rPr>
          <w:rFonts w:hint="eastAsia" w:cs="宋体"/>
          <w:color w:val="000000"/>
          <w:highlight w:val="none"/>
        </w:rPr>
        <w:t>□</w:t>
      </w:r>
      <w:r>
        <w:rPr>
          <w:rFonts w:hint="eastAsia" w:cs="宋体"/>
          <w:highlight w:val="none"/>
        </w:rPr>
        <w:t>无；</w:t>
      </w:r>
    </w:p>
    <w:p w14:paraId="719229BC">
      <w:pPr>
        <w:spacing w:line="440" w:lineRule="exact"/>
        <w:ind w:firstLine="480"/>
        <w:rPr>
          <w:rFonts w:cs="宋体"/>
          <w:highlight w:val="none"/>
        </w:rPr>
      </w:pPr>
      <w:r>
        <w:rPr>
          <w:rFonts w:hint="eastAsia" w:cs="宋体"/>
          <w:color w:val="000000"/>
          <w:highlight w:val="none"/>
        </w:rPr>
        <w:t>☑</w:t>
      </w:r>
      <w:r>
        <w:rPr>
          <w:rFonts w:hint="eastAsia" w:cs="宋体"/>
          <w:kern w:val="0"/>
          <w:highlight w:val="none"/>
        </w:rPr>
        <w:t>专</w:t>
      </w:r>
      <w:r>
        <w:rPr>
          <w:rFonts w:hint="eastAsia" w:cs="宋体"/>
          <w:highlight w:val="none"/>
        </w:rPr>
        <w:t>门面向中小企业</w:t>
      </w:r>
    </w:p>
    <w:p w14:paraId="2048F50D">
      <w:pPr>
        <w:spacing w:line="440" w:lineRule="exact"/>
        <w:ind w:firstLine="897" w:firstLineChars="374"/>
        <w:rPr>
          <w:rFonts w:cs="宋体"/>
          <w:highlight w:val="none"/>
          <w:u w:val="single"/>
        </w:rPr>
      </w:pPr>
      <w:r>
        <w:rPr>
          <w:rFonts w:hint="eastAsia" w:cs="宋体"/>
          <w:color w:val="000000"/>
          <w:highlight w:val="none"/>
        </w:rPr>
        <w:t>☑</w:t>
      </w:r>
      <w:r>
        <w:rPr>
          <w:rFonts w:hint="eastAsia" w:cs="宋体"/>
          <w:highlight w:val="none"/>
        </w:rPr>
        <w:t>货物全部由符合政策要求的中小企业制造，提供中小企业声明函；</w:t>
      </w:r>
    </w:p>
    <w:p w14:paraId="290E6D17">
      <w:pPr>
        <w:spacing w:line="440" w:lineRule="exact"/>
        <w:ind w:firstLine="897" w:firstLineChars="374"/>
        <w:rPr>
          <w:rFonts w:cs="宋体"/>
          <w:highlight w:val="none"/>
        </w:rPr>
      </w:pPr>
      <w:r>
        <w:rPr>
          <w:rFonts w:hint="eastAsia" w:cs="宋体"/>
          <w:color w:val="000000"/>
          <w:highlight w:val="none"/>
        </w:rPr>
        <w:t>□</w:t>
      </w:r>
      <w:r>
        <w:rPr>
          <w:rFonts w:hint="eastAsia" w:cs="宋体"/>
          <w:highlight w:val="none"/>
        </w:rPr>
        <w:t>货物全部由符合政策要求的小微企业制造，提供中小企业声明函；</w:t>
      </w:r>
    </w:p>
    <w:p w14:paraId="7199B76D">
      <w:pPr>
        <w:spacing w:line="440" w:lineRule="exact"/>
        <w:ind w:firstLine="897" w:firstLineChars="374"/>
        <w:rPr>
          <w:rFonts w:cs="宋体"/>
          <w:highlight w:val="none"/>
        </w:rPr>
      </w:pPr>
      <w:r>
        <w:rPr>
          <w:rFonts w:hint="eastAsia" w:cs="宋体"/>
          <w:color w:val="000000"/>
          <w:highlight w:val="none"/>
        </w:rPr>
        <w:t>□</w:t>
      </w:r>
      <w:r>
        <w:rPr>
          <w:rFonts w:hint="eastAsia" w:cs="宋体"/>
          <w:highlight w:val="none"/>
        </w:rPr>
        <w:t>服务全部由符合政策要求的中小企业承接，提供中小企业声明函；</w:t>
      </w:r>
    </w:p>
    <w:p w14:paraId="73A92043">
      <w:pPr>
        <w:spacing w:line="440" w:lineRule="exact"/>
        <w:ind w:firstLine="897" w:firstLineChars="374"/>
        <w:rPr>
          <w:rFonts w:cs="宋体"/>
          <w:highlight w:val="none"/>
        </w:rPr>
      </w:pPr>
      <w:r>
        <w:rPr>
          <w:rFonts w:hint="eastAsia" w:cs="宋体"/>
          <w:color w:val="000000"/>
          <w:highlight w:val="none"/>
        </w:rPr>
        <w:t>□</w:t>
      </w:r>
      <w:r>
        <w:rPr>
          <w:rFonts w:hint="eastAsia" w:cs="宋体"/>
          <w:highlight w:val="none"/>
        </w:rPr>
        <w:t>服务全部由符合政策要求的小微企业承接，提供中小企业声明函；</w:t>
      </w:r>
    </w:p>
    <w:p w14:paraId="4DADBD56">
      <w:pPr>
        <w:spacing w:line="440" w:lineRule="exact"/>
        <w:ind w:firstLine="480"/>
        <w:rPr>
          <w:rStyle w:val="47"/>
          <w:rFonts w:ascii="宋体" w:hAnsi="宋体" w:cs="宋体"/>
          <w:b w:val="0"/>
          <w:bCs/>
          <w:highlight w:val="none"/>
        </w:rPr>
      </w:pPr>
      <w:r>
        <w:rPr>
          <w:rFonts w:hint="eastAsia"/>
          <w:highlight w:val="none"/>
        </w:rPr>
        <w:t>3.本项目的特定资格要求：无。</w:t>
      </w:r>
    </w:p>
    <w:p w14:paraId="778F8845">
      <w:pPr>
        <w:spacing w:line="440" w:lineRule="exact"/>
        <w:ind w:firstLine="0" w:firstLineChars="0"/>
        <w:rPr>
          <w:b/>
          <w:bCs/>
          <w:highlight w:val="none"/>
        </w:rPr>
      </w:pPr>
      <w:r>
        <w:rPr>
          <w:rFonts w:hint="eastAsia"/>
          <w:b/>
          <w:bCs/>
          <w:highlight w:val="none"/>
        </w:rPr>
        <w:t>三、获取（下载）招标文件</w:t>
      </w:r>
    </w:p>
    <w:p w14:paraId="0E1B064E">
      <w:pPr>
        <w:spacing w:line="440" w:lineRule="exact"/>
        <w:ind w:firstLine="480"/>
        <w:rPr>
          <w:highlight w:val="none"/>
        </w:rPr>
      </w:pPr>
      <w:r>
        <w:rPr>
          <w:rFonts w:hint="eastAsia"/>
          <w:highlight w:val="none"/>
        </w:rPr>
        <w:t>1.时间：/至</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1</w:t>
      </w:r>
      <w:r>
        <w:rPr>
          <w:rFonts w:hint="eastAsia"/>
          <w:highlight w:val="none"/>
          <w:u w:val="single"/>
        </w:rPr>
        <w:t>月</w:t>
      </w:r>
      <w:r>
        <w:rPr>
          <w:rFonts w:hint="eastAsia"/>
          <w:highlight w:val="none"/>
          <w:u w:val="single"/>
          <w:lang w:val="en-US" w:eastAsia="zh-CN"/>
        </w:rPr>
        <w:t>26</w:t>
      </w:r>
      <w:r>
        <w:rPr>
          <w:rFonts w:hint="eastAsia"/>
          <w:highlight w:val="none"/>
          <w:u w:val="single"/>
        </w:rPr>
        <w:t>日</w:t>
      </w:r>
      <w:r>
        <w:rPr>
          <w:rFonts w:hint="eastAsia"/>
          <w:highlight w:val="none"/>
        </w:rPr>
        <w:t>，每天上午00:00至12:00，下午12:00至23:59（北京时间，线上获取法定节假日均可，线下获取文件法定节假日除外）。</w:t>
      </w:r>
    </w:p>
    <w:p w14:paraId="506411F3">
      <w:pPr>
        <w:spacing w:line="440" w:lineRule="exact"/>
        <w:ind w:firstLine="480"/>
        <w:rPr>
          <w:highlight w:val="none"/>
        </w:rPr>
      </w:pPr>
      <w:r>
        <w:rPr>
          <w:rFonts w:hint="eastAsia"/>
          <w:highlight w:val="none"/>
        </w:rPr>
        <w:t>2.地点（网址）：浙江政府采购网（http://zfcg.czt.zj.gov.cn）</w:t>
      </w:r>
    </w:p>
    <w:p w14:paraId="05B8278C">
      <w:pPr>
        <w:spacing w:line="440" w:lineRule="exact"/>
        <w:ind w:firstLine="480"/>
        <w:rPr>
          <w:highlight w:val="none"/>
        </w:rPr>
      </w:pPr>
      <w:r>
        <w:rPr>
          <w:rFonts w:hint="eastAsia"/>
          <w:highlight w:val="none"/>
        </w:rPr>
        <w:t>3.方式：供应商登录政采云平台https://www.zcygov.cn/在线申请获取招标文件（进入“项目采购”应用，在获取招标文件菜单中选择项目，申请获取招标文件）</w:t>
      </w:r>
    </w:p>
    <w:p w14:paraId="7380346D">
      <w:pPr>
        <w:spacing w:line="440" w:lineRule="exact"/>
        <w:ind w:firstLine="480"/>
        <w:rPr>
          <w:highlight w:val="none"/>
        </w:rPr>
      </w:pPr>
      <w:r>
        <w:rPr>
          <w:rFonts w:hint="eastAsia"/>
          <w:highlight w:val="none"/>
        </w:rPr>
        <w:t>4.售价（元）：0</w:t>
      </w:r>
    </w:p>
    <w:p w14:paraId="24CF5473">
      <w:pPr>
        <w:spacing w:line="440" w:lineRule="exact"/>
        <w:ind w:firstLine="0" w:firstLineChars="0"/>
        <w:rPr>
          <w:b/>
          <w:bCs/>
          <w:highlight w:val="none"/>
        </w:rPr>
      </w:pPr>
      <w:bookmarkStart w:id="7" w:name="_Toc1080"/>
      <w:r>
        <w:rPr>
          <w:rFonts w:hint="eastAsia"/>
          <w:b/>
          <w:bCs/>
          <w:highlight w:val="none"/>
        </w:rPr>
        <w:t>四、投标文件提交（上传）截止时间、开标时间和地点</w:t>
      </w:r>
      <w:bookmarkEnd w:id="7"/>
    </w:p>
    <w:p w14:paraId="7029BC73">
      <w:pPr>
        <w:spacing w:line="440" w:lineRule="exact"/>
        <w:ind w:firstLine="480"/>
        <w:rPr>
          <w:highlight w:val="none"/>
        </w:rPr>
      </w:pPr>
      <w:bookmarkStart w:id="8" w:name="_Toc2231"/>
      <w:r>
        <w:rPr>
          <w:rFonts w:hint="eastAsia"/>
          <w:highlight w:val="none"/>
        </w:rPr>
        <w:t>1.提交（上传）截止时间：</w:t>
      </w:r>
      <w:r>
        <w:rPr>
          <w:rFonts w:hint="eastAsia"/>
          <w:b/>
          <w:bCs/>
          <w:highlight w:val="none"/>
          <w:u w:val="single"/>
        </w:rPr>
        <w:t>202</w:t>
      </w:r>
      <w:r>
        <w:rPr>
          <w:rFonts w:hint="eastAsia"/>
          <w:b/>
          <w:bCs/>
          <w:highlight w:val="none"/>
          <w:u w:val="single"/>
          <w:lang w:val="en-US" w:eastAsia="zh-CN"/>
        </w:rPr>
        <w:t>5</w:t>
      </w:r>
      <w:r>
        <w:rPr>
          <w:rFonts w:hint="eastAsia"/>
          <w:b/>
          <w:bCs/>
          <w:highlight w:val="none"/>
          <w:u w:val="single"/>
        </w:rPr>
        <w:t>年</w:t>
      </w:r>
      <w:r>
        <w:rPr>
          <w:rFonts w:hint="eastAsia"/>
          <w:b/>
          <w:bCs/>
          <w:highlight w:val="none"/>
          <w:u w:val="single"/>
          <w:lang w:val="en-US" w:eastAsia="zh-CN"/>
        </w:rPr>
        <w:t>1</w:t>
      </w:r>
      <w:r>
        <w:rPr>
          <w:rFonts w:hint="eastAsia"/>
          <w:b/>
          <w:bCs/>
          <w:highlight w:val="none"/>
          <w:u w:val="single"/>
        </w:rPr>
        <w:t>月</w:t>
      </w:r>
      <w:r>
        <w:rPr>
          <w:rFonts w:hint="eastAsia"/>
          <w:b/>
          <w:bCs/>
          <w:highlight w:val="none"/>
          <w:u w:val="single"/>
          <w:lang w:val="en-US" w:eastAsia="zh-CN"/>
        </w:rPr>
        <w:t>26</w:t>
      </w:r>
      <w:r>
        <w:rPr>
          <w:rFonts w:hint="eastAsia"/>
          <w:b/>
          <w:bCs/>
          <w:highlight w:val="none"/>
          <w:u w:val="single"/>
        </w:rPr>
        <w:t>日上午09:00</w:t>
      </w:r>
      <w:r>
        <w:rPr>
          <w:rFonts w:hint="eastAsia"/>
          <w:highlight w:val="none"/>
        </w:rPr>
        <w:t>（北京时间）</w:t>
      </w:r>
    </w:p>
    <w:p w14:paraId="61CF49E1">
      <w:pPr>
        <w:spacing w:line="440" w:lineRule="exact"/>
        <w:ind w:firstLine="480"/>
        <w:rPr>
          <w:highlight w:val="none"/>
        </w:rPr>
      </w:pPr>
      <w:r>
        <w:rPr>
          <w:rFonts w:hint="eastAsia"/>
          <w:highlight w:val="none"/>
        </w:rPr>
        <w:t>2.投标地点（网址）：</w:t>
      </w:r>
      <w:r>
        <w:rPr>
          <w:rFonts w:hint="eastAsia" w:cs="宋体"/>
          <w:highlight w:val="none"/>
          <w:u w:val="single"/>
        </w:rPr>
        <w:t>政采云平台（https://www.zcygov.cn/）</w:t>
      </w:r>
      <w:r>
        <w:rPr>
          <w:rFonts w:hint="eastAsia"/>
          <w:highlight w:val="none"/>
        </w:rPr>
        <w:t xml:space="preserve">                    </w:t>
      </w:r>
    </w:p>
    <w:p w14:paraId="41DA8C9C">
      <w:pPr>
        <w:spacing w:line="440" w:lineRule="exact"/>
        <w:ind w:firstLine="480"/>
        <w:rPr>
          <w:highlight w:val="none"/>
        </w:rPr>
      </w:pPr>
      <w:r>
        <w:rPr>
          <w:rFonts w:hint="eastAsia"/>
          <w:highlight w:val="none"/>
        </w:rPr>
        <w:t>3.开标时间：</w:t>
      </w:r>
      <w:r>
        <w:rPr>
          <w:rFonts w:hint="eastAsia"/>
          <w:b/>
          <w:bCs/>
          <w:highlight w:val="none"/>
          <w:u w:val="single"/>
        </w:rPr>
        <w:t>202</w:t>
      </w:r>
      <w:r>
        <w:rPr>
          <w:rFonts w:hint="eastAsia"/>
          <w:b/>
          <w:bCs/>
          <w:highlight w:val="none"/>
          <w:u w:val="single"/>
          <w:lang w:val="en-US" w:eastAsia="zh-CN"/>
        </w:rPr>
        <w:t>5</w:t>
      </w:r>
      <w:r>
        <w:rPr>
          <w:rFonts w:hint="eastAsia"/>
          <w:b/>
          <w:bCs/>
          <w:highlight w:val="none"/>
          <w:u w:val="single"/>
        </w:rPr>
        <w:t>年</w:t>
      </w:r>
      <w:r>
        <w:rPr>
          <w:rFonts w:hint="eastAsia"/>
          <w:b/>
          <w:bCs/>
          <w:highlight w:val="none"/>
          <w:u w:val="single"/>
          <w:lang w:val="en-US" w:eastAsia="zh-CN"/>
        </w:rPr>
        <w:t>1</w:t>
      </w:r>
      <w:r>
        <w:rPr>
          <w:rFonts w:hint="eastAsia"/>
          <w:b/>
          <w:bCs/>
          <w:highlight w:val="none"/>
          <w:u w:val="single"/>
        </w:rPr>
        <w:t>月</w:t>
      </w:r>
      <w:r>
        <w:rPr>
          <w:rFonts w:hint="eastAsia"/>
          <w:b/>
          <w:bCs/>
          <w:highlight w:val="none"/>
          <w:u w:val="single"/>
          <w:lang w:val="en-US" w:eastAsia="zh-CN"/>
        </w:rPr>
        <w:t>26</w:t>
      </w:r>
      <w:r>
        <w:rPr>
          <w:rFonts w:hint="eastAsia"/>
          <w:b/>
          <w:bCs/>
          <w:highlight w:val="none"/>
          <w:u w:val="single"/>
        </w:rPr>
        <w:t>日上午09:00</w:t>
      </w:r>
      <w:r>
        <w:rPr>
          <w:rFonts w:hint="eastAsia"/>
          <w:highlight w:val="none"/>
        </w:rPr>
        <w:t>（北京时间）</w:t>
      </w:r>
    </w:p>
    <w:p w14:paraId="5B5B2138">
      <w:pPr>
        <w:spacing w:line="440" w:lineRule="exact"/>
        <w:ind w:firstLine="480"/>
        <w:rPr>
          <w:rFonts w:cs="宋体"/>
          <w:highlight w:val="none"/>
          <w:u w:val="single"/>
        </w:rPr>
      </w:pPr>
      <w:r>
        <w:rPr>
          <w:rFonts w:hint="eastAsia"/>
          <w:highlight w:val="none"/>
        </w:rPr>
        <w:t>4.开标地点（网址）：</w:t>
      </w:r>
      <w:bookmarkEnd w:id="8"/>
      <w:r>
        <w:rPr>
          <w:rFonts w:hint="eastAsia" w:cs="宋体"/>
          <w:highlight w:val="none"/>
          <w:u w:val="single"/>
        </w:rPr>
        <w:t>政采云平台（https://www.zcygov.cn/）</w:t>
      </w:r>
    </w:p>
    <w:p w14:paraId="013EA402">
      <w:pPr>
        <w:spacing w:line="440" w:lineRule="exact"/>
        <w:ind w:firstLine="0" w:firstLineChars="0"/>
        <w:rPr>
          <w:b/>
          <w:bCs/>
          <w:highlight w:val="none"/>
        </w:rPr>
      </w:pPr>
      <w:r>
        <w:rPr>
          <w:rFonts w:hint="eastAsia"/>
          <w:b/>
          <w:bCs/>
          <w:highlight w:val="none"/>
        </w:rPr>
        <w:t>五、公告期限</w:t>
      </w:r>
    </w:p>
    <w:p w14:paraId="0BF2CB08">
      <w:pPr>
        <w:spacing w:line="440" w:lineRule="exact"/>
        <w:ind w:firstLine="480"/>
        <w:rPr>
          <w:highlight w:val="none"/>
        </w:rPr>
      </w:pPr>
      <w:r>
        <w:rPr>
          <w:rFonts w:hint="eastAsia"/>
          <w:highlight w:val="none"/>
        </w:rPr>
        <w:t>自本公告发布之日起5个工作日。</w:t>
      </w:r>
    </w:p>
    <w:p w14:paraId="267741BB">
      <w:pPr>
        <w:spacing w:line="440" w:lineRule="exact"/>
        <w:ind w:firstLine="0" w:firstLineChars="0"/>
        <w:rPr>
          <w:b/>
          <w:bCs/>
          <w:highlight w:val="none"/>
        </w:rPr>
      </w:pPr>
      <w:bookmarkStart w:id="9" w:name="_Toc6191"/>
      <w:r>
        <w:rPr>
          <w:rFonts w:hint="eastAsia"/>
          <w:b/>
          <w:bCs/>
          <w:highlight w:val="none"/>
        </w:rPr>
        <w:t>六、其他补充事宜：</w:t>
      </w:r>
      <w:bookmarkEnd w:id="9"/>
    </w:p>
    <w:p w14:paraId="0C8EC56E">
      <w:pPr>
        <w:spacing w:line="440" w:lineRule="exact"/>
        <w:ind w:firstLine="480"/>
        <w:rPr>
          <w:rFonts w:cs="宋体"/>
          <w:color w:val="000000"/>
          <w:highlight w:val="none"/>
        </w:rPr>
      </w:pPr>
      <w:r>
        <w:rPr>
          <w:rFonts w:hint="eastAsia" w:cs="宋体"/>
          <w:color w:val="000000"/>
          <w:highlight w:val="none"/>
          <w:lang w:bidi="ar"/>
        </w:rPr>
        <w:t>1.</w:t>
      </w:r>
      <w:r>
        <w:rPr>
          <w:rFonts w:hint="eastAsia" w:cs="宋体"/>
          <w:color w:val="000000"/>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FA1EB59">
      <w:pPr>
        <w:spacing w:line="440" w:lineRule="exact"/>
        <w:ind w:firstLine="480"/>
        <w:rPr>
          <w:rFonts w:cs="宋体"/>
          <w:color w:val="000000"/>
          <w:highlight w:val="none"/>
        </w:rPr>
      </w:pPr>
      <w:r>
        <w:rPr>
          <w:rFonts w:hint="eastAsia" w:cs="宋体"/>
          <w:color w:val="000000"/>
          <w:highlight w:val="none"/>
          <w:lang w:bidi="ar"/>
        </w:rPr>
        <w:t>2.</w:t>
      </w:r>
      <w:r>
        <w:rPr>
          <w:rFonts w:hint="eastAsia" w:cs="宋体"/>
          <w:color w:val="00000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F3A269">
      <w:pPr>
        <w:spacing w:line="440" w:lineRule="exact"/>
        <w:ind w:firstLine="480"/>
        <w:rPr>
          <w:highlight w:val="none"/>
        </w:rPr>
      </w:pPr>
      <w:r>
        <w:rPr>
          <w:rFonts w:hint="eastAsia"/>
          <w:highlight w:val="none"/>
        </w:rPr>
        <w:t>3.供应商认为招标文件使自己的权益受到损害的，可以自获取招标文件之日或者采购公告期限届满之日（公告期限届满后获取招标文件的，以公告期限届满之日为准）起7个工作日内，对招标文件需求以书面形式向招标人提出质疑，对其他内容以书面形式向招标人和招标代理机构提出质疑。质疑供应商对招标人、招标代理机构的答复不满意或招标人、招标代理机构未在规定的时间内作出答复的，可以在答复期满后十五个工作日内向同级政府采购监督管理部门投诉。质疑函范本、投诉书范本请到浙江政府采购网下载专区下载。</w:t>
      </w:r>
    </w:p>
    <w:p w14:paraId="00CFEFAA">
      <w:pPr>
        <w:spacing w:line="440" w:lineRule="exact"/>
        <w:ind w:firstLine="480"/>
        <w:rPr>
          <w:rFonts w:cs="宋体"/>
          <w:color w:val="000000"/>
          <w:highlight w:val="none"/>
        </w:rPr>
      </w:pPr>
      <w:r>
        <w:rPr>
          <w:rFonts w:hint="eastAsia"/>
          <w:highlight w:val="none"/>
        </w:rPr>
        <w:t>4.</w:t>
      </w:r>
      <w:r>
        <w:rPr>
          <w:rFonts w:hint="eastAsia" w:cs="宋体"/>
          <w:color w:val="000000"/>
          <w:highlight w:val="none"/>
        </w:rPr>
        <w:t>其他事项：（1）采购项目需要落实的政府采购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w:t>
      </w:r>
    </w:p>
    <w:p w14:paraId="30229E9B">
      <w:pPr>
        <w:spacing w:line="440" w:lineRule="exact"/>
        <w:ind w:firstLine="480"/>
        <w:rPr>
          <w:rFonts w:cs="宋体"/>
          <w:color w:val="000000"/>
          <w:highlight w:val="none"/>
        </w:rPr>
      </w:pPr>
      <w:r>
        <w:rPr>
          <w:rFonts w:hint="eastAsia" w:cs="宋体"/>
          <w:color w:val="000000"/>
          <w:highlight w:val="none"/>
        </w:rPr>
        <w:t>（2）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30005C3B">
      <w:pPr>
        <w:spacing w:line="440" w:lineRule="exact"/>
        <w:ind w:firstLine="480"/>
        <w:rPr>
          <w:rFonts w:cs="宋体"/>
          <w:color w:val="000000"/>
          <w:highlight w:val="none"/>
        </w:rPr>
      </w:pPr>
      <w:r>
        <w:rPr>
          <w:rFonts w:hint="eastAsia" w:cs="宋体"/>
          <w:color w:val="000000"/>
          <w:highlight w:val="none"/>
        </w:rPr>
        <w:t>（3）单位负责人为同一人或者存在直接控股、管理关系的不同供应商，不得同时参加同一合同项下的投标。</w:t>
      </w:r>
    </w:p>
    <w:p w14:paraId="0588249B">
      <w:pPr>
        <w:spacing w:line="440" w:lineRule="exact"/>
        <w:ind w:firstLine="480"/>
        <w:rPr>
          <w:rFonts w:cs="宋体"/>
          <w:highlight w:val="none"/>
        </w:rPr>
      </w:pPr>
      <w:r>
        <w:rPr>
          <w:rFonts w:hint="eastAsia" w:cs="宋体"/>
          <w:color w:val="000000"/>
          <w:highlight w:val="none"/>
        </w:rPr>
        <w:t>（4）为项目提供整体设计、规范编制或者项目管理、监理、检测等服务的供应商，不得参加该项目的投标。</w:t>
      </w:r>
    </w:p>
    <w:p w14:paraId="6F2FC15C">
      <w:pPr>
        <w:spacing w:line="440" w:lineRule="exact"/>
        <w:ind w:firstLine="0" w:firstLineChars="0"/>
        <w:rPr>
          <w:highlight w:val="none"/>
        </w:rPr>
      </w:pPr>
      <w:bookmarkStart w:id="10" w:name="_Toc5293"/>
      <w:r>
        <w:rPr>
          <w:rFonts w:hint="eastAsia"/>
          <w:b/>
          <w:bCs/>
          <w:highlight w:val="none"/>
        </w:rPr>
        <w:t>七、</w:t>
      </w:r>
      <w:bookmarkEnd w:id="10"/>
      <w:r>
        <w:rPr>
          <w:rFonts w:hint="eastAsia"/>
          <w:b/>
          <w:bCs/>
          <w:highlight w:val="none"/>
        </w:rPr>
        <w:t>对本次招标提出询问、质疑、投诉，请按以下方式联系</w:t>
      </w:r>
    </w:p>
    <w:p w14:paraId="7DC53386">
      <w:pPr>
        <w:spacing w:line="440" w:lineRule="exact"/>
        <w:ind w:firstLine="480"/>
        <w:rPr>
          <w:highlight w:val="none"/>
        </w:rPr>
      </w:pPr>
      <w:r>
        <w:rPr>
          <w:rFonts w:hint="eastAsia"/>
          <w:highlight w:val="none"/>
        </w:rPr>
        <w:t>1.采购人信息</w:t>
      </w:r>
    </w:p>
    <w:p w14:paraId="1B353B26">
      <w:pPr>
        <w:spacing w:line="440" w:lineRule="exact"/>
        <w:ind w:firstLine="480"/>
        <w:rPr>
          <w:highlight w:val="none"/>
        </w:rPr>
      </w:pPr>
      <w:r>
        <w:rPr>
          <w:rFonts w:hint="eastAsia"/>
          <w:highlight w:val="none"/>
        </w:rPr>
        <w:t>名称：湖州学院</w:t>
      </w:r>
    </w:p>
    <w:p w14:paraId="3EF1B1B4">
      <w:pPr>
        <w:spacing w:line="440" w:lineRule="exact"/>
        <w:ind w:firstLine="480"/>
        <w:rPr>
          <w:highlight w:val="none"/>
        </w:rPr>
      </w:pPr>
      <w:r>
        <w:rPr>
          <w:rFonts w:hint="eastAsia"/>
          <w:highlight w:val="none"/>
        </w:rPr>
        <w:t>地址：湖州市学士路1号</w:t>
      </w:r>
    </w:p>
    <w:p w14:paraId="46E099F8">
      <w:pPr>
        <w:spacing w:line="440" w:lineRule="exact"/>
        <w:ind w:firstLine="480"/>
        <w:rPr>
          <w:rFonts w:hint="eastAsia" w:eastAsia="宋体"/>
          <w:highlight w:val="none"/>
          <w:lang w:eastAsia="zh-CN"/>
        </w:rPr>
      </w:pPr>
      <w:r>
        <w:rPr>
          <w:rFonts w:hint="eastAsia"/>
          <w:highlight w:val="none"/>
        </w:rPr>
        <w:t>项目联系人（询问）：</w:t>
      </w:r>
      <w:r>
        <w:rPr>
          <w:rFonts w:hint="eastAsia"/>
          <w:highlight w:val="none"/>
          <w:lang w:val="en-US" w:eastAsia="zh-CN"/>
        </w:rPr>
        <w:t>孙老师</w:t>
      </w:r>
    </w:p>
    <w:p w14:paraId="55299245">
      <w:pPr>
        <w:spacing w:line="440" w:lineRule="exact"/>
        <w:ind w:firstLine="480"/>
        <w:rPr>
          <w:highlight w:val="none"/>
        </w:rPr>
      </w:pPr>
      <w:r>
        <w:rPr>
          <w:rFonts w:hint="eastAsia"/>
          <w:highlight w:val="none"/>
        </w:rPr>
        <w:t>项目联系方式（询问）：0572-2112239</w:t>
      </w:r>
    </w:p>
    <w:p w14:paraId="5357BFDD">
      <w:pPr>
        <w:spacing w:line="440" w:lineRule="exact"/>
        <w:ind w:firstLine="480"/>
        <w:rPr>
          <w:highlight w:val="none"/>
        </w:rPr>
      </w:pPr>
      <w:r>
        <w:rPr>
          <w:rFonts w:hint="eastAsia"/>
          <w:highlight w:val="none"/>
        </w:rPr>
        <w:t>质疑联系人：</w:t>
      </w:r>
      <w:r>
        <w:rPr>
          <w:rFonts w:hint="eastAsia"/>
          <w:highlight w:val="none"/>
          <w:lang w:val="en-US" w:eastAsia="zh-CN"/>
        </w:rPr>
        <w:t>徐</w:t>
      </w:r>
      <w:r>
        <w:rPr>
          <w:rFonts w:hint="eastAsia"/>
          <w:highlight w:val="none"/>
        </w:rPr>
        <w:t>老师</w:t>
      </w:r>
    </w:p>
    <w:p w14:paraId="59E3CA07">
      <w:pPr>
        <w:spacing w:line="440" w:lineRule="exact"/>
        <w:ind w:firstLine="480"/>
        <w:rPr>
          <w:highlight w:val="none"/>
        </w:rPr>
      </w:pPr>
      <w:r>
        <w:rPr>
          <w:rFonts w:hint="eastAsia"/>
          <w:highlight w:val="none"/>
        </w:rPr>
        <w:t>质疑联系方式：0572-2112239</w:t>
      </w:r>
    </w:p>
    <w:p w14:paraId="309728EC">
      <w:pPr>
        <w:spacing w:line="440" w:lineRule="exact"/>
        <w:ind w:firstLine="480"/>
        <w:rPr>
          <w:highlight w:val="none"/>
        </w:rPr>
      </w:pPr>
      <w:r>
        <w:rPr>
          <w:rFonts w:hint="eastAsia"/>
          <w:highlight w:val="none"/>
        </w:rPr>
        <w:t>2.采购代理机构信息</w:t>
      </w:r>
    </w:p>
    <w:p w14:paraId="197B6D88">
      <w:pPr>
        <w:spacing w:line="440" w:lineRule="exact"/>
        <w:ind w:firstLine="480"/>
        <w:rPr>
          <w:highlight w:val="none"/>
        </w:rPr>
      </w:pPr>
      <w:r>
        <w:rPr>
          <w:rFonts w:hint="eastAsia"/>
          <w:highlight w:val="none"/>
        </w:rPr>
        <w:t>名称：浙江致信招标代理有限公司</w:t>
      </w:r>
    </w:p>
    <w:p w14:paraId="16D304F5">
      <w:pPr>
        <w:spacing w:line="440" w:lineRule="exact"/>
        <w:ind w:firstLine="480"/>
        <w:rPr>
          <w:highlight w:val="none"/>
        </w:rPr>
      </w:pPr>
      <w:r>
        <w:rPr>
          <w:rFonts w:hint="eastAsia"/>
          <w:highlight w:val="none"/>
        </w:rPr>
        <w:t>地址：湖州市康山街道嘉年华国际广场C座C1805室</w:t>
      </w:r>
    </w:p>
    <w:p w14:paraId="11DDBEEB">
      <w:pPr>
        <w:spacing w:line="440" w:lineRule="exact"/>
        <w:ind w:firstLine="480"/>
        <w:rPr>
          <w:highlight w:val="none"/>
        </w:rPr>
      </w:pPr>
      <w:r>
        <w:rPr>
          <w:rFonts w:hint="eastAsia"/>
          <w:highlight w:val="none"/>
        </w:rPr>
        <w:t>项目联系人（询问）：徐工</w:t>
      </w:r>
    </w:p>
    <w:p w14:paraId="0E7922FC">
      <w:pPr>
        <w:spacing w:line="440" w:lineRule="exact"/>
        <w:ind w:firstLine="480"/>
        <w:rPr>
          <w:highlight w:val="none"/>
        </w:rPr>
      </w:pPr>
      <w:r>
        <w:rPr>
          <w:rFonts w:hint="eastAsia"/>
          <w:highlight w:val="none"/>
        </w:rPr>
        <w:t>项目联系方式（询问）：0572-2038559</w:t>
      </w:r>
    </w:p>
    <w:p w14:paraId="577F0A36">
      <w:pPr>
        <w:spacing w:line="440" w:lineRule="exact"/>
        <w:ind w:firstLine="480"/>
        <w:rPr>
          <w:highlight w:val="none"/>
        </w:rPr>
      </w:pPr>
      <w:r>
        <w:rPr>
          <w:rFonts w:hint="eastAsia"/>
          <w:highlight w:val="none"/>
        </w:rPr>
        <w:t>质疑联系人：俞工</w:t>
      </w:r>
    </w:p>
    <w:p w14:paraId="14CAAE99">
      <w:pPr>
        <w:spacing w:line="440" w:lineRule="exact"/>
        <w:ind w:firstLine="480"/>
        <w:rPr>
          <w:highlight w:val="none"/>
        </w:rPr>
      </w:pPr>
      <w:r>
        <w:rPr>
          <w:rFonts w:hint="eastAsia"/>
          <w:highlight w:val="none"/>
        </w:rPr>
        <w:t>质疑联系方式：0571-88026807</w:t>
      </w:r>
    </w:p>
    <w:p w14:paraId="47D50861">
      <w:pPr>
        <w:spacing w:line="440" w:lineRule="exact"/>
        <w:ind w:firstLine="480"/>
        <w:rPr>
          <w:rFonts w:cs="宋体"/>
          <w:highlight w:val="none"/>
        </w:rPr>
      </w:pPr>
      <w:r>
        <w:rPr>
          <w:rFonts w:hint="eastAsia" w:cs="宋体"/>
          <w:highlight w:val="none"/>
        </w:rPr>
        <w:t>3.同级政府采购监督管理部门</w:t>
      </w:r>
    </w:p>
    <w:p w14:paraId="5667EE74">
      <w:pPr>
        <w:spacing w:line="440" w:lineRule="exact"/>
        <w:ind w:firstLine="480"/>
        <w:rPr>
          <w:rFonts w:cs="宋体"/>
          <w:highlight w:val="none"/>
        </w:rPr>
      </w:pPr>
      <w:r>
        <w:rPr>
          <w:rFonts w:hint="eastAsia" w:cs="宋体"/>
          <w:highlight w:val="none"/>
        </w:rPr>
        <w:t>名称：湖州市财政局政府采购监管处</w:t>
      </w:r>
    </w:p>
    <w:p w14:paraId="7A6821AB">
      <w:pPr>
        <w:spacing w:line="440" w:lineRule="exact"/>
        <w:ind w:firstLine="480"/>
        <w:rPr>
          <w:rFonts w:cs="宋体"/>
          <w:highlight w:val="none"/>
        </w:rPr>
      </w:pPr>
      <w:r>
        <w:rPr>
          <w:rFonts w:hint="eastAsia" w:cs="宋体"/>
          <w:highlight w:val="none"/>
        </w:rPr>
        <w:t>地址：湖州市吴兴区龙王山路518号</w:t>
      </w:r>
    </w:p>
    <w:p w14:paraId="696AB66E">
      <w:pPr>
        <w:spacing w:line="440" w:lineRule="exact"/>
        <w:ind w:firstLine="480"/>
        <w:rPr>
          <w:rFonts w:cs="宋体"/>
          <w:highlight w:val="none"/>
        </w:rPr>
      </w:pPr>
      <w:r>
        <w:rPr>
          <w:rFonts w:hint="eastAsia" w:cs="宋体"/>
          <w:highlight w:val="none"/>
        </w:rPr>
        <w:t>联系人：程先生</w:t>
      </w:r>
    </w:p>
    <w:p w14:paraId="54C74962">
      <w:pPr>
        <w:spacing w:line="440" w:lineRule="exact"/>
        <w:ind w:firstLine="480"/>
        <w:rPr>
          <w:rFonts w:cs="宋体"/>
          <w:highlight w:val="none"/>
        </w:rPr>
      </w:pPr>
      <w:r>
        <w:rPr>
          <w:rFonts w:hint="eastAsia" w:cs="宋体"/>
          <w:highlight w:val="none"/>
        </w:rPr>
        <w:t>监督投诉电话：0572-2150216</w:t>
      </w:r>
    </w:p>
    <w:p w14:paraId="4B692CEB">
      <w:pPr>
        <w:spacing w:line="500" w:lineRule="exact"/>
        <w:ind w:firstLine="480"/>
        <w:rPr>
          <w:rFonts w:cs="宋体"/>
          <w:highlight w:val="none"/>
        </w:rPr>
      </w:pPr>
    </w:p>
    <w:p w14:paraId="74FD85D1">
      <w:pPr>
        <w:spacing w:line="500" w:lineRule="exact"/>
        <w:ind w:firstLine="480"/>
        <w:rPr>
          <w:rFonts w:cs="宋体"/>
          <w:highlight w:val="none"/>
        </w:rPr>
      </w:pPr>
      <w:r>
        <w:rPr>
          <w:rFonts w:hint="eastAsia" w:cs="宋体"/>
          <w:highlight w:val="none"/>
        </w:rPr>
        <w:t>提示：若对项目采购电子交易系统操作有疑问，可登录政采云（https://www.zcygov.cn/），点击右侧咨询小采，获取采小蜜智能服务管家帮助，或拨打政采云服务热线95763获取热线服务帮助。</w:t>
      </w:r>
    </w:p>
    <w:p w14:paraId="2DFDEBBA">
      <w:pPr>
        <w:spacing w:line="500" w:lineRule="exact"/>
        <w:ind w:firstLine="480"/>
        <w:rPr>
          <w:rFonts w:cs="宋体"/>
          <w:highlight w:val="none"/>
        </w:rPr>
      </w:pPr>
      <w:r>
        <w:rPr>
          <w:rFonts w:hint="eastAsia"/>
          <w:highlight w:val="none"/>
        </w:rPr>
        <w:t>CA问题联系电话（人工）：汇信CA 400-888-4636；天谷CA 400-087-8198</w:t>
      </w:r>
    </w:p>
    <w:bookmarkEnd w:id="3"/>
    <w:p w14:paraId="1C525F35">
      <w:pPr>
        <w:pStyle w:val="3"/>
        <w:rPr>
          <w:rFonts w:cs="宋体"/>
          <w:sz w:val="36"/>
          <w:szCs w:val="36"/>
          <w:highlight w:val="none"/>
        </w:rPr>
        <w:sectPr>
          <w:footerReference r:id="rId13" w:type="default"/>
          <w:pgSz w:w="11906" w:h="16838"/>
          <w:pgMar w:top="1247" w:right="1134" w:bottom="1247" w:left="1134" w:header="170" w:footer="567" w:gutter="0"/>
          <w:pgNumType w:start="1"/>
          <w:cols w:space="720" w:num="1"/>
          <w:docGrid w:linePitch="381" w:charSpace="0"/>
        </w:sectPr>
      </w:pPr>
      <w:bookmarkStart w:id="11" w:name="_Toc8514"/>
    </w:p>
    <w:p w14:paraId="51E43CAA">
      <w:pPr>
        <w:pStyle w:val="3"/>
        <w:rPr>
          <w:rFonts w:cs="宋体"/>
          <w:sz w:val="36"/>
          <w:szCs w:val="36"/>
          <w:highlight w:val="none"/>
        </w:rPr>
      </w:pPr>
      <w:r>
        <w:rPr>
          <w:rFonts w:hint="eastAsia" w:cs="宋体"/>
          <w:sz w:val="36"/>
          <w:szCs w:val="36"/>
          <w:highlight w:val="none"/>
        </w:rPr>
        <w:t>第二章  采购需求</w:t>
      </w:r>
      <w:bookmarkEnd w:id="11"/>
    </w:p>
    <w:p w14:paraId="63E56BE2">
      <w:pPr>
        <w:spacing w:line="360" w:lineRule="auto"/>
        <w:ind w:firstLine="0" w:firstLineChars="0"/>
        <w:rPr>
          <w:rFonts w:cs="宋体"/>
          <w:b/>
          <w:bCs/>
          <w:highlight w:val="none"/>
        </w:rPr>
      </w:pPr>
      <w:bookmarkStart w:id="12" w:name="_Toc18187"/>
      <w:bookmarkStart w:id="13" w:name="_Toc21112"/>
      <w:bookmarkStart w:id="14" w:name="_Toc450840085"/>
      <w:r>
        <w:rPr>
          <w:rFonts w:hint="eastAsia" w:cs="宋体"/>
          <w:b/>
          <w:bCs/>
          <w:highlight w:val="none"/>
        </w:rPr>
        <w:t>一、项目概况</w:t>
      </w:r>
    </w:p>
    <w:p w14:paraId="0130458D">
      <w:pPr>
        <w:spacing w:line="360" w:lineRule="auto"/>
        <w:ind w:firstLine="480"/>
        <w:rPr>
          <w:rFonts w:cs="宋体"/>
          <w:highlight w:val="none"/>
        </w:rPr>
      </w:pPr>
      <w:r>
        <w:rPr>
          <w:rFonts w:hint="eastAsia" w:cs="宋体"/>
          <w:highlight w:val="none"/>
        </w:rPr>
        <w:t>1.项目名称：湖州学院图书馆书架、桌椅采购项目</w:t>
      </w:r>
    </w:p>
    <w:p w14:paraId="6BCF6E76">
      <w:pPr>
        <w:spacing w:line="360" w:lineRule="auto"/>
        <w:ind w:firstLine="480"/>
        <w:rPr>
          <w:rFonts w:cs="宋体"/>
          <w:highlight w:val="none"/>
        </w:rPr>
      </w:pPr>
      <w:r>
        <w:rPr>
          <w:rFonts w:hint="eastAsia" w:cs="宋体"/>
          <w:highlight w:val="none"/>
        </w:rPr>
        <w:t>2.项目编号：ZJZX-HZXY-2024003</w:t>
      </w:r>
    </w:p>
    <w:p w14:paraId="574F5C69">
      <w:pPr>
        <w:spacing w:line="360" w:lineRule="auto"/>
        <w:ind w:firstLine="480"/>
        <w:rPr>
          <w:rFonts w:cs="宋体"/>
          <w:highlight w:val="none"/>
        </w:rPr>
      </w:pPr>
      <w:r>
        <w:rPr>
          <w:rFonts w:hint="eastAsia" w:cs="宋体"/>
          <w:highlight w:val="none"/>
        </w:rPr>
        <w:t>3.预算金额：标项一：2365410元；标项二：1560000元；标项三：860005.5元；标项四：69994.5元</w:t>
      </w:r>
    </w:p>
    <w:p w14:paraId="020FBDE1">
      <w:pPr>
        <w:spacing w:line="360" w:lineRule="auto"/>
        <w:ind w:firstLine="0" w:firstLineChars="0"/>
        <w:rPr>
          <w:rFonts w:cs="宋体"/>
          <w:b/>
          <w:bCs/>
          <w:highlight w:val="none"/>
        </w:rPr>
      </w:pPr>
      <w:r>
        <w:rPr>
          <w:rFonts w:hint="eastAsia" w:cs="宋体"/>
          <w:b/>
          <w:bCs/>
          <w:highlight w:val="none"/>
        </w:rPr>
        <w:t xml:space="preserve">二、采购说明                                            </w:t>
      </w:r>
    </w:p>
    <w:p w14:paraId="2C219481">
      <w:pPr>
        <w:spacing w:line="360" w:lineRule="auto"/>
        <w:ind w:firstLine="480"/>
        <w:rPr>
          <w:rFonts w:cs="宋体"/>
          <w:highlight w:val="none"/>
        </w:rPr>
      </w:pPr>
      <w:r>
        <w:rPr>
          <w:rFonts w:hint="eastAsia" w:cs="宋体"/>
          <w:highlight w:val="none"/>
        </w:rPr>
        <w:t>1.本技术规范要求提出的是最低限度的基本技术要求，并未对所有技术细节作出规定，投标人应根据拟投产品（设备）实际情况提供准确技术参数和性能指标（配置），且不得低于招标要求。带“▲”条款为实质性要求条款（必须满足），“★”指重要要求条款。</w:t>
      </w:r>
    </w:p>
    <w:p w14:paraId="44693A59">
      <w:pPr>
        <w:spacing w:line="360" w:lineRule="auto"/>
        <w:ind w:firstLine="480"/>
        <w:rPr>
          <w:rFonts w:cs="宋体"/>
          <w:highlight w:val="none"/>
        </w:rPr>
      </w:pPr>
      <w:r>
        <w:rPr>
          <w:rFonts w:hint="eastAsia" w:cs="宋体"/>
          <w:highlight w:val="none"/>
        </w:rPr>
        <w:t xml:space="preserve">2.供应商提供的产品应标明所执行的质量标准，若同一标准已颁发新标准，则按最新标准执行。若同一产品同时有几个标准（国际标准、国家标准、行业标准、企业标准等），则按最高层次的标准执行。 </w:t>
      </w:r>
    </w:p>
    <w:p w14:paraId="507830B1">
      <w:pPr>
        <w:spacing w:line="360" w:lineRule="auto"/>
        <w:ind w:firstLine="480"/>
        <w:rPr>
          <w:szCs w:val="10"/>
          <w:highlight w:val="none"/>
        </w:rPr>
      </w:pPr>
      <w:r>
        <w:rPr>
          <w:rFonts w:hint="eastAsia" w:cs="宋体"/>
          <w:highlight w:val="none"/>
        </w:rPr>
        <w:t>3.</w:t>
      </w:r>
      <w:r>
        <w:rPr>
          <w:highlight w:val="none"/>
        </w:rPr>
        <w:t>投标人应保证所供设备</w:t>
      </w:r>
      <w:r>
        <w:rPr>
          <w:rFonts w:hint="eastAsia"/>
          <w:highlight w:val="none"/>
          <w:lang w:eastAsia="zh-CN"/>
        </w:rPr>
        <w:t>（产品）</w:t>
      </w:r>
      <w:r>
        <w:rPr>
          <w:highlight w:val="none"/>
        </w:rPr>
        <w:t>的</w:t>
      </w:r>
      <w:r>
        <w:rPr>
          <w:rFonts w:hint="eastAsia"/>
          <w:highlight w:val="none"/>
        </w:rPr>
        <w:t>原厂性、</w:t>
      </w:r>
      <w:r>
        <w:rPr>
          <w:highlight w:val="none"/>
        </w:rPr>
        <w:t>先进性、可靠性和适用性；</w:t>
      </w:r>
      <w:r>
        <w:rPr>
          <w:bCs/>
          <w:highlight w:val="none"/>
        </w:rPr>
        <w:t>投标人提供的设备</w:t>
      </w:r>
      <w:r>
        <w:rPr>
          <w:rFonts w:hint="eastAsia"/>
          <w:bCs/>
          <w:highlight w:val="none"/>
          <w:lang w:eastAsia="zh-CN"/>
        </w:rPr>
        <w:t>（产品）</w:t>
      </w:r>
      <w:r>
        <w:rPr>
          <w:bCs/>
          <w:highlight w:val="none"/>
        </w:rPr>
        <w:t>各组成部分必须是完整的、全新的、功能全的单元，同时应是全新的、高质量和工艺精良的产品，所用的原材料必须无任何缺陷</w:t>
      </w:r>
      <w:r>
        <w:rPr>
          <w:rFonts w:hint="eastAsia"/>
          <w:bCs/>
          <w:highlight w:val="none"/>
        </w:rPr>
        <w:t>。</w:t>
      </w:r>
    </w:p>
    <w:p w14:paraId="44AD3E6D">
      <w:pPr>
        <w:spacing w:line="360" w:lineRule="auto"/>
        <w:ind w:firstLine="480"/>
        <w:rPr>
          <w:highlight w:val="none"/>
        </w:rPr>
      </w:pPr>
      <w:r>
        <w:rPr>
          <w:rFonts w:hint="eastAsia"/>
          <w:highlight w:val="none"/>
        </w:rPr>
        <w:t>4.</w:t>
      </w:r>
      <w:r>
        <w:rPr>
          <w:highlight w:val="none"/>
        </w:rPr>
        <w:t>投标人的报价不仅应包括招标文件提供的技术条款标明的，还应包括任何未明确标出，但全套设备、系统安装后保证正常安全运行所不可缺少的配件及附件的全部费用，包含设备费、</w:t>
      </w:r>
      <w:r>
        <w:rPr>
          <w:rFonts w:hint="eastAsia"/>
          <w:highlight w:val="none"/>
        </w:rPr>
        <w:t>运输费、人工费、</w:t>
      </w:r>
      <w:r>
        <w:rPr>
          <w:highlight w:val="none"/>
        </w:rPr>
        <w:t>安装费、系统及调试费、检验费和质保期内的相关费用等，其中全部设备材料应说明名称、型号、数量、单价、总价、产地、厂商等。投标人按要求应列入而未列入设备材料清单的设备及材料，均认为已在其设备材料清单中包括。</w:t>
      </w:r>
    </w:p>
    <w:bookmarkEnd w:id="12"/>
    <w:bookmarkEnd w:id="13"/>
    <w:p w14:paraId="4717D4A6">
      <w:pPr>
        <w:spacing w:line="360" w:lineRule="auto"/>
        <w:ind w:left="0" w:leftChars="0" w:firstLine="480" w:firstLineChars="200"/>
        <w:jc w:val="left"/>
        <w:rPr>
          <w:rFonts w:hint="default" w:eastAsia="宋体"/>
          <w:b w:val="0"/>
          <w:bCs w:val="0"/>
          <w:highlight w:val="none"/>
          <w:lang w:val="en-US" w:eastAsia="zh-CN"/>
        </w:rPr>
      </w:pPr>
      <w:r>
        <w:rPr>
          <w:rFonts w:hint="eastAsia"/>
          <w:b w:val="0"/>
          <w:bCs w:val="0"/>
          <w:highlight w:val="none"/>
          <w:lang w:val="en-US" w:eastAsia="zh-CN"/>
        </w:rPr>
        <w:t>5.中标后，中标人和采购人再确定产品的具体颜色、数量、尺寸、排布等细节。</w:t>
      </w:r>
    </w:p>
    <w:p w14:paraId="49B78CDE">
      <w:pPr>
        <w:spacing w:line="360" w:lineRule="auto"/>
        <w:ind w:firstLine="0" w:firstLineChars="0"/>
        <w:jc w:val="left"/>
        <w:rPr>
          <w:highlight w:val="none"/>
        </w:rPr>
        <w:sectPr>
          <w:pgSz w:w="11906" w:h="16838"/>
          <w:pgMar w:top="1247" w:right="1134" w:bottom="1247" w:left="1134" w:header="170" w:footer="567" w:gutter="0"/>
          <w:cols w:space="720" w:num="1"/>
          <w:docGrid w:linePitch="381" w:charSpace="0"/>
        </w:sectPr>
      </w:pPr>
      <w:r>
        <w:rPr>
          <w:rFonts w:hint="eastAsia"/>
          <w:b/>
          <w:bCs/>
          <w:highlight w:val="none"/>
        </w:rPr>
        <w:t>三、各标项采购内容清单</w:t>
      </w:r>
    </w:p>
    <w:p w14:paraId="0156361B">
      <w:pPr>
        <w:ind w:firstLine="0" w:firstLineChars="0"/>
        <w:rPr>
          <w:rFonts w:ascii="宋体" w:hAnsi="宋体" w:eastAsia="宋体" w:cs="Times New Roman"/>
          <w:b/>
          <w:bCs/>
          <w:highlight w:val="none"/>
        </w:rPr>
      </w:pPr>
      <w:r>
        <w:rPr>
          <w:rFonts w:hint="eastAsia" w:ascii="宋体" w:hAnsi="宋体" w:eastAsia="宋体" w:cs="Times New Roman"/>
          <w:b/>
          <w:bCs/>
          <w:highlight w:val="none"/>
        </w:rPr>
        <w:t>标项一：图书馆书架（预算金额：2365410元）</w:t>
      </w:r>
    </w:p>
    <w:tbl>
      <w:tblPr>
        <w:tblStyle w:val="44"/>
        <w:tblW w:w="10514" w:type="dxa"/>
        <w:tblInd w:w="-235" w:type="dxa"/>
        <w:tblLayout w:type="fixed"/>
        <w:tblCellMar>
          <w:top w:w="0" w:type="dxa"/>
          <w:left w:w="108" w:type="dxa"/>
          <w:bottom w:w="0" w:type="dxa"/>
          <w:right w:w="108" w:type="dxa"/>
        </w:tblCellMar>
      </w:tblPr>
      <w:tblGrid>
        <w:gridCol w:w="696"/>
        <w:gridCol w:w="1601"/>
        <w:gridCol w:w="2258"/>
        <w:gridCol w:w="761"/>
        <w:gridCol w:w="780"/>
        <w:gridCol w:w="3136"/>
        <w:gridCol w:w="1282"/>
      </w:tblGrid>
      <w:tr w14:paraId="110F358D">
        <w:tblPrEx>
          <w:tblCellMar>
            <w:top w:w="0" w:type="dxa"/>
            <w:left w:w="108" w:type="dxa"/>
            <w:bottom w:w="0" w:type="dxa"/>
            <w:right w:w="108" w:type="dxa"/>
          </w:tblCellMar>
        </w:tblPrEx>
        <w:trPr>
          <w:trHeight w:val="280"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F09E989">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1601" w:type="dxa"/>
            <w:tcBorders>
              <w:top w:val="single" w:color="auto" w:sz="4" w:space="0"/>
              <w:left w:val="nil"/>
              <w:bottom w:val="single" w:color="auto" w:sz="4" w:space="0"/>
              <w:right w:val="single" w:color="auto" w:sz="4" w:space="0"/>
            </w:tcBorders>
            <w:shd w:val="clear" w:color="auto" w:fill="auto"/>
            <w:vAlign w:val="center"/>
          </w:tcPr>
          <w:p w14:paraId="6B29DC7D">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名称</w:t>
            </w:r>
          </w:p>
        </w:tc>
        <w:tc>
          <w:tcPr>
            <w:tcW w:w="2258" w:type="dxa"/>
            <w:tcBorders>
              <w:top w:val="single" w:color="auto" w:sz="4" w:space="0"/>
              <w:left w:val="nil"/>
              <w:bottom w:val="single" w:color="auto" w:sz="4" w:space="0"/>
              <w:right w:val="single" w:color="auto" w:sz="4" w:space="0"/>
            </w:tcBorders>
            <w:shd w:val="clear" w:color="auto" w:fill="auto"/>
            <w:vAlign w:val="center"/>
          </w:tcPr>
          <w:p w14:paraId="5A2BD71A">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参考图片</w:t>
            </w:r>
          </w:p>
        </w:tc>
        <w:tc>
          <w:tcPr>
            <w:tcW w:w="761" w:type="dxa"/>
            <w:tcBorders>
              <w:top w:val="single" w:color="auto" w:sz="4" w:space="0"/>
              <w:left w:val="nil"/>
              <w:bottom w:val="single" w:color="auto" w:sz="4" w:space="0"/>
              <w:right w:val="single" w:color="auto" w:sz="4" w:space="0"/>
            </w:tcBorders>
            <w:shd w:val="clear" w:color="auto" w:fill="auto"/>
            <w:vAlign w:val="center"/>
          </w:tcPr>
          <w:p w14:paraId="0611D6B5">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数量</w:t>
            </w:r>
          </w:p>
        </w:tc>
        <w:tc>
          <w:tcPr>
            <w:tcW w:w="780" w:type="dxa"/>
            <w:tcBorders>
              <w:top w:val="single" w:color="auto" w:sz="4" w:space="0"/>
              <w:left w:val="nil"/>
              <w:bottom w:val="single" w:color="auto" w:sz="4" w:space="0"/>
              <w:right w:val="single" w:color="auto" w:sz="4" w:space="0"/>
            </w:tcBorders>
            <w:shd w:val="clear" w:color="auto" w:fill="auto"/>
            <w:vAlign w:val="center"/>
          </w:tcPr>
          <w:p w14:paraId="1B36A1C0">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单位</w:t>
            </w:r>
          </w:p>
        </w:tc>
        <w:tc>
          <w:tcPr>
            <w:tcW w:w="3136" w:type="dxa"/>
            <w:tcBorders>
              <w:top w:val="single" w:color="auto" w:sz="4" w:space="0"/>
              <w:left w:val="nil"/>
              <w:bottom w:val="single" w:color="auto" w:sz="4" w:space="0"/>
              <w:right w:val="single" w:color="auto" w:sz="4" w:space="0"/>
            </w:tcBorders>
            <w:shd w:val="clear" w:color="auto" w:fill="auto"/>
            <w:vAlign w:val="center"/>
          </w:tcPr>
          <w:p w14:paraId="7367990E">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参考规格</w:t>
            </w:r>
          </w:p>
        </w:tc>
        <w:tc>
          <w:tcPr>
            <w:tcW w:w="1282" w:type="dxa"/>
            <w:tcBorders>
              <w:top w:val="single" w:color="auto" w:sz="4" w:space="0"/>
              <w:left w:val="nil"/>
              <w:bottom w:val="single" w:color="auto" w:sz="4" w:space="0"/>
              <w:right w:val="single" w:color="auto" w:sz="4" w:space="0"/>
            </w:tcBorders>
            <w:shd w:val="clear" w:color="auto" w:fill="auto"/>
            <w:vAlign w:val="center"/>
          </w:tcPr>
          <w:p w14:paraId="653602F4">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备注</w:t>
            </w:r>
          </w:p>
        </w:tc>
      </w:tr>
      <w:tr w14:paraId="64C13910">
        <w:tblPrEx>
          <w:tblCellMar>
            <w:top w:w="0" w:type="dxa"/>
            <w:left w:w="108" w:type="dxa"/>
            <w:bottom w:w="0" w:type="dxa"/>
            <w:right w:w="108" w:type="dxa"/>
          </w:tblCellMar>
        </w:tblPrEx>
        <w:trPr>
          <w:trHeight w:val="2149"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5F04CA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1601" w:type="dxa"/>
            <w:tcBorders>
              <w:top w:val="nil"/>
              <w:left w:val="nil"/>
              <w:bottom w:val="single" w:color="auto" w:sz="4" w:space="0"/>
              <w:right w:val="single" w:color="auto" w:sz="4" w:space="0"/>
            </w:tcBorders>
            <w:shd w:val="clear" w:color="auto" w:fill="auto"/>
            <w:vAlign w:val="center"/>
          </w:tcPr>
          <w:p w14:paraId="787216B7">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手动带灯文书档案密集架</w:t>
            </w:r>
          </w:p>
          <w:p w14:paraId="3DF8898E">
            <w:pPr>
              <w:pStyle w:val="2"/>
              <w:jc w:val="center"/>
              <w:rPr>
                <w:rFonts w:hint="default" w:eastAsia="宋体"/>
                <w:highlight w:val="none"/>
                <w:lang w:val="en-US" w:eastAsia="zh-CN"/>
              </w:rPr>
            </w:pPr>
            <w:r>
              <w:rPr>
                <w:rFonts w:hint="eastAsia" w:ascii="宋体" w:hAnsi="宋体" w:eastAsia="宋体" w:cs="宋体"/>
                <w:color w:val="000000"/>
                <w:kern w:val="0"/>
                <w:sz w:val="21"/>
                <w:szCs w:val="21"/>
                <w:highlight w:val="none"/>
                <w:lang w:val="en-US" w:eastAsia="zh-CN"/>
              </w:rPr>
              <w:t>(核心产品)</w:t>
            </w:r>
          </w:p>
        </w:tc>
        <w:tc>
          <w:tcPr>
            <w:tcW w:w="2258" w:type="dxa"/>
            <w:tcBorders>
              <w:top w:val="nil"/>
              <w:left w:val="nil"/>
              <w:bottom w:val="single" w:color="auto" w:sz="4" w:space="0"/>
              <w:right w:val="single" w:color="auto" w:sz="4" w:space="0"/>
            </w:tcBorders>
            <w:shd w:val="clear" w:color="auto" w:fill="auto"/>
            <w:vAlign w:val="center"/>
          </w:tcPr>
          <w:p w14:paraId="174DF9F4">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80768" behindDoc="0" locked="0" layoutInCell="1" allowOverlap="1">
                  <wp:simplePos x="0" y="0"/>
                  <wp:positionH relativeFrom="column">
                    <wp:posOffset>45720</wp:posOffset>
                  </wp:positionH>
                  <wp:positionV relativeFrom="paragraph">
                    <wp:posOffset>99060</wp:posOffset>
                  </wp:positionV>
                  <wp:extent cx="1294130" cy="955040"/>
                  <wp:effectExtent l="0" t="0" r="1270" b="10160"/>
                  <wp:wrapNone/>
                  <wp:docPr id="6" name="图片 11" descr="E:/Desktop/2025/1月/线框图/手动密集架_摄像机_2_a.png手动密集架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E:/Desktop/2025/1月/线框图/手动密集架_摄像机_2_a.png手动密集架_摄像机_2_a"/>
                          <pic:cNvPicPr>
                            <a:picLocks noChangeAspect="1"/>
                          </pic:cNvPicPr>
                        </pic:nvPicPr>
                        <pic:blipFill>
                          <a:blip r:embed="rId23"/>
                          <a:srcRect l="3199" r="20585"/>
                          <a:stretch>
                            <a:fillRect/>
                          </a:stretch>
                        </pic:blipFill>
                        <pic:spPr>
                          <a:xfrm>
                            <a:off x="0" y="0"/>
                            <a:ext cx="1294130" cy="95504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7EA0E8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851</w:t>
            </w:r>
          </w:p>
        </w:tc>
        <w:tc>
          <w:tcPr>
            <w:tcW w:w="780" w:type="dxa"/>
            <w:tcBorders>
              <w:top w:val="nil"/>
              <w:left w:val="nil"/>
              <w:bottom w:val="single" w:color="auto" w:sz="4" w:space="0"/>
              <w:right w:val="single" w:color="auto" w:sz="4" w:space="0"/>
            </w:tcBorders>
            <w:shd w:val="clear" w:color="auto" w:fill="auto"/>
            <w:vAlign w:val="center"/>
          </w:tcPr>
          <w:p w14:paraId="2ED306E0">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6F5CB9FA">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1、规格:W950*D580*H2500mm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2、款式:六层双柱式,双面存放</w:t>
            </w:r>
          </w:p>
        </w:tc>
        <w:tc>
          <w:tcPr>
            <w:tcW w:w="1282" w:type="dxa"/>
            <w:tcBorders>
              <w:top w:val="nil"/>
              <w:left w:val="nil"/>
              <w:bottom w:val="single" w:color="auto" w:sz="4" w:space="0"/>
              <w:right w:val="single" w:color="auto" w:sz="4" w:space="0"/>
            </w:tcBorders>
            <w:shd w:val="clear" w:color="auto" w:fill="auto"/>
            <w:vAlign w:val="center"/>
          </w:tcPr>
          <w:p w14:paraId="57097E20">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一层图书馆</w:t>
            </w:r>
          </w:p>
        </w:tc>
      </w:tr>
      <w:tr w14:paraId="61910D5A">
        <w:tblPrEx>
          <w:tblCellMar>
            <w:top w:w="0" w:type="dxa"/>
            <w:left w:w="108" w:type="dxa"/>
            <w:bottom w:w="0" w:type="dxa"/>
            <w:right w:w="108" w:type="dxa"/>
          </w:tblCellMar>
        </w:tblPrEx>
        <w:trPr>
          <w:trHeight w:val="2064"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E3B797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w:t>
            </w:r>
          </w:p>
        </w:tc>
        <w:tc>
          <w:tcPr>
            <w:tcW w:w="1601" w:type="dxa"/>
            <w:tcBorders>
              <w:top w:val="nil"/>
              <w:left w:val="nil"/>
              <w:bottom w:val="single" w:color="auto" w:sz="4" w:space="0"/>
              <w:right w:val="single" w:color="auto" w:sz="4" w:space="0"/>
            </w:tcBorders>
            <w:shd w:val="clear" w:color="auto" w:fill="auto"/>
            <w:vAlign w:val="center"/>
          </w:tcPr>
          <w:p w14:paraId="17FB7073">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手动带灯文书档案密集架</w:t>
            </w:r>
          </w:p>
          <w:p w14:paraId="4272E18D">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核心产品</w:t>
            </w:r>
            <w:r>
              <w:rPr>
                <w:rFonts w:hint="eastAsia" w:ascii="宋体" w:hAnsi="宋体" w:eastAsia="宋体" w:cs="宋体"/>
                <w:color w:val="000000"/>
                <w:kern w:val="0"/>
                <w:sz w:val="21"/>
                <w:szCs w:val="21"/>
                <w:highlight w:val="none"/>
                <w:lang w:eastAsia="zh-CN"/>
              </w:rPr>
              <w:t>）</w:t>
            </w:r>
          </w:p>
        </w:tc>
        <w:tc>
          <w:tcPr>
            <w:tcW w:w="2258" w:type="dxa"/>
            <w:tcBorders>
              <w:top w:val="nil"/>
              <w:left w:val="nil"/>
              <w:bottom w:val="single" w:color="auto" w:sz="4" w:space="0"/>
              <w:right w:val="single" w:color="auto" w:sz="4" w:space="0"/>
            </w:tcBorders>
            <w:shd w:val="clear" w:color="auto" w:fill="auto"/>
            <w:vAlign w:val="center"/>
          </w:tcPr>
          <w:p w14:paraId="3B50E854">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81792" behindDoc="0" locked="0" layoutInCell="1" allowOverlap="1">
                  <wp:simplePos x="0" y="0"/>
                  <wp:positionH relativeFrom="column">
                    <wp:posOffset>0</wp:posOffset>
                  </wp:positionH>
                  <wp:positionV relativeFrom="paragraph">
                    <wp:posOffset>-274320</wp:posOffset>
                  </wp:positionV>
                  <wp:extent cx="1294130" cy="955040"/>
                  <wp:effectExtent l="0" t="0" r="1270" b="10160"/>
                  <wp:wrapNone/>
                  <wp:docPr id="17" name="图片 11" descr="E:/Desktop/2025/1月/线框图/手动密集架_摄像机_2_a.png手动密集架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E:/Desktop/2025/1月/线框图/手动密集架_摄像机_2_a.png手动密集架_摄像机_2_a"/>
                          <pic:cNvPicPr>
                            <a:picLocks noChangeAspect="1"/>
                          </pic:cNvPicPr>
                        </pic:nvPicPr>
                        <pic:blipFill>
                          <a:blip r:embed="rId23"/>
                          <a:srcRect l="3199" r="20585"/>
                          <a:stretch>
                            <a:fillRect/>
                          </a:stretch>
                        </pic:blipFill>
                        <pic:spPr>
                          <a:xfrm>
                            <a:off x="0" y="0"/>
                            <a:ext cx="1294130" cy="95504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1ACFAC7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641</w:t>
            </w:r>
          </w:p>
        </w:tc>
        <w:tc>
          <w:tcPr>
            <w:tcW w:w="780" w:type="dxa"/>
            <w:tcBorders>
              <w:top w:val="nil"/>
              <w:left w:val="nil"/>
              <w:bottom w:val="single" w:color="auto" w:sz="4" w:space="0"/>
              <w:right w:val="single" w:color="auto" w:sz="4" w:space="0"/>
            </w:tcBorders>
            <w:shd w:val="clear" w:color="auto" w:fill="auto"/>
            <w:vAlign w:val="center"/>
          </w:tcPr>
          <w:p w14:paraId="444ACE85">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3B9FEFE1">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1、规格:W950*D580*H2500mm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2、款式:六层双柱式,双面存放</w:t>
            </w:r>
          </w:p>
        </w:tc>
        <w:tc>
          <w:tcPr>
            <w:tcW w:w="1282" w:type="dxa"/>
            <w:tcBorders>
              <w:top w:val="nil"/>
              <w:left w:val="nil"/>
              <w:bottom w:val="single" w:color="auto" w:sz="4" w:space="0"/>
              <w:right w:val="single" w:color="auto" w:sz="4" w:space="0"/>
            </w:tcBorders>
            <w:shd w:val="clear" w:color="auto" w:fill="auto"/>
            <w:vAlign w:val="center"/>
          </w:tcPr>
          <w:p w14:paraId="36B763C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一层档案馆</w:t>
            </w:r>
          </w:p>
        </w:tc>
      </w:tr>
      <w:tr w14:paraId="26B02696">
        <w:tblPrEx>
          <w:tblCellMar>
            <w:top w:w="0" w:type="dxa"/>
            <w:left w:w="108" w:type="dxa"/>
            <w:bottom w:w="0" w:type="dxa"/>
            <w:right w:w="108" w:type="dxa"/>
          </w:tblCellMar>
        </w:tblPrEx>
        <w:trPr>
          <w:trHeight w:val="2355"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3F1EFC7">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w:t>
            </w:r>
          </w:p>
        </w:tc>
        <w:tc>
          <w:tcPr>
            <w:tcW w:w="1601" w:type="dxa"/>
            <w:tcBorders>
              <w:top w:val="nil"/>
              <w:left w:val="nil"/>
              <w:bottom w:val="single" w:color="auto" w:sz="4" w:space="0"/>
              <w:right w:val="single" w:color="auto" w:sz="4" w:space="0"/>
            </w:tcBorders>
            <w:shd w:val="clear" w:color="auto" w:fill="auto"/>
            <w:vAlign w:val="center"/>
          </w:tcPr>
          <w:p w14:paraId="34E0154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手动带灯防磁密集架</w:t>
            </w:r>
          </w:p>
        </w:tc>
        <w:tc>
          <w:tcPr>
            <w:tcW w:w="2258" w:type="dxa"/>
            <w:tcBorders>
              <w:top w:val="nil"/>
              <w:left w:val="nil"/>
              <w:bottom w:val="single" w:color="auto" w:sz="4" w:space="0"/>
              <w:right w:val="single" w:color="auto" w:sz="4" w:space="0"/>
            </w:tcBorders>
            <w:shd w:val="clear" w:color="auto" w:fill="auto"/>
            <w:vAlign w:val="center"/>
          </w:tcPr>
          <w:p w14:paraId="24F4ADC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4384" behindDoc="0" locked="0" layoutInCell="1" allowOverlap="1">
                  <wp:simplePos x="0" y="0"/>
                  <wp:positionH relativeFrom="column">
                    <wp:posOffset>32385</wp:posOffset>
                  </wp:positionH>
                  <wp:positionV relativeFrom="paragraph">
                    <wp:posOffset>31750</wp:posOffset>
                  </wp:positionV>
                  <wp:extent cx="1249680" cy="1348105"/>
                  <wp:effectExtent l="0" t="0" r="7620" b="4445"/>
                  <wp:wrapNone/>
                  <wp:docPr id="8" name="图片 3" descr="防磁柜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防磁柜_摄像机_2_a"/>
                          <pic:cNvPicPr>
                            <a:picLocks noChangeAspect="1"/>
                          </pic:cNvPicPr>
                        </pic:nvPicPr>
                        <pic:blipFill>
                          <a:blip r:embed="rId24"/>
                          <a:stretch>
                            <a:fillRect/>
                          </a:stretch>
                        </pic:blipFill>
                        <pic:spPr>
                          <a:xfrm>
                            <a:off x="0" y="0"/>
                            <a:ext cx="1249680" cy="134810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2892B63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14</w:t>
            </w:r>
          </w:p>
        </w:tc>
        <w:tc>
          <w:tcPr>
            <w:tcW w:w="780" w:type="dxa"/>
            <w:tcBorders>
              <w:top w:val="nil"/>
              <w:left w:val="nil"/>
              <w:bottom w:val="single" w:color="auto" w:sz="4" w:space="0"/>
              <w:right w:val="single" w:color="auto" w:sz="4" w:space="0"/>
            </w:tcBorders>
            <w:shd w:val="clear" w:color="auto" w:fill="auto"/>
            <w:vAlign w:val="center"/>
          </w:tcPr>
          <w:p w14:paraId="26899A0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5628F0FF">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1、规格:不低于W678mm（实地安装应满足场地铺满的要求）*D600mm*H2500mm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2、款式:每节架体上面设置 2 层搁板，用于存放文书；下层存放W570*D520*H1700mm防磁柜</w:t>
            </w: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900FF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一层档案馆</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特种载体</w:t>
            </w:r>
          </w:p>
          <w:p w14:paraId="009BB2BB">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手动密集架</w:t>
            </w:r>
          </w:p>
        </w:tc>
      </w:tr>
      <w:tr w14:paraId="7D556015">
        <w:tblPrEx>
          <w:tblCellMar>
            <w:top w:w="0" w:type="dxa"/>
            <w:left w:w="108" w:type="dxa"/>
            <w:bottom w:w="0" w:type="dxa"/>
            <w:right w:w="108" w:type="dxa"/>
          </w:tblCellMar>
        </w:tblPrEx>
        <w:trPr>
          <w:trHeight w:val="2062"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19EC706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w:t>
            </w:r>
          </w:p>
        </w:tc>
        <w:tc>
          <w:tcPr>
            <w:tcW w:w="1601" w:type="dxa"/>
            <w:tcBorders>
              <w:top w:val="nil"/>
              <w:left w:val="nil"/>
              <w:bottom w:val="single" w:color="auto" w:sz="4" w:space="0"/>
              <w:right w:val="single" w:color="auto" w:sz="4" w:space="0"/>
            </w:tcBorders>
            <w:shd w:val="clear" w:color="auto" w:fill="auto"/>
            <w:vAlign w:val="center"/>
          </w:tcPr>
          <w:p w14:paraId="74A2307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手动带灯挂画密集架</w:t>
            </w:r>
          </w:p>
        </w:tc>
        <w:tc>
          <w:tcPr>
            <w:tcW w:w="2258" w:type="dxa"/>
            <w:tcBorders>
              <w:top w:val="nil"/>
              <w:left w:val="nil"/>
              <w:bottom w:val="single" w:color="auto" w:sz="4" w:space="0"/>
              <w:right w:val="single" w:color="auto" w:sz="4" w:space="0"/>
            </w:tcBorders>
            <w:shd w:val="clear" w:color="auto" w:fill="auto"/>
            <w:vAlign w:val="center"/>
          </w:tcPr>
          <w:p w14:paraId="6495B150">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5408" behindDoc="0" locked="0" layoutInCell="1" allowOverlap="1">
                  <wp:simplePos x="0" y="0"/>
                  <wp:positionH relativeFrom="column">
                    <wp:posOffset>33655</wp:posOffset>
                  </wp:positionH>
                  <wp:positionV relativeFrom="paragraph">
                    <wp:posOffset>12700</wp:posOffset>
                  </wp:positionV>
                  <wp:extent cx="1223010" cy="1186815"/>
                  <wp:effectExtent l="0" t="0" r="15240" b="13335"/>
                  <wp:wrapNone/>
                  <wp:docPr id="9" name="图片 4" descr="挂画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挂画_摄像机_2_a"/>
                          <pic:cNvPicPr>
                            <a:picLocks noChangeAspect="1"/>
                          </pic:cNvPicPr>
                        </pic:nvPicPr>
                        <pic:blipFill>
                          <a:blip r:embed="rId25"/>
                          <a:stretch>
                            <a:fillRect/>
                          </a:stretch>
                        </pic:blipFill>
                        <pic:spPr>
                          <a:xfrm>
                            <a:off x="0" y="0"/>
                            <a:ext cx="1223010" cy="118681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0A3D9AF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14</w:t>
            </w:r>
          </w:p>
        </w:tc>
        <w:tc>
          <w:tcPr>
            <w:tcW w:w="780" w:type="dxa"/>
            <w:tcBorders>
              <w:top w:val="nil"/>
              <w:left w:val="nil"/>
              <w:bottom w:val="single" w:color="auto" w:sz="4" w:space="0"/>
              <w:right w:val="single" w:color="auto" w:sz="4" w:space="0"/>
            </w:tcBorders>
            <w:shd w:val="clear" w:color="auto" w:fill="auto"/>
            <w:vAlign w:val="center"/>
          </w:tcPr>
          <w:p w14:paraId="434BEBC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1DD4827B">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1、规格:W950*D580*H2500mm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2、款式:中间钢制挂网用于存储挂画</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4BE51BE6">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5C8C8FC4">
        <w:tblPrEx>
          <w:tblCellMar>
            <w:top w:w="0" w:type="dxa"/>
            <w:left w:w="108" w:type="dxa"/>
            <w:bottom w:w="0" w:type="dxa"/>
            <w:right w:w="108" w:type="dxa"/>
          </w:tblCellMar>
        </w:tblPrEx>
        <w:trPr>
          <w:trHeight w:val="212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2F05EB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5</w:t>
            </w:r>
          </w:p>
        </w:tc>
        <w:tc>
          <w:tcPr>
            <w:tcW w:w="1601" w:type="dxa"/>
            <w:tcBorders>
              <w:top w:val="nil"/>
              <w:left w:val="nil"/>
              <w:bottom w:val="single" w:color="auto" w:sz="4" w:space="0"/>
              <w:right w:val="single" w:color="auto" w:sz="4" w:space="0"/>
            </w:tcBorders>
            <w:shd w:val="clear" w:color="auto" w:fill="auto"/>
            <w:vAlign w:val="center"/>
          </w:tcPr>
          <w:p w14:paraId="629510F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手动带灯装备密集架</w:t>
            </w:r>
          </w:p>
        </w:tc>
        <w:tc>
          <w:tcPr>
            <w:tcW w:w="2258" w:type="dxa"/>
            <w:tcBorders>
              <w:top w:val="nil"/>
              <w:left w:val="nil"/>
              <w:bottom w:val="single" w:color="auto" w:sz="4" w:space="0"/>
              <w:right w:val="single" w:color="auto" w:sz="4" w:space="0"/>
            </w:tcBorders>
            <w:shd w:val="clear" w:color="auto" w:fill="auto"/>
            <w:vAlign w:val="center"/>
          </w:tcPr>
          <w:p w14:paraId="55934F88">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6432" behindDoc="0" locked="0" layoutInCell="1" allowOverlap="1">
                  <wp:simplePos x="0" y="0"/>
                  <wp:positionH relativeFrom="column">
                    <wp:posOffset>30480</wp:posOffset>
                  </wp:positionH>
                  <wp:positionV relativeFrom="paragraph">
                    <wp:posOffset>69850</wp:posOffset>
                  </wp:positionV>
                  <wp:extent cx="1218565" cy="1096645"/>
                  <wp:effectExtent l="0" t="0" r="635" b="8255"/>
                  <wp:wrapNone/>
                  <wp:docPr id="10" name="图片 5" descr="战备柜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战备柜_摄像机_2_a"/>
                          <pic:cNvPicPr>
                            <a:picLocks noChangeAspect="1"/>
                          </pic:cNvPicPr>
                        </pic:nvPicPr>
                        <pic:blipFill>
                          <a:blip r:embed="rId26"/>
                          <a:stretch>
                            <a:fillRect/>
                          </a:stretch>
                        </pic:blipFill>
                        <pic:spPr>
                          <a:xfrm>
                            <a:off x="0" y="0"/>
                            <a:ext cx="1218565" cy="109664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A5DF80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w:t>
            </w:r>
          </w:p>
        </w:tc>
        <w:tc>
          <w:tcPr>
            <w:tcW w:w="780" w:type="dxa"/>
            <w:tcBorders>
              <w:top w:val="nil"/>
              <w:left w:val="nil"/>
              <w:bottom w:val="single" w:color="auto" w:sz="4" w:space="0"/>
              <w:right w:val="single" w:color="auto" w:sz="4" w:space="0"/>
            </w:tcBorders>
            <w:shd w:val="clear" w:color="auto" w:fill="auto"/>
            <w:vAlign w:val="center"/>
          </w:tcPr>
          <w:p w14:paraId="65152DB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5688203E">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1、规格：W950*D580*H2500mm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2、款式：每层配备独立柜体</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48DAF753">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4FFDBE46">
        <w:tblPrEx>
          <w:tblCellMar>
            <w:top w:w="0" w:type="dxa"/>
            <w:left w:w="108" w:type="dxa"/>
            <w:bottom w:w="0" w:type="dxa"/>
            <w:right w:w="108" w:type="dxa"/>
          </w:tblCellMar>
        </w:tblPrEx>
        <w:trPr>
          <w:trHeight w:val="2160"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5F4999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p>
        </w:tc>
        <w:tc>
          <w:tcPr>
            <w:tcW w:w="1601" w:type="dxa"/>
            <w:tcBorders>
              <w:top w:val="single" w:color="auto" w:sz="4" w:space="0"/>
              <w:left w:val="single" w:color="auto" w:sz="4" w:space="0"/>
              <w:bottom w:val="single" w:color="auto" w:sz="4" w:space="0"/>
              <w:right w:val="single" w:color="auto" w:sz="4" w:space="0"/>
            </w:tcBorders>
            <w:shd w:val="clear" w:color="auto" w:fill="auto"/>
            <w:vAlign w:val="center"/>
          </w:tcPr>
          <w:p w14:paraId="3C53DDD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手动带灯实物密集架</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14:paraId="2216F3AE">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7456" behindDoc="0" locked="0" layoutInCell="1" allowOverlap="1">
                  <wp:simplePos x="0" y="0"/>
                  <wp:positionH relativeFrom="column">
                    <wp:posOffset>24765</wp:posOffset>
                  </wp:positionH>
                  <wp:positionV relativeFrom="paragraph">
                    <wp:posOffset>19050</wp:posOffset>
                  </wp:positionV>
                  <wp:extent cx="1224280" cy="1173480"/>
                  <wp:effectExtent l="0" t="0" r="13970" b="7620"/>
                  <wp:wrapNone/>
                  <wp:docPr id="11" name="图片 6" descr="实物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实物_摄像机_2_a"/>
                          <pic:cNvPicPr>
                            <a:picLocks noChangeAspect="1"/>
                          </pic:cNvPicPr>
                        </pic:nvPicPr>
                        <pic:blipFill>
                          <a:blip r:embed="rId27"/>
                          <a:stretch>
                            <a:fillRect/>
                          </a:stretch>
                        </pic:blipFill>
                        <pic:spPr>
                          <a:xfrm>
                            <a:off x="0" y="0"/>
                            <a:ext cx="1224280" cy="1173480"/>
                          </a:xfrm>
                          <a:prstGeom prst="rect">
                            <a:avLst/>
                          </a:prstGeom>
                          <a:noFill/>
                          <a:ln>
                            <a:noFill/>
                          </a:ln>
                        </pic:spPr>
                      </pic:pic>
                    </a:graphicData>
                  </a:graphic>
                </wp:anchor>
              </w:drawing>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14:paraId="70FEF70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443525F9">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2141E809">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1、规格：W950*D700*H2500mm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2、款式：每节 5 层</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1927B64E">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061522A4">
        <w:tblPrEx>
          <w:tblCellMar>
            <w:top w:w="0" w:type="dxa"/>
            <w:left w:w="108" w:type="dxa"/>
            <w:bottom w:w="0" w:type="dxa"/>
            <w:right w:w="108" w:type="dxa"/>
          </w:tblCellMar>
        </w:tblPrEx>
        <w:trPr>
          <w:trHeight w:val="1723"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7C4E92FD">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w:t>
            </w:r>
          </w:p>
        </w:tc>
        <w:tc>
          <w:tcPr>
            <w:tcW w:w="1601" w:type="dxa"/>
            <w:tcBorders>
              <w:top w:val="single" w:color="auto" w:sz="4" w:space="0"/>
              <w:left w:val="nil"/>
              <w:bottom w:val="single" w:color="auto" w:sz="4" w:space="0"/>
              <w:right w:val="single" w:color="auto" w:sz="4" w:space="0"/>
            </w:tcBorders>
            <w:shd w:val="clear" w:color="auto" w:fill="auto"/>
            <w:vAlign w:val="center"/>
          </w:tcPr>
          <w:p w14:paraId="210E17C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手动带灯锦旗印章密集架</w:t>
            </w:r>
          </w:p>
        </w:tc>
        <w:tc>
          <w:tcPr>
            <w:tcW w:w="2258" w:type="dxa"/>
            <w:tcBorders>
              <w:top w:val="single" w:color="auto" w:sz="4" w:space="0"/>
              <w:left w:val="nil"/>
              <w:bottom w:val="single" w:color="auto" w:sz="4" w:space="0"/>
              <w:right w:val="single" w:color="auto" w:sz="4" w:space="0"/>
            </w:tcBorders>
            <w:shd w:val="clear" w:color="auto" w:fill="auto"/>
            <w:vAlign w:val="center"/>
          </w:tcPr>
          <w:p w14:paraId="735B722C">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8480" behindDoc="0" locked="0" layoutInCell="1" allowOverlap="1">
                  <wp:simplePos x="0" y="0"/>
                  <wp:positionH relativeFrom="column">
                    <wp:posOffset>31115</wp:posOffset>
                  </wp:positionH>
                  <wp:positionV relativeFrom="paragraph">
                    <wp:posOffset>55880</wp:posOffset>
                  </wp:positionV>
                  <wp:extent cx="1226820" cy="904875"/>
                  <wp:effectExtent l="0" t="0" r="11430" b="9525"/>
                  <wp:wrapNone/>
                  <wp:docPr id="12" name="图片 7" descr="锦旗印章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锦旗印章_摄像机_2_a"/>
                          <pic:cNvPicPr>
                            <a:picLocks noChangeAspect="1"/>
                          </pic:cNvPicPr>
                        </pic:nvPicPr>
                        <pic:blipFill>
                          <a:blip r:embed="rId28"/>
                          <a:stretch>
                            <a:fillRect/>
                          </a:stretch>
                        </pic:blipFill>
                        <pic:spPr>
                          <a:xfrm>
                            <a:off x="0" y="0"/>
                            <a:ext cx="1226820" cy="904875"/>
                          </a:xfrm>
                          <a:prstGeom prst="rect">
                            <a:avLst/>
                          </a:prstGeom>
                          <a:noFill/>
                          <a:ln>
                            <a:noFill/>
                          </a:ln>
                        </pic:spPr>
                      </pic:pic>
                    </a:graphicData>
                  </a:graphic>
                </wp:anchor>
              </w:drawing>
            </w:r>
          </w:p>
        </w:tc>
        <w:tc>
          <w:tcPr>
            <w:tcW w:w="761" w:type="dxa"/>
            <w:tcBorders>
              <w:top w:val="single" w:color="auto" w:sz="4" w:space="0"/>
              <w:left w:val="nil"/>
              <w:bottom w:val="single" w:color="auto" w:sz="4" w:space="0"/>
              <w:right w:val="single" w:color="auto" w:sz="4" w:space="0"/>
            </w:tcBorders>
            <w:shd w:val="clear" w:color="auto" w:fill="auto"/>
            <w:vAlign w:val="center"/>
          </w:tcPr>
          <w:p w14:paraId="51A2FB8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9</w:t>
            </w:r>
          </w:p>
        </w:tc>
        <w:tc>
          <w:tcPr>
            <w:tcW w:w="780" w:type="dxa"/>
            <w:tcBorders>
              <w:top w:val="single" w:color="auto" w:sz="4" w:space="0"/>
              <w:left w:val="nil"/>
              <w:bottom w:val="single" w:color="auto" w:sz="4" w:space="0"/>
              <w:right w:val="single" w:color="auto" w:sz="4" w:space="0"/>
            </w:tcBorders>
            <w:shd w:val="clear" w:color="auto" w:fill="auto"/>
            <w:vAlign w:val="center"/>
          </w:tcPr>
          <w:p w14:paraId="4442DDF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single" w:color="auto" w:sz="4" w:space="0"/>
              <w:left w:val="nil"/>
              <w:bottom w:val="single" w:color="auto" w:sz="4" w:space="0"/>
              <w:right w:val="single" w:color="auto" w:sz="4" w:space="0"/>
            </w:tcBorders>
            <w:shd w:val="clear" w:color="auto" w:fill="auto"/>
            <w:vAlign w:val="center"/>
          </w:tcPr>
          <w:p w14:paraId="2EE44561">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1、规格：W950*D700*H2500mm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2、款式：上两层挂锦旗，下两层抽屉放印章， 抽屉内镶绒布</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2361DBAB">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0E9A6B43">
        <w:tblPrEx>
          <w:tblCellMar>
            <w:top w:w="0" w:type="dxa"/>
            <w:left w:w="108" w:type="dxa"/>
            <w:bottom w:w="0" w:type="dxa"/>
            <w:right w:w="108" w:type="dxa"/>
          </w:tblCellMar>
        </w:tblPrEx>
        <w:trPr>
          <w:trHeight w:val="186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57BA6CBB">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8</w:t>
            </w:r>
          </w:p>
        </w:tc>
        <w:tc>
          <w:tcPr>
            <w:tcW w:w="1601" w:type="dxa"/>
            <w:tcBorders>
              <w:top w:val="nil"/>
              <w:left w:val="nil"/>
              <w:bottom w:val="single" w:color="auto" w:sz="4" w:space="0"/>
              <w:right w:val="single" w:color="auto" w:sz="4" w:space="0"/>
            </w:tcBorders>
            <w:shd w:val="clear" w:color="auto" w:fill="auto"/>
            <w:vAlign w:val="center"/>
          </w:tcPr>
          <w:p w14:paraId="63144A3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手动带灯奖杯密集架</w:t>
            </w:r>
          </w:p>
        </w:tc>
        <w:tc>
          <w:tcPr>
            <w:tcW w:w="2258" w:type="dxa"/>
            <w:tcBorders>
              <w:top w:val="nil"/>
              <w:left w:val="nil"/>
              <w:bottom w:val="single" w:color="auto" w:sz="4" w:space="0"/>
              <w:right w:val="single" w:color="auto" w:sz="4" w:space="0"/>
            </w:tcBorders>
            <w:shd w:val="clear" w:color="auto" w:fill="auto"/>
            <w:vAlign w:val="center"/>
          </w:tcPr>
          <w:p w14:paraId="5596D6C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9504" behindDoc="0" locked="0" layoutInCell="1" allowOverlap="1">
                  <wp:simplePos x="0" y="0"/>
                  <wp:positionH relativeFrom="column">
                    <wp:posOffset>59690</wp:posOffset>
                  </wp:positionH>
                  <wp:positionV relativeFrom="paragraph">
                    <wp:posOffset>43180</wp:posOffset>
                  </wp:positionV>
                  <wp:extent cx="1183640" cy="953770"/>
                  <wp:effectExtent l="0" t="0" r="16510" b="17780"/>
                  <wp:wrapNone/>
                  <wp:docPr id="13" name="图片 8" descr="奖杯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奖杯_摄像机_2_a"/>
                          <pic:cNvPicPr>
                            <a:picLocks noChangeAspect="1"/>
                          </pic:cNvPicPr>
                        </pic:nvPicPr>
                        <pic:blipFill>
                          <a:blip r:embed="rId29"/>
                          <a:stretch>
                            <a:fillRect/>
                          </a:stretch>
                        </pic:blipFill>
                        <pic:spPr>
                          <a:xfrm>
                            <a:off x="0" y="0"/>
                            <a:ext cx="1183640" cy="95377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3F48437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17</w:t>
            </w:r>
          </w:p>
        </w:tc>
        <w:tc>
          <w:tcPr>
            <w:tcW w:w="780" w:type="dxa"/>
            <w:tcBorders>
              <w:top w:val="nil"/>
              <w:left w:val="nil"/>
              <w:bottom w:val="single" w:color="auto" w:sz="4" w:space="0"/>
              <w:right w:val="single" w:color="auto" w:sz="4" w:space="0"/>
            </w:tcBorders>
            <w:shd w:val="clear" w:color="auto" w:fill="auto"/>
            <w:vAlign w:val="center"/>
          </w:tcPr>
          <w:p w14:paraId="54BEEB0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0149DAC7">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1、规格：W950*D700*H2500mm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2、款式：每节 5 层，双面层板式，每层搁板铺设一层金色绒布，配有防掉档条</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30788223">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38169C8A">
        <w:tblPrEx>
          <w:tblCellMar>
            <w:top w:w="0" w:type="dxa"/>
            <w:left w:w="108" w:type="dxa"/>
            <w:bottom w:w="0" w:type="dxa"/>
            <w:right w:w="108" w:type="dxa"/>
          </w:tblCellMar>
        </w:tblPrEx>
        <w:trPr>
          <w:trHeight w:val="184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D7388D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9</w:t>
            </w:r>
          </w:p>
        </w:tc>
        <w:tc>
          <w:tcPr>
            <w:tcW w:w="1601" w:type="dxa"/>
            <w:tcBorders>
              <w:top w:val="nil"/>
              <w:left w:val="nil"/>
              <w:bottom w:val="single" w:color="auto" w:sz="4" w:space="0"/>
              <w:right w:val="single" w:color="auto" w:sz="4" w:space="0"/>
            </w:tcBorders>
            <w:shd w:val="clear" w:color="auto" w:fill="auto"/>
            <w:vAlign w:val="center"/>
          </w:tcPr>
          <w:p w14:paraId="7BF6195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手动带灯奖牌密集架</w:t>
            </w:r>
          </w:p>
        </w:tc>
        <w:tc>
          <w:tcPr>
            <w:tcW w:w="2258" w:type="dxa"/>
            <w:tcBorders>
              <w:top w:val="nil"/>
              <w:left w:val="nil"/>
              <w:bottom w:val="single" w:color="auto" w:sz="4" w:space="0"/>
              <w:right w:val="single" w:color="auto" w:sz="4" w:space="0"/>
            </w:tcBorders>
            <w:shd w:val="clear" w:color="auto" w:fill="auto"/>
            <w:vAlign w:val="center"/>
          </w:tcPr>
          <w:p w14:paraId="787ED8B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70528" behindDoc="0" locked="0" layoutInCell="1" allowOverlap="1">
                  <wp:simplePos x="0" y="0"/>
                  <wp:positionH relativeFrom="column">
                    <wp:posOffset>33020</wp:posOffset>
                  </wp:positionH>
                  <wp:positionV relativeFrom="paragraph">
                    <wp:posOffset>53975</wp:posOffset>
                  </wp:positionV>
                  <wp:extent cx="1232535" cy="953770"/>
                  <wp:effectExtent l="0" t="0" r="5715" b="17780"/>
                  <wp:wrapNone/>
                  <wp:docPr id="14" name="图片 9" descr="奖牌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奖牌_摄像机_2_a"/>
                          <pic:cNvPicPr>
                            <a:picLocks noChangeAspect="1"/>
                          </pic:cNvPicPr>
                        </pic:nvPicPr>
                        <pic:blipFill>
                          <a:blip r:embed="rId30"/>
                          <a:stretch>
                            <a:fillRect/>
                          </a:stretch>
                        </pic:blipFill>
                        <pic:spPr>
                          <a:xfrm>
                            <a:off x="0" y="0"/>
                            <a:ext cx="1232535" cy="95377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00DE0E3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17</w:t>
            </w:r>
          </w:p>
        </w:tc>
        <w:tc>
          <w:tcPr>
            <w:tcW w:w="780" w:type="dxa"/>
            <w:tcBorders>
              <w:top w:val="nil"/>
              <w:left w:val="nil"/>
              <w:bottom w:val="single" w:color="auto" w:sz="4" w:space="0"/>
              <w:right w:val="single" w:color="auto" w:sz="4" w:space="0"/>
            </w:tcBorders>
            <w:shd w:val="clear" w:color="auto" w:fill="auto"/>
            <w:vAlign w:val="center"/>
          </w:tcPr>
          <w:p w14:paraId="59E54D5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m³</w:t>
            </w:r>
          </w:p>
        </w:tc>
        <w:tc>
          <w:tcPr>
            <w:tcW w:w="3136" w:type="dxa"/>
            <w:tcBorders>
              <w:top w:val="nil"/>
              <w:left w:val="nil"/>
              <w:bottom w:val="single" w:color="auto" w:sz="4" w:space="0"/>
              <w:right w:val="single" w:color="auto" w:sz="4" w:space="0"/>
            </w:tcBorders>
            <w:shd w:val="clear" w:color="auto" w:fill="auto"/>
            <w:vAlign w:val="center"/>
          </w:tcPr>
          <w:p w14:paraId="4A6B48F3">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1、规格：W950*D700*H2500mm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2、款式：每节 5 层，每层约分 15 竖格</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3BC15FFF">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highlight w:val="none"/>
              </w:rPr>
            </w:pPr>
          </w:p>
        </w:tc>
      </w:tr>
      <w:tr w14:paraId="76A5D01A">
        <w:tblPrEx>
          <w:tblCellMar>
            <w:top w:w="0" w:type="dxa"/>
            <w:left w:w="108" w:type="dxa"/>
            <w:bottom w:w="0" w:type="dxa"/>
            <w:right w:w="108" w:type="dxa"/>
          </w:tblCellMar>
        </w:tblPrEx>
        <w:trPr>
          <w:trHeight w:val="2023"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75863D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10</w:t>
            </w:r>
          </w:p>
        </w:tc>
        <w:tc>
          <w:tcPr>
            <w:tcW w:w="1601" w:type="dxa"/>
            <w:tcBorders>
              <w:top w:val="nil"/>
              <w:left w:val="nil"/>
              <w:bottom w:val="single" w:color="auto" w:sz="4" w:space="0"/>
              <w:right w:val="single" w:color="auto" w:sz="4" w:space="0"/>
            </w:tcBorders>
            <w:shd w:val="clear" w:color="auto" w:fill="auto"/>
            <w:vAlign w:val="center"/>
          </w:tcPr>
          <w:p w14:paraId="630FF90E">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六层双面带灯钢木书架</w:t>
            </w:r>
          </w:p>
          <w:p w14:paraId="4944AE02">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核心产品</w:t>
            </w:r>
            <w:r>
              <w:rPr>
                <w:rFonts w:hint="eastAsia" w:ascii="宋体" w:hAnsi="宋体" w:eastAsia="宋体" w:cs="宋体"/>
                <w:color w:val="000000"/>
                <w:kern w:val="0"/>
                <w:sz w:val="21"/>
                <w:szCs w:val="21"/>
                <w:highlight w:val="none"/>
                <w:lang w:eastAsia="zh-CN"/>
              </w:rPr>
              <w:t>）</w:t>
            </w:r>
          </w:p>
        </w:tc>
        <w:tc>
          <w:tcPr>
            <w:tcW w:w="2258" w:type="dxa"/>
            <w:tcBorders>
              <w:top w:val="nil"/>
              <w:left w:val="nil"/>
              <w:bottom w:val="single" w:color="auto" w:sz="4" w:space="0"/>
              <w:right w:val="single" w:color="auto" w:sz="4" w:space="0"/>
            </w:tcBorders>
            <w:shd w:val="clear" w:color="auto" w:fill="auto"/>
            <w:vAlign w:val="center"/>
          </w:tcPr>
          <w:p w14:paraId="6733803E">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63360" behindDoc="0" locked="0" layoutInCell="1" allowOverlap="1">
                  <wp:simplePos x="0" y="0"/>
                  <wp:positionH relativeFrom="column">
                    <wp:posOffset>46990</wp:posOffset>
                  </wp:positionH>
                  <wp:positionV relativeFrom="paragraph">
                    <wp:posOffset>70485</wp:posOffset>
                  </wp:positionV>
                  <wp:extent cx="1214120" cy="1076325"/>
                  <wp:effectExtent l="0" t="0" r="5080" b="952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1"/>
                          <a:stretch>
                            <a:fillRect/>
                          </a:stretch>
                        </pic:blipFill>
                        <pic:spPr>
                          <a:xfrm>
                            <a:off x="0" y="0"/>
                            <a:ext cx="1214120" cy="107632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B69EFA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667</w:t>
            </w:r>
          </w:p>
        </w:tc>
        <w:tc>
          <w:tcPr>
            <w:tcW w:w="780" w:type="dxa"/>
            <w:tcBorders>
              <w:top w:val="nil"/>
              <w:left w:val="nil"/>
              <w:bottom w:val="single" w:color="auto" w:sz="4" w:space="0"/>
              <w:right w:val="single" w:color="auto" w:sz="4" w:space="0"/>
            </w:tcBorders>
            <w:shd w:val="clear" w:color="auto" w:fill="auto"/>
            <w:vAlign w:val="center"/>
          </w:tcPr>
          <w:p w14:paraId="183D8977">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节</w:t>
            </w:r>
          </w:p>
        </w:tc>
        <w:tc>
          <w:tcPr>
            <w:tcW w:w="3136" w:type="dxa"/>
            <w:tcBorders>
              <w:top w:val="nil"/>
              <w:left w:val="nil"/>
              <w:bottom w:val="single" w:color="auto" w:sz="4" w:space="0"/>
              <w:right w:val="single" w:color="auto" w:sz="4" w:space="0"/>
            </w:tcBorders>
            <w:shd w:val="clear" w:color="auto" w:fill="auto"/>
            <w:vAlign w:val="center"/>
          </w:tcPr>
          <w:p w14:paraId="4C7CF5B8">
            <w:pPr>
              <w:keepNext w:val="0"/>
              <w:keepLines w:val="0"/>
              <w:widowControl/>
              <w:numPr>
                <w:ilvl w:val="0"/>
                <w:numId w:val="5"/>
              </w:numPr>
              <w:suppressLineNumbers w:val="0"/>
              <w:spacing w:before="0" w:beforeAutospacing="0" w:after="0" w:afterAutospacing="0"/>
              <w:ind w:left="0" w:right="0" w:firstLine="0" w:firstLineChars="0"/>
              <w:jc w:val="left"/>
              <w:rPr>
                <w:rFonts w:hint="eastAsia" w:ascii="宋体" w:hAnsi="宋体" w:eastAsia="宋体" w:cs="宋体"/>
                <w:color w:val="000000"/>
                <w:kern w:val="0"/>
                <w:sz w:val="21"/>
                <w:szCs w:val="21"/>
                <w:highlight w:val="none"/>
              </w:rPr>
            </w:pPr>
            <w:r>
              <w:rPr>
                <w:rFonts w:hint="eastAsia" w:cs="宋体"/>
                <w:color w:val="000000"/>
                <w:kern w:val="0"/>
                <w:sz w:val="21"/>
                <w:szCs w:val="21"/>
                <w:highlight w:val="none"/>
                <w:lang w:val="en-US" w:eastAsia="zh-CN"/>
              </w:rPr>
              <w:t>主体</w:t>
            </w:r>
            <w:r>
              <w:rPr>
                <w:rFonts w:hint="eastAsia" w:ascii="宋体" w:hAnsi="宋体" w:eastAsia="宋体" w:cs="宋体"/>
                <w:color w:val="000000"/>
                <w:kern w:val="0"/>
                <w:sz w:val="21"/>
                <w:szCs w:val="21"/>
                <w:highlight w:val="none"/>
              </w:rPr>
              <w:t>规格:</w:t>
            </w:r>
          </w:p>
          <w:p w14:paraId="49AFEDEC">
            <w:pPr>
              <w:keepNext w:val="0"/>
              <w:keepLines w:val="0"/>
              <w:widowControl/>
              <w:numPr>
                <w:ilvl w:val="0"/>
                <w:numId w:val="0"/>
              </w:numPr>
              <w:suppressLineNumbers w:val="0"/>
              <w:spacing w:before="0" w:beforeAutospacing="0" w:after="0" w:afterAutospacing="0"/>
              <w:ind w:leftChars="0" w:right="0" w:right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W900*D500*H</w:t>
            </w:r>
            <w:r>
              <w:rPr>
                <w:rFonts w:hint="eastAsia" w:ascii="宋体" w:hAnsi="宋体" w:eastAsia="宋体" w:cs="宋体"/>
                <w:color w:val="000000"/>
                <w:kern w:val="0"/>
                <w:sz w:val="21"/>
                <w:szCs w:val="21"/>
                <w:highlight w:val="none"/>
                <w:lang w:val="en-US" w:eastAsia="zh-CN"/>
              </w:rPr>
              <w:t>2280</w:t>
            </w:r>
            <w:r>
              <w:rPr>
                <w:rFonts w:hint="eastAsia" w:ascii="宋体" w:hAnsi="宋体" w:eastAsia="宋体" w:cs="宋体"/>
                <w:color w:val="000000"/>
                <w:kern w:val="0"/>
                <w:sz w:val="21"/>
                <w:szCs w:val="21"/>
                <w:highlight w:val="none"/>
              </w:rPr>
              <w:t>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2、款式:六层双柱式,双面存放</w:t>
            </w:r>
          </w:p>
        </w:tc>
        <w:tc>
          <w:tcPr>
            <w:tcW w:w="1282" w:type="dxa"/>
            <w:tcBorders>
              <w:top w:val="single" w:color="auto" w:sz="4" w:space="0"/>
              <w:left w:val="nil"/>
              <w:bottom w:val="single" w:color="auto" w:sz="4" w:space="0"/>
              <w:right w:val="single" w:color="auto" w:sz="4" w:space="0"/>
            </w:tcBorders>
            <w:shd w:val="clear" w:color="auto" w:fill="auto"/>
            <w:vAlign w:val="center"/>
          </w:tcPr>
          <w:p w14:paraId="463417E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二层、三层、四层</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安装组列形式以实际安装需要为准，以下组列形式可供参考：1节成列的3组，2节成列的1组，3节成列的71组，4节成列的39组，5节成列的20组，6节成列的24组，7节成列的7组。</w:t>
            </w:r>
          </w:p>
        </w:tc>
      </w:tr>
      <w:tr w14:paraId="6B1BE97C">
        <w:tblPrEx>
          <w:tblCellMar>
            <w:top w:w="0" w:type="dxa"/>
            <w:left w:w="108" w:type="dxa"/>
            <w:bottom w:w="0" w:type="dxa"/>
            <w:right w:w="108" w:type="dxa"/>
          </w:tblCellMar>
        </w:tblPrEx>
        <w:trPr>
          <w:trHeight w:val="1925"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E1F15D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11</w:t>
            </w:r>
          </w:p>
        </w:tc>
        <w:tc>
          <w:tcPr>
            <w:tcW w:w="1601" w:type="dxa"/>
            <w:tcBorders>
              <w:top w:val="single" w:color="auto" w:sz="4" w:space="0"/>
              <w:left w:val="single" w:color="auto" w:sz="4" w:space="0"/>
              <w:bottom w:val="single" w:color="auto" w:sz="4" w:space="0"/>
              <w:right w:val="single" w:color="auto" w:sz="4" w:space="0"/>
            </w:tcBorders>
            <w:shd w:val="clear" w:color="auto" w:fill="auto"/>
            <w:vAlign w:val="center"/>
          </w:tcPr>
          <w:p w14:paraId="78A2EB9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四层双面钢木书架</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14:paraId="122F5B9D">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drawing>
                <wp:anchor distT="0" distB="0" distL="114300" distR="114300" simplePos="0" relativeHeight="251671552" behindDoc="0" locked="0" layoutInCell="1" allowOverlap="1">
                  <wp:simplePos x="0" y="0"/>
                  <wp:positionH relativeFrom="column">
                    <wp:posOffset>55245</wp:posOffset>
                  </wp:positionH>
                  <wp:positionV relativeFrom="paragraph">
                    <wp:posOffset>56515</wp:posOffset>
                  </wp:positionV>
                  <wp:extent cx="1181100" cy="995680"/>
                  <wp:effectExtent l="0" t="0" r="0" b="1397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2"/>
                          <a:stretch>
                            <a:fillRect/>
                          </a:stretch>
                        </pic:blipFill>
                        <pic:spPr>
                          <a:xfrm>
                            <a:off x="0" y="0"/>
                            <a:ext cx="1181100" cy="995680"/>
                          </a:xfrm>
                          <a:prstGeom prst="rect">
                            <a:avLst/>
                          </a:prstGeom>
                          <a:noFill/>
                          <a:ln>
                            <a:noFill/>
                          </a:ln>
                        </pic:spPr>
                      </pic:pic>
                    </a:graphicData>
                  </a:graphic>
                </wp:anchor>
              </w:drawing>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14:paraId="4B2AD8E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45</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2D2A542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节</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1B524CD7">
            <w:pPr>
              <w:keepNext w:val="0"/>
              <w:keepLines w:val="0"/>
              <w:widowControl/>
              <w:numPr>
                <w:ilvl w:val="0"/>
                <w:numId w:val="6"/>
              </w:numPr>
              <w:suppressLineNumbers w:val="0"/>
              <w:spacing w:before="0" w:beforeAutospacing="0" w:after="0" w:afterAutospacing="0"/>
              <w:ind w:left="0" w:right="0" w:firstLine="0" w:firstLineChars="0"/>
              <w:jc w:val="left"/>
              <w:rPr>
                <w:rFonts w:hint="eastAsia" w:ascii="宋体" w:hAnsi="宋体" w:eastAsia="宋体" w:cs="宋体"/>
                <w:color w:val="000000"/>
                <w:kern w:val="0"/>
                <w:sz w:val="21"/>
                <w:szCs w:val="21"/>
                <w:highlight w:val="none"/>
              </w:rPr>
            </w:pPr>
            <w:r>
              <w:rPr>
                <w:rFonts w:hint="eastAsia" w:cs="宋体"/>
                <w:color w:val="000000"/>
                <w:kern w:val="0"/>
                <w:sz w:val="21"/>
                <w:szCs w:val="21"/>
                <w:highlight w:val="none"/>
                <w:lang w:val="en-US" w:eastAsia="zh-CN"/>
              </w:rPr>
              <w:t>主体</w:t>
            </w:r>
            <w:r>
              <w:rPr>
                <w:rFonts w:hint="eastAsia" w:ascii="宋体" w:hAnsi="宋体" w:eastAsia="宋体" w:cs="宋体"/>
                <w:color w:val="000000"/>
                <w:kern w:val="0"/>
                <w:sz w:val="21"/>
                <w:szCs w:val="21"/>
                <w:highlight w:val="none"/>
              </w:rPr>
              <w:t>规格:</w:t>
            </w:r>
          </w:p>
          <w:p w14:paraId="6FEA4B62">
            <w:pPr>
              <w:keepNext w:val="0"/>
              <w:keepLines w:val="0"/>
              <w:widowControl/>
              <w:numPr>
                <w:ilvl w:val="0"/>
                <w:numId w:val="0"/>
              </w:numPr>
              <w:suppressLineNumbers w:val="0"/>
              <w:spacing w:before="0" w:beforeAutospacing="0" w:after="0" w:afterAutospacing="0"/>
              <w:ind w:leftChars="0" w:right="0" w:rightChars="0"/>
              <w:jc w:val="left"/>
              <w:rPr>
                <w:rFonts w:hint="default"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W900*D500*H15</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0mm</w:t>
            </w:r>
            <w:r>
              <w:rPr>
                <w:rFonts w:hint="eastAsia" w:ascii="宋体" w:hAnsi="宋体" w:eastAsia="宋体" w:cs="宋体"/>
                <w:color w:val="000000"/>
                <w:kern w:val="0"/>
                <w:sz w:val="21"/>
                <w:szCs w:val="21"/>
                <w:highlight w:val="none"/>
              </w:rPr>
              <w:br w:type="textWrapping"/>
            </w:r>
            <w:r>
              <w:rPr>
                <w:rFonts w:hint="eastAsia" w:ascii="宋体" w:hAnsi="宋体" w:eastAsia="宋体" w:cs="宋体"/>
                <w:color w:val="000000"/>
                <w:kern w:val="0"/>
                <w:sz w:val="21"/>
                <w:szCs w:val="21"/>
                <w:highlight w:val="none"/>
              </w:rPr>
              <w:t>2、款式:四层双柱式,双面存放</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14:paraId="145CB3A4">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二层、三层、四层</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安装组列形式以实际安装需要为准，以下组列形式可供参考：3节成列的5组，6节成列的5组</w:t>
            </w:r>
          </w:p>
        </w:tc>
      </w:tr>
    </w:tbl>
    <w:p w14:paraId="791D33E0">
      <w:pPr>
        <w:tabs>
          <w:tab w:val="left" w:pos="251"/>
        </w:tabs>
        <w:ind w:firstLine="0" w:firstLineChars="0"/>
        <w:jc w:val="left"/>
        <w:rPr>
          <w:rFonts w:ascii="宋体" w:hAnsi="宋体" w:eastAsia="宋体" w:cs="Times New Roman"/>
          <w:highlight w:val="none"/>
        </w:rPr>
      </w:pPr>
    </w:p>
    <w:p w14:paraId="0A8584BB">
      <w:pPr>
        <w:ind w:firstLine="0" w:firstLineChars="0"/>
        <w:rPr>
          <w:rFonts w:ascii="宋体" w:hAnsi="宋体" w:eastAsia="宋体" w:cs="宋体"/>
          <w:highlight w:val="none"/>
        </w:rPr>
      </w:pPr>
      <w:r>
        <w:rPr>
          <w:rFonts w:hint="eastAsia" w:ascii="宋体" w:hAnsi="宋体" w:eastAsia="宋体" w:cs="宋体"/>
          <w:b/>
          <w:bCs/>
          <w:highlight w:val="none"/>
        </w:rPr>
        <w:t>书架材质与参数技术要求：</w:t>
      </w:r>
    </w:p>
    <w:p w14:paraId="3303B6F3">
      <w:pPr>
        <w:ind w:firstLine="0" w:firstLineChars="0"/>
        <w:rPr>
          <w:rFonts w:ascii="宋体" w:hAnsi="宋体" w:eastAsia="宋体" w:cs="宋体"/>
          <w:highlight w:val="none"/>
        </w:rPr>
      </w:pPr>
      <w:r>
        <w:rPr>
          <w:rFonts w:hint="eastAsia" w:ascii="宋体" w:hAnsi="宋体" w:eastAsia="宋体" w:cs="宋体"/>
          <w:b/>
          <w:bCs/>
          <w:highlight w:val="none"/>
        </w:rPr>
        <w:t>（一）手动带灯密集架产品材质和技术参数要求</w:t>
      </w:r>
      <w:r>
        <w:rPr>
          <w:rFonts w:hint="eastAsia" w:ascii="宋体" w:hAnsi="宋体" w:eastAsia="宋体" w:cs="宋体"/>
          <w:highlight w:val="none"/>
        </w:rPr>
        <w:t>（包括：</w:t>
      </w:r>
      <w:r>
        <w:rPr>
          <w:rFonts w:hint="eastAsia" w:ascii="宋体" w:hAnsi="宋体" w:eastAsia="宋体" w:cs="宋体"/>
          <w:color w:val="000000"/>
          <w:kern w:val="0"/>
          <w:highlight w:val="none"/>
        </w:rPr>
        <w:t>手动带灯文书档案密集架、手动带灯防磁密集架、手动带灯挂画密集架、手动带灯装备密集架、手动带灯实物密集架、手动带灯锦旗印章密集架、手动带灯奖杯密集架、手动带灯奖牌密集架</w:t>
      </w:r>
      <w:r>
        <w:rPr>
          <w:rFonts w:hint="eastAsia" w:ascii="宋体" w:hAnsi="宋体" w:eastAsia="宋体" w:cs="宋体"/>
          <w:highlight w:val="none"/>
        </w:rPr>
        <w:t>）</w:t>
      </w:r>
    </w:p>
    <w:p w14:paraId="3B9C0DD9">
      <w:pPr>
        <w:ind w:firstLine="480"/>
        <w:rPr>
          <w:rFonts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color w:val="000000"/>
          <w:kern w:val="0"/>
          <w:highlight w:val="none"/>
        </w:rPr>
        <w:t>★</w:t>
      </w:r>
      <w:r>
        <w:rPr>
          <w:rFonts w:hint="eastAsia" w:ascii="宋体" w:hAnsi="宋体" w:eastAsia="宋体" w:cs="宋体"/>
          <w:highlight w:val="none"/>
        </w:rPr>
        <w:t>产品严格按照中华人民共和国GB/T13667.3-2013钢制书架 第3部分:手动密集书架国家标准和DA/T7-92国家档案局直列式档案密集架行业要求执行。所有架体用材均应采用优质冷轧钢板。冷轧钢板符合国家标准；</w:t>
      </w:r>
    </w:p>
    <w:p w14:paraId="07442AC6">
      <w:pPr>
        <w:ind w:firstLine="480"/>
        <w:rPr>
          <w:rFonts w:ascii="宋体" w:hAnsi="宋体" w:eastAsia="宋体" w:cs="宋体"/>
          <w:highlight w:val="none"/>
        </w:rPr>
      </w:pPr>
      <w:r>
        <w:rPr>
          <w:rFonts w:hint="eastAsia" w:ascii="宋体" w:hAnsi="宋体" w:eastAsia="宋体" w:cs="宋体"/>
          <w:highlight w:val="none"/>
        </w:rPr>
        <w:t>2.外观结构：采用上、中、下三段式前侧面板，采用≥1.0mm冷轧钢板,外观设计新颖，线条流畅；</w:t>
      </w:r>
    </w:p>
    <w:p w14:paraId="389438BB">
      <w:pPr>
        <w:ind w:firstLine="480"/>
        <w:rPr>
          <w:rFonts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color w:val="000000"/>
          <w:kern w:val="0"/>
          <w:highlight w:val="none"/>
        </w:rPr>
        <w:t>★</w:t>
      </w:r>
      <w:r>
        <w:rPr>
          <w:rFonts w:hint="eastAsia" w:ascii="宋体" w:hAnsi="宋体" w:eastAsia="宋体" w:cs="宋体"/>
          <w:highlight w:val="none"/>
        </w:rPr>
        <w:t>底盘：≥3.0mm热轧钢板冲压成形，采用分段焊接后整体组装式，钢性足不变形，底盘高度≥120 mm，弯边≥40mm，底盘与立柱连接采用的螺栓为M10×30mm。连接牢固，运输、安装方便，底盘各段组装时采用螺栓连接；</w:t>
      </w:r>
    </w:p>
    <w:p w14:paraId="71597DA8">
      <w:pPr>
        <w:ind w:firstLine="480"/>
        <w:rPr>
          <w:rFonts w:ascii="宋体" w:hAnsi="宋体" w:eastAsia="宋体" w:cs="宋体"/>
          <w:highlight w:val="none"/>
        </w:rPr>
      </w:pPr>
      <w:r>
        <w:rPr>
          <w:rFonts w:hint="eastAsia" w:ascii="宋体" w:hAnsi="宋体" w:eastAsia="宋体" w:cs="宋体"/>
          <w:highlight w:val="none"/>
        </w:rPr>
        <w:t>4.密集架底架：底架框体底部设有传动密集架的长轮轴，长轮轴内端设有移动密集架的传动链轮，长轮轴外端与移动密集架驱动控制相联接，传动链轮与底架框体长度方向相垂直；</w:t>
      </w:r>
    </w:p>
    <w:p w14:paraId="3F4D7A66">
      <w:pPr>
        <w:ind w:firstLine="480"/>
        <w:rPr>
          <w:rFonts w:ascii="宋体" w:hAnsi="宋体" w:eastAsia="宋体" w:cs="宋体"/>
          <w:highlight w:val="none"/>
        </w:rPr>
      </w:pPr>
      <w:r>
        <w:rPr>
          <w:rFonts w:hint="eastAsia" w:ascii="宋体" w:hAnsi="宋体" w:eastAsia="宋体" w:cs="宋体"/>
          <w:highlight w:val="none"/>
        </w:rPr>
        <w:t>5.</w:t>
      </w:r>
      <w:r>
        <w:rPr>
          <w:rFonts w:hint="eastAsia" w:ascii="宋体" w:hAnsi="宋体" w:eastAsia="宋体" w:cs="宋体"/>
          <w:color w:val="000000"/>
          <w:kern w:val="0"/>
          <w:highlight w:val="none"/>
        </w:rPr>
        <w:t>★</w:t>
      </w:r>
      <w:r>
        <w:rPr>
          <w:rFonts w:hint="eastAsia" w:ascii="宋体" w:hAnsi="宋体" w:eastAsia="宋体" w:cs="宋体"/>
          <w:highlight w:val="none"/>
        </w:rPr>
        <w:t>轨道：由20mm×20mm的实心方钢导轨与≥3.0mm的热轧钢板弯制的地轨座焊接成形，(根据满负荷承重要求设计) 每米载荷≥1000kg，导轨采用预埋式，轨道数量符合以下要求：1—3节2根，4—5节3根，6—7节4根，8节以上5根。轨道座上沿与装修地面齐平，垫层坚固平整；</w:t>
      </w:r>
    </w:p>
    <w:p w14:paraId="43B930D8">
      <w:pPr>
        <w:ind w:firstLine="480"/>
        <w:rPr>
          <w:rFonts w:ascii="宋体" w:hAnsi="宋体" w:eastAsia="宋体" w:cs="宋体"/>
          <w:highlight w:val="none"/>
        </w:rPr>
      </w:pPr>
      <w:r>
        <w:rPr>
          <w:rFonts w:hint="eastAsia" w:ascii="宋体" w:hAnsi="宋体" w:eastAsia="宋体" w:cs="宋体"/>
          <w:highlight w:val="none"/>
        </w:rPr>
        <w:t>6.防倾倒导轨：≥3.0mm冷轧钢板冲压成型，该装置确保密集架在密集架运动过程中或静止状态下都能起到良好的防密集架倾倒的作用，确保人员安全；</w:t>
      </w:r>
    </w:p>
    <w:p w14:paraId="3A70431F">
      <w:pPr>
        <w:ind w:firstLine="480"/>
        <w:rPr>
          <w:rFonts w:ascii="宋体" w:hAnsi="宋体" w:eastAsia="宋体" w:cs="宋体"/>
          <w:highlight w:val="none"/>
        </w:rPr>
      </w:pPr>
      <w:r>
        <w:rPr>
          <w:rFonts w:hint="eastAsia" w:ascii="宋体" w:hAnsi="宋体" w:eastAsia="宋体" w:cs="宋体"/>
          <w:highlight w:val="none"/>
        </w:rPr>
        <w:t>7.摇手柄：采用钢、锌合金或其它类似材料。摇手柄可折叠，美观大方、轻便灵活，摇动任何一列均不会带动其他手柄滚珠式转动，自动挂档。可单列或多列一起移动；</w:t>
      </w:r>
    </w:p>
    <w:p w14:paraId="585A9A22">
      <w:pPr>
        <w:ind w:firstLine="480"/>
        <w:rPr>
          <w:rFonts w:ascii="宋体" w:hAnsi="宋体" w:eastAsia="宋体" w:cs="宋体"/>
          <w:highlight w:val="none"/>
        </w:rPr>
      </w:pPr>
      <w:r>
        <w:rPr>
          <w:rFonts w:hint="eastAsia" w:ascii="宋体" w:hAnsi="宋体" w:eastAsia="宋体" w:cs="宋体"/>
          <w:highlight w:val="none"/>
        </w:rPr>
        <w:t>8.轴承：主轴和轴承的直径不小于φ20mm，轴心采用双排滚珠，45#钢(符合GB/T699要求)；实心轴：采用45#钢(符合GB/T699要求)；连接轴：无缝钢管Ф25mm；传动轴：传动轴采用45#优质钢结构(符合GB/T699要求)；</w:t>
      </w:r>
    </w:p>
    <w:p w14:paraId="0CF8DC09">
      <w:pPr>
        <w:ind w:firstLine="480"/>
        <w:rPr>
          <w:rFonts w:ascii="宋体" w:hAnsi="宋体" w:eastAsia="宋体" w:cs="宋体"/>
          <w:highlight w:val="none"/>
        </w:rPr>
      </w:pPr>
      <w:r>
        <w:rPr>
          <w:rFonts w:hint="eastAsia" w:ascii="宋体" w:hAnsi="宋体" w:eastAsia="宋体" w:cs="宋体"/>
          <w:highlight w:val="none"/>
        </w:rPr>
        <w:t>9.密封条：每列之间有缓冲密封条，密封条必须平直，采购用抗老化橡胶密封条；</w:t>
      </w:r>
    </w:p>
    <w:p w14:paraId="6FB2E259">
      <w:pPr>
        <w:ind w:firstLine="480"/>
        <w:rPr>
          <w:rFonts w:ascii="宋体" w:hAnsi="宋体" w:eastAsia="宋体" w:cs="宋体"/>
          <w:highlight w:val="none"/>
        </w:rPr>
      </w:pPr>
      <w:r>
        <w:rPr>
          <w:rFonts w:hint="eastAsia" w:ascii="宋体" w:hAnsi="宋体" w:eastAsia="宋体" w:cs="宋体"/>
          <w:highlight w:val="none"/>
        </w:rPr>
        <w:t>10.隐藏式锁定装置：每列密集架除门面列均应有刹车制动装置，每一列均可单独锁定，锁定装置隐藏设置，整体闭合后达到架体锁定，达到防拔、防钻、防锯、防撬，保证架体内物品安全可靠；</w:t>
      </w:r>
    </w:p>
    <w:p w14:paraId="497DB9A6">
      <w:pPr>
        <w:ind w:firstLine="480"/>
        <w:rPr>
          <w:rFonts w:ascii="宋体" w:hAnsi="宋体" w:eastAsia="宋体" w:cs="宋体"/>
          <w:highlight w:val="none"/>
        </w:rPr>
      </w:pPr>
      <w:r>
        <w:rPr>
          <w:rFonts w:hint="eastAsia" w:ascii="宋体" w:hAnsi="宋体" w:eastAsia="宋体" w:cs="宋体"/>
          <w:highlight w:val="none"/>
        </w:rPr>
        <w:t>11.每排架体上面装LED灯（3-4节2盏，5-6节3盏，7-8节4盏）。LED照明要求：平时密集书架使用时（即密集架进线总电开启），LED照明灯处于熄灭状态，当感应人员进入感应区域后，照明灯进入开启状态，人员离开感应区域时，经过延迟，照明灯恢复为熄灭状态；延迟时间必须精确，延迟时间默认为30秒，根据实际需求延迟时间调整范围30秒-1分钟。</w:t>
      </w:r>
    </w:p>
    <w:p w14:paraId="0BB5AB6D">
      <w:pPr>
        <w:ind w:firstLine="480"/>
        <w:rPr>
          <w:rFonts w:ascii="宋体" w:hAnsi="宋体" w:eastAsia="宋体" w:cs="宋体"/>
          <w:highlight w:val="none"/>
        </w:rPr>
      </w:pPr>
      <w:r>
        <w:rPr>
          <w:rFonts w:hint="eastAsia" w:ascii="宋体" w:hAnsi="宋体" w:eastAsia="宋体" w:cs="宋体"/>
          <w:highlight w:val="none"/>
        </w:rPr>
        <w:t xml:space="preserve">1.手动带灯密集架【架体】 </w:t>
      </w:r>
    </w:p>
    <w:p w14:paraId="1324E1E6">
      <w:pPr>
        <w:ind w:firstLine="480"/>
        <w:rPr>
          <w:rFonts w:ascii="宋体" w:hAnsi="宋体" w:eastAsia="宋体" w:cs="宋体"/>
          <w:highlight w:val="none"/>
        </w:rPr>
      </w:pPr>
      <w:r>
        <w:rPr>
          <w:rFonts w:hint="eastAsia" w:ascii="宋体" w:hAnsi="宋体" w:eastAsia="宋体" w:cs="宋体"/>
          <w:highlight w:val="none"/>
        </w:rPr>
        <w:t xml:space="preserve">1.1 密集架结构要求 </w:t>
      </w:r>
    </w:p>
    <w:p w14:paraId="46561251">
      <w:pPr>
        <w:ind w:firstLine="480"/>
        <w:rPr>
          <w:rFonts w:ascii="宋体" w:hAnsi="宋体" w:eastAsia="宋体" w:cs="宋体"/>
          <w:highlight w:val="none"/>
        </w:rPr>
      </w:pPr>
      <w:r>
        <w:rPr>
          <w:rFonts w:hint="eastAsia" w:ascii="宋体" w:hAnsi="宋体" w:eastAsia="宋体" w:cs="宋体"/>
          <w:highlight w:val="none"/>
        </w:rPr>
        <w:t xml:space="preserve">（1）架体为双柱式双面结构，稳定性能强，架体载重强度高，运行时无阻滞、晃动等现象，运行流畅。 </w:t>
      </w:r>
    </w:p>
    <w:p w14:paraId="7598D46A">
      <w:pPr>
        <w:ind w:firstLine="480"/>
        <w:rPr>
          <w:rFonts w:ascii="宋体" w:hAnsi="宋体" w:eastAsia="宋体" w:cs="宋体"/>
          <w:highlight w:val="none"/>
        </w:rPr>
      </w:pPr>
      <w:r>
        <w:rPr>
          <w:rFonts w:hint="eastAsia" w:ascii="宋体" w:hAnsi="宋体" w:eastAsia="宋体" w:cs="宋体"/>
          <w:highlight w:val="none"/>
        </w:rPr>
        <w:t xml:space="preserve">（2）密集架主要由导轨、底盘、传动机构、架体（包括立柱、挂板、层板、顶板、门板及侧护板等）、锁具和制动装置等零部件组成。 </w:t>
      </w:r>
    </w:p>
    <w:p w14:paraId="6A643A38">
      <w:pPr>
        <w:ind w:firstLine="480"/>
        <w:rPr>
          <w:rFonts w:ascii="宋体" w:hAnsi="宋体" w:eastAsia="宋体" w:cs="宋体"/>
          <w:highlight w:val="none"/>
        </w:rPr>
      </w:pPr>
      <w:r>
        <w:rPr>
          <w:rFonts w:hint="eastAsia" w:ascii="宋体" w:hAnsi="宋体" w:eastAsia="宋体" w:cs="宋体"/>
          <w:highlight w:val="none"/>
        </w:rPr>
        <w:t xml:space="preserve">（3）密集架按规定铺设轨道、安装传动机构、防倒装置，每列装锁紧装置等； </w:t>
      </w:r>
    </w:p>
    <w:p w14:paraId="40E94DF9">
      <w:pPr>
        <w:ind w:firstLine="480"/>
        <w:rPr>
          <w:rFonts w:ascii="宋体" w:hAnsi="宋体" w:eastAsia="宋体" w:cs="宋体"/>
          <w:highlight w:val="none"/>
        </w:rPr>
      </w:pPr>
      <w:r>
        <w:rPr>
          <w:rFonts w:hint="eastAsia" w:ascii="宋体" w:hAnsi="宋体" w:eastAsia="宋体" w:cs="宋体"/>
          <w:highlight w:val="none"/>
        </w:rPr>
        <w:t xml:space="preserve">（4）密集架设置防震、防尘、防鼠、防潮、防火、防倾倒和密封装置等，根据需要设置照明灯具。 </w:t>
      </w:r>
    </w:p>
    <w:p w14:paraId="71498FCD">
      <w:pPr>
        <w:ind w:firstLine="480"/>
        <w:rPr>
          <w:rFonts w:ascii="宋体" w:hAnsi="宋体" w:eastAsia="宋体" w:cs="宋体"/>
          <w:highlight w:val="none"/>
        </w:rPr>
      </w:pPr>
      <w:r>
        <w:rPr>
          <w:rFonts w:hint="eastAsia" w:ascii="宋体" w:hAnsi="宋体" w:eastAsia="宋体" w:cs="宋体"/>
          <w:highlight w:val="none"/>
        </w:rPr>
        <w:t xml:space="preserve">1.2 装配要求 </w:t>
      </w:r>
    </w:p>
    <w:p w14:paraId="461D4E35">
      <w:pPr>
        <w:ind w:firstLine="480"/>
        <w:rPr>
          <w:rFonts w:ascii="宋体" w:hAnsi="宋体" w:eastAsia="宋体" w:cs="宋体"/>
          <w:highlight w:val="none"/>
        </w:rPr>
      </w:pPr>
      <w:r>
        <w:rPr>
          <w:rFonts w:hint="eastAsia" w:ascii="宋体" w:hAnsi="宋体" w:eastAsia="宋体" w:cs="宋体"/>
          <w:highlight w:val="none"/>
        </w:rPr>
        <w:t xml:space="preserve">（1）每标准节（组）组装后，单元架外形尺寸（高、宽、深）的极限偏差为±2.0mm； </w:t>
      </w:r>
    </w:p>
    <w:p w14:paraId="628538E6">
      <w:pPr>
        <w:ind w:firstLine="480"/>
        <w:rPr>
          <w:rFonts w:ascii="宋体" w:hAnsi="宋体" w:eastAsia="宋体" w:cs="宋体"/>
          <w:highlight w:val="none"/>
        </w:rPr>
      </w:pPr>
      <w:r>
        <w:rPr>
          <w:rFonts w:hint="eastAsia" w:ascii="宋体" w:hAnsi="宋体" w:eastAsia="宋体" w:cs="宋体"/>
          <w:highlight w:val="none"/>
        </w:rPr>
        <w:t xml:space="preserve">（2）每标准节（组）组装后，侧面板与中腰板的对缝处的间隙小于2.0mm； </w:t>
      </w:r>
    </w:p>
    <w:p w14:paraId="7CF9C17E">
      <w:pPr>
        <w:ind w:firstLine="480"/>
        <w:rPr>
          <w:rFonts w:ascii="宋体" w:hAnsi="宋体" w:eastAsia="宋体" w:cs="宋体"/>
          <w:highlight w:val="none"/>
        </w:rPr>
      </w:pPr>
      <w:r>
        <w:rPr>
          <w:rFonts w:hint="eastAsia" w:ascii="宋体" w:hAnsi="宋体" w:eastAsia="宋体" w:cs="宋体"/>
          <w:highlight w:val="none"/>
        </w:rPr>
        <w:t xml:space="preserve">（3）每标准节（组）组装后，单根导轨直线度不大于1.0mm/m、相邻两根导轨宽度之间的平行度偏差不大于1.0mm/m。 </w:t>
      </w:r>
    </w:p>
    <w:p w14:paraId="3A59CB41">
      <w:pPr>
        <w:ind w:firstLine="480"/>
        <w:rPr>
          <w:rFonts w:ascii="宋体" w:hAnsi="宋体" w:eastAsia="宋体" w:cs="宋体"/>
          <w:highlight w:val="none"/>
        </w:rPr>
      </w:pPr>
      <w:r>
        <w:rPr>
          <w:rFonts w:hint="eastAsia" w:ascii="宋体" w:hAnsi="宋体" w:eastAsia="宋体" w:cs="宋体"/>
          <w:highlight w:val="none"/>
        </w:rPr>
        <w:t xml:space="preserve">（4）每标准节（组）组装后，立柱与底梁的垂直度应不大于1.0mm； </w:t>
      </w:r>
    </w:p>
    <w:p w14:paraId="742976B1">
      <w:pPr>
        <w:ind w:firstLine="480"/>
        <w:rPr>
          <w:rFonts w:ascii="宋体" w:hAnsi="宋体" w:eastAsia="宋体" w:cs="宋体"/>
          <w:highlight w:val="none"/>
        </w:rPr>
      </w:pPr>
      <w:r>
        <w:rPr>
          <w:rFonts w:hint="eastAsia" w:ascii="宋体" w:hAnsi="宋体" w:eastAsia="宋体" w:cs="宋体"/>
          <w:highlight w:val="none"/>
        </w:rPr>
        <w:t xml:space="preserve">（5）位差度：架列侧面相邻两平面的位差度应不大于2.0mm； </w:t>
      </w:r>
    </w:p>
    <w:p w14:paraId="24A2860D">
      <w:pPr>
        <w:ind w:firstLine="480"/>
        <w:rPr>
          <w:rFonts w:ascii="宋体" w:hAnsi="宋体" w:eastAsia="宋体" w:cs="宋体"/>
          <w:highlight w:val="none"/>
        </w:rPr>
      </w:pPr>
      <w:r>
        <w:rPr>
          <w:rFonts w:hint="eastAsia" w:ascii="宋体" w:hAnsi="宋体" w:eastAsia="宋体" w:cs="宋体"/>
          <w:highlight w:val="none"/>
        </w:rPr>
        <w:t xml:space="preserve">（6）防尘门缝间隙应不大于2.0mm； </w:t>
      </w:r>
    </w:p>
    <w:p w14:paraId="401EDFF8">
      <w:pPr>
        <w:ind w:firstLine="480"/>
        <w:rPr>
          <w:rFonts w:ascii="宋体" w:hAnsi="宋体" w:eastAsia="宋体" w:cs="宋体"/>
          <w:highlight w:val="none"/>
        </w:rPr>
      </w:pPr>
      <w:r>
        <w:rPr>
          <w:rFonts w:hint="eastAsia" w:ascii="宋体" w:hAnsi="宋体" w:eastAsia="宋体" w:cs="宋体"/>
          <w:highlight w:val="none"/>
        </w:rPr>
        <w:t xml:space="preserve">（7）搁板、挂板应能沿立柱的垂直方向调整高度； </w:t>
      </w:r>
    </w:p>
    <w:p w14:paraId="5246B6B7">
      <w:pPr>
        <w:ind w:firstLine="480"/>
        <w:rPr>
          <w:rFonts w:ascii="宋体" w:hAnsi="宋体" w:eastAsia="宋体" w:cs="宋体"/>
          <w:highlight w:val="none"/>
        </w:rPr>
      </w:pPr>
      <w:r>
        <w:rPr>
          <w:rFonts w:hint="eastAsia" w:ascii="宋体" w:hAnsi="宋体" w:eastAsia="宋体" w:cs="宋体"/>
          <w:highlight w:val="none"/>
        </w:rPr>
        <w:t xml:space="preserve">（8）传动装置应转动灵活、平稳，不得有失灵现象。 </w:t>
      </w:r>
    </w:p>
    <w:p w14:paraId="3182B666">
      <w:pPr>
        <w:ind w:firstLine="480"/>
        <w:rPr>
          <w:rFonts w:ascii="宋体" w:hAnsi="宋体" w:eastAsia="宋体" w:cs="宋体"/>
          <w:highlight w:val="none"/>
        </w:rPr>
      </w:pPr>
      <w:r>
        <w:rPr>
          <w:rFonts w:hint="eastAsia" w:ascii="宋体" w:hAnsi="宋体" w:eastAsia="宋体" w:cs="宋体"/>
          <w:highlight w:val="none"/>
        </w:rPr>
        <w:t xml:space="preserve">1.3 密集架外观质量 </w:t>
      </w:r>
    </w:p>
    <w:p w14:paraId="57EB1572">
      <w:pPr>
        <w:ind w:firstLine="480"/>
        <w:rPr>
          <w:rFonts w:ascii="宋体" w:hAnsi="宋体" w:eastAsia="宋体" w:cs="宋体"/>
          <w:highlight w:val="none"/>
        </w:rPr>
      </w:pPr>
      <w:r>
        <w:rPr>
          <w:rFonts w:hint="eastAsia" w:ascii="宋体" w:hAnsi="宋体" w:eastAsia="宋体" w:cs="宋体"/>
          <w:highlight w:val="none"/>
        </w:rPr>
        <w:t xml:space="preserve">（1）各零部件表面应光滑、平整，无尖角和突起； </w:t>
      </w:r>
    </w:p>
    <w:p w14:paraId="35912038">
      <w:pPr>
        <w:ind w:firstLine="480"/>
        <w:rPr>
          <w:rFonts w:ascii="宋体" w:hAnsi="宋体" w:eastAsia="宋体" w:cs="宋体"/>
          <w:highlight w:val="none"/>
        </w:rPr>
      </w:pPr>
      <w:r>
        <w:rPr>
          <w:rFonts w:hint="eastAsia" w:ascii="宋体" w:hAnsi="宋体" w:eastAsia="宋体" w:cs="宋体"/>
          <w:highlight w:val="none"/>
        </w:rPr>
        <w:t xml:space="preserve">（2）焊接件应焊接牢固，焊痕光滑平整； </w:t>
      </w:r>
    </w:p>
    <w:p w14:paraId="43920D04">
      <w:pPr>
        <w:ind w:firstLine="480"/>
        <w:rPr>
          <w:rFonts w:ascii="宋体" w:hAnsi="宋体" w:eastAsia="宋体" w:cs="宋体"/>
          <w:highlight w:val="none"/>
        </w:rPr>
      </w:pPr>
      <w:r>
        <w:rPr>
          <w:rFonts w:hint="eastAsia" w:ascii="宋体" w:hAnsi="宋体" w:eastAsia="宋体" w:cs="宋体"/>
          <w:highlight w:val="none"/>
        </w:rPr>
        <w:t xml:space="preserve">（3）涂层表面应平整光滑，色泽均匀一致，无流挂、起粒、皱皮、露底、剥落、伤痕等缺陷； </w:t>
      </w:r>
    </w:p>
    <w:p w14:paraId="742A132A">
      <w:pPr>
        <w:ind w:firstLine="480"/>
        <w:rPr>
          <w:rFonts w:ascii="宋体" w:hAnsi="宋体" w:eastAsia="宋体" w:cs="宋体"/>
          <w:highlight w:val="none"/>
        </w:rPr>
      </w:pPr>
      <w:r>
        <w:rPr>
          <w:rFonts w:hint="eastAsia" w:ascii="宋体" w:hAnsi="宋体" w:eastAsia="宋体" w:cs="宋体"/>
          <w:highlight w:val="none"/>
        </w:rPr>
        <w:t xml:space="preserve">（4）电镀件镀层明亮，外露部位无烧焦、起泡、针孔、裂纹、花斑、明显划痕和毛刺等缺陷。 </w:t>
      </w:r>
    </w:p>
    <w:p w14:paraId="64BE6A62">
      <w:pPr>
        <w:ind w:firstLine="480"/>
        <w:rPr>
          <w:rFonts w:ascii="宋体" w:hAnsi="宋体" w:eastAsia="宋体" w:cs="宋体"/>
          <w:highlight w:val="none"/>
        </w:rPr>
      </w:pPr>
      <w:r>
        <w:rPr>
          <w:rFonts w:hint="eastAsia" w:ascii="宋体" w:hAnsi="宋体" w:eastAsia="宋体" w:cs="宋体"/>
          <w:highlight w:val="none"/>
        </w:rPr>
        <w:t xml:space="preserve">1.4 载重性能 </w:t>
      </w:r>
    </w:p>
    <w:p w14:paraId="4E7E5839">
      <w:pPr>
        <w:ind w:firstLine="480"/>
        <w:rPr>
          <w:rFonts w:ascii="宋体" w:hAnsi="宋体" w:eastAsia="宋体" w:cs="宋体"/>
          <w:highlight w:val="none"/>
        </w:rPr>
      </w:pPr>
      <w:r>
        <w:rPr>
          <w:rFonts w:hint="eastAsia" w:ascii="宋体" w:hAnsi="宋体" w:eastAsia="宋体" w:cs="宋体"/>
          <w:highlight w:val="none"/>
        </w:rPr>
        <w:t>（1）在全静载荷的情况下进行运行，架体应运动自如，不得有阻滞现象</w:t>
      </w:r>
    </w:p>
    <w:p w14:paraId="06A410E8">
      <w:pPr>
        <w:ind w:firstLine="480"/>
        <w:rPr>
          <w:rFonts w:ascii="宋体" w:hAnsi="宋体" w:eastAsia="宋体" w:cs="宋体"/>
          <w:highlight w:val="none"/>
        </w:rPr>
      </w:pPr>
      <w:r>
        <w:rPr>
          <w:rFonts w:hint="eastAsia" w:ascii="宋体" w:hAnsi="宋体" w:eastAsia="宋体" w:cs="宋体"/>
          <w:highlight w:val="none"/>
        </w:rPr>
        <w:t>（2）标准架列在全静载荷的情况下，沿 X、Y 轴两个方向进行水平拉力，水平拉力为自重与全静载荷之和的1/15，经连续50次，架体不得发生倾倒现象，架体倾斜量不得大于架体总高的1%，各结构部件应无塑性变形和其他异常现象。</w:t>
      </w:r>
    </w:p>
    <w:p w14:paraId="5A617595">
      <w:pPr>
        <w:ind w:firstLine="480"/>
        <w:rPr>
          <w:rFonts w:ascii="宋体" w:hAnsi="宋体" w:eastAsia="宋体" w:cs="宋体"/>
          <w:highlight w:val="none"/>
        </w:rPr>
      </w:pPr>
      <w:r>
        <w:rPr>
          <w:rFonts w:hint="eastAsia" w:ascii="宋体" w:hAnsi="宋体" w:eastAsia="宋体" w:cs="宋体"/>
          <w:highlight w:val="none"/>
        </w:rPr>
        <w:t>1.5 传动机构</w:t>
      </w:r>
    </w:p>
    <w:p w14:paraId="2E4C7848">
      <w:pPr>
        <w:ind w:firstLine="480"/>
        <w:rPr>
          <w:rFonts w:ascii="宋体" w:hAnsi="宋体" w:eastAsia="宋体" w:cs="宋体"/>
          <w:highlight w:val="none"/>
        </w:rPr>
      </w:pPr>
      <w:r>
        <w:rPr>
          <w:rFonts w:hint="eastAsia" w:ascii="宋体" w:hAnsi="宋体" w:eastAsia="宋体" w:cs="宋体"/>
          <w:highlight w:val="none"/>
        </w:rPr>
        <w:t xml:space="preserve">传动机构主要由精铸铁滚轮、传动轴、连接管、调心轴承、精密滚子摩托车链条，机械式自脱超越离合摇手体、多级速比精制链轮等零(部)件组成。为了驱动轻便平稳，采用中轴带动两根边轴的传动方式，手柄摇动轻便、灵活、耐用、无噪声、手柄摇动时能自动挂挡。 </w:t>
      </w:r>
    </w:p>
    <w:p w14:paraId="5FE304AD">
      <w:pPr>
        <w:ind w:firstLine="480"/>
        <w:rPr>
          <w:rFonts w:ascii="宋体" w:hAnsi="宋体" w:eastAsia="宋体" w:cs="宋体"/>
          <w:highlight w:val="none"/>
        </w:rPr>
      </w:pPr>
      <w:r>
        <w:rPr>
          <w:rFonts w:hint="eastAsia" w:ascii="宋体" w:hAnsi="宋体" w:eastAsia="宋体" w:cs="宋体"/>
          <w:highlight w:val="none"/>
        </w:rPr>
        <w:t xml:space="preserve">（1）摇手柄：自动挂挡，密集架处于从动或不动状态时，摇柄自行停于垂直位置，手柄可折叠，摇动轻便、手柄摇力不大于11.8N/标准节。 </w:t>
      </w:r>
    </w:p>
    <w:p w14:paraId="09DD343B">
      <w:pPr>
        <w:ind w:firstLine="480"/>
        <w:rPr>
          <w:rFonts w:ascii="宋体" w:hAnsi="宋体" w:eastAsia="宋体" w:cs="宋体"/>
          <w:highlight w:val="none"/>
        </w:rPr>
      </w:pPr>
      <w:r>
        <w:rPr>
          <w:rFonts w:hint="eastAsia" w:ascii="宋体" w:hAnsi="宋体" w:eastAsia="宋体" w:cs="宋体"/>
          <w:highlight w:val="none"/>
        </w:rPr>
        <w:t xml:space="preserve">（2）连接钢管：采用φ25*2.5mm无缝钢管，表面需做镀锌等防腐处理。 </w:t>
      </w:r>
    </w:p>
    <w:p w14:paraId="4B92DF4F">
      <w:pPr>
        <w:ind w:firstLine="480"/>
        <w:rPr>
          <w:rFonts w:ascii="宋体" w:hAnsi="宋体" w:eastAsia="宋体" w:cs="宋体"/>
          <w:highlight w:val="none"/>
        </w:rPr>
      </w:pPr>
      <w:r>
        <w:rPr>
          <w:rFonts w:hint="eastAsia" w:ascii="宋体" w:hAnsi="宋体" w:eastAsia="宋体" w:cs="宋体"/>
          <w:highlight w:val="none"/>
        </w:rPr>
        <w:t xml:space="preserve">（3）传动轴：采用Φ20mm45#实心圆钢，加工精度3.2，热处理调质，HB220-290。 </w:t>
      </w:r>
    </w:p>
    <w:p w14:paraId="4B3C4F3A">
      <w:pPr>
        <w:ind w:firstLine="480"/>
        <w:rPr>
          <w:rFonts w:ascii="宋体" w:hAnsi="宋体" w:eastAsia="宋体" w:cs="宋体"/>
          <w:highlight w:val="none"/>
        </w:rPr>
      </w:pPr>
      <w:r>
        <w:rPr>
          <w:rFonts w:hint="eastAsia" w:ascii="宋体" w:hAnsi="宋体" w:eastAsia="宋体" w:cs="宋体"/>
          <w:highlight w:val="none"/>
        </w:rPr>
        <w:t xml:space="preserve">（4）轴承：采用HRl204双排滚珠调心轴承。 </w:t>
      </w:r>
    </w:p>
    <w:p w14:paraId="0A727032">
      <w:pPr>
        <w:ind w:firstLine="480"/>
        <w:rPr>
          <w:rFonts w:ascii="宋体" w:hAnsi="宋体" w:eastAsia="宋体" w:cs="宋体"/>
          <w:highlight w:val="none"/>
        </w:rPr>
      </w:pPr>
      <w:r>
        <w:rPr>
          <w:rFonts w:hint="eastAsia" w:ascii="宋体" w:hAnsi="宋体" w:eastAsia="宋体" w:cs="宋体"/>
          <w:highlight w:val="none"/>
        </w:rPr>
        <w:t xml:space="preserve">（5）链轮：采用ZG45，经锻压精密加工成型，回火去除应力，加工车、滚齿、插键槽、齿部经高频淬火HRC60—62。 </w:t>
      </w:r>
    </w:p>
    <w:p w14:paraId="5F4063F1">
      <w:pPr>
        <w:ind w:firstLine="480"/>
        <w:rPr>
          <w:rFonts w:ascii="宋体" w:hAnsi="宋体" w:eastAsia="宋体" w:cs="宋体"/>
          <w:highlight w:val="none"/>
        </w:rPr>
      </w:pPr>
      <w:r>
        <w:rPr>
          <w:rFonts w:hint="eastAsia" w:ascii="宋体" w:hAnsi="宋体" w:eastAsia="宋体" w:cs="宋体"/>
          <w:highlight w:val="none"/>
        </w:rPr>
        <w:t xml:space="preserve">（6）链条：采用Φ8.5mm，节距12.7mm摩托车滚子链条。 </w:t>
      </w:r>
    </w:p>
    <w:p w14:paraId="4E0D4AAE">
      <w:pPr>
        <w:ind w:firstLine="480"/>
        <w:rPr>
          <w:rFonts w:ascii="宋体" w:hAnsi="宋体" w:eastAsia="宋体" w:cs="宋体"/>
          <w:highlight w:val="none"/>
        </w:rPr>
      </w:pPr>
      <w:r>
        <w:rPr>
          <w:rFonts w:hint="eastAsia" w:ascii="宋体" w:hAnsi="宋体" w:eastAsia="宋体" w:cs="宋体"/>
          <w:highlight w:val="none"/>
        </w:rPr>
        <w:t xml:space="preserve">（7）滚轮：采用HT20-40，铸铁，精加工成型，牢固耐用。 </w:t>
      </w:r>
    </w:p>
    <w:p w14:paraId="12BF91BB">
      <w:pPr>
        <w:ind w:firstLine="480"/>
        <w:rPr>
          <w:rFonts w:ascii="宋体" w:hAnsi="宋体" w:eastAsia="宋体" w:cs="宋体"/>
          <w:highlight w:val="none"/>
        </w:rPr>
      </w:pPr>
      <w:r>
        <w:rPr>
          <w:rFonts w:hint="eastAsia" w:ascii="宋体" w:hAnsi="宋体" w:eastAsia="宋体" w:cs="宋体"/>
          <w:highlight w:val="none"/>
        </w:rPr>
        <w:t xml:space="preserve">（8）轴承座：采用P204，E级。 </w:t>
      </w:r>
    </w:p>
    <w:p w14:paraId="02F21E47">
      <w:pPr>
        <w:ind w:firstLine="480"/>
        <w:rPr>
          <w:rFonts w:ascii="宋体" w:hAnsi="宋体" w:eastAsia="宋体" w:cs="宋体"/>
          <w:highlight w:val="none"/>
        </w:rPr>
      </w:pPr>
      <w:r>
        <w:rPr>
          <w:rFonts w:hint="eastAsia" w:ascii="宋体" w:hAnsi="宋体" w:eastAsia="宋体" w:cs="宋体"/>
          <w:highlight w:val="none"/>
        </w:rPr>
        <w:t xml:space="preserve">1.6 制动、防护及密封装置 </w:t>
      </w:r>
    </w:p>
    <w:p w14:paraId="70BCB926">
      <w:pPr>
        <w:ind w:firstLine="480"/>
        <w:rPr>
          <w:rFonts w:ascii="宋体" w:hAnsi="宋体" w:eastAsia="宋体" w:cs="宋体"/>
          <w:highlight w:val="none"/>
        </w:rPr>
      </w:pPr>
      <w:r>
        <w:rPr>
          <w:rFonts w:hint="eastAsia" w:ascii="宋体" w:hAnsi="宋体" w:eastAsia="宋体" w:cs="宋体"/>
          <w:highlight w:val="none"/>
        </w:rPr>
        <w:t xml:space="preserve">（1）架顶设有防尘装置，列与列之间装有磁性密封条，门面列装有锁具。 </w:t>
      </w:r>
    </w:p>
    <w:p w14:paraId="061166FF">
      <w:pPr>
        <w:ind w:firstLine="480"/>
        <w:rPr>
          <w:rFonts w:ascii="宋体" w:hAnsi="宋体" w:eastAsia="宋体" w:cs="宋体"/>
          <w:highlight w:val="none"/>
        </w:rPr>
      </w:pPr>
      <w:r>
        <w:rPr>
          <w:rFonts w:hint="eastAsia" w:ascii="宋体" w:hAnsi="宋体" w:eastAsia="宋体" w:cs="宋体"/>
          <w:highlight w:val="none"/>
        </w:rPr>
        <w:t xml:space="preserve">（2）每列架体侧板上设有制动装置，底部设有防鼠、防倾倒装置。 </w:t>
      </w:r>
    </w:p>
    <w:p w14:paraId="3F239DF8">
      <w:pPr>
        <w:ind w:firstLine="480"/>
        <w:rPr>
          <w:rFonts w:ascii="宋体" w:hAnsi="宋体" w:eastAsia="宋体" w:cs="宋体"/>
          <w:highlight w:val="none"/>
        </w:rPr>
      </w:pPr>
      <w:r>
        <w:rPr>
          <w:rFonts w:hint="eastAsia" w:ascii="宋体" w:hAnsi="宋体" w:eastAsia="宋体" w:cs="宋体"/>
          <w:highlight w:val="none"/>
        </w:rPr>
        <w:t xml:space="preserve">（3）每列架体底部设有防倾倒装置，架体受到外力或较大惯性时通过底盘上的防倒勾将力传到轨道，并通过连接轨道与地面的膨胀螺丝传到地面，防止密集架架体出现倒塌，保障运行安全，防止架体倾倒。 </w:t>
      </w:r>
    </w:p>
    <w:p w14:paraId="16545064">
      <w:pPr>
        <w:ind w:firstLine="480"/>
        <w:rPr>
          <w:rFonts w:ascii="宋体" w:hAnsi="宋体" w:eastAsia="宋体" w:cs="宋体"/>
          <w:highlight w:val="none"/>
        </w:rPr>
      </w:pPr>
      <w:r>
        <w:rPr>
          <w:rFonts w:hint="eastAsia" w:ascii="宋体" w:hAnsi="宋体" w:eastAsia="宋体" w:cs="宋体"/>
          <w:highlight w:val="none"/>
        </w:rPr>
        <w:t xml:space="preserve">（4）每列架体设有锁紧装置，当工作人员进入存储设备工作时，将锁紧装置扭到锁紧位置，此时其他人员无法摇动存储设备，以保证架内人员的安全。每组存储设备边列装有锁具，其闭合锁住后，形成一个封闭的整体，具有优越的防尘、防鼠、防潮、防火、防盗、防倾倒和保密功能。 </w:t>
      </w:r>
    </w:p>
    <w:p w14:paraId="78C4E951">
      <w:pPr>
        <w:ind w:firstLine="480"/>
        <w:rPr>
          <w:rFonts w:ascii="宋体" w:hAnsi="宋体" w:eastAsia="宋体" w:cs="宋体"/>
          <w:highlight w:val="none"/>
        </w:rPr>
      </w:pPr>
      <w:r>
        <w:rPr>
          <w:rFonts w:hint="eastAsia" w:ascii="宋体" w:hAnsi="宋体" w:eastAsia="宋体" w:cs="宋体"/>
          <w:highlight w:val="none"/>
        </w:rPr>
        <w:t xml:space="preserve">（5）密集架列与列之间密封装置采用磁性密封条，每列接触面均有缓冲及密封装置，密封条使用L型钢制压板固定，使架体具有良好的防震、防尘、防鼠、防光、防潮、 防火功能。顶部有防尘板，每列架体上方安装防尘板，要求防尘、防光、防有害气体。 </w:t>
      </w:r>
    </w:p>
    <w:p w14:paraId="4EE85B35">
      <w:pPr>
        <w:ind w:firstLine="480"/>
        <w:rPr>
          <w:rFonts w:ascii="宋体" w:hAnsi="宋体" w:eastAsia="宋体" w:cs="宋体"/>
          <w:highlight w:val="none"/>
        </w:rPr>
      </w:pPr>
      <w:r>
        <w:rPr>
          <w:rFonts w:hint="eastAsia" w:ascii="宋体" w:hAnsi="宋体" w:eastAsia="宋体" w:cs="宋体"/>
          <w:highlight w:val="none"/>
        </w:rPr>
        <w:t xml:space="preserve">1.7 密集架表面喷涂材料要求 </w:t>
      </w:r>
    </w:p>
    <w:p w14:paraId="2305B373">
      <w:pPr>
        <w:ind w:firstLine="480"/>
        <w:rPr>
          <w:rFonts w:ascii="宋体" w:hAnsi="宋体" w:eastAsia="宋体" w:cs="宋体"/>
          <w:highlight w:val="none"/>
        </w:rPr>
      </w:pPr>
      <w:r>
        <w:rPr>
          <w:rFonts w:hint="eastAsia" w:ascii="宋体" w:hAnsi="宋体" w:eastAsia="宋体" w:cs="宋体"/>
          <w:highlight w:val="none"/>
        </w:rPr>
        <w:t xml:space="preserve">表面喷涂工艺采用全自动喷涂流水线和优质环保型热固性粉末涂料对全部钣金件进行喷涂，表面涂层高温固化而成，喷涂无死角。经过表面处理的零件涂层牢固、美观耐用。 </w:t>
      </w:r>
    </w:p>
    <w:p w14:paraId="39099C34">
      <w:pPr>
        <w:ind w:firstLine="480"/>
        <w:rPr>
          <w:rFonts w:ascii="宋体" w:hAnsi="宋体" w:eastAsia="宋体" w:cs="宋体"/>
          <w:highlight w:val="none"/>
        </w:rPr>
      </w:pPr>
      <w:r>
        <w:rPr>
          <w:rFonts w:hint="eastAsia" w:ascii="宋体" w:hAnsi="宋体" w:eastAsia="宋体" w:cs="宋体"/>
          <w:highlight w:val="none"/>
        </w:rPr>
        <w:t xml:space="preserve">1.8 密集架架体核心部件技术要求： </w:t>
      </w:r>
    </w:p>
    <w:p w14:paraId="7497F610">
      <w:pPr>
        <w:ind w:firstLine="480"/>
        <w:rPr>
          <w:rFonts w:ascii="宋体" w:hAnsi="宋体" w:eastAsia="宋体" w:cs="宋体"/>
          <w:highlight w:val="none"/>
        </w:rPr>
      </w:pPr>
      <w:r>
        <w:rPr>
          <w:rFonts w:hint="eastAsia" w:ascii="宋体" w:hAnsi="宋体" w:eastAsia="宋体" w:cs="宋体"/>
          <w:highlight w:val="none"/>
        </w:rPr>
        <w:t xml:space="preserve">（1）轨道：由轨道板与轨芯组成，整体采用一次性成型工艺，轨道板采用≥3.0mm热轧钢板制作成型，轨芯采用20mm*20mm实心方钢，安装轨道板中间预留凹槽，实心轨芯直接嵌入凹槽内(无焊接，背部螺丝固定)平整性好，方钢每段要求子母链接，稳固性强，轨道采用埋入式，用膨胀螺栓或射钉安装，与地面齐平。轨道的布轨数量要求：可根据列的组合长度及架体的承重要求，合理增加轨道的布轨数量。 </w:t>
      </w:r>
    </w:p>
    <w:p w14:paraId="5982508E">
      <w:pPr>
        <w:ind w:firstLine="480"/>
        <w:rPr>
          <w:rFonts w:ascii="宋体" w:hAnsi="宋体" w:eastAsia="宋体" w:cs="宋体"/>
          <w:highlight w:val="none"/>
        </w:rPr>
      </w:pPr>
      <w:r>
        <w:rPr>
          <w:rFonts w:hint="eastAsia" w:ascii="宋体" w:hAnsi="宋体" w:eastAsia="宋体" w:cs="宋体"/>
          <w:highlight w:val="none"/>
        </w:rPr>
        <w:t>（2）底盘：采用≥3.0mm优质热轧钢板。底盘为嵌入式分段组合，高度≥120mm，上下双翻边加强，上翻边≥50mm。底盘可灵活拼接拆装，相邻两节子母结构，具有良好的对接互换性、稳定性，并在前后位置底部设有防倾倒装置，防止架体倾倒。高强度底盘使架体长期荷重存放资料不变形，底架装配后的直线平行度不大于0.5mm/m，全长不大于2mm，底盘与立柱连接采用≥M10*20螺栓与卡槽式双重连接模式，加强 牢固度，底架装配后的直线平行度不大于0.5mm/m，全长不大于2mm。底盘采用链条传动，传动精确平稳、噪音低、摇力度更好、移动速度更合理、传递扭力更省力。</w:t>
      </w:r>
    </w:p>
    <w:p w14:paraId="3BC6E2E1">
      <w:pPr>
        <w:ind w:firstLine="480"/>
        <w:rPr>
          <w:rFonts w:ascii="宋体" w:hAnsi="宋体" w:eastAsia="宋体" w:cs="宋体"/>
          <w:highlight w:val="none"/>
        </w:rPr>
      </w:pPr>
      <w:r>
        <w:rPr>
          <w:rFonts w:hint="eastAsia" w:ascii="宋体" w:hAnsi="宋体" w:eastAsia="宋体" w:cs="宋体"/>
          <w:highlight w:val="none"/>
        </w:rPr>
        <w:t>（3）立柱：采用≥1.5mm优质冷轧钢板；</w:t>
      </w:r>
    </w:p>
    <w:p w14:paraId="0C37E101">
      <w:pPr>
        <w:ind w:firstLine="480"/>
        <w:rPr>
          <w:rFonts w:ascii="宋体" w:hAnsi="宋体" w:eastAsia="宋体" w:cs="宋体"/>
          <w:highlight w:val="none"/>
        </w:rPr>
      </w:pPr>
      <w:r>
        <w:rPr>
          <w:rFonts w:hint="eastAsia" w:ascii="宋体" w:hAnsi="宋体" w:eastAsia="宋体" w:cs="宋体"/>
          <w:highlight w:val="none"/>
        </w:rPr>
        <w:t>（4）搁(层)板：采用≥1.0mm优质冷轧钢板，采用7道折弯工艺，一次成型，厚度为≥25mm，要求正面2道压筋，折弯处要求无切口，压筋采用无焊接不断开工艺，更好保障搁板不变形，刚性足，承重能力强，每层承重≥80KG。</w:t>
      </w:r>
    </w:p>
    <w:p w14:paraId="3820FAF0">
      <w:pPr>
        <w:ind w:firstLine="480"/>
        <w:rPr>
          <w:rFonts w:ascii="宋体" w:hAnsi="宋体" w:eastAsia="宋体" w:cs="宋体"/>
          <w:highlight w:val="none"/>
        </w:rPr>
      </w:pPr>
      <w:r>
        <w:rPr>
          <w:rFonts w:hint="eastAsia" w:ascii="宋体" w:hAnsi="宋体" w:eastAsia="宋体" w:cs="宋体"/>
          <w:highlight w:val="none"/>
        </w:rPr>
        <w:t>（5）挂板：挂板采用优质冷轧钢板使用模具一体冲压成型，厚度≥1.2mm。两端挂钩结构设计，挂板中间挡棒孔为2条形结构，挡棒插入方孔后可挂扣在挂板上，可防止挡棒两端滑落。</w:t>
      </w:r>
    </w:p>
    <w:p w14:paraId="79436D95">
      <w:pPr>
        <w:ind w:firstLine="480"/>
        <w:rPr>
          <w:rFonts w:ascii="宋体" w:hAnsi="宋体" w:eastAsia="宋体" w:cs="宋体"/>
          <w:highlight w:val="none"/>
        </w:rPr>
      </w:pPr>
      <w:r>
        <w:rPr>
          <w:rFonts w:hint="eastAsia" w:ascii="宋体" w:hAnsi="宋体" w:eastAsia="宋体" w:cs="宋体"/>
          <w:highlight w:val="none"/>
        </w:rPr>
        <w:t>（6）侧板：侧板采用优质冷轧钢板，正面按压不变形，厚度为≥1.0mm。</w:t>
      </w:r>
    </w:p>
    <w:p w14:paraId="4F592E93">
      <w:pPr>
        <w:ind w:firstLine="480"/>
        <w:rPr>
          <w:rFonts w:ascii="宋体" w:hAnsi="宋体" w:eastAsia="宋体" w:cs="宋体"/>
          <w:highlight w:val="none"/>
        </w:rPr>
      </w:pPr>
      <w:r>
        <w:rPr>
          <w:rFonts w:hint="eastAsia" w:ascii="宋体" w:hAnsi="宋体" w:eastAsia="宋体" w:cs="宋体"/>
          <w:highlight w:val="none"/>
        </w:rPr>
        <w:t>（7）顶板：采用优质冷轧钢板一次成型，与立柱和顶边板连接，厚度≥1.0mm。</w:t>
      </w:r>
    </w:p>
    <w:p w14:paraId="316D868C">
      <w:pPr>
        <w:ind w:firstLine="480"/>
        <w:rPr>
          <w:rFonts w:ascii="宋体" w:hAnsi="宋体" w:eastAsia="宋体" w:cs="宋体"/>
          <w:highlight w:val="none"/>
        </w:rPr>
      </w:pPr>
      <w:r>
        <w:rPr>
          <w:rFonts w:hint="eastAsia" w:ascii="宋体" w:hAnsi="宋体" w:eastAsia="宋体" w:cs="宋体"/>
          <w:highlight w:val="none"/>
        </w:rPr>
        <w:t>（8）门板及锁具：门板选用厚度≥1.0mm优质冷轧钢板，配有豪华闪电锁，锁杆封闭、内面带加强筋，背面点焊加强筋，门面平整，组装后缝隙均匀，锁定紧密，开启灵活。</w:t>
      </w:r>
    </w:p>
    <w:p w14:paraId="6D7EB38D">
      <w:pPr>
        <w:ind w:firstLine="480"/>
        <w:rPr>
          <w:rFonts w:ascii="宋体" w:hAnsi="宋体" w:eastAsia="宋体" w:cs="宋体"/>
          <w:highlight w:val="none"/>
        </w:rPr>
      </w:pPr>
      <w:r>
        <w:rPr>
          <w:rFonts w:hint="eastAsia" w:ascii="宋体" w:hAnsi="宋体" w:eastAsia="宋体" w:cs="宋体"/>
          <w:highlight w:val="none"/>
        </w:rPr>
        <w:t xml:space="preserve">（9）挡棒：挡棒采用优质冷轧钢板下冲折一体成型，厚度≥0.8mm，设计为挂扣式挡棒，当挡棒插入挂板方孔后，将挡棒上的异形孔挂扣在挂板方孔上，使挡棒与挂板通过机械组合达到锁紧功能。 </w:t>
      </w:r>
    </w:p>
    <w:p w14:paraId="5E7C247E">
      <w:pPr>
        <w:ind w:firstLine="480"/>
        <w:rPr>
          <w:rFonts w:ascii="宋体" w:hAnsi="宋体" w:eastAsia="宋体" w:cs="宋体"/>
          <w:highlight w:val="none"/>
        </w:rPr>
      </w:pPr>
      <w:r>
        <w:rPr>
          <w:rFonts w:hint="eastAsia" w:ascii="宋体" w:hAnsi="宋体" w:eastAsia="宋体" w:cs="宋体"/>
          <w:highlight w:val="none"/>
        </w:rPr>
        <w:t>（10）防鼠、防尘板装置：采用≥1.0mm优质冷轧钢板制作而成，板体光滑表面经过防腐处理，坚硬、耐磨，底盘安装防鼠板，架体合拢后底盘之间缝隙小于2.0mm。</w:t>
      </w:r>
    </w:p>
    <w:p w14:paraId="5EEE97CA">
      <w:pPr>
        <w:ind w:firstLine="480"/>
        <w:rPr>
          <w:rFonts w:ascii="宋体" w:hAnsi="宋体" w:eastAsia="宋体" w:cs="宋体"/>
          <w:highlight w:val="none"/>
        </w:rPr>
      </w:pPr>
      <w:r>
        <w:rPr>
          <w:rFonts w:hint="eastAsia" w:ascii="宋体" w:hAnsi="宋体" w:eastAsia="宋体" w:cs="宋体"/>
          <w:highlight w:val="none"/>
        </w:rPr>
        <w:t>（1）-（10）为全金属架体，其中（1）-（3）材料厚度为裸板计算。</w:t>
      </w:r>
    </w:p>
    <w:p w14:paraId="69F21E18">
      <w:pPr>
        <w:ind w:firstLine="480"/>
        <w:rPr>
          <w:rFonts w:ascii="宋体" w:hAnsi="宋体" w:eastAsia="宋体" w:cs="宋体"/>
          <w:highlight w:val="none"/>
        </w:rPr>
      </w:pPr>
      <w:r>
        <w:rPr>
          <w:rFonts w:hint="eastAsia" w:ascii="宋体" w:hAnsi="宋体" w:eastAsia="宋体" w:cs="宋体"/>
          <w:highlight w:val="none"/>
        </w:rPr>
        <w:t xml:space="preserve">（11）制动装置：手柄采用ABS塑料注塑而成，具有抗压、耐磨等功能，线条润滑，旋转时省力。 </w:t>
      </w:r>
    </w:p>
    <w:p w14:paraId="26ACD2B9">
      <w:pPr>
        <w:ind w:firstLine="480"/>
        <w:rPr>
          <w:rFonts w:ascii="宋体" w:hAnsi="宋体" w:eastAsia="宋体" w:cs="宋体"/>
          <w:highlight w:val="none"/>
        </w:rPr>
      </w:pPr>
      <w:r>
        <w:rPr>
          <w:rFonts w:hint="eastAsia" w:ascii="宋体" w:hAnsi="宋体" w:eastAsia="宋体" w:cs="宋体"/>
          <w:highlight w:val="none"/>
        </w:rPr>
        <w:t xml:space="preserve">（12）磁性密封条：采用最新型插入式抗老化橡塑磁性密封条。 </w:t>
      </w:r>
    </w:p>
    <w:p w14:paraId="1BBD27B4">
      <w:pPr>
        <w:ind w:firstLine="480"/>
        <w:rPr>
          <w:rFonts w:ascii="宋体" w:hAnsi="宋体" w:eastAsia="宋体" w:cs="宋体"/>
          <w:highlight w:val="none"/>
        </w:rPr>
      </w:pPr>
      <w:r>
        <w:rPr>
          <w:rFonts w:hint="eastAsia" w:ascii="宋体" w:hAnsi="宋体" w:eastAsia="宋体" w:cs="宋体"/>
          <w:highlight w:val="none"/>
        </w:rPr>
        <w:t xml:space="preserve">（13）密集架所有钢板外表面采用静电喷塑处理工艺（前处理——纯水洗——高温烘干高压静电喷塑——高温固化），达到防锈防腐效果。 </w:t>
      </w:r>
    </w:p>
    <w:p w14:paraId="07134E19">
      <w:pPr>
        <w:ind w:firstLine="480"/>
        <w:rPr>
          <w:rFonts w:ascii="宋体" w:hAnsi="宋体" w:eastAsia="宋体" w:cs="宋体"/>
          <w:highlight w:val="none"/>
        </w:rPr>
      </w:pPr>
      <w:r>
        <w:rPr>
          <w:rFonts w:hint="eastAsia" w:ascii="宋体" w:hAnsi="宋体" w:eastAsia="宋体" w:cs="宋体"/>
          <w:highlight w:val="none"/>
        </w:rPr>
        <w:t xml:space="preserve">（14）密集架每列前侧面板配标签框。 </w:t>
      </w:r>
    </w:p>
    <w:p w14:paraId="07CB1C72">
      <w:pPr>
        <w:ind w:firstLine="480"/>
        <w:rPr>
          <w:rFonts w:ascii="宋体" w:hAnsi="宋体" w:eastAsia="宋体" w:cs="宋体"/>
          <w:highlight w:val="none"/>
        </w:rPr>
      </w:pPr>
      <w:r>
        <w:rPr>
          <w:rFonts w:hint="eastAsia" w:ascii="宋体" w:hAnsi="宋体" w:eastAsia="宋体" w:cs="宋体"/>
          <w:highlight w:val="none"/>
        </w:rPr>
        <w:t xml:space="preserve">（15）密集架所有紧固件表面须做镀锌防锈处理。 </w:t>
      </w:r>
    </w:p>
    <w:p w14:paraId="677681C1">
      <w:pPr>
        <w:ind w:firstLine="480"/>
        <w:rPr>
          <w:rFonts w:ascii="宋体" w:hAnsi="宋体" w:eastAsia="宋体" w:cs="宋体"/>
          <w:highlight w:val="none"/>
        </w:rPr>
      </w:pPr>
      <w:r>
        <w:rPr>
          <w:rFonts w:hint="eastAsia" w:ascii="宋体" w:hAnsi="宋体" w:eastAsia="宋体" w:cs="宋体"/>
          <w:highlight w:val="none"/>
        </w:rPr>
        <w:t>以上为全金属架体，所有材料厚度均以裸板计算，禁止使用非标准板材。</w:t>
      </w:r>
    </w:p>
    <w:p w14:paraId="049719BB">
      <w:pPr>
        <w:ind w:firstLine="480"/>
        <w:rPr>
          <w:rFonts w:ascii="宋体" w:hAnsi="宋体" w:eastAsia="宋体" w:cs="宋体"/>
          <w:highlight w:val="none"/>
        </w:rPr>
      </w:pPr>
      <w:r>
        <w:rPr>
          <w:rFonts w:hint="eastAsia" w:ascii="宋体" w:hAnsi="宋体" w:eastAsia="宋体" w:cs="宋体"/>
          <w:highlight w:val="none"/>
        </w:rPr>
        <w:t>2.特种载体手动密集架参数</w:t>
      </w:r>
    </w:p>
    <w:p w14:paraId="5E82A5FF">
      <w:pPr>
        <w:ind w:firstLine="480"/>
        <w:rPr>
          <w:rFonts w:ascii="宋体" w:hAnsi="宋体" w:eastAsia="宋体" w:cs="宋体"/>
          <w:highlight w:val="none"/>
        </w:rPr>
      </w:pPr>
      <w:r>
        <w:rPr>
          <w:rFonts w:hint="eastAsia" w:ascii="宋体" w:hAnsi="宋体" w:eastAsia="宋体" w:cs="宋体"/>
          <w:highlight w:val="none"/>
        </w:rPr>
        <w:t xml:space="preserve">2.1 手动带灯实物密集架技术参数 </w:t>
      </w:r>
    </w:p>
    <w:p w14:paraId="034C896D">
      <w:pPr>
        <w:ind w:firstLine="480"/>
        <w:rPr>
          <w:rFonts w:ascii="宋体" w:hAnsi="宋体" w:eastAsia="宋体" w:cs="宋体"/>
          <w:highlight w:val="none"/>
        </w:rPr>
      </w:pPr>
      <w:r>
        <w:rPr>
          <w:rFonts w:hint="eastAsia" w:ascii="宋体" w:hAnsi="宋体" w:eastAsia="宋体" w:cs="宋体"/>
          <w:highlight w:val="none"/>
        </w:rPr>
        <w:t xml:space="preserve">（1）每节5层。 </w:t>
      </w:r>
    </w:p>
    <w:p w14:paraId="717ADDAD">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61ABD53F">
      <w:pPr>
        <w:ind w:firstLine="480"/>
        <w:rPr>
          <w:rFonts w:ascii="宋体" w:hAnsi="宋体" w:eastAsia="宋体" w:cs="宋体"/>
          <w:highlight w:val="none"/>
        </w:rPr>
      </w:pPr>
      <w:r>
        <w:rPr>
          <w:rFonts w:hint="eastAsia" w:ascii="宋体" w:hAnsi="宋体" w:eastAsia="宋体" w:cs="宋体"/>
          <w:highlight w:val="none"/>
        </w:rPr>
        <w:t xml:space="preserve">2.2 手动带灯防磁柜密集架技术参数 </w:t>
      </w:r>
    </w:p>
    <w:p w14:paraId="2628D444">
      <w:pPr>
        <w:ind w:firstLine="480"/>
        <w:rPr>
          <w:rFonts w:ascii="宋体" w:hAnsi="宋体" w:eastAsia="宋体" w:cs="宋体"/>
          <w:highlight w:val="none"/>
        </w:rPr>
      </w:pPr>
      <w:r>
        <w:rPr>
          <w:rFonts w:hint="eastAsia" w:ascii="宋体" w:hAnsi="宋体" w:eastAsia="宋体" w:cs="宋体"/>
          <w:highlight w:val="none"/>
        </w:rPr>
        <w:t xml:space="preserve">（1）共分三层，两块可调搁板，内含高1700mm、长570mm、深520mm防磁柜，柜内共6 个抽屉，抽屉两侧采用优质的三节轨滑轨，使抽屉进出自如，柜内磁性载体可视性强，编目简单，査找方便。在防磁柜外表面施加磁感应强度6000GS或600MT的磁场，防磁柜内部的磁感应强度不大于5GS或0.5MT，符合磁性载体的中际保管标准。为防止灰尘、光线进入，破坏磁层稳定，信号衰减，装具门装有密封条，门与柜体结合采用四凸设置，可有效地防止多种污物进入。装具内的抽屉设有各种规格的磁性载体可调托板，以适应存放多种规格的磁性载体，且可防止磁性载体发生碰撞，同时，抽屉底部两侧设有轴承附轨及定位装置，以防止拙屉推拉时产生振动。柜体各个零件均经剪切、冲裁、折弯、磷化、喷塑诸工序精制而成。  </w:t>
      </w:r>
    </w:p>
    <w:p w14:paraId="6D6D942F">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0248CC8E">
      <w:pPr>
        <w:ind w:firstLine="480"/>
        <w:rPr>
          <w:rFonts w:ascii="宋体" w:hAnsi="宋体" w:eastAsia="宋体" w:cs="宋体"/>
          <w:highlight w:val="none"/>
        </w:rPr>
      </w:pPr>
      <w:r>
        <w:rPr>
          <w:rFonts w:hint="eastAsia" w:ascii="宋体" w:hAnsi="宋体" w:eastAsia="宋体" w:cs="宋体"/>
          <w:highlight w:val="none"/>
        </w:rPr>
        <w:t xml:space="preserve">2.3 手动带灯挂画密集架技术参数 </w:t>
      </w:r>
    </w:p>
    <w:p w14:paraId="66A10D38">
      <w:pPr>
        <w:ind w:firstLine="480"/>
        <w:rPr>
          <w:rFonts w:ascii="宋体" w:hAnsi="宋体" w:eastAsia="宋体" w:cs="宋体"/>
          <w:highlight w:val="none"/>
        </w:rPr>
      </w:pPr>
      <w:r>
        <w:rPr>
          <w:rFonts w:hint="eastAsia" w:ascii="宋体" w:hAnsi="宋体" w:eastAsia="宋体" w:cs="宋体"/>
          <w:highlight w:val="none"/>
        </w:rPr>
        <w:t xml:space="preserve">（1）支架框体采用≧1.0mm厚优质冷轧板，折弯成型，装配成长方形框体。框体中间镶嵌50*50mm网格，网格采用φ3mm铁丝。框体抽出面为120mm，装配铝合金拉手，实现整个架框侧向抽出，满足油画存取需求。 </w:t>
      </w:r>
    </w:p>
    <w:p w14:paraId="6888150C">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3B7706D0">
      <w:pPr>
        <w:ind w:firstLine="480"/>
        <w:rPr>
          <w:rFonts w:ascii="宋体" w:hAnsi="宋体" w:eastAsia="宋体" w:cs="宋体"/>
          <w:highlight w:val="none"/>
        </w:rPr>
      </w:pPr>
      <w:r>
        <w:rPr>
          <w:rFonts w:hint="eastAsia" w:ascii="宋体" w:hAnsi="宋体" w:eastAsia="宋体" w:cs="宋体"/>
          <w:highlight w:val="none"/>
        </w:rPr>
        <w:t xml:space="preserve">2.4 手动带灯装备密集架技术参数 </w:t>
      </w:r>
    </w:p>
    <w:p w14:paraId="3418A454">
      <w:pPr>
        <w:ind w:firstLine="480"/>
        <w:rPr>
          <w:rFonts w:ascii="宋体" w:hAnsi="宋体" w:eastAsia="宋体" w:cs="宋体"/>
          <w:highlight w:val="none"/>
        </w:rPr>
      </w:pPr>
      <w:r>
        <w:rPr>
          <w:rFonts w:hint="eastAsia" w:ascii="宋体" w:hAnsi="宋体" w:eastAsia="宋体" w:cs="宋体"/>
          <w:highlight w:val="none"/>
        </w:rPr>
        <w:t>（1）每层为一个独立的个体，全封闭式，带门带锁具，可随意取出每层个体。</w:t>
      </w:r>
    </w:p>
    <w:p w14:paraId="337E0944">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23616984">
      <w:pPr>
        <w:ind w:firstLine="480"/>
        <w:rPr>
          <w:rFonts w:ascii="宋体" w:hAnsi="宋体" w:eastAsia="宋体" w:cs="宋体"/>
          <w:highlight w:val="none"/>
        </w:rPr>
      </w:pPr>
      <w:r>
        <w:rPr>
          <w:rFonts w:hint="eastAsia" w:ascii="宋体" w:hAnsi="宋体" w:eastAsia="宋体" w:cs="宋体"/>
          <w:highlight w:val="none"/>
        </w:rPr>
        <w:t xml:space="preserve">2.5 手动带灯锦旗印章密集架技术参数 </w:t>
      </w:r>
    </w:p>
    <w:p w14:paraId="625968CE">
      <w:pPr>
        <w:ind w:firstLine="480"/>
        <w:rPr>
          <w:rFonts w:ascii="宋体" w:hAnsi="宋体" w:eastAsia="宋体" w:cs="宋体"/>
          <w:highlight w:val="none"/>
        </w:rPr>
      </w:pPr>
      <w:r>
        <w:rPr>
          <w:rFonts w:hint="eastAsia" w:ascii="宋体" w:hAnsi="宋体" w:eastAsia="宋体" w:cs="宋体"/>
          <w:highlight w:val="none"/>
        </w:rPr>
        <w:t xml:space="preserve">（1）上两层分别挂锦旗，下两个抽屉放印章，抽屉内镶绒布。  </w:t>
      </w:r>
    </w:p>
    <w:p w14:paraId="7E817F89">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58228C85">
      <w:pPr>
        <w:ind w:firstLine="480"/>
        <w:rPr>
          <w:rFonts w:ascii="宋体" w:hAnsi="宋体" w:eastAsia="宋体" w:cs="宋体"/>
          <w:highlight w:val="none"/>
        </w:rPr>
      </w:pPr>
      <w:r>
        <w:rPr>
          <w:rFonts w:hint="eastAsia" w:ascii="宋体" w:hAnsi="宋体" w:eastAsia="宋体" w:cs="宋体"/>
          <w:highlight w:val="none"/>
        </w:rPr>
        <w:t xml:space="preserve">2.6 手动带灯奖杯密集架技术参数 </w:t>
      </w:r>
    </w:p>
    <w:p w14:paraId="3E1C2B69">
      <w:pPr>
        <w:ind w:firstLine="480"/>
        <w:rPr>
          <w:rFonts w:ascii="宋体" w:hAnsi="宋体" w:eastAsia="宋体" w:cs="宋体"/>
          <w:highlight w:val="none"/>
        </w:rPr>
      </w:pPr>
      <w:r>
        <w:rPr>
          <w:rFonts w:hint="eastAsia" w:ascii="宋体" w:hAnsi="宋体" w:eastAsia="宋体" w:cs="宋体"/>
          <w:highlight w:val="none"/>
        </w:rPr>
        <w:t xml:space="preserve">（1）每节5层，每层搁板铺设一层金色绒布，采用双面设计，配有防掉档条。  </w:t>
      </w:r>
    </w:p>
    <w:p w14:paraId="563679A7">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228AC5C2">
      <w:pPr>
        <w:ind w:firstLine="480"/>
        <w:rPr>
          <w:rFonts w:ascii="宋体" w:hAnsi="宋体" w:eastAsia="宋体" w:cs="宋体"/>
          <w:highlight w:val="none"/>
        </w:rPr>
      </w:pPr>
      <w:r>
        <w:rPr>
          <w:rFonts w:hint="eastAsia" w:ascii="宋体" w:hAnsi="宋体" w:eastAsia="宋体" w:cs="宋体"/>
          <w:highlight w:val="none"/>
        </w:rPr>
        <w:t xml:space="preserve">2.7 手动带灯奖牌密集架技术参数 </w:t>
      </w:r>
    </w:p>
    <w:p w14:paraId="56CA9C77">
      <w:pPr>
        <w:ind w:firstLine="480"/>
        <w:rPr>
          <w:rFonts w:ascii="宋体" w:hAnsi="宋体" w:eastAsia="宋体" w:cs="宋体"/>
          <w:highlight w:val="none"/>
        </w:rPr>
      </w:pPr>
      <w:r>
        <w:rPr>
          <w:rFonts w:hint="eastAsia" w:ascii="宋体" w:hAnsi="宋体" w:eastAsia="宋体" w:cs="宋体"/>
          <w:highlight w:val="none"/>
        </w:rPr>
        <w:t xml:space="preserve">（1）每节5层，每层约均分15竖格，竖格高度约为每层有效高度的三分之二以上，厚度为≧1.0mm优质冷轧钢板。 </w:t>
      </w:r>
    </w:p>
    <w:p w14:paraId="7F473E6B">
      <w:pPr>
        <w:ind w:firstLine="480"/>
        <w:rPr>
          <w:rFonts w:ascii="宋体" w:hAnsi="宋体" w:eastAsia="宋体" w:cs="宋体"/>
          <w:highlight w:val="none"/>
        </w:rPr>
      </w:pPr>
      <w:r>
        <w:rPr>
          <w:rFonts w:hint="eastAsia" w:ascii="宋体" w:hAnsi="宋体" w:eastAsia="宋体" w:cs="宋体"/>
          <w:highlight w:val="none"/>
        </w:rPr>
        <w:t xml:space="preserve">（2）其他要求与“手动密集架【架体】技术参数”一致。 </w:t>
      </w:r>
    </w:p>
    <w:p w14:paraId="28324732">
      <w:pPr>
        <w:ind w:firstLine="480"/>
        <w:rPr>
          <w:rFonts w:hint="eastAsia" w:ascii="宋体" w:hAnsi="宋体" w:eastAsia="宋体" w:cs="宋体"/>
          <w:highlight w:val="none"/>
        </w:rPr>
      </w:pPr>
      <w:r>
        <w:rPr>
          <w:rFonts w:hint="eastAsia" w:ascii="宋体" w:hAnsi="宋体" w:eastAsia="宋体" w:cs="宋体"/>
          <w:highlight w:val="none"/>
        </w:rPr>
        <w:t>3.手动带灯密集架架体主要材质要求</w:t>
      </w:r>
    </w:p>
    <w:tbl>
      <w:tblPr>
        <w:tblStyle w:val="44"/>
        <w:tblW w:w="10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39"/>
        <w:gridCol w:w="2690"/>
        <w:gridCol w:w="1511"/>
        <w:gridCol w:w="3519"/>
      </w:tblGrid>
      <w:tr w14:paraId="1689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8" w:type="dxa"/>
            <w:gridSpan w:val="2"/>
            <w:vMerge w:val="restart"/>
            <w:tcBorders>
              <w:top w:val="single" w:color="auto" w:sz="4" w:space="0"/>
              <w:left w:val="single" w:color="auto" w:sz="4" w:space="0"/>
              <w:bottom w:val="single" w:color="auto" w:sz="4" w:space="0"/>
              <w:right w:val="single" w:color="auto" w:sz="4" w:space="0"/>
            </w:tcBorders>
            <w:vAlign w:val="center"/>
          </w:tcPr>
          <w:p w14:paraId="423B5BE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设备名称</w:t>
            </w:r>
          </w:p>
        </w:tc>
        <w:tc>
          <w:tcPr>
            <w:tcW w:w="7720" w:type="dxa"/>
            <w:gridSpan w:val="3"/>
            <w:tcBorders>
              <w:top w:val="single" w:color="auto" w:sz="4" w:space="0"/>
              <w:left w:val="nil"/>
              <w:bottom w:val="single" w:color="auto" w:sz="4" w:space="0"/>
              <w:right w:val="single" w:color="auto" w:sz="4" w:space="0"/>
            </w:tcBorders>
            <w:vAlign w:val="center"/>
          </w:tcPr>
          <w:p w14:paraId="177E118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技术参数</w:t>
            </w:r>
          </w:p>
        </w:tc>
      </w:tr>
      <w:tr w14:paraId="4F62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8" w:type="dxa"/>
            <w:gridSpan w:val="2"/>
            <w:vMerge w:val="continue"/>
            <w:tcBorders>
              <w:top w:val="single" w:color="auto" w:sz="4" w:space="0"/>
              <w:left w:val="single" w:color="auto" w:sz="4" w:space="0"/>
              <w:bottom w:val="single" w:color="auto" w:sz="4" w:space="0"/>
              <w:right w:val="single" w:color="auto" w:sz="4" w:space="0"/>
            </w:tcBorders>
            <w:vAlign w:val="center"/>
          </w:tcPr>
          <w:p w14:paraId="518661E1">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2690" w:type="dxa"/>
            <w:tcBorders>
              <w:top w:val="single" w:color="auto" w:sz="4" w:space="0"/>
              <w:left w:val="nil"/>
              <w:bottom w:val="single" w:color="auto" w:sz="4" w:space="0"/>
              <w:right w:val="single" w:color="auto" w:sz="4" w:space="0"/>
            </w:tcBorders>
            <w:vAlign w:val="center"/>
          </w:tcPr>
          <w:p w14:paraId="1ED26FD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材料规格</w:t>
            </w:r>
          </w:p>
        </w:tc>
        <w:tc>
          <w:tcPr>
            <w:tcW w:w="1511" w:type="dxa"/>
            <w:tcBorders>
              <w:top w:val="single" w:color="auto" w:sz="4" w:space="0"/>
              <w:left w:val="nil"/>
              <w:bottom w:val="single" w:color="auto" w:sz="4" w:space="0"/>
              <w:right w:val="single" w:color="auto" w:sz="4" w:space="0"/>
            </w:tcBorders>
            <w:vAlign w:val="center"/>
          </w:tcPr>
          <w:p w14:paraId="074ABBD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采用标准</w:t>
            </w:r>
          </w:p>
        </w:tc>
        <w:tc>
          <w:tcPr>
            <w:tcW w:w="3519" w:type="dxa"/>
            <w:tcBorders>
              <w:top w:val="single" w:color="auto" w:sz="4" w:space="0"/>
              <w:left w:val="nil"/>
              <w:bottom w:val="single" w:color="auto" w:sz="4" w:space="0"/>
              <w:right w:val="single" w:color="auto" w:sz="4" w:space="0"/>
            </w:tcBorders>
            <w:vAlign w:val="center"/>
          </w:tcPr>
          <w:p w14:paraId="210E799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性能</w:t>
            </w:r>
          </w:p>
        </w:tc>
      </w:tr>
      <w:tr w14:paraId="4F83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1129" w:type="dxa"/>
            <w:vMerge w:val="restart"/>
            <w:tcBorders>
              <w:top w:val="nil"/>
              <w:left w:val="single" w:color="auto" w:sz="4" w:space="0"/>
              <w:bottom w:val="single" w:color="auto" w:sz="4" w:space="0"/>
              <w:right w:val="single" w:color="auto" w:sz="4" w:space="0"/>
            </w:tcBorders>
            <w:vAlign w:val="center"/>
          </w:tcPr>
          <w:p w14:paraId="3024266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轨道</w:t>
            </w:r>
          </w:p>
        </w:tc>
        <w:tc>
          <w:tcPr>
            <w:tcW w:w="1439" w:type="dxa"/>
            <w:tcBorders>
              <w:top w:val="single" w:color="auto" w:sz="4" w:space="0"/>
              <w:left w:val="nil"/>
              <w:bottom w:val="single" w:color="auto" w:sz="4" w:space="0"/>
              <w:right w:val="single" w:color="auto" w:sz="4" w:space="0"/>
            </w:tcBorders>
            <w:vAlign w:val="center"/>
          </w:tcPr>
          <w:p w14:paraId="3430E5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轨座</w:t>
            </w:r>
          </w:p>
        </w:tc>
        <w:tc>
          <w:tcPr>
            <w:tcW w:w="2690" w:type="dxa"/>
            <w:tcBorders>
              <w:top w:val="single" w:color="auto" w:sz="4" w:space="0"/>
              <w:left w:val="nil"/>
              <w:bottom w:val="single" w:color="auto" w:sz="4" w:space="0"/>
              <w:right w:val="single" w:color="auto" w:sz="4" w:space="0"/>
            </w:tcBorders>
            <w:vAlign w:val="center"/>
          </w:tcPr>
          <w:p w14:paraId="35177809">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p w14:paraId="60455BD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≥3.0mm热轧钢板</w:t>
            </w:r>
          </w:p>
          <w:p w14:paraId="5FDED18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p>
        </w:tc>
        <w:tc>
          <w:tcPr>
            <w:tcW w:w="1511" w:type="dxa"/>
            <w:tcBorders>
              <w:top w:val="single" w:color="auto" w:sz="4" w:space="0"/>
              <w:left w:val="nil"/>
              <w:bottom w:val="single" w:color="auto" w:sz="4" w:space="0"/>
              <w:right w:val="single" w:color="auto" w:sz="4" w:space="0"/>
            </w:tcBorders>
            <w:vAlign w:val="center"/>
          </w:tcPr>
          <w:p w14:paraId="3CD3BD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711</w:t>
            </w:r>
          </w:p>
        </w:tc>
        <w:tc>
          <w:tcPr>
            <w:tcW w:w="3519" w:type="dxa"/>
            <w:tcBorders>
              <w:top w:val="single" w:color="auto" w:sz="4" w:space="0"/>
              <w:left w:val="nil"/>
              <w:bottom w:val="single" w:color="auto" w:sz="4" w:space="0"/>
              <w:right w:val="single" w:color="auto" w:sz="4" w:space="0"/>
            </w:tcBorders>
            <w:vAlign w:val="center"/>
          </w:tcPr>
          <w:p w14:paraId="7A046ED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轨道的作用在于密集架沿着轨道平稳直线运行，承载密集架满负荷时承重力的分布，减少密集架运行阻力，使摇力更加轻便。</w:t>
            </w:r>
          </w:p>
        </w:tc>
      </w:tr>
      <w:tr w14:paraId="6797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nil"/>
              <w:left w:val="single" w:color="auto" w:sz="4" w:space="0"/>
              <w:bottom w:val="single" w:color="auto" w:sz="4" w:space="0"/>
              <w:right w:val="single" w:color="auto" w:sz="4" w:space="0"/>
            </w:tcBorders>
            <w:vAlign w:val="center"/>
          </w:tcPr>
          <w:p w14:paraId="0BC6EBBA">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5582707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导轨</w:t>
            </w:r>
          </w:p>
        </w:tc>
        <w:tc>
          <w:tcPr>
            <w:tcW w:w="2690" w:type="dxa"/>
            <w:tcBorders>
              <w:top w:val="single" w:color="auto" w:sz="4" w:space="0"/>
              <w:left w:val="nil"/>
              <w:bottom w:val="single" w:color="auto" w:sz="4" w:space="0"/>
              <w:right w:val="single" w:color="auto" w:sz="4" w:space="0"/>
            </w:tcBorders>
            <w:vAlign w:val="center"/>
          </w:tcPr>
          <w:p w14:paraId="376D54F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20×20mm方钢</w:t>
            </w:r>
          </w:p>
        </w:tc>
        <w:tc>
          <w:tcPr>
            <w:tcW w:w="1511" w:type="dxa"/>
            <w:tcBorders>
              <w:top w:val="single" w:color="auto" w:sz="4" w:space="0"/>
              <w:left w:val="nil"/>
              <w:bottom w:val="single" w:color="auto" w:sz="4" w:space="0"/>
              <w:right w:val="single" w:color="auto" w:sz="4" w:space="0"/>
            </w:tcBorders>
            <w:vAlign w:val="center"/>
          </w:tcPr>
          <w:p w14:paraId="3DCCC08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699</w:t>
            </w:r>
          </w:p>
        </w:tc>
        <w:tc>
          <w:tcPr>
            <w:tcW w:w="3519" w:type="dxa"/>
            <w:tcBorders>
              <w:top w:val="single" w:color="auto" w:sz="4" w:space="0"/>
              <w:left w:val="nil"/>
              <w:bottom w:val="single" w:color="auto" w:sz="4" w:space="0"/>
              <w:right w:val="single" w:color="auto" w:sz="4" w:space="0"/>
            </w:tcBorders>
            <w:vAlign w:val="center"/>
          </w:tcPr>
          <w:p w14:paraId="0DEB561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表面镀硬铬</w:t>
            </w:r>
          </w:p>
        </w:tc>
      </w:tr>
      <w:tr w14:paraId="11CC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9126F7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底盘</w:t>
            </w:r>
          </w:p>
        </w:tc>
        <w:tc>
          <w:tcPr>
            <w:tcW w:w="1439" w:type="dxa"/>
            <w:tcBorders>
              <w:top w:val="single" w:color="auto" w:sz="4" w:space="0"/>
              <w:left w:val="nil"/>
              <w:bottom w:val="single" w:color="auto" w:sz="4" w:space="0"/>
              <w:right w:val="single" w:color="auto" w:sz="4" w:space="0"/>
            </w:tcBorders>
            <w:vAlign w:val="center"/>
          </w:tcPr>
          <w:p w14:paraId="49AA243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底梁</w:t>
            </w:r>
          </w:p>
        </w:tc>
        <w:tc>
          <w:tcPr>
            <w:tcW w:w="2690" w:type="dxa"/>
            <w:tcBorders>
              <w:top w:val="single" w:color="auto" w:sz="4" w:space="0"/>
              <w:left w:val="nil"/>
              <w:bottom w:val="single" w:color="auto" w:sz="4" w:space="0"/>
              <w:right w:val="single" w:color="auto" w:sz="4" w:space="0"/>
            </w:tcBorders>
            <w:vAlign w:val="center"/>
          </w:tcPr>
          <w:p w14:paraId="017AD09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≥3.0mm热轧钢板</w:t>
            </w:r>
          </w:p>
        </w:tc>
        <w:tc>
          <w:tcPr>
            <w:tcW w:w="1511" w:type="dxa"/>
            <w:tcBorders>
              <w:top w:val="single" w:color="auto" w:sz="4" w:space="0"/>
              <w:left w:val="nil"/>
              <w:bottom w:val="single" w:color="auto" w:sz="4" w:space="0"/>
              <w:right w:val="single" w:color="auto" w:sz="4" w:space="0"/>
            </w:tcBorders>
            <w:vAlign w:val="center"/>
          </w:tcPr>
          <w:p w14:paraId="0C66614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711</w:t>
            </w:r>
          </w:p>
        </w:tc>
        <w:tc>
          <w:tcPr>
            <w:tcW w:w="3519" w:type="dxa"/>
            <w:tcBorders>
              <w:top w:val="single" w:color="auto" w:sz="4" w:space="0"/>
              <w:left w:val="nil"/>
              <w:bottom w:val="single" w:color="auto" w:sz="4" w:space="0"/>
              <w:right w:val="single" w:color="auto" w:sz="4" w:space="0"/>
            </w:tcBorders>
          </w:tcPr>
          <w:p w14:paraId="3057416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底盘采用分段焊接后整体组装式，钢性足不变形，表面喷塑。底梁安装防倒装置防止架体倾斜和倒塌。</w:t>
            </w:r>
          </w:p>
        </w:tc>
      </w:tr>
      <w:tr w14:paraId="7F43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310B483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架体</w:t>
            </w:r>
          </w:p>
        </w:tc>
        <w:tc>
          <w:tcPr>
            <w:tcW w:w="1439" w:type="dxa"/>
            <w:tcBorders>
              <w:top w:val="single" w:color="auto" w:sz="4" w:space="0"/>
              <w:left w:val="nil"/>
              <w:bottom w:val="single" w:color="auto" w:sz="4" w:space="0"/>
              <w:right w:val="single" w:color="auto" w:sz="4" w:space="0"/>
            </w:tcBorders>
            <w:vAlign w:val="center"/>
          </w:tcPr>
          <w:p w14:paraId="43D14B2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立柱</w:t>
            </w:r>
          </w:p>
        </w:tc>
        <w:tc>
          <w:tcPr>
            <w:tcW w:w="2690" w:type="dxa"/>
            <w:tcBorders>
              <w:top w:val="single" w:color="auto" w:sz="4" w:space="0"/>
              <w:left w:val="nil"/>
              <w:bottom w:val="single" w:color="auto" w:sz="4" w:space="0"/>
              <w:right w:val="single" w:color="auto" w:sz="4" w:space="0"/>
            </w:tcBorders>
            <w:vAlign w:val="center"/>
          </w:tcPr>
          <w:p w14:paraId="16DAC21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≥1.5mm冷轧钢板</w:t>
            </w:r>
          </w:p>
        </w:tc>
        <w:tc>
          <w:tcPr>
            <w:tcW w:w="1511" w:type="dxa"/>
            <w:tcBorders>
              <w:top w:val="single" w:color="auto" w:sz="4" w:space="0"/>
              <w:left w:val="nil"/>
              <w:bottom w:val="single" w:color="auto" w:sz="4" w:space="0"/>
              <w:right w:val="single" w:color="auto" w:sz="4" w:space="0"/>
            </w:tcBorders>
            <w:vAlign w:val="center"/>
          </w:tcPr>
          <w:p w14:paraId="3D25114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1C9D6DDA">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结构结实、坚固，设计新颖，通用性强，层数和间距可按需要调整，表面喷塑。</w:t>
            </w:r>
          </w:p>
        </w:tc>
      </w:tr>
      <w:tr w14:paraId="5905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3EE5CD8">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0C069E3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搁板</w:t>
            </w:r>
          </w:p>
        </w:tc>
        <w:tc>
          <w:tcPr>
            <w:tcW w:w="2690" w:type="dxa"/>
            <w:tcBorders>
              <w:top w:val="single" w:color="auto" w:sz="4" w:space="0"/>
              <w:left w:val="nil"/>
              <w:bottom w:val="single" w:color="auto" w:sz="4" w:space="0"/>
              <w:right w:val="single" w:color="auto" w:sz="4" w:space="0"/>
            </w:tcBorders>
            <w:vAlign w:val="center"/>
          </w:tcPr>
          <w:p w14:paraId="671ED9B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2</w:t>
            </w:r>
            <w:r>
              <w:rPr>
                <w:rFonts w:hint="eastAsia" w:ascii="宋体" w:hAnsi="宋体" w:eastAsia="宋体" w:cs="宋体"/>
                <w:highlight w:val="none"/>
              </w:rPr>
              <w:t>mm冷轧钢板</w:t>
            </w:r>
          </w:p>
        </w:tc>
        <w:tc>
          <w:tcPr>
            <w:tcW w:w="1511" w:type="dxa"/>
            <w:tcBorders>
              <w:top w:val="single" w:color="auto" w:sz="4" w:space="0"/>
              <w:left w:val="nil"/>
              <w:bottom w:val="single" w:color="auto" w:sz="4" w:space="0"/>
              <w:right w:val="single" w:color="auto" w:sz="4" w:space="0"/>
            </w:tcBorders>
            <w:vAlign w:val="center"/>
          </w:tcPr>
          <w:p w14:paraId="15D2557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2430485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层板均匀承重标准为80公斤。每块搁板都具有防惯性掉落结构，</w:t>
            </w:r>
            <w:r>
              <w:rPr>
                <w:rFonts w:hint="eastAsia" w:cs="宋体"/>
                <w:highlight w:val="none"/>
                <w:lang w:val="en-US" w:eastAsia="zh-CN"/>
              </w:rPr>
              <w:t>搁板焊一条加强筋</w:t>
            </w:r>
            <w:r>
              <w:rPr>
                <w:rFonts w:hint="eastAsia" w:ascii="宋体" w:hAnsi="宋体" w:eastAsia="宋体" w:cs="宋体"/>
                <w:highlight w:val="none"/>
              </w:rPr>
              <w:t>，防止架体运行过快时案卷由于惯性外移掉落，保护图书档案的安全。</w:t>
            </w:r>
          </w:p>
        </w:tc>
      </w:tr>
      <w:tr w14:paraId="5711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F2F8472">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5D3E79F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挂板</w:t>
            </w:r>
          </w:p>
        </w:tc>
        <w:tc>
          <w:tcPr>
            <w:tcW w:w="2690" w:type="dxa"/>
            <w:tcBorders>
              <w:top w:val="single" w:color="auto" w:sz="4" w:space="0"/>
              <w:left w:val="nil"/>
              <w:bottom w:val="single" w:color="auto" w:sz="4" w:space="0"/>
              <w:right w:val="single" w:color="auto" w:sz="4" w:space="0"/>
            </w:tcBorders>
            <w:vAlign w:val="center"/>
          </w:tcPr>
          <w:p w14:paraId="2CF796D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≥1.2mm冷轧钢板</w:t>
            </w:r>
          </w:p>
        </w:tc>
        <w:tc>
          <w:tcPr>
            <w:tcW w:w="1511" w:type="dxa"/>
            <w:tcBorders>
              <w:top w:val="single" w:color="auto" w:sz="4" w:space="0"/>
              <w:left w:val="nil"/>
              <w:bottom w:val="single" w:color="auto" w:sz="4" w:space="0"/>
              <w:right w:val="single" w:color="auto" w:sz="4" w:space="0"/>
            </w:tcBorders>
            <w:vAlign w:val="center"/>
          </w:tcPr>
          <w:p w14:paraId="64F2376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787FEC28">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防止搁板前后窜动，通用性、互换性好，承重刚性好，表面喷塑。</w:t>
            </w:r>
          </w:p>
        </w:tc>
      </w:tr>
      <w:tr w14:paraId="4D5F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8E80F68">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58F1F48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sz w:val="21"/>
                <w:szCs w:val="21"/>
                <w:highlight w:val="none"/>
              </w:rPr>
              <w:t>▲</w:t>
            </w:r>
            <w:r>
              <w:rPr>
                <w:rFonts w:hint="eastAsia" w:ascii="宋体" w:hAnsi="宋体" w:eastAsia="宋体" w:cs="宋体"/>
                <w:highlight w:val="none"/>
              </w:rPr>
              <w:t>搁棒</w:t>
            </w:r>
          </w:p>
        </w:tc>
        <w:tc>
          <w:tcPr>
            <w:tcW w:w="2690" w:type="dxa"/>
            <w:tcBorders>
              <w:top w:val="single" w:color="auto" w:sz="4" w:space="0"/>
              <w:left w:val="nil"/>
              <w:bottom w:val="single" w:color="auto" w:sz="4" w:space="0"/>
              <w:right w:val="single" w:color="auto" w:sz="4" w:space="0"/>
            </w:tcBorders>
            <w:vAlign w:val="center"/>
          </w:tcPr>
          <w:p w14:paraId="12F76F6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≥0.8mm冷轧钢板</w:t>
            </w:r>
          </w:p>
        </w:tc>
        <w:tc>
          <w:tcPr>
            <w:tcW w:w="1511" w:type="dxa"/>
            <w:tcBorders>
              <w:top w:val="single" w:color="auto" w:sz="4" w:space="0"/>
              <w:left w:val="nil"/>
              <w:bottom w:val="single" w:color="auto" w:sz="4" w:space="0"/>
              <w:right w:val="single" w:color="auto" w:sz="4" w:space="0"/>
            </w:tcBorders>
            <w:vAlign w:val="center"/>
          </w:tcPr>
          <w:p w14:paraId="6D894E9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1E4E1F3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防止档案盒和文件、资料、图书窜动位置。</w:t>
            </w:r>
          </w:p>
        </w:tc>
      </w:tr>
      <w:tr w14:paraId="7C63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77DF99D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门面</w:t>
            </w:r>
          </w:p>
        </w:tc>
        <w:tc>
          <w:tcPr>
            <w:tcW w:w="1439" w:type="dxa"/>
            <w:tcBorders>
              <w:top w:val="single" w:color="auto" w:sz="4" w:space="0"/>
              <w:left w:val="nil"/>
              <w:bottom w:val="single" w:color="auto" w:sz="4" w:space="0"/>
              <w:right w:val="single" w:color="auto" w:sz="4" w:space="0"/>
            </w:tcBorders>
            <w:vAlign w:val="center"/>
          </w:tcPr>
          <w:p w14:paraId="4D6FD0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门框</w:t>
            </w:r>
          </w:p>
        </w:tc>
        <w:tc>
          <w:tcPr>
            <w:tcW w:w="2690" w:type="dxa"/>
            <w:tcBorders>
              <w:top w:val="single" w:color="auto" w:sz="4" w:space="0"/>
              <w:left w:val="nil"/>
              <w:bottom w:val="single" w:color="auto" w:sz="4" w:space="0"/>
              <w:right w:val="single" w:color="auto" w:sz="4" w:space="0"/>
            </w:tcBorders>
            <w:vAlign w:val="center"/>
          </w:tcPr>
          <w:p w14:paraId="5FF5DA9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0659BD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1B7CB667">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用于门板的安装和分隔</w:t>
            </w:r>
          </w:p>
        </w:tc>
      </w:tr>
      <w:tr w14:paraId="750B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18EE2A3">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705BDC2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门板</w:t>
            </w:r>
          </w:p>
        </w:tc>
        <w:tc>
          <w:tcPr>
            <w:tcW w:w="2690" w:type="dxa"/>
            <w:tcBorders>
              <w:top w:val="single" w:color="auto" w:sz="4" w:space="0"/>
              <w:left w:val="nil"/>
              <w:bottom w:val="single" w:color="auto" w:sz="4" w:space="0"/>
              <w:right w:val="single" w:color="auto" w:sz="4" w:space="0"/>
            </w:tcBorders>
            <w:vAlign w:val="center"/>
          </w:tcPr>
          <w:p w14:paraId="3B11F48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3F3839C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5BCEFDB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门板平整，门把手/锁一体结构款式新颖，开关方便，表面喷塑。</w:t>
            </w:r>
          </w:p>
        </w:tc>
      </w:tr>
      <w:tr w14:paraId="2852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53B3EFC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侧面</w:t>
            </w:r>
          </w:p>
          <w:p w14:paraId="6EFACF2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护板</w:t>
            </w:r>
          </w:p>
        </w:tc>
        <w:tc>
          <w:tcPr>
            <w:tcW w:w="1439" w:type="dxa"/>
            <w:tcBorders>
              <w:top w:val="single" w:color="auto" w:sz="4" w:space="0"/>
              <w:left w:val="nil"/>
              <w:bottom w:val="single" w:color="auto" w:sz="4" w:space="0"/>
              <w:right w:val="single" w:color="auto" w:sz="4" w:space="0"/>
            </w:tcBorders>
            <w:vAlign w:val="center"/>
          </w:tcPr>
          <w:p w14:paraId="018F5D0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前面侧面</w:t>
            </w:r>
          </w:p>
          <w:p w14:paraId="5B50CF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护板</w:t>
            </w:r>
          </w:p>
        </w:tc>
        <w:tc>
          <w:tcPr>
            <w:tcW w:w="2690" w:type="dxa"/>
            <w:tcBorders>
              <w:top w:val="single" w:color="auto" w:sz="4" w:space="0"/>
              <w:left w:val="nil"/>
              <w:bottom w:val="single" w:color="auto" w:sz="4" w:space="0"/>
              <w:right w:val="single" w:color="auto" w:sz="4" w:space="0"/>
            </w:tcBorders>
            <w:vAlign w:val="center"/>
          </w:tcPr>
          <w:p w14:paraId="7C57D8E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732CE39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6B2E2B3F">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表面平整，款式新颖，表面哑光喷塑。</w:t>
            </w:r>
          </w:p>
        </w:tc>
      </w:tr>
      <w:tr w14:paraId="350E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97D181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0480E8B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后面侧面</w:t>
            </w:r>
          </w:p>
          <w:p w14:paraId="1B0B1AD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护板</w:t>
            </w:r>
          </w:p>
        </w:tc>
        <w:tc>
          <w:tcPr>
            <w:tcW w:w="2690" w:type="dxa"/>
            <w:tcBorders>
              <w:top w:val="single" w:color="auto" w:sz="4" w:space="0"/>
              <w:left w:val="nil"/>
              <w:bottom w:val="single" w:color="auto" w:sz="4" w:space="0"/>
              <w:right w:val="single" w:color="auto" w:sz="4" w:space="0"/>
            </w:tcBorders>
            <w:vAlign w:val="center"/>
          </w:tcPr>
          <w:p w14:paraId="212E95D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41D06A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tcBorders>
              <w:top w:val="single" w:color="auto" w:sz="4" w:space="0"/>
              <w:left w:val="nil"/>
              <w:bottom w:val="single" w:color="auto" w:sz="4" w:space="0"/>
              <w:right w:val="single" w:color="auto" w:sz="4" w:space="0"/>
            </w:tcBorders>
          </w:tcPr>
          <w:p w14:paraId="28B85D2B">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采用整体凹凸型加强结构，须平整美观，表面喷塑。</w:t>
            </w:r>
          </w:p>
        </w:tc>
      </w:tr>
      <w:tr w14:paraId="71B2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6B3D8D3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传动</w:t>
            </w:r>
          </w:p>
          <w:p w14:paraId="31EEC7B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机构</w:t>
            </w:r>
          </w:p>
        </w:tc>
        <w:tc>
          <w:tcPr>
            <w:tcW w:w="1439" w:type="dxa"/>
            <w:tcBorders>
              <w:top w:val="single" w:color="auto" w:sz="4" w:space="0"/>
              <w:left w:val="nil"/>
              <w:bottom w:val="single" w:color="auto" w:sz="4" w:space="0"/>
              <w:right w:val="single" w:color="auto" w:sz="4" w:space="0"/>
            </w:tcBorders>
            <w:vAlign w:val="center"/>
          </w:tcPr>
          <w:p w14:paraId="4DABF4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轴承</w:t>
            </w:r>
          </w:p>
        </w:tc>
        <w:tc>
          <w:tcPr>
            <w:tcW w:w="2690" w:type="dxa"/>
            <w:tcBorders>
              <w:top w:val="single" w:color="auto" w:sz="4" w:space="0"/>
              <w:left w:val="nil"/>
              <w:bottom w:val="single" w:color="auto" w:sz="4" w:space="0"/>
              <w:right w:val="single" w:color="auto" w:sz="4" w:space="0"/>
            </w:tcBorders>
            <w:vAlign w:val="center"/>
          </w:tcPr>
          <w:p w14:paraId="51566F2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UCFLU204、滚珠调心</w:t>
            </w:r>
          </w:p>
          <w:p w14:paraId="311B768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轴承E级</w:t>
            </w:r>
          </w:p>
        </w:tc>
        <w:tc>
          <w:tcPr>
            <w:tcW w:w="1511" w:type="dxa"/>
            <w:tcBorders>
              <w:top w:val="single" w:color="auto" w:sz="4" w:space="0"/>
              <w:left w:val="nil"/>
              <w:bottom w:val="single" w:color="auto" w:sz="4" w:space="0"/>
              <w:right w:val="single" w:color="auto" w:sz="4" w:space="0"/>
            </w:tcBorders>
            <w:vAlign w:val="center"/>
          </w:tcPr>
          <w:p w14:paraId="49F8F33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285</w:t>
            </w:r>
          </w:p>
        </w:tc>
        <w:tc>
          <w:tcPr>
            <w:tcW w:w="3519" w:type="dxa"/>
            <w:tcBorders>
              <w:top w:val="single" w:color="auto" w:sz="4" w:space="0"/>
              <w:left w:val="nil"/>
              <w:bottom w:val="single" w:color="auto" w:sz="4" w:space="0"/>
              <w:right w:val="single" w:color="auto" w:sz="4" w:space="0"/>
            </w:tcBorders>
            <w:vAlign w:val="center"/>
          </w:tcPr>
          <w:p w14:paraId="2BDEB95F">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带座外球面轴承</w:t>
            </w:r>
          </w:p>
        </w:tc>
      </w:tr>
      <w:tr w14:paraId="6143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EC23ADE">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2F3A4D4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中间主动</w:t>
            </w:r>
          </w:p>
          <w:p w14:paraId="116887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传动轴</w:t>
            </w:r>
          </w:p>
        </w:tc>
        <w:tc>
          <w:tcPr>
            <w:tcW w:w="2690" w:type="dxa"/>
            <w:tcBorders>
              <w:top w:val="single" w:color="auto" w:sz="4" w:space="0"/>
              <w:left w:val="nil"/>
              <w:bottom w:val="single" w:color="auto" w:sz="4" w:space="0"/>
              <w:right w:val="single" w:color="auto" w:sz="4" w:space="0"/>
            </w:tcBorders>
            <w:vAlign w:val="center"/>
          </w:tcPr>
          <w:p w14:paraId="406EF14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φ20实心45#圆钢</w:t>
            </w:r>
          </w:p>
        </w:tc>
        <w:tc>
          <w:tcPr>
            <w:tcW w:w="1511" w:type="dxa"/>
            <w:tcBorders>
              <w:top w:val="single" w:color="auto" w:sz="4" w:space="0"/>
              <w:left w:val="nil"/>
              <w:bottom w:val="single" w:color="auto" w:sz="4" w:space="0"/>
              <w:right w:val="single" w:color="auto" w:sz="4" w:space="0"/>
            </w:tcBorders>
            <w:vAlign w:val="center"/>
          </w:tcPr>
          <w:p w14:paraId="15480CD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699</w:t>
            </w:r>
          </w:p>
        </w:tc>
        <w:tc>
          <w:tcPr>
            <w:tcW w:w="3519" w:type="dxa"/>
            <w:tcBorders>
              <w:top w:val="single" w:color="auto" w:sz="4" w:space="0"/>
              <w:left w:val="nil"/>
              <w:bottom w:val="single" w:color="auto" w:sz="4" w:space="0"/>
              <w:right w:val="single" w:color="auto" w:sz="4" w:space="0"/>
            </w:tcBorders>
          </w:tcPr>
          <w:p w14:paraId="6003951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加工精度为3.2,经调质热处理，HB220-290表面镀锌防锈处理。通过中间主动传动轴转动，从而带动两侧从动承重组合轮装置转动，使密集架运行。</w:t>
            </w:r>
          </w:p>
        </w:tc>
      </w:tr>
      <w:tr w14:paraId="52A0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38437FB0">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02411A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从动承重轮组合装置</w:t>
            </w:r>
          </w:p>
        </w:tc>
        <w:tc>
          <w:tcPr>
            <w:tcW w:w="2690" w:type="dxa"/>
            <w:tcBorders>
              <w:top w:val="single" w:color="auto" w:sz="4" w:space="0"/>
              <w:left w:val="nil"/>
              <w:bottom w:val="single" w:color="auto" w:sz="4" w:space="0"/>
              <w:right w:val="single" w:color="auto" w:sz="4" w:space="0"/>
            </w:tcBorders>
            <w:vAlign w:val="center"/>
          </w:tcPr>
          <w:p w14:paraId="119D9EC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高强度铸铁、φ120或φ135，由铁滚轮本体、高精度轴承、链轮装配组合而成</w:t>
            </w:r>
          </w:p>
        </w:tc>
        <w:tc>
          <w:tcPr>
            <w:tcW w:w="1511" w:type="dxa"/>
            <w:tcBorders>
              <w:top w:val="single" w:color="auto" w:sz="4" w:space="0"/>
              <w:left w:val="nil"/>
              <w:bottom w:val="single" w:color="auto" w:sz="4" w:space="0"/>
              <w:right w:val="single" w:color="auto" w:sz="4" w:space="0"/>
            </w:tcBorders>
            <w:vAlign w:val="center"/>
          </w:tcPr>
          <w:p w14:paraId="4DA800B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9439</w:t>
            </w:r>
          </w:p>
        </w:tc>
        <w:tc>
          <w:tcPr>
            <w:tcW w:w="3519" w:type="dxa"/>
            <w:vMerge w:val="restart"/>
            <w:tcBorders>
              <w:top w:val="single" w:color="auto" w:sz="4" w:space="0"/>
              <w:left w:val="single" w:color="auto" w:sz="4" w:space="0"/>
              <w:bottom w:val="single" w:color="auto" w:sz="4" w:space="0"/>
              <w:right w:val="single" w:color="auto" w:sz="4" w:space="0"/>
            </w:tcBorders>
            <w:vAlign w:val="center"/>
          </w:tcPr>
          <w:p w14:paraId="734AB5A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表面须经镀锌或发黑等防腐处理，承重轮轴与组合轮组装在一起，起到密集架满荷载和组合轮的定位固定作用，同时驱动从动承重组合轮装置，可沿着轨道平稳运行。</w:t>
            </w:r>
          </w:p>
        </w:tc>
      </w:tr>
      <w:tr w14:paraId="0286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4678A3CF">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2DA0B3B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承重轮轴</w:t>
            </w:r>
          </w:p>
        </w:tc>
        <w:tc>
          <w:tcPr>
            <w:tcW w:w="2690" w:type="dxa"/>
            <w:tcBorders>
              <w:top w:val="single" w:color="auto" w:sz="4" w:space="0"/>
              <w:left w:val="nil"/>
              <w:bottom w:val="single" w:color="auto" w:sz="4" w:space="0"/>
              <w:right w:val="single" w:color="auto" w:sz="4" w:space="0"/>
            </w:tcBorders>
            <w:vAlign w:val="center"/>
          </w:tcPr>
          <w:p w14:paraId="52C2017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φ20 45#圆钢</w:t>
            </w:r>
          </w:p>
        </w:tc>
        <w:tc>
          <w:tcPr>
            <w:tcW w:w="1511" w:type="dxa"/>
            <w:tcBorders>
              <w:top w:val="single" w:color="auto" w:sz="4" w:space="0"/>
              <w:left w:val="nil"/>
              <w:bottom w:val="single" w:color="auto" w:sz="4" w:space="0"/>
              <w:right w:val="single" w:color="auto" w:sz="4" w:space="0"/>
            </w:tcBorders>
            <w:vAlign w:val="center"/>
          </w:tcPr>
          <w:p w14:paraId="1127166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国家标准</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5691ABA0">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70B0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1A4DC812">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13F7D57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链轮</w:t>
            </w:r>
          </w:p>
        </w:tc>
        <w:tc>
          <w:tcPr>
            <w:tcW w:w="2690" w:type="dxa"/>
            <w:tcBorders>
              <w:top w:val="single" w:color="auto" w:sz="4" w:space="0"/>
              <w:left w:val="nil"/>
              <w:bottom w:val="single" w:color="auto" w:sz="4" w:space="0"/>
              <w:right w:val="single" w:color="auto" w:sz="4" w:space="0"/>
            </w:tcBorders>
            <w:vAlign w:val="center"/>
          </w:tcPr>
          <w:p w14:paraId="56A56067">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滚轮精制ZG45，12－24齿，经锻压精密加工成形，回火去除应力，加工车、滚齿、插键槽、去毛齿、齿部经高频淬火HRC60-62。</w:t>
            </w:r>
          </w:p>
        </w:tc>
        <w:tc>
          <w:tcPr>
            <w:tcW w:w="1511" w:type="dxa"/>
            <w:tcBorders>
              <w:top w:val="single" w:color="auto" w:sz="4" w:space="0"/>
              <w:left w:val="nil"/>
              <w:bottom w:val="single" w:color="auto" w:sz="4" w:space="0"/>
              <w:right w:val="single" w:color="auto" w:sz="4" w:space="0"/>
            </w:tcBorders>
            <w:vAlign w:val="center"/>
          </w:tcPr>
          <w:p w14:paraId="29A6005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10855</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1DBBB0D6">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4FC8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3DAD638">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6CAEB30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链条</w:t>
            </w:r>
          </w:p>
        </w:tc>
        <w:tc>
          <w:tcPr>
            <w:tcW w:w="2690" w:type="dxa"/>
            <w:tcBorders>
              <w:top w:val="single" w:color="auto" w:sz="4" w:space="0"/>
              <w:left w:val="nil"/>
              <w:bottom w:val="single" w:color="auto" w:sz="4" w:space="0"/>
              <w:right w:val="single" w:color="auto" w:sz="4" w:space="0"/>
            </w:tcBorders>
            <w:vAlign w:val="center"/>
          </w:tcPr>
          <w:p w14:paraId="684BE35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φ8.5节距12.7FR420。链条破断力≥1800kg。</w:t>
            </w:r>
          </w:p>
        </w:tc>
        <w:tc>
          <w:tcPr>
            <w:tcW w:w="1511" w:type="dxa"/>
            <w:tcBorders>
              <w:top w:val="single" w:color="auto" w:sz="4" w:space="0"/>
              <w:left w:val="nil"/>
              <w:bottom w:val="single" w:color="auto" w:sz="4" w:space="0"/>
              <w:right w:val="single" w:color="auto" w:sz="4" w:space="0"/>
            </w:tcBorders>
            <w:vAlign w:val="center"/>
          </w:tcPr>
          <w:p w14:paraId="698C348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14212</w:t>
            </w:r>
          </w:p>
        </w:tc>
        <w:tc>
          <w:tcPr>
            <w:tcW w:w="3519" w:type="dxa"/>
            <w:tcBorders>
              <w:top w:val="single" w:color="auto" w:sz="4" w:space="0"/>
              <w:left w:val="nil"/>
              <w:bottom w:val="single" w:color="auto" w:sz="4" w:space="0"/>
              <w:right w:val="single" w:color="auto" w:sz="4" w:space="0"/>
            </w:tcBorders>
            <w:vAlign w:val="center"/>
          </w:tcPr>
          <w:p w14:paraId="253CD28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p>
        </w:tc>
      </w:tr>
      <w:tr w14:paraId="04B4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3E210CE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防护</w:t>
            </w:r>
          </w:p>
          <w:p w14:paraId="6C2D775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装置</w:t>
            </w:r>
          </w:p>
        </w:tc>
        <w:tc>
          <w:tcPr>
            <w:tcW w:w="1439" w:type="dxa"/>
            <w:tcBorders>
              <w:top w:val="single" w:color="auto" w:sz="4" w:space="0"/>
              <w:left w:val="nil"/>
              <w:bottom w:val="single" w:color="auto" w:sz="4" w:space="0"/>
              <w:right w:val="single" w:color="auto" w:sz="4" w:space="0"/>
            </w:tcBorders>
            <w:vAlign w:val="center"/>
          </w:tcPr>
          <w:p w14:paraId="7EF1078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阻燃密封条</w:t>
            </w:r>
          </w:p>
        </w:tc>
        <w:tc>
          <w:tcPr>
            <w:tcW w:w="2690" w:type="dxa"/>
            <w:tcBorders>
              <w:top w:val="single" w:color="auto" w:sz="4" w:space="0"/>
              <w:left w:val="nil"/>
              <w:bottom w:val="single" w:color="auto" w:sz="4" w:space="0"/>
              <w:right w:val="single" w:color="auto" w:sz="4" w:space="0"/>
            </w:tcBorders>
            <w:vAlign w:val="center"/>
          </w:tcPr>
          <w:p w14:paraId="6A64B4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阻燃磁性密封条20mm</w:t>
            </w:r>
          </w:p>
        </w:tc>
        <w:tc>
          <w:tcPr>
            <w:tcW w:w="1511" w:type="dxa"/>
            <w:tcBorders>
              <w:top w:val="single" w:color="auto" w:sz="4" w:space="0"/>
              <w:left w:val="nil"/>
              <w:bottom w:val="single" w:color="auto" w:sz="4" w:space="0"/>
              <w:right w:val="single" w:color="auto" w:sz="4" w:space="0"/>
            </w:tcBorders>
            <w:vAlign w:val="center"/>
          </w:tcPr>
          <w:p w14:paraId="7650CA6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QB/T 1295</w:t>
            </w:r>
          </w:p>
        </w:tc>
        <w:tc>
          <w:tcPr>
            <w:tcW w:w="3519" w:type="dxa"/>
            <w:vMerge w:val="restart"/>
            <w:tcBorders>
              <w:top w:val="single" w:color="auto" w:sz="4" w:space="0"/>
              <w:left w:val="single" w:color="auto" w:sz="4" w:space="0"/>
              <w:bottom w:val="single" w:color="auto" w:sz="4" w:space="0"/>
              <w:right w:val="single" w:color="auto" w:sz="4" w:space="0"/>
            </w:tcBorders>
          </w:tcPr>
          <w:p w14:paraId="65D88BA3">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每列之间有缓冲嵌入式密封条，使得密封条防尘效果更加优良，维护方便,密封与防撞性能更好。</w:t>
            </w:r>
          </w:p>
        </w:tc>
      </w:tr>
      <w:tr w14:paraId="7213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B0FBD9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31BE707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顶板</w:t>
            </w:r>
          </w:p>
        </w:tc>
        <w:tc>
          <w:tcPr>
            <w:tcW w:w="2690" w:type="dxa"/>
            <w:tcBorders>
              <w:top w:val="single" w:color="auto" w:sz="4" w:space="0"/>
              <w:left w:val="nil"/>
              <w:bottom w:val="single" w:color="auto" w:sz="4" w:space="0"/>
              <w:right w:val="single" w:color="auto" w:sz="4" w:space="0"/>
            </w:tcBorders>
            <w:vAlign w:val="center"/>
          </w:tcPr>
          <w:p w14:paraId="61DA80D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12E7D2D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39AA003E">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5158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78D394C9">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191F0A5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防尘板</w:t>
            </w:r>
          </w:p>
          <w:p w14:paraId="1BA0C4B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防鼠板</w:t>
            </w:r>
          </w:p>
        </w:tc>
        <w:tc>
          <w:tcPr>
            <w:tcW w:w="2690" w:type="dxa"/>
            <w:tcBorders>
              <w:top w:val="single" w:color="auto" w:sz="4" w:space="0"/>
              <w:left w:val="nil"/>
              <w:bottom w:val="single" w:color="auto" w:sz="4" w:space="0"/>
              <w:right w:val="single" w:color="auto" w:sz="4" w:space="0"/>
            </w:tcBorders>
            <w:vAlign w:val="center"/>
          </w:tcPr>
          <w:p w14:paraId="670BB0D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≥1.0mm冷轧钢板</w:t>
            </w:r>
          </w:p>
        </w:tc>
        <w:tc>
          <w:tcPr>
            <w:tcW w:w="1511" w:type="dxa"/>
            <w:tcBorders>
              <w:top w:val="single" w:color="auto" w:sz="4" w:space="0"/>
              <w:left w:val="nil"/>
              <w:bottom w:val="single" w:color="auto" w:sz="4" w:space="0"/>
              <w:right w:val="single" w:color="auto" w:sz="4" w:space="0"/>
            </w:tcBorders>
            <w:vAlign w:val="center"/>
          </w:tcPr>
          <w:p w14:paraId="285AEB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13237</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77B0B244">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1F6B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43DBCF63">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4B975E2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防倾倒装置</w:t>
            </w:r>
          </w:p>
        </w:tc>
        <w:tc>
          <w:tcPr>
            <w:tcW w:w="2690" w:type="dxa"/>
            <w:tcBorders>
              <w:top w:val="single" w:color="auto" w:sz="4" w:space="0"/>
              <w:left w:val="nil"/>
              <w:bottom w:val="single" w:color="auto" w:sz="4" w:space="0"/>
              <w:right w:val="single" w:color="auto" w:sz="4" w:space="0"/>
            </w:tcBorders>
            <w:vAlign w:val="center"/>
          </w:tcPr>
          <w:p w14:paraId="4100168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≥3.0mm热轧钢板</w:t>
            </w:r>
          </w:p>
        </w:tc>
        <w:tc>
          <w:tcPr>
            <w:tcW w:w="1511" w:type="dxa"/>
            <w:tcBorders>
              <w:top w:val="single" w:color="auto" w:sz="4" w:space="0"/>
              <w:left w:val="nil"/>
              <w:bottom w:val="single" w:color="auto" w:sz="4" w:space="0"/>
              <w:right w:val="single" w:color="auto" w:sz="4" w:space="0"/>
            </w:tcBorders>
            <w:vAlign w:val="center"/>
          </w:tcPr>
          <w:p w14:paraId="30F945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GB/T 711</w:t>
            </w:r>
          </w:p>
        </w:tc>
        <w:tc>
          <w:tcPr>
            <w:tcW w:w="3519" w:type="dxa"/>
            <w:tcBorders>
              <w:top w:val="single" w:color="auto" w:sz="4" w:space="0"/>
              <w:left w:val="nil"/>
              <w:bottom w:val="single" w:color="auto" w:sz="4" w:space="0"/>
              <w:right w:val="single" w:color="auto" w:sz="4" w:space="0"/>
            </w:tcBorders>
          </w:tcPr>
          <w:p w14:paraId="0B8F4B0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能防止架体倾斜和倒塌</w:t>
            </w:r>
          </w:p>
        </w:tc>
      </w:tr>
      <w:tr w14:paraId="028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44A1F71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表面</w:t>
            </w:r>
          </w:p>
          <w:p w14:paraId="7C92101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处理</w:t>
            </w:r>
          </w:p>
        </w:tc>
        <w:tc>
          <w:tcPr>
            <w:tcW w:w="1439" w:type="dxa"/>
            <w:tcBorders>
              <w:top w:val="single" w:color="auto" w:sz="4" w:space="0"/>
              <w:left w:val="nil"/>
              <w:bottom w:val="single" w:color="auto" w:sz="4" w:space="0"/>
              <w:right w:val="single" w:color="auto" w:sz="4" w:space="0"/>
            </w:tcBorders>
            <w:vAlign w:val="center"/>
          </w:tcPr>
          <w:p w14:paraId="20E3800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前处理药剂</w:t>
            </w:r>
          </w:p>
        </w:tc>
        <w:tc>
          <w:tcPr>
            <w:tcW w:w="2690" w:type="dxa"/>
            <w:tcBorders>
              <w:top w:val="single" w:color="auto" w:sz="4" w:space="0"/>
              <w:left w:val="nil"/>
              <w:bottom w:val="single" w:color="auto" w:sz="4" w:space="0"/>
              <w:right w:val="single" w:color="auto" w:sz="4" w:space="0"/>
            </w:tcBorders>
            <w:vAlign w:val="center"/>
          </w:tcPr>
          <w:p w14:paraId="79D2C0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脱脂剂、中和液、环保型硅烷系皮膜</w:t>
            </w:r>
          </w:p>
        </w:tc>
        <w:tc>
          <w:tcPr>
            <w:tcW w:w="1511" w:type="dxa"/>
            <w:tcBorders>
              <w:top w:val="single" w:color="auto" w:sz="4" w:space="0"/>
              <w:left w:val="nil"/>
              <w:bottom w:val="single" w:color="auto" w:sz="4" w:space="0"/>
              <w:right w:val="single" w:color="auto" w:sz="4" w:space="0"/>
            </w:tcBorders>
            <w:vAlign w:val="center"/>
          </w:tcPr>
          <w:p w14:paraId="41FE412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HG/T 2006</w:t>
            </w:r>
          </w:p>
        </w:tc>
        <w:tc>
          <w:tcPr>
            <w:tcW w:w="3519" w:type="dxa"/>
            <w:tcBorders>
              <w:top w:val="single" w:color="auto" w:sz="4" w:space="0"/>
              <w:left w:val="nil"/>
              <w:bottom w:val="single" w:color="auto" w:sz="4" w:space="0"/>
              <w:right w:val="single" w:color="auto" w:sz="4" w:space="0"/>
            </w:tcBorders>
            <w:vAlign w:val="center"/>
          </w:tcPr>
          <w:p w14:paraId="5579CCA3">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p>
        </w:tc>
      </w:tr>
      <w:tr w14:paraId="5D76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E1C030D">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1973DB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纯水洗</w:t>
            </w:r>
          </w:p>
        </w:tc>
        <w:tc>
          <w:tcPr>
            <w:tcW w:w="2690" w:type="dxa"/>
            <w:tcBorders>
              <w:top w:val="single" w:color="auto" w:sz="4" w:space="0"/>
              <w:left w:val="nil"/>
              <w:bottom w:val="single" w:color="auto" w:sz="4" w:space="0"/>
              <w:right w:val="single" w:color="auto" w:sz="4" w:space="0"/>
            </w:tcBorders>
            <w:vAlign w:val="center"/>
          </w:tcPr>
          <w:p w14:paraId="607BCFE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电导率≤10μs</w:t>
            </w:r>
          </w:p>
        </w:tc>
        <w:tc>
          <w:tcPr>
            <w:tcW w:w="1511" w:type="dxa"/>
            <w:tcBorders>
              <w:top w:val="single" w:color="auto" w:sz="4" w:space="0"/>
              <w:left w:val="nil"/>
              <w:bottom w:val="single" w:color="auto" w:sz="4" w:space="0"/>
              <w:right w:val="single" w:color="auto" w:sz="4" w:space="0"/>
            </w:tcBorders>
            <w:vAlign w:val="center"/>
          </w:tcPr>
          <w:p w14:paraId="4788B3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国家标准</w:t>
            </w:r>
          </w:p>
        </w:tc>
        <w:tc>
          <w:tcPr>
            <w:tcW w:w="3519" w:type="dxa"/>
            <w:tcBorders>
              <w:top w:val="single" w:color="auto" w:sz="4" w:space="0"/>
              <w:left w:val="nil"/>
              <w:bottom w:val="single" w:color="auto" w:sz="4" w:space="0"/>
              <w:right w:val="single" w:color="auto" w:sz="4" w:space="0"/>
            </w:tcBorders>
          </w:tcPr>
          <w:p w14:paraId="183A2443">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49B6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824CAF1">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64FDB9D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高温烘干</w:t>
            </w:r>
          </w:p>
        </w:tc>
        <w:tc>
          <w:tcPr>
            <w:tcW w:w="2690" w:type="dxa"/>
            <w:tcBorders>
              <w:top w:val="single" w:color="auto" w:sz="4" w:space="0"/>
              <w:left w:val="nil"/>
              <w:bottom w:val="single" w:color="auto" w:sz="4" w:space="0"/>
              <w:right w:val="single" w:color="auto" w:sz="4" w:space="0"/>
            </w:tcBorders>
            <w:vAlign w:val="center"/>
          </w:tcPr>
          <w:p w14:paraId="3F26ACA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200℃</w:t>
            </w:r>
          </w:p>
        </w:tc>
        <w:tc>
          <w:tcPr>
            <w:tcW w:w="1511" w:type="dxa"/>
            <w:tcBorders>
              <w:top w:val="single" w:color="auto" w:sz="4" w:space="0"/>
              <w:left w:val="nil"/>
              <w:bottom w:val="single" w:color="auto" w:sz="4" w:space="0"/>
              <w:right w:val="single" w:color="auto" w:sz="4" w:space="0"/>
            </w:tcBorders>
            <w:vAlign w:val="center"/>
          </w:tcPr>
          <w:p w14:paraId="430FF0B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国家标准</w:t>
            </w:r>
          </w:p>
        </w:tc>
        <w:tc>
          <w:tcPr>
            <w:tcW w:w="3519" w:type="dxa"/>
            <w:tcBorders>
              <w:top w:val="single" w:color="auto" w:sz="4" w:space="0"/>
              <w:left w:val="nil"/>
              <w:bottom w:val="single" w:color="auto" w:sz="4" w:space="0"/>
              <w:right w:val="single" w:color="auto" w:sz="4" w:space="0"/>
            </w:tcBorders>
          </w:tcPr>
          <w:p w14:paraId="161A4ED8">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19B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1365824A">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6DD3DC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高压静电</w:t>
            </w:r>
          </w:p>
          <w:p w14:paraId="315D9DC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喷塑</w:t>
            </w:r>
          </w:p>
        </w:tc>
        <w:tc>
          <w:tcPr>
            <w:tcW w:w="2690" w:type="dxa"/>
            <w:tcBorders>
              <w:top w:val="single" w:color="auto" w:sz="4" w:space="0"/>
              <w:left w:val="nil"/>
              <w:bottom w:val="single" w:color="auto" w:sz="4" w:space="0"/>
              <w:right w:val="single" w:color="auto" w:sz="4" w:space="0"/>
            </w:tcBorders>
            <w:vAlign w:val="center"/>
          </w:tcPr>
          <w:p w14:paraId="39E4D4C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环氧型聚脂混合粉、HYBRID</w:t>
            </w:r>
          </w:p>
        </w:tc>
        <w:tc>
          <w:tcPr>
            <w:tcW w:w="1511" w:type="dxa"/>
            <w:tcBorders>
              <w:top w:val="single" w:color="auto" w:sz="4" w:space="0"/>
              <w:left w:val="nil"/>
              <w:bottom w:val="single" w:color="auto" w:sz="4" w:space="0"/>
              <w:right w:val="single" w:color="auto" w:sz="4" w:space="0"/>
            </w:tcBorders>
            <w:vAlign w:val="center"/>
          </w:tcPr>
          <w:p w14:paraId="3D273B8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国家标准</w:t>
            </w:r>
          </w:p>
        </w:tc>
        <w:tc>
          <w:tcPr>
            <w:tcW w:w="3519" w:type="dxa"/>
            <w:tcBorders>
              <w:top w:val="single" w:color="auto" w:sz="4" w:space="0"/>
              <w:left w:val="nil"/>
              <w:bottom w:val="single" w:color="auto" w:sz="4" w:space="0"/>
              <w:right w:val="single" w:color="auto" w:sz="4" w:space="0"/>
            </w:tcBorders>
            <w:vAlign w:val="center"/>
          </w:tcPr>
          <w:p w14:paraId="51CBA28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p>
        </w:tc>
      </w:tr>
      <w:tr w14:paraId="1199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17C146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highlight w:val="none"/>
              </w:rPr>
            </w:pPr>
          </w:p>
        </w:tc>
        <w:tc>
          <w:tcPr>
            <w:tcW w:w="1439" w:type="dxa"/>
            <w:tcBorders>
              <w:top w:val="single" w:color="auto" w:sz="4" w:space="0"/>
              <w:left w:val="nil"/>
              <w:bottom w:val="single" w:color="auto" w:sz="4" w:space="0"/>
              <w:right w:val="single" w:color="auto" w:sz="4" w:space="0"/>
            </w:tcBorders>
            <w:vAlign w:val="center"/>
          </w:tcPr>
          <w:p w14:paraId="093A0C5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高温固化</w:t>
            </w:r>
          </w:p>
        </w:tc>
        <w:tc>
          <w:tcPr>
            <w:tcW w:w="2690" w:type="dxa"/>
            <w:tcBorders>
              <w:top w:val="single" w:color="auto" w:sz="4" w:space="0"/>
              <w:left w:val="nil"/>
              <w:bottom w:val="single" w:color="auto" w:sz="4" w:space="0"/>
              <w:right w:val="single" w:color="auto" w:sz="4" w:space="0"/>
            </w:tcBorders>
            <w:vAlign w:val="center"/>
          </w:tcPr>
          <w:p w14:paraId="199144F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190-220℃</w:t>
            </w:r>
          </w:p>
        </w:tc>
        <w:tc>
          <w:tcPr>
            <w:tcW w:w="1511" w:type="dxa"/>
            <w:tcBorders>
              <w:top w:val="single" w:color="auto" w:sz="4" w:space="0"/>
              <w:left w:val="nil"/>
              <w:bottom w:val="single" w:color="auto" w:sz="4" w:space="0"/>
              <w:right w:val="single" w:color="auto" w:sz="4" w:space="0"/>
            </w:tcBorders>
            <w:vAlign w:val="center"/>
          </w:tcPr>
          <w:p w14:paraId="43D86EA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国家标准</w:t>
            </w:r>
          </w:p>
        </w:tc>
        <w:tc>
          <w:tcPr>
            <w:tcW w:w="3519" w:type="dxa"/>
            <w:tcBorders>
              <w:top w:val="single" w:color="auto" w:sz="4" w:space="0"/>
              <w:left w:val="nil"/>
              <w:bottom w:val="single" w:color="auto" w:sz="4" w:space="0"/>
              <w:right w:val="single" w:color="auto" w:sz="4" w:space="0"/>
            </w:tcBorders>
            <w:vAlign w:val="center"/>
          </w:tcPr>
          <w:p w14:paraId="7B9E46B5">
            <w:pPr>
              <w:keepNext w:val="0"/>
              <w:keepLines w:val="0"/>
              <w:suppressLineNumbers w:val="0"/>
              <w:spacing w:before="0" w:beforeAutospacing="0" w:after="0" w:afterAutospacing="0" w:line="340" w:lineRule="exact"/>
              <w:ind w:left="0" w:right="0" w:firstLine="480"/>
              <w:rPr>
                <w:rFonts w:hint="default" w:ascii="宋体" w:hAnsi="宋体" w:eastAsia="宋体" w:cs="宋体"/>
                <w:highlight w:val="none"/>
              </w:rPr>
            </w:pPr>
          </w:p>
        </w:tc>
      </w:tr>
      <w:tr w14:paraId="57E7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ADA58F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紧固件</w:t>
            </w:r>
          </w:p>
        </w:tc>
        <w:tc>
          <w:tcPr>
            <w:tcW w:w="1439" w:type="dxa"/>
            <w:tcBorders>
              <w:top w:val="single" w:color="auto" w:sz="4" w:space="0"/>
              <w:left w:val="nil"/>
              <w:bottom w:val="single" w:color="auto" w:sz="4" w:space="0"/>
              <w:right w:val="single" w:color="auto" w:sz="4" w:space="0"/>
            </w:tcBorders>
            <w:vAlign w:val="center"/>
          </w:tcPr>
          <w:p w14:paraId="1C26B67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标准件</w:t>
            </w:r>
          </w:p>
        </w:tc>
        <w:tc>
          <w:tcPr>
            <w:tcW w:w="2690" w:type="dxa"/>
            <w:tcBorders>
              <w:top w:val="single" w:color="auto" w:sz="4" w:space="0"/>
              <w:left w:val="nil"/>
              <w:bottom w:val="single" w:color="auto" w:sz="4" w:space="0"/>
              <w:right w:val="single" w:color="auto" w:sz="4" w:space="0"/>
            </w:tcBorders>
            <w:vAlign w:val="center"/>
          </w:tcPr>
          <w:p w14:paraId="57177A1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M6、M8、M10</w:t>
            </w:r>
          </w:p>
        </w:tc>
        <w:tc>
          <w:tcPr>
            <w:tcW w:w="1511" w:type="dxa"/>
            <w:tcBorders>
              <w:top w:val="single" w:color="auto" w:sz="4" w:space="0"/>
              <w:left w:val="nil"/>
              <w:bottom w:val="single" w:color="auto" w:sz="4" w:space="0"/>
              <w:right w:val="single" w:color="auto" w:sz="4" w:space="0"/>
            </w:tcBorders>
            <w:vAlign w:val="center"/>
          </w:tcPr>
          <w:p w14:paraId="61C557C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highlight w:val="none"/>
              </w:rPr>
            </w:pPr>
            <w:r>
              <w:rPr>
                <w:rFonts w:hint="eastAsia" w:ascii="宋体" w:hAnsi="宋体" w:eastAsia="宋体" w:cs="宋体"/>
                <w:highlight w:val="none"/>
              </w:rPr>
              <w:t>8.8级</w:t>
            </w:r>
          </w:p>
        </w:tc>
        <w:tc>
          <w:tcPr>
            <w:tcW w:w="3519" w:type="dxa"/>
            <w:tcBorders>
              <w:top w:val="single" w:color="auto" w:sz="4" w:space="0"/>
              <w:left w:val="nil"/>
              <w:bottom w:val="single" w:color="auto" w:sz="4" w:space="0"/>
              <w:right w:val="single" w:color="auto" w:sz="4" w:space="0"/>
            </w:tcBorders>
            <w:vAlign w:val="center"/>
          </w:tcPr>
          <w:p w14:paraId="793090E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highlight w:val="none"/>
              </w:rPr>
            </w:pPr>
            <w:r>
              <w:rPr>
                <w:rFonts w:hint="eastAsia" w:ascii="宋体" w:hAnsi="宋体" w:eastAsia="宋体" w:cs="宋体"/>
                <w:highlight w:val="none"/>
              </w:rPr>
              <w:t>表面须做镀锌防锈处理</w:t>
            </w:r>
          </w:p>
        </w:tc>
      </w:tr>
    </w:tbl>
    <w:p w14:paraId="3D723A75">
      <w:pPr>
        <w:ind w:firstLine="0" w:firstLineChars="0"/>
        <w:rPr>
          <w:rFonts w:ascii="宋体" w:hAnsi="宋体" w:eastAsia="宋体" w:cs="宋体"/>
          <w:highlight w:val="none"/>
        </w:rPr>
      </w:pPr>
      <w:r>
        <w:rPr>
          <w:rFonts w:hint="eastAsia" w:ascii="宋体" w:hAnsi="宋体" w:eastAsia="宋体" w:cs="宋体"/>
          <w:highlight w:val="none"/>
        </w:rPr>
        <w:t>注：以上加</w:t>
      </w:r>
      <w:r>
        <w:rPr>
          <w:rFonts w:hint="eastAsia" w:ascii="宋体" w:hAnsi="宋体" w:eastAsia="宋体" w:cs="宋体"/>
          <w:sz w:val="21"/>
          <w:szCs w:val="21"/>
          <w:highlight w:val="none"/>
        </w:rPr>
        <w:t>▲</w:t>
      </w:r>
      <w:r>
        <w:rPr>
          <w:rFonts w:hint="eastAsia" w:ascii="宋体" w:hAnsi="宋体" w:eastAsia="宋体" w:cs="宋体"/>
          <w:highlight w:val="none"/>
        </w:rPr>
        <w:t>符号标志项目，供应商须承诺在供货前提供具有CMA标识的第三方检测机构出具的抽样检验检测报告，其中检验项目至少包括外观性能、硬度、附着力、冲击强度、耐腐蚀、屈服强度、抗拉强度、断后伸长率、化学成分、中性盐雾和乙酸盐雾试验符合采购需求中所要求的国标/行业标准。</w:t>
      </w:r>
    </w:p>
    <w:p w14:paraId="66834EE5">
      <w:pPr>
        <w:ind w:firstLine="480"/>
        <w:rPr>
          <w:rFonts w:ascii="宋体" w:hAnsi="宋体" w:eastAsia="宋体" w:cs="宋体"/>
          <w:highlight w:val="none"/>
        </w:rPr>
      </w:pPr>
      <w:r>
        <w:rPr>
          <w:rFonts w:hint="eastAsia" w:ascii="宋体" w:hAnsi="宋体" w:eastAsia="宋体" w:cs="宋体"/>
          <w:highlight w:val="none"/>
        </w:rPr>
        <w:t>4.手动带灯密集架加工、安装、制造要求</w:t>
      </w:r>
    </w:p>
    <w:p w14:paraId="233FA40D">
      <w:pPr>
        <w:ind w:firstLine="480"/>
        <w:rPr>
          <w:rFonts w:ascii="宋体" w:hAnsi="宋体" w:eastAsia="宋体" w:cs="宋体"/>
          <w:highlight w:val="none"/>
        </w:rPr>
      </w:pPr>
      <w:r>
        <w:rPr>
          <w:rFonts w:hint="eastAsia" w:ascii="宋体" w:hAnsi="宋体" w:eastAsia="宋体" w:cs="宋体"/>
          <w:highlight w:val="none"/>
        </w:rPr>
        <w:t>4.1 外观质量要求</w:t>
      </w:r>
    </w:p>
    <w:p w14:paraId="6075FEC5">
      <w:pPr>
        <w:ind w:firstLine="480"/>
        <w:rPr>
          <w:rFonts w:ascii="宋体" w:hAnsi="宋体" w:eastAsia="宋体" w:cs="宋体"/>
          <w:highlight w:val="none"/>
        </w:rPr>
      </w:pPr>
      <w:r>
        <w:rPr>
          <w:rFonts w:hint="eastAsia" w:ascii="宋体" w:hAnsi="宋体" w:eastAsia="宋体" w:cs="宋体"/>
          <w:highlight w:val="none"/>
        </w:rPr>
        <w:t>（1）架体外观设计精美，线条流畅，操作轻便灵活，运行平稳。</w:t>
      </w:r>
    </w:p>
    <w:p w14:paraId="4E380109">
      <w:pPr>
        <w:ind w:firstLine="480"/>
        <w:rPr>
          <w:rFonts w:ascii="宋体" w:hAnsi="宋体" w:eastAsia="宋体" w:cs="宋体"/>
          <w:highlight w:val="none"/>
        </w:rPr>
      </w:pPr>
      <w:r>
        <w:rPr>
          <w:rFonts w:hint="eastAsia" w:ascii="宋体" w:hAnsi="宋体" w:eastAsia="宋体" w:cs="宋体"/>
          <w:highlight w:val="none"/>
        </w:rPr>
        <w:t>（2）材质坚固、隔热、防潮、防鼠、防光、防尘。</w:t>
      </w:r>
    </w:p>
    <w:p w14:paraId="6CEA8289">
      <w:pPr>
        <w:ind w:firstLine="480"/>
        <w:rPr>
          <w:rFonts w:ascii="宋体" w:hAnsi="宋体" w:eastAsia="宋体" w:cs="宋体"/>
          <w:highlight w:val="none"/>
        </w:rPr>
      </w:pPr>
      <w:r>
        <w:rPr>
          <w:rFonts w:hint="eastAsia" w:ascii="宋体" w:hAnsi="宋体" w:eastAsia="宋体" w:cs="宋体"/>
          <w:highlight w:val="none"/>
        </w:rPr>
        <w:t>（3）各零件、组合件表面应光滑平整，不得有尖角、凸起，不得有影响外观和使用性能的永久形变，组合件安装应牢固可靠，不得有松动现象。</w:t>
      </w:r>
    </w:p>
    <w:p w14:paraId="087B916A">
      <w:pPr>
        <w:ind w:firstLine="480"/>
        <w:rPr>
          <w:rFonts w:ascii="宋体" w:hAnsi="宋体" w:eastAsia="宋体" w:cs="宋体"/>
          <w:highlight w:val="none"/>
        </w:rPr>
      </w:pPr>
      <w:r>
        <w:rPr>
          <w:rFonts w:hint="eastAsia" w:ascii="宋体" w:hAnsi="宋体" w:eastAsia="宋体" w:cs="宋体"/>
          <w:highlight w:val="none"/>
        </w:rPr>
        <w:t>（4）焊接部件要焊接牢固，因焊接产生的变形必须矫正，焊痕表面均匀、平整。</w:t>
      </w:r>
    </w:p>
    <w:p w14:paraId="34814AE4">
      <w:pPr>
        <w:ind w:firstLine="480"/>
        <w:rPr>
          <w:rFonts w:ascii="宋体" w:hAnsi="宋体" w:eastAsia="宋体" w:cs="宋体"/>
          <w:highlight w:val="none"/>
        </w:rPr>
      </w:pPr>
      <w:r>
        <w:rPr>
          <w:rFonts w:hint="eastAsia" w:ascii="宋体" w:hAnsi="宋体" w:eastAsia="宋体" w:cs="宋体"/>
          <w:highlight w:val="none"/>
        </w:rPr>
        <w:t>（5）冲压表面不允许有裂痕、毛刺、翻边。</w:t>
      </w:r>
    </w:p>
    <w:p w14:paraId="4A598F60">
      <w:pPr>
        <w:ind w:firstLine="480"/>
        <w:rPr>
          <w:rFonts w:ascii="宋体" w:hAnsi="宋体" w:eastAsia="宋体" w:cs="宋体"/>
          <w:highlight w:val="none"/>
        </w:rPr>
      </w:pPr>
      <w:r>
        <w:rPr>
          <w:rFonts w:hint="eastAsia" w:ascii="宋体" w:hAnsi="宋体" w:eastAsia="宋体" w:cs="宋体"/>
          <w:highlight w:val="none"/>
        </w:rPr>
        <w:t>（6）颜色按用户要求，表面涂层应平整光滑，色泽均匀一致，喷涂无死角；漆面应均匀光滑、无划痕，外观不允许有流挂、渍痕、起粒、气泡、露底、剥落、伤痕等缺陷。</w:t>
      </w:r>
    </w:p>
    <w:p w14:paraId="49ABD8A8">
      <w:pPr>
        <w:ind w:firstLine="480"/>
        <w:rPr>
          <w:rFonts w:ascii="宋体" w:hAnsi="宋体" w:eastAsia="宋体" w:cs="宋体"/>
          <w:highlight w:val="none"/>
        </w:rPr>
      </w:pPr>
      <w:r>
        <w:rPr>
          <w:rFonts w:hint="eastAsia" w:ascii="宋体" w:hAnsi="宋体" w:eastAsia="宋体" w:cs="宋体"/>
          <w:highlight w:val="none"/>
        </w:rPr>
        <w:t>（7）所有列组合后，列与列应整齐划一，平行度允许偏差正负2mm。</w:t>
      </w:r>
    </w:p>
    <w:p w14:paraId="644E389B">
      <w:pPr>
        <w:ind w:firstLine="480"/>
        <w:rPr>
          <w:rFonts w:ascii="宋体" w:hAnsi="宋体" w:eastAsia="宋体" w:cs="宋体"/>
          <w:highlight w:val="none"/>
        </w:rPr>
      </w:pPr>
      <w:r>
        <w:rPr>
          <w:rFonts w:hint="eastAsia" w:ascii="宋体" w:hAnsi="宋体" w:eastAsia="宋体" w:cs="宋体"/>
          <w:highlight w:val="none"/>
        </w:rPr>
        <w:t>（8）列与列之间缝隙应均匀，安装密封条后不应有裂缝空隙和上下不对称间隙。</w:t>
      </w:r>
    </w:p>
    <w:p w14:paraId="18F6DBD7">
      <w:pPr>
        <w:ind w:firstLine="480"/>
        <w:rPr>
          <w:rFonts w:ascii="宋体" w:hAnsi="宋体" w:eastAsia="宋体" w:cs="宋体"/>
          <w:highlight w:val="none"/>
        </w:rPr>
      </w:pPr>
      <w:r>
        <w:rPr>
          <w:rFonts w:hint="eastAsia" w:ascii="宋体" w:hAnsi="宋体" w:eastAsia="宋体" w:cs="宋体"/>
          <w:highlight w:val="none"/>
        </w:rPr>
        <w:t>4.2 安装及要求</w:t>
      </w:r>
    </w:p>
    <w:p w14:paraId="75F455E9">
      <w:pPr>
        <w:ind w:firstLine="480"/>
        <w:rPr>
          <w:rFonts w:ascii="宋体" w:hAnsi="宋体" w:eastAsia="宋体" w:cs="宋体"/>
          <w:highlight w:val="none"/>
        </w:rPr>
      </w:pPr>
      <w:r>
        <w:rPr>
          <w:rFonts w:hint="eastAsia" w:ascii="宋体" w:hAnsi="宋体" w:eastAsia="宋体" w:cs="宋体"/>
          <w:highlight w:val="none"/>
        </w:rPr>
        <w:t>（1）轨道：单条轨道直线度≤1.0mm/m，全长≤3mm。对接处高低≤0.3mm。</w:t>
      </w:r>
    </w:p>
    <w:p w14:paraId="72BFB5C4">
      <w:pPr>
        <w:ind w:firstLine="480"/>
        <w:rPr>
          <w:rFonts w:ascii="宋体" w:hAnsi="宋体" w:eastAsia="宋体" w:cs="宋体"/>
          <w:highlight w:val="none"/>
        </w:rPr>
      </w:pPr>
      <w:r>
        <w:rPr>
          <w:rFonts w:hint="eastAsia" w:ascii="宋体" w:hAnsi="宋体" w:eastAsia="宋体" w:cs="宋体"/>
          <w:highlight w:val="none"/>
        </w:rPr>
        <w:t>（2）垂直度：立柱与底梁的垂直度应不大于2mm。</w:t>
      </w:r>
    </w:p>
    <w:p w14:paraId="5DDE52D3">
      <w:pPr>
        <w:ind w:firstLine="480"/>
        <w:rPr>
          <w:rFonts w:ascii="宋体" w:hAnsi="宋体" w:eastAsia="宋体" w:cs="宋体"/>
          <w:highlight w:val="none"/>
        </w:rPr>
      </w:pPr>
      <w:r>
        <w:rPr>
          <w:rFonts w:hint="eastAsia" w:ascii="宋体" w:hAnsi="宋体" w:eastAsia="宋体" w:cs="宋体"/>
          <w:highlight w:val="none"/>
        </w:rPr>
        <w:t>（3）位差度：架列侧面相邻两平面的位差度应不大于2mm。</w:t>
      </w:r>
    </w:p>
    <w:p w14:paraId="2C3C97B0">
      <w:pPr>
        <w:ind w:firstLine="480"/>
        <w:rPr>
          <w:rFonts w:ascii="宋体" w:hAnsi="宋体" w:eastAsia="宋体" w:cs="宋体"/>
          <w:highlight w:val="none"/>
        </w:rPr>
      </w:pPr>
      <w:r>
        <w:rPr>
          <w:rFonts w:hint="eastAsia" w:ascii="宋体" w:hAnsi="宋体" w:eastAsia="宋体" w:cs="宋体"/>
          <w:highlight w:val="none"/>
        </w:rPr>
        <w:t>（4）间隙：侧面板和中腰板对缝处的间隙应不大于2.0mm，防尘门缝间隙应不大于2.0mm。</w:t>
      </w:r>
    </w:p>
    <w:p w14:paraId="311F088F">
      <w:pPr>
        <w:ind w:firstLine="480"/>
        <w:rPr>
          <w:rFonts w:ascii="宋体" w:hAnsi="宋体" w:eastAsia="宋体" w:cs="宋体"/>
          <w:highlight w:val="none"/>
        </w:rPr>
      </w:pPr>
      <w:r>
        <w:rPr>
          <w:rFonts w:hint="eastAsia" w:ascii="宋体" w:hAnsi="宋体" w:eastAsia="宋体" w:cs="宋体"/>
          <w:highlight w:val="none"/>
        </w:rPr>
        <w:t>（5）可调性：搁板、挂板应能沿立柱的垂直方向调整高度。</w:t>
      </w:r>
    </w:p>
    <w:p w14:paraId="7988777A">
      <w:pPr>
        <w:ind w:firstLine="480"/>
        <w:rPr>
          <w:rFonts w:ascii="宋体" w:hAnsi="宋体" w:eastAsia="宋体" w:cs="宋体"/>
          <w:highlight w:val="none"/>
        </w:rPr>
      </w:pPr>
      <w:r>
        <w:rPr>
          <w:rFonts w:hint="eastAsia" w:ascii="宋体" w:hAnsi="宋体" w:eastAsia="宋体" w:cs="宋体"/>
          <w:highlight w:val="none"/>
        </w:rPr>
        <w:t>（6）互换性：同一型号规格的搁板之间应能互换、同一型号规格的挂板之间应能互换。</w:t>
      </w:r>
    </w:p>
    <w:p w14:paraId="0E7095EA">
      <w:pPr>
        <w:ind w:firstLine="480"/>
        <w:rPr>
          <w:rFonts w:ascii="宋体" w:hAnsi="宋体" w:eastAsia="宋体" w:cs="宋体"/>
          <w:highlight w:val="none"/>
        </w:rPr>
      </w:pPr>
      <w:r>
        <w:rPr>
          <w:rFonts w:hint="eastAsia" w:ascii="宋体" w:hAnsi="宋体" w:eastAsia="宋体" w:cs="宋体"/>
          <w:highlight w:val="none"/>
        </w:rPr>
        <w:t>（7）传动装置的性能：应转动灵活、平稳，不得有失灵现象，低噪声。</w:t>
      </w:r>
    </w:p>
    <w:p w14:paraId="15F45FB1">
      <w:pPr>
        <w:ind w:firstLine="480"/>
        <w:rPr>
          <w:rFonts w:ascii="宋体" w:hAnsi="宋体" w:eastAsia="宋体" w:cs="宋体"/>
          <w:highlight w:val="none"/>
        </w:rPr>
      </w:pPr>
      <w:r>
        <w:rPr>
          <w:rFonts w:hint="eastAsia" w:ascii="宋体" w:hAnsi="宋体" w:eastAsia="宋体" w:cs="宋体"/>
          <w:highlight w:val="none"/>
        </w:rPr>
        <w:t>（8）防倾倒：活动架列均应安装防倾倒装置，固定架列底盘均应安装牢固并用螺钉进行固定。</w:t>
      </w:r>
    </w:p>
    <w:p w14:paraId="391738E7">
      <w:pPr>
        <w:ind w:firstLine="480"/>
        <w:rPr>
          <w:rFonts w:ascii="宋体" w:hAnsi="宋体" w:eastAsia="宋体" w:cs="宋体"/>
          <w:highlight w:val="none"/>
        </w:rPr>
      </w:pPr>
      <w:r>
        <w:rPr>
          <w:rFonts w:hint="eastAsia" w:ascii="宋体" w:hAnsi="宋体" w:eastAsia="宋体" w:cs="宋体"/>
          <w:highlight w:val="none"/>
        </w:rPr>
        <w:t>（9）结构强度要求和稳定性试验：搁板最大挠度小于3mm，满负荷24小时卸载后，无裂缝及永久变形。层板满负荷24小时后，最大挠度为2mm，卸载后自动恢复。卸载后搁板无裂缝、不变形。</w:t>
      </w:r>
    </w:p>
    <w:p w14:paraId="31A9631D">
      <w:pPr>
        <w:ind w:firstLine="480"/>
        <w:rPr>
          <w:rFonts w:ascii="宋体" w:hAnsi="宋体" w:eastAsia="宋体" w:cs="宋体"/>
          <w:highlight w:val="none"/>
        </w:rPr>
      </w:pPr>
      <w:r>
        <w:rPr>
          <w:rFonts w:hint="eastAsia" w:ascii="宋体" w:hAnsi="宋体" w:eastAsia="宋体" w:cs="宋体"/>
          <w:highlight w:val="none"/>
        </w:rPr>
        <w:t>（10）在全负载的情况下，各列密集架运行自如，无阻滞现象，各构件和架体不会产生明显变形，架体不会产生倾斜现象。</w:t>
      </w:r>
    </w:p>
    <w:p w14:paraId="6410424D">
      <w:pPr>
        <w:ind w:firstLine="480"/>
        <w:rPr>
          <w:rFonts w:ascii="宋体" w:hAnsi="宋体" w:eastAsia="宋体" w:cs="宋体"/>
          <w:highlight w:val="none"/>
        </w:rPr>
      </w:pPr>
      <w:r>
        <w:rPr>
          <w:rFonts w:hint="eastAsia" w:ascii="宋体" w:hAnsi="宋体" w:eastAsia="宋体" w:cs="宋体"/>
          <w:highlight w:val="none"/>
        </w:rPr>
        <w:t>4.3 制造要求</w:t>
      </w:r>
    </w:p>
    <w:p w14:paraId="33E2F3F2">
      <w:pPr>
        <w:ind w:firstLine="480"/>
        <w:rPr>
          <w:rFonts w:ascii="宋体" w:hAnsi="宋体" w:eastAsia="宋体" w:cs="宋体"/>
          <w:highlight w:val="none"/>
        </w:rPr>
      </w:pPr>
      <w:r>
        <w:rPr>
          <w:rFonts w:hint="eastAsia" w:ascii="宋体" w:hAnsi="宋体" w:eastAsia="宋体" w:cs="宋体"/>
          <w:highlight w:val="none"/>
        </w:rPr>
        <w:t>（1）所有钣金件、机加件加工后应打磨毛刺，无裂痕及伤痕。</w:t>
      </w:r>
    </w:p>
    <w:p w14:paraId="21834CE9">
      <w:pPr>
        <w:ind w:firstLine="480"/>
        <w:rPr>
          <w:rFonts w:ascii="宋体" w:hAnsi="宋体" w:eastAsia="宋体" w:cs="宋体"/>
          <w:highlight w:val="none"/>
        </w:rPr>
      </w:pPr>
      <w:r>
        <w:rPr>
          <w:rFonts w:hint="eastAsia" w:ascii="宋体" w:hAnsi="宋体" w:eastAsia="宋体" w:cs="宋体"/>
          <w:highlight w:val="none"/>
        </w:rPr>
        <w:t>（2）所有焊接件应焊接牢固，焊痕光滑、平整。</w:t>
      </w:r>
    </w:p>
    <w:p w14:paraId="5EFA8157">
      <w:pPr>
        <w:ind w:firstLine="480"/>
        <w:rPr>
          <w:rFonts w:ascii="宋体" w:hAnsi="宋体" w:eastAsia="宋体" w:cs="宋体"/>
          <w:highlight w:val="none"/>
        </w:rPr>
      </w:pPr>
      <w:r>
        <w:rPr>
          <w:rFonts w:hint="eastAsia" w:ascii="宋体" w:hAnsi="宋体" w:eastAsia="宋体" w:cs="宋体"/>
          <w:highlight w:val="none"/>
        </w:rPr>
        <w:t>（3）产品各零件、组合件之间应能保持互换性。</w:t>
      </w:r>
    </w:p>
    <w:p w14:paraId="78A1FF3F">
      <w:pPr>
        <w:ind w:firstLine="480"/>
        <w:rPr>
          <w:rFonts w:ascii="宋体" w:hAnsi="宋体" w:eastAsia="宋体" w:cs="宋体"/>
          <w:highlight w:val="none"/>
        </w:rPr>
      </w:pPr>
      <w:r>
        <w:rPr>
          <w:rFonts w:hint="eastAsia" w:ascii="宋体" w:hAnsi="宋体" w:eastAsia="宋体" w:cs="宋体"/>
          <w:highlight w:val="none"/>
        </w:rPr>
        <w:t>（4）所有标准件、紧固件、从动承重轮装置、主动传动轴、承重轮轴、导轨均需镀锌防锈处理。</w:t>
      </w:r>
    </w:p>
    <w:p w14:paraId="0483C2A6">
      <w:pPr>
        <w:ind w:firstLine="480"/>
        <w:rPr>
          <w:rFonts w:ascii="宋体" w:hAnsi="宋体" w:eastAsia="宋体" w:cs="宋体"/>
          <w:highlight w:val="none"/>
        </w:rPr>
      </w:pPr>
      <w:r>
        <w:rPr>
          <w:rFonts w:hint="eastAsia" w:ascii="宋体" w:hAnsi="宋体" w:eastAsia="宋体" w:cs="宋体"/>
          <w:highlight w:val="none"/>
        </w:rPr>
        <w:t>4.4 制造公差要求</w:t>
      </w:r>
    </w:p>
    <w:p w14:paraId="516A5BF5">
      <w:pPr>
        <w:ind w:firstLine="480"/>
        <w:rPr>
          <w:rFonts w:ascii="宋体" w:hAnsi="宋体" w:eastAsia="宋体" w:cs="宋体"/>
          <w:highlight w:val="none"/>
        </w:rPr>
      </w:pPr>
      <w:r>
        <w:rPr>
          <w:rFonts w:hint="eastAsia" w:ascii="宋体" w:hAnsi="宋体" w:eastAsia="宋体" w:cs="宋体"/>
          <w:highlight w:val="none"/>
        </w:rPr>
        <w:t>（1）长度、宽度、高度偏差均在±2mm以内。</w:t>
      </w:r>
    </w:p>
    <w:p w14:paraId="78C57E84">
      <w:pPr>
        <w:ind w:firstLine="480"/>
        <w:rPr>
          <w:rFonts w:ascii="宋体" w:hAnsi="宋体" w:eastAsia="宋体" w:cs="宋体"/>
          <w:highlight w:val="none"/>
        </w:rPr>
      </w:pPr>
      <w:r>
        <w:rPr>
          <w:rFonts w:hint="eastAsia" w:ascii="宋体" w:hAnsi="宋体" w:eastAsia="宋体" w:cs="宋体"/>
          <w:highlight w:val="none"/>
        </w:rPr>
        <w:t>（2）每标准节组装后，侧面板与中腰板的对缝处的间隙应小于2mm。</w:t>
      </w:r>
    </w:p>
    <w:p w14:paraId="0E747329">
      <w:pPr>
        <w:ind w:firstLine="480"/>
        <w:rPr>
          <w:rFonts w:ascii="宋体" w:hAnsi="宋体" w:eastAsia="宋体" w:cs="宋体"/>
          <w:highlight w:val="none"/>
        </w:rPr>
      </w:pPr>
      <w:r>
        <w:rPr>
          <w:rFonts w:hint="eastAsia" w:ascii="宋体" w:hAnsi="宋体" w:eastAsia="宋体" w:cs="宋体"/>
          <w:highlight w:val="none"/>
        </w:rPr>
        <w:t>（3）架体的列与列之间的平行度偏差：±2mm。</w:t>
      </w:r>
    </w:p>
    <w:p w14:paraId="73F507C4">
      <w:pPr>
        <w:ind w:firstLine="480"/>
        <w:rPr>
          <w:rFonts w:ascii="宋体" w:hAnsi="宋体" w:eastAsia="宋体" w:cs="宋体"/>
          <w:highlight w:val="none"/>
        </w:rPr>
      </w:pPr>
      <w:r>
        <w:rPr>
          <w:rFonts w:hint="eastAsia" w:ascii="宋体" w:hAnsi="宋体" w:eastAsia="宋体" w:cs="宋体"/>
          <w:highlight w:val="none"/>
        </w:rPr>
        <w:t>（4）轨道安装后，在任意1m长度内，水平度偏差不大于0.5mm，全长不大于3mm。</w:t>
      </w:r>
    </w:p>
    <w:p w14:paraId="0D28130C">
      <w:pPr>
        <w:ind w:firstLine="480"/>
        <w:rPr>
          <w:rFonts w:ascii="宋体" w:hAnsi="宋体" w:eastAsia="宋体" w:cs="宋体"/>
          <w:highlight w:val="none"/>
        </w:rPr>
      </w:pPr>
      <w:r>
        <w:rPr>
          <w:rFonts w:hint="eastAsia" w:ascii="宋体" w:hAnsi="宋体" w:eastAsia="宋体" w:cs="宋体"/>
          <w:highlight w:val="none"/>
        </w:rPr>
        <w:t>（5）轨道安装后，轨道对接处高低差不大于0.3mm。</w:t>
      </w:r>
    </w:p>
    <w:p w14:paraId="1E5FF630">
      <w:pPr>
        <w:ind w:firstLine="480"/>
        <w:rPr>
          <w:rFonts w:ascii="宋体" w:hAnsi="宋体" w:eastAsia="宋体" w:cs="宋体"/>
          <w:highlight w:val="none"/>
        </w:rPr>
      </w:pPr>
      <w:r>
        <w:rPr>
          <w:rFonts w:hint="eastAsia" w:ascii="宋体" w:hAnsi="宋体" w:eastAsia="宋体" w:cs="宋体"/>
          <w:highlight w:val="none"/>
        </w:rPr>
        <w:t>（6）相邻两条轨道之间的平行度偏差不大于1.0mm。</w:t>
      </w:r>
    </w:p>
    <w:p w14:paraId="027E8C38">
      <w:pPr>
        <w:ind w:firstLine="480"/>
        <w:rPr>
          <w:rFonts w:ascii="宋体" w:hAnsi="宋体" w:eastAsia="宋体" w:cs="宋体"/>
          <w:highlight w:val="none"/>
        </w:rPr>
      </w:pPr>
      <w:r>
        <w:rPr>
          <w:rFonts w:hint="eastAsia" w:ascii="宋体" w:hAnsi="宋体" w:eastAsia="宋体" w:cs="宋体"/>
          <w:highlight w:val="none"/>
        </w:rPr>
        <w:t>（7）底盘平直，直线度不大于0.5mm/m，全长不大于2mm。</w:t>
      </w:r>
    </w:p>
    <w:p w14:paraId="2063E3E7">
      <w:pPr>
        <w:ind w:firstLine="480"/>
        <w:rPr>
          <w:rFonts w:ascii="宋体" w:hAnsi="宋体" w:eastAsia="宋体" w:cs="宋体"/>
          <w:highlight w:val="none"/>
        </w:rPr>
      </w:pPr>
      <w:r>
        <w:rPr>
          <w:rFonts w:hint="eastAsia" w:ascii="宋体" w:hAnsi="宋体" w:eastAsia="宋体" w:cs="宋体"/>
          <w:highlight w:val="none"/>
        </w:rPr>
        <w:t>（8）架体两侧平直度：±0.5～1mm/列。</w:t>
      </w:r>
    </w:p>
    <w:p w14:paraId="28470566">
      <w:pPr>
        <w:ind w:firstLine="480"/>
        <w:rPr>
          <w:rFonts w:ascii="宋体" w:hAnsi="宋体" w:eastAsia="宋体" w:cs="宋体"/>
          <w:highlight w:val="none"/>
        </w:rPr>
      </w:pPr>
      <w:r>
        <w:rPr>
          <w:rFonts w:hint="eastAsia" w:ascii="宋体" w:hAnsi="宋体" w:eastAsia="宋体" w:cs="宋体"/>
          <w:highlight w:val="none"/>
        </w:rPr>
        <w:t>（9）架体垂直度：±1～2mm/列。</w:t>
      </w:r>
    </w:p>
    <w:p w14:paraId="00740429">
      <w:pPr>
        <w:ind w:firstLine="480"/>
        <w:rPr>
          <w:rFonts w:ascii="宋体" w:hAnsi="宋体" w:eastAsia="宋体" w:cs="宋体"/>
          <w:highlight w:val="none"/>
        </w:rPr>
      </w:pPr>
      <w:r>
        <w:rPr>
          <w:rFonts w:hint="eastAsia" w:ascii="宋体" w:hAnsi="宋体" w:eastAsia="宋体" w:cs="宋体"/>
          <w:highlight w:val="none"/>
        </w:rPr>
        <w:t>（10）架体纵向同步度：±0～0.5mm/列。</w:t>
      </w:r>
    </w:p>
    <w:p w14:paraId="06747C6C">
      <w:pPr>
        <w:ind w:firstLine="480"/>
        <w:rPr>
          <w:rFonts w:ascii="宋体" w:hAnsi="宋体" w:eastAsia="宋体" w:cs="宋体"/>
          <w:highlight w:val="none"/>
        </w:rPr>
      </w:pPr>
      <w:r>
        <w:rPr>
          <w:rFonts w:hint="eastAsia" w:ascii="宋体" w:hAnsi="宋体" w:eastAsia="宋体" w:cs="宋体"/>
          <w:highlight w:val="none"/>
        </w:rPr>
        <w:t>（11）门缝间隙应均匀一致，间隙≤2mm。</w:t>
      </w:r>
    </w:p>
    <w:p w14:paraId="6F623598">
      <w:pPr>
        <w:ind w:firstLine="480"/>
        <w:rPr>
          <w:rFonts w:ascii="宋体" w:hAnsi="宋体" w:eastAsia="宋体" w:cs="宋体"/>
          <w:highlight w:val="none"/>
        </w:rPr>
      </w:pPr>
      <w:r>
        <w:rPr>
          <w:rFonts w:hint="eastAsia" w:ascii="宋体" w:hAnsi="宋体" w:eastAsia="宋体" w:cs="宋体"/>
          <w:highlight w:val="none"/>
        </w:rPr>
        <w:t>（12）立柱与导轨的垂直度不大于2mm。</w:t>
      </w:r>
    </w:p>
    <w:p w14:paraId="7963FA58">
      <w:pPr>
        <w:ind w:firstLine="480"/>
        <w:rPr>
          <w:rFonts w:ascii="宋体" w:hAnsi="宋体" w:eastAsia="宋体" w:cs="宋体"/>
          <w:highlight w:val="none"/>
        </w:rPr>
      </w:pPr>
      <w:r>
        <w:rPr>
          <w:rFonts w:hint="eastAsia" w:ascii="宋体" w:hAnsi="宋体" w:eastAsia="宋体" w:cs="宋体"/>
          <w:highlight w:val="none"/>
        </w:rPr>
        <w:t>4.5 除油、除锈、硅烷覆膜等处理工艺要求</w:t>
      </w:r>
    </w:p>
    <w:p w14:paraId="63E7D333">
      <w:pPr>
        <w:ind w:firstLine="480"/>
        <w:rPr>
          <w:rFonts w:ascii="宋体" w:hAnsi="宋体" w:eastAsia="宋体" w:cs="宋体"/>
          <w:highlight w:val="none"/>
        </w:rPr>
      </w:pPr>
      <w:r>
        <w:rPr>
          <w:rFonts w:hint="eastAsia" w:ascii="宋体" w:hAnsi="宋体" w:eastAsia="宋体" w:cs="宋体"/>
          <w:highlight w:val="none"/>
        </w:rPr>
        <w:t>（1）工件表面的油污、锈斑及氧化层，经化学法清除脱脂除锈后，不应有油脂、浮浊液等污物，其表面经清水冲水和表面调整后再涂覆硅烷防锈蚀保护膜。</w:t>
      </w:r>
    </w:p>
    <w:p w14:paraId="257B0557">
      <w:pPr>
        <w:ind w:firstLine="480"/>
        <w:rPr>
          <w:rFonts w:ascii="宋体" w:hAnsi="宋体" w:eastAsia="宋体" w:cs="宋体"/>
          <w:highlight w:val="none"/>
        </w:rPr>
      </w:pPr>
      <w:r>
        <w:rPr>
          <w:rFonts w:hint="eastAsia" w:ascii="宋体" w:hAnsi="宋体" w:eastAsia="宋体" w:cs="宋体"/>
          <w:highlight w:val="none"/>
        </w:rPr>
        <w:t>（2）经自动喷淋线处理后的工件，不应有目视可见的氧化物、锈斑等腐蚀现象，其表面应色泽基本均匀。</w:t>
      </w:r>
    </w:p>
    <w:p w14:paraId="5F299796">
      <w:pPr>
        <w:ind w:firstLine="480"/>
        <w:rPr>
          <w:rFonts w:ascii="宋体" w:hAnsi="宋体" w:eastAsia="宋体" w:cs="宋体"/>
          <w:highlight w:val="none"/>
        </w:rPr>
      </w:pPr>
      <w:r>
        <w:rPr>
          <w:rFonts w:hint="eastAsia" w:ascii="宋体" w:hAnsi="宋体" w:eastAsia="宋体" w:cs="宋体"/>
          <w:highlight w:val="none"/>
        </w:rPr>
        <w:t>（3）硅烷覆膜处理工艺主要采用自动喷淋工艺。</w:t>
      </w:r>
    </w:p>
    <w:p w14:paraId="46985552">
      <w:pPr>
        <w:ind w:firstLine="480"/>
        <w:rPr>
          <w:rFonts w:ascii="宋体" w:hAnsi="宋体" w:eastAsia="宋体" w:cs="宋体"/>
          <w:highlight w:val="none"/>
        </w:rPr>
      </w:pPr>
      <w:r>
        <w:rPr>
          <w:rFonts w:hint="eastAsia" w:ascii="宋体" w:hAnsi="宋体" w:eastAsia="宋体" w:cs="宋体"/>
          <w:highlight w:val="none"/>
        </w:rPr>
        <w:t>（4）工件经表面脱脂除锈、水洗、硅烷覆膜后经烘干道方可喷塑。</w:t>
      </w:r>
    </w:p>
    <w:p w14:paraId="1F81F150">
      <w:pPr>
        <w:ind w:firstLine="480"/>
        <w:rPr>
          <w:rFonts w:ascii="宋体" w:hAnsi="宋体" w:eastAsia="宋体" w:cs="宋体"/>
          <w:highlight w:val="none"/>
        </w:rPr>
      </w:pPr>
      <w:r>
        <w:rPr>
          <w:rFonts w:hint="eastAsia" w:ascii="宋体" w:hAnsi="宋体" w:eastAsia="宋体" w:cs="宋体"/>
          <w:highlight w:val="none"/>
        </w:rPr>
        <w:t>（5）经处理后的工件与喷塑时间相隔一般不超过1小时。</w:t>
      </w:r>
    </w:p>
    <w:p w14:paraId="209393AB">
      <w:pPr>
        <w:ind w:firstLine="480"/>
        <w:rPr>
          <w:rFonts w:ascii="宋体" w:hAnsi="宋体" w:eastAsia="宋体" w:cs="宋体"/>
          <w:highlight w:val="none"/>
        </w:rPr>
      </w:pPr>
      <w:r>
        <w:rPr>
          <w:rFonts w:hint="eastAsia" w:ascii="宋体" w:hAnsi="宋体" w:eastAsia="宋体" w:cs="宋体"/>
          <w:highlight w:val="none"/>
        </w:rPr>
        <w:t>4.6 静电喷塑技术工艺要求</w:t>
      </w:r>
    </w:p>
    <w:p w14:paraId="3C25EAFB">
      <w:pPr>
        <w:ind w:firstLine="480"/>
        <w:rPr>
          <w:rFonts w:ascii="宋体" w:hAnsi="宋体" w:eastAsia="宋体" w:cs="宋体"/>
          <w:highlight w:val="none"/>
        </w:rPr>
      </w:pPr>
      <w:r>
        <w:rPr>
          <w:rFonts w:hint="eastAsia" w:ascii="宋体" w:hAnsi="宋体" w:eastAsia="宋体" w:cs="宋体"/>
          <w:highlight w:val="none"/>
        </w:rPr>
        <w:t>（1）塑粉经高频、高压静电设备喷涂固化成膜。固化温度应控制在180℃-220℃，时间控制在15-20分钟范围内。</w:t>
      </w:r>
    </w:p>
    <w:p w14:paraId="3EF178B6">
      <w:pPr>
        <w:ind w:firstLine="480"/>
        <w:rPr>
          <w:rFonts w:ascii="宋体" w:hAnsi="宋体" w:eastAsia="宋体" w:cs="宋体"/>
          <w:highlight w:val="none"/>
        </w:rPr>
      </w:pPr>
      <w:r>
        <w:rPr>
          <w:rFonts w:hint="eastAsia" w:ascii="宋体" w:hAnsi="宋体" w:eastAsia="宋体" w:cs="宋体"/>
          <w:highlight w:val="none"/>
        </w:rPr>
        <w:t>（2）颜色按客户要求，色泽一致，塑面均匀光滑、无划伤、无露底流挂。</w:t>
      </w:r>
    </w:p>
    <w:p w14:paraId="4B80E343">
      <w:pPr>
        <w:ind w:firstLine="480"/>
        <w:rPr>
          <w:rFonts w:ascii="宋体" w:hAnsi="宋体" w:eastAsia="宋体" w:cs="宋体"/>
          <w:highlight w:val="none"/>
        </w:rPr>
      </w:pPr>
      <w:r>
        <w:rPr>
          <w:rFonts w:hint="eastAsia" w:ascii="宋体" w:hAnsi="宋体" w:eastAsia="宋体" w:cs="宋体"/>
          <w:highlight w:val="none"/>
        </w:rPr>
        <w:t>4.7 传动机构要求</w:t>
      </w:r>
    </w:p>
    <w:p w14:paraId="2E78DCAB">
      <w:pPr>
        <w:ind w:firstLine="480"/>
        <w:rPr>
          <w:rFonts w:ascii="宋体" w:hAnsi="宋体" w:eastAsia="宋体" w:cs="宋体"/>
          <w:highlight w:val="none"/>
        </w:rPr>
      </w:pPr>
      <w:r>
        <w:rPr>
          <w:rFonts w:hint="eastAsia" w:ascii="宋体" w:hAnsi="宋体" w:eastAsia="宋体" w:cs="宋体"/>
          <w:highlight w:val="none"/>
        </w:rPr>
        <w:t>（1）传动机构组成：中间主动传动轴、轴承、链轮链条、联轴器、承重轮轴、承重组合轮、从动承重组合轮以及应急驱动器等组成。</w:t>
      </w:r>
    </w:p>
    <w:p w14:paraId="149A0EB2">
      <w:pPr>
        <w:ind w:firstLine="480"/>
        <w:rPr>
          <w:rFonts w:ascii="宋体" w:hAnsi="宋体" w:eastAsia="宋体" w:cs="宋体"/>
          <w:highlight w:val="none"/>
        </w:rPr>
      </w:pPr>
      <w:r>
        <w:rPr>
          <w:rFonts w:hint="eastAsia" w:ascii="宋体" w:hAnsi="宋体" w:eastAsia="宋体" w:cs="宋体"/>
          <w:highlight w:val="none"/>
        </w:rPr>
        <w:t>（2）传动机构组装后要求：开启移动平稳，运转自如，低噪声。</w:t>
      </w:r>
    </w:p>
    <w:p w14:paraId="791B1A5F">
      <w:pPr>
        <w:ind w:firstLine="480"/>
        <w:rPr>
          <w:rFonts w:ascii="宋体" w:hAnsi="宋体" w:eastAsia="宋体" w:cs="宋体"/>
          <w:highlight w:val="none"/>
        </w:rPr>
      </w:pPr>
      <w:r>
        <w:rPr>
          <w:rFonts w:hint="eastAsia" w:ascii="宋体" w:hAnsi="宋体" w:eastAsia="宋体" w:cs="宋体"/>
          <w:highlight w:val="none"/>
        </w:rPr>
        <w:t>4.8 包装方式</w:t>
      </w:r>
    </w:p>
    <w:p w14:paraId="079C7CD2">
      <w:pPr>
        <w:ind w:firstLine="480"/>
        <w:rPr>
          <w:rFonts w:ascii="宋体" w:hAnsi="宋体" w:eastAsia="宋体" w:cs="宋体"/>
          <w:highlight w:val="none"/>
        </w:rPr>
      </w:pPr>
      <w:r>
        <w:rPr>
          <w:rFonts w:hint="eastAsia" w:ascii="宋体" w:hAnsi="宋体" w:eastAsia="宋体" w:cs="宋体"/>
          <w:highlight w:val="none"/>
        </w:rPr>
        <w:t xml:space="preserve">密集架的各种组合部（零）件和电气配件均需采用纸箱封闭式包装，其中门板、侧面板等关键部件需用软泡膜包裹分隔，用纸箱封闭式包装，捆扎牢固，保护有效。 </w:t>
      </w:r>
    </w:p>
    <w:p w14:paraId="2B6AB649">
      <w:pPr>
        <w:ind w:firstLine="480"/>
        <w:rPr>
          <w:rFonts w:ascii="宋体" w:hAnsi="宋体" w:eastAsia="宋体" w:cs="宋体"/>
          <w:highlight w:val="none"/>
        </w:rPr>
      </w:pPr>
      <w:r>
        <w:rPr>
          <w:rFonts w:hint="eastAsia" w:ascii="宋体" w:hAnsi="宋体" w:eastAsia="宋体" w:cs="宋体"/>
          <w:highlight w:val="none"/>
        </w:rPr>
        <w:t>4.9 载重性能要求和检测方式</w:t>
      </w:r>
    </w:p>
    <w:p w14:paraId="50FE8F07">
      <w:pPr>
        <w:ind w:firstLine="480"/>
        <w:rPr>
          <w:rFonts w:ascii="宋体" w:hAnsi="宋体" w:eastAsia="宋体" w:cs="宋体"/>
          <w:highlight w:val="none"/>
        </w:rPr>
      </w:pPr>
      <w:r>
        <w:rPr>
          <w:rFonts w:hint="eastAsia" w:ascii="宋体" w:hAnsi="宋体" w:eastAsia="宋体" w:cs="宋体"/>
          <w:highlight w:val="none"/>
        </w:rPr>
        <w:t>（1）单面搁板上均布载重40Kg，双面均布负载80Kg，最大挠度为3mm，24h卸载后，不得有裂纹及永久变形。</w:t>
      </w:r>
    </w:p>
    <w:p w14:paraId="58F0D880">
      <w:pPr>
        <w:ind w:firstLine="480"/>
        <w:rPr>
          <w:rFonts w:ascii="宋体" w:hAnsi="宋体" w:eastAsia="宋体" w:cs="宋体"/>
          <w:highlight w:val="none"/>
        </w:rPr>
      </w:pPr>
      <w:r>
        <w:rPr>
          <w:rFonts w:hint="eastAsia" w:ascii="宋体" w:hAnsi="宋体" w:eastAsia="宋体" w:cs="宋体"/>
          <w:highlight w:val="none"/>
        </w:rPr>
        <w:t>（2）标准节（搁板）在全负载（每块单面搁板均布载重40Kg）的情况下，架体、立柱不应有明显变形，架体不能产生倾斜现象。</w:t>
      </w:r>
    </w:p>
    <w:p w14:paraId="0F1C0FF0">
      <w:pPr>
        <w:ind w:firstLine="480"/>
        <w:rPr>
          <w:rFonts w:ascii="宋体" w:hAnsi="宋体" w:eastAsia="宋体" w:cs="宋体"/>
          <w:highlight w:val="none"/>
        </w:rPr>
      </w:pPr>
      <w:r>
        <w:rPr>
          <w:rFonts w:hint="eastAsia" w:ascii="宋体" w:hAnsi="宋体" w:eastAsia="宋体" w:cs="宋体"/>
          <w:highlight w:val="none"/>
        </w:rPr>
        <w:t>（3）在全负载的情况下（每块单面搁板上均布载重40kg），各列密集架在手动操作下，都应运行自如，不得有阻滞现象。</w:t>
      </w:r>
    </w:p>
    <w:p w14:paraId="6747D92B">
      <w:pPr>
        <w:ind w:firstLine="480"/>
        <w:rPr>
          <w:rFonts w:ascii="宋体" w:hAnsi="宋体" w:eastAsia="宋体" w:cs="宋体"/>
          <w:highlight w:val="none"/>
        </w:rPr>
      </w:pPr>
      <w:r>
        <w:rPr>
          <w:rFonts w:hint="eastAsia" w:ascii="宋体" w:hAnsi="宋体" w:eastAsia="宋体" w:cs="宋体"/>
          <w:highlight w:val="none"/>
        </w:rPr>
        <w:t>（4）每标准节在全负载的情况下，承受沿X、Y轴两个方向额定载荷1/15的水平拉力作用，标准节不得翻倒。</w:t>
      </w:r>
    </w:p>
    <w:p w14:paraId="7BA4D896">
      <w:pPr>
        <w:tabs>
          <w:tab w:val="left" w:pos="571"/>
        </w:tabs>
        <w:ind w:firstLine="480"/>
        <w:jc w:val="left"/>
        <w:rPr>
          <w:rFonts w:ascii="宋体" w:hAnsi="宋体" w:eastAsia="宋体" w:cs="宋体"/>
          <w:snapToGrid w:val="0"/>
          <w:kern w:val="0"/>
          <w:highlight w:val="none"/>
        </w:rPr>
      </w:pPr>
      <w:r>
        <w:rPr>
          <w:rFonts w:hint="eastAsia" w:ascii="宋体" w:hAnsi="宋体" w:eastAsia="宋体" w:cs="宋体"/>
          <w:highlight w:val="none"/>
        </w:rPr>
        <w:t>（5）在最高搁板中心离外沿100mm处，同时施加垂直力50kg和标准节额定载荷1/15的垂直力，架体不得倾斜倒塌。</w:t>
      </w:r>
    </w:p>
    <w:p w14:paraId="4DFED517">
      <w:pPr>
        <w:ind w:firstLine="0" w:firstLineChars="0"/>
        <w:rPr>
          <w:rFonts w:ascii="宋体" w:hAnsi="宋体" w:eastAsia="宋体" w:cs="Times New Roman"/>
          <w:highlight w:val="none"/>
        </w:rPr>
      </w:pPr>
      <w:r>
        <w:rPr>
          <w:rFonts w:hint="eastAsia" w:ascii="宋体" w:hAnsi="宋体" w:eastAsia="宋体" w:cs="宋体"/>
          <w:b/>
          <w:bCs/>
          <w:highlight w:val="none"/>
        </w:rPr>
        <w:t>（二）六层双面带灯钢木书架技术要求</w:t>
      </w:r>
    </w:p>
    <w:p w14:paraId="65493203">
      <w:pPr>
        <w:ind w:firstLine="480"/>
        <w:rPr>
          <w:rFonts w:ascii="宋体" w:hAnsi="宋体" w:eastAsia="宋体" w:cs="宋体"/>
          <w:highlight w:val="none"/>
        </w:rPr>
      </w:pPr>
      <w:r>
        <w:rPr>
          <w:rFonts w:hint="eastAsia" w:ascii="宋体" w:hAnsi="宋体" w:eastAsia="宋体" w:cs="宋体"/>
          <w:highlight w:val="none"/>
        </w:rPr>
        <w:t>材质及结构</w:t>
      </w:r>
    </w:p>
    <w:p w14:paraId="1C0D540E">
      <w:pPr>
        <w:numPr>
          <w:ilvl w:val="0"/>
          <w:numId w:val="7"/>
        </w:numPr>
        <w:ind w:firstLine="480"/>
        <w:rPr>
          <w:rFonts w:ascii="宋体" w:hAnsi="宋体" w:eastAsia="宋体" w:cs="宋体"/>
          <w:highlight w:val="none"/>
        </w:rPr>
      </w:pPr>
      <w:r>
        <w:rPr>
          <w:rFonts w:hint="eastAsia" w:ascii="宋体" w:hAnsi="宋体" w:eastAsia="宋体" w:cs="宋体"/>
          <w:color w:val="000000"/>
          <w:kern w:val="0"/>
          <w:highlight w:val="none"/>
        </w:rPr>
        <w:t>★</w:t>
      </w:r>
      <w:r>
        <w:rPr>
          <w:rFonts w:hint="eastAsia" w:ascii="宋体" w:hAnsi="宋体" w:eastAsia="宋体" w:cs="宋体"/>
          <w:kern w:val="2"/>
          <w:sz w:val="24"/>
          <w:szCs w:val="24"/>
          <w:highlight w:val="none"/>
          <w:lang w:val="en-US" w:eastAsia="zh-CN" w:bidi="ar-SA"/>
        </w:rPr>
        <w:t>根据GB/T 13667.1-2015《钢制书架通用技术条件》国家标准开发生产，</w:t>
      </w:r>
      <w:r>
        <w:rPr>
          <w:rFonts w:hint="eastAsia" w:ascii="宋体" w:hAnsi="宋体" w:eastAsia="宋体" w:cs="宋体"/>
          <w:highlight w:val="none"/>
          <w:lang w:val="en-US" w:eastAsia="zh-CN"/>
        </w:rPr>
        <w:t>钢制部分</w:t>
      </w:r>
      <w:r>
        <w:rPr>
          <w:rFonts w:hint="eastAsia" w:ascii="宋体" w:hAnsi="宋体" w:eastAsia="宋体" w:cs="宋体"/>
          <w:highlight w:val="none"/>
        </w:rPr>
        <w:t>：底架(底盘) 2.0mm，立柱1.5mm，搁板1.2mm(每块搁板下面配加1根加强筋)，挂板1.2mm，顶板1.0mm，每层搁板中间采用分隔板（侧板）1.0mm（采用倒U型状）分隔，底座连接挡1.35mm。采用优质一级冷轧钢板，经过酸洗磷化处理，静电喷塑，耐磨防锈，防静电，颜色持久，表面硬度≥2H，经过精密模具冲压成型,稳固性好；整体采用双柱式结构，在立柱上可多孔位调节距离，方便调节放置不同尺寸书籍，保持不同尺寸书籍外沿在同一面上。单面搁板上均布载重≥40Kg，双面均布负载≥80Kg，满载后最大挠度为3mm，24h卸载后，不得有裂纹及永久变形</w:t>
      </w:r>
      <w:r>
        <w:rPr>
          <w:rFonts w:hint="eastAsia" w:ascii="宋体" w:hAnsi="宋体" w:eastAsia="宋体" w:cs="宋体"/>
          <w:highlight w:val="none"/>
          <w:lang w:eastAsia="zh-CN"/>
        </w:rPr>
        <w:t>。</w:t>
      </w:r>
    </w:p>
    <w:p w14:paraId="67C79379">
      <w:pPr>
        <w:ind w:firstLine="480"/>
        <w:rPr>
          <w:rFonts w:hint="eastAsia" w:ascii="宋体" w:hAnsi="宋体" w:eastAsia="宋体" w:cs="宋体"/>
          <w:highlight w:val="none"/>
          <w:lang w:eastAsia="zh-CN"/>
        </w:rPr>
      </w:pPr>
      <w:r>
        <w:rPr>
          <w:rFonts w:hint="eastAsia" w:ascii="宋体" w:hAnsi="宋体" w:eastAsia="宋体" w:cs="宋体"/>
          <w:highlight w:val="none"/>
        </w:rPr>
        <w:t>2.按国家标准，在全负载的情况下，承受X、Y轴向的水平拉力，拉力≥120N，架体不翻倒，架体倾斜量δ均不得大于架体总高的1%，各部件应无塑性变形或其他异常现象；每拼立柱上双面均布可调节双排挂孔，经过模压折弯成形，整体焊接式设计，结构稳固合理、美观、大气，不易变形。搁板支撑板两端挂钩采用专用模具一次冲裁打弯设计，外翻式挂钩结构，底端折弯处使用专用拉伸模具模压四个固定搁板用的抛丁。当搁板放置于搁板支撑板上时，四个抛丁将其牢牢固定。全部组装后平整、牢固、无噪音。搁板双边经六次折弯成双工字型状，搁板高度≥24mm，每层搁板承重为100公斤</w:t>
      </w:r>
      <w:r>
        <w:rPr>
          <w:rFonts w:hint="eastAsia" w:ascii="宋体" w:hAnsi="宋体" w:eastAsia="宋体" w:cs="宋体"/>
          <w:highlight w:val="none"/>
          <w:lang w:eastAsia="zh-CN"/>
        </w:rPr>
        <w:t>。</w:t>
      </w:r>
    </w:p>
    <w:p w14:paraId="144A59C8">
      <w:pPr>
        <w:ind w:firstLine="480"/>
        <w:rPr>
          <w:rFonts w:ascii="宋体" w:hAnsi="宋体" w:eastAsia="宋体" w:cs="宋体"/>
          <w:highlight w:val="none"/>
        </w:rPr>
      </w:pPr>
      <w:r>
        <w:rPr>
          <w:rFonts w:hint="eastAsia" w:ascii="宋体" w:hAnsi="宋体" w:eastAsia="宋体" w:cs="宋体"/>
          <w:highlight w:val="none"/>
        </w:rPr>
        <w:t>3.木制护板部分：</w:t>
      </w:r>
    </w:p>
    <w:p w14:paraId="27045D16">
      <w:pPr>
        <w:ind w:firstLine="480"/>
        <w:rPr>
          <w:rFonts w:hint="eastAsia" w:ascii="宋体" w:hAnsi="宋体" w:eastAsia="宋体" w:cs="宋体"/>
          <w:highlight w:val="none"/>
        </w:rPr>
      </w:pPr>
      <w:r>
        <w:rPr>
          <w:rFonts w:hint="eastAsia" w:ascii="宋体" w:hAnsi="宋体" w:eastAsia="宋体" w:cs="宋体"/>
          <w:highlight w:val="none"/>
        </w:rPr>
        <w:t xml:space="preserve">3.1 </w:t>
      </w:r>
      <w:r>
        <w:rPr>
          <w:rFonts w:hint="eastAsia" w:ascii="宋体" w:hAnsi="宋体" w:eastAsia="宋体" w:cs="宋体"/>
          <w:sz w:val="21"/>
          <w:szCs w:val="21"/>
          <w:highlight w:val="none"/>
        </w:rPr>
        <w:t>▲</w:t>
      </w:r>
      <w:r>
        <w:rPr>
          <w:rFonts w:hint="eastAsia" w:ascii="宋体" w:hAnsi="宋体" w:eastAsia="宋体" w:cs="宋体"/>
          <w:highlight w:val="none"/>
        </w:rPr>
        <w:t>选材：</w:t>
      </w:r>
      <w:r>
        <w:rPr>
          <w:rFonts w:hint="eastAsia" w:ascii="宋体" w:hAnsi="宋体" w:eastAsia="宋体" w:cs="宋体"/>
          <w:highlight w:val="none"/>
          <w:lang w:val="en-US" w:eastAsia="zh-CN"/>
        </w:rPr>
        <w:t>木质部分全部采用</w:t>
      </w:r>
      <w:r>
        <w:rPr>
          <w:rFonts w:hint="eastAsia" w:ascii="宋体" w:hAnsi="宋体" w:eastAsia="宋体" w:cs="宋体"/>
          <w:highlight w:val="none"/>
        </w:rPr>
        <w:t>橡胶木实木板</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包括且不限于</w:t>
      </w:r>
      <w:r>
        <w:rPr>
          <w:rFonts w:hint="eastAsia" w:ascii="宋体" w:hAnsi="宋体" w:eastAsia="宋体" w:cs="宋体"/>
          <w:highlight w:val="none"/>
        </w:rPr>
        <w:t>书架木护板、顶板、装饰板</w:t>
      </w:r>
      <w:r>
        <w:rPr>
          <w:rFonts w:hint="eastAsia" w:ascii="宋体" w:hAnsi="宋体" w:eastAsia="宋体" w:cs="宋体"/>
          <w:highlight w:val="none"/>
          <w:lang w:eastAsia="zh-CN"/>
        </w:rPr>
        <w:t>、</w:t>
      </w:r>
      <w:r>
        <w:rPr>
          <w:rFonts w:hint="eastAsia" w:ascii="宋体" w:hAnsi="宋体" w:eastAsia="宋体" w:cs="宋体"/>
          <w:highlight w:val="none"/>
        </w:rPr>
        <w:t>护板内芯板；</w:t>
      </w:r>
    </w:p>
    <w:p w14:paraId="7BABC93F">
      <w:pPr>
        <w:ind w:firstLine="480"/>
        <w:rPr>
          <w:rFonts w:hint="eastAsia" w:ascii="宋体" w:hAnsi="宋体" w:eastAsia="宋体" w:cs="宋体"/>
          <w:highlight w:val="none"/>
        </w:rPr>
      </w:pPr>
      <w:r>
        <w:rPr>
          <w:rFonts w:hint="eastAsia" w:ascii="宋体" w:hAnsi="宋体" w:eastAsia="宋体" w:cs="宋体"/>
          <w:highlight w:val="none"/>
        </w:rPr>
        <w:t>木护板及顶板所有部件均采用</w:t>
      </w:r>
      <w:r>
        <w:rPr>
          <w:rFonts w:hint="eastAsia" w:ascii="宋体" w:hAnsi="宋体" w:eastAsia="宋体" w:cs="宋体"/>
          <w:highlight w:val="none"/>
          <w:lang w:eastAsia="zh-CN"/>
        </w:rPr>
        <w:t>橡胶木</w:t>
      </w:r>
      <w:r>
        <w:rPr>
          <w:rFonts w:hint="eastAsia" w:ascii="宋体" w:hAnsi="宋体" w:eastAsia="宋体" w:cs="宋体"/>
          <w:highlight w:val="none"/>
        </w:rPr>
        <w:t>实木（指接）板，装饰板（上下线条）采用</w:t>
      </w:r>
      <w:r>
        <w:rPr>
          <w:rFonts w:hint="eastAsia" w:ascii="宋体" w:hAnsi="宋体" w:eastAsia="宋体" w:cs="宋体"/>
          <w:highlight w:val="none"/>
          <w:lang w:eastAsia="zh-CN"/>
        </w:rPr>
        <w:t>橡胶木</w:t>
      </w:r>
      <w:r>
        <w:rPr>
          <w:rFonts w:hint="eastAsia" w:ascii="宋体" w:hAnsi="宋体" w:eastAsia="宋体" w:cs="宋体"/>
          <w:highlight w:val="none"/>
        </w:rPr>
        <w:t>实木（原木）板。木材无开裂、死节、腐朽、不带虫眼及变色；无小材大用、以次充好，边角无缺口；不得采用贴皮处理；拼板粘接用专用进口拼板胶，用胶丰满，并用拼板机加压拼接，确保牢固，拼缝严密，无胶接痕迹；所有板材须经防腐处理，具有防虫、防潮、防腐等效果，其他外观质量条件符合GB/T3324-2017《木家具通用技术条件》标准要求。</w:t>
      </w:r>
    </w:p>
    <w:p w14:paraId="6789843C">
      <w:pPr>
        <w:ind w:firstLine="480"/>
        <w:rPr>
          <w:rFonts w:hint="eastAsia" w:ascii="宋体" w:hAnsi="宋体" w:eastAsia="宋体" w:cs="宋体"/>
          <w:highlight w:val="none"/>
        </w:rPr>
      </w:pPr>
      <w:r>
        <w:rPr>
          <w:rFonts w:hint="eastAsia" w:ascii="宋体" w:hAnsi="宋体" w:eastAsia="宋体" w:cs="宋体"/>
          <w:highlight w:val="none"/>
        </w:rPr>
        <w:t>底板高度12</w:t>
      </w:r>
      <w:r>
        <w:rPr>
          <w:rFonts w:hint="eastAsia" w:ascii="宋体" w:hAnsi="宋体" w:eastAsia="宋体" w:cs="宋体"/>
          <w:highlight w:val="none"/>
          <w:lang w:val="en-US" w:eastAsia="zh-CN"/>
        </w:rPr>
        <w:t>4</w:t>
      </w:r>
      <w:r>
        <w:rPr>
          <w:rFonts w:hint="eastAsia" w:ascii="宋体" w:hAnsi="宋体" w:eastAsia="宋体" w:cs="宋体"/>
          <w:highlight w:val="none"/>
        </w:rPr>
        <w:t>mm，</w:t>
      </w:r>
      <w:r>
        <w:rPr>
          <w:rFonts w:hint="eastAsia" w:ascii="宋体" w:hAnsi="宋体" w:eastAsia="宋体" w:cs="宋体"/>
          <w:highlight w:val="none"/>
          <w:lang w:eastAsia="zh-CN"/>
        </w:rPr>
        <w:t>橡胶木</w:t>
      </w:r>
      <w:r>
        <w:rPr>
          <w:rFonts w:hint="eastAsia" w:ascii="宋体" w:hAnsi="宋体" w:eastAsia="宋体" w:cs="宋体"/>
          <w:highlight w:val="none"/>
        </w:rPr>
        <w:t>实木封边，木护板、木顶板宽度</w:t>
      </w:r>
      <w:r>
        <w:rPr>
          <w:rFonts w:hint="eastAsia" w:ascii="宋体" w:hAnsi="宋体" w:eastAsia="宋体" w:cs="宋体"/>
          <w:color w:val="auto"/>
          <w:highlight w:val="none"/>
          <w:lang w:val="en-US" w:eastAsia="zh-CN"/>
        </w:rPr>
        <w:t>660</w:t>
      </w:r>
      <w:r>
        <w:rPr>
          <w:rFonts w:hint="eastAsia" w:ascii="宋体" w:hAnsi="宋体" w:eastAsia="宋体" w:cs="宋体"/>
          <w:color w:val="auto"/>
          <w:highlight w:val="none"/>
        </w:rPr>
        <w:t>mm</w:t>
      </w:r>
      <w:r>
        <w:rPr>
          <w:rFonts w:hint="eastAsia" w:ascii="宋体" w:hAnsi="宋体" w:eastAsia="宋体" w:cs="宋体"/>
          <w:highlight w:val="none"/>
        </w:rPr>
        <w:t>，</w:t>
      </w:r>
      <w:r>
        <w:rPr>
          <w:rFonts w:hint="eastAsia" w:ascii="宋体" w:hAnsi="宋体" w:eastAsia="宋体" w:cs="宋体"/>
          <w:highlight w:val="none"/>
          <w:lang w:eastAsia="zh-CN"/>
        </w:rPr>
        <w:t>橡胶木</w:t>
      </w:r>
      <w:r>
        <w:rPr>
          <w:rFonts w:hint="eastAsia" w:ascii="宋体" w:hAnsi="宋体" w:eastAsia="宋体" w:cs="宋体"/>
          <w:highlight w:val="none"/>
        </w:rPr>
        <w:t>实木指接板护板内芯板≥18mm厚，</w:t>
      </w:r>
      <w:r>
        <w:rPr>
          <w:rFonts w:hint="eastAsia" w:ascii="宋体" w:hAnsi="宋体" w:eastAsia="宋体" w:cs="宋体"/>
          <w:highlight w:val="none"/>
          <w:lang w:eastAsia="zh-CN"/>
        </w:rPr>
        <w:t>橡胶木</w:t>
      </w:r>
      <w:r>
        <w:rPr>
          <w:rFonts w:hint="eastAsia" w:ascii="宋体" w:hAnsi="宋体" w:eastAsia="宋体" w:cs="宋体"/>
          <w:highlight w:val="none"/>
        </w:rPr>
        <w:t>实木指接板顶板≥18mm厚，</w:t>
      </w:r>
      <w:r>
        <w:rPr>
          <w:rFonts w:hint="eastAsia" w:ascii="宋体" w:hAnsi="宋体" w:eastAsia="宋体" w:cs="宋体"/>
          <w:highlight w:val="none"/>
          <w:lang w:eastAsia="zh-CN"/>
        </w:rPr>
        <w:t>橡胶木</w:t>
      </w:r>
      <w:r>
        <w:rPr>
          <w:rFonts w:hint="eastAsia" w:ascii="宋体" w:hAnsi="宋体" w:eastAsia="宋体" w:cs="宋体"/>
          <w:highlight w:val="none"/>
        </w:rPr>
        <w:t>实木（原木）上下线条≥18mm厚，</w:t>
      </w:r>
      <w:r>
        <w:rPr>
          <w:rFonts w:hint="eastAsia" w:ascii="宋体" w:hAnsi="宋体" w:eastAsia="宋体" w:cs="宋体"/>
          <w:highlight w:val="none"/>
          <w:lang w:eastAsia="zh-CN"/>
        </w:rPr>
        <w:t>橡胶木</w:t>
      </w:r>
      <w:r>
        <w:rPr>
          <w:rFonts w:hint="eastAsia" w:ascii="宋体" w:hAnsi="宋体" w:eastAsia="宋体" w:cs="宋体"/>
          <w:highlight w:val="none"/>
        </w:rPr>
        <w:t>实木封边，两面均衡油饰，</w:t>
      </w:r>
      <w:r>
        <w:rPr>
          <w:rFonts w:hint="eastAsia" w:ascii="宋体" w:hAnsi="宋体" w:eastAsia="宋体" w:cs="宋体"/>
          <w:highlight w:val="none"/>
          <w:lang w:eastAsia="zh-CN"/>
        </w:rPr>
        <w:t>橡胶木</w:t>
      </w:r>
      <w:r>
        <w:rPr>
          <w:rFonts w:hint="eastAsia" w:ascii="宋体" w:hAnsi="宋体" w:eastAsia="宋体" w:cs="宋体"/>
          <w:highlight w:val="none"/>
        </w:rPr>
        <w:t>木纹流畅，完整干净、无腐料，经过防虫防腐处理，耐磨性好，纹理清晰自然,色泽均匀平整。所有实木加工前须经脱脂烘干处理，干燥率小于1</w:t>
      </w:r>
      <w:r>
        <w:rPr>
          <w:rFonts w:hint="eastAsia" w:ascii="宋体" w:hAnsi="宋体" w:eastAsia="宋体" w:cs="宋体"/>
          <w:highlight w:val="none"/>
          <w:lang w:val="en-US" w:eastAsia="zh-CN"/>
        </w:rPr>
        <w:t>1</w:t>
      </w:r>
      <w:r>
        <w:rPr>
          <w:rFonts w:hint="eastAsia" w:ascii="宋体" w:hAnsi="宋体" w:eastAsia="宋体" w:cs="宋体"/>
          <w:highlight w:val="none"/>
        </w:rPr>
        <w:t>%。</w:t>
      </w:r>
    </w:p>
    <w:p w14:paraId="38B85D40">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3.2 </w:t>
      </w:r>
      <w:r>
        <w:rPr>
          <w:rFonts w:hint="eastAsia" w:ascii="宋体" w:hAnsi="宋体" w:eastAsia="宋体" w:cs="宋体"/>
          <w:color w:val="000000"/>
          <w:kern w:val="0"/>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结构要求（图示列出双面书架效果与结构示意）：整体造型见效果图与结构图，柜顶枨飘檐式突出柜体，下部两侧护板内芯板呈矩形；采用橡胶木实木指接板盖顶，书架须带钢制顶板。</w:t>
      </w:r>
    </w:p>
    <w:p w14:paraId="72022F6C">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p>
    <w:p w14:paraId="3FD87061">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p>
    <w:p w14:paraId="5F4A7336">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p>
    <w:p w14:paraId="3653DDBA">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p>
    <w:p w14:paraId="77DEDCDD">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drawing>
          <wp:anchor distT="0" distB="0" distL="114300" distR="114300" simplePos="0" relativeHeight="251674624" behindDoc="0" locked="0" layoutInCell="1" allowOverlap="1">
            <wp:simplePos x="0" y="0"/>
            <wp:positionH relativeFrom="column">
              <wp:posOffset>-398145</wp:posOffset>
            </wp:positionH>
            <wp:positionV relativeFrom="paragraph">
              <wp:posOffset>516890</wp:posOffset>
            </wp:positionV>
            <wp:extent cx="6266815" cy="3705860"/>
            <wp:effectExtent l="0" t="0" r="0" b="8890"/>
            <wp:wrapTopAndBottom/>
            <wp:docPr id="1" name="图片 1" descr="书架最新6层_20241229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书架最新6层_20241229133931"/>
                    <pic:cNvPicPr>
                      <a:picLocks noChangeAspect="1"/>
                    </pic:cNvPicPr>
                  </pic:nvPicPr>
                  <pic:blipFill>
                    <a:blip r:embed="rId33"/>
                    <a:srcRect t="21809" r="-2588" b="17526"/>
                    <a:stretch>
                      <a:fillRect/>
                    </a:stretch>
                  </pic:blipFill>
                  <pic:spPr>
                    <a:xfrm>
                      <a:off x="0" y="0"/>
                      <a:ext cx="6266815" cy="3705860"/>
                    </a:xfrm>
                    <a:prstGeom prst="rect">
                      <a:avLst/>
                    </a:prstGeom>
                  </pic:spPr>
                </pic:pic>
              </a:graphicData>
            </a:graphic>
          </wp:anchor>
        </w:drawing>
      </w:r>
      <w:r>
        <w:rPr>
          <w:rFonts w:hint="eastAsia" w:ascii="宋体" w:hAnsi="宋体" w:eastAsia="宋体" w:cs="宋体"/>
          <w:kern w:val="2"/>
          <w:sz w:val="24"/>
          <w:szCs w:val="24"/>
          <w:highlight w:val="none"/>
          <w:lang w:val="en-US" w:eastAsia="zh-CN" w:bidi="ar-SA"/>
        </w:rPr>
        <w:t>六层双面带灯钢木书架效果图</w:t>
      </w:r>
    </w:p>
    <w:p w14:paraId="3B4C7173">
      <w:p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br w:type="page"/>
      </w:r>
    </w:p>
    <w:p w14:paraId="4762ADB4">
      <w:pPr>
        <w:pStyle w:val="2"/>
        <w:rPr>
          <w:rFonts w:hint="eastAsia"/>
          <w:highlight w:val="none"/>
          <w:lang w:val="en-US" w:eastAsia="zh-CN"/>
        </w:rPr>
      </w:pPr>
    </w:p>
    <w:p w14:paraId="2D4D71B0">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六层双面带灯钢木书架结构示意图</w:t>
      </w:r>
    </w:p>
    <w:p w14:paraId="182DE29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6116955" cy="4321810"/>
            <wp:effectExtent l="0" t="0" r="17145" b="2540"/>
            <wp:docPr id="20" name="图片 20" descr="mmexport173587892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735878927025"/>
                    <pic:cNvPicPr>
                      <a:picLocks noChangeAspect="1"/>
                    </pic:cNvPicPr>
                  </pic:nvPicPr>
                  <pic:blipFill>
                    <a:blip r:embed="rId34"/>
                    <a:stretch>
                      <a:fillRect/>
                    </a:stretch>
                  </pic:blipFill>
                  <pic:spPr>
                    <a:xfrm>
                      <a:off x="0" y="0"/>
                      <a:ext cx="6116955" cy="4321810"/>
                    </a:xfrm>
                    <a:prstGeom prst="rect">
                      <a:avLst/>
                    </a:prstGeom>
                  </pic:spPr>
                </pic:pic>
              </a:graphicData>
            </a:graphic>
          </wp:inline>
        </w:drawing>
      </w:r>
    </w:p>
    <w:p w14:paraId="4394D7AA">
      <w:pPr>
        <w:tabs>
          <w:tab w:val="left" w:pos="503"/>
        </w:tabs>
        <w:bidi w:val="0"/>
        <w:jc w:val="left"/>
        <w:rPr>
          <w:rFonts w:hint="eastAsia"/>
          <w:highlight w:val="none"/>
          <w:lang w:val="en-US" w:eastAsia="zh-CN"/>
        </w:rPr>
        <w:sectPr>
          <w:pgSz w:w="11906" w:h="16838"/>
          <w:pgMar w:top="1247" w:right="1134" w:bottom="1247" w:left="1134" w:header="170" w:footer="567" w:gutter="0"/>
          <w:cols w:space="720" w:num="1"/>
          <w:docGrid w:linePitch="381" w:charSpace="0"/>
        </w:sectPr>
      </w:pPr>
      <w:r>
        <w:rPr>
          <w:rFonts w:hint="eastAsia"/>
          <w:highlight w:val="none"/>
          <w:lang w:val="en-US" w:eastAsia="zh-CN"/>
        </w:rPr>
        <w:tab/>
      </w:r>
    </w:p>
    <w:p w14:paraId="71CADD0C">
      <w:pPr>
        <w:ind w:firstLine="480"/>
        <w:rPr>
          <w:rFonts w:hint="eastAsia" w:ascii="宋体" w:hAnsi="宋体" w:eastAsia="宋体" w:cs="宋体"/>
          <w:highlight w:val="none"/>
        </w:rPr>
      </w:pPr>
      <w:r>
        <w:rPr>
          <w:rFonts w:hint="eastAsia" w:ascii="宋体" w:hAnsi="宋体" w:eastAsia="宋体" w:cs="宋体"/>
          <w:highlight w:val="none"/>
        </w:rPr>
        <w:t>3.3 柜顶立面企多层月弧形线条，四面突出柜体，立柱75*75mm内侧呈50*50mm的L形豁口包裹钢制立柱，上端开L形双榫与柜顶组合，上横档1</w:t>
      </w:r>
      <w:r>
        <w:rPr>
          <w:rFonts w:hint="eastAsia" w:ascii="宋体" w:hAnsi="宋体" w:eastAsia="宋体" w:cs="宋体"/>
          <w:highlight w:val="none"/>
          <w:lang w:val="en-US" w:eastAsia="zh-CN"/>
        </w:rPr>
        <w:t>24</w:t>
      </w:r>
      <w:r>
        <w:rPr>
          <w:rFonts w:hint="eastAsia" w:ascii="宋体" w:hAnsi="宋体" w:eastAsia="宋体" w:cs="宋体"/>
          <w:highlight w:val="none"/>
        </w:rPr>
        <w:t>*25mm，下部横档12</w:t>
      </w:r>
      <w:r>
        <w:rPr>
          <w:rFonts w:hint="eastAsia" w:ascii="宋体" w:hAnsi="宋体" w:eastAsia="宋体" w:cs="宋体"/>
          <w:highlight w:val="none"/>
          <w:lang w:val="en-US" w:eastAsia="zh-CN"/>
        </w:rPr>
        <w:t>4</w:t>
      </w:r>
      <w:r>
        <w:rPr>
          <w:rFonts w:hint="eastAsia" w:ascii="宋体" w:hAnsi="宋体" w:eastAsia="宋体" w:cs="宋体"/>
          <w:highlight w:val="none"/>
        </w:rPr>
        <w:t>*25mm两端作格角榫或平肩榫边直柱组合，内芯板厚1</w:t>
      </w:r>
      <w:r>
        <w:rPr>
          <w:rFonts w:hint="eastAsia" w:ascii="宋体" w:hAnsi="宋体" w:eastAsia="宋体" w:cs="宋体"/>
          <w:highlight w:val="none"/>
          <w:lang w:val="en-US" w:eastAsia="zh-CN"/>
        </w:rPr>
        <w:t>8</w:t>
      </w:r>
      <w:r>
        <w:rPr>
          <w:rFonts w:hint="eastAsia" w:ascii="宋体" w:hAnsi="宋体" w:eastAsia="宋体" w:cs="宋体"/>
          <w:highlight w:val="none"/>
        </w:rPr>
        <w:t>mm的</w:t>
      </w:r>
      <w:r>
        <w:rPr>
          <w:rFonts w:hint="eastAsia" w:ascii="宋体" w:hAnsi="宋体" w:eastAsia="宋体" w:cs="宋体"/>
          <w:highlight w:val="none"/>
          <w:lang w:eastAsia="zh-CN"/>
        </w:rPr>
        <w:t>橡胶木</w:t>
      </w:r>
      <w:r>
        <w:rPr>
          <w:rFonts w:hint="eastAsia" w:ascii="宋体" w:hAnsi="宋体" w:eastAsia="宋体" w:cs="宋体"/>
          <w:highlight w:val="none"/>
        </w:rPr>
        <w:t>实木指接板四周起双层阳线与边框对应。木质部件表面采用</w:t>
      </w:r>
      <w:r>
        <w:rPr>
          <w:rFonts w:hint="eastAsia" w:cs="宋体"/>
          <w:highlight w:val="none"/>
          <w:lang w:val="en-US" w:eastAsia="zh-CN"/>
        </w:rPr>
        <w:t>优质</w:t>
      </w:r>
      <w:r>
        <w:rPr>
          <w:rFonts w:hint="eastAsia" w:ascii="宋体" w:hAnsi="宋体" w:eastAsia="宋体" w:cs="宋体"/>
          <w:highlight w:val="none"/>
        </w:rPr>
        <w:t xml:space="preserve">环保聚脂漆喷涂，五底三面工艺。护板颜色漆成原木色，最终颜色中标后根据用户要求确定。  </w:t>
      </w:r>
    </w:p>
    <w:p w14:paraId="6BF62799">
      <w:pPr>
        <w:ind w:firstLine="480"/>
        <w:rPr>
          <w:rFonts w:ascii="宋体" w:hAnsi="宋体" w:eastAsia="宋体" w:cs="宋体"/>
          <w:highlight w:val="none"/>
        </w:rPr>
      </w:pPr>
      <w:r>
        <w:rPr>
          <w:rFonts w:hint="eastAsia" w:ascii="宋体" w:hAnsi="宋体" w:eastAsia="宋体" w:cs="宋体"/>
          <w:highlight w:val="none"/>
        </w:rPr>
        <w:t>4.胶水：符合国际E0级环保标准。</w:t>
      </w:r>
    </w:p>
    <w:p w14:paraId="04FB9788">
      <w:pPr>
        <w:ind w:firstLine="480"/>
        <w:rPr>
          <w:rFonts w:ascii="宋体" w:hAnsi="宋体" w:eastAsia="宋体" w:cs="宋体"/>
          <w:highlight w:val="none"/>
        </w:rPr>
      </w:pPr>
      <w:r>
        <w:rPr>
          <w:rFonts w:hint="eastAsia" w:ascii="宋体" w:hAnsi="宋体" w:eastAsia="宋体" w:cs="宋体"/>
          <w:highlight w:val="none"/>
        </w:rPr>
        <w:t>5.油漆：环保油漆，美式涂装工艺，格里斯擦色，油漆工艺“六底三面”，保证板面平整无颗粒、气泡、积粉、渣点，色泽均匀。</w:t>
      </w:r>
    </w:p>
    <w:p w14:paraId="2AA9EDDB">
      <w:pPr>
        <w:ind w:firstLine="480"/>
        <w:rPr>
          <w:rFonts w:ascii="宋体" w:hAnsi="宋体" w:eastAsia="宋体" w:cs="宋体"/>
          <w:highlight w:val="none"/>
        </w:rPr>
      </w:pPr>
      <w:r>
        <w:rPr>
          <w:rFonts w:hint="eastAsia" w:ascii="宋体" w:hAnsi="宋体" w:eastAsia="宋体" w:cs="宋体"/>
          <w:highlight w:val="none"/>
        </w:rPr>
        <w:t>6.LED照明灯</w:t>
      </w:r>
    </w:p>
    <w:p w14:paraId="11BBE7D6">
      <w:pPr>
        <w:ind w:firstLine="480"/>
        <w:rPr>
          <w:rFonts w:ascii="宋体" w:hAnsi="宋体" w:eastAsia="宋体" w:cs="宋体"/>
          <w:highlight w:val="none"/>
        </w:rPr>
      </w:pPr>
      <w:r>
        <w:rPr>
          <w:rFonts w:hint="eastAsia" w:ascii="宋体" w:hAnsi="宋体" w:eastAsia="宋体" w:cs="宋体"/>
          <w:highlight w:val="none"/>
        </w:rPr>
        <w:t>6.1 技术参数（每节书架均需双面安装）：</w:t>
      </w:r>
      <w:r>
        <w:rPr>
          <w:rFonts w:hint="eastAsia" w:cs="宋体"/>
          <w:highlight w:val="none"/>
          <w:lang w:val="en-US" w:eastAsia="zh-CN"/>
        </w:rPr>
        <w:t>优质</w:t>
      </w:r>
      <w:r>
        <w:rPr>
          <w:rFonts w:hint="eastAsia" w:ascii="宋体" w:hAnsi="宋体" w:eastAsia="宋体" w:cs="宋体"/>
          <w:highlight w:val="none"/>
        </w:rPr>
        <w:t>光源和铝合金材料制作而成。色温4500k，所有灯具采用AC220V转换为DC12V供电，质保时间不低于五年；人员进入各区域内，对应区域内照明灯自动点亮，亮度要求必须满足阅读需求，色温4500k，灯光不能直射到正常查找书刊的人员的眼睛；灯具安装在书架中间上方。灯罩宽度为40mm（±5mm），内置LED灯光源及走线装置，每只灯长不得超过一节书架长度，外侧用防眩光灯罩封闭。感应控制装置灵敏度具备可调功能，调节角度在0～180度之间，默认度角为120度。电源线使用国标2.5平方多芯阻燃工程铜线。外套PVC电工套管，并方便检修。LED灯为嵌入架体整体设计，不得悬挂在外；</w:t>
      </w:r>
    </w:p>
    <w:p w14:paraId="69B90D73">
      <w:pPr>
        <w:spacing w:line="360" w:lineRule="auto"/>
        <w:ind w:firstLine="480"/>
        <w:rPr>
          <w:rFonts w:ascii="宋体" w:hAnsi="宋体" w:eastAsia="宋体" w:cs="宋体"/>
          <w:highlight w:val="none"/>
        </w:rPr>
      </w:pPr>
      <w:r>
        <w:rPr>
          <w:rFonts w:hint="eastAsia" w:ascii="宋体" w:hAnsi="宋体" w:eastAsia="宋体" w:cs="宋体"/>
          <w:highlight w:val="none"/>
        </w:rPr>
        <w:t>6.2 照明要求：平时书架使用时（即书架进线总电开启），LED照明灯处于熄灭状态，当感应人员进入感应区域后，照明灯进入开状态，人员离开感应区域时，经过延迟，照明灯恢复为熄灭状态；例如：进入1-2节区域内，对应1-2节照明灯点亮，3-6节照明灯不点亮，每节书架顶部区域均配有独立感应装置，有效实现节电效果；人员离开各区域后，延迟一定时间，自动熄灯；延迟时间必须精确，延迟时间默认为30秒，根据实际需求延迟时间调整范围30秒-1分钟；</w:t>
      </w:r>
    </w:p>
    <w:p w14:paraId="7AED4B40">
      <w:pPr>
        <w:keepNext w:val="0"/>
        <w:keepLines w:val="0"/>
        <w:pageBreakBefore w:val="0"/>
        <w:widowControl w:val="0"/>
        <w:kinsoku/>
        <w:wordWrap/>
        <w:overflowPunct/>
        <w:topLinePunct w:val="0"/>
        <w:bidi w:val="0"/>
        <w:snapToGrid/>
        <w:spacing w:line="360" w:lineRule="auto"/>
        <w:ind w:firstLine="480"/>
        <w:textAlignment w:val="auto"/>
        <w:rPr>
          <w:rFonts w:ascii="宋体" w:hAnsi="宋体" w:eastAsia="宋体" w:cs="宋体"/>
          <w:highlight w:val="none"/>
        </w:rPr>
      </w:pPr>
      <w:r>
        <w:rPr>
          <w:rFonts w:hint="eastAsia" w:ascii="宋体" w:hAnsi="宋体" w:eastAsia="宋体" w:cs="宋体"/>
          <w:highlight w:val="none"/>
        </w:rPr>
        <w:t>6.3 安装要求：要求拆卸、维修方便。</w:t>
      </w:r>
    </w:p>
    <w:p w14:paraId="4D578DFD">
      <w:pPr>
        <w:keepNext w:val="0"/>
        <w:keepLines w:val="0"/>
        <w:pageBreakBefore w:val="0"/>
        <w:widowControl w:val="0"/>
        <w:kinsoku/>
        <w:wordWrap/>
        <w:overflowPunct/>
        <w:topLinePunct w:val="0"/>
        <w:bidi w:val="0"/>
        <w:snapToGrid/>
        <w:spacing w:line="360" w:lineRule="auto"/>
        <w:ind w:firstLine="480"/>
        <w:textAlignment w:val="auto"/>
        <w:rPr>
          <w:rFonts w:ascii="宋体" w:hAnsi="宋体" w:eastAsia="宋体" w:cs="宋体"/>
          <w:highlight w:val="none"/>
        </w:rPr>
      </w:pPr>
      <w:r>
        <w:rPr>
          <w:rFonts w:hint="eastAsia" w:ascii="宋体" w:hAnsi="宋体" w:eastAsia="宋体" w:cs="宋体"/>
          <w:highlight w:val="none"/>
        </w:rPr>
        <w:t xml:space="preserve">7.工艺 </w:t>
      </w:r>
    </w:p>
    <w:p w14:paraId="444EE543">
      <w:pPr>
        <w:keepNext w:val="0"/>
        <w:keepLines w:val="0"/>
        <w:pageBreakBefore w:val="0"/>
        <w:widowControl w:val="0"/>
        <w:kinsoku/>
        <w:wordWrap/>
        <w:overflowPunct/>
        <w:topLinePunct w:val="0"/>
        <w:bidi w:val="0"/>
        <w:snapToGrid/>
        <w:spacing w:line="360" w:lineRule="auto"/>
        <w:ind w:firstLine="480"/>
        <w:jc w:val="left"/>
        <w:textAlignment w:val="auto"/>
        <w:rPr>
          <w:rFonts w:hint="eastAsia" w:ascii="宋体" w:hAnsi="宋体" w:eastAsia="宋体" w:cs="宋体"/>
          <w:highlight w:val="none"/>
        </w:rPr>
      </w:pPr>
      <w:r>
        <w:rPr>
          <w:rFonts w:hint="eastAsia" w:ascii="宋体" w:hAnsi="宋体" w:eastAsia="宋体" w:cs="宋体"/>
          <w:highlight w:val="none"/>
        </w:rPr>
        <w:t>采用剪切、冲压、折弯、焊接工艺，钢板经酸洗、磷化、防锈处理，表面采用混合型热固性粉沫静电喷涂，耐高温，防静电。书架通体静电喷涂，颜色持久，表面硬度≥2H。</w:t>
      </w:r>
    </w:p>
    <w:p w14:paraId="7371B1C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Chars="0" w:right="0" w:rightChars="0"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bidi="ar-SA"/>
        </w:rPr>
        <w:t>8.其它：每个侧护板阴刻湖州学院logo，直径20cm；每个侧护板带学校LOGO的亚克力标牌框，标牌框可内嵌A4大小的纸张；每个搁板两端配置钢制书立（230H*200W*150D）（±10mm），静电粉末亚光喷塑，底部有防滑胶版；各层层高可调，底板与立柱连接结构合理，不变形；</w:t>
      </w:r>
      <w:r>
        <w:rPr>
          <w:rFonts w:hint="eastAsia" w:ascii="宋体" w:hAnsi="宋体" w:eastAsia="宋体" w:cs="宋体"/>
          <w:kern w:val="2"/>
          <w:sz w:val="24"/>
          <w:szCs w:val="24"/>
          <w:highlight w:val="none"/>
          <w:lang w:val="en-US" w:eastAsia="zh-CN" w:bidi="ar-SA"/>
        </w:rPr>
        <w:t>六层双面带灯钢木书架、四层双面带灯钢木书架现场安装组列形式以实际安装需要为准，以下组列形式可供参考，六层双面带灯钢木书架：1节成列的3组，2节成列的1组，3节成列的71组，4节成列的39组，5节成列的20组，6节成列的24组，7节成列的7组；钢木书架中配置378层用于存放期刊现刊，配置24层用于存放报纸（现场安装形式以实际安装需要为准），结构图参考如下：</w:t>
      </w:r>
    </w:p>
    <w:p w14:paraId="0D0E9544">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left"/>
        <w:rPr>
          <w:rFonts w:hint="eastAsia" w:ascii="宋体" w:hAnsi="宋体" w:eastAsia="宋体" w:cs="宋体"/>
          <w:kern w:val="2"/>
          <w:sz w:val="24"/>
          <w:szCs w:val="24"/>
          <w:highlight w:val="none"/>
          <w:lang w:val="en-US" w:eastAsia="zh-CN" w:bidi="ar-SA"/>
        </w:rPr>
      </w:pPr>
    </w:p>
    <w:p w14:paraId="105286FE">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内嵌期刊现刊层架结构参考图</w:t>
      </w:r>
    </w:p>
    <w:p w14:paraId="437875D1">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left"/>
        <w:rPr>
          <w:rFonts w:hint="eastAsia" w:ascii="宋体" w:hAnsi="宋体" w:eastAsia="宋体" w:cs="宋体"/>
          <w:kern w:val="2"/>
          <w:sz w:val="24"/>
          <w:szCs w:val="24"/>
          <w:highlight w:val="none"/>
          <w:lang w:val="en-US" w:eastAsia="zh-CN" w:bidi="ar-SA"/>
        </w:rPr>
      </w:pPr>
    </w:p>
    <w:p w14:paraId="22CC3293">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drawing>
          <wp:anchor distT="0" distB="0" distL="114300" distR="114300" simplePos="0" relativeHeight="251672576" behindDoc="0" locked="0" layoutInCell="1" allowOverlap="1">
            <wp:simplePos x="0" y="0"/>
            <wp:positionH relativeFrom="column">
              <wp:posOffset>1004570</wp:posOffset>
            </wp:positionH>
            <wp:positionV relativeFrom="paragraph">
              <wp:posOffset>104140</wp:posOffset>
            </wp:positionV>
            <wp:extent cx="4328160" cy="3093720"/>
            <wp:effectExtent l="0" t="0" r="0" b="11430"/>
            <wp:wrapTopAndBottom/>
            <wp:docPr id="3" name="图片 3" descr="内嵌期刊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嵌期刊架"/>
                    <pic:cNvPicPr>
                      <a:picLocks noChangeAspect="1"/>
                    </pic:cNvPicPr>
                  </pic:nvPicPr>
                  <pic:blipFill>
                    <a:blip r:embed="rId35"/>
                    <a:srcRect t="32710" r="-3119"/>
                    <a:stretch>
                      <a:fillRect/>
                    </a:stretch>
                  </pic:blipFill>
                  <pic:spPr>
                    <a:xfrm>
                      <a:off x="0" y="0"/>
                      <a:ext cx="4328160" cy="3093720"/>
                    </a:xfrm>
                    <a:prstGeom prst="rect">
                      <a:avLst/>
                    </a:prstGeom>
                  </pic:spPr>
                </pic:pic>
              </a:graphicData>
            </a:graphic>
          </wp:anchor>
        </w:drawing>
      </w:r>
      <w:r>
        <w:rPr>
          <w:rFonts w:hint="eastAsia" w:ascii="宋体" w:hAnsi="宋体" w:eastAsia="宋体" w:cs="宋体"/>
          <w:kern w:val="2"/>
          <w:sz w:val="24"/>
          <w:szCs w:val="24"/>
          <w:highlight w:val="none"/>
          <w:lang w:val="en-US" w:eastAsia="zh-CN" w:bidi="ar-SA"/>
        </w:rPr>
        <w:t>内嵌报账层架效果参考图</w:t>
      </w:r>
    </w:p>
    <w:p w14:paraId="7D77D60F">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drawing>
          <wp:anchor distT="0" distB="0" distL="114300" distR="114300" simplePos="0" relativeHeight="251673600" behindDoc="0" locked="0" layoutInCell="1" allowOverlap="1">
            <wp:simplePos x="0" y="0"/>
            <wp:positionH relativeFrom="column">
              <wp:posOffset>1725295</wp:posOffset>
            </wp:positionH>
            <wp:positionV relativeFrom="paragraph">
              <wp:posOffset>234315</wp:posOffset>
            </wp:positionV>
            <wp:extent cx="2819400" cy="2395220"/>
            <wp:effectExtent l="0" t="0" r="0" b="5080"/>
            <wp:wrapTopAndBottom/>
            <wp:docPr id="4" name="图片 4" descr="内嵌报刊架效果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内嵌报刊架效果参考"/>
                    <pic:cNvPicPr>
                      <a:picLocks noChangeAspect="1"/>
                    </pic:cNvPicPr>
                  </pic:nvPicPr>
                  <pic:blipFill>
                    <a:blip r:embed="rId36"/>
                    <a:stretch>
                      <a:fillRect/>
                    </a:stretch>
                  </pic:blipFill>
                  <pic:spPr>
                    <a:xfrm>
                      <a:off x="0" y="0"/>
                      <a:ext cx="2819400" cy="2395220"/>
                    </a:xfrm>
                    <a:prstGeom prst="rect">
                      <a:avLst/>
                    </a:prstGeom>
                  </pic:spPr>
                </pic:pic>
              </a:graphicData>
            </a:graphic>
          </wp:anchor>
        </w:drawing>
      </w:r>
    </w:p>
    <w:p w14:paraId="5A7A356E">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highlight w:val="none"/>
          <w:lang w:val="en-US" w:eastAsia="zh-CN" w:bidi="ar-SA"/>
        </w:rPr>
      </w:pPr>
    </w:p>
    <w:p w14:paraId="102B6EBC">
      <w:pPr>
        <w:ind w:firstLine="480"/>
        <w:rPr>
          <w:rFonts w:ascii="宋体" w:hAnsi="宋体" w:eastAsia="宋体" w:cs="Times New Roman"/>
          <w:highlight w:val="none"/>
        </w:rPr>
      </w:pPr>
    </w:p>
    <w:p w14:paraId="55714F4B">
      <w:pPr>
        <w:ind w:firstLine="0" w:firstLineChars="0"/>
        <w:rPr>
          <w:rFonts w:ascii="宋体" w:hAnsi="宋体" w:eastAsia="宋体" w:cs="宋体"/>
          <w:highlight w:val="none"/>
        </w:rPr>
      </w:pPr>
      <w:r>
        <w:rPr>
          <w:rFonts w:hint="eastAsia" w:ascii="宋体" w:hAnsi="宋体" w:eastAsia="宋体" w:cs="宋体"/>
          <w:b/>
          <w:bCs/>
          <w:highlight w:val="none"/>
        </w:rPr>
        <w:t>（三）四层双面带灯钢木书架技术要求</w:t>
      </w:r>
    </w:p>
    <w:p w14:paraId="4500CBB8">
      <w:pPr>
        <w:ind w:firstLine="480"/>
        <w:rPr>
          <w:rFonts w:ascii="宋体" w:hAnsi="宋体" w:eastAsia="宋体" w:cs="宋体"/>
          <w:highlight w:val="none"/>
        </w:rPr>
      </w:pPr>
      <w:r>
        <w:rPr>
          <w:rFonts w:hint="eastAsia" w:ascii="宋体" w:hAnsi="宋体" w:eastAsia="宋体" w:cs="宋体"/>
          <w:highlight w:val="none"/>
        </w:rPr>
        <w:t>材质及结构</w:t>
      </w:r>
    </w:p>
    <w:p w14:paraId="43872718">
      <w:pPr>
        <w:numPr>
          <w:ilvl w:val="0"/>
          <w:numId w:val="7"/>
        </w:numPr>
        <w:ind w:firstLine="480"/>
        <w:rPr>
          <w:rFonts w:ascii="宋体" w:hAnsi="宋体" w:eastAsia="宋体" w:cs="宋体"/>
          <w:highlight w:val="none"/>
        </w:rPr>
      </w:pPr>
      <w:r>
        <w:rPr>
          <w:rFonts w:hint="eastAsia" w:ascii="宋体" w:hAnsi="宋体" w:eastAsia="宋体" w:cs="宋体"/>
          <w:color w:val="000000"/>
          <w:kern w:val="0"/>
          <w:highlight w:val="none"/>
        </w:rPr>
        <w:t>★</w:t>
      </w:r>
      <w:r>
        <w:rPr>
          <w:rFonts w:hint="eastAsia" w:ascii="宋体" w:hAnsi="宋体" w:eastAsia="宋体" w:cs="宋体"/>
          <w:kern w:val="2"/>
          <w:sz w:val="24"/>
          <w:szCs w:val="24"/>
          <w:highlight w:val="none"/>
          <w:lang w:val="en-US" w:eastAsia="zh-CN" w:bidi="ar-SA"/>
        </w:rPr>
        <w:t>根据GB/T 13667.1-2015《钢制书架通用技术条件》国家标准开发生产，</w:t>
      </w:r>
      <w:r>
        <w:rPr>
          <w:rFonts w:hint="eastAsia" w:ascii="宋体" w:hAnsi="宋体" w:eastAsia="宋体" w:cs="宋体"/>
          <w:highlight w:val="none"/>
          <w:lang w:val="en-US" w:eastAsia="zh-CN"/>
        </w:rPr>
        <w:t>钢制部分</w:t>
      </w:r>
      <w:r>
        <w:rPr>
          <w:rFonts w:hint="eastAsia" w:ascii="宋体" w:hAnsi="宋体" w:eastAsia="宋体" w:cs="宋体"/>
          <w:highlight w:val="none"/>
        </w:rPr>
        <w:t>：底架(底盘) 2.0mm，立柱1.5mm，搁板1.2mm(每块搁板下面配加1根加强筋)，挂板1.2mm，顶板1.0mm，每层搁板中间采用分隔板（侧板）1.0mm（采用倒U型状）分隔，底座连接挡1.35mm。采用优质一级冷轧钢板，经过酸洗磷化处理，静电喷塑，耐磨防锈，防静电，颜色持久，表面硬度≥2H，经过精密模具冲压成型,稳固性好；整体采用双柱式结构，在立柱上可多孔位调节距离，方便调节放置不同尺寸书籍，保持不同尺寸书籍外沿在同一面上。单面搁板上均布载重≥40Kg，双面均布负载≥80Kg，满载后最大挠度为3mm，24h卸载后，不得有裂纹及永久变形</w:t>
      </w:r>
      <w:r>
        <w:rPr>
          <w:rFonts w:hint="eastAsia" w:ascii="宋体" w:hAnsi="宋体" w:eastAsia="宋体" w:cs="宋体"/>
          <w:highlight w:val="none"/>
          <w:lang w:eastAsia="zh-CN"/>
        </w:rPr>
        <w:t>。</w:t>
      </w:r>
    </w:p>
    <w:p w14:paraId="42766CBF">
      <w:pPr>
        <w:ind w:firstLine="480"/>
        <w:rPr>
          <w:rFonts w:hint="eastAsia" w:ascii="宋体" w:hAnsi="宋体" w:eastAsia="宋体" w:cs="宋体"/>
          <w:highlight w:val="none"/>
          <w:lang w:eastAsia="zh-CN"/>
        </w:rPr>
      </w:pPr>
      <w:r>
        <w:rPr>
          <w:rFonts w:hint="eastAsia" w:ascii="宋体" w:hAnsi="宋体" w:eastAsia="宋体" w:cs="宋体"/>
          <w:highlight w:val="none"/>
        </w:rPr>
        <w:t>2.按国家标准，在全负载的情况下，承受X、Y轴向的水平拉力，拉力≥120N，架体不翻倒，架体倾斜量δ均不得大于架体总高的1%，各部件应无塑性变形或其他异常现象；每拼立柱上双面均布可调节双排挂孔，经过模压折弯成形，整体焊接式设计，结构稳固合理、美观、大气，不易变形。搁板支撑板两端挂钩采用专用模具一次冲裁打弯设计，外翻式挂钩结构，底端折弯处使用专用拉伸模具模压四个固定搁板用的抛丁。当搁板放置于搁板支撑板上时，四个抛丁将其牢牢固定。全部组装后平整、牢固、无噪音。搁板双边经六次折弯成双工字型状，搁板高度≥24mm，每层搁板承重为100公斤</w:t>
      </w:r>
      <w:r>
        <w:rPr>
          <w:rFonts w:hint="eastAsia" w:ascii="宋体" w:hAnsi="宋体" w:eastAsia="宋体" w:cs="宋体"/>
          <w:highlight w:val="none"/>
          <w:lang w:eastAsia="zh-CN"/>
        </w:rPr>
        <w:t>。</w:t>
      </w:r>
    </w:p>
    <w:p w14:paraId="5DB1BB19">
      <w:pPr>
        <w:ind w:firstLine="480"/>
        <w:rPr>
          <w:rFonts w:ascii="宋体" w:hAnsi="宋体" w:eastAsia="宋体" w:cs="宋体"/>
          <w:highlight w:val="none"/>
        </w:rPr>
      </w:pPr>
      <w:r>
        <w:rPr>
          <w:rFonts w:hint="eastAsia" w:ascii="宋体" w:hAnsi="宋体" w:eastAsia="宋体" w:cs="宋体"/>
          <w:highlight w:val="none"/>
        </w:rPr>
        <w:t>3.木制护板部分：</w:t>
      </w:r>
    </w:p>
    <w:p w14:paraId="76A3A4C0">
      <w:pPr>
        <w:ind w:firstLine="480"/>
        <w:rPr>
          <w:rFonts w:hint="eastAsia" w:ascii="宋体" w:hAnsi="宋体" w:eastAsia="宋体" w:cs="宋体"/>
          <w:highlight w:val="none"/>
        </w:rPr>
      </w:pPr>
      <w:r>
        <w:rPr>
          <w:rFonts w:hint="eastAsia" w:ascii="宋体" w:hAnsi="宋体" w:eastAsia="宋体" w:cs="宋体"/>
          <w:highlight w:val="none"/>
        </w:rPr>
        <w:t xml:space="preserve">3.1 </w:t>
      </w:r>
      <w:r>
        <w:rPr>
          <w:rFonts w:hint="eastAsia" w:ascii="宋体" w:hAnsi="宋体" w:eastAsia="宋体" w:cs="宋体"/>
          <w:sz w:val="21"/>
          <w:szCs w:val="21"/>
          <w:highlight w:val="none"/>
        </w:rPr>
        <w:t>▲</w:t>
      </w:r>
      <w:r>
        <w:rPr>
          <w:rFonts w:hint="eastAsia" w:ascii="宋体" w:hAnsi="宋体" w:eastAsia="宋体" w:cs="宋体"/>
          <w:highlight w:val="none"/>
        </w:rPr>
        <w:t>选材：</w:t>
      </w:r>
      <w:r>
        <w:rPr>
          <w:rFonts w:hint="eastAsia" w:ascii="宋体" w:hAnsi="宋体" w:eastAsia="宋体" w:cs="宋体"/>
          <w:highlight w:val="none"/>
          <w:lang w:val="en-US" w:eastAsia="zh-CN"/>
        </w:rPr>
        <w:t>木质部分全部采用</w:t>
      </w:r>
      <w:r>
        <w:rPr>
          <w:rFonts w:hint="eastAsia" w:ascii="宋体" w:hAnsi="宋体" w:eastAsia="宋体" w:cs="宋体"/>
          <w:highlight w:val="none"/>
        </w:rPr>
        <w:t>橡胶木实木板</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包括且不限于</w:t>
      </w:r>
      <w:r>
        <w:rPr>
          <w:rFonts w:hint="eastAsia" w:ascii="宋体" w:hAnsi="宋体" w:eastAsia="宋体" w:cs="宋体"/>
          <w:highlight w:val="none"/>
        </w:rPr>
        <w:t>书架木护板、顶板、装饰板</w:t>
      </w:r>
      <w:r>
        <w:rPr>
          <w:rFonts w:hint="eastAsia" w:ascii="宋体" w:hAnsi="宋体" w:eastAsia="宋体" w:cs="宋体"/>
          <w:highlight w:val="none"/>
          <w:lang w:eastAsia="zh-CN"/>
        </w:rPr>
        <w:t>、</w:t>
      </w:r>
      <w:r>
        <w:rPr>
          <w:rFonts w:hint="eastAsia" w:ascii="宋体" w:hAnsi="宋体" w:eastAsia="宋体" w:cs="宋体"/>
          <w:highlight w:val="none"/>
        </w:rPr>
        <w:t>护板内芯板；</w:t>
      </w:r>
    </w:p>
    <w:p w14:paraId="1331965B">
      <w:pPr>
        <w:ind w:firstLine="480"/>
        <w:rPr>
          <w:rFonts w:hint="eastAsia" w:ascii="宋体" w:hAnsi="宋体" w:eastAsia="宋体" w:cs="宋体"/>
          <w:highlight w:val="none"/>
        </w:rPr>
      </w:pPr>
      <w:r>
        <w:rPr>
          <w:rFonts w:hint="eastAsia" w:ascii="宋体" w:hAnsi="宋体" w:eastAsia="宋体" w:cs="宋体"/>
          <w:highlight w:val="none"/>
        </w:rPr>
        <w:t>木护板及顶板所有部件均采用</w:t>
      </w:r>
      <w:r>
        <w:rPr>
          <w:rFonts w:hint="eastAsia" w:ascii="宋体" w:hAnsi="宋体" w:eastAsia="宋体" w:cs="宋体"/>
          <w:highlight w:val="none"/>
          <w:lang w:eastAsia="zh-CN"/>
        </w:rPr>
        <w:t>橡胶木</w:t>
      </w:r>
      <w:r>
        <w:rPr>
          <w:rFonts w:hint="eastAsia" w:ascii="宋体" w:hAnsi="宋体" w:eastAsia="宋体" w:cs="宋体"/>
          <w:highlight w:val="none"/>
        </w:rPr>
        <w:t>实木（指接）板，装饰板（上下线条）采用</w:t>
      </w:r>
      <w:r>
        <w:rPr>
          <w:rFonts w:hint="eastAsia" w:ascii="宋体" w:hAnsi="宋体" w:eastAsia="宋体" w:cs="宋体"/>
          <w:highlight w:val="none"/>
          <w:lang w:eastAsia="zh-CN"/>
        </w:rPr>
        <w:t>橡胶木</w:t>
      </w:r>
      <w:r>
        <w:rPr>
          <w:rFonts w:hint="eastAsia" w:ascii="宋体" w:hAnsi="宋体" w:eastAsia="宋体" w:cs="宋体"/>
          <w:highlight w:val="none"/>
        </w:rPr>
        <w:t>实木（原木）板。木材无开裂、死节、腐朽、不带虫眼及变色；无小材大用、以次充好，边角无缺口；不得采用贴皮处理；拼板粘接用专用进口拼板胶，用胶丰满，并用拼板机加压拼接，确保牢固，拼缝严密，无胶接痕迹；所有板材须经防腐处理，具有防虫、防潮、防腐等效果，其他外观质量条件符合GB/T3324-2017《木家具通用技术条件》标准要求。</w:t>
      </w:r>
    </w:p>
    <w:p w14:paraId="2DFF11BD">
      <w:pPr>
        <w:ind w:firstLine="480"/>
        <w:rPr>
          <w:rFonts w:hint="eastAsia" w:ascii="宋体" w:hAnsi="宋体" w:eastAsia="宋体" w:cs="宋体"/>
          <w:highlight w:val="none"/>
        </w:rPr>
      </w:pPr>
      <w:r>
        <w:rPr>
          <w:rFonts w:hint="eastAsia" w:ascii="宋体" w:hAnsi="宋体" w:eastAsia="宋体" w:cs="宋体"/>
          <w:highlight w:val="none"/>
        </w:rPr>
        <w:t>底板高度12</w:t>
      </w:r>
      <w:r>
        <w:rPr>
          <w:rFonts w:hint="eastAsia" w:ascii="宋体" w:hAnsi="宋体" w:eastAsia="宋体" w:cs="宋体"/>
          <w:highlight w:val="none"/>
          <w:lang w:val="en-US" w:eastAsia="zh-CN"/>
        </w:rPr>
        <w:t>4</w:t>
      </w:r>
      <w:r>
        <w:rPr>
          <w:rFonts w:hint="eastAsia" w:ascii="宋体" w:hAnsi="宋体" w:eastAsia="宋体" w:cs="宋体"/>
          <w:highlight w:val="none"/>
        </w:rPr>
        <w:t>mm，</w:t>
      </w:r>
      <w:r>
        <w:rPr>
          <w:rFonts w:hint="eastAsia" w:ascii="宋体" w:hAnsi="宋体" w:eastAsia="宋体" w:cs="宋体"/>
          <w:highlight w:val="none"/>
          <w:lang w:eastAsia="zh-CN"/>
        </w:rPr>
        <w:t>橡胶木</w:t>
      </w:r>
      <w:r>
        <w:rPr>
          <w:rFonts w:hint="eastAsia" w:ascii="宋体" w:hAnsi="宋体" w:eastAsia="宋体" w:cs="宋体"/>
          <w:highlight w:val="none"/>
        </w:rPr>
        <w:t>实木封边，木护板、木顶板宽</w:t>
      </w:r>
      <w:r>
        <w:rPr>
          <w:rFonts w:hint="eastAsia" w:ascii="宋体" w:hAnsi="宋体" w:eastAsia="宋体" w:cs="宋体"/>
          <w:color w:val="auto"/>
          <w:highlight w:val="none"/>
        </w:rPr>
        <w:t>度</w:t>
      </w:r>
      <w:r>
        <w:rPr>
          <w:rFonts w:hint="eastAsia" w:ascii="宋体" w:hAnsi="宋体" w:eastAsia="宋体" w:cs="宋体"/>
          <w:color w:val="auto"/>
          <w:highlight w:val="none"/>
          <w:lang w:val="en-US" w:eastAsia="zh-CN"/>
        </w:rPr>
        <w:t>660</w:t>
      </w:r>
      <w:r>
        <w:rPr>
          <w:rFonts w:hint="eastAsia" w:ascii="宋体" w:hAnsi="宋体" w:eastAsia="宋体" w:cs="宋体"/>
          <w:color w:val="auto"/>
          <w:highlight w:val="none"/>
        </w:rPr>
        <w:t>mm</w:t>
      </w:r>
      <w:r>
        <w:rPr>
          <w:rFonts w:hint="eastAsia" w:ascii="宋体" w:hAnsi="宋体" w:eastAsia="宋体" w:cs="宋体"/>
          <w:highlight w:val="none"/>
        </w:rPr>
        <w:t>，</w:t>
      </w:r>
      <w:r>
        <w:rPr>
          <w:rFonts w:hint="eastAsia" w:ascii="宋体" w:hAnsi="宋体" w:eastAsia="宋体" w:cs="宋体"/>
          <w:highlight w:val="none"/>
          <w:lang w:eastAsia="zh-CN"/>
        </w:rPr>
        <w:t>橡胶木</w:t>
      </w:r>
      <w:r>
        <w:rPr>
          <w:rFonts w:hint="eastAsia" w:ascii="宋体" w:hAnsi="宋体" w:eastAsia="宋体" w:cs="宋体"/>
          <w:highlight w:val="none"/>
        </w:rPr>
        <w:t>实木指接板护板内芯板≥18mm厚，</w:t>
      </w:r>
      <w:r>
        <w:rPr>
          <w:rFonts w:hint="eastAsia" w:ascii="宋体" w:hAnsi="宋体" w:eastAsia="宋体" w:cs="宋体"/>
          <w:highlight w:val="none"/>
          <w:lang w:eastAsia="zh-CN"/>
        </w:rPr>
        <w:t>橡胶木</w:t>
      </w:r>
      <w:r>
        <w:rPr>
          <w:rFonts w:hint="eastAsia" w:ascii="宋体" w:hAnsi="宋体" w:eastAsia="宋体" w:cs="宋体"/>
          <w:highlight w:val="none"/>
        </w:rPr>
        <w:t>实木指接板顶板≥18mm厚，</w:t>
      </w:r>
      <w:r>
        <w:rPr>
          <w:rFonts w:hint="eastAsia" w:ascii="宋体" w:hAnsi="宋体" w:eastAsia="宋体" w:cs="宋体"/>
          <w:highlight w:val="none"/>
          <w:lang w:eastAsia="zh-CN"/>
        </w:rPr>
        <w:t>橡胶木</w:t>
      </w:r>
      <w:r>
        <w:rPr>
          <w:rFonts w:hint="eastAsia" w:ascii="宋体" w:hAnsi="宋体" w:eastAsia="宋体" w:cs="宋体"/>
          <w:highlight w:val="none"/>
        </w:rPr>
        <w:t>实木（原木）上下线条≥18mm厚，</w:t>
      </w:r>
      <w:r>
        <w:rPr>
          <w:rFonts w:hint="eastAsia" w:ascii="宋体" w:hAnsi="宋体" w:eastAsia="宋体" w:cs="宋体"/>
          <w:highlight w:val="none"/>
          <w:lang w:eastAsia="zh-CN"/>
        </w:rPr>
        <w:t>橡胶木</w:t>
      </w:r>
      <w:r>
        <w:rPr>
          <w:rFonts w:hint="eastAsia" w:ascii="宋体" w:hAnsi="宋体" w:eastAsia="宋体" w:cs="宋体"/>
          <w:highlight w:val="none"/>
        </w:rPr>
        <w:t>实木封边，两面均衡油饰，</w:t>
      </w:r>
      <w:r>
        <w:rPr>
          <w:rFonts w:hint="eastAsia" w:ascii="宋体" w:hAnsi="宋体" w:eastAsia="宋体" w:cs="宋体"/>
          <w:highlight w:val="none"/>
          <w:lang w:eastAsia="zh-CN"/>
        </w:rPr>
        <w:t>橡胶木</w:t>
      </w:r>
      <w:r>
        <w:rPr>
          <w:rFonts w:hint="eastAsia" w:ascii="宋体" w:hAnsi="宋体" w:eastAsia="宋体" w:cs="宋体"/>
          <w:highlight w:val="none"/>
        </w:rPr>
        <w:t>木纹流畅，完整干净、无腐料，经过防虫防腐处理，耐磨性好，纹理清晰自然,色泽均匀平整。所有实木加工前须经脱脂烘干处理，干燥率小于1</w:t>
      </w:r>
      <w:r>
        <w:rPr>
          <w:rFonts w:hint="eastAsia" w:ascii="宋体" w:hAnsi="宋体" w:eastAsia="宋体" w:cs="宋体"/>
          <w:highlight w:val="none"/>
          <w:lang w:val="en-US" w:eastAsia="zh-CN"/>
        </w:rPr>
        <w:t>1</w:t>
      </w:r>
      <w:r>
        <w:rPr>
          <w:rFonts w:hint="eastAsia" w:ascii="宋体" w:hAnsi="宋体" w:eastAsia="宋体" w:cs="宋体"/>
          <w:highlight w:val="none"/>
        </w:rPr>
        <w:t>%。</w:t>
      </w:r>
    </w:p>
    <w:p w14:paraId="5A97FDE7">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3.2 </w:t>
      </w:r>
      <w:r>
        <w:rPr>
          <w:rFonts w:hint="eastAsia" w:ascii="宋体" w:hAnsi="宋体" w:eastAsia="宋体" w:cs="宋体"/>
          <w:color w:val="000000"/>
          <w:kern w:val="0"/>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结构要求（图示列出双面书架效果与结构示意）：整体造型见效果图与结构图，柜顶枨飘檐式突出柜体，下部两侧护板内芯板呈矩形；采用橡胶木实木指接板盖顶，书架须带钢制顶板。</w:t>
      </w:r>
    </w:p>
    <w:p w14:paraId="1850C9D6">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highlight w:val="none"/>
          <w:lang w:val="en-US" w:eastAsia="zh-CN" w:bidi="ar-SA"/>
        </w:rPr>
      </w:pPr>
    </w:p>
    <w:p w14:paraId="35B1FE52">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四层双面带灯钢木书架效果图</w:t>
      </w:r>
    </w:p>
    <w:p w14:paraId="539022D8">
      <w:pPr>
        <w:rPr>
          <w:rFonts w:hint="eastAsia" w:ascii="宋体" w:hAnsi="宋体" w:eastAsia="宋体" w:cs="宋体"/>
          <w:kern w:val="2"/>
          <w:sz w:val="24"/>
          <w:szCs w:val="24"/>
          <w:highlight w:val="none"/>
          <w:lang w:val="en-US" w:eastAsia="zh-CN" w:bidi="ar-SA"/>
        </w:rPr>
      </w:pPr>
    </w:p>
    <w:p w14:paraId="656F0803">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drawing>
          <wp:anchor distT="0" distB="0" distL="114300" distR="114300" simplePos="0" relativeHeight="251675648" behindDoc="0" locked="0" layoutInCell="1" allowOverlap="1">
            <wp:simplePos x="0" y="0"/>
            <wp:positionH relativeFrom="column">
              <wp:posOffset>85090</wp:posOffset>
            </wp:positionH>
            <wp:positionV relativeFrom="paragraph">
              <wp:posOffset>159385</wp:posOffset>
            </wp:positionV>
            <wp:extent cx="5960745" cy="2591435"/>
            <wp:effectExtent l="0" t="0" r="0" b="18415"/>
            <wp:wrapTopAndBottom/>
            <wp:docPr id="5" name="图片 5" descr="书架最新4层_20241229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书架最新4层_20241229133931"/>
                    <pic:cNvPicPr>
                      <a:picLocks noChangeAspect="1"/>
                    </pic:cNvPicPr>
                  </pic:nvPicPr>
                  <pic:blipFill>
                    <a:blip r:embed="rId37"/>
                    <a:srcRect t="32266" r="-2100" b="25312"/>
                    <a:stretch>
                      <a:fillRect/>
                    </a:stretch>
                  </pic:blipFill>
                  <pic:spPr>
                    <a:xfrm>
                      <a:off x="0" y="0"/>
                      <a:ext cx="5960745" cy="2591435"/>
                    </a:xfrm>
                    <a:prstGeom prst="rect">
                      <a:avLst/>
                    </a:prstGeom>
                  </pic:spPr>
                </pic:pic>
              </a:graphicData>
            </a:graphic>
          </wp:anchor>
        </w:drawing>
      </w:r>
    </w:p>
    <w:p w14:paraId="6CF8BE7D">
      <w:p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br w:type="page"/>
      </w:r>
    </w:p>
    <w:p w14:paraId="5CB207BE">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四层双面带灯钢木书架结构示意图</w:t>
      </w:r>
    </w:p>
    <w:p w14:paraId="2A896080">
      <w:pPr>
        <w:pStyle w:val="2"/>
        <w:rPr>
          <w:rFonts w:hint="eastAsia"/>
          <w:highlight w:val="none"/>
          <w:lang w:val="en-US" w:eastAsia="zh-CN"/>
        </w:rPr>
      </w:pPr>
    </w:p>
    <w:p w14:paraId="38168F8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highlight w:val="none"/>
          <w:lang w:eastAsia="zh-CN"/>
        </w:rPr>
        <w:drawing>
          <wp:inline distT="0" distB="0" distL="114300" distR="114300">
            <wp:extent cx="6116955" cy="4321810"/>
            <wp:effectExtent l="0" t="0" r="17145" b="2540"/>
            <wp:docPr id="21" name="图片 21" descr="mmexport173587891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735878913245"/>
                    <pic:cNvPicPr>
                      <a:picLocks noChangeAspect="1"/>
                    </pic:cNvPicPr>
                  </pic:nvPicPr>
                  <pic:blipFill>
                    <a:blip r:embed="rId38"/>
                    <a:stretch>
                      <a:fillRect/>
                    </a:stretch>
                  </pic:blipFill>
                  <pic:spPr>
                    <a:xfrm>
                      <a:off x="0" y="0"/>
                      <a:ext cx="6116955" cy="4321810"/>
                    </a:xfrm>
                    <a:prstGeom prst="rect">
                      <a:avLst/>
                    </a:prstGeom>
                  </pic:spPr>
                </pic:pic>
              </a:graphicData>
            </a:graphic>
          </wp:inline>
        </w:drawing>
      </w:r>
    </w:p>
    <w:p w14:paraId="2337A39E">
      <w:pPr>
        <w:ind w:firstLine="480"/>
        <w:rPr>
          <w:rFonts w:hint="eastAsia" w:ascii="宋体" w:hAnsi="宋体" w:eastAsia="宋体" w:cs="宋体"/>
          <w:highlight w:val="none"/>
          <w:lang w:eastAsia="zh-CN"/>
        </w:rPr>
        <w:sectPr>
          <w:pgSz w:w="11906" w:h="16838"/>
          <w:pgMar w:top="1247" w:right="1134" w:bottom="1247" w:left="1134" w:header="170" w:footer="567" w:gutter="0"/>
          <w:cols w:space="720" w:num="1"/>
          <w:docGrid w:linePitch="381" w:charSpace="0"/>
        </w:sectPr>
      </w:pPr>
    </w:p>
    <w:p w14:paraId="21C0E076">
      <w:pPr>
        <w:ind w:firstLine="480"/>
        <w:rPr>
          <w:rFonts w:hint="eastAsia" w:ascii="宋体" w:hAnsi="宋体" w:eastAsia="宋体" w:cs="宋体"/>
          <w:highlight w:val="none"/>
        </w:rPr>
      </w:pPr>
      <w:r>
        <w:rPr>
          <w:rFonts w:hint="eastAsia" w:ascii="宋体" w:hAnsi="宋体" w:eastAsia="宋体" w:cs="宋体"/>
          <w:highlight w:val="none"/>
        </w:rPr>
        <w:t>3.3 柜顶立面企多层月弧形线条，四面突出柜体，立柱75*75mm内侧呈50*50mm的L形豁口包裹钢制立柱，上端开L形双榫与柜顶组合，上横档1</w:t>
      </w:r>
      <w:r>
        <w:rPr>
          <w:rFonts w:hint="eastAsia" w:ascii="宋体" w:hAnsi="宋体" w:eastAsia="宋体" w:cs="宋体"/>
          <w:highlight w:val="none"/>
          <w:lang w:val="en-US" w:eastAsia="zh-CN"/>
        </w:rPr>
        <w:t>24</w:t>
      </w:r>
      <w:r>
        <w:rPr>
          <w:rFonts w:hint="eastAsia" w:ascii="宋体" w:hAnsi="宋体" w:eastAsia="宋体" w:cs="宋体"/>
          <w:highlight w:val="none"/>
        </w:rPr>
        <w:t>*25mm，下部横档12</w:t>
      </w:r>
      <w:r>
        <w:rPr>
          <w:rFonts w:hint="eastAsia" w:ascii="宋体" w:hAnsi="宋体" w:eastAsia="宋体" w:cs="宋体"/>
          <w:highlight w:val="none"/>
          <w:lang w:val="en-US" w:eastAsia="zh-CN"/>
        </w:rPr>
        <w:t>4</w:t>
      </w:r>
      <w:r>
        <w:rPr>
          <w:rFonts w:hint="eastAsia" w:ascii="宋体" w:hAnsi="宋体" w:eastAsia="宋体" w:cs="宋体"/>
          <w:highlight w:val="none"/>
        </w:rPr>
        <w:t>*25mm两端作格角榫或平肩榫边直柱组合，内芯板厚1</w:t>
      </w:r>
      <w:r>
        <w:rPr>
          <w:rFonts w:hint="eastAsia" w:ascii="宋体" w:hAnsi="宋体" w:eastAsia="宋体" w:cs="宋体"/>
          <w:highlight w:val="none"/>
          <w:lang w:val="en-US" w:eastAsia="zh-CN"/>
        </w:rPr>
        <w:t>8</w:t>
      </w:r>
      <w:r>
        <w:rPr>
          <w:rFonts w:hint="eastAsia" w:ascii="宋体" w:hAnsi="宋体" w:eastAsia="宋体" w:cs="宋体"/>
          <w:highlight w:val="none"/>
        </w:rPr>
        <w:t>mm的</w:t>
      </w:r>
      <w:r>
        <w:rPr>
          <w:rFonts w:hint="eastAsia" w:ascii="宋体" w:hAnsi="宋体" w:eastAsia="宋体" w:cs="宋体"/>
          <w:highlight w:val="none"/>
          <w:lang w:eastAsia="zh-CN"/>
        </w:rPr>
        <w:t>橡胶木</w:t>
      </w:r>
      <w:r>
        <w:rPr>
          <w:rFonts w:hint="eastAsia" w:ascii="宋体" w:hAnsi="宋体" w:eastAsia="宋体" w:cs="宋体"/>
          <w:highlight w:val="none"/>
        </w:rPr>
        <w:t>实木指接板四周起双层阳线与边框对应。木质部件表面采用</w:t>
      </w:r>
      <w:r>
        <w:rPr>
          <w:rFonts w:hint="eastAsia" w:cs="宋体"/>
          <w:highlight w:val="none"/>
          <w:lang w:val="en-US" w:eastAsia="zh-CN"/>
        </w:rPr>
        <w:t>优质</w:t>
      </w:r>
      <w:r>
        <w:rPr>
          <w:rFonts w:hint="eastAsia" w:ascii="宋体" w:hAnsi="宋体" w:eastAsia="宋体" w:cs="宋体"/>
          <w:highlight w:val="none"/>
        </w:rPr>
        <w:t xml:space="preserve">环保聚脂漆喷涂，五底三面工艺。护板颜色漆成原木色，最终颜色中标后根据用户要求确定。  </w:t>
      </w:r>
    </w:p>
    <w:p w14:paraId="20D5A66F">
      <w:pPr>
        <w:ind w:firstLine="480"/>
        <w:rPr>
          <w:rFonts w:ascii="宋体" w:hAnsi="宋体" w:eastAsia="宋体" w:cs="宋体"/>
          <w:highlight w:val="none"/>
        </w:rPr>
      </w:pPr>
      <w:r>
        <w:rPr>
          <w:rFonts w:hint="eastAsia" w:ascii="宋体" w:hAnsi="宋体" w:eastAsia="宋体" w:cs="宋体"/>
          <w:highlight w:val="none"/>
        </w:rPr>
        <w:t>4.胶水：符合国际E0级环保标准。</w:t>
      </w:r>
    </w:p>
    <w:p w14:paraId="1FDF7186">
      <w:pPr>
        <w:ind w:firstLine="480"/>
        <w:rPr>
          <w:rFonts w:ascii="宋体" w:hAnsi="宋体" w:eastAsia="宋体" w:cs="宋体"/>
          <w:highlight w:val="none"/>
        </w:rPr>
      </w:pPr>
      <w:r>
        <w:rPr>
          <w:rFonts w:hint="eastAsia" w:ascii="宋体" w:hAnsi="宋体" w:eastAsia="宋体" w:cs="宋体"/>
          <w:highlight w:val="none"/>
        </w:rPr>
        <w:t>5.油漆：环保油漆，美式涂装工艺，格里斯擦色，油漆工艺“六底三面”，保证板面平整无颗粒、气泡、积粉、渣点，色泽均匀。</w:t>
      </w:r>
    </w:p>
    <w:p w14:paraId="0FB32B51">
      <w:pPr>
        <w:ind w:firstLine="480"/>
        <w:rPr>
          <w:rFonts w:ascii="宋体" w:hAnsi="宋体" w:eastAsia="宋体" w:cs="宋体"/>
          <w:highlight w:val="none"/>
        </w:rPr>
      </w:pPr>
      <w:r>
        <w:rPr>
          <w:rFonts w:hint="eastAsia" w:ascii="宋体" w:hAnsi="宋体" w:eastAsia="宋体" w:cs="宋体"/>
          <w:highlight w:val="none"/>
        </w:rPr>
        <w:t>6.LED照明灯</w:t>
      </w:r>
    </w:p>
    <w:p w14:paraId="145E9AB4">
      <w:pPr>
        <w:ind w:firstLine="480"/>
        <w:rPr>
          <w:rFonts w:ascii="宋体" w:hAnsi="宋体" w:eastAsia="宋体" w:cs="宋体"/>
          <w:highlight w:val="none"/>
        </w:rPr>
      </w:pPr>
      <w:r>
        <w:rPr>
          <w:rFonts w:hint="eastAsia" w:ascii="宋体" w:hAnsi="宋体" w:eastAsia="宋体" w:cs="宋体"/>
          <w:highlight w:val="none"/>
        </w:rPr>
        <w:t>6.1 技术参数（每节书架均需双面安装）：要求由</w:t>
      </w:r>
      <w:r>
        <w:rPr>
          <w:rFonts w:hint="eastAsia" w:cs="宋体"/>
          <w:highlight w:val="none"/>
          <w:lang w:val="en-US" w:eastAsia="zh-CN"/>
        </w:rPr>
        <w:t>优质</w:t>
      </w:r>
      <w:r>
        <w:rPr>
          <w:rFonts w:hint="eastAsia" w:ascii="宋体" w:hAnsi="宋体" w:eastAsia="宋体" w:cs="宋体"/>
          <w:highlight w:val="none"/>
        </w:rPr>
        <w:t>光源和铝合金材料制作而成。色温4500k，所有灯具采用AC220V转换为DC12V供电，质保时间不低于五年；人员进入各区域内，对应区域内照明灯自动点亮，亮度要求必须满足阅读需求，色温4500k，灯光不能直射到正常查找书刊的人员的眼睛；灯具安装在书架中间上方。灯罩宽度为40mm（±5mm），内置LED灯光源及走线装置，每只灯长不得超过一节书架长度，外侧用防眩光灯罩封闭。感应控制装置灵敏度具备可调功能，调节角度在0～180度之间，默认度角为120度。电源线使用国标2.5平方多芯阻燃工程铜线。外套PVC电工套管，并方便检修。LED灯为嵌入架体整体设计，不得悬挂在外；</w:t>
      </w:r>
    </w:p>
    <w:p w14:paraId="618F4641">
      <w:pPr>
        <w:ind w:firstLine="480"/>
        <w:rPr>
          <w:rFonts w:ascii="宋体" w:hAnsi="宋体" w:eastAsia="宋体" w:cs="宋体"/>
          <w:highlight w:val="none"/>
        </w:rPr>
      </w:pPr>
      <w:r>
        <w:rPr>
          <w:rFonts w:hint="eastAsia" w:ascii="宋体" w:hAnsi="宋体" w:eastAsia="宋体" w:cs="宋体"/>
          <w:highlight w:val="none"/>
        </w:rPr>
        <w:t>6.2 照明要求：平时书架使用时（即书架进线总电开启），LED照明灯处于熄灭状态，当感应人员进入感应区域后，照明灯进入开状态，人员离开感应区域时，经过延迟，照明灯恢复为熄灭状态；例如：进入1-2节区域内，对应1-2节照明灯点亮，3-6节照明灯不点亮，每节书架顶部区域均配有独立感应装置，有效实现节电效果；人员离开各区域后，延迟一定时间，自动熄灯；延迟时间必须精确，延迟时间默认为30秒，根据实际需求延迟时间调整范围30秒-1分钟；</w:t>
      </w:r>
    </w:p>
    <w:p w14:paraId="7F2806B3">
      <w:pPr>
        <w:ind w:firstLine="480"/>
        <w:rPr>
          <w:rFonts w:ascii="宋体" w:hAnsi="宋体" w:eastAsia="宋体" w:cs="宋体"/>
          <w:highlight w:val="none"/>
        </w:rPr>
      </w:pPr>
      <w:r>
        <w:rPr>
          <w:rFonts w:hint="eastAsia" w:ascii="宋体" w:hAnsi="宋体" w:eastAsia="宋体" w:cs="宋体"/>
          <w:highlight w:val="none"/>
        </w:rPr>
        <w:t>6.3 安装要求：要求拆卸、维修方便。</w:t>
      </w:r>
    </w:p>
    <w:p w14:paraId="01C196D3">
      <w:pPr>
        <w:ind w:firstLine="480"/>
        <w:rPr>
          <w:rFonts w:ascii="宋体" w:hAnsi="宋体" w:eastAsia="宋体" w:cs="宋体"/>
          <w:highlight w:val="none"/>
        </w:rPr>
      </w:pPr>
      <w:r>
        <w:rPr>
          <w:rFonts w:hint="eastAsia" w:ascii="宋体" w:hAnsi="宋体" w:eastAsia="宋体" w:cs="宋体"/>
          <w:highlight w:val="none"/>
        </w:rPr>
        <w:t xml:space="preserve">7.工艺 </w:t>
      </w:r>
    </w:p>
    <w:p w14:paraId="6B3C771D">
      <w:pPr>
        <w:ind w:firstLine="480"/>
        <w:jc w:val="left"/>
        <w:rPr>
          <w:rFonts w:hint="eastAsia" w:ascii="宋体" w:hAnsi="宋体" w:eastAsia="宋体" w:cs="宋体"/>
          <w:highlight w:val="none"/>
        </w:rPr>
      </w:pPr>
      <w:r>
        <w:rPr>
          <w:rFonts w:hint="eastAsia" w:ascii="宋体" w:hAnsi="宋体" w:eastAsia="宋体" w:cs="宋体"/>
          <w:highlight w:val="none"/>
        </w:rPr>
        <w:t>采用剪切、冲压、折弯、焊接工艺，钢板经酸洗、磷化、防锈处理，表面采用混合型热固性粉沫静电喷涂，耐高温，防静电。书架通体静电喷涂，颜色持久，表面硬度≥2H。</w:t>
      </w:r>
    </w:p>
    <w:p w14:paraId="1E86121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40" w:lineRule="exact"/>
        <w:ind w:leftChars="0" w:right="0" w:rightChars="0" w:firstLine="480" w:firstLineChars="200"/>
        <w:jc w:val="left"/>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bidi="ar-SA"/>
        </w:rPr>
        <w:t>8.其它：每个侧护板阴刻湖州学院logo，直径20cm；每个侧护板带学校LOGO的亚克力标牌框，标牌框可内嵌A4大小的纸张；每个搁板两端配置钢制书立（230H*200W*150D）（±10mm），静电粉末亚光喷塑，底部有防滑胶版；各层层高可调，底板与立柱连接结构合理，不变形；</w:t>
      </w:r>
      <w:r>
        <w:rPr>
          <w:rFonts w:hint="eastAsia" w:ascii="宋体" w:hAnsi="宋体" w:eastAsia="宋体" w:cs="宋体"/>
          <w:kern w:val="2"/>
          <w:sz w:val="24"/>
          <w:szCs w:val="24"/>
          <w:highlight w:val="none"/>
          <w:lang w:val="en-US" w:eastAsia="zh-CN" w:bidi="ar-SA"/>
        </w:rPr>
        <w:t>四层双面带灯钢木书架现场安装组列形式以实际安装需要为准，以下组列形式可供参考：3节成列的5组，6节成列的5组。</w:t>
      </w:r>
    </w:p>
    <w:p w14:paraId="3007F7F0">
      <w:pPr>
        <w:ind w:left="480" w:leftChars="200" w:firstLine="0" w:firstLineChars="0"/>
        <w:rPr>
          <w:rFonts w:ascii="宋体" w:hAnsi="宋体" w:eastAsia="宋体" w:cs="宋体"/>
          <w:highlight w:val="none"/>
        </w:rPr>
      </w:pPr>
    </w:p>
    <w:p w14:paraId="58EF29C2">
      <w:pPr>
        <w:ind w:left="0" w:leftChars="0" w:firstLine="482" w:firstLineChars="200"/>
        <w:rPr>
          <w:rFonts w:hint="eastAsia" w:eastAsia="宋体"/>
          <w:highlight w:val="none"/>
          <w:u w:val="none"/>
          <w:lang w:eastAsia="zh-CN"/>
        </w:rPr>
        <w:sectPr>
          <w:pgSz w:w="11906" w:h="16838"/>
          <w:pgMar w:top="1247" w:right="1134" w:bottom="1247" w:left="1134" w:header="170" w:footer="567" w:gutter="0"/>
          <w:cols w:space="720" w:num="1"/>
          <w:docGrid w:linePitch="381" w:charSpace="0"/>
        </w:sectPr>
      </w:pPr>
      <w:r>
        <w:rPr>
          <w:rFonts w:hint="eastAsia" w:ascii="宋体" w:hAnsi="宋体" w:eastAsia="宋体" w:cs="宋体"/>
          <w:b/>
          <w:bCs/>
          <w:color w:val="FF0000"/>
          <w:highlight w:val="none"/>
        </w:rPr>
        <w:t>备注：</w:t>
      </w:r>
      <w:r>
        <w:rPr>
          <w:rFonts w:hint="eastAsia" w:ascii="宋体" w:hAnsi="宋体" w:eastAsia="宋体" w:cs="宋体"/>
          <w:b/>
          <w:bCs/>
          <w:color w:val="FF0000"/>
          <w:highlight w:val="none"/>
          <w:u w:val="single"/>
        </w:rPr>
        <w:t>要求</w:t>
      </w:r>
      <w:r>
        <w:rPr>
          <w:rFonts w:hint="eastAsia" w:ascii="宋体" w:hAnsi="宋体" w:eastAsia="宋体" w:cs="宋体"/>
          <w:b/>
          <w:bCs/>
          <w:color w:val="FF0000"/>
          <w:highlight w:val="none"/>
          <w:u w:val="single"/>
          <w:lang w:val="en-US" w:eastAsia="zh-CN"/>
        </w:rPr>
        <w:t>提供的</w:t>
      </w:r>
      <w:r>
        <w:rPr>
          <w:rFonts w:hint="eastAsia" w:ascii="宋体" w:hAnsi="宋体" w:eastAsia="宋体" w:cs="宋体"/>
          <w:b/>
          <w:bCs/>
          <w:color w:val="FF0000"/>
          <w:highlight w:val="none"/>
          <w:u w:val="single"/>
        </w:rPr>
        <w:t>样品</w:t>
      </w:r>
      <w:r>
        <w:rPr>
          <w:rFonts w:hint="eastAsia" w:ascii="宋体" w:hAnsi="宋体" w:eastAsia="宋体" w:cs="宋体"/>
          <w:b/>
          <w:bCs/>
          <w:color w:val="FF0000"/>
          <w:highlight w:val="none"/>
          <w:u w:val="single"/>
          <w:lang w:eastAsia="zh-CN"/>
        </w:rPr>
        <w:t>：</w:t>
      </w:r>
      <w:r>
        <w:rPr>
          <w:rFonts w:hint="eastAsia" w:ascii="宋体" w:hAnsi="宋体" w:eastAsia="宋体" w:cs="宋体"/>
          <w:b/>
          <w:bCs/>
          <w:color w:val="FF0000"/>
          <w:highlight w:val="none"/>
          <w:u w:val="single"/>
          <w:lang w:val="en-US" w:eastAsia="zh-CN"/>
        </w:rPr>
        <w:t>3节成列的</w:t>
      </w:r>
      <w:r>
        <w:rPr>
          <w:rFonts w:hint="eastAsia" w:ascii="宋体" w:hAnsi="宋体" w:eastAsia="宋体" w:cs="宋体"/>
          <w:b/>
          <w:bCs/>
          <w:color w:val="FF0000"/>
          <w:highlight w:val="none"/>
          <w:u w:val="single"/>
        </w:rPr>
        <w:t>手动带灯文书档案密集架、</w:t>
      </w:r>
      <w:r>
        <w:rPr>
          <w:rFonts w:hint="eastAsia" w:ascii="宋体" w:hAnsi="宋体" w:eastAsia="宋体" w:cs="宋体"/>
          <w:b/>
          <w:bCs/>
          <w:color w:val="FF0000"/>
          <w:highlight w:val="none"/>
          <w:u w:val="single"/>
          <w:lang w:val="en-US" w:eastAsia="zh-CN"/>
        </w:rPr>
        <w:t>3节成列的</w:t>
      </w:r>
      <w:r>
        <w:rPr>
          <w:rFonts w:hint="eastAsia" w:ascii="宋体" w:hAnsi="宋体" w:eastAsia="宋体" w:cs="宋体"/>
          <w:b/>
          <w:bCs/>
          <w:color w:val="FF0000"/>
          <w:highlight w:val="none"/>
          <w:u w:val="single"/>
        </w:rPr>
        <w:t>六层双面带灯钢木书架。</w:t>
      </w:r>
      <w:r>
        <w:rPr>
          <w:rFonts w:hint="eastAsia" w:cs="宋体"/>
          <w:b/>
          <w:bCs/>
          <w:color w:val="auto"/>
          <w:highlight w:val="none"/>
          <w:u w:val="none"/>
          <w:lang w:eastAsia="zh-CN"/>
        </w:rPr>
        <w:t>（</w:t>
      </w:r>
      <w:r>
        <w:rPr>
          <w:rFonts w:hint="eastAsia" w:ascii="宋体" w:hAnsi="宋体"/>
          <w:b/>
          <w:bCs/>
          <w:color w:val="auto"/>
          <w:sz w:val="24"/>
          <w:highlight w:val="none"/>
        </w:rPr>
        <w:t>中标人所提供的样品在开标结束后，由采购单位封存，作为验收的一个依据。未成交的样品退还给各供应商。样品上不得</w:t>
      </w:r>
      <w:r>
        <w:rPr>
          <w:rFonts w:hint="eastAsia" w:ascii="宋体" w:hAnsi="宋体"/>
          <w:b/>
          <w:bCs/>
          <w:color w:val="auto"/>
          <w:sz w:val="24"/>
          <w:highlight w:val="none"/>
          <w:lang w:eastAsia="zh-CN"/>
        </w:rPr>
        <w:t>显示</w:t>
      </w:r>
      <w:r>
        <w:rPr>
          <w:rFonts w:hint="eastAsia" w:ascii="宋体" w:hAnsi="宋体"/>
          <w:b/>
          <w:bCs/>
          <w:color w:val="auto"/>
          <w:sz w:val="24"/>
          <w:highlight w:val="none"/>
        </w:rPr>
        <w:t>投标人名称</w:t>
      </w:r>
      <w:r>
        <w:rPr>
          <w:rFonts w:hint="eastAsia" w:ascii="宋体" w:hAnsi="宋体"/>
          <w:b/>
          <w:bCs/>
          <w:color w:val="auto"/>
          <w:sz w:val="24"/>
          <w:highlight w:val="none"/>
          <w:lang w:eastAsia="zh-CN"/>
        </w:rPr>
        <w:t>、商标、</w:t>
      </w:r>
      <w:r>
        <w:rPr>
          <w:rFonts w:hint="eastAsia" w:ascii="宋体" w:hAnsi="宋体"/>
          <w:b/>
          <w:bCs/>
          <w:color w:val="auto"/>
          <w:sz w:val="24"/>
          <w:highlight w:val="none"/>
          <w:lang w:val="en-US" w:eastAsia="zh-CN"/>
        </w:rPr>
        <w:t>LOGO等标记，</w:t>
      </w:r>
      <w:r>
        <w:rPr>
          <w:rFonts w:hint="eastAsia" w:ascii="宋体" w:hAnsi="宋体"/>
          <w:b/>
          <w:bCs/>
          <w:color w:val="auto"/>
          <w:sz w:val="24"/>
          <w:highlight w:val="none"/>
        </w:rPr>
        <w:t>由代理机构专职人员及业主监督人员在开标前重新编号。</w:t>
      </w:r>
      <w:r>
        <w:rPr>
          <w:rFonts w:ascii="宋体" w:hAnsi="宋体" w:eastAsia="Times New Roman" w:cs="微软雅黑"/>
          <w:b/>
          <w:bCs/>
          <w:color w:val="auto"/>
          <w:kern w:val="0"/>
          <w:sz w:val="24"/>
          <w:highlight w:val="none"/>
        </w:rPr>
        <w:t>各</w:t>
      </w:r>
      <w:r>
        <w:rPr>
          <w:rFonts w:hint="eastAsia" w:ascii="宋体" w:hAnsi="宋体" w:eastAsia="Times New Roman" w:cs="微软雅黑"/>
          <w:b/>
          <w:bCs/>
          <w:color w:val="auto"/>
          <w:kern w:val="0"/>
          <w:sz w:val="24"/>
          <w:highlight w:val="none"/>
        </w:rPr>
        <w:t>供应商在开标截止时间前</w:t>
      </w:r>
      <w:r>
        <w:rPr>
          <w:rFonts w:ascii="宋体" w:hAnsi="宋体" w:eastAsia="Times New Roman" w:cs="微软雅黑"/>
          <w:b/>
          <w:bCs/>
          <w:color w:val="auto"/>
          <w:kern w:val="0"/>
          <w:sz w:val="24"/>
          <w:highlight w:val="none"/>
        </w:rPr>
        <w:t>将样品安装摆放在指定</w:t>
      </w:r>
      <w:r>
        <w:rPr>
          <w:rFonts w:hint="eastAsia" w:ascii="宋体" w:hAnsi="宋体" w:eastAsia="宋体" w:cs="微软雅黑"/>
          <w:b/>
          <w:bCs/>
          <w:color w:val="auto"/>
          <w:kern w:val="0"/>
          <w:sz w:val="24"/>
          <w:highlight w:val="none"/>
          <w:lang w:eastAsia="zh-CN"/>
        </w:rPr>
        <w:t>区域</w:t>
      </w:r>
      <w:r>
        <w:rPr>
          <w:rFonts w:ascii="宋体" w:hAnsi="宋体" w:eastAsia="Times New Roman" w:cs="微软雅黑"/>
          <w:b/>
          <w:bCs/>
          <w:color w:val="auto"/>
          <w:kern w:val="0"/>
          <w:sz w:val="24"/>
          <w:highlight w:val="none"/>
        </w:rPr>
        <w:t>，截止时间过后，将不再接收样品。</w:t>
      </w:r>
      <w:r>
        <w:rPr>
          <w:rFonts w:hint="eastAsia" w:cs="宋体"/>
          <w:b/>
          <w:bCs/>
          <w:color w:val="auto"/>
          <w:highlight w:val="none"/>
          <w:u w:val="none"/>
          <w:lang w:eastAsia="zh-CN"/>
        </w:rPr>
        <w:t>）</w:t>
      </w:r>
    </w:p>
    <w:p w14:paraId="18FF0EF3">
      <w:pPr>
        <w:ind w:firstLine="0" w:firstLineChars="0"/>
        <w:rPr>
          <w:rFonts w:ascii="宋体" w:hAnsi="宋体" w:eastAsia="宋体" w:cs="Times New Roman"/>
          <w:b/>
          <w:bCs/>
          <w:highlight w:val="none"/>
        </w:rPr>
      </w:pPr>
      <w:r>
        <w:rPr>
          <w:rFonts w:hint="eastAsia" w:ascii="宋体" w:hAnsi="宋体" w:eastAsia="宋体" w:cs="Times New Roman"/>
          <w:b/>
          <w:bCs/>
          <w:highlight w:val="none"/>
        </w:rPr>
        <w:t>标项二：</w:t>
      </w:r>
      <w:r>
        <w:rPr>
          <w:rFonts w:hint="eastAsia" w:ascii="宋体" w:hAnsi="宋体" w:eastAsia="宋体" w:cs="宋体"/>
          <w:b/>
          <w:highlight w:val="none"/>
        </w:rPr>
        <w:t>图书馆功能服务区家具</w:t>
      </w:r>
      <w:r>
        <w:rPr>
          <w:rFonts w:hint="eastAsia" w:ascii="宋体" w:hAnsi="宋体" w:eastAsia="宋体" w:cs="Times New Roman"/>
          <w:b/>
          <w:bCs/>
          <w:highlight w:val="none"/>
        </w:rPr>
        <w:t>（预算金额：1560000元）</w:t>
      </w:r>
    </w:p>
    <w:tbl>
      <w:tblPr>
        <w:tblStyle w:val="44"/>
        <w:tblW w:w="15123"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64"/>
        <w:gridCol w:w="1131"/>
        <w:gridCol w:w="1905"/>
        <w:gridCol w:w="180"/>
        <w:gridCol w:w="180"/>
        <w:gridCol w:w="180"/>
        <w:gridCol w:w="180"/>
        <w:gridCol w:w="180"/>
        <w:gridCol w:w="180"/>
        <w:gridCol w:w="180"/>
        <w:gridCol w:w="180"/>
        <w:gridCol w:w="180"/>
        <w:gridCol w:w="180"/>
        <w:gridCol w:w="180"/>
        <w:gridCol w:w="180"/>
        <w:gridCol w:w="180"/>
        <w:gridCol w:w="8219"/>
      </w:tblGrid>
      <w:tr w14:paraId="784D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64" w:type="dxa"/>
            <w:shd w:val="clear" w:color="auto" w:fill="auto"/>
            <w:vAlign w:val="center"/>
          </w:tcPr>
          <w:p w14:paraId="7AF8F53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highlight w:val="none"/>
              </w:rPr>
            </w:pPr>
            <w:r>
              <w:rPr>
                <w:rFonts w:hint="eastAsia" w:ascii="宋体" w:hAnsi="宋体" w:eastAsia="宋体" w:cs="宋体"/>
                <w:b/>
                <w:bCs/>
                <w:highlight w:val="none"/>
              </w:rPr>
              <w:t>序号</w:t>
            </w:r>
          </w:p>
        </w:tc>
        <w:tc>
          <w:tcPr>
            <w:tcW w:w="764" w:type="dxa"/>
            <w:shd w:val="clear" w:color="auto" w:fill="auto"/>
            <w:vAlign w:val="center"/>
          </w:tcPr>
          <w:p w14:paraId="62C4DEFD">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highlight w:val="none"/>
              </w:rPr>
            </w:pPr>
            <w:r>
              <w:rPr>
                <w:rFonts w:hint="eastAsia" w:ascii="宋体" w:hAnsi="宋体" w:eastAsia="宋体" w:cs="宋体"/>
                <w:b/>
                <w:bCs/>
                <w:highlight w:val="none"/>
              </w:rPr>
              <w:t>名称</w:t>
            </w:r>
          </w:p>
        </w:tc>
        <w:tc>
          <w:tcPr>
            <w:tcW w:w="13595" w:type="dxa"/>
            <w:gridSpan w:val="16"/>
            <w:shd w:val="clear" w:color="auto" w:fill="auto"/>
            <w:vAlign w:val="center"/>
          </w:tcPr>
          <w:p w14:paraId="243D3ABF">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highlight w:val="none"/>
              </w:rPr>
            </w:pPr>
            <w:r>
              <w:rPr>
                <w:rFonts w:hint="eastAsia" w:ascii="宋体" w:hAnsi="宋体" w:eastAsia="宋体" w:cs="宋体"/>
                <w:b/>
                <w:bCs/>
                <w:highlight w:val="none"/>
              </w:rPr>
              <w:t>规格、参数、效果及结构要求</w:t>
            </w:r>
          </w:p>
        </w:tc>
      </w:tr>
      <w:tr w14:paraId="108B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64" w:type="dxa"/>
            <w:vMerge w:val="restart"/>
            <w:shd w:val="clear" w:color="auto" w:fill="auto"/>
            <w:vAlign w:val="center"/>
          </w:tcPr>
          <w:p w14:paraId="6A041391">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w:t>
            </w:r>
          </w:p>
        </w:tc>
        <w:tc>
          <w:tcPr>
            <w:tcW w:w="764" w:type="dxa"/>
            <w:vMerge w:val="restart"/>
            <w:shd w:val="clear" w:color="auto" w:fill="auto"/>
            <w:vAlign w:val="center"/>
          </w:tcPr>
          <w:p w14:paraId="1EE8263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功能服务桌1</w:t>
            </w:r>
          </w:p>
        </w:tc>
        <w:tc>
          <w:tcPr>
            <w:tcW w:w="1131" w:type="dxa"/>
            <w:shd w:val="clear" w:color="auto" w:fill="auto"/>
            <w:vAlign w:val="center"/>
          </w:tcPr>
          <w:p w14:paraId="0F0D706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085" w:type="dxa"/>
            <w:gridSpan w:val="2"/>
            <w:shd w:val="clear" w:color="auto" w:fill="auto"/>
            <w:vAlign w:val="center"/>
          </w:tcPr>
          <w:p w14:paraId="6A96826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1200*1200*750MM</w:t>
            </w:r>
          </w:p>
        </w:tc>
        <w:tc>
          <w:tcPr>
            <w:tcW w:w="1080" w:type="dxa"/>
            <w:gridSpan w:val="6"/>
            <w:shd w:val="clear" w:color="auto" w:fill="auto"/>
            <w:vAlign w:val="center"/>
          </w:tcPr>
          <w:p w14:paraId="0D08438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299" w:type="dxa"/>
            <w:gridSpan w:val="7"/>
            <w:shd w:val="clear" w:color="auto" w:fill="auto"/>
            <w:vAlign w:val="center"/>
          </w:tcPr>
          <w:p w14:paraId="083CA7BE">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56张</w:t>
            </w:r>
          </w:p>
        </w:tc>
      </w:tr>
      <w:tr w14:paraId="3BDB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764" w:type="dxa"/>
            <w:vMerge w:val="continue"/>
            <w:shd w:val="clear" w:color="auto" w:fill="auto"/>
            <w:vAlign w:val="center"/>
          </w:tcPr>
          <w:p w14:paraId="5476348F">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57056374">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2F40F73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7672BCC3">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r>
              <w:rPr>
                <w:rFonts w:hint="eastAsia" w:ascii="宋体" w:hAnsi="宋体" w:eastAsia="宋体" w:cs="宋体"/>
                <w:sz w:val="21"/>
                <w:szCs w:val="21"/>
                <w:highlight w:val="none"/>
                <w:lang w:eastAsia="zh-CN"/>
              </w:rPr>
              <w:t>；</w:t>
            </w:r>
          </w:p>
          <w:p w14:paraId="1E67DADA">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2、桌面厚度25mm；其他面板厚度18mm</w:t>
            </w:r>
            <w:r>
              <w:rPr>
                <w:rFonts w:hint="eastAsia" w:ascii="宋体" w:hAnsi="宋体" w:eastAsia="宋体" w:cs="宋体"/>
                <w:sz w:val="21"/>
                <w:szCs w:val="21"/>
                <w:highlight w:val="none"/>
                <w:lang w:eastAsia="zh-CN"/>
              </w:rPr>
              <w:t>；</w:t>
            </w:r>
          </w:p>
          <w:p w14:paraId="08CB223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3、榫卯结构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桌面采用橡胶木指接木；桌子框架需使用整根独料，不得使用拼接或指接工艺的木料；</w:t>
            </w:r>
          </w:p>
          <w:p w14:paraId="2899FA3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74F2981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55C21928">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6、优质五金配件；</w:t>
            </w:r>
          </w:p>
          <w:p w14:paraId="6206F58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7、电源：2X翻盖式桌面插座，合金面板，3c认证，4个</w:t>
            </w:r>
            <w:r>
              <w:rPr>
                <w:rFonts w:hint="eastAsia" w:ascii="宋体" w:hAnsi="宋体" w:eastAsia="宋体" w:cs="宋体"/>
                <w:sz w:val="21"/>
                <w:szCs w:val="21"/>
                <w:highlight w:val="none"/>
              </w:rPr>
              <w:t>新国标五孔</w:t>
            </w:r>
            <w:r>
              <w:rPr>
                <w:rFonts w:hint="eastAsia" w:ascii="宋体" w:hAnsi="宋体" w:eastAsia="宋体" w:cs="宋体"/>
                <w:kern w:val="0"/>
                <w:sz w:val="21"/>
                <w:szCs w:val="21"/>
                <w:highlight w:val="none"/>
              </w:rPr>
              <w:t>电源+2个网口+4个USB充电，电源技术参数：2500W MAX, 10A MAX,250V~，阻燃PC材质,电源及网络走线隐藏不外露。</w:t>
            </w:r>
          </w:p>
          <w:p w14:paraId="54AD587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8、下架：钢制下架，钢管φ65*1.5mm,通过除锈、除油、磷化等化学前处理后，表面高温静电喷塑。</w:t>
            </w:r>
          </w:p>
        </w:tc>
      </w:tr>
      <w:tr w14:paraId="3186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5" w:hRule="atLeast"/>
        </w:trPr>
        <w:tc>
          <w:tcPr>
            <w:tcW w:w="764" w:type="dxa"/>
            <w:vMerge w:val="continue"/>
            <w:shd w:val="clear" w:color="auto" w:fill="auto"/>
            <w:vAlign w:val="center"/>
          </w:tcPr>
          <w:p w14:paraId="2CB3B2C6">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569BC109">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5749362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5025F0A1">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4950FE00">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279015" cy="2202815"/>
                  <wp:effectExtent l="0" t="0" r="6985" b="698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39"/>
                          <a:stretch>
                            <a:fillRect/>
                          </a:stretch>
                        </pic:blipFill>
                        <pic:spPr>
                          <a:xfrm>
                            <a:off x="0" y="0"/>
                            <a:ext cx="2279015" cy="220281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506595" cy="2371725"/>
                  <wp:effectExtent l="0" t="0" r="825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0"/>
                          <a:stretch>
                            <a:fillRect/>
                          </a:stretch>
                        </pic:blipFill>
                        <pic:spPr>
                          <a:xfrm>
                            <a:off x="0" y="0"/>
                            <a:ext cx="4506595" cy="2371725"/>
                          </a:xfrm>
                          <a:prstGeom prst="rect">
                            <a:avLst/>
                          </a:prstGeom>
                          <a:noFill/>
                          <a:ln>
                            <a:noFill/>
                          </a:ln>
                        </pic:spPr>
                      </pic:pic>
                    </a:graphicData>
                  </a:graphic>
                </wp:inline>
              </w:drawing>
            </w:r>
          </w:p>
        </w:tc>
      </w:tr>
      <w:tr w14:paraId="6B98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64" w:type="dxa"/>
            <w:vMerge w:val="restart"/>
            <w:shd w:val="clear" w:color="auto" w:fill="auto"/>
            <w:vAlign w:val="center"/>
          </w:tcPr>
          <w:p w14:paraId="748097BB">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w:t>
            </w:r>
          </w:p>
        </w:tc>
        <w:tc>
          <w:tcPr>
            <w:tcW w:w="764" w:type="dxa"/>
            <w:vMerge w:val="restart"/>
            <w:shd w:val="clear" w:color="auto" w:fill="auto"/>
            <w:vAlign w:val="center"/>
          </w:tcPr>
          <w:p w14:paraId="3AF471B6">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功能服务桌2</w:t>
            </w:r>
          </w:p>
        </w:tc>
        <w:tc>
          <w:tcPr>
            <w:tcW w:w="1131" w:type="dxa"/>
            <w:shd w:val="clear" w:color="auto" w:fill="auto"/>
            <w:vAlign w:val="center"/>
          </w:tcPr>
          <w:p w14:paraId="06AE750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445" w:type="dxa"/>
            <w:gridSpan w:val="4"/>
            <w:shd w:val="clear" w:color="auto" w:fill="auto"/>
            <w:vAlign w:val="center"/>
          </w:tcPr>
          <w:p w14:paraId="38EF5B6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900*900*740MM</w:t>
            </w:r>
          </w:p>
        </w:tc>
        <w:tc>
          <w:tcPr>
            <w:tcW w:w="1080" w:type="dxa"/>
            <w:gridSpan w:val="6"/>
            <w:shd w:val="clear" w:color="auto" w:fill="auto"/>
            <w:vAlign w:val="center"/>
          </w:tcPr>
          <w:p w14:paraId="4DD6522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gridSpan w:val="5"/>
            <w:shd w:val="clear" w:color="auto" w:fill="auto"/>
            <w:vAlign w:val="center"/>
          </w:tcPr>
          <w:p w14:paraId="569BA0B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58张</w:t>
            </w:r>
          </w:p>
        </w:tc>
      </w:tr>
      <w:tr w14:paraId="32A5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1" w:hRule="atLeast"/>
        </w:trPr>
        <w:tc>
          <w:tcPr>
            <w:tcW w:w="764" w:type="dxa"/>
            <w:vMerge w:val="continue"/>
            <w:shd w:val="clear" w:color="auto" w:fill="auto"/>
            <w:vAlign w:val="center"/>
          </w:tcPr>
          <w:p w14:paraId="07D77D7A">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5B0973B2">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7A60033E">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109EEC7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351DAAC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2、桌面厚度25mm；</w:t>
            </w:r>
          </w:p>
          <w:p w14:paraId="3D27109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3、桌面采用橡胶木指接木；桌子框架需使用整根独料，不得使用拼接或指接工艺的木料；</w:t>
            </w:r>
          </w:p>
          <w:p w14:paraId="2DBBD97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7910EA4F">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2AA35345">
            <w:pPr>
              <w:keepNext w:val="0"/>
              <w:keepLines w:val="0"/>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6、下架：钢制下架，钢管φ65*1.5mm,通过除锈、除油、磷化等化学前处理后，表面高温静电喷塑</w:t>
            </w:r>
            <w:r>
              <w:rPr>
                <w:rFonts w:hint="eastAsia" w:cs="宋体"/>
                <w:sz w:val="21"/>
                <w:szCs w:val="21"/>
                <w:highlight w:val="none"/>
                <w:lang w:eastAsia="zh-CN"/>
              </w:rPr>
              <w:t>；</w:t>
            </w:r>
          </w:p>
          <w:p w14:paraId="5051781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kern w:val="0"/>
                <w:sz w:val="21"/>
                <w:szCs w:val="21"/>
                <w:highlight w:val="none"/>
              </w:rPr>
              <w:t>7、电源：桌沿两侧配置2X嵌入式电源（与木质部分同色），合金面板，3c认证，4个新国标五孔电源+4个USB充电，电源技术参数：2500W MAX, 10A MAX,250V~，阻燃PC材质,电源及网络走线隐藏不外露。</w:t>
            </w:r>
          </w:p>
        </w:tc>
      </w:tr>
      <w:tr w14:paraId="3778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764" w:type="dxa"/>
            <w:vMerge w:val="continue"/>
            <w:shd w:val="clear" w:color="auto" w:fill="auto"/>
            <w:vAlign w:val="center"/>
          </w:tcPr>
          <w:p w14:paraId="3E68CE1E">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409458FD">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6D32C960">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6E8495A6">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545E979D">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534285" cy="2178685"/>
                  <wp:effectExtent l="0" t="0" r="18415" b="1206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41"/>
                          <a:stretch>
                            <a:fillRect/>
                          </a:stretch>
                        </pic:blipFill>
                        <pic:spPr>
                          <a:xfrm>
                            <a:off x="0" y="0"/>
                            <a:ext cx="2534285" cy="217868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121785" cy="2715895"/>
                  <wp:effectExtent l="0" t="0" r="12065" b="825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2"/>
                          <a:stretch>
                            <a:fillRect/>
                          </a:stretch>
                        </pic:blipFill>
                        <pic:spPr>
                          <a:xfrm>
                            <a:off x="0" y="0"/>
                            <a:ext cx="4121785" cy="2715895"/>
                          </a:xfrm>
                          <a:prstGeom prst="rect">
                            <a:avLst/>
                          </a:prstGeom>
                          <a:noFill/>
                          <a:ln>
                            <a:noFill/>
                          </a:ln>
                        </pic:spPr>
                      </pic:pic>
                    </a:graphicData>
                  </a:graphic>
                </wp:inline>
              </w:drawing>
            </w:r>
          </w:p>
        </w:tc>
      </w:tr>
      <w:tr w14:paraId="11D4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64" w:type="dxa"/>
            <w:vMerge w:val="restart"/>
            <w:shd w:val="clear" w:color="auto" w:fill="auto"/>
            <w:vAlign w:val="center"/>
          </w:tcPr>
          <w:p w14:paraId="1713C36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3</w:t>
            </w:r>
          </w:p>
        </w:tc>
        <w:tc>
          <w:tcPr>
            <w:tcW w:w="764" w:type="dxa"/>
            <w:vMerge w:val="restart"/>
            <w:shd w:val="clear" w:color="auto" w:fill="auto"/>
            <w:vAlign w:val="center"/>
          </w:tcPr>
          <w:p w14:paraId="7E2C14F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功能服务沙发1</w:t>
            </w:r>
          </w:p>
        </w:tc>
        <w:tc>
          <w:tcPr>
            <w:tcW w:w="1131" w:type="dxa"/>
            <w:shd w:val="clear" w:color="auto" w:fill="auto"/>
            <w:vAlign w:val="center"/>
          </w:tcPr>
          <w:p w14:paraId="27D971D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62CDA50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1390*860*820MM</w:t>
            </w:r>
          </w:p>
        </w:tc>
        <w:tc>
          <w:tcPr>
            <w:tcW w:w="900" w:type="dxa"/>
            <w:gridSpan w:val="5"/>
            <w:shd w:val="clear" w:color="auto" w:fill="auto"/>
            <w:vAlign w:val="center"/>
          </w:tcPr>
          <w:p w14:paraId="5CCCE77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759" w:type="dxa"/>
            <w:gridSpan w:val="4"/>
            <w:shd w:val="clear" w:color="auto" w:fill="auto"/>
            <w:vAlign w:val="center"/>
          </w:tcPr>
          <w:p w14:paraId="2005A4D3">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17个</w:t>
            </w:r>
          </w:p>
        </w:tc>
      </w:tr>
      <w:tr w14:paraId="225C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764" w:type="dxa"/>
            <w:vMerge w:val="continue"/>
            <w:shd w:val="clear" w:color="auto" w:fill="auto"/>
            <w:vAlign w:val="center"/>
          </w:tcPr>
          <w:p w14:paraId="4DE9AF2C">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3D7ACA7C">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3636E6A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1046E07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138895F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238B54F8">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3、榫卯结构；橡胶木框架45*60mm，脚80*80mm，橡胶木框架和脚需使用整根独料，不得使用拼接或指接工艺的木料；</w:t>
            </w:r>
          </w:p>
          <w:p w14:paraId="58AF0DA5">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5EA9EB7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039F1421">
            <w:pPr>
              <w:keepNext w:val="0"/>
              <w:keepLines w:val="0"/>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6、面料：麻绒</w:t>
            </w:r>
            <w:r>
              <w:rPr>
                <w:rFonts w:hint="eastAsia" w:ascii="宋体" w:hAnsi="宋体" w:eastAsia="宋体" w:cs="宋体"/>
                <w:sz w:val="21"/>
                <w:szCs w:val="21"/>
                <w:highlight w:val="none"/>
                <w:lang w:eastAsia="zh-CN"/>
              </w:rPr>
              <w:t>；</w:t>
            </w:r>
          </w:p>
          <w:p w14:paraId="6978A06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7、海绵：32密度高回弹海绵</w:t>
            </w:r>
            <w:r>
              <w:rPr>
                <w:rFonts w:hint="eastAsia" w:ascii="宋体" w:hAnsi="宋体" w:eastAsia="宋体" w:cs="宋体"/>
                <w:sz w:val="21"/>
                <w:szCs w:val="21"/>
                <w:highlight w:val="none"/>
                <w:lang w:val="en-US" w:eastAsia="zh-CN"/>
              </w:rPr>
              <w:t>。</w:t>
            </w:r>
          </w:p>
        </w:tc>
      </w:tr>
      <w:tr w14:paraId="3B41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8" w:hRule="atLeast"/>
        </w:trPr>
        <w:tc>
          <w:tcPr>
            <w:tcW w:w="764" w:type="dxa"/>
            <w:vMerge w:val="continue"/>
            <w:shd w:val="clear" w:color="auto" w:fill="auto"/>
            <w:vAlign w:val="center"/>
          </w:tcPr>
          <w:p w14:paraId="06076611">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464535B0">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0B02819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1E4B6E2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027B2300">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572385" cy="2814955"/>
                  <wp:effectExtent l="0" t="0" r="18415" b="444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3"/>
                          <a:stretch>
                            <a:fillRect/>
                          </a:stretch>
                        </pic:blipFill>
                        <pic:spPr>
                          <a:xfrm>
                            <a:off x="0" y="0"/>
                            <a:ext cx="2572385" cy="281495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233545" cy="2540000"/>
                  <wp:effectExtent l="0" t="0" r="14605"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4"/>
                          <a:stretch>
                            <a:fillRect/>
                          </a:stretch>
                        </pic:blipFill>
                        <pic:spPr>
                          <a:xfrm>
                            <a:off x="0" y="0"/>
                            <a:ext cx="4233545" cy="2540000"/>
                          </a:xfrm>
                          <a:prstGeom prst="rect">
                            <a:avLst/>
                          </a:prstGeom>
                          <a:noFill/>
                          <a:ln>
                            <a:noFill/>
                          </a:ln>
                        </pic:spPr>
                      </pic:pic>
                    </a:graphicData>
                  </a:graphic>
                </wp:inline>
              </w:drawing>
            </w:r>
          </w:p>
        </w:tc>
      </w:tr>
      <w:tr w14:paraId="79B6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64" w:type="dxa"/>
            <w:vMerge w:val="restart"/>
            <w:shd w:val="clear" w:color="auto" w:fill="auto"/>
            <w:vAlign w:val="center"/>
          </w:tcPr>
          <w:p w14:paraId="67042CF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4</w:t>
            </w:r>
          </w:p>
        </w:tc>
        <w:tc>
          <w:tcPr>
            <w:tcW w:w="764" w:type="dxa"/>
            <w:vMerge w:val="restart"/>
            <w:shd w:val="clear" w:color="auto" w:fill="auto"/>
            <w:vAlign w:val="center"/>
          </w:tcPr>
          <w:p w14:paraId="1B63444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功能服务沙发2</w:t>
            </w:r>
          </w:p>
        </w:tc>
        <w:tc>
          <w:tcPr>
            <w:tcW w:w="1131" w:type="dxa"/>
            <w:shd w:val="clear" w:color="auto" w:fill="auto"/>
            <w:vAlign w:val="center"/>
          </w:tcPr>
          <w:p w14:paraId="60E775E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1905" w:type="dxa"/>
            <w:shd w:val="clear" w:color="auto" w:fill="auto"/>
            <w:vAlign w:val="center"/>
          </w:tcPr>
          <w:p w14:paraId="6FFE2587">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2280*860*820MM</w:t>
            </w:r>
          </w:p>
        </w:tc>
        <w:tc>
          <w:tcPr>
            <w:tcW w:w="1260" w:type="dxa"/>
            <w:gridSpan w:val="7"/>
            <w:shd w:val="clear" w:color="auto" w:fill="auto"/>
            <w:vAlign w:val="center"/>
          </w:tcPr>
          <w:p w14:paraId="44C8A8D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299" w:type="dxa"/>
            <w:gridSpan w:val="7"/>
            <w:shd w:val="clear" w:color="auto" w:fill="auto"/>
            <w:vAlign w:val="center"/>
          </w:tcPr>
          <w:p w14:paraId="5D9B6C81">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9个</w:t>
            </w:r>
          </w:p>
        </w:tc>
      </w:tr>
      <w:tr w14:paraId="33E5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764" w:type="dxa"/>
            <w:vMerge w:val="continue"/>
            <w:shd w:val="clear" w:color="auto" w:fill="auto"/>
            <w:vAlign w:val="center"/>
          </w:tcPr>
          <w:p w14:paraId="77F2E14A">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7F16A41A">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7248F64A">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4DA359B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21FE07D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7039D64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3、榫卯结构；橡胶木框架45*60mm，脚80*80mm，橡胶木框架和脚需使用整根独料，不得使用拼接或指接工艺的木料；</w:t>
            </w:r>
          </w:p>
          <w:p w14:paraId="6F4A33C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07060E4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032BFC68">
            <w:pPr>
              <w:keepNext w:val="0"/>
              <w:keepLines w:val="0"/>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6、面料：麻绒</w:t>
            </w:r>
            <w:r>
              <w:rPr>
                <w:rFonts w:hint="eastAsia" w:ascii="宋体" w:hAnsi="宋体" w:eastAsia="宋体" w:cs="宋体"/>
                <w:sz w:val="21"/>
                <w:szCs w:val="21"/>
                <w:highlight w:val="none"/>
                <w:lang w:eastAsia="zh-CN"/>
              </w:rPr>
              <w:t>；</w:t>
            </w:r>
          </w:p>
          <w:p w14:paraId="1700941C">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7、海绵：32密度高回弹海绵</w:t>
            </w:r>
            <w:r>
              <w:rPr>
                <w:rFonts w:hint="eastAsia" w:ascii="宋体" w:hAnsi="宋体" w:eastAsia="宋体" w:cs="宋体"/>
                <w:sz w:val="21"/>
                <w:szCs w:val="21"/>
                <w:highlight w:val="none"/>
                <w:lang w:val="en-US" w:eastAsia="zh-CN"/>
              </w:rPr>
              <w:t>。</w:t>
            </w:r>
          </w:p>
        </w:tc>
      </w:tr>
      <w:tr w14:paraId="0FE7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1" w:hRule="atLeast"/>
        </w:trPr>
        <w:tc>
          <w:tcPr>
            <w:tcW w:w="764" w:type="dxa"/>
            <w:vMerge w:val="continue"/>
            <w:shd w:val="clear" w:color="auto" w:fill="auto"/>
            <w:vAlign w:val="center"/>
          </w:tcPr>
          <w:p w14:paraId="59952C5A">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69F25CA1">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6C4C3EF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47601050">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0FF06B32">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974975" cy="3191510"/>
                  <wp:effectExtent l="0" t="0" r="15875" b="889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5"/>
                          <a:stretch>
                            <a:fillRect/>
                          </a:stretch>
                        </pic:blipFill>
                        <pic:spPr>
                          <a:xfrm>
                            <a:off x="0" y="0"/>
                            <a:ext cx="2974975" cy="319151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761740" cy="2791460"/>
                  <wp:effectExtent l="0" t="0" r="10160" b="889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6"/>
                          <a:stretch>
                            <a:fillRect/>
                          </a:stretch>
                        </pic:blipFill>
                        <pic:spPr>
                          <a:xfrm>
                            <a:off x="0" y="0"/>
                            <a:ext cx="3761740" cy="2791460"/>
                          </a:xfrm>
                          <a:prstGeom prst="rect">
                            <a:avLst/>
                          </a:prstGeom>
                          <a:noFill/>
                          <a:ln>
                            <a:noFill/>
                          </a:ln>
                        </pic:spPr>
                      </pic:pic>
                    </a:graphicData>
                  </a:graphic>
                </wp:inline>
              </w:drawing>
            </w:r>
          </w:p>
        </w:tc>
      </w:tr>
      <w:tr w14:paraId="1FB3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64" w:type="dxa"/>
            <w:vMerge w:val="restart"/>
            <w:shd w:val="clear" w:color="auto" w:fill="auto"/>
            <w:vAlign w:val="center"/>
          </w:tcPr>
          <w:p w14:paraId="6257C1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w:t>
            </w:r>
          </w:p>
        </w:tc>
        <w:tc>
          <w:tcPr>
            <w:tcW w:w="764" w:type="dxa"/>
            <w:vMerge w:val="restart"/>
            <w:shd w:val="clear" w:color="auto" w:fill="auto"/>
            <w:vAlign w:val="center"/>
          </w:tcPr>
          <w:p w14:paraId="65B2025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功能服务茶几</w:t>
            </w:r>
          </w:p>
        </w:tc>
        <w:tc>
          <w:tcPr>
            <w:tcW w:w="1131" w:type="dxa"/>
            <w:shd w:val="clear" w:color="auto" w:fill="auto"/>
            <w:vAlign w:val="center"/>
          </w:tcPr>
          <w:p w14:paraId="51577D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25" w:type="dxa"/>
            <w:gridSpan w:val="5"/>
            <w:shd w:val="clear" w:color="auto" w:fill="auto"/>
            <w:vAlign w:val="center"/>
          </w:tcPr>
          <w:p w14:paraId="2D66412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1200*800*390 MM</w:t>
            </w:r>
          </w:p>
        </w:tc>
        <w:tc>
          <w:tcPr>
            <w:tcW w:w="720" w:type="dxa"/>
            <w:gridSpan w:val="4"/>
            <w:shd w:val="clear" w:color="auto" w:fill="auto"/>
            <w:vAlign w:val="center"/>
          </w:tcPr>
          <w:p w14:paraId="55D21BE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119" w:type="dxa"/>
            <w:gridSpan w:val="6"/>
            <w:shd w:val="clear" w:color="auto" w:fill="auto"/>
            <w:vAlign w:val="center"/>
          </w:tcPr>
          <w:p w14:paraId="6F92D36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5个</w:t>
            </w:r>
          </w:p>
        </w:tc>
      </w:tr>
      <w:tr w14:paraId="1F3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764" w:type="dxa"/>
            <w:vMerge w:val="continue"/>
            <w:shd w:val="clear" w:color="auto" w:fill="auto"/>
            <w:vAlign w:val="center"/>
          </w:tcPr>
          <w:p w14:paraId="06885C2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4FEC15E6">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7A859D92">
            <w:pPr>
              <w:keepNext w:val="0"/>
              <w:keepLines w:val="0"/>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56FB2FC7">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6B0F8DAF">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571F3979">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3、榫卯结构；橡胶木框架30*50mm，脚50*50mm，橡胶木框架和脚需使用整根独料，不得使用拼接或指接工艺的木料；</w:t>
            </w:r>
          </w:p>
          <w:p w14:paraId="6AC1B9C4">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4、优质五金配件；</w:t>
            </w:r>
          </w:p>
          <w:p w14:paraId="3E7488C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4FCF347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r>
              <w:rPr>
                <w:rFonts w:hint="eastAsia" w:ascii="宋体" w:hAnsi="宋体" w:eastAsia="宋体" w:cs="宋体"/>
                <w:sz w:val="21"/>
                <w:szCs w:val="21"/>
                <w:highlight w:val="none"/>
                <w:lang w:val="en-US" w:eastAsia="zh-CN"/>
              </w:rPr>
              <w:t>。</w:t>
            </w:r>
          </w:p>
          <w:p w14:paraId="65B482EE">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p>
        </w:tc>
      </w:tr>
      <w:tr w14:paraId="4741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764" w:type="dxa"/>
            <w:vMerge w:val="continue"/>
            <w:shd w:val="clear" w:color="auto" w:fill="auto"/>
            <w:vAlign w:val="center"/>
          </w:tcPr>
          <w:p w14:paraId="72044323">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4EEF2D73">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48828E3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58B4CC57">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56E5C5C5">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232025" cy="1609090"/>
                  <wp:effectExtent l="0" t="0" r="15875" b="1016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47"/>
                          <a:stretch>
                            <a:fillRect/>
                          </a:stretch>
                        </pic:blipFill>
                        <pic:spPr>
                          <a:xfrm>
                            <a:off x="0" y="0"/>
                            <a:ext cx="2232025" cy="160909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576955" cy="1555750"/>
                  <wp:effectExtent l="0" t="0" r="4445" b="635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8"/>
                          <a:stretch>
                            <a:fillRect/>
                          </a:stretch>
                        </pic:blipFill>
                        <pic:spPr>
                          <a:xfrm>
                            <a:off x="0" y="0"/>
                            <a:ext cx="3576955" cy="1555750"/>
                          </a:xfrm>
                          <a:prstGeom prst="rect">
                            <a:avLst/>
                          </a:prstGeom>
                          <a:noFill/>
                          <a:ln>
                            <a:noFill/>
                          </a:ln>
                        </pic:spPr>
                      </pic:pic>
                    </a:graphicData>
                  </a:graphic>
                </wp:inline>
              </w:drawing>
            </w:r>
          </w:p>
        </w:tc>
      </w:tr>
      <w:tr w14:paraId="7A5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0185B689">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6</w:t>
            </w:r>
          </w:p>
        </w:tc>
        <w:tc>
          <w:tcPr>
            <w:tcW w:w="764" w:type="dxa"/>
            <w:vMerge w:val="restart"/>
            <w:shd w:val="clear" w:color="auto" w:fill="auto"/>
            <w:vAlign w:val="center"/>
          </w:tcPr>
          <w:p w14:paraId="18D5CF9D">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功能服务边几</w:t>
            </w:r>
          </w:p>
        </w:tc>
        <w:tc>
          <w:tcPr>
            <w:tcW w:w="1131" w:type="dxa"/>
            <w:shd w:val="clear" w:color="auto" w:fill="auto"/>
            <w:vAlign w:val="center"/>
          </w:tcPr>
          <w:p w14:paraId="1258EE9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265" w:type="dxa"/>
            <w:gridSpan w:val="3"/>
            <w:shd w:val="clear" w:color="auto" w:fill="auto"/>
            <w:vAlign w:val="center"/>
          </w:tcPr>
          <w:p w14:paraId="1B43E2B2">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600*600*500 MM</w:t>
            </w:r>
          </w:p>
        </w:tc>
        <w:tc>
          <w:tcPr>
            <w:tcW w:w="1080" w:type="dxa"/>
            <w:gridSpan w:val="6"/>
            <w:shd w:val="clear" w:color="auto" w:fill="auto"/>
            <w:vAlign w:val="center"/>
          </w:tcPr>
          <w:p w14:paraId="47F9065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119" w:type="dxa"/>
            <w:gridSpan w:val="6"/>
            <w:shd w:val="clear" w:color="auto" w:fill="auto"/>
            <w:vAlign w:val="center"/>
          </w:tcPr>
          <w:p w14:paraId="4D9C3360">
            <w:pPr>
              <w:keepNext w:val="0"/>
              <w:keepLines w:val="0"/>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17个</w:t>
            </w:r>
          </w:p>
        </w:tc>
      </w:tr>
      <w:tr w14:paraId="08E1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764" w:type="dxa"/>
            <w:vMerge w:val="continue"/>
            <w:shd w:val="clear" w:color="auto" w:fill="auto"/>
            <w:vAlign w:val="center"/>
          </w:tcPr>
          <w:p w14:paraId="76449D04">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2C79C677">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417CED7B">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303BB3C0">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07E96A11">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5E9D3926">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3、榫卯结构；橡胶木框架30*50mm，脚45*45mm，橡胶木框架和脚需使用整根独料，不得使用拼接或指接工艺的木料；</w:t>
            </w:r>
          </w:p>
          <w:p w14:paraId="53CE288F">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4、优质五金配件；</w:t>
            </w:r>
          </w:p>
          <w:p w14:paraId="7DEA153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164D42AF">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5、油漆工艺：“五道底漆三道面漆”，表面硬度达2H；在恒温、恒湿高度防尘的面漆房喷涂面漆</w:t>
            </w:r>
            <w:r>
              <w:rPr>
                <w:rFonts w:hint="eastAsia" w:ascii="宋体" w:hAnsi="宋体" w:eastAsia="宋体" w:cs="宋体"/>
                <w:sz w:val="21"/>
                <w:szCs w:val="21"/>
                <w:highlight w:val="none"/>
                <w:lang w:val="en-US" w:eastAsia="zh-CN"/>
              </w:rPr>
              <w:t>。</w:t>
            </w:r>
          </w:p>
          <w:p w14:paraId="31A373E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lang w:val="en-US" w:eastAsia="zh-CN"/>
              </w:rPr>
            </w:pPr>
          </w:p>
        </w:tc>
      </w:tr>
      <w:tr w14:paraId="04E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64" w:type="dxa"/>
            <w:vMerge w:val="continue"/>
            <w:shd w:val="clear" w:color="auto" w:fill="auto"/>
            <w:vAlign w:val="center"/>
          </w:tcPr>
          <w:p w14:paraId="276FB58F">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1C23A6A5">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52290F3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7399471F">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6D147C3E">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1946910" cy="1259840"/>
                  <wp:effectExtent l="0" t="0" r="15240" b="16510"/>
                  <wp:docPr id="70" name="ID_5B7A5D311D8345E29AE06D085B0BE317" descr="功能服务边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5B7A5D311D8345E29AE06D085B0BE317" descr="功能服务边几"/>
                          <pic:cNvPicPr>
                            <a:picLocks noChangeAspect="1"/>
                          </pic:cNvPicPr>
                        </pic:nvPicPr>
                        <pic:blipFill>
                          <a:blip r:embed="rId49"/>
                          <a:stretch>
                            <a:fillRect/>
                          </a:stretch>
                        </pic:blipFill>
                        <pic:spPr>
                          <a:xfrm>
                            <a:off x="0" y="0"/>
                            <a:ext cx="1946910" cy="125984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562985" cy="1170305"/>
                  <wp:effectExtent l="0" t="0" r="18415" b="1079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0"/>
                          <a:stretch>
                            <a:fillRect/>
                          </a:stretch>
                        </pic:blipFill>
                        <pic:spPr>
                          <a:xfrm>
                            <a:off x="0" y="0"/>
                            <a:ext cx="3562985" cy="1170305"/>
                          </a:xfrm>
                          <a:prstGeom prst="rect">
                            <a:avLst/>
                          </a:prstGeom>
                          <a:noFill/>
                          <a:ln>
                            <a:noFill/>
                          </a:ln>
                        </pic:spPr>
                      </pic:pic>
                    </a:graphicData>
                  </a:graphic>
                </wp:inline>
              </w:drawing>
            </w:r>
          </w:p>
        </w:tc>
      </w:tr>
      <w:tr w14:paraId="7DA9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32569535">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7</w:t>
            </w:r>
          </w:p>
        </w:tc>
        <w:tc>
          <w:tcPr>
            <w:tcW w:w="764" w:type="dxa"/>
            <w:vMerge w:val="restart"/>
            <w:shd w:val="clear" w:color="auto" w:fill="auto"/>
            <w:vAlign w:val="center"/>
          </w:tcPr>
          <w:p w14:paraId="4B92CF35">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功能服务柜1</w:t>
            </w:r>
          </w:p>
        </w:tc>
        <w:tc>
          <w:tcPr>
            <w:tcW w:w="1131" w:type="dxa"/>
            <w:shd w:val="clear" w:color="auto" w:fill="auto"/>
            <w:vAlign w:val="center"/>
          </w:tcPr>
          <w:p w14:paraId="29F7358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265" w:type="dxa"/>
            <w:gridSpan w:val="3"/>
            <w:shd w:val="clear" w:color="auto" w:fill="auto"/>
            <w:vAlign w:val="center"/>
          </w:tcPr>
          <w:p w14:paraId="648DF8F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800*400*2116 MM</w:t>
            </w:r>
          </w:p>
        </w:tc>
        <w:tc>
          <w:tcPr>
            <w:tcW w:w="1260" w:type="dxa"/>
            <w:gridSpan w:val="7"/>
            <w:shd w:val="clear" w:color="auto" w:fill="auto"/>
            <w:vAlign w:val="center"/>
          </w:tcPr>
          <w:p w14:paraId="14E1F43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gridSpan w:val="5"/>
            <w:shd w:val="clear" w:color="auto" w:fill="auto"/>
            <w:vAlign w:val="center"/>
          </w:tcPr>
          <w:p w14:paraId="5126B734">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39个</w:t>
            </w:r>
          </w:p>
        </w:tc>
      </w:tr>
      <w:tr w14:paraId="2E66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764" w:type="dxa"/>
            <w:vMerge w:val="continue"/>
            <w:shd w:val="clear" w:color="auto" w:fill="auto"/>
            <w:vAlign w:val="center"/>
          </w:tcPr>
          <w:p w14:paraId="288CF80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2D045E65">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7C84BE97">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440883B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4A1AD91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2BE7E8F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3、榫卯结构；橡胶木框架和脚需使用整根独料，不得使用拼接或指接工艺的木料；</w:t>
            </w:r>
          </w:p>
          <w:p w14:paraId="0D2434A8">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、优质五金配件；</w:t>
            </w:r>
          </w:p>
          <w:p w14:paraId="0D480153">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0297E48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、油漆工艺：“五道底漆三道面漆”，表面硬度达2H；在恒温、恒湿高度防尘的面漆房喷涂面漆</w:t>
            </w:r>
            <w:r>
              <w:rPr>
                <w:rFonts w:hint="eastAsia" w:ascii="宋体" w:hAnsi="宋体" w:eastAsia="宋体" w:cs="宋体"/>
                <w:sz w:val="21"/>
                <w:szCs w:val="21"/>
                <w:highlight w:val="none"/>
                <w:lang w:val="en-US" w:eastAsia="zh-CN"/>
              </w:rPr>
              <w:t>。</w:t>
            </w:r>
          </w:p>
        </w:tc>
      </w:tr>
      <w:tr w14:paraId="2116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9" w:hRule="atLeast"/>
        </w:trPr>
        <w:tc>
          <w:tcPr>
            <w:tcW w:w="764" w:type="dxa"/>
            <w:vMerge w:val="continue"/>
            <w:shd w:val="clear" w:color="auto" w:fill="auto"/>
            <w:vAlign w:val="center"/>
          </w:tcPr>
          <w:p w14:paraId="517C2C28">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49610E40">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39A5E3D">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75D99F4">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4E1953C6">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1333500" cy="1186815"/>
                  <wp:effectExtent l="0" t="0" r="0" b="1333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1"/>
                          <a:stretch>
                            <a:fillRect/>
                          </a:stretch>
                        </pic:blipFill>
                        <pic:spPr>
                          <a:xfrm>
                            <a:off x="0" y="0"/>
                            <a:ext cx="1333500" cy="1186815"/>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1314450" cy="1214120"/>
                  <wp:effectExtent l="0" t="0" r="0" b="5080"/>
                  <wp:docPr id="73" name="ID_EE5B78D344214403A8A14F981B7A1C66" descr="功能服务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EE5B78D344214403A8A14F981B7A1C66" descr="功能服务柜"/>
                          <pic:cNvPicPr>
                            <a:picLocks noChangeAspect="1"/>
                          </pic:cNvPicPr>
                        </pic:nvPicPr>
                        <pic:blipFill>
                          <a:blip r:embed="rId52"/>
                          <a:stretch>
                            <a:fillRect/>
                          </a:stretch>
                        </pic:blipFill>
                        <pic:spPr>
                          <a:xfrm>
                            <a:off x="0" y="0"/>
                            <a:ext cx="1314450" cy="1214120"/>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3523615" cy="1548765"/>
                  <wp:effectExtent l="0" t="0" r="635" b="1333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3"/>
                          <a:stretch>
                            <a:fillRect/>
                          </a:stretch>
                        </pic:blipFill>
                        <pic:spPr>
                          <a:xfrm>
                            <a:off x="0" y="0"/>
                            <a:ext cx="3523615" cy="1548765"/>
                          </a:xfrm>
                          <a:prstGeom prst="rect">
                            <a:avLst/>
                          </a:prstGeom>
                          <a:noFill/>
                          <a:ln>
                            <a:noFill/>
                          </a:ln>
                        </pic:spPr>
                      </pic:pic>
                    </a:graphicData>
                  </a:graphic>
                </wp:inline>
              </w:drawing>
            </w:r>
          </w:p>
          <w:p w14:paraId="41685A5F">
            <w:pPr>
              <w:keepNext w:val="0"/>
              <w:keepLines w:val="0"/>
              <w:suppressLineNumbers w:val="0"/>
              <w:spacing w:before="0" w:beforeAutospacing="0" w:after="0" w:afterAutospacing="0" w:line="240" w:lineRule="auto"/>
              <w:ind w:left="0" w:right="0" w:firstLine="420"/>
              <w:rPr>
                <w:rFonts w:hint="default" w:ascii="宋体" w:hAnsi="宋体" w:eastAsia="宋体" w:cs="宋体"/>
                <w:sz w:val="21"/>
                <w:szCs w:val="21"/>
                <w:highlight w:val="none"/>
              </w:rPr>
            </w:pPr>
            <w:r>
              <w:rPr>
                <w:rFonts w:hint="eastAsia" w:ascii="宋体" w:hAnsi="宋体" w:eastAsia="宋体" w:cs="宋体"/>
                <w:sz w:val="21"/>
                <w:szCs w:val="21"/>
                <w:highlight w:val="none"/>
              </w:rPr>
              <w:t xml:space="preserve">功能服务柜1                 功能服务柜组合          </w:t>
            </w:r>
          </w:p>
        </w:tc>
      </w:tr>
      <w:tr w14:paraId="6C99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64" w:type="dxa"/>
            <w:vMerge w:val="restart"/>
            <w:shd w:val="clear" w:color="auto" w:fill="auto"/>
            <w:vAlign w:val="center"/>
          </w:tcPr>
          <w:p w14:paraId="603E20F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8</w:t>
            </w:r>
          </w:p>
        </w:tc>
        <w:tc>
          <w:tcPr>
            <w:tcW w:w="764" w:type="dxa"/>
            <w:vMerge w:val="restart"/>
            <w:shd w:val="clear" w:color="auto" w:fill="auto"/>
            <w:vAlign w:val="center"/>
          </w:tcPr>
          <w:p w14:paraId="7D271CC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功能服务椅</w:t>
            </w:r>
          </w:p>
        </w:tc>
        <w:tc>
          <w:tcPr>
            <w:tcW w:w="1131" w:type="dxa"/>
            <w:shd w:val="clear" w:color="auto" w:fill="auto"/>
            <w:vAlign w:val="center"/>
          </w:tcPr>
          <w:p w14:paraId="7049C65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0E005DD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590*600*860MM</w:t>
            </w:r>
          </w:p>
        </w:tc>
        <w:tc>
          <w:tcPr>
            <w:tcW w:w="1440" w:type="dxa"/>
            <w:gridSpan w:val="8"/>
            <w:shd w:val="clear" w:color="auto" w:fill="auto"/>
            <w:vAlign w:val="center"/>
          </w:tcPr>
          <w:p w14:paraId="3450E90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219" w:type="dxa"/>
            <w:shd w:val="clear" w:color="auto" w:fill="auto"/>
            <w:vAlign w:val="center"/>
          </w:tcPr>
          <w:p w14:paraId="20A1F30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114个</w:t>
            </w:r>
          </w:p>
        </w:tc>
      </w:tr>
      <w:tr w14:paraId="324F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764" w:type="dxa"/>
            <w:vMerge w:val="continue"/>
            <w:shd w:val="clear" w:color="auto" w:fill="auto"/>
            <w:vAlign w:val="center"/>
          </w:tcPr>
          <w:p w14:paraId="4AAD3BD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1D4EFA2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1E40E6E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1AC29E1D">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0E2E13C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2、椅子坐板采用橡胶木指接板，厚度18mm；</w:t>
            </w:r>
          </w:p>
          <w:p w14:paraId="16555AF9">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3、榫卯结构；椅子框架，特别是椅子前、后脚均需使用整根独料，不得使用拼接或指接工艺的木料（折弯处可榫卯拼接），椅脚40*60MM；</w:t>
            </w:r>
          </w:p>
          <w:p w14:paraId="3F4A453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4、油漆：木件表面环保木器漆，总铅含量≤10mg/kg、可溶性重金属含量（镉、铬、汞)未检出。苯、甲苯、二甲苯（含乙苯）未检出，五底三面工艺，表面硬度达2H；</w:t>
            </w:r>
          </w:p>
          <w:p w14:paraId="79F21899">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rPr>
              <w:t>5、</w:t>
            </w:r>
            <w:r>
              <w:rPr>
                <w:rFonts w:hint="eastAsia" w:ascii="宋体" w:hAnsi="宋体" w:eastAsia="宋体" w:cs="宋体"/>
                <w:kern w:val="0"/>
                <w:sz w:val="21"/>
                <w:szCs w:val="21"/>
                <w:highlight w:val="none"/>
              </w:rPr>
              <w:t>座椅配有可拆卸坐垫，绑带固定；坐垫表面优质麻绒，填充采用高密度高回弹裁切海绵,具有良好的抗震性、柔软性,抗撕拉</w:t>
            </w:r>
            <w:r>
              <w:rPr>
                <w:rFonts w:hint="eastAsia" w:cs="宋体"/>
                <w:kern w:val="0"/>
                <w:sz w:val="21"/>
                <w:szCs w:val="21"/>
                <w:highlight w:val="none"/>
                <w:lang w:eastAsia="zh-CN"/>
              </w:rPr>
              <w:t>；</w:t>
            </w:r>
          </w:p>
          <w:p w14:paraId="0A612514">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kern w:val="0"/>
                <w:sz w:val="21"/>
                <w:szCs w:val="21"/>
                <w:highlight w:val="none"/>
              </w:rPr>
              <w:t>6、椅背阴刻湖州学院logo，直径6cm。</w:t>
            </w:r>
          </w:p>
        </w:tc>
      </w:tr>
      <w:tr w14:paraId="0AAD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764" w:type="dxa"/>
            <w:vMerge w:val="continue"/>
            <w:shd w:val="clear" w:color="auto" w:fill="auto"/>
            <w:vAlign w:val="center"/>
          </w:tcPr>
          <w:p w14:paraId="579506B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06EB10FF">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50F9C14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03EC6E5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1D944B4B">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1544955" cy="1394460"/>
                  <wp:effectExtent l="0" t="0" r="17145" b="15240"/>
                  <wp:docPr id="75" name="图片 61" descr="扶手椅简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扶手椅简化"/>
                          <pic:cNvPicPr>
                            <a:picLocks noChangeAspect="1"/>
                          </pic:cNvPicPr>
                        </pic:nvPicPr>
                        <pic:blipFill>
                          <a:blip r:embed="rId54"/>
                          <a:stretch>
                            <a:fillRect/>
                          </a:stretch>
                        </pic:blipFill>
                        <pic:spPr>
                          <a:xfrm>
                            <a:off x="0" y="0"/>
                            <a:ext cx="1544955" cy="1394460"/>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4270375" cy="1596390"/>
                  <wp:effectExtent l="0" t="0" r="15875" b="381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55"/>
                          <a:stretch>
                            <a:fillRect/>
                          </a:stretch>
                        </pic:blipFill>
                        <pic:spPr>
                          <a:xfrm>
                            <a:off x="0" y="0"/>
                            <a:ext cx="4270375" cy="1596390"/>
                          </a:xfrm>
                          <a:prstGeom prst="rect">
                            <a:avLst/>
                          </a:prstGeom>
                          <a:noFill/>
                          <a:ln>
                            <a:noFill/>
                          </a:ln>
                        </pic:spPr>
                      </pic:pic>
                    </a:graphicData>
                  </a:graphic>
                </wp:inline>
              </w:drawing>
            </w:r>
          </w:p>
        </w:tc>
      </w:tr>
      <w:tr w14:paraId="4F7A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64" w:type="dxa"/>
            <w:vMerge w:val="restart"/>
            <w:shd w:val="clear" w:color="auto" w:fill="auto"/>
            <w:vAlign w:val="center"/>
          </w:tcPr>
          <w:p w14:paraId="6FC96F1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9</w:t>
            </w:r>
          </w:p>
        </w:tc>
        <w:tc>
          <w:tcPr>
            <w:tcW w:w="764" w:type="dxa"/>
            <w:vMerge w:val="restart"/>
            <w:shd w:val="clear" w:color="auto" w:fill="auto"/>
            <w:vAlign w:val="center"/>
          </w:tcPr>
          <w:p w14:paraId="449D114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功能服务长桌</w:t>
            </w:r>
          </w:p>
        </w:tc>
        <w:tc>
          <w:tcPr>
            <w:tcW w:w="1131" w:type="dxa"/>
            <w:shd w:val="clear" w:color="auto" w:fill="auto"/>
            <w:vAlign w:val="center"/>
          </w:tcPr>
          <w:p w14:paraId="30F1609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474DAEC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6000*1500*750 MM</w:t>
            </w:r>
          </w:p>
        </w:tc>
        <w:tc>
          <w:tcPr>
            <w:tcW w:w="1440" w:type="dxa"/>
            <w:gridSpan w:val="8"/>
            <w:shd w:val="clear" w:color="auto" w:fill="auto"/>
            <w:vAlign w:val="center"/>
          </w:tcPr>
          <w:p w14:paraId="18BA184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219" w:type="dxa"/>
            <w:shd w:val="clear" w:color="auto" w:fill="auto"/>
            <w:vAlign w:val="center"/>
          </w:tcPr>
          <w:p w14:paraId="4B3C62AD">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1只</w:t>
            </w:r>
          </w:p>
        </w:tc>
      </w:tr>
      <w:tr w14:paraId="0263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764" w:type="dxa"/>
            <w:vMerge w:val="continue"/>
            <w:shd w:val="clear" w:color="auto" w:fill="auto"/>
            <w:vAlign w:val="center"/>
          </w:tcPr>
          <w:p w14:paraId="173EA073">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23C30DDF">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77FABA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vAlign w:val="center"/>
          </w:tcPr>
          <w:p w14:paraId="6BC4D32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6376FFB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2、面板采用橡胶木指接板，厚度50mm；</w:t>
            </w:r>
          </w:p>
          <w:p w14:paraId="1F8F5640">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、下架：钢制下架，钢管φ80*1.5mm，通过除锈、除油、磷化等化学前处理后，表面高温静电喷塑</w:t>
            </w:r>
            <w:r>
              <w:rPr>
                <w:rFonts w:hint="eastAsia" w:ascii="宋体" w:hAnsi="宋体" w:eastAsia="宋体" w:cs="宋体"/>
                <w:kern w:val="0"/>
                <w:sz w:val="21"/>
                <w:szCs w:val="21"/>
                <w:highlight w:val="none"/>
                <w:lang w:eastAsia="zh-CN"/>
              </w:rPr>
              <w:t>；</w:t>
            </w:r>
          </w:p>
          <w:p w14:paraId="62DCF97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577A71D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5B64AA0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kern w:val="0"/>
                <w:sz w:val="21"/>
                <w:szCs w:val="21"/>
                <w:highlight w:val="none"/>
              </w:rPr>
              <w:t>电源：3X翻盖式桌面插座，合金面板，3c认证，6个</w:t>
            </w:r>
            <w:r>
              <w:rPr>
                <w:rFonts w:hint="eastAsia" w:ascii="宋体" w:hAnsi="宋体" w:eastAsia="宋体" w:cs="宋体"/>
                <w:sz w:val="21"/>
                <w:szCs w:val="21"/>
                <w:highlight w:val="none"/>
              </w:rPr>
              <w:t>新国标五孔</w:t>
            </w:r>
            <w:r>
              <w:rPr>
                <w:rFonts w:hint="eastAsia" w:ascii="宋体" w:hAnsi="宋体" w:eastAsia="宋体" w:cs="宋体"/>
                <w:kern w:val="0"/>
                <w:sz w:val="21"/>
                <w:szCs w:val="21"/>
                <w:highlight w:val="none"/>
              </w:rPr>
              <w:t>电源+3个网口+6个USB充电，电源技术参数：2500W MAX, 10A MAX,250V~，阻燃PC材质,电源及网络走线隐藏不外露。</w:t>
            </w:r>
          </w:p>
        </w:tc>
      </w:tr>
      <w:tr w14:paraId="1566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8" w:hRule="atLeast"/>
        </w:trPr>
        <w:tc>
          <w:tcPr>
            <w:tcW w:w="764" w:type="dxa"/>
            <w:vMerge w:val="continue"/>
            <w:shd w:val="clear" w:color="auto" w:fill="auto"/>
            <w:vAlign w:val="center"/>
          </w:tcPr>
          <w:p w14:paraId="74CAFFB9">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7586E7CE">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51736A9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53E1E6D1">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66A2A029">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245995" cy="1751330"/>
                  <wp:effectExtent l="0" t="0" r="1905" b="127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56"/>
                          <a:stretch>
                            <a:fillRect/>
                          </a:stretch>
                        </pic:blipFill>
                        <pic:spPr>
                          <a:xfrm>
                            <a:off x="0" y="0"/>
                            <a:ext cx="2245995" cy="175133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039870" cy="1875790"/>
                  <wp:effectExtent l="0" t="0" r="17780" b="1016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7"/>
                          <a:stretch>
                            <a:fillRect/>
                          </a:stretch>
                        </pic:blipFill>
                        <pic:spPr>
                          <a:xfrm>
                            <a:off x="0" y="0"/>
                            <a:ext cx="4039870" cy="1875790"/>
                          </a:xfrm>
                          <a:prstGeom prst="rect">
                            <a:avLst/>
                          </a:prstGeom>
                          <a:noFill/>
                          <a:ln>
                            <a:noFill/>
                          </a:ln>
                        </pic:spPr>
                      </pic:pic>
                    </a:graphicData>
                  </a:graphic>
                </wp:inline>
              </w:drawing>
            </w:r>
          </w:p>
        </w:tc>
      </w:tr>
      <w:tr w14:paraId="2579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64" w:type="dxa"/>
            <w:vMerge w:val="restart"/>
            <w:shd w:val="clear" w:color="auto" w:fill="auto"/>
            <w:vAlign w:val="center"/>
          </w:tcPr>
          <w:p w14:paraId="3DCC72EC">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10</w:t>
            </w:r>
          </w:p>
        </w:tc>
        <w:tc>
          <w:tcPr>
            <w:tcW w:w="764" w:type="dxa"/>
            <w:vMerge w:val="restart"/>
            <w:shd w:val="clear" w:color="auto" w:fill="auto"/>
            <w:vAlign w:val="center"/>
          </w:tcPr>
          <w:p w14:paraId="09CA7A0B">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功能服务椅子2</w:t>
            </w:r>
          </w:p>
        </w:tc>
        <w:tc>
          <w:tcPr>
            <w:tcW w:w="1131" w:type="dxa"/>
            <w:shd w:val="clear" w:color="auto" w:fill="auto"/>
            <w:vAlign w:val="center"/>
          </w:tcPr>
          <w:p w14:paraId="4895DFE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28EC894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640*635*900MM</w:t>
            </w:r>
          </w:p>
        </w:tc>
        <w:tc>
          <w:tcPr>
            <w:tcW w:w="1440" w:type="dxa"/>
            <w:gridSpan w:val="8"/>
            <w:shd w:val="clear" w:color="auto" w:fill="auto"/>
            <w:vAlign w:val="center"/>
          </w:tcPr>
          <w:p w14:paraId="6854F96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219" w:type="dxa"/>
            <w:shd w:val="clear" w:color="auto" w:fill="auto"/>
            <w:vAlign w:val="center"/>
          </w:tcPr>
          <w:p w14:paraId="3402DC4B">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42个</w:t>
            </w:r>
          </w:p>
        </w:tc>
      </w:tr>
      <w:tr w14:paraId="43B7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64" w:type="dxa"/>
            <w:vMerge w:val="continue"/>
            <w:shd w:val="clear" w:color="auto" w:fill="auto"/>
            <w:vAlign w:val="center"/>
          </w:tcPr>
          <w:p w14:paraId="10E6EE78">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6048597A">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2077AE6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vAlign w:val="center"/>
          </w:tcPr>
          <w:p w14:paraId="74B1711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1、框体：多层板贴胡桃木皮，通过高温脱脂干燥热处理，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材质稳定、不变形，</w:t>
            </w:r>
          </w:p>
          <w:p w14:paraId="7555CA35">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2、表面环保油漆，麻绒背框</w:t>
            </w:r>
            <w:r>
              <w:rPr>
                <w:rFonts w:hint="eastAsia" w:cs="宋体"/>
                <w:sz w:val="21"/>
                <w:szCs w:val="21"/>
                <w:highlight w:val="none"/>
                <w:lang w:eastAsia="zh-CN"/>
              </w:rPr>
              <w:t>；</w:t>
            </w:r>
          </w:p>
          <w:p w14:paraId="4D4AF3B8">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3、椅座：坐垫原生海棉</w:t>
            </w:r>
            <w:r>
              <w:rPr>
                <w:rFonts w:hint="eastAsia" w:cs="宋体"/>
                <w:sz w:val="21"/>
                <w:szCs w:val="21"/>
                <w:highlight w:val="none"/>
                <w:lang w:eastAsia="zh-CN"/>
              </w:rPr>
              <w:t>；</w:t>
            </w:r>
          </w:p>
          <w:p w14:paraId="1C399F6B">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4、椅脚：喷塑钢制弓形脚</w:t>
            </w:r>
            <w:r>
              <w:rPr>
                <w:rFonts w:hint="eastAsia" w:cs="宋体"/>
                <w:sz w:val="21"/>
                <w:szCs w:val="21"/>
                <w:highlight w:val="none"/>
                <w:lang w:eastAsia="zh-CN"/>
              </w:rPr>
              <w:t>。</w:t>
            </w:r>
          </w:p>
        </w:tc>
      </w:tr>
      <w:tr w14:paraId="7B24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7" w:hRule="atLeast"/>
        </w:trPr>
        <w:tc>
          <w:tcPr>
            <w:tcW w:w="764" w:type="dxa"/>
            <w:vMerge w:val="continue"/>
            <w:shd w:val="clear" w:color="auto" w:fill="auto"/>
            <w:vAlign w:val="center"/>
          </w:tcPr>
          <w:p w14:paraId="1AA3F555">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73C5D1E9">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5883936B">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效果要求</w:t>
            </w:r>
          </w:p>
        </w:tc>
        <w:tc>
          <w:tcPr>
            <w:tcW w:w="12464" w:type="dxa"/>
            <w:gridSpan w:val="15"/>
            <w:shd w:val="clear" w:color="auto" w:fill="auto"/>
          </w:tcPr>
          <w:p w14:paraId="70FF3CF6">
            <w:pPr>
              <w:keepNext w:val="0"/>
              <w:keepLines w:val="0"/>
              <w:suppressLineNumbers w:val="0"/>
              <w:spacing w:before="0" w:beforeAutospacing="0" w:after="0" w:afterAutospacing="0"/>
              <w:ind w:left="0" w:right="0" w:firstLine="420"/>
              <w:rPr>
                <w:rFonts w:hint="default"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2106295" cy="2036445"/>
                  <wp:effectExtent l="0" t="0" r="8255" b="1905"/>
                  <wp:docPr id="79" name="ID_AD800F7CCD3842F49AA52B72E07BEF4B" descr="功能服务椅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AD800F7CCD3842F49AA52B72E07BEF4B" descr="功能服务椅子2"/>
                          <pic:cNvPicPr>
                            <a:picLocks noChangeAspect="1"/>
                          </pic:cNvPicPr>
                        </pic:nvPicPr>
                        <pic:blipFill>
                          <a:blip r:embed="rId58"/>
                          <a:stretch>
                            <a:fillRect/>
                          </a:stretch>
                        </pic:blipFill>
                        <pic:spPr>
                          <a:xfrm>
                            <a:off x="0" y="0"/>
                            <a:ext cx="2106295" cy="2036445"/>
                          </a:xfrm>
                          <a:prstGeom prst="rect">
                            <a:avLst/>
                          </a:prstGeom>
                          <a:noFill/>
                          <a:ln>
                            <a:noFill/>
                          </a:ln>
                        </pic:spPr>
                      </pic:pic>
                    </a:graphicData>
                  </a:graphic>
                </wp:inline>
              </w:drawing>
            </w:r>
          </w:p>
        </w:tc>
      </w:tr>
      <w:tr w14:paraId="3853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64" w:type="dxa"/>
            <w:vMerge w:val="restart"/>
            <w:shd w:val="clear" w:color="auto" w:fill="auto"/>
            <w:vAlign w:val="center"/>
          </w:tcPr>
          <w:p w14:paraId="4FCE225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11</w:t>
            </w:r>
          </w:p>
        </w:tc>
        <w:tc>
          <w:tcPr>
            <w:tcW w:w="764" w:type="dxa"/>
            <w:vMerge w:val="restart"/>
            <w:shd w:val="clear" w:color="auto" w:fill="auto"/>
            <w:vAlign w:val="center"/>
          </w:tcPr>
          <w:p w14:paraId="2A03D38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咨询服务空间工作位（双人）</w:t>
            </w:r>
          </w:p>
        </w:tc>
        <w:tc>
          <w:tcPr>
            <w:tcW w:w="1131" w:type="dxa"/>
            <w:shd w:val="clear" w:color="auto" w:fill="auto"/>
            <w:vAlign w:val="center"/>
          </w:tcPr>
          <w:p w14:paraId="0E3AC40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4F43800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1380*2130*1250MM</w:t>
            </w:r>
          </w:p>
        </w:tc>
        <w:tc>
          <w:tcPr>
            <w:tcW w:w="1260" w:type="dxa"/>
            <w:gridSpan w:val="7"/>
            <w:shd w:val="clear" w:color="auto" w:fill="auto"/>
            <w:vAlign w:val="center"/>
          </w:tcPr>
          <w:p w14:paraId="7878517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399" w:type="dxa"/>
            <w:gridSpan w:val="2"/>
            <w:shd w:val="clear" w:color="auto" w:fill="auto"/>
            <w:vAlign w:val="center"/>
          </w:tcPr>
          <w:p w14:paraId="365ED2F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17套</w:t>
            </w:r>
          </w:p>
        </w:tc>
      </w:tr>
      <w:tr w14:paraId="7BB9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trPr>
        <w:tc>
          <w:tcPr>
            <w:tcW w:w="764" w:type="dxa"/>
            <w:vMerge w:val="continue"/>
            <w:shd w:val="clear" w:color="auto" w:fill="auto"/>
            <w:vAlign w:val="center"/>
          </w:tcPr>
          <w:p w14:paraId="3EBDF189">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321559EB">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0DE29412">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7D6388A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2D0AB18E">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rPr>
              <w:t>桌面：</w:t>
            </w:r>
            <w:r>
              <w:rPr>
                <w:rFonts w:hint="eastAsia" w:ascii="宋体" w:hAnsi="宋体" w:eastAsia="宋体" w:cs="宋体"/>
                <w:sz w:val="21"/>
                <w:szCs w:val="21"/>
                <w:highlight w:val="none"/>
              </w:rPr>
              <w:t>橡胶木指接板，厚度40mm；</w:t>
            </w:r>
          </w:p>
          <w:p w14:paraId="40CBF11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3、框架：橡胶木指接板，厚度25mm，</w:t>
            </w:r>
          </w:p>
          <w:p w14:paraId="4829EE9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4、油漆：木件表面环保木器漆，总铅含量≤10mg/kg、可溶性重金属含量（镉、铬、汞)未检出。苯、甲苯、二甲苯（含乙苯）未检出；</w:t>
            </w:r>
          </w:p>
          <w:p w14:paraId="461C6EC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5、油漆工艺：“五道底漆三道面漆”，表面硬度达2H；在恒温、恒湿高度防尘的面漆房喷涂面漆；</w:t>
            </w:r>
          </w:p>
          <w:p w14:paraId="1419A3FD">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、优质麻绒,质地柔软</w:t>
            </w:r>
            <w:r>
              <w:rPr>
                <w:rFonts w:hint="eastAsia" w:ascii="宋体" w:hAnsi="宋体" w:eastAsia="宋体" w:cs="宋体"/>
                <w:sz w:val="21"/>
                <w:szCs w:val="21"/>
                <w:highlight w:val="none"/>
                <w:lang w:eastAsia="zh-CN"/>
              </w:rPr>
              <w:t>；</w:t>
            </w:r>
          </w:p>
          <w:p w14:paraId="1AE040C7">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、高密度高回弹裁切海绵,具有良好的抗震性、柔软性,抗撕拉</w:t>
            </w:r>
            <w:r>
              <w:rPr>
                <w:rFonts w:hint="eastAsia" w:ascii="宋体" w:hAnsi="宋体" w:eastAsia="宋体" w:cs="宋体"/>
                <w:sz w:val="21"/>
                <w:szCs w:val="21"/>
                <w:highlight w:val="none"/>
                <w:lang w:eastAsia="zh-CN"/>
              </w:rPr>
              <w:t>；</w:t>
            </w:r>
          </w:p>
          <w:p w14:paraId="3AC23EF2">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、电源：翻盖式桌面插座，合金面板，3c认证，2个</w:t>
            </w:r>
            <w:r>
              <w:rPr>
                <w:rFonts w:hint="eastAsia" w:ascii="宋体" w:hAnsi="宋体" w:eastAsia="宋体" w:cs="宋体"/>
                <w:sz w:val="21"/>
                <w:szCs w:val="21"/>
                <w:highlight w:val="none"/>
              </w:rPr>
              <w:t>新国标五孔</w:t>
            </w:r>
            <w:r>
              <w:rPr>
                <w:rFonts w:hint="eastAsia" w:ascii="宋体" w:hAnsi="宋体" w:eastAsia="宋体" w:cs="宋体"/>
                <w:kern w:val="0"/>
                <w:sz w:val="21"/>
                <w:szCs w:val="21"/>
                <w:highlight w:val="none"/>
              </w:rPr>
              <w:t>电源+1个网口+2个USB充电，电源走线隐藏不外露。</w:t>
            </w:r>
          </w:p>
        </w:tc>
      </w:tr>
      <w:tr w14:paraId="52E0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trPr>
        <w:tc>
          <w:tcPr>
            <w:tcW w:w="764" w:type="dxa"/>
            <w:vMerge w:val="continue"/>
            <w:shd w:val="clear" w:color="auto" w:fill="auto"/>
            <w:vAlign w:val="center"/>
          </w:tcPr>
          <w:p w14:paraId="030F172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4051AAAC">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3D80267A">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6AF40E3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0728262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1660525" cy="1340485"/>
                  <wp:effectExtent l="0" t="0" r="15875" b="12065"/>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59"/>
                          <a:stretch>
                            <a:fillRect/>
                          </a:stretch>
                        </pic:blipFill>
                        <pic:spPr>
                          <a:xfrm>
                            <a:off x="0" y="0"/>
                            <a:ext cx="1660525" cy="1340485"/>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default" w:ascii="宋体" w:hAnsi="宋体" w:eastAsia="宋体" w:cs="Times New Roman"/>
                <w:highlight w:val="none"/>
              </w:rPr>
              <w:drawing>
                <wp:inline distT="0" distB="0" distL="114300" distR="114300">
                  <wp:extent cx="2994660" cy="1233170"/>
                  <wp:effectExtent l="0" t="0" r="15240" b="508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60"/>
                          <a:stretch>
                            <a:fillRect/>
                          </a:stretch>
                        </pic:blipFill>
                        <pic:spPr>
                          <a:xfrm>
                            <a:off x="0" y="0"/>
                            <a:ext cx="2994660" cy="1233170"/>
                          </a:xfrm>
                          <a:prstGeom prst="rect">
                            <a:avLst/>
                          </a:prstGeom>
                          <a:noFill/>
                          <a:ln>
                            <a:noFill/>
                          </a:ln>
                        </pic:spPr>
                      </pic:pic>
                    </a:graphicData>
                  </a:graphic>
                </wp:inline>
              </w:drawing>
            </w:r>
          </w:p>
        </w:tc>
      </w:tr>
      <w:tr w14:paraId="10F3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6F321B86">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12</w:t>
            </w:r>
          </w:p>
        </w:tc>
        <w:tc>
          <w:tcPr>
            <w:tcW w:w="764" w:type="dxa"/>
            <w:vMerge w:val="restart"/>
            <w:shd w:val="clear" w:color="auto" w:fill="auto"/>
            <w:vAlign w:val="center"/>
          </w:tcPr>
          <w:p w14:paraId="2D016184">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组合休闲沙发3</w:t>
            </w:r>
          </w:p>
        </w:tc>
        <w:tc>
          <w:tcPr>
            <w:tcW w:w="1131" w:type="dxa"/>
            <w:shd w:val="clear" w:color="auto" w:fill="auto"/>
            <w:vAlign w:val="center"/>
          </w:tcPr>
          <w:p w14:paraId="0768DC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25" w:type="dxa"/>
            <w:gridSpan w:val="5"/>
            <w:shd w:val="clear" w:color="auto" w:fill="auto"/>
            <w:vAlign w:val="center"/>
          </w:tcPr>
          <w:p w14:paraId="4DFA3A3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5100*760*780MM</w:t>
            </w:r>
          </w:p>
        </w:tc>
        <w:tc>
          <w:tcPr>
            <w:tcW w:w="1080" w:type="dxa"/>
            <w:gridSpan w:val="6"/>
            <w:shd w:val="clear" w:color="auto" w:fill="auto"/>
            <w:vAlign w:val="center"/>
          </w:tcPr>
          <w:p w14:paraId="0B91CE9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759" w:type="dxa"/>
            <w:gridSpan w:val="4"/>
            <w:shd w:val="clear" w:color="auto" w:fill="auto"/>
            <w:vAlign w:val="center"/>
          </w:tcPr>
          <w:p w14:paraId="61B830AE">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1只</w:t>
            </w:r>
          </w:p>
        </w:tc>
      </w:tr>
      <w:tr w14:paraId="394A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764" w:type="dxa"/>
            <w:vMerge w:val="continue"/>
            <w:shd w:val="clear" w:color="auto" w:fill="auto"/>
            <w:vAlign w:val="center"/>
          </w:tcPr>
          <w:p w14:paraId="121D52F7">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1CF998B6">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0760156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457A993A">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1、座底板橡胶木指接板，厚度50mm，框架60*40.1.5mm钢管，钢脚φ70*1.5mm，通过高温脱脂干燥热处理，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材质稳定、不变形，表面环保油漆</w:t>
            </w:r>
            <w:r>
              <w:rPr>
                <w:rFonts w:hint="eastAsia" w:cs="宋体"/>
                <w:sz w:val="21"/>
                <w:szCs w:val="21"/>
                <w:highlight w:val="none"/>
                <w:lang w:eastAsia="zh-CN"/>
              </w:rPr>
              <w:t>；</w:t>
            </w:r>
          </w:p>
          <w:p w14:paraId="7FC331C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3D4A7CD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、油漆工艺：“五道底漆三道面漆”，表面硬度达2H；在恒温、恒湿高度防尘的面漆房喷涂面漆；</w:t>
            </w:r>
          </w:p>
          <w:p w14:paraId="2E730EB0">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、优质麻绒,质地柔软</w:t>
            </w:r>
            <w:r>
              <w:rPr>
                <w:rFonts w:hint="eastAsia" w:ascii="宋体" w:hAnsi="宋体" w:eastAsia="宋体" w:cs="宋体"/>
                <w:sz w:val="21"/>
                <w:szCs w:val="21"/>
                <w:highlight w:val="none"/>
                <w:lang w:eastAsia="zh-CN"/>
              </w:rPr>
              <w:t>；</w:t>
            </w:r>
          </w:p>
          <w:p w14:paraId="7DF466C7">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、高密度高回弹裁切海绵,具有良好的抗震性、柔软性,抗撕拉</w:t>
            </w:r>
            <w:r>
              <w:rPr>
                <w:rFonts w:hint="eastAsia" w:ascii="宋体" w:hAnsi="宋体" w:eastAsia="宋体" w:cs="宋体"/>
                <w:sz w:val="21"/>
                <w:szCs w:val="21"/>
                <w:highlight w:val="none"/>
                <w:lang w:eastAsia="zh-CN"/>
              </w:rPr>
              <w:t>。</w:t>
            </w:r>
          </w:p>
        </w:tc>
      </w:tr>
      <w:tr w14:paraId="0F1D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trPr>
        <w:tc>
          <w:tcPr>
            <w:tcW w:w="764" w:type="dxa"/>
            <w:vMerge w:val="continue"/>
            <w:shd w:val="clear" w:color="auto" w:fill="auto"/>
            <w:vAlign w:val="center"/>
          </w:tcPr>
          <w:p w14:paraId="1F30BFC4">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413BDAB9">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7457893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668E943">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2256C7E1">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2247900" cy="1839595"/>
                  <wp:effectExtent l="0" t="0" r="0" b="825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61"/>
                          <a:stretch>
                            <a:fillRect/>
                          </a:stretch>
                        </pic:blipFill>
                        <pic:spPr>
                          <a:xfrm>
                            <a:off x="0" y="0"/>
                            <a:ext cx="2247900" cy="1839595"/>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3479165" cy="1645285"/>
                  <wp:effectExtent l="0" t="0" r="6985" b="1206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62"/>
                          <a:stretch>
                            <a:fillRect/>
                          </a:stretch>
                        </pic:blipFill>
                        <pic:spPr>
                          <a:xfrm>
                            <a:off x="0" y="0"/>
                            <a:ext cx="3479165" cy="1645285"/>
                          </a:xfrm>
                          <a:prstGeom prst="rect">
                            <a:avLst/>
                          </a:prstGeom>
                          <a:noFill/>
                          <a:ln>
                            <a:noFill/>
                          </a:ln>
                        </pic:spPr>
                      </pic:pic>
                    </a:graphicData>
                  </a:graphic>
                </wp:inline>
              </w:drawing>
            </w:r>
          </w:p>
        </w:tc>
      </w:tr>
      <w:tr w14:paraId="7371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64" w:type="dxa"/>
            <w:vMerge w:val="restart"/>
            <w:shd w:val="clear" w:color="auto" w:fill="auto"/>
            <w:vAlign w:val="center"/>
          </w:tcPr>
          <w:p w14:paraId="27FD31F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13</w:t>
            </w:r>
          </w:p>
        </w:tc>
        <w:tc>
          <w:tcPr>
            <w:tcW w:w="764" w:type="dxa"/>
            <w:vMerge w:val="restart"/>
            <w:shd w:val="clear" w:color="auto" w:fill="auto"/>
            <w:vAlign w:val="center"/>
          </w:tcPr>
          <w:p w14:paraId="34D06DA5">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咨询服务空间研究桌</w:t>
            </w:r>
          </w:p>
        </w:tc>
        <w:tc>
          <w:tcPr>
            <w:tcW w:w="1131" w:type="dxa"/>
            <w:shd w:val="clear" w:color="auto" w:fill="auto"/>
            <w:vAlign w:val="center"/>
          </w:tcPr>
          <w:p w14:paraId="31273D4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05" w:type="dxa"/>
            <w:gridSpan w:val="6"/>
            <w:shd w:val="clear" w:color="auto" w:fill="auto"/>
            <w:vAlign w:val="center"/>
          </w:tcPr>
          <w:p w14:paraId="7329BBE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1300*600*1200MM</w:t>
            </w:r>
          </w:p>
        </w:tc>
        <w:tc>
          <w:tcPr>
            <w:tcW w:w="1080" w:type="dxa"/>
            <w:gridSpan w:val="6"/>
            <w:shd w:val="clear" w:color="auto" w:fill="auto"/>
            <w:vAlign w:val="center"/>
          </w:tcPr>
          <w:p w14:paraId="3F791F5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579" w:type="dxa"/>
            <w:gridSpan w:val="3"/>
            <w:shd w:val="clear" w:color="auto" w:fill="auto"/>
            <w:vAlign w:val="center"/>
          </w:tcPr>
          <w:p w14:paraId="37EE0CF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40个</w:t>
            </w:r>
          </w:p>
        </w:tc>
      </w:tr>
      <w:tr w14:paraId="038A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764" w:type="dxa"/>
            <w:vMerge w:val="continue"/>
            <w:shd w:val="clear" w:color="auto" w:fill="auto"/>
            <w:vAlign w:val="center"/>
          </w:tcPr>
          <w:p w14:paraId="08E6C034">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5169295F">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B2B5BF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6A1322C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2427B235">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rPr>
              <w:t>桌面：</w:t>
            </w:r>
            <w:r>
              <w:rPr>
                <w:rFonts w:hint="eastAsia" w:ascii="宋体" w:hAnsi="宋体" w:eastAsia="宋体" w:cs="宋体"/>
                <w:sz w:val="21"/>
                <w:szCs w:val="21"/>
                <w:highlight w:val="none"/>
              </w:rPr>
              <w:t>橡胶木指接板，厚度25mm</w:t>
            </w:r>
            <w:r>
              <w:rPr>
                <w:rFonts w:hint="eastAsia" w:cs="宋体"/>
                <w:sz w:val="21"/>
                <w:szCs w:val="21"/>
                <w:highlight w:val="none"/>
                <w:lang w:eastAsia="zh-CN"/>
              </w:rPr>
              <w:t>；</w:t>
            </w:r>
          </w:p>
          <w:p w14:paraId="544413F9">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3、框架：橡胶木指接板，厚度25mm</w:t>
            </w:r>
            <w:r>
              <w:rPr>
                <w:rFonts w:hint="eastAsia" w:cs="宋体"/>
                <w:sz w:val="21"/>
                <w:szCs w:val="21"/>
                <w:highlight w:val="none"/>
                <w:lang w:eastAsia="zh-CN"/>
              </w:rPr>
              <w:t>；</w:t>
            </w:r>
          </w:p>
          <w:p w14:paraId="13A99BD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6A4D21F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p>
          <w:p w14:paraId="1516F335">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、下架：钢制下架，通过除锈、除油、磷化等化学前处理后，表面高温静电喷塑；</w:t>
            </w:r>
          </w:p>
          <w:p w14:paraId="3075F82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、电源：翻盖式桌面插座，合金面板，3c认证，2个新国标五孔电源+1个网口+2个USB充电，电源走线隐藏不外露。</w:t>
            </w:r>
          </w:p>
          <w:p w14:paraId="0D4322A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、优质五金配件。</w:t>
            </w:r>
          </w:p>
        </w:tc>
      </w:tr>
      <w:tr w14:paraId="0E27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619C44A4">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70803ED1">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6BA51C8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效果要求</w:t>
            </w:r>
          </w:p>
        </w:tc>
        <w:tc>
          <w:tcPr>
            <w:tcW w:w="12464" w:type="dxa"/>
            <w:gridSpan w:val="15"/>
            <w:shd w:val="clear" w:color="auto" w:fill="auto"/>
          </w:tcPr>
          <w:p w14:paraId="51FAAFBB">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729230" cy="2433955"/>
                  <wp:effectExtent l="0" t="0" r="13970" b="444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63"/>
                          <a:stretch>
                            <a:fillRect/>
                          </a:stretch>
                        </pic:blipFill>
                        <pic:spPr>
                          <a:xfrm>
                            <a:off x="0" y="0"/>
                            <a:ext cx="2729230" cy="2433955"/>
                          </a:xfrm>
                          <a:prstGeom prst="rect">
                            <a:avLst/>
                          </a:prstGeom>
                          <a:noFill/>
                          <a:ln>
                            <a:noFill/>
                          </a:ln>
                        </pic:spPr>
                      </pic:pic>
                    </a:graphicData>
                  </a:graphic>
                </wp:inline>
              </w:drawing>
            </w:r>
            <w:r>
              <w:rPr>
                <w:rFonts w:hint="default" w:ascii="宋体" w:hAnsi="宋体" w:eastAsia="宋体" w:cs="Times New Roman"/>
                <w:highlight w:val="none"/>
              </w:rPr>
              <w:drawing>
                <wp:inline distT="0" distB="0" distL="114300" distR="114300">
                  <wp:extent cx="4624070" cy="2660650"/>
                  <wp:effectExtent l="0" t="0" r="5080" b="6350"/>
                  <wp:docPr id="85" name="图片 28" descr="17346626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descr="1734662683676"/>
                          <pic:cNvPicPr>
                            <a:picLocks noChangeAspect="1"/>
                          </pic:cNvPicPr>
                        </pic:nvPicPr>
                        <pic:blipFill>
                          <a:blip r:embed="rId64"/>
                          <a:stretch>
                            <a:fillRect/>
                          </a:stretch>
                        </pic:blipFill>
                        <pic:spPr>
                          <a:xfrm>
                            <a:off x="0" y="0"/>
                            <a:ext cx="4624070" cy="2660650"/>
                          </a:xfrm>
                          <a:prstGeom prst="rect">
                            <a:avLst/>
                          </a:prstGeom>
                          <a:noFill/>
                          <a:ln>
                            <a:noFill/>
                          </a:ln>
                        </pic:spPr>
                      </pic:pic>
                    </a:graphicData>
                  </a:graphic>
                </wp:inline>
              </w:drawing>
            </w:r>
          </w:p>
        </w:tc>
      </w:tr>
      <w:tr w14:paraId="0D8C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shd w:val="clear" w:color="auto" w:fill="auto"/>
            <w:vAlign w:val="center"/>
          </w:tcPr>
          <w:p w14:paraId="15CED7B4">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18EE0F5E">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769594B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36B9DCFC">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5346065" cy="3050540"/>
                  <wp:effectExtent l="0" t="0" r="6985" b="1651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5"/>
                          <a:stretch>
                            <a:fillRect/>
                          </a:stretch>
                        </pic:blipFill>
                        <pic:spPr>
                          <a:xfrm>
                            <a:off x="0" y="0"/>
                            <a:ext cx="5346065" cy="3050540"/>
                          </a:xfrm>
                          <a:prstGeom prst="rect">
                            <a:avLst/>
                          </a:prstGeom>
                          <a:noFill/>
                          <a:ln>
                            <a:noFill/>
                          </a:ln>
                        </pic:spPr>
                      </pic:pic>
                    </a:graphicData>
                  </a:graphic>
                </wp:inline>
              </w:drawing>
            </w:r>
          </w:p>
        </w:tc>
      </w:tr>
      <w:tr w14:paraId="12A1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64" w:type="dxa"/>
            <w:vMerge w:val="restart"/>
            <w:shd w:val="clear" w:color="auto" w:fill="auto"/>
            <w:vAlign w:val="center"/>
          </w:tcPr>
          <w:p w14:paraId="04AA864F">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14</w:t>
            </w:r>
          </w:p>
        </w:tc>
        <w:tc>
          <w:tcPr>
            <w:tcW w:w="764" w:type="dxa"/>
            <w:vMerge w:val="restart"/>
            <w:shd w:val="clear" w:color="auto" w:fill="auto"/>
            <w:vAlign w:val="center"/>
          </w:tcPr>
          <w:p w14:paraId="34D43797">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组合休闲沙发4</w:t>
            </w:r>
          </w:p>
        </w:tc>
        <w:tc>
          <w:tcPr>
            <w:tcW w:w="1131" w:type="dxa"/>
            <w:shd w:val="clear" w:color="auto" w:fill="auto"/>
            <w:vAlign w:val="center"/>
          </w:tcPr>
          <w:p w14:paraId="7BC51BEB">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25" w:type="dxa"/>
            <w:gridSpan w:val="5"/>
            <w:shd w:val="clear" w:color="auto" w:fill="auto"/>
            <w:vAlign w:val="center"/>
          </w:tcPr>
          <w:p w14:paraId="64C60C9B">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1500*650*1200MM</w:t>
            </w:r>
          </w:p>
        </w:tc>
        <w:tc>
          <w:tcPr>
            <w:tcW w:w="900" w:type="dxa"/>
            <w:gridSpan w:val="5"/>
            <w:shd w:val="clear" w:color="auto" w:fill="auto"/>
            <w:vAlign w:val="center"/>
          </w:tcPr>
          <w:p w14:paraId="18E19A09">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gridSpan w:val="5"/>
            <w:shd w:val="clear" w:color="auto" w:fill="auto"/>
            <w:vAlign w:val="center"/>
          </w:tcPr>
          <w:p w14:paraId="2B8A9AC7">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11个</w:t>
            </w:r>
          </w:p>
        </w:tc>
      </w:tr>
      <w:tr w14:paraId="2E2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067CC547">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18913D8E">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A06B873">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143EFF9A">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72EB27D8">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rPr>
              <w:t>底面：</w:t>
            </w:r>
            <w:r>
              <w:rPr>
                <w:rFonts w:hint="eastAsia" w:ascii="宋体" w:hAnsi="宋体" w:eastAsia="宋体" w:cs="宋体"/>
                <w:sz w:val="21"/>
                <w:szCs w:val="21"/>
                <w:highlight w:val="none"/>
              </w:rPr>
              <w:t>橡胶木指接板，厚度50mm；</w:t>
            </w:r>
          </w:p>
          <w:p w14:paraId="20AE1F5D">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3、框架：橡胶木指接板，厚度25mm，</w:t>
            </w:r>
          </w:p>
          <w:p w14:paraId="51EA33D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5A13847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p>
          <w:p w14:paraId="4AD595F8">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、优质麻绒,质地柔软；</w:t>
            </w:r>
          </w:p>
          <w:p w14:paraId="23A18C4A">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、高密度高回弹裁切海绵,具有良好的抗震性、柔软性,抗撕拉。</w:t>
            </w:r>
          </w:p>
        </w:tc>
      </w:tr>
      <w:tr w14:paraId="7009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5" w:hRule="atLeast"/>
        </w:trPr>
        <w:tc>
          <w:tcPr>
            <w:tcW w:w="764" w:type="dxa"/>
            <w:vMerge w:val="continue"/>
            <w:shd w:val="clear" w:color="auto" w:fill="auto"/>
            <w:vAlign w:val="center"/>
          </w:tcPr>
          <w:p w14:paraId="22884163">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5C055794">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07C539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F8FD6A4">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5506965C">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2402840" cy="2991485"/>
                  <wp:effectExtent l="0" t="0" r="16510" b="1841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6"/>
                          <a:stretch>
                            <a:fillRect/>
                          </a:stretch>
                        </pic:blipFill>
                        <pic:spPr>
                          <a:xfrm>
                            <a:off x="0" y="0"/>
                            <a:ext cx="2402840" cy="2991485"/>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default" w:ascii="宋体" w:hAnsi="宋体" w:eastAsia="宋体" w:cs="Times New Roman"/>
                <w:highlight w:val="none"/>
              </w:rPr>
              <w:drawing>
                <wp:inline distT="0" distB="0" distL="114300" distR="114300">
                  <wp:extent cx="3508375" cy="2596515"/>
                  <wp:effectExtent l="0" t="0" r="15875" b="13335"/>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67"/>
                          <a:stretch>
                            <a:fillRect/>
                          </a:stretch>
                        </pic:blipFill>
                        <pic:spPr>
                          <a:xfrm>
                            <a:off x="0" y="0"/>
                            <a:ext cx="3508375" cy="2596515"/>
                          </a:xfrm>
                          <a:prstGeom prst="rect">
                            <a:avLst/>
                          </a:prstGeom>
                          <a:noFill/>
                          <a:ln>
                            <a:noFill/>
                          </a:ln>
                        </pic:spPr>
                      </pic:pic>
                    </a:graphicData>
                  </a:graphic>
                </wp:inline>
              </w:drawing>
            </w:r>
          </w:p>
        </w:tc>
      </w:tr>
      <w:tr w14:paraId="348B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4" w:type="dxa"/>
            <w:vMerge w:val="restart"/>
            <w:shd w:val="clear" w:color="auto" w:fill="auto"/>
            <w:vAlign w:val="center"/>
          </w:tcPr>
          <w:p w14:paraId="1F6A3A3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15</w:t>
            </w:r>
          </w:p>
        </w:tc>
        <w:tc>
          <w:tcPr>
            <w:tcW w:w="764" w:type="dxa"/>
            <w:vMerge w:val="restart"/>
            <w:shd w:val="clear" w:color="auto" w:fill="auto"/>
            <w:vAlign w:val="center"/>
          </w:tcPr>
          <w:p w14:paraId="29C707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阅</w:t>
            </w:r>
          </w:p>
          <w:p w14:paraId="7CBC4F6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读</w:t>
            </w:r>
          </w:p>
          <w:p w14:paraId="5D92D884">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桌</w:t>
            </w:r>
          </w:p>
          <w:p w14:paraId="5A161DB6">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highlight w:val="none"/>
                <w:lang w:eastAsia="zh-CN"/>
              </w:rPr>
            </w:pPr>
            <w:r>
              <w:rPr>
                <w:rFonts w:hint="eastAsia" w:cs="宋体"/>
                <w:sz w:val="21"/>
                <w:szCs w:val="21"/>
                <w:highlight w:val="none"/>
                <w:lang w:eastAsia="zh-CN"/>
              </w:rPr>
              <w:t>（</w:t>
            </w:r>
            <w:r>
              <w:rPr>
                <w:rFonts w:hint="eastAsia" w:cs="宋体"/>
                <w:sz w:val="21"/>
                <w:szCs w:val="21"/>
                <w:highlight w:val="none"/>
                <w:lang w:val="en-US" w:eastAsia="zh-CN"/>
              </w:rPr>
              <w:t>核心产品</w:t>
            </w:r>
            <w:r>
              <w:rPr>
                <w:rFonts w:hint="eastAsia" w:cs="宋体"/>
                <w:sz w:val="21"/>
                <w:szCs w:val="21"/>
                <w:highlight w:val="none"/>
                <w:lang w:eastAsia="zh-CN"/>
              </w:rPr>
              <w:t>）</w:t>
            </w:r>
          </w:p>
        </w:tc>
        <w:tc>
          <w:tcPr>
            <w:tcW w:w="1131" w:type="dxa"/>
            <w:shd w:val="clear" w:color="auto" w:fill="auto"/>
            <w:vAlign w:val="center"/>
          </w:tcPr>
          <w:p w14:paraId="1B12487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25" w:type="dxa"/>
            <w:gridSpan w:val="5"/>
            <w:shd w:val="clear" w:color="auto" w:fill="auto"/>
            <w:vAlign w:val="center"/>
          </w:tcPr>
          <w:p w14:paraId="23643E6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1600*1200*750MM</w:t>
            </w:r>
          </w:p>
        </w:tc>
        <w:tc>
          <w:tcPr>
            <w:tcW w:w="900" w:type="dxa"/>
            <w:gridSpan w:val="5"/>
            <w:shd w:val="clear" w:color="auto" w:fill="auto"/>
            <w:vAlign w:val="center"/>
          </w:tcPr>
          <w:p w14:paraId="1A323BE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gridSpan w:val="5"/>
            <w:shd w:val="clear" w:color="auto" w:fill="auto"/>
            <w:vAlign w:val="center"/>
          </w:tcPr>
          <w:p w14:paraId="2667672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132个</w:t>
            </w:r>
          </w:p>
        </w:tc>
      </w:tr>
      <w:tr w14:paraId="23D8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4967EBBA">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6EDE2D54">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2AF20FF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01611626">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244455F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rPr>
              <w:t>桌面：</w:t>
            </w:r>
            <w:r>
              <w:rPr>
                <w:rFonts w:hint="eastAsia" w:ascii="宋体" w:hAnsi="宋体" w:eastAsia="宋体" w:cs="宋体"/>
                <w:sz w:val="21"/>
                <w:szCs w:val="21"/>
                <w:highlight w:val="none"/>
              </w:rPr>
              <w:t>橡胶木指接板，厚度25mm；</w:t>
            </w:r>
            <w:r>
              <w:rPr>
                <w:rFonts w:hint="eastAsia" w:ascii="宋体" w:hAnsi="宋体" w:eastAsia="宋体" w:cs="宋体"/>
                <w:kern w:val="0"/>
                <w:sz w:val="21"/>
                <w:szCs w:val="21"/>
                <w:highlight w:val="none"/>
              </w:rPr>
              <w:t>屏风：</w:t>
            </w:r>
            <w:r>
              <w:rPr>
                <w:rFonts w:hint="eastAsia" w:ascii="宋体" w:hAnsi="宋体" w:eastAsia="宋体" w:cs="宋体"/>
                <w:sz w:val="21"/>
                <w:szCs w:val="21"/>
                <w:highlight w:val="none"/>
              </w:rPr>
              <w:t>橡胶木指接板，厚度18mm；</w:t>
            </w:r>
          </w:p>
          <w:p w14:paraId="78F05C2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27AC3BB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、油漆工艺：“五道底漆三道面漆”，表面硬度达2H；在恒温、恒湿高度防尘的面漆房喷涂面漆；</w:t>
            </w:r>
          </w:p>
          <w:p w14:paraId="05E72B0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、带走线槽；</w:t>
            </w:r>
          </w:p>
          <w:p w14:paraId="012DBCC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、电源：2x翻盖式桌面插座，合金面板，3c认证，4个新国标五孔电源+2个网口+4个USB充电，电源走线隐藏不外露；</w:t>
            </w:r>
          </w:p>
          <w:p w14:paraId="3B6909F8">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、五金：钢制下架，钢脚φ70*1.5mm，通过除锈、除油、磷化等化学前处理后，表面高温静电喷塑</w:t>
            </w:r>
            <w:r>
              <w:rPr>
                <w:rFonts w:hint="eastAsia" w:cs="宋体"/>
                <w:kern w:val="0"/>
                <w:sz w:val="21"/>
                <w:szCs w:val="21"/>
                <w:highlight w:val="none"/>
                <w:lang w:eastAsia="zh-CN"/>
              </w:rPr>
              <w:t>；</w:t>
            </w:r>
          </w:p>
          <w:p w14:paraId="4ED7E6B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、灯具：铁艺LED灯具，主体尺寸1540*100*70，铁艺支撑杆480，间距1310；</w:t>
            </w:r>
          </w:p>
          <w:p w14:paraId="0C43038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、优质五金配件。</w:t>
            </w:r>
          </w:p>
        </w:tc>
      </w:tr>
      <w:tr w14:paraId="73C5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0" w:hRule="atLeast"/>
        </w:trPr>
        <w:tc>
          <w:tcPr>
            <w:tcW w:w="764" w:type="dxa"/>
            <w:vMerge w:val="continue"/>
            <w:shd w:val="clear" w:color="auto" w:fill="auto"/>
            <w:vAlign w:val="center"/>
          </w:tcPr>
          <w:p w14:paraId="078B4481">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0AC81B75">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50BEC76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49B03F1D">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6CA46980">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534285" cy="2386965"/>
                  <wp:effectExtent l="0" t="0" r="18415" b="13335"/>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68"/>
                          <a:stretch>
                            <a:fillRect/>
                          </a:stretch>
                        </pic:blipFill>
                        <pic:spPr>
                          <a:xfrm>
                            <a:off x="0" y="0"/>
                            <a:ext cx="2534285" cy="238696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679825" cy="2847340"/>
                  <wp:effectExtent l="0" t="0" r="15875" b="1016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69"/>
                          <a:stretch>
                            <a:fillRect/>
                          </a:stretch>
                        </pic:blipFill>
                        <pic:spPr>
                          <a:xfrm>
                            <a:off x="0" y="0"/>
                            <a:ext cx="3679825" cy="2847340"/>
                          </a:xfrm>
                          <a:prstGeom prst="rect">
                            <a:avLst/>
                          </a:prstGeom>
                          <a:noFill/>
                          <a:ln>
                            <a:noFill/>
                          </a:ln>
                        </pic:spPr>
                      </pic:pic>
                    </a:graphicData>
                  </a:graphic>
                </wp:inline>
              </w:drawing>
            </w:r>
          </w:p>
        </w:tc>
      </w:tr>
      <w:tr w14:paraId="6610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64" w:type="dxa"/>
            <w:vMerge w:val="restart"/>
            <w:shd w:val="clear" w:color="auto" w:fill="auto"/>
            <w:vAlign w:val="center"/>
          </w:tcPr>
          <w:p w14:paraId="75D7805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16</w:t>
            </w:r>
          </w:p>
        </w:tc>
        <w:tc>
          <w:tcPr>
            <w:tcW w:w="764" w:type="dxa"/>
            <w:vMerge w:val="restart"/>
            <w:shd w:val="clear" w:color="auto" w:fill="auto"/>
            <w:vAlign w:val="center"/>
          </w:tcPr>
          <w:p w14:paraId="259221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阅</w:t>
            </w:r>
          </w:p>
          <w:p w14:paraId="3BBDC20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读</w:t>
            </w:r>
          </w:p>
          <w:p w14:paraId="2DDAA220">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椅</w:t>
            </w:r>
          </w:p>
          <w:p w14:paraId="75D5AE1C">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lang w:eastAsia="zh-CN"/>
              </w:rPr>
            </w:pPr>
            <w:r>
              <w:rPr>
                <w:rFonts w:hint="eastAsia" w:cs="宋体"/>
                <w:kern w:val="0"/>
                <w:sz w:val="21"/>
                <w:szCs w:val="21"/>
                <w:highlight w:val="none"/>
                <w:lang w:eastAsia="zh-CN"/>
              </w:rPr>
              <w:t>（</w:t>
            </w:r>
            <w:r>
              <w:rPr>
                <w:rFonts w:hint="eastAsia" w:cs="宋体"/>
                <w:kern w:val="0"/>
                <w:sz w:val="21"/>
                <w:szCs w:val="21"/>
                <w:highlight w:val="none"/>
                <w:lang w:val="en-US" w:eastAsia="zh-CN"/>
              </w:rPr>
              <w:t>核心产品</w:t>
            </w:r>
            <w:r>
              <w:rPr>
                <w:rFonts w:hint="eastAsia" w:cs="宋体"/>
                <w:kern w:val="0"/>
                <w:sz w:val="21"/>
                <w:szCs w:val="21"/>
                <w:highlight w:val="none"/>
                <w:lang w:eastAsia="zh-CN"/>
              </w:rPr>
              <w:t>）</w:t>
            </w:r>
          </w:p>
        </w:tc>
        <w:tc>
          <w:tcPr>
            <w:tcW w:w="1131" w:type="dxa"/>
            <w:shd w:val="clear" w:color="auto" w:fill="auto"/>
            <w:vAlign w:val="center"/>
          </w:tcPr>
          <w:p w14:paraId="4AE41A3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085" w:type="dxa"/>
            <w:gridSpan w:val="2"/>
            <w:shd w:val="clear" w:color="auto" w:fill="auto"/>
            <w:vAlign w:val="center"/>
          </w:tcPr>
          <w:p w14:paraId="6F6FE2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550*590*860MM</w:t>
            </w:r>
          </w:p>
        </w:tc>
        <w:tc>
          <w:tcPr>
            <w:tcW w:w="900" w:type="dxa"/>
            <w:gridSpan w:val="5"/>
            <w:shd w:val="clear" w:color="auto" w:fill="auto"/>
            <w:vAlign w:val="center"/>
          </w:tcPr>
          <w:p w14:paraId="7D454F4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479" w:type="dxa"/>
            <w:gridSpan w:val="8"/>
            <w:shd w:val="clear" w:color="auto" w:fill="auto"/>
            <w:vAlign w:val="center"/>
          </w:tcPr>
          <w:p w14:paraId="1265960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528个</w:t>
            </w:r>
          </w:p>
        </w:tc>
      </w:tr>
      <w:tr w14:paraId="10EB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764" w:type="dxa"/>
            <w:vMerge w:val="continue"/>
            <w:shd w:val="clear" w:color="auto" w:fill="auto"/>
            <w:vAlign w:val="center"/>
          </w:tcPr>
          <w:p w14:paraId="67217E5E">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2B7C0C1B">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2333747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784CA03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6C690940">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2、椅子坐板采用橡胶木指接板，厚度18mm；</w:t>
            </w:r>
          </w:p>
          <w:p w14:paraId="1589B15A">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3、榫卯结构；椅子框架，特别是椅子前、后脚均需使用整根独料，不得使用拼接或指接工艺的木料（折弯处可榫卯拼接），椅脚40*60MM；</w:t>
            </w:r>
          </w:p>
          <w:p w14:paraId="041D275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4FAB5785">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p>
          <w:p w14:paraId="5F417C83">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座椅配有可拆卸坐垫，绑带固定；坐垫表面优质麻绒，填充采用高密度高回弹裁切海绵,具有良好的抗震性、柔软性,抗撕拉</w:t>
            </w:r>
            <w:r>
              <w:rPr>
                <w:rFonts w:hint="eastAsia" w:cs="宋体"/>
                <w:kern w:val="0"/>
                <w:sz w:val="21"/>
                <w:szCs w:val="21"/>
                <w:highlight w:val="none"/>
                <w:lang w:eastAsia="zh-CN"/>
              </w:rPr>
              <w:t>；</w:t>
            </w:r>
          </w:p>
          <w:p w14:paraId="2E3B4AE4">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、椅背阴刻湖州学院logo，直径6cm。</w:t>
            </w:r>
          </w:p>
        </w:tc>
      </w:tr>
      <w:tr w14:paraId="32DD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7" w:hRule="atLeast"/>
        </w:trPr>
        <w:tc>
          <w:tcPr>
            <w:tcW w:w="764" w:type="dxa"/>
            <w:vMerge w:val="continue"/>
            <w:shd w:val="clear" w:color="auto" w:fill="auto"/>
            <w:vAlign w:val="center"/>
          </w:tcPr>
          <w:p w14:paraId="2BA40935">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1D7B5514">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55626A9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6C033C9">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4A2B9748">
            <w:pPr>
              <w:keepNext w:val="0"/>
              <w:keepLines w:val="0"/>
              <w:suppressLineNumbers w:val="0"/>
              <w:spacing w:before="0" w:beforeAutospacing="0" w:after="0" w:afterAutospacing="0"/>
              <w:ind w:left="240" w:right="0" w:hanging="240" w:hangingChars="10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409825" cy="2503805"/>
                  <wp:effectExtent l="0" t="0" r="9525" b="10795"/>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4"/>
                          <pic:cNvPicPr>
                            <a:picLocks noChangeAspect="1"/>
                          </pic:cNvPicPr>
                        </pic:nvPicPr>
                        <pic:blipFill>
                          <a:blip r:embed="rId70"/>
                          <a:stretch>
                            <a:fillRect/>
                          </a:stretch>
                        </pic:blipFill>
                        <pic:spPr>
                          <a:xfrm>
                            <a:off x="0" y="0"/>
                            <a:ext cx="2409825" cy="250380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058285" cy="2200910"/>
                  <wp:effectExtent l="0" t="0" r="18415" b="889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71"/>
                          <a:stretch>
                            <a:fillRect/>
                          </a:stretch>
                        </pic:blipFill>
                        <pic:spPr>
                          <a:xfrm>
                            <a:off x="0" y="0"/>
                            <a:ext cx="4058285" cy="2200910"/>
                          </a:xfrm>
                          <a:prstGeom prst="rect">
                            <a:avLst/>
                          </a:prstGeom>
                          <a:noFill/>
                          <a:ln>
                            <a:noFill/>
                          </a:ln>
                        </pic:spPr>
                      </pic:pic>
                    </a:graphicData>
                  </a:graphic>
                </wp:inline>
              </w:drawing>
            </w:r>
          </w:p>
        </w:tc>
      </w:tr>
      <w:tr w14:paraId="29C4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64" w:type="dxa"/>
            <w:vMerge w:val="restart"/>
            <w:shd w:val="clear" w:color="auto" w:fill="auto"/>
            <w:vAlign w:val="center"/>
          </w:tcPr>
          <w:p w14:paraId="7641288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17</w:t>
            </w:r>
          </w:p>
        </w:tc>
        <w:tc>
          <w:tcPr>
            <w:tcW w:w="764" w:type="dxa"/>
            <w:vMerge w:val="restart"/>
            <w:shd w:val="clear" w:color="auto" w:fill="auto"/>
            <w:vAlign w:val="center"/>
          </w:tcPr>
          <w:p w14:paraId="715AAFA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讨论区沙发</w:t>
            </w:r>
          </w:p>
        </w:tc>
        <w:tc>
          <w:tcPr>
            <w:tcW w:w="1131" w:type="dxa"/>
            <w:shd w:val="clear" w:color="auto" w:fill="auto"/>
            <w:vAlign w:val="center"/>
          </w:tcPr>
          <w:p w14:paraId="5FDFF81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25" w:type="dxa"/>
            <w:gridSpan w:val="5"/>
            <w:shd w:val="clear" w:color="auto" w:fill="auto"/>
          </w:tcPr>
          <w:p w14:paraId="19CD5DD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4100*2300*670MM</w:t>
            </w:r>
          </w:p>
        </w:tc>
        <w:tc>
          <w:tcPr>
            <w:tcW w:w="1080" w:type="dxa"/>
            <w:gridSpan w:val="6"/>
            <w:shd w:val="clear" w:color="auto" w:fill="auto"/>
          </w:tcPr>
          <w:p w14:paraId="128AFF4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759" w:type="dxa"/>
            <w:gridSpan w:val="4"/>
            <w:shd w:val="clear" w:color="auto" w:fill="auto"/>
          </w:tcPr>
          <w:p w14:paraId="7B3C08E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4套</w:t>
            </w:r>
          </w:p>
        </w:tc>
      </w:tr>
      <w:tr w14:paraId="262E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764" w:type="dxa"/>
            <w:vMerge w:val="continue"/>
            <w:shd w:val="clear" w:color="auto" w:fill="auto"/>
            <w:vAlign w:val="center"/>
          </w:tcPr>
          <w:p w14:paraId="55CFA97D">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52808442">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675C997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tcPr>
          <w:p w14:paraId="67AF063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2904F0B2">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2、面板：橡胶木指接板，厚度25mm</w:t>
            </w:r>
            <w:r>
              <w:rPr>
                <w:rFonts w:hint="eastAsia" w:cs="宋体"/>
                <w:sz w:val="21"/>
                <w:szCs w:val="21"/>
                <w:highlight w:val="none"/>
                <w:lang w:eastAsia="zh-CN"/>
              </w:rPr>
              <w:t>；</w:t>
            </w:r>
          </w:p>
          <w:p w14:paraId="46C08E8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15F35FB3">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、油漆工艺：“五道底漆三道面漆”，表面硬度达2H；在恒温、恒湿高度防尘的面漆房喷涂面漆；</w:t>
            </w:r>
          </w:p>
          <w:p w14:paraId="6002F23E">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、优质麻绒,质地柔软</w:t>
            </w:r>
            <w:r>
              <w:rPr>
                <w:rFonts w:hint="eastAsia" w:ascii="宋体" w:hAnsi="宋体" w:eastAsia="宋体" w:cs="宋体"/>
                <w:sz w:val="21"/>
                <w:szCs w:val="21"/>
                <w:highlight w:val="none"/>
                <w:lang w:eastAsia="zh-CN"/>
              </w:rPr>
              <w:t>；</w:t>
            </w:r>
          </w:p>
          <w:p w14:paraId="50609B23">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、高密度高回弹裁切海绵,具有良好的抗震性、柔软性,抗撕拉</w:t>
            </w:r>
            <w:r>
              <w:rPr>
                <w:rFonts w:hint="eastAsia" w:cs="宋体"/>
                <w:sz w:val="21"/>
                <w:szCs w:val="21"/>
                <w:highlight w:val="none"/>
                <w:lang w:eastAsia="zh-CN"/>
              </w:rPr>
              <w:t>；</w:t>
            </w:r>
          </w:p>
          <w:p w14:paraId="193BFFD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电源：3x翻盖式桌面插座，合金面板，3c认证，6个新国标五孔电源+3个网口+6个USB充电，电源走线隐藏不外露</w:t>
            </w:r>
            <w:r>
              <w:rPr>
                <w:rFonts w:hint="eastAsia" w:ascii="宋体" w:hAnsi="宋体" w:eastAsia="宋体" w:cs="宋体"/>
                <w:sz w:val="21"/>
                <w:szCs w:val="21"/>
                <w:highlight w:val="none"/>
                <w:lang w:val="en-US" w:eastAsia="zh-CN"/>
              </w:rPr>
              <w:t>。</w:t>
            </w:r>
          </w:p>
        </w:tc>
      </w:tr>
      <w:tr w14:paraId="6800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600DD2C3">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66BA1256">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31" w:type="dxa"/>
            <w:shd w:val="clear" w:color="auto" w:fill="auto"/>
            <w:vAlign w:val="center"/>
          </w:tcPr>
          <w:p w14:paraId="1EBFCB0F">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7D45E6AA">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tcPr>
          <w:p w14:paraId="0BBCA195">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811145" cy="2475230"/>
                  <wp:effectExtent l="0" t="0" r="8255" b="1270"/>
                  <wp:docPr id="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6"/>
                          <pic:cNvPicPr>
                            <a:picLocks noChangeAspect="1"/>
                          </pic:cNvPicPr>
                        </pic:nvPicPr>
                        <pic:blipFill>
                          <a:blip r:embed="rId72"/>
                          <a:stretch>
                            <a:fillRect/>
                          </a:stretch>
                        </pic:blipFill>
                        <pic:spPr>
                          <a:xfrm>
                            <a:off x="0" y="0"/>
                            <a:ext cx="2811145" cy="2475230"/>
                          </a:xfrm>
                          <a:prstGeom prst="rect">
                            <a:avLst/>
                          </a:prstGeom>
                          <a:noFill/>
                          <a:ln>
                            <a:noFill/>
                          </a:ln>
                        </pic:spPr>
                      </pic:pic>
                    </a:graphicData>
                  </a:graphic>
                </wp:inline>
              </w:drawing>
            </w:r>
            <w:r>
              <w:rPr>
                <w:rFonts w:hint="default" w:ascii="宋体" w:hAnsi="宋体" w:eastAsia="宋体" w:cs="Times New Roman"/>
                <w:highlight w:val="none"/>
              </w:rPr>
              <w:t xml:space="preserve">   </w:t>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736975" cy="1871345"/>
                  <wp:effectExtent l="0" t="0" r="15875" b="1460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73"/>
                          <a:stretch>
                            <a:fillRect/>
                          </a:stretch>
                        </pic:blipFill>
                        <pic:spPr>
                          <a:xfrm>
                            <a:off x="0" y="0"/>
                            <a:ext cx="3736975" cy="1871345"/>
                          </a:xfrm>
                          <a:prstGeom prst="rect">
                            <a:avLst/>
                          </a:prstGeom>
                          <a:noFill/>
                          <a:ln>
                            <a:noFill/>
                          </a:ln>
                        </pic:spPr>
                      </pic:pic>
                    </a:graphicData>
                  </a:graphic>
                </wp:inline>
              </w:drawing>
            </w:r>
          </w:p>
        </w:tc>
      </w:tr>
      <w:tr w14:paraId="1407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64" w:type="dxa"/>
            <w:vMerge w:val="restart"/>
            <w:shd w:val="clear" w:color="auto" w:fill="auto"/>
            <w:vAlign w:val="center"/>
          </w:tcPr>
          <w:p w14:paraId="6A4A00C3">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18</w:t>
            </w:r>
          </w:p>
        </w:tc>
        <w:tc>
          <w:tcPr>
            <w:tcW w:w="764" w:type="dxa"/>
            <w:vMerge w:val="restart"/>
            <w:shd w:val="clear" w:color="auto" w:fill="auto"/>
            <w:vAlign w:val="center"/>
          </w:tcPr>
          <w:p w14:paraId="0083F186">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讨论区桌子</w:t>
            </w:r>
          </w:p>
        </w:tc>
        <w:tc>
          <w:tcPr>
            <w:tcW w:w="1131" w:type="dxa"/>
            <w:shd w:val="clear" w:color="auto" w:fill="auto"/>
            <w:vAlign w:val="center"/>
          </w:tcPr>
          <w:p w14:paraId="17631293">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265" w:type="dxa"/>
            <w:gridSpan w:val="3"/>
            <w:shd w:val="clear" w:color="auto" w:fill="auto"/>
            <w:vAlign w:val="center"/>
          </w:tcPr>
          <w:p w14:paraId="6280417C">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1400*1100*750 MM</w:t>
            </w:r>
          </w:p>
        </w:tc>
        <w:tc>
          <w:tcPr>
            <w:tcW w:w="1260" w:type="dxa"/>
            <w:gridSpan w:val="7"/>
            <w:shd w:val="clear" w:color="auto" w:fill="auto"/>
            <w:vAlign w:val="center"/>
          </w:tcPr>
          <w:p w14:paraId="78D6D36F">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gridSpan w:val="5"/>
            <w:shd w:val="clear" w:color="auto" w:fill="auto"/>
            <w:vAlign w:val="center"/>
          </w:tcPr>
          <w:p w14:paraId="25DB27F4">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4只</w:t>
            </w:r>
          </w:p>
        </w:tc>
      </w:tr>
      <w:tr w14:paraId="205B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764" w:type="dxa"/>
            <w:vMerge w:val="continue"/>
            <w:shd w:val="clear" w:color="auto" w:fill="auto"/>
            <w:vAlign w:val="center"/>
          </w:tcPr>
          <w:p w14:paraId="5A99A9E5">
            <w:pPr>
              <w:keepNext w:val="0"/>
              <w:keepLines w:val="0"/>
              <w:suppressLineNumbers w:val="0"/>
              <w:adjustRightInd w:val="0"/>
              <w:snapToGrid w:val="0"/>
              <w:spacing w:before="0" w:beforeAutospacing="0" w:after="0" w:afterAutospacing="0" w:line="240" w:lineRule="atLeast"/>
              <w:ind w:left="0" w:right="0" w:firstLine="420"/>
              <w:jc w:val="center"/>
              <w:rPr>
                <w:rFonts w:hint="default" w:ascii="宋体" w:hAnsi="宋体" w:eastAsia="宋体" w:cs="宋体"/>
                <w:sz w:val="21"/>
                <w:szCs w:val="21"/>
                <w:highlight w:val="none"/>
              </w:rPr>
            </w:pPr>
          </w:p>
        </w:tc>
        <w:tc>
          <w:tcPr>
            <w:tcW w:w="764" w:type="dxa"/>
            <w:vMerge w:val="continue"/>
            <w:shd w:val="clear" w:color="auto" w:fill="auto"/>
            <w:vAlign w:val="center"/>
          </w:tcPr>
          <w:p w14:paraId="41D73C7D">
            <w:pPr>
              <w:keepNext w:val="0"/>
              <w:keepLines w:val="0"/>
              <w:suppressLineNumbers w:val="0"/>
              <w:adjustRightInd w:val="0"/>
              <w:snapToGrid w:val="0"/>
              <w:spacing w:before="0" w:beforeAutospacing="0" w:after="0" w:afterAutospacing="0" w:line="240" w:lineRule="atLeast"/>
              <w:ind w:left="0" w:right="0" w:firstLine="420"/>
              <w:jc w:val="center"/>
              <w:rPr>
                <w:rFonts w:hint="default" w:ascii="宋体" w:hAnsi="宋体" w:eastAsia="宋体" w:cs="宋体"/>
                <w:sz w:val="21"/>
                <w:szCs w:val="21"/>
                <w:highlight w:val="none"/>
              </w:rPr>
            </w:pPr>
          </w:p>
        </w:tc>
        <w:tc>
          <w:tcPr>
            <w:tcW w:w="1131" w:type="dxa"/>
            <w:shd w:val="clear" w:color="auto" w:fill="auto"/>
            <w:vAlign w:val="center"/>
          </w:tcPr>
          <w:p w14:paraId="3B803EE4">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64" w:type="dxa"/>
            <w:gridSpan w:val="15"/>
            <w:shd w:val="clear" w:color="auto" w:fill="auto"/>
            <w:vAlign w:val="center"/>
          </w:tcPr>
          <w:p w14:paraId="0BEC3CAC">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7100F1EB">
            <w:pPr>
              <w:keepNext w:val="0"/>
              <w:keepLines w:val="0"/>
              <w:widowControl/>
              <w:suppressLineNumbers w:val="0"/>
              <w:spacing w:before="0" w:beforeAutospacing="0" w:after="0" w:afterAutospacing="0"/>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2、面板：橡胶木指接板，厚度25mm</w:t>
            </w:r>
            <w:r>
              <w:rPr>
                <w:rFonts w:hint="eastAsia" w:cs="宋体"/>
                <w:sz w:val="21"/>
                <w:szCs w:val="21"/>
                <w:highlight w:val="none"/>
                <w:lang w:eastAsia="zh-CN"/>
              </w:rPr>
              <w:t>；</w:t>
            </w:r>
          </w:p>
          <w:p w14:paraId="3F71119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3D752D1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、油漆工艺：“五道底漆三道面漆”，表面硬度达2H；在恒温、恒湿高度防尘的面漆房喷涂面漆；</w:t>
            </w:r>
          </w:p>
          <w:p w14:paraId="5B9A2153">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、优质麻绒,质地柔软；</w:t>
            </w:r>
          </w:p>
          <w:p w14:paraId="5B7281A5">
            <w:pPr>
              <w:keepNext w:val="0"/>
              <w:keepLines w:val="0"/>
              <w:widowControl/>
              <w:suppressLineNumbers w:val="0"/>
              <w:spacing w:before="0" w:beforeAutospacing="0" w:after="0" w:afterAutospacing="0"/>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、高密度高回弹裁切海绵,具有良好的抗震性、柔软性,抗撕拉</w:t>
            </w:r>
            <w:r>
              <w:rPr>
                <w:rFonts w:hint="eastAsia" w:cs="宋体"/>
                <w:sz w:val="21"/>
                <w:szCs w:val="21"/>
                <w:highlight w:val="none"/>
                <w:lang w:eastAsia="zh-CN"/>
              </w:rPr>
              <w:t>；</w:t>
            </w:r>
          </w:p>
          <w:p w14:paraId="065CF9CD">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电源：翻盖式桌面插座，合金面板，3c认证，2个新国标五孔电源+1个网口+2个USB充电，电源走线隐藏不外露；</w:t>
            </w:r>
          </w:p>
          <w:p w14:paraId="0D298FCD">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、五金：钢制下架，通过除锈、除油、磷化等化学前处理后，表面高温静电喷塑。</w:t>
            </w:r>
          </w:p>
        </w:tc>
      </w:tr>
      <w:tr w14:paraId="07E9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trPr>
        <w:tc>
          <w:tcPr>
            <w:tcW w:w="764" w:type="dxa"/>
            <w:vMerge w:val="continue"/>
            <w:shd w:val="clear" w:color="auto" w:fill="auto"/>
            <w:vAlign w:val="center"/>
          </w:tcPr>
          <w:p w14:paraId="44276914">
            <w:pPr>
              <w:keepNext w:val="0"/>
              <w:keepLines w:val="0"/>
              <w:suppressLineNumbers w:val="0"/>
              <w:adjustRightInd w:val="0"/>
              <w:snapToGrid w:val="0"/>
              <w:spacing w:before="0" w:beforeAutospacing="0" w:after="0" w:afterAutospacing="0" w:line="240" w:lineRule="atLeast"/>
              <w:ind w:left="0" w:right="0" w:firstLine="480"/>
              <w:jc w:val="center"/>
              <w:rPr>
                <w:rFonts w:hint="default" w:ascii="宋体" w:hAnsi="宋体" w:eastAsia="宋体" w:cs="Times New Roman"/>
                <w:highlight w:val="none"/>
              </w:rPr>
            </w:pPr>
          </w:p>
        </w:tc>
        <w:tc>
          <w:tcPr>
            <w:tcW w:w="764" w:type="dxa"/>
            <w:vMerge w:val="continue"/>
            <w:shd w:val="clear" w:color="auto" w:fill="auto"/>
            <w:vAlign w:val="center"/>
          </w:tcPr>
          <w:p w14:paraId="34A9686D">
            <w:pPr>
              <w:keepNext w:val="0"/>
              <w:keepLines w:val="0"/>
              <w:suppressLineNumbers w:val="0"/>
              <w:adjustRightInd w:val="0"/>
              <w:snapToGrid w:val="0"/>
              <w:spacing w:before="0" w:beforeAutospacing="0" w:after="0" w:afterAutospacing="0" w:line="240" w:lineRule="atLeast"/>
              <w:ind w:left="0" w:right="0" w:firstLine="480"/>
              <w:jc w:val="center"/>
              <w:rPr>
                <w:rFonts w:hint="default" w:ascii="宋体" w:hAnsi="宋体" w:eastAsia="宋体" w:cs="Times New Roman"/>
                <w:highlight w:val="none"/>
              </w:rPr>
            </w:pPr>
          </w:p>
        </w:tc>
        <w:tc>
          <w:tcPr>
            <w:tcW w:w="1131" w:type="dxa"/>
            <w:shd w:val="clear" w:color="auto" w:fill="auto"/>
            <w:vAlign w:val="center"/>
          </w:tcPr>
          <w:p w14:paraId="631BBCE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E27BDD2">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64" w:type="dxa"/>
            <w:gridSpan w:val="15"/>
            <w:shd w:val="clear" w:color="auto" w:fill="auto"/>
            <w:vAlign w:val="center"/>
          </w:tcPr>
          <w:p w14:paraId="7C8912A5">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highlight w:val="none"/>
              </w:rPr>
            </w:pPr>
          </w:p>
          <w:p w14:paraId="744BBFE4">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577465" cy="1737360"/>
                  <wp:effectExtent l="0" t="0" r="13335" b="15240"/>
                  <wp:docPr id="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8"/>
                          <pic:cNvPicPr>
                            <a:picLocks noChangeAspect="1"/>
                          </pic:cNvPicPr>
                        </pic:nvPicPr>
                        <pic:blipFill>
                          <a:blip r:embed="rId74"/>
                          <a:stretch>
                            <a:fillRect/>
                          </a:stretch>
                        </pic:blipFill>
                        <pic:spPr>
                          <a:xfrm>
                            <a:off x="0" y="0"/>
                            <a:ext cx="2577465" cy="173736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298825" cy="1783715"/>
                  <wp:effectExtent l="0" t="0" r="15875" b="698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75"/>
                          <a:stretch>
                            <a:fillRect/>
                          </a:stretch>
                        </pic:blipFill>
                        <pic:spPr>
                          <a:xfrm>
                            <a:off x="0" y="0"/>
                            <a:ext cx="3298825" cy="1783715"/>
                          </a:xfrm>
                          <a:prstGeom prst="rect">
                            <a:avLst/>
                          </a:prstGeom>
                          <a:noFill/>
                          <a:ln>
                            <a:noFill/>
                          </a:ln>
                        </pic:spPr>
                      </pic:pic>
                    </a:graphicData>
                  </a:graphic>
                </wp:inline>
              </w:drawing>
            </w:r>
          </w:p>
          <w:p w14:paraId="78CF02DE">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highlight w:val="none"/>
              </w:rPr>
            </w:pPr>
            <w:r>
              <w:rPr>
                <w:rFonts w:hint="eastAsia" w:ascii="宋体" w:hAnsi="宋体" w:eastAsia="宋体" w:cs="Times New Roman"/>
                <w:highlight w:val="none"/>
              </w:rPr>
              <w:t xml:space="preserve">   </w:t>
            </w:r>
            <w:r>
              <w:rPr>
                <w:rFonts w:hint="default" w:ascii="宋体" w:hAnsi="宋体" w:eastAsia="宋体" w:cs="Times New Roman"/>
                <w:highlight w:val="none"/>
              </w:rPr>
              <w:t xml:space="preserve">        </w:t>
            </w:r>
          </w:p>
        </w:tc>
      </w:tr>
    </w:tbl>
    <w:p w14:paraId="43FADECD">
      <w:pPr>
        <w:ind w:firstLine="0" w:firstLineChars="0"/>
        <w:rPr>
          <w:rFonts w:ascii="宋体" w:hAnsi="宋体" w:eastAsia="宋体" w:cs="Times New Roman"/>
          <w:highlight w:val="none"/>
        </w:rPr>
      </w:pPr>
      <w:r>
        <w:rPr>
          <w:rFonts w:ascii="宋体" w:hAnsi="宋体" w:eastAsia="宋体" w:cs="Times New Roman"/>
          <w:highlight w:val="none"/>
        </w:rPr>
        <w:br w:type="page"/>
      </w:r>
    </w:p>
    <w:tbl>
      <w:tblPr>
        <w:tblStyle w:val="44"/>
        <w:tblW w:w="15136"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79"/>
        <w:gridCol w:w="1118"/>
        <w:gridCol w:w="2098"/>
        <w:gridCol w:w="180"/>
        <w:gridCol w:w="180"/>
        <w:gridCol w:w="180"/>
        <w:gridCol w:w="180"/>
        <w:gridCol w:w="180"/>
        <w:gridCol w:w="360"/>
        <w:gridCol w:w="180"/>
        <w:gridCol w:w="8939"/>
      </w:tblGrid>
      <w:tr w14:paraId="180B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62" w:type="dxa"/>
            <w:vMerge w:val="restart"/>
            <w:shd w:val="clear" w:color="auto" w:fill="auto"/>
            <w:vAlign w:val="center"/>
          </w:tcPr>
          <w:p w14:paraId="7EB0226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19</w:t>
            </w:r>
          </w:p>
        </w:tc>
        <w:tc>
          <w:tcPr>
            <w:tcW w:w="779" w:type="dxa"/>
            <w:vMerge w:val="restart"/>
            <w:shd w:val="clear" w:color="auto" w:fill="auto"/>
            <w:vAlign w:val="center"/>
          </w:tcPr>
          <w:p w14:paraId="4C3856C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休闲阅读茶几</w:t>
            </w:r>
          </w:p>
        </w:tc>
        <w:tc>
          <w:tcPr>
            <w:tcW w:w="1118" w:type="dxa"/>
            <w:shd w:val="clear" w:color="auto" w:fill="auto"/>
            <w:vAlign w:val="center"/>
          </w:tcPr>
          <w:p w14:paraId="475E30C7">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098" w:type="dxa"/>
            <w:shd w:val="clear" w:color="auto" w:fill="auto"/>
          </w:tcPr>
          <w:p w14:paraId="77D400B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1200*550*375MM</w:t>
            </w:r>
          </w:p>
        </w:tc>
        <w:tc>
          <w:tcPr>
            <w:tcW w:w="900" w:type="dxa"/>
            <w:gridSpan w:val="5"/>
            <w:shd w:val="clear" w:color="auto" w:fill="auto"/>
          </w:tcPr>
          <w:p w14:paraId="1B374C3A">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479" w:type="dxa"/>
            <w:gridSpan w:val="3"/>
            <w:shd w:val="clear" w:color="auto" w:fill="auto"/>
          </w:tcPr>
          <w:p w14:paraId="7EE93FC4">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11个</w:t>
            </w:r>
          </w:p>
        </w:tc>
      </w:tr>
      <w:tr w14:paraId="6D03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762" w:type="dxa"/>
            <w:vMerge w:val="continue"/>
            <w:shd w:val="clear" w:color="auto" w:fill="auto"/>
            <w:vAlign w:val="center"/>
          </w:tcPr>
          <w:p w14:paraId="61F93160">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76D1B8A3">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1C2EE96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7EFA079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05BF7AA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3C1C732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3、榫卯结构；橡胶木框架和脚需使用整根独料，不得使用拼接或指接工艺的木料；</w:t>
            </w:r>
          </w:p>
          <w:p w14:paraId="08425DC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1312DB7E">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r>
              <w:rPr>
                <w:rFonts w:hint="eastAsia" w:ascii="宋体" w:hAnsi="宋体" w:eastAsia="宋体" w:cs="宋体"/>
                <w:sz w:val="21"/>
                <w:szCs w:val="21"/>
                <w:highlight w:val="none"/>
                <w:lang w:eastAsia="zh-CN"/>
              </w:rPr>
              <w:t>。</w:t>
            </w:r>
          </w:p>
        </w:tc>
      </w:tr>
      <w:tr w14:paraId="315B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762" w:type="dxa"/>
            <w:vMerge w:val="continue"/>
            <w:shd w:val="clear" w:color="auto" w:fill="auto"/>
            <w:vAlign w:val="center"/>
          </w:tcPr>
          <w:p w14:paraId="730812B6">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5E1886D9">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7EEA60D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1F17F11F">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66FD1314">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329815" cy="1941830"/>
                  <wp:effectExtent l="0" t="0" r="13335" b="1270"/>
                  <wp:docPr id="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0"/>
                          <pic:cNvPicPr>
                            <a:picLocks noChangeAspect="1"/>
                          </pic:cNvPicPr>
                        </pic:nvPicPr>
                        <pic:blipFill>
                          <a:blip r:embed="rId76"/>
                          <a:stretch>
                            <a:fillRect/>
                          </a:stretch>
                        </pic:blipFill>
                        <pic:spPr>
                          <a:xfrm>
                            <a:off x="0" y="0"/>
                            <a:ext cx="2329815" cy="1941830"/>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692525" cy="1356995"/>
                  <wp:effectExtent l="0" t="0" r="3175" b="14605"/>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77"/>
                          <a:stretch>
                            <a:fillRect/>
                          </a:stretch>
                        </pic:blipFill>
                        <pic:spPr>
                          <a:xfrm>
                            <a:off x="0" y="0"/>
                            <a:ext cx="3692525" cy="1356995"/>
                          </a:xfrm>
                          <a:prstGeom prst="rect">
                            <a:avLst/>
                          </a:prstGeom>
                          <a:noFill/>
                          <a:ln>
                            <a:noFill/>
                          </a:ln>
                        </pic:spPr>
                      </pic:pic>
                    </a:graphicData>
                  </a:graphic>
                </wp:inline>
              </w:drawing>
            </w:r>
          </w:p>
        </w:tc>
      </w:tr>
      <w:tr w14:paraId="6F11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62" w:type="dxa"/>
            <w:vMerge w:val="restart"/>
            <w:shd w:val="clear" w:color="auto" w:fill="auto"/>
            <w:vAlign w:val="center"/>
          </w:tcPr>
          <w:p w14:paraId="6CDFA95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20</w:t>
            </w:r>
          </w:p>
        </w:tc>
        <w:tc>
          <w:tcPr>
            <w:tcW w:w="779" w:type="dxa"/>
            <w:vMerge w:val="restart"/>
            <w:shd w:val="clear" w:color="auto" w:fill="auto"/>
            <w:vAlign w:val="center"/>
          </w:tcPr>
          <w:p w14:paraId="16E654D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组合休闲沙发1</w:t>
            </w:r>
          </w:p>
        </w:tc>
        <w:tc>
          <w:tcPr>
            <w:tcW w:w="1118" w:type="dxa"/>
            <w:shd w:val="clear" w:color="auto" w:fill="auto"/>
            <w:vAlign w:val="center"/>
          </w:tcPr>
          <w:p w14:paraId="788030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458" w:type="dxa"/>
            <w:gridSpan w:val="3"/>
            <w:shd w:val="clear" w:color="auto" w:fill="auto"/>
          </w:tcPr>
          <w:p w14:paraId="4789497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5040*2890*780MM</w:t>
            </w:r>
          </w:p>
        </w:tc>
        <w:tc>
          <w:tcPr>
            <w:tcW w:w="1080" w:type="dxa"/>
            <w:gridSpan w:val="5"/>
            <w:shd w:val="clear" w:color="auto" w:fill="auto"/>
          </w:tcPr>
          <w:p w14:paraId="5390041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shd w:val="clear" w:color="auto" w:fill="auto"/>
          </w:tcPr>
          <w:p w14:paraId="5F8B6524">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5套</w:t>
            </w:r>
          </w:p>
        </w:tc>
      </w:tr>
      <w:tr w14:paraId="5222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762" w:type="dxa"/>
            <w:vMerge w:val="continue"/>
            <w:shd w:val="clear" w:color="auto" w:fill="auto"/>
            <w:vAlign w:val="center"/>
          </w:tcPr>
          <w:p w14:paraId="6A83E122">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7A39A23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1F64E43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27C29D07">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1、整体木质部分采用橡胶木指接板，厚度50mm，框架60*40.1.5mm钢管，钢脚φ70*1.5mm，通过高温脱脂干燥热处理，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材质稳定、不变形，表面环保油漆</w:t>
            </w:r>
            <w:r>
              <w:rPr>
                <w:rFonts w:hint="eastAsia" w:cs="宋体"/>
                <w:sz w:val="21"/>
                <w:szCs w:val="21"/>
                <w:highlight w:val="none"/>
                <w:lang w:eastAsia="zh-CN"/>
              </w:rPr>
              <w:t>；</w:t>
            </w:r>
          </w:p>
          <w:p w14:paraId="6384D24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146A1C1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、油漆工艺：“五道底漆三道面漆”，表面硬度达2H；在恒温、恒湿高度防尘的面漆房喷涂面漆；</w:t>
            </w:r>
          </w:p>
          <w:p w14:paraId="1275C4E4">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、优质麻绒,质地柔软</w:t>
            </w:r>
            <w:r>
              <w:rPr>
                <w:rFonts w:hint="eastAsia" w:ascii="宋体" w:hAnsi="宋体" w:eastAsia="宋体" w:cs="宋体"/>
                <w:sz w:val="21"/>
                <w:szCs w:val="21"/>
                <w:highlight w:val="none"/>
                <w:lang w:eastAsia="zh-CN"/>
              </w:rPr>
              <w:t>；</w:t>
            </w:r>
          </w:p>
          <w:p w14:paraId="7D841894">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、高密度高回弹裁切海绵,具有良好的抗震性、柔软性,抗撕拉</w:t>
            </w:r>
            <w:r>
              <w:rPr>
                <w:rFonts w:hint="eastAsia" w:ascii="宋体" w:hAnsi="宋体" w:eastAsia="宋体" w:cs="宋体"/>
                <w:sz w:val="21"/>
                <w:szCs w:val="21"/>
                <w:highlight w:val="none"/>
                <w:lang w:eastAsia="zh-CN"/>
              </w:rPr>
              <w:t>；</w:t>
            </w:r>
          </w:p>
          <w:p w14:paraId="7933FFF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电源：配置3X嵌入式电源（与木质部分同色），合金面板，3c认证，6个新国标五孔电源+6个USB充电，电源走线隐藏不外露。</w:t>
            </w:r>
          </w:p>
        </w:tc>
      </w:tr>
      <w:tr w14:paraId="07B2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7" w:hRule="atLeast"/>
        </w:trPr>
        <w:tc>
          <w:tcPr>
            <w:tcW w:w="762" w:type="dxa"/>
            <w:vMerge w:val="continue"/>
            <w:shd w:val="clear" w:color="auto" w:fill="auto"/>
            <w:vAlign w:val="center"/>
          </w:tcPr>
          <w:p w14:paraId="5F88ED50">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6CE324A8">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64388731">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效果要求</w:t>
            </w:r>
          </w:p>
        </w:tc>
        <w:tc>
          <w:tcPr>
            <w:tcW w:w="12477" w:type="dxa"/>
            <w:gridSpan w:val="9"/>
            <w:shd w:val="clear" w:color="auto" w:fill="auto"/>
          </w:tcPr>
          <w:p w14:paraId="4D3C800C">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311525" cy="2151380"/>
                  <wp:effectExtent l="0" t="0" r="3175" b="1270"/>
                  <wp:docPr id="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pic:cNvPicPr>
                            <a:picLocks noChangeAspect="1"/>
                          </pic:cNvPicPr>
                        </pic:nvPicPr>
                        <pic:blipFill>
                          <a:blip r:embed="rId78"/>
                          <a:stretch>
                            <a:fillRect/>
                          </a:stretch>
                        </pic:blipFill>
                        <pic:spPr>
                          <a:xfrm>
                            <a:off x="0" y="0"/>
                            <a:ext cx="3311525" cy="2151380"/>
                          </a:xfrm>
                          <a:prstGeom prst="rect">
                            <a:avLst/>
                          </a:prstGeom>
                          <a:noFill/>
                          <a:ln>
                            <a:noFill/>
                          </a:ln>
                        </pic:spPr>
                      </pic:pic>
                    </a:graphicData>
                  </a:graphic>
                </wp:inline>
              </w:drawing>
            </w:r>
          </w:p>
        </w:tc>
      </w:tr>
      <w:tr w14:paraId="471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0" w:hRule="atLeast"/>
        </w:trPr>
        <w:tc>
          <w:tcPr>
            <w:tcW w:w="762" w:type="dxa"/>
            <w:vMerge w:val="continue"/>
            <w:shd w:val="clear" w:color="auto" w:fill="auto"/>
            <w:vAlign w:val="center"/>
          </w:tcPr>
          <w:p w14:paraId="664865CB">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1B33FEC4">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6A511C4A">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67AFD520">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3307715" cy="1703705"/>
                  <wp:effectExtent l="0" t="0" r="6985" b="10795"/>
                  <wp:docPr id="1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3"/>
                          <pic:cNvPicPr>
                            <a:picLocks noChangeAspect="1"/>
                          </pic:cNvPicPr>
                        </pic:nvPicPr>
                        <pic:blipFill>
                          <a:blip r:embed="rId79"/>
                          <a:stretch>
                            <a:fillRect/>
                          </a:stretch>
                        </pic:blipFill>
                        <pic:spPr>
                          <a:xfrm>
                            <a:off x="0" y="0"/>
                            <a:ext cx="3307715" cy="1703705"/>
                          </a:xfrm>
                          <a:prstGeom prst="rect">
                            <a:avLst/>
                          </a:prstGeom>
                          <a:noFill/>
                          <a:ln>
                            <a:noFill/>
                          </a:ln>
                        </pic:spPr>
                      </pic:pic>
                    </a:graphicData>
                  </a:graphic>
                </wp:inline>
              </w:drawing>
            </w:r>
          </w:p>
          <w:p w14:paraId="601E7AC0">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p>
          <w:p w14:paraId="04EF5D69">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4768850" cy="1612900"/>
                  <wp:effectExtent l="0" t="0" r="12700" b="6350"/>
                  <wp:docPr id="1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4"/>
                          <pic:cNvPicPr>
                            <a:picLocks noChangeAspect="1"/>
                          </pic:cNvPicPr>
                        </pic:nvPicPr>
                        <pic:blipFill>
                          <a:blip r:embed="rId62"/>
                          <a:stretch>
                            <a:fillRect/>
                          </a:stretch>
                        </pic:blipFill>
                        <pic:spPr>
                          <a:xfrm>
                            <a:off x="0" y="0"/>
                            <a:ext cx="4768850" cy="1612900"/>
                          </a:xfrm>
                          <a:prstGeom prst="rect">
                            <a:avLst/>
                          </a:prstGeom>
                          <a:noFill/>
                          <a:ln>
                            <a:noFill/>
                          </a:ln>
                        </pic:spPr>
                      </pic:pic>
                    </a:graphicData>
                  </a:graphic>
                </wp:inline>
              </w:drawing>
            </w:r>
          </w:p>
        </w:tc>
      </w:tr>
      <w:tr w14:paraId="4F9A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3C6D76A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21</w:t>
            </w:r>
          </w:p>
        </w:tc>
        <w:tc>
          <w:tcPr>
            <w:tcW w:w="779" w:type="dxa"/>
            <w:vMerge w:val="restart"/>
            <w:shd w:val="clear" w:color="auto" w:fill="auto"/>
            <w:vAlign w:val="center"/>
          </w:tcPr>
          <w:p w14:paraId="27708F1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组合休闲沙发2</w:t>
            </w:r>
          </w:p>
        </w:tc>
        <w:tc>
          <w:tcPr>
            <w:tcW w:w="1118" w:type="dxa"/>
            <w:shd w:val="clear" w:color="auto" w:fill="auto"/>
            <w:vAlign w:val="center"/>
          </w:tcPr>
          <w:p w14:paraId="72D9117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18" w:type="dxa"/>
            <w:gridSpan w:val="5"/>
            <w:shd w:val="clear" w:color="auto" w:fill="auto"/>
          </w:tcPr>
          <w:p w14:paraId="09F05A6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5100*2650*780MM</w:t>
            </w:r>
          </w:p>
        </w:tc>
        <w:tc>
          <w:tcPr>
            <w:tcW w:w="720" w:type="dxa"/>
            <w:gridSpan w:val="3"/>
            <w:shd w:val="clear" w:color="auto" w:fill="auto"/>
          </w:tcPr>
          <w:p w14:paraId="6D96AAE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shd w:val="clear" w:color="auto" w:fill="auto"/>
          </w:tcPr>
          <w:p w14:paraId="7919A08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3套</w:t>
            </w:r>
          </w:p>
        </w:tc>
      </w:tr>
      <w:tr w14:paraId="1EF2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762" w:type="dxa"/>
            <w:vMerge w:val="continue"/>
            <w:shd w:val="clear" w:color="auto" w:fill="auto"/>
            <w:vAlign w:val="center"/>
          </w:tcPr>
          <w:p w14:paraId="507FB7FF">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1391FF1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57AF08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56FCC307">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1、座底板橡胶木指接板，厚度50mm，框架60*40.1.5mm钢管，钢脚φ70*1.5mm，通过高温脱脂干燥热处理，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材质稳定、不变形，表面环保油漆</w:t>
            </w:r>
            <w:r>
              <w:rPr>
                <w:rFonts w:hint="eastAsia" w:cs="宋体"/>
                <w:sz w:val="21"/>
                <w:szCs w:val="21"/>
                <w:highlight w:val="none"/>
                <w:lang w:eastAsia="zh-CN"/>
              </w:rPr>
              <w:t>；</w:t>
            </w:r>
          </w:p>
          <w:p w14:paraId="7BE00E4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208693E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、油漆工艺：“五道底漆三道面漆”，表面硬度达2H；在恒温、恒湿高度防尘的面漆房喷涂面漆；</w:t>
            </w:r>
          </w:p>
          <w:p w14:paraId="40B066BD">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、优质麻绒,质地柔软</w:t>
            </w:r>
            <w:r>
              <w:rPr>
                <w:rFonts w:hint="eastAsia" w:cs="宋体"/>
                <w:sz w:val="21"/>
                <w:szCs w:val="21"/>
                <w:highlight w:val="none"/>
                <w:lang w:eastAsia="zh-CN"/>
              </w:rPr>
              <w:t>；</w:t>
            </w:r>
          </w:p>
          <w:p w14:paraId="3FD81D44">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、高密度高回弹裁切海绵,具有良好的抗震性、柔软性,抗撕拉</w:t>
            </w:r>
            <w:r>
              <w:rPr>
                <w:rFonts w:hint="eastAsia" w:cs="宋体"/>
                <w:sz w:val="21"/>
                <w:szCs w:val="21"/>
                <w:highlight w:val="none"/>
                <w:lang w:eastAsia="zh-CN"/>
              </w:rPr>
              <w:t>；</w:t>
            </w:r>
          </w:p>
          <w:p w14:paraId="1BC2C314">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电源：配置4X嵌入式电源（与木质部分同色），合金面板，3c认证，8个新国标五孔电源+8个USB充电，电源走线隐藏不外露。</w:t>
            </w:r>
          </w:p>
        </w:tc>
      </w:tr>
      <w:tr w14:paraId="6BBA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5EC238D4">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6E5D0BC6">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24F020E6">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3425DF6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3C8E36E4">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967990" cy="2293620"/>
                  <wp:effectExtent l="0" t="0" r="3810" b="11430"/>
                  <wp:docPr id="10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5"/>
                          <pic:cNvPicPr>
                            <a:picLocks noChangeAspect="1"/>
                          </pic:cNvPicPr>
                        </pic:nvPicPr>
                        <pic:blipFill>
                          <a:blip r:embed="rId80"/>
                          <a:stretch>
                            <a:fillRect/>
                          </a:stretch>
                        </pic:blipFill>
                        <pic:spPr>
                          <a:xfrm>
                            <a:off x="0" y="0"/>
                            <a:ext cx="2967990" cy="2293620"/>
                          </a:xfrm>
                          <a:prstGeom prst="rect">
                            <a:avLst/>
                          </a:prstGeom>
                          <a:noFill/>
                          <a:ln>
                            <a:noFill/>
                          </a:ln>
                        </pic:spPr>
                      </pic:pic>
                    </a:graphicData>
                  </a:graphic>
                </wp:inline>
              </w:drawing>
            </w: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4462780" cy="2331720"/>
                  <wp:effectExtent l="0" t="0" r="13970" b="1143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r:embed="rId62"/>
                          <a:stretch>
                            <a:fillRect/>
                          </a:stretch>
                        </pic:blipFill>
                        <pic:spPr>
                          <a:xfrm>
                            <a:off x="0" y="0"/>
                            <a:ext cx="4462780" cy="2331720"/>
                          </a:xfrm>
                          <a:prstGeom prst="rect">
                            <a:avLst/>
                          </a:prstGeom>
                          <a:noFill/>
                          <a:ln>
                            <a:noFill/>
                          </a:ln>
                        </pic:spPr>
                      </pic:pic>
                    </a:graphicData>
                  </a:graphic>
                </wp:inline>
              </w:drawing>
            </w:r>
          </w:p>
        </w:tc>
      </w:tr>
      <w:tr w14:paraId="5585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62" w:type="dxa"/>
            <w:vMerge w:val="restart"/>
            <w:shd w:val="clear" w:color="auto" w:fill="auto"/>
            <w:vAlign w:val="center"/>
          </w:tcPr>
          <w:p w14:paraId="0A8403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22</w:t>
            </w:r>
          </w:p>
        </w:tc>
        <w:tc>
          <w:tcPr>
            <w:tcW w:w="779" w:type="dxa"/>
            <w:vMerge w:val="restart"/>
            <w:shd w:val="clear" w:color="auto" w:fill="auto"/>
            <w:vAlign w:val="center"/>
          </w:tcPr>
          <w:p w14:paraId="0B69C5E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研习桌子1</w:t>
            </w:r>
          </w:p>
        </w:tc>
        <w:tc>
          <w:tcPr>
            <w:tcW w:w="1118" w:type="dxa"/>
            <w:shd w:val="clear" w:color="auto" w:fill="auto"/>
            <w:vAlign w:val="center"/>
          </w:tcPr>
          <w:p w14:paraId="1109F2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818" w:type="dxa"/>
            <w:gridSpan w:val="5"/>
            <w:shd w:val="clear" w:color="auto" w:fill="auto"/>
          </w:tcPr>
          <w:p w14:paraId="1C7F3E1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1400*500*750MM</w:t>
            </w:r>
          </w:p>
        </w:tc>
        <w:tc>
          <w:tcPr>
            <w:tcW w:w="720" w:type="dxa"/>
            <w:gridSpan w:val="3"/>
            <w:shd w:val="clear" w:color="auto" w:fill="auto"/>
          </w:tcPr>
          <w:p w14:paraId="4AB2A29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shd w:val="clear" w:color="auto" w:fill="auto"/>
          </w:tcPr>
          <w:p w14:paraId="1BCD23A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54个</w:t>
            </w:r>
          </w:p>
        </w:tc>
      </w:tr>
      <w:tr w14:paraId="4369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762" w:type="dxa"/>
            <w:vMerge w:val="continue"/>
            <w:shd w:val="clear" w:color="auto" w:fill="auto"/>
            <w:vAlign w:val="center"/>
          </w:tcPr>
          <w:p w14:paraId="5246919C">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4A329AA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5D048DD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vAlign w:val="center"/>
          </w:tcPr>
          <w:p w14:paraId="365BB78A">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highlight w:val="none"/>
              </w:rPr>
            </w:pP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1、木质部分全部采用橡胶木，需通过脱水、脱脂处理，含水率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，保证变形小、不开裂；</w:t>
            </w:r>
          </w:p>
          <w:p w14:paraId="7B4F4C26">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rPr>
              <w:t>2、</w:t>
            </w:r>
            <w:r>
              <w:rPr>
                <w:rFonts w:hint="eastAsia" w:ascii="宋体" w:hAnsi="宋体" w:eastAsia="宋体" w:cs="宋体"/>
                <w:kern w:val="0"/>
                <w:sz w:val="21"/>
                <w:szCs w:val="21"/>
                <w:highlight w:val="none"/>
              </w:rPr>
              <w:t>桌面厚度40mm，桌架拉力板100*25mm，桌脚100*100mm</w:t>
            </w:r>
            <w:r>
              <w:rPr>
                <w:rFonts w:hint="eastAsia" w:cs="宋体"/>
                <w:kern w:val="0"/>
                <w:sz w:val="21"/>
                <w:szCs w:val="21"/>
                <w:highlight w:val="none"/>
                <w:lang w:eastAsia="zh-CN"/>
              </w:rPr>
              <w:t>；</w:t>
            </w:r>
          </w:p>
          <w:p w14:paraId="2B1C2B72">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kern w:val="0"/>
                <w:sz w:val="21"/>
                <w:szCs w:val="21"/>
                <w:highlight w:val="none"/>
              </w:rPr>
              <w:t>榫卯结构，阅览桌台面采用橡胶木指接木，桌子框架，桌脚均需使用整根独料，不得使用拼接或指接工艺的木料</w:t>
            </w:r>
            <w:r>
              <w:rPr>
                <w:rFonts w:hint="eastAsia" w:cs="宋体"/>
                <w:kern w:val="0"/>
                <w:sz w:val="21"/>
                <w:szCs w:val="21"/>
                <w:highlight w:val="none"/>
                <w:lang w:eastAsia="zh-CN"/>
              </w:rPr>
              <w:t>；</w:t>
            </w:r>
          </w:p>
          <w:p w14:paraId="6C4F9B17">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rPr>
              <w:t>4、单个或多个讨论桌组合可拼合成以下12种组合讨论桌，拼合高低落差小于1mm</w:t>
            </w:r>
            <w:r>
              <w:rPr>
                <w:rFonts w:hint="eastAsia" w:cs="宋体"/>
                <w:sz w:val="21"/>
                <w:szCs w:val="21"/>
                <w:highlight w:val="none"/>
                <w:lang w:eastAsia="zh-CN"/>
              </w:rPr>
              <w:t>；</w:t>
            </w:r>
          </w:p>
          <w:p w14:paraId="2DE9173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4C36041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、油漆工艺：“五道底漆三道面漆”，表面硬度达2H；在恒温、恒湿高度防尘的面漆房喷涂面漆</w:t>
            </w:r>
            <w:r>
              <w:rPr>
                <w:rFonts w:hint="eastAsia" w:ascii="宋体" w:hAnsi="宋体" w:eastAsia="宋体" w:cs="宋体"/>
                <w:sz w:val="21"/>
                <w:szCs w:val="21"/>
                <w:highlight w:val="none"/>
                <w:lang w:val="en-US" w:eastAsia="zh-CN"/>
              </w:rPr>
              <w:t>。</w:t>
            </w:r>
          </w:p>
        </w:tc>
      </w:tr>
      <w:tr w14:paraId="401B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762" w:type="dxa"/>
            <w:vMerge w:val="continue"/>
            <w:shd w:val="clear" w:color="auto" w:fill="auto"/>
            <w:vAlign w:val="center"/>
          </w:tcPr>
          <w:p w14:paraId="33306052">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4DAFC37E">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19B2597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效果要求</w:t>
            </w:r>
          </w:p>
        </w:tc>
        <w:tc>
          <w:tcPr>
            <w:tcW w:w="12477" w:type="dxa"/>
            <w:gridSpan w:val="9"/>
            <w:shd w:val="clear" w:color="auto" w:fill="auto"/>
            <w:vAlign w:val="center"/>
          </w:tcPr>
          <w:p w14:paraId="6568359F">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614295" cy="1550035"/>
                  <wp:effectExtent l="0" t="0" r="14605" b="12065"/>
                  <wp:docPr id="10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7"/>
                          <pic:cNvPicPr>
                            <a:picLocks noChangeAspect="1"/>
                          </pic:cNvPicPr>
                        </pic:nvPicPr>
                        <pic:blipFill>
                          <a:blip r:embed="rId81"/>
                          <a:stretch>
                            <a:fillRect/>
                          </a:stretch>
                        </pic:blipFill>
                        <pic:spPr>
                          <a:xfrm>
                            <a:off x="0" y="0"/>
                            <a:ext cx="2614295" cy="1550035"/>
                          </a:xfrm>
                          <a:prstGeom prst="rect">
                            <a:avLst/>
                          </a:prstGeom>
                          <a:noFill/>
                          <a:ln>
                            <a:noFill/>
                          </a:ln>
                        </pic:spPr>
                      </pic:pic>
                    </a:graphicData>
                  </a:graphic>
                </wp:inline>
              </w:drawing>
            </w:r>
            <w:r>
              <w:rPr>
                <w:rFonts w:hint="default" w:ascii="宋体" w:hAnsi="宋体" w:eastAsia="宋体" w:cs="Times New Roman"/>
                <w:highlight w:val="none"/>
              </w:rPr>
              <w:drawing>
                <wp:inline distT="0" distB="0" distL="114300" distR="114300">
                  <wp:extent cx="2442210" cy="1671320"/>
                  <wp:effectExtent l="0" t="0" r="15240" b="5080"/>
                  <wp:docPr id="105" name="图片 51" descr="D:\快盘\tsg\东校区数字图书馆\子方案\图书馆的家具风格设计\20160113\20160113\组合讨论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descr="D:\快盘\tsg\东校区数字图书馆\子方案\图书馆的家具风格设计\20160113\20160113\组合讨论桌\2.png"/>
                          <pic:cNvPicPr>
                            <a:picLocks noChangeAspect="1"/>
                          </pic:cNvPicPr>
                        </pic:nvPicPr>
                        <pic:blipFill>
                          <a:blip r:embed="rId82"/>
                          <a:stretch>
                            <a:fillRect/>
                          </a:stretch>
                        </pic:blipFill>
                        <pic:spPr>
                          <a:xfrm>
                            <a:off x="0" y="0"/>
                            <a:ext cx="2442210" cy="1671320"/>
                          </a:xfrm>
                          <a:prstGeom prst="rect">
                            <a:avLst/>
                          </a:prstGeom>
                          <a:noFill/>
                          <a:ln>
                            <a:noFill/>
                          </a:ln>
                        </pic:spPr>
                      </pic:pic>
                    </a:graphicData>
                  </a:graphic>
                </wp:inline>
              </w:drawing>
            </w:r>
          </w:p>
          <w:p w14:paraId="0503AEF6">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508250" cy="1184910"/>
                  <wp:effectExtent l="0" t="0" r="6350" b="15240"/>
                  <wp:docPr id="10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9"/>
                          <pic:cNvPicPr>
                            <a:picLocks noChangeAspect="1"/>
                          </pic:cNvPicPr>
                        </pic:nvPicPr>
                        <pic:blipFill>
                          <a:blip r:embed="rId83"/>
                          <a:stretch>
                            <a:fillRect/>
                          </a:stretch>
                        </pic:blipFill>
                        <pic:spPr>
                          <a:xfrm>
                            <a:off x="0" y="0"/>
                            <a:ext cx="2508250" cy="1184910"/>
                          </a:xfrm>
                          <a:prstGeom prst="rect">
                            <a:avLst/>
                          </a:prstGeom>
                          <a:noFill/>
                          <a:ln>
                            <a:noFill/>
                          </a:ln>
                        </pic:spPr>
                      </pic:pic>
                    </a:graphicData>
                  </a:graphic>
                </wp:inline>
              </w:drawing>
            </w:r>
            <w:r>
              <w:rPr>
                <w:rFonts w:hint="default" w:ascii="宋体" w:hAnsi="宋体" w:eastAsia="宋体" w:cs="Times New Roman"/>
                <w:highlight w:val="none"/>
              </w:rPr>
              <w:drawing>
                <wp:inline distT="0" distB="0" distL="114300" distR="114300">
                  <wp:extent cx="2599690" cy="1247775"/>
                  <wp:effectExtent l="0" t="0" r="10160" b="9525"/>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pic:cNvPicPr>
                            <a:picLocks noChangeAspect="1"/>
                          </pic:cNvPicPr>
                        </pic:nvPicPr>
                        <pic:blipFill>
                          <a:blip r:embed="rId84"/>
                          <a:stretch>
                            <a:fillRect/>
                          </a:stretch>
                        </pic:blipFill>
                        <pic:spPr>
                          <a:xfrm>
                            <a:off x="0" y="0"/>
                            <a:ext cx="2599690" cy="124777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t xml:space="preserve">     </w:t>
            </w:r>
          </w:p>
          <w:p w14:paraId="1A407E91">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2324735" cy="1169035"/>
                  <wp:effectExtent l="0" t="0" r="18415" b="12065"/>
                  <wp:docPr id="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pic:cNvPicPr>
                            <a:picLocks noChangeAspect="1"/>
                          </pic:cNvPicPr>
                        </pic:nvPicPr>
                        <pic:blipFill>
                          <a:blip r:embed="rId85"/>
                          <a:stretch>
                            <a:fillRect/>
                          </a:stretch>
                        </pic:blipFill>
                        <pic:spPr>
                          <a:xfrm>
                            <a:off x="0" y="0"/>
                            <a:ext cx="2324735" cy="1169035"/>
                          </a:xfrm>
                          <a:prstGeom prst="rect">
                            <a:avLst/>
                          </a:prstGeom>
                          <a:noFill/>
                          <a:ln>
                            <a:noFill/>
                          </a:ln>
                        </pic:spPr>
                      </pic:pic>
                    </a:graphicData>
                  </a:graphic>
                </wp:inline>
              </w:drawing>
            </w:r>
            <w:r>
              <w:rPr>
                <w:rFonts w:hint="default"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434590" cy="1231265"/>
                  <wp:effectExtent l="0" t="0" r="3810" b="6985"/>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pic:cNvPicPr>
                            <a:picLocks noChangeAspect="1"/>
                          </pic:cNvPicPr>
                        </pic:nvPicPr>
                        <pic:blipFill>
                          <a:blip r:embed="rId86"/>
                          <a:stretch>
                            <a:fillRect/>
                          </a:stretch>
                        </pic:blipFill>
                        <pic:spPr>
                          <a:xfrm>
                            <a:off x="0" y="0"/>
                            <a:ext cx="2434590" cy="1231265"/>
                          </a:xfrm>
                          <a:prstGeom prst="rect">
                            <a:avLst/>
                          </a:prstGeom>
                          <a:noFill/>
                          <a:ln>
                            <a:noFill/>
                          </a:ln>
                        </pic:spPr>
                      </pic:pic>
                    </a:graphicData>
                  </a:graphic>
                </wp:inline>
              </w:drawing>
            </w:r>
          </w:p>
        </w:tc>
      </w:tr>
      <w:tr w14:paraId="6B67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762" w:type="dxa"/>
            <w:vMerge w:val="continue"/>
            <w:shd w:val="clear" w:color="auto" w:fill="auto"/>
            <w:vAlign w:val="center"/>
          </w:tcPr>
          <w:p w14:paraId="3553517B">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2DC4A1A3">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4C59C196">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22E48906">
            <w:pPr>
              <w:keepNext w:val="0"/>
              <w:keepLines w:val="0"/>
              <w:suppressLineNumbers w:val="0"/>
              <w:spacing w:before="0" w:beforeAutospacing="0" w:after="0" w:afterAutospacing="0"/>
              <w:ind w:left="0" w:right="0" w:firstLine="48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5692140" cy="1771650"/>
                  <wp:effectExtent l="0" t="0" r="3810" b="0"/>
                  <wp:docPr id="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pic:cNvPicPr>
                            <a:picLocks noChangeAspect="1"/>
                          </pic:cNvPicPr>
                        </pic:nvPicPr>
                        <pic:blipFill>
                          <a:blip r:embed="rId87"/>
                          <a:stretch>
                            <a:fillRect/>
                          </a:stretch>
                        </pic:blipFill>
                        <pic:spPr>
                          <a:xfrm>
                            <a:off x="0" y="0"/>
                            <a:ext cx="5692140" cy="1771650"/>
                          </a:xfrm>
                          <a:prstGeom prst="rect">
                            <a:avLst/>
                          </a:prstGeom>
                          <a:noFill/>
                          <a:ln>
                            <a:noFill/>
                          </a:ln>
                        </pic:spPr>
                      </pic:pic>
                    </a:graphicData>
                  </a:graphic>
                </wp:inline>
              </w:drawing>
            </w:r>
          </w:p>
        </w:tc>
      </w:tr>
      <w:tr w14:paraId="3213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62" w:type="dxa"/>
            <w:vMerge w:val="restart"/>
            <w:shd w:val="clear" w:color="auto" w:fill="auto"/>
            <w:vAlign w:val="center"/>
          </w:tcPr>
          <w:p w14:paraId="7347C02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23</w:t>
            </w:r>
          </w:p>
        </w:tc>
        <w:tc>
          <w:tcPr>
            <w:tcW w:w="779" w:type="dxa"/>
            <w:vMerge w:val="restart"/>
            <w:shd w:val="clear" w:color="auto" w:fill="auto"/>
            <w:vAlign w:val="center"/>
          </w:tcPr>
          <w:p w14:paraId="6884CDD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highlight w:val="none"/>
              </w:rPr>
            </w:pPr>
            <w:bookmarkStart w:id="15" w:name="_Hlk185629961"/>
            <w:r>
              <w:rPr>
                <w:rFonts w:hint="eastAsia" w:ascii="宋体" w:hAnsi="宋体" w:eastAsia="宋体" w:cs="宋体"/>
                <w:kern w:val="0"/>
                <w:sz w:val="21"/>
                <w:szCs w:val="21"/>
                <w:highlight w:val="none"/>
              </w:rPr>
              <w:t>研</w:t>
            </w:r>
          </w:p>
          <w:p w14:paraId="52565EC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习</w:t>
            </w:r>
          </w:p>
          <w:p w14:paraId="6AD46756">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rPr>
              <w:t>椅</w:t>
            </w:r>
            <w:bookmarkEnd w:id="15"/>
            <w:r>
              <w:rPr>
                <w:rFonts w:hint="eastAsia" w:ascii="宋体" w:hAnsi="宋体" w:eastAsia="宋体" w:cs="宋体"/>
                <w:kern w:val="0"/>
                <w:sz w:val="21"/>
                <w:szCs w:val="21"/>
                <w:highlight w:val="none"/>
              </w:rPr>
              <w:br w:type="textWrapping"/>
            </w:r>
            <w:r>
              <w:rPr>
                <w:rFonts w:hint="eastAsia" w:cs="宋体"/>
                <w:kern w:val="0"/>
                <w:sz w:val="21"/>
                <w:szCs w:val="21"/>
                <w:highlight w:val="none"/>
                <w:lang w:eastAsia="zh-CN"/>
              </w:rPr>
              <w:t>（</w:t>
            </w:r>
            <w:r>
              <w:rPr>
                <w:rFonts w:hint="eastAsia" w:cs="宋体"/>
                <w:kern w:val="0"/>
                <w:sz w:val="21"/>
                <w:szCs w:val="21"/>
                <w:highlight w:val="none"/>
                <w:lang w:val="en-US" w:eastAsia="zh-CN"/>
              </w:rPr>
              <w:t>核心产品</w:t>
            </w:r>
            <w:r>
              <w:rPr>
                <w:rFonts w:hint="eastAsia" w:cs="宋体"/>
                <w:kern w:val="0"/>
                <w:sz w:val="21"/>
                <w:szCs w:val="21"/>
                <w:highlight w:val="none"/>
                <w:lang w:eastAsia="zh-CN"/>
              </w:rPr>
              <w:t>）</w:t>
            </w:r>
          </w:p>
        </w:tc>
        <w:tc>
          <w:tcPr>
            <w:tcW w:w="1118" w:type="dxa"/>
            <w:shd w:val="clear" w:color="auto" w:fill="auto"/>
            <w:vAlign w:val="center"/>
          </w:tcPr>
          <w:p w14:paraId="65A40B7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638" w:type="dxa"/>
            <w:gridSpan w:val="4"/>
            <w:shd w:val="clear" w:color="auto" w:fill="auto"/>
            <w:vAlign w:val="center"/>
          </w:tcPr>
          <w:p w14:paraId="0540DC4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590*600*860MM</w:t>
            </w:r>
          </w:p>
        </w:tc>
        <w:tc>
          <w:tcPr>
            <w:tcW w:w="720" w:type="dxa"/>
            <w:gridSpan w:val="3"/>
            <w:shd w:val="clear" w:color="auto" w:fill="auto"/>
            <w:vAlign w:val="center"/>
          </w:tcPr>
          <w:p w14:paraId="70EA917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9119" w:type="dxa"/>
            <w:gridSpan w:val="2"/>
            <w:shd w:val="clear" w:color="auto" w:fill="auto"/>
            <w:vAlign w:val="center"/>
          </w:tcPr>
          <w:p w14:paraId="393C6E7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144个</w:t>
            </w:r>
          </w:p>
        </w:tc>
      </w:tr>
      <w:tr w14:paraId="0D0F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762" w:type="dxa"/>
            <w:vMerge w:val="continue"/>
            <w:shd w:val="clear" w:color="auto" w:fill="auto"/>
            <w:vAlign w:val="center"/>
          </w:tcPr>
          <w:p w14:paraId="728E1A5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0B012CF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4CFAB4A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037E839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16B2B134">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2、椅子坐板采用橡胶木指接板，厚度18mm；</w:t>
            </w:r>
          </w:p>
          <w:p w14:paraId="4F5FB012">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color w:val="000000"/>
                <w:kern w:val="0"/>
                <w:highlight w:val="none"/>
              </w:rPr>
              <w:t>★</w:t>
            </w:r>
            <w:r>
              <w:rPr>
                <w:rFonts w:hint="eastAsia" w:ascii="宋体" w:hAnsi="宋体" w:eastAsia="宋体" w:cs="宋体"/>
                <w:sz w:val="21"/>
                <w:szCs w:val="21"/>
                <w:highlight w:val="none"/>
              </w:rPr>
              <w:t>3、榫卯结构；椅子框架，特别是椅子前、后脚均需使用整根独料，不得使用拼接或指接工艺的木料（折弯处可榫卯拼接），椅脚40*60MM；</w:t>
            </w:r>
          </w:p>
          <w:p w14:paraId="409A5D0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1EABFD4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p>
          <w:p w14:paraId="588C37A6">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r>
              <w:rPr>
                <w:rFonts w:hint="eastAsia" w:ascii="宋体" w:hAnsi="宋体" w:eastAsia="宋体" w:cs="宋体"/>
                <w:kern w:val="0"/>
                <w:sz w:val="21"/>
                <w:szCs w:val="21"/>
                <w:highlight w:val="none"/>
              </w:rPr>
              <w:t>座椅配有可拆卸坐垫，绑带固定；坐垫表面优质麻绒，填充采用高密度高回弹裁切海绵,具有良好的抗震性、柔软性,抗撕拉</w:t>
            </w:r>
            <w:r>
              <w:rPr>
                <w:rFonts w:hint="eastAsia" w:cs="宋体"/>
                <w:kern w:val="0"/>
                <w:sz w:val="21"/>
                <w:szCs w:val="21"/>
                <w:highlight w:val="none"/>
                <w:lang w:eastAsia="zh-CN"/>
              </w:rPr>
              <w:t>；</w:t>
            </w:r>
          </w:p>
          <w:p w14:paraId="14D1CEF2">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highlight w:val="none"/>
              </w:rPr>
            </w:pP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、椅背阴刻湖州学院logo，直径6cm。</w:t>
            </w:r>
          </w:p>
        </w:tc>
      </w:tr>
      <w:tr w14:paraId="2A92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6126C696">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60411CF1">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398778EF">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5F5DC36C">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69866F7A">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2603500" cy="2127250"/>
                  <wp:effectExtent l="0" t="0" r="6350" b="6350"/>
                  <wp:docPr id="1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4"/>
                          <pic:cNvPicPr>
                            <a:picLocks noChangeAspect="1"/>
                          </pic:cNvPicPr>
                        </pic:nvPicPr>
                        <pic:blipFill>
                          <a:blip r:embed="rId54"/>
                          <a:stretch>
                            <a:fillRect/>
                          </a:stretch>
                        </pic:blipFill>
                        <pic:spPr>
                          <a:xfrm>
                            <a:off x="0" y="0"/>
                            <a:ext cx="2603500" cy="2127250"/>
                          </a:xfrm>
                          <a:prstGeom prst="rect">
                            <a:avLst/>
                          </a:prstGeom>
                          <a:noFill/>
                          <a:ln>
                            <a:noFill/>
                          </a:ln>
                        </pic:spPr>
                      </pic:pic>
                    </a:graphicData>
                  </a:graphic>
                </wp:inline>
              </w:drawing>
            </w:r>
            <w:r>
              <w:rPr>
                <w:rFonts w:hint="default" w:ascii="宋体" w:hAnsi="宋体" w:eastAsia="宋体" w:cs="Times New Roman"/>
                <w:highlight w:val="none"/>
              </w:rPr>
              <w:drawing>
                <wp:inline distT="0" distB="0" distL="114300" distR="114300">
                  <wp:extent cx="4175125" cy="2393950"/>
                  <wp:effectExtent l="0" t="0" r="15875" b="6350"/>
                  <wp:docPr id="5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1"/>
                          </pic:cNvPicPr>
                        </pic:nvPicPr>
                        <pic:blipFill>
                          <a:blip r:embed="rId55"/>
                          <a:stretch>
                            <a:fillRect/>
                          </a:stretch>
                        </pic:blipFill>
                        <pic:spPr>
                          <a:xfrm>
                            <a:off x="0" y="0"/>
                            <a:ext cx="4175125" cy="2393950"/>
                          </a:xfrm>
                          <a:prstGeom prst="rect">
                            <a:avLst/>
                          </a:prstGeom>
                          <a:noFill/>
                          <a:ln>
                            <a:noFill/>
                          </a:ln>
                        </pic:spPr>
                      </pic:pic>
                    </a:graphicData>
                  </a:graphic>
                </wp:inline>
              </w:drawing>
            </w:r>
          </w:p>
        </w:tc>
      </w:tr>
      <w:tr w14:paraId="1BD1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3603606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24</w:t>
            </w:r>
          </w:p>
        </w:tc>
        <w:tc>
          <w:tcPr>
            <w:tcW w:w="779" w:type="dxa"/>
            <w:vMerge w:val="restart"/>
            <w:shd w:val="clear" w:color="auto" w:fill="auto"/>
            <w:vAlign w:val="center"/>
          </w:tcPr>
          <w:p w14:paraId="1F31C7A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功能服务柜2</w:t>
            </w:r>
          </w:p>
        </w:tc>
        <w:tc>
          <w:tcPr>
            <w:tcW w:w="1118" w:type="dxa"/>
            <w:shd w:val="clear" w:color="auto" w:fill="auto"/>
            <w:vAlign w:val="center"/>
          </w:tcPr>
          <w:p w14:paraId="5B6E7A6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278" w:type="dxa"/>
            <w:gridSpan w:val="2"/>
            <w:shd w:val="clear" w:color="auto" w:fill="auto"/>
            <w:vAlign w:val="center"/>
          </w:tcPr>
          <w:p w14:paraId="6A7932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800*400*2116 MM</w:t>
            </w:r>
          </w:p>
        </w:tc>
        <w:tc>
          <w:tcPr>
            <w:tcW w:w="1260" w:type="dxa"/>
            <w:gridSpan w:val="6"/>
            <w:shd w:val="clear" w:color="auto" w:fill="auto"/>
            <w:vAlign w:val="center"/>
          </w:tcPr>
          <w:p w14:paraId="31361C4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shd w:val="clear" w:color="auto" w:fill="auto"/>
            <w:vAlign w:val="center"/>
          </w:tcPr>
          <w:p w14:paraId="0824E5F8">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26个</w:t>
            </w:r>
          </w:p>
        </w:tc>
      </w:tr>
      <w:tr w14:paraId="711D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762" w:type="dxa"/>
            <w:vMerge w:val="continue"/>
            <w:shd w:val="clear" w:color="auto" w:fill="auto"/>
            <w:vAlign w:val="center"/>
          </w:tcPr>
          <w:p w14:paraId="5D381F84">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1201EB63">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04B56EC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2FEC9A4D">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▲1、木质部分全部采用橡胶木，需通过脱水、脱脂处理，</w:t>
            </w:r>
            <w:r>
              <w:rPr>
                <w:rFonts w:hint="eastAsia" w:ascii="宋体" w:hAnsi="宋体" w:eastAsia="宋体" w:cs="宋体"/>
                <w:kern w:val="0"/>
                <w:sz w:val="21"/>
                <w:szCs w:val="21"/>
                <w:highlight w:val="none"/>
              </w:rPr>
              <w:t>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保证变形小、不开裂；</w:t>
            </w:r>
          </w:p>
          <w:p w14:paraId="0B965852">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2、面板采用橡胶木指接板，厚度18mm；</w:t>
            </w:r>
          </w:p>
          <w:p w14:paraId="5F1494A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3、榫卯结构；橡胶木框架和脚需使用整根独料，不得使用拼接或指接工艺的木料；</w:t>
            </w:r>
          </w:p>
          <w:p w14:paraId="65E7587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、油漆：木件表面环保木器漆，总铅含量≤10mg/kg、可溶性重金属含量（镉、铬、汞)未检出。苯、甲苯、二甲苯（含乙苯）未检出；</w:t>
            </w:r>
          </w:p>
          <w:p w14:paraId="031D02FF">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、油漆工艺：“五道底漆三道面漆”，表面硬度达2H；在恒温、恒湿高度防尘的面漆房喷涂面漆</w:t>
            </w:r>
            <w:r>
              <w:rPr>
                <w:rFonts w:hint="eastAsia" w:ascii="宋体" w:hAnsi="宋体" w:eastAsia="宋体" w:cs="宋体"/>
                <w:sz w:val="21"/>
                <w:szCs w:val="21"/>
                <w:highlight w:val="none"/>
                <w:lang w:val="en-US" w:eastAsia="zh-CN"/>
              </w:rPr>
              <w:t>。</w:t>
            </w:r>
          </w:p>
        </w:tc>
      </w:tr>
      <w:tr w14:paraId="4BEB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trPr>
        <w:tc>
          <w:tcPr>
            <w:tcW w:w="762" w:type="dxa"/>
            <w:vMerge w:val="continue"/>
            <w:shd w:val="clear" w:color="auto" w:fill="auto"/>
            <w:vAlign w:val="center"/>
          </w:tcPr>
          <w:p w14:paraId="2830D842">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379AE280">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3AA7FE74">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highlight w:val="none"/>
              </w:rPr>
            </w:pPr>
            <w:r>
              <w:rPr>
                <w:rFonts w:hint="eastAsia" w:ascii="宋体" w:hAnsi="宋体" w:eastAsia="宋体" w:cs="Times New Roman"/>
                <w:sz w:val="21"/>
                <w:szCs w:val="21"/>
                <w:highlight w:val="none"/>
              </w:rPr>
              <w:t>效果及</w:t>
            </w:r>
          </w:p>
          <w:p w14:paraId="44360F1E">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sz w:val="21"/>
                <w:szCs w:val="21"/>
                <w:highlight w:val="none"/>
              </w:rPr>
              <w:t>结构要求</w:t>
            </w:r>
          </w:p>
        </w:tc>
        <w:tc>
          <w:tcPr>
            <w:tcW w:w="12477" w:type="dxa"/>
            <w:gridSpan w:val="9"/>
            <w:shd w:val="clear" w:color="auto" w:fill="auto"/>
          </w:tcPr>
          <w:p w14:paraId="7EA06D24">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1428750" cy="1628775"/>
                  <wp:effectExtent l="0" t="0" r="0" b="9525"/>
                  <wp:docPr id="1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6"/>
                          <pic:cNvPicPr>
                            <a:picLocks noChangeAspect="1"/>
                          </pic:cNvPicPr>
                        </pic:nvPicPr>
                        <pic:blipFill>
                          <a:blip r:embed="rId88"/>
                          <a:stretch>
                            <a:fillRect/>
                          </a:stretch>
                        </pic:blipFill>
                        <pic:spPr>
                          <a:xfrm>
                            <a:off x="0" y="0"/>
                            <a:ext cx="1428750" cy="1628775"/>
                          </a:xfrm>
                          <a:prstGeom prst="rect">
                            <a:avLst/>
                          </a:prstGeom>
                          <a:noFill/>
                          <a:ln>
                            <a:noFill/>
                          </a:ln>
                        </pic:spPr>
                      </pic:pic>
                    </a:graphicData>
                  </a:graphic>
                </wp:inline>
              </w:drawing>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1314450" cy="1705610"/>
                  <wp:effectExtent l="0" t="0" r="0" b="8890"/>
                  <wp:docPr id="114" name="ID_EE5B78D344214403A8A14F981B7A1C66" descr="功能服务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D_EE5B78D344214403A8A14F981B7A1C66" descr="功能服务柜"/>
                          <pic:cNvPicPr>
                            <a:picLocks noChangeAspect="1"/>
                          </pic:cNvPicPr>
                        </pic:nvPicPr>
                        <pic:blipFill>
                          <a:blip r:embed="rId52"/>
                          <a:stretch>
                            <a:fillRect/>
                          </a:stretch>
                        </pic:blipFill>
                        <pic:spPr>
                          <a:xfrm>
                            <a:off x="0" y="0"/>
                            <a:ext cx="1314450" cy="1705610"/>
                          </a:xfrm>
                          <a:prstGeom prst="rect">
                            <a:avLst/>
                          </a:prstGeom>
                          <a:noFill/>
                          <a:ln>
                            <a:noFill/>
                          </a:ln>
                        </pic:spPr>
                      </pic:pic>
                    </a:graphicData>
                  </a:graphic>
                </wp:inline>
              </w:drawing>
            </w:r>
            <w:r>
              <w:rPr>
                <w:rFonts w:hint="default" w:ascii="宋体" w:hAnsi="宋体" w:eastAsia="宋体" w:cs="Times New Roman"/>
                <w:highlight w:val="none"/>
              </w:rPr>
              <w:t xml:space="preserve">  </w:t>
            </w:r>
            <w:r>
              <w:rPr>
                <w:rFonts w:hint="eastAsia" w:ascii="宋体" w:hAnsi="宋体" w:eastAsia="宋体" w:cs="Times New Roman"/>
                <w:highlight w:val="none"/>
              </w:rPr>
              <w:t xml:space="preserve">           </w:t>
            </w:r>
            <w:r>
              <w:rPr>
                <w:rFonts w:hint="default" w:ascii="宋体" w:hAnsi="宋体" w:eastAsia="宋体" w:cs="Times New Roman"/>
                <w:highlight w:val="none"/>
              </w:rPr>
              <w:drawing>
                <wp:inline distT="0" distB="0" distL="114300" distR="114300">
                  <wp:extent cx="3264535" cy="1740535"/>
                  <wp:effectExtent l="0" t="0" r="12065" b="12065"/>
                  <wp:docPr id="5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8"/>
                          <pic:cNvPicPr>
                            <a:picLocks noChangeAspect="1"/>
                          </pic:cNvPicPr>
                        </pic:nvPicPr>
                        <pic:blipFill>
                          <a:blip r:embed="rId53"/>
                          <a:stretch>
                            <a:fillRect/>
                          </a:stretch>
                        </pic:blipFill>
                        <pic:spPr>
                          <a:xfrm>
                            <a:off x="0" y="0"/>
                            <a:ext cx="3264535" cy="1740535"/>
                          </a:xfrm>
                          <a:prstGeom prst="rect">
                            <a:avLst/>
                          </a:prstGeom>
                          <a:noFill/>
                          <a:ln>
                            <a:noFill/>
                          </a:ln>
                        </pic:spPr>
                      </pic:pic>
                    </a:graphicData>
                  </a:graphic>
                </wp:inline>
              </w:drawing>
            </w:r>
          </w:p>
          <w:p w14:paraId="1ACC7EBC">
            <w:pPr>
              <w:keepNext w:val="0"/>
              <w:keepLines w:val="0"/>
              <w:suppressLineNumbers w:val="0"/>
              <w:spacing w:before="0" w:beforeAutospacing="0" w:after="0" w:afterAutospacing="0" w:line="240" w:lineRule="auto"/>
              <w:ind w:left="0" w:right="0" w:firstLine="420"/>
              <w:rPr>
                <w:rFonts w:hint="default" w:ascii="宋体" w:hAnsi="宋体" w:eastAsia="宋体" w:cs="Times New Roman"/>
                <w:highlight w:val="none"/>
              </w:rPr>
            </w:pPr>
            <w:r>
              <w:rPr>
                <w:rFonts w:hint="eastAsia" w:ascii="宋体" w:hAnsi="宋体" w:eastAsia="宋体" w:cs="Times New Roman"/>
                <w:sz w:val="21"/>
                <w:szCs w:val="21"/>
                <w:highlight w:val="none"/>
              </w:rPr>
              <w:t>功能服务柜2            功能服务柜组合效果</w:t>
            </w:r>
            <w:r>
              <w:rPr>
                <w:rFonts w:hint="eastAsia" w:ascii="宋体" w:hAnsi="宋体" w:eastAsia="宋体" w:cs="Times New Roman"/>
                <w:highlight w:val="none"/>
              </w:rPr>
              <w:t xml:space="preserve">         </w:t>
            </w:r>
          </w:p>
        </w:tc>
      </w:tr>
      <w:tr w14:paraId="34B9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5972893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25</w:t>
            </w:r>
          </w:p>
        </w:tc>
        <w:tc>
          <w:tcPr>
            <w:tcW w:w="779" w:type="dxa"/>
            <w:vMerge w:val="restart"/>
            <w:shd w:val="clear" w:color="auto" w:fill="auto"/>
            <w:vAlign w:val="center"/>
          </w:tcPr>
          <w:p w14:paraId="2FA3696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kern w:val="0"/>
                <w:sz w:val="21"/>
                <w:szCs w:val="21"/>
                <w:highlight w:val="none"/>
              </w:rPr>
              <w:t>小静音仓</w:t>
            </w:r>
          </w:p>
        </w:tc>
        <w:tc>
          <w:tcPr>
            <w:tcW w:w="1118" w:type="dxa"/>
            <w:shd w:val="clear" w:color="auto" w:fill="auto"/>
            <w:vAlign w:val="center"/>
          </w:tcPr>
          <w:p w14:paraId="1717993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规格</w:t>
            </w:r>
          </w:p>
        </w:tc>
        <w:tc>
          <w:tcPr>
            <w:tcW w:w="2278" w:type="dxa"/>
            <w:gridSpan w:val="2"/>
            <w:shd w:val="clear" w:color="auto" w:fill="auto"/>
            <w:vAlign w:val="center"/>
          </w:tcPr>
          <w:p w14:paraId="7B99CB5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1030*1030*2200MM</w:t>
            </w:r>
          </w:p>
        </w:tc>
        <w:tc>
          <w:tcPr>
            <w:tcW w:w="1260" w:type="dxa"/>
            <w:gridSpan w:val="6"/>
            <w:shd w:val="clear" w:color="auto" w:fill="auto"/>
            <w:vAlign w:val="center"/>
          </w:tcPr>
          <w:p w14:paraId="7580BD8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数量</w:t>
            </w:r>
          </w:p>
        </w:tc>
        <w:tc>
          <w:tcPr>
            <w:tcW w:w="8939" w:type="dxa"/>
            <w:shd w:val="clear" w:color="auto" w:fill="auto"/>
            <w:vAlign w:val="center"/>
          </w:tcPr>
          <w:p w14:paraId="73C258F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sz w:val="21"/>
                <w:szCs w:val="21"/>
                <w:highlight w:val="none"/>
              </w:rPr>
              <w:t>4个</w:t>
            </w:r>
          </w:p>
        </w:tc>
      </w:tr>
      <w:tr w14:paraId="7F72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27D1F0EA">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779" w:type="dxa"/>
            <w:vMerge w:val="continue"/>
            <w:shd w:val="clear" w:color="auto" w:fill="auto"/>
            <w:vAlign w:val="center"/>
          </w:tcPr>
          <w:p w14:paraId="43729F0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highlight w:val="none"/>
              </w:rPr>
            </w:pPr>
          </w:p>
        </w:tc>
        <w:tc>
          <w:tcPr>
            <w:tcW w:w="1118" w:type="dxa"/>
            <w:shd w:val="clear" w:color="auto" w:fill="auto"/>
            <w:vAlign w:val="center"/>
          </w:tcPr>
          <w:p w14:paraId="28866F03">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sz w:val="21"/>
                <w:szCs w:val="21"/>
                <w:highlight w:val="none"/>
              </w:rPr>
            </w:pPr>
            <w:r>
              <w:rPr>
                <w:rFonts w:hint="eastAsia" w:ascii="宋体" w:hAnsi="宋体" w:eastAsia="宋体" w:cs="宋体"/>
                <w:sz w:val="21"/>
                <w:szCs w:val="21"/>
                <w:highlight w:val="none"/>
              </w:rPr>
              <w:t>技术参数</w:t>
            </w:r>
          </w:p>
        </w:tc>
        <w:tc>
          <w:tcPr>
            <w:tcW w:w="12477" w:type="dxa"/>
            <w:gridSpan w:val="9"/>
            <w:shd w:val="clear" w:color="auto" w:fill="auto"/>
          </w:tcPr>
          <w:p w14:paraId="254AD5C2">
            <w:pPr>
              <w:keepNext w:val="0"/>
              <w:keepLines w:val="0"/>
              <w:widowControl/>
              <w:suppressLineNumbers w:val="0"/>
              <w:spacing w:before="0" w:beforeAutospacing="0" w:after="0" w:afterAutospacing="0" w:line="30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1、底部：铝框架，抗倍特地板</w:t>
            </w:r>
            <w:r>
              <w:rPr>
                <w:rFonts w:hint="eastAsia" w:cs="宋体"/>
                <w:sz w:val="21"/>
                <w:szCs w:val="21"/>
                <w:highlight w:val="none"/>
                <w:lang w:eastAsia="zh-CN"/>
              </w:rPr>
              <w:t>；</w:t>
            </w:r>
          </w:p>
          <w:p w14:paraId="44436B63">
            <w:pPr>
              <w:keepNext w:val="0"/>
              <w:keepLines w:val="0"/>
              <w:widowControl/>
              <w:suppressLineNumbers w:val="0"/>
              <w:spacing w:before="0" w:beforeAutospacing="0" w:after="0" w:afterAutospacing="0" w:line="30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2、后玻璃：单面10mm钢化清玻</w:t>
            </w:r>
            <w:r>
              <w:rPr>
                <w:rFonts w:hint="eastAsia" w:cs="宋体"/>
                <w:sz w:val="21"/>
                <w:szCs w:val="21"/>
                <w:highlight w:val="none"/>
                <w:lang w:eastAsia="zh-CN"/>
              </w:rPr>
              <w:t>；</w:t>
            </w:r>
          </w:p>
          <w:p w14:paraId="1A812F68">
            <w:pPr>
              <w:keepNext w:val="0"/>
              <w:keepLines w:val="0"/>
              <w:widowControl/>
              <w:suppressLineNumbers w:val="0"/>
              <w:spacing w:before="0" w:beforeAutospacing="0" w:after="0" w:afterAutospacing="0" w:line="30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3、玻璃门：45mm厚隐框玻璃门，6mm钢化清玻</w:t>
            </w:r>
            <w:r>
              <w:rPr>
                <w:rFonts w:hint="eastAsia" w:cs="宋体"/>
                <w:sz w:val="21"/>
                <w:szCs w:val="21"/>
                <w:highlight w:val="none"/>
                <w:lang w:eastAsia="zh-CN"/>
              </w:rPr>
              <w:t>；</w:t>
            </w:r>
          </w:p>
          <w:p w14:paraId="533A2322">
            <w:pPr>
              <w:keepNext w:val="0"/>
              <w:keepLines w:val="0"/>
              <w:widowControl/>
              <w:suppressLineNumbers w:val="0"/>
              <w:spacing w:before="0" w:beforeAutospacing="0" w:after="0" w:afterAutospacing="0" w:line="30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4、优质五金：不锈钢锁、拉手，合页、闭门器</w:t>
            </w:r>
            <w:r>
              <w:rPr>
                <w:rFonts w:hint="eastAsia" w:cs="宋体"/>
                <w:sz w:val="21"/>
                <w:szCs w:val="21"/>
                <w:highlight w:val="none"/>
                <w:lang w:eastAsia="zh-CN"/>
              </w:rPr>
              <w:t>；</w:t>
            </w:r>
          </w:p>
          <w:p w14:paraId="496C5E41">
            <w:pPr>
              <w:keepNext w:val="0"/>
              <w:keepLines w:val="0"/>
              <w:suppressLineNumbers w:val="0"/>
              <w:spacing w:before="0" w:beforeAutospacing="0" w:after="0" w:afterAutospacing="0" w:line="300" w:lineRule="exact"/>
              <w:ind w:left="0" w:righ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5、含桌板</w:t>
            </w:r>
            <w:r>
              <w:rPr>
                <w:rFonts w:hint="eastAsia" w:cs="宋体"/>
                <w:sz w:val="21"/>
                <w:szCs w:val="21"/>
                <w:highlight w:val="none"/>
                <w:lang w:eastAsia="zh-CN"/>
              </w:rPr>
              <w:t>；</w:t>
            </w:r>
          </w:p>
          <w:p w14:paraId="06B64C73">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highlight w:val="none"/>
              </w:rPr>
            </w:pPr>
            <w:r>
              <w:rPr>
                <w:rFonts w:hint="eastAsia" w:ascii="宋体" w:hAnsi="宋体" w:eastAsia="宋体" w:cs="宋体"/>
                <w:kern w:val="0"/>
                <w:sz w:val="21"/>
                <w:szCs w:val="21"/>
                <w:highlight w:val="none"/>
              </w:rPr>
              <w:t>6、电源：配置嵌入式电源（与木质部分同色），合金面板，3c认证，2个新国标五孔电源+2个USB充电+2个网口，电源走线隐藏不外露。</w:t>
            </w:r>
          </w:p>
        </w:tc>
      </w:tr>
      <w:tr w14:paraId="0A24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62" w:type="dxa"/>
            <w:vMerge w:val="continue"/>
            <w:shd w:val="clear" w:color="auto" w:fill="auto"/>
            <w:vAlign w:val="center"/>
          </w:tcPr>
          <w:p w14:paraId="1C424412">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779" w:type="dxa"/>
            <w:vMerge w:val="continue"/>
            <w:shd w:val="clear" w:color="auto" w:fill="auto"/>
            <w:vAlign w:val="center"/>
          </w:tcPr>
          <w:p w14:paraId="6C2610DE">
            <w:pPr>
              <w:keepNext w:val="0"/>
              <w:keepLines w:val="0"/>
              <w:suppressLineNumbers w:val="0"/>
              <w:spacing w:before="0" w:beforeAutospacing="0" w:after="0" w:afterAutospacing="0"/>
              <w:ind w:left="0" w:right="0" w:firstLine="480"/>
              <w:jc w:val="center"/>
              <w:rPr>
                <w:rFonts w:hint="default" w:ascii="宋体" w:hAnsi="宋体" w:eastAsia="宋体" w:cs="Times New Roman"/>
                <w:highlight w:val="none"/>
              </w:rPr>
            </w:pPr>
          </w:p>
        </w:tc>
        <w:tc>
          <w:tcPr>
            <w:tcW w:w="1118" w:type="dxa"/>
            <w:shd w:val="clear" w:color="auto" w:fill="auto"/>
            <w:vAlign w:val="center"/>
          </w:tcPr>
          <w:p w14:paraId="24AA5DFE">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highlight w:val="none"/>
              </w:rPr>
            </w:pPr>
            <w:r>
              <w:rPr>
                <w:rFonts w:hint="eastAsia" w:ascii="宋体" w:hAnsi="宋体" w:eastAsia="宋体" w:cs="Times New Roman"/>
                <w:sz w:val="21"/>
                <w:szCs w:val="21"/>
                <w:highlight w:val="none"/>
              </w:rPr>
              <w:t>效果要求</w:t>
            </w:r>
          </w:p>
        </w:tc>
        <w:tc>
          <w:tcPr>
            <w:tcW w:w="12477" w:type="dxa"/>
            <w:gridSpan w:val="9"/>
            <w:shd w:val="clear" w:color="auto" w:fill="auto"/>
          </w:tcPr>
          <w:p w14:paraId="43314402">
            <w:pPr>
              <w:keepNext w:val="0"/>
              <w:keepLines w:val="0"/>
              <w:suppressLineNumbers w:val="0"/>
              <w:spacing w:before="0" w:beforeAutospacing="0" w:after="0" w:afterAutospacing="0"/>
              <w:ind w:left="0" w:right="0" w:firstLine="0" w:firstLineChars="0"/>
              <w:rPr>
                <w:rFonts w:hint="default" w:ascii="宋体" w:hAnsi="宋体" w:eastAsia="宋体" w:cs="Times New Roman"/>
                <w:highlight w:val="none"/>
              </w:rPr>
            </w:pPr>
            <w:r>
              <w:rPr>
                <w:rFonts w:hint="default" w:ascii="宋体" w:hAnsi="宋体" w:eastAsia="宋体" w:cs="Times New Roman"/>
                <w:highlight w:val="none"/>
              </w:rPr>
              <w:drawing>
                <wp:inline distT="0" distB="0" distL="114300" distR="114300">
                  <wp:extent cx="1636395" cy="1214120"/>
                  <wp:effectExtent l="0" t="0" r="1905" b="5080"/>
                  <wp:docPr id="116" name="ID_245E37EFAF91480EAA9BFB42D2DEA31F" descr="小静音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D_245E37EFAF91480EAA9BFB42D2DEA31F" descr="小静音仓"/>
                          <pic:cNvPicPr>
                            <a:picLocks noChangeAspect="1"/>
                          </pic:cNvPicPr>
                        </pic:nvPicPr>
                        <pic:blipFill>
                          <a:blip r:embed="rId89"/>
                          <a:stretch>
                            <a:fillRect/>
                          </a:stretch>
                        </pic:blipFill>
                        <pic:spPr>
                          <a:xfrm>
                            <a:off x="0" y="0"/>
                            <a:ext cx="1636395" cy="1214120"/>
                          </a:xfrm>
                          <a:prstGeom prst="rect">
                            <a:avLst/>
                          </a:prstGeom>
                          <a:noFill/>
                          <a:ln>
                            <a:noFill/>
                          </a:ln>
                        </pic:spPr>
                      </pic:pic>
                    </a:graphicData>
                  </a:graphic>
                </wp:inline>
              </w:drawing>
            </w:r>
          </w:p>
        </w:tc>
      </w:tr>
    </w:tbl>
    <w:p w14:paraId="5A5DAC86">
      <w:pPr>
        <w:spacing w:line="420" w:lineRule="exact"/>
        <w:jc w:val="left"/>
        <w:rPr>
          <w:highlight w:val="none"/>
          <w:u w:val="none"/>
        </w:rPr>
        <w:sectPr>
          <w:pgSz w:w="16838" w:h="11906" w:orient="landscape"/>
          <w:pgMar w:top="1134" w:right="1247" w:bottom="1134" w:left="1247" w:header="170" w:footer="567" w:gutter="0"/>
          <w:cols w:space="720" w:num="1"/>
          <w:docGrid w:linePitch="381" w:charSpace="0"/>
        </w:sectPr>
      </w:pPr>
      <w:r>
        <w:rPr>
          <w:rFonts w:hint="eastAsia" w:ascii="宋体" w:hAnsi="宋体" w:eastAsia="宋体" w:cs="宋体"/>
          <w:b/>
          <w:bCs/>
          <w:color w:val="FF0000"/>
          <w:highlight w:val="none"/>
        </w:rPr>
        <w:t>备注：</w:t>
      </w:r>
      <w:r>
        <w:rPr>
          <w:rFonts w:hint="eastAsia" w:ascii="宋体" w:hAnsi="宋体" w:eastAsia="宋体" w:cs="宋体"/>
          <w:b/>
          <w:color w:val="FF0000"/>
          <w:highlight w:val="none"/>
          <w:u w:val="single"/>
        </w:rPr>
        <w:t>要求对阅读桌、研习椅、阅读椅提供样品。</w:t>
      </w:r>
      <w:r>
        <w:rPr>
          <w:rFonts w:hint="eastAsia" w:cs="宋体"/>
          <w:b/>
          <w:bCs/>
          <w:color w:val="auto"/>
          <w:highlight w:val="none"/>
          <w:u w:val="none"/>
          <w:lang w:eastAsia="zh-CN"/>
        </w:rPr>
        <w:t>（</w:t>
      </w:r>
      <w:r>
        <w:rPr>
          <w:rFonts w:hint="eastAsia" w:ascii="宋体" w:hAnsi="宋体"/>
          <w:b/>
          <w:bCs/>
          <w:color w:val="auto"/>
          <w:sz w:val="24"/>
          <w:highlight w:val="none"/>
        </w:rPr>
        <w:t>中标人所提供的样品在开标结束后，由采购单位封存，作为验收的一个依据。未成交的样品退还给各供应商。样品上不得</w:t>
      </w:r>
      <w:r>
        <w:rPr>
          <w:rFonts w:hint="eastAsia" w:ascii="宋体" w:hAnsi="宋体"/>
          <w:b/>
          <w:bCs/>
          <w:color w:val="auto"/>
          <w:sz w:val="24"/>
          <w:highlight w:val="none"/>
          <w:lang w:eastAsia="zh-CN"/>
        </w:rPr>
        <w:t>显示</w:t>
      </w:r>
      <w:r>
        <w:rPr>
          <w:rFonts w:hint="eastAsia" w:ascii="宋体" w:hAnsi="宋体"/>
          <w:b/>
          <w:bCs/>
          <w:color w:val="auto"/>
          <w:sz w:val="24"/>
          <w:highlight w:val="none"/>
        </w:rPr>
        <w:t>投标人名称</w:t>
      </w:r>
      <w:r>
        <w:rPr>
          <w:rFonts w:hint="eastAsia" w:ascii="宋体" w:hAnsi="宋体"/>
          <w:b/>
          <w:bCs/>
          <w:color w:val="auto"/>
          <w:sz w:val="24"/>
          <w:highlight w:val="none"/>
          <w:lang w:eastAsia="zh-CN"/>
        </w:rPr>
        <w:t>、商标、</w:t>
      </w:r>
      <w:r>
        <w:rPr>
          <w:rFonts w:hint="eastAsia" w:ascii="宋体" w:hAnsi="宋体"/>
          <w:b/>
          <w:bCs/>
          <w:color w:val="auto"/>
          <w:sz w:val="24"/>
          <w:highlight w:val="none"/>
          <w:lang w:val="en-US" w:eastAsia="zh-CN"/>
        </w:rPr>
        <w:t>LOGO等标记，</w:t>
      </w:r>
      <w:r>
        <w:rPr>
          <w:rFonts w:hint="eastAsia" w:ascii="宋体" w:hAnsi="宋体"/>
          <w:b/>
          <w:bCs/>
          <w:color w:val="auto"/>
          <w:sz w:val="24"/>
          <w:highlight w:val="none"/>
        </w:rPr>
        <w:t>由代理机构专职人员及业主监督人员在开标前重新编号。</w:t>
      </w:r>
      <w:r>
        <w:rPr>
          <w:rFonts w:ascii="宋体" w:hAnsi="宋体" w:eastAsia="Times New Roman" w:cs="微软雅黑"/>
          <w:b/>
          <w:bCs/>
          <w:color w:val="auto"/>
          <w:kern w:val="0"/>
          <w:sz w:val="24"/>
          <w:highlight w:val="none"/>
        </w:rPr>
        <w:t>各</w:t>
      </w:r>
      <w:r>
        <w:rPr>
          <w:rFonts w:hint="eastAsia" w:ascii="宋体" w:hAnsi="宋体" w:eastAsia="Times New Roman" w:cs="微软雅黑"/>
          <w:b/>
          <w:bCs/>
          <w:color w:val="auto"/>
          <w:kern w:val="0"/>
          <w:sz w:val="24"/>
          <w:highlight w:val="none"/>
        </w:rPr>
        <w:t>供应商在开标截止时间前</w:t>
      </w:r>
      <w:r>
        <w:rPr>
          <w:rFonts w:ascii="宋体" w:hAnsi="宋体" w:eastAsia="Times New Roman" w:cs="微软雅黑"/>
          <w:b/>
          <w:bCs/>
          <w:color w:val="auto"/>
          <w:kern w:val="0"/>
          <w:sz w:val="24"/>
          <w:highlight w:val="none"/>
        </w:rPr>
        <w:t>将样品安装摆放在指定</w:t>
      </w:r>
      <w:r>
        <w:rPr>
          <w:rFonts w:hint="eastAsia" w:ascii="宋体" w:hAnsi="宋体" w:eastAsia="宋体" w:cs="微软雅黑"/>
          <w:b/>
          <w:bCs/>
          <w:color w:val="auto"/>
          <w:kern w:val="0"/>
          <w:sz w:val="24"/>
          <w:highlight w:val="none"/>
          <w:lang w:eastAsia="zh-CN"/>
        </w:rPr>
        <w:t>区域</w:t>
      </w:r>
      <w:r>
        <w:rPr>
          <w:rFonts w:ascii="宋体" w:hAnsi="宋体" w:eastAsia="Times New Roman" w:cs="微软雅黑"/>
          <w:b/>
          <w:bCs/>
          <w:color w:val="auto"/>
          <w:kern w:val="0"/>
          <w:sz w:val="24"/>
          <w:highlight w:val="none"/>
        </w:rPr>
        <w:t>，截止时间过后，将不再接收样品。</w:t>
      </w:r>
      <w:r>
        <w:rPr>
          <w:rFonts w:hint="eastAsia" w:cs="宋体"/>
          <w:b/>
          <w:bCs/>
          <w:color w:val="auto"/>
          <w:highlight w:val="none"/>
          <w:u w:val="none"/>
          <w:lang w:eastAsia="zh-CN"/>
        </w:rPr>
        <w:t>）</w:t>
      </w:r>
    </w:p>
    <w:p w14:paraId="3F9325EE">
      <w:pPr>
        <w:ind w:firstLine="0" w:firstLineChars="0"/>
        <w:rPr>
          <w:rFonts w:ascii="宋体" w:hAnsi="宋体" w:eastAsia="宋体" w:cs="宋体"/>
          <w:b/>
          <w:bCs/>
          <w:highlight w:val="none"/>
        </w:rPr>
      </w:pPr>
      <w:r>
        <w:rPr>
          <w:rFonts w:hint="eastAsia" w:ascii="宋体" w:hAnsi="宋体" w:eastAsia="宋体" w:cs="宋体"/>
          <w:b/>
          <w:bCs/>
          <w:highlight w:val="none"/>
        </w:rPr>
        <w:t>标项三：图书馆开放服务椅（预算金额：860005.5元）</w:t>
      </w:r>
    </w:p>
    <w:tbl>
      <w:tblPr>
        <w:tblStyle w:val="44"/>
        <w:tblW w:w="10603"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14"/>
        <w:gridCol w:w="682"/>
        <w:gridCol w:w="2704"/>
        <w:gridCol w:w="1080"/>
        <w:gridCol w:w="4501"/>
      </w:tblGrid>
      <w:tr w14:paraId="5709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4" w:space="0"/>
              <w:left w:val="single" w:color="auto" w:sz="4" w:space="0"/>
              <w:bottom w:val="single" w:color="auto" w:sz="4" w:space="0"/>
              <w:right w:val="single" w:color="auto" w:sz="4" w:space="0"/>
            </w:tcBorders>
            <w:vAlign w:val="center"/>
          </w:tcPr>
          <w:p w14:paraId="1E806A8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914" w:type="dxa"/>
            <w:tcBorders>
              <w:top w:val="single" w:color="auto" w:sz="4" w:space="0"/>
              <w:left w:val="single" w:color="auto" w:sz="4" w:space="0"/>
              <w:bottom w:val="single" w:color="auto" w:sz="4" w:space="0"/>
              <w:right w:val="single" w:color="auto" w:sz="4" w:space="0"/>
            </w:tcBorders>
            <w:vAlign w:val="center"/>
          </w:tcPr>
          <w:p w14:paraId="3304B7D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名称</w:t>
            </w:r>
          </w:p>
        </w:tc>
        <w:tc>
          <w:tcPr>
            <w:tcW w:w="8967" w:type="dxa"/>
            <w:gridSpan w:val="4"/>
            <w:tcBorders>
              <w:top w:val="single" w:color="auto" w:sz="4" w:space="0"/>
              <w:left w:val="single" w:color="auto" w:sz="4" w:space="0"/>
              <w:bottom w:val="single" w:color="auto" w:sz="4" w:space="0"/>
              <w:right w:val="single" w:color="auto" w:sz="4" w:space="0"/>
            </w:tcBorders>
            <w:vAlign w:val="center"/>
          </w:tcPr>
          <w:p w14:paraId="187A81A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规格、参数、效果及结构要求</w:t>
            </w:r>
          </w:p>
        </w:tc>
      </w:tr>
      <w:tr w14:paraId="2F8C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top w:val="single" w:color="auto" w:sz="4" w:space="0"/>
              <w:left w:val="single" w:color="auto" w:sz="4" w:space="0"/>
              <w:right w:val="single" w:color="auto" w:sz="4" w:space="0"/>
            </w:tcBorders>
            <w:vAlign w:val="center"/>
          </w:tcPr>
          <w:p w14:paraId="2238A3AE">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914" w:type="dxa"/>
            <w:vMerge w:val="restart"/>
            <w:tcBorders>
              <w:top w:val="single" w:color="auto" w:sz="4" w:space="0"/>
              <w:left w:val="single" w:color="auto" w:sz="4" w:space="0"/>
              <w:right w:val="single" w:color="auto" w:sz="4" w:space="0"/>
            </w:tcBorders>
            <w:vAlign w:val="center"/>
          </w:tcPr>
          <w:p w14:paraId="3BA88FFB">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开放服务椅</w:t>
            </w:r>
          </w:p>
          <w:p w14:paraId="00D198C1">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核心产品</w:t>
            </w:r>
            <w:r>
              <w:rPr>
                <w:rFonts w:hint="eastAsia" w:ascii="宋体" w:hAnsi="宋体" w:eastAsia="宋体" w:cs="宋体"/>
                <w:kern w:val="0"/>
                <w:sz w:val="21"/>
                <w:szCs w:val="21"/>
                <w:highlight w:val="none"/>
                <w:lang w:eastAsia="zh-CN"/>
              </w:rPr>
              <w:t>）</w:t>
            </w:r>
          </w:p>
        </w:tc>
        <w:tc>
          <w:tcPr>
            <w:tcW w:w="682" w:type="dxa"/>
            <w:tcBorders>
              <w:top w:val="single" w:color="auto" w:sz="4" w:space="0"/>
              <w:left w:val="single" w:color="auto" w:sz="4" w:space="0"/>
              <w:bottom w:val="single" w:color="auto" w:sz="4" w:space="0"/>
              <w:right w:val="single" w:color="auto" w:sz="4" w:space="0"/>
            </w:tcBorders>
            <w:vAlign w:val="center"/>
          </w:tcPr>
          <w:p w14:paraId="263E35B1">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规格</w:t>
            </w:r>
          </w:p>
        </w:tc>
        <w:tc>
          <w:tcPr>
            <w:tcW w:w="2704" w:type="dxa"/>
            <w:tcBorders>
              <w:top w:val="single" w:color="auto" w:sz="4" w:space="0"/>
              <w:left w:val="single" w:color="auto" w:sz="4" w:space="0"/>
              <w:bottom w:val="single" w:color="auto" w:sz="4" w:space="0"/>
              <w:right w:val="single" w:color="auto" w:sz="4" w:space="0"/>
            </w:tcBorders>
            <w:vAlign w:val="center"/>
          </w:tcPr>
          <w:p w14:paraId="2453E27A">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590*600*860MM</w:t>
            </w:r>
          </w:p>
        </w:tc>
        <w:tc>
          <w:tcPr>
            <w:tcW w:w="1080" w:type="dxa"/>
            <w:tcBorders>
              <w:top w:val="single" w:color="auto" w:sz="4" w:space="0"/>
              <w:left w:val="single" w:color="auto" w:sz="4" w:space="0"/>
              <w:bottom w:val="single" w:color="auto" w:sz="4" w:space="0"/>
              <w:right w:val="single" w:color="auto" w:sz="4" w:space="0"/>
            </w:tcBorders>
            <w:vAlign w:val="center"/>
          </w:tcPr>
          <w:p w14:paraId="2CE47305">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数量</w:t>
            </w:r>
          </w:p>
        </w:tc>
        <w:tc>
          <w:tcPr>
            <w:tcW w:w="4501" w:type="dxa"/>
            <w:tcBorders>
              <w:top w:val="single" w:color="auto" w:sz="4" w:space="0"/>
              <w:left w:val="single" w:color="auto" w:sz="4" w:space="0"/>
              <w:bottom w:val="single" w:color="auto" w:sz="4" w:space="0"/>
              <w:right w:val="single" w:color="auto" w:sz="4" w:space="0"/>
            </w:tcBorders>
            <w:vAlign w:val="center"/>
          </w:tcPr>
          <w:p w14:paraId="2C91BD92">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537个</w:t>
            </w:r>
          </w:p>
        </w:tc>
      </w:tr>
      <w:tr w14:paraId="678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22" w:type="dxa"/>
            <w:vMerge w:val="continue"/>
            <w:tcBorders>
              <w:left w:val="single" w:color="auto" w:sz="4" w:space="0"/>
              <w:right w:val="single" w:color="auto" w:sz="4" w:space="0"/>
            </w:tcBorders>
            <w:vAlign w:val="center"/>
          </w:tcPr>
          <w:p w14:paraId="379667A4">
            <w:pPr>
              <w:keepNext w:val="0"/>
              <w:keepLines w:val="0"/>
              <w:suppressLineNumbers w:val="0"/>
              <w:spacing w:before="0" w:beforeAutospacing="0" w:after="0" w:afterAutospacing="0" w:line="340" w:lineRule="exact"/>
              <w:ind w:left="0" w:right="0" w:firstLine="420"/>
              <w:jc w:val="center"/>
              <w:rPr>
                <w:rFonts w:hint="eastAsia" w:ascii="宋体" w:hAnsi="宋体" w:eastAsia="宋体" w:cs="宋体"/>
                <w:kern w:val="0"/>
                <w:sz w:val="21"/>
                <w:szCs w:val="21"/>
                <w:highlight w:val="none"/>
              </w:rPr>
            </w:pPr>
          </w:p>
        </w:tc>
        <w:tc>
          <w:tcPr>
            <w:tcW w:w="914" w:type="dxa"/>
            <w:vMerge w:val="continue"/>
            <w:tcBorders>
              <w:left w:val="single" w:color="auto" w:sz="4" w:space="0"/>
              <w:right w:val="single" w:color="auto" w:sz="4" w:space="0"/>
            </w:tcBorders>
            <w:vAlign w:val="center"/>
          </w:tcPr>
          <w:p w14:paraId="66BA2C29">
            <w:pPr>
              <w:keepNext w:val="0"/>
              <w:keepLines w:val="0"/>
              <w:suppressLineNumbers w:val="0"/>
              <w:spacing w:before="0" w:beforeAutospacing="0" w:after="0" w:afterAutospacing="0" w:line="340" w:lineRule="exact"/>
              <w:ind w:left="0" w:right="0" w:firstLine="420"/>
              <w:jc w:val="center"/>
              <w:rPr>
                <w:rFonts w:hint="eastAsia" w:ascii="宋体" w:hAnsi="宋体" w:eastAsia="宋体" w:cs="宋体"/>
                <w:kern w:val="0"/>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2D2ECF74">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技术参数</w:t>
            </w:r>
          </w:p>
        </w:tc>
        <w:tc>
          <w:tcPr>
            <w:tcW w:w="8285" w:type="dxa"/>
            <w:gridSpan w:val="3"/>
            <w:tcBorders>
              <w:top w:val="single" w:color="auto" w:sz="4" w:space="0"/>
              <w:left w:val="single" w:color="auto" w:sz="4" w:space="0"/>
              <w:bottom w:val="single" w:color="auto" w:sz="4" w:space="0"/>
              <w:right w:val="single" w:color="auto" w:sz="4" w:space="0"/>
            </w:tcBorders>
          </w:tcPr>
          <w:p w14:paraId="072A539B">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木质部分全部采用</w:t>
            </w:r>
            <w:r>
              <w:rPr>
                <w:rFonts w:hint="eastAsia" w:ascii="宋体" w:hAnsi="宋体" w:eastAsia="宋体" w:cs="宋体"/>
                <w:kern w:val="0"/>
                <w:sz w:val="21"/>
                <w:szCs w:val="21"/>
                <w:highlight w:val="none"/>
              </w:rPr>
              <w:t>进口绿柄桑原木，通过高温脱脂干燥热处理，含水率</w:t>
            </w:r>
            <w:r>
              <w:rPr>
                <w:rFonts w:hint="eastAsia" w:ascii="宋体" w:hAnsi="宋体" w:eastAsia="宋体" w:cs="宋体"/>
                <w:sz w:val="21"/>
                <w:szCs w:val="21"/>
                <w:highlight w:val="none"/>
              </w:rPr>
              <w:t>低于11%</w:t>
            </w:r>
            <w:r>
              <w:rPr>
                <w:rFonts w:hint="eastAsia" w:ascii="宋体" w:hAnsi="宋体" w:eastAsia="宋体" w:cs="宋体"/>
                <w:kern w:val="0"/>
                <w:sz w:val="21"/>
                <w:szCs w:val="21"/>
                <w:highlight w:val="none"/>
              </w:rPr>
              <w:t>，材质稳定、保证变形小、不开裂；</w:t>
            </w:r>
          </w:p>
          <w:p w14:paraId="39901E0C">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▲2、榫卯结构；</w:t>
            </w:r>
          </w:p>
          <w:p w14:paraId="41B35B4C">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★3、椅面：弧度椅面，板材拼合加燕尾弧形穿带结构；</w:t>
            </w:r>
          </w:p>
          <w:p w14:paraId="47F12217">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★4、扶手：后部圆材丁字形榫铆结构接合，前部挖烟袋榫结构；</w:t>
            </w:r>
          </w:p>
          <w:p w14:paraId="747BAFEF">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5、脚部横档：圆材丁字形榫铆结构接合（横材细、竖材粗、外皮不交圈）；</w:t>
            </w:r>
          </w:p>
          <w:p w14:paraId="7A2D82F8">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★6、靠背椅腿：整木制作（不带拼接）；</w:t>
            </w:r>
          </w:p>
          <w:p w14:paraId="13397606">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7、采用水性环保油漆封闭式涂装；使用“五道底漆三道面漆”油漆工艺；</w:t>
            </w:r>
          </w:p>
          <w:p w14:paraId="03771B7E">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8、靠背板：整木制作油漆；</w:t>
            </w:r>
          </w:p>
          <w:p w14:paraId="7A353002">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9、座椅配有可拆卸坐垫，绑带固定；坐垫表面优质麻绒，填充采用高密度高回弹裁切海绵,具有良好的抗震性、柔软性,抗撕拉；</w:t>
            </w:r>
          </w:p>
          <w:p w14:paraId="30D88882">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10、尺寸：椅子坐板59*48*5cm，坐高44cm，竖向椅柱直径3.5cm，横向椅柱直径3cm，靠背板10*1.2*36cm，呈弧形；扶手最宽处7.5cm，最窄处3.5cm；</w:t>
            </w:r>
          </w:p>
          <w:p w14:paraId="69AD2D67">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11、椅背阴刻湖州学院logo，直径6cm。</w:t>
            </w:r>
          </w:p>
        </w:tc>
      </w:tr>
      <w:tr w14:paraId="244C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trPr>
        <w:tc>
          <w:tcPr>
            <w:tcW w:w="722" w:type="dxa"/>
            <w:vMerge w:val="continue"/>
            <w:tcBorders>
              <w:left w:val="single" w:color="auto" w:sz="4" w:space="0"/>
              <w:right w:val="single" w:color="auto" w:sz="4" w:space="0"/>
            </w:tcBorders>
            <w:vAlign w:val="center"/>
          </w:tcPr>
          <w:p w14:paraId="3FA22984">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highlight w:val="none"/>
              </w:rPr>
            </w:pPr>
          </w:p>
        </w:tc>
        <w:tc>
          <w:tcPr>
            <w:tcW w:w="914" w:type="dxa"/>
            <w:vMerge w:val="continue"/>
            <w:tcBorders>
              <w:left w:val="single" w:color="auto" w:sz="4" w:space="0"/>
              <w:right w:val="single" w:color="auto" w:sz="4" w:space="0"/>
            </w:tcBorders>
            <w:vAlign w:val="center"/>
          </w:tcPr>
          <w:p w14:paraId="0CB0D573">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0A6626FC">
            <w:pPr>
              <w:keepNext w:val="0"/>
              <w:keepLines w:val="0"/>
              <w:suppressLineNumbers w:val="0"/>
              <w:spacing w:before="0" w:beforeAutospacing="0" w:after="0" w:afterAutospacing="0"/>
              <w:ind w:left="0" w:right="0" w:firstLine="0" w:firstLineChars="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效果要求</w:t>
            </w:r>
          </w:p>
        </w:tc>
        <w:tc>
          <w:tcPr>
            <w:tcW w:w="8285" w:type="dxa"/>
            <w:gridSpan w:val="3"/>
            <w:tcBorders>
              <w:top w:val="single" w:color="auto" w:sz="4" w:space="0"/>
              <w:left w:val="single" w:color="auto" w:sz="4" w:space="0"/>
              <w:bottom w:val="single" w:color="auto" w:sz="4" w:space="0"/>
              <w:right w:val="single" w:color="auto" w:sz="4" w:space="0"/>
            </w:tcBorders>
          </w:tcPr>
          <w:p w14:paraId="1E7D6C5A">
            <w:pPr>
              <w:keepNext w:val="0"/>
              <w:keepLines w:val="0"/>
              <w:suppressLineNumbers w:val="0"/>
              <w:spacing w:before="0" w:beforeAutospacing="0" w:after="0" w:afterAutospacing="0"/>
              <w:ind w:left="0" w:right="0" w:firstLine="420"/>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drawing>
                <wp:inline distT="0" distB="0" distL="114300" distR="114300">
                  <wp:extent cx="2065020" cy="1847850"/>
                  <wp:effectExtent l="0" t="0" r="11430" b="0"/>
                  <wp:docPr id="117" name="图片 60"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0" descr="wps1"/>
                          <pic:cNvPicPr>
                            <a:picLocks noChangeAspect="1"/>
                          </pic:cNvPicPr>
                        </pic:nvPicPr>
                        <pic:blipFill>
                          <a:blip r:embed="rId90"/>
                          <a:stretch>
                            <a:fillRect/>
                          </a:stretch>
                        </pic:blipFill>
                        <pic:spPr>
                          <a:xfrm>
                            <a:off x="0" y="0"/>
                            <a:ext cx="2065020" cy="1847850"/>
                          </a:xfrm>
                          <a:prstGeom prst="rect">
                            <a:avLst/>
                          </a:prstGeom>
                          <a:noFill/>
                          <a:ln>
                            <a:noFill/>
                          </a:ln>
                        </pic:spPr>
                      </pic:pic>
                    </a:graphicData>
                  </a:graphic>
                </wp:inline>
              </w:drawing>
            </w:r>
          </w:p>
        </w:tc>
      </w:tr>
      <w:tr w14:paraId="6F9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trPr>
        <w:tc>
          <w:tcPr>
            <w:tcW w:w="722" w:type="dxa"/>
            <w:vMerge w:val="continue"/>
            <w:tcBorders>
              <w:left w:val="single" w:color="auto" w:sz="4" w:space="0"/>
              <w:bottom w:val="single" w:color="auto" w:sz="4" w:space="0"/>
              <w:right w:val="single" w:color="auto" w:sz="4" w:space="0"/>
            </w:tcBorders>
            <w:vAlign w:val="center"/>
          </w:tcPr>
          <w:p w14:paraId="564A6C0A">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highlight w:val="none"/>
              </w:rPr>
            </w:pPr>
          </w:p>
        </w:tc>
        <w:tc>
          <w:tcPr>
            <w:tcW w:w="914" w:type="dxa"/>
            <w:vMerge w:val="continue"/>
            <w:tcBorders>
              <w:left w:val="single" w:color="auto" w:sz="4" w:space="0"/>
              <w:bottom w:val="single" w:color="auto" w:sz="4" w:space="0"/>
              <w:right w:val="single" w:color="auto" w:sz="4" w:space="0"/>
            </w:tcBorders>
            <w:vAlign w:val="center"/>
          </w:tcPr>
          <w:p w14:paraId="5D3EF5BB">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2673389F">
            <w:pPr>
              <w:keepNext w:val="0"/>
              <w:keepLines w:val="0"/>
              <w:suppressLineNumbers w:val="0"/>
              <w:spacing w:before="0" w:beforeAutospacing="0" w:after="0" w:afterAutospacing="0"/>
              <w:ind w:left="0" w:right="0" w:firstLine="0" w:firstLineChars="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t>结构要求</w:t>
            </w:r>
          </w:p>
        </w:tc>
        <w:tc>
          <w:tcPr>
            <w:tcW w:w="8285" w:type="dxa"/>
            <w:gridSpan w:val="3"/>
            <w:tcBorders>
              <w:top w:val="single" w:color="auto" w:sz="4" w:space="0"/>
              <w:left w:val="single" w:color="auto" w:sz="4" w:space="0"/>
              <w:bottom w:val="single" w:color="auto" w:sz="4" w:space="0"/>
              <w:right w:val="single" w:color="auto" w:sz="4" w:space="0"/>
            </w:tcBorders>
          </w:tcPr>
          <w:p w14:paraId="15BB75AC">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highlight w:val="none"/>
              </w:rPr>
            </w:pPr>
            <w:r>
              <w:rPr>
                <w:rFonts w:hint="eastAsia" w:ascii="宋体" w:hAnsi="宋体" w:eastAsia="宋体" w:cs="宋体"/>
                <w:kern w:val="0"/>
                <w:sz w:val="21"/>
                <w:szCs w:val="21"/>
                <w:highlight w:val="none"/>
              </w:rPr>
              <w:drawing>
                <wp:inline distT="0" distB="0" distL="114300" distR="114300">
                  <wp:extent cx="4773295" cy="3651250"/>
                  <wp:effectExtent l="0" t="0" r="8255" b="6350"/>
                  <wp:docPr id="118" name="图片 6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1" descr="wps2"/>
                          <pic:cNvPicPr>
                            <a:picLocks noChangeAspect="1"/>
                          </pic:cNvPicPr>
                        </pic:nvPicPr>
                        <pic:blipFill>
                          <a:blip r:embed="rId91"/>
                          <a:stretch>
                            <a:fillRect/>
                          </a:stretch>
                        </pic:blipFill>
                        <pic:spPr>
                          <a:xfrm>
                            <a:off x="0" y="0"/>
                            <a:ext cx="4773295" cy="3651250"/>
                          </a:xfrm>
                          <a:prstGeom prst="rect">
                            <a:avLst/>
                          </a:prstGeom>
                          <a:noFill/>
                          <a:ln>
                            <a:noFill/>
                          </a:ln>
                        </pic:spPr>
                      </pic:pic>
                    </a:graphicData>
                  </a:graphic>
                </wp:inline>
              </w:drawing>
            </w:r>
          </w:p>
        </w:tc>
      </w:tr>
    </w:tbl>
    <w:p w14:paraId="1FCA3CDC">
      <w:pPr>
        <w:ind w:firstLine="422"/>
        <w:rPr>
          <w:rFonts w:ascii="宋体" w:hAnsi="宋体" w:eastAsia="宋体" w:cs="宋体"/>
          <w:b/>
          <w:bCs/>
          <w:sz w:val="21"/>
          <w:szCs w:val="21"/>
          <w:highlight w:val="none"/>
        </w:rPr>
      </w:pPr>
    </w:p>
    <w:p w14:paraId="5DE6C9B4">
      <w:pPr>
        <w:tabs>
          <w:tab w:val="left" w:pos="694"/>
        </w:tabs>
        <w:ind w:left="0" w:leftChars="0" w:firstLine="0" w:firstLineChars="0"/>
        <w:jc w:val="left"/>
        <w:rPr>
          <w:highlight w:val="none"/>
          <w:u w:val="none"/>
        </w:rPr>
        <w:sectPr>
          <w:pgSz w:w="11906" w:h="16838"/>
          <w:pgMar w:top="1247" w:right="1134" w:bottom="1247" w:left="1134" w:header="170" w:footer="567" w:gutter="0"/>
          <w:cols w:space="720" w:num="1"/>
          <w:docGrid w:linePitch="381" w:charSpace="0"/>
        </w:sectPr>
      </w:pPr>
      <w:r>
        <w:rPr>
          <w:rFonts w:hint="eastAsia" w:ascii="宋体" w:hAnsi="宋体" w:eastAsia="宋体" w:cs="宋体"/>
          <w:b/>
          <w:bCs/>
          <w:color w:val="FF0000"/>
          <w:highlight w:val="none"/>
        </w:rPr>
        <w:t>备注：</w:t>
      </w:r>
      <w:r>
        <w:rPr>
          <w:rFonts w:hint="eastAsia" w:ascii="宋体" w:hAnsi="宋体" w:eastAsia="宋体" w:cs="宋体"/>
          <w:b/>
          <w:color w:val="FF0000"/>
          <w:highlight w:val="none"/>
          <w:u w:val="single"/>
        </w:rPr>
        <w:t>要求对开放服务椅</w:t>
      </w:r>
      <w:r>
        <w:rPr>
          <w:rFonts w:hint="eastAsia" w:ascii="宋体" w:hAnsi="宋体" w:eastAsia="宋体" w:cs="宋体"/>
          <w:b/>
          <w:color w:val="FF0000"/>
          <w:highlight w:val="none"/>
          <w:u w:val="single"/>
          <w:lang w:eastAsia="zh-CN"/>
        </w:rPr>
        <w:t>、</w:t>
      </w:r>
      <w:r>
        <w:rPr>
          <w:rFonts w:hint="eastAsia" w:ascii="宋体" w:hAnsi="宋体" w:eastAsia="宋体" w:cs="宋体"/>
          <w:b/>
          <w:color w:val="FF0000"/>
          <w:highlight w:val="none"/>
          <w:u w:val="single"/>
        </w:rPr>
        <w:t>开放服务椅</w:t>
      </w:r>
      <w:r>
        <w:rPr>
          <w:rFonts w:hint="eastAsia" w:ascii="宋体" w:hAnsi="宋体" w:eastAsia="宋体" w:cs="宋体"/>
          <w:b/>
          <w:color w:val="FF0000"/>
          <w:highlight w:val="none"/>
          <w:u w:val="single"/>
          <w:lang w:val="en-US" w:eastAsia="zh-CN"/>
        </w:rPr>
        <w:t>扶手的榫卯结构连接部件</w:t>
      </w:r>
      <w:r>
        <w:rPr>
          <w:rFonts w:hint="eastAsia" w:ascii="宋体" w:hAnsi="宋体" w:eastAsia="宋体" w:cs="宋体"/>
          <w:b/>
          <w:color w:val="FF0000"/>
          <w:highlight w:val="none"/>
          <w:u w:val="single"/>
        </w:rPr>
        <w:t>提供样品。</w:t>
      </w:r>
      <w:r>
        <w:rPr>
          <w:rFonts w:hint="eastAsia" w:cs="宋体"/>
          <w:b/>
          <w:bCs/>
          <w:color w:val="auto"/>
          <w:highlight w:val="none"/>
          <w:u w:val="none"/>
          <w:lang w:eastAsia="zh-CN"/>
        </w:rPr>
        <w:t>（</w:t>
      </w:r>
      <w:r>
        <w:rPr>
          <w:rFonts w:hint="eastAsia" w:ascii="宋体" w:hAnsi="宋体"/>
          <w:b/>
          <w:bCs/>
          <w:color w:val="auto"/>
          <w:sz w:val="24"/>
          <w:highlight w:val="none"/>
        </w:rPr>
        <w:t>中标人所提供的样品在开标结束后，由采购单位封存，作为验收的一个依据。未成交的样品退还给各供应商。样品上不得</w:t>
      </w:r>
      <w:r>
        <w:rPr>
          <w:rFonts w:hint="eastAsia" w:ascii="宋体" w:hAnsi="宋体"/>
          <w:b/>
          <w:bCs/>
          <w:color w:val="auto"/>
          <w:sz w:val="24"/>
          <w:highlight w:val="none"/>
          <w:lang w:eastAsia="zh-CN"/>
        </w:rPr>
        <w:t>显示</w:t>
      </w:r>
      <w:r>
        <w:rPr>
          <w:rFonts w:hint="eastAsia" w:ascii="宋体" w:hAnsi="宋体"/>
          <w:b/>
          <w:bCs/>
          <w:color w:val="auto"/>
          <w:sz w:val="24"/>
          <w:highlight w:val="none"/>
        </w:rPr>
        <w:t>投标人名称</w:t>
      </w:r>
      <w:r>
        <w:rPr>
          <w:rFonts w:hint="eastAsia" w:ascii="宋体" w:hAnsi="宋体"/>
          <w:b/>
          <w:bCs/>
          <w:color w:val="auto"/>
          <w:sz w:val="24"/>
          <w:highlight w:val="none"/>
          <w:lang w:eastAsia="zh-CN"/>
        </w:rPr>
        <w:t>、商标、</w:t>
      </w:r>
      <w:r>
        <w:rPr>
          <w:rFonts w:hint="eastAsia" w:ascii="宋体" w:hAnsi="宋体"/>
          <w:b/>
          <w:bCs/>
          <w:color w:val="auto"/>
          <w:sz w:val="24"/>
          <w:highlight w:val="none"/>
          <w:lang w:val="en-US" w:eastAsia="zh-CN"/>
        </w:rPr>
        <w:t>LOGO等标记，</w:t>
      </w:r>
      <w:r>
        <w:rPr>
          <w:rFonts w:hint="eastAsia" w:ascii="宋体" w:hAnsi="宋体"/>
          <w:b/>
          <w:bCs/>
          <w:color w:val="auto"/>
          <w:sz w:val="24"/>
          <w:highlight w:val="none"/>
        </w:rPr>
        <w:t>由代理机构专职人员及业主监督人员在开标前重新编号。</w:t>
      </w:r>
      <w:r>
        <w:rPr>
          <w:rFonts w:ascii="宋体" w:hAnsi="宋体" w:eastAsia="Times New Roman" w:cs="微软雅黑"/>
          <w:b/>
          <w:bCs/>
          <w:color w:val="auto"/>
          <w:kern w:val="0"/>
          <w:sz w:val="24"/>
          <w:highlight w:val="none"/>
        </w:rPr>
        <w:t>各</w:t>
      </w:r>
      <w:r>
        <w:rPr>
          <w:rFonts w:hint="eastAsia" w:ascii="宋体" w:hAnsi="宋体" w:eastAsia="Times New Roman" w:cs="微软雅黑"/>
          <w:b/>
          <w:bCs/>
          <w:color w:val="auto"/>
          <w:kern w:val="0"/>
          <w:sz w:val="24"/>
          <w:highlight w:val="none"/>
        </w:rPr>
        <w:t>供应商在开标截止时间前</w:t>
      </w:r>
      <w:r>
        <w:rPr>
          <w:rFonts w:ascii="宋体" w:hAnsi="宋体" w:eastAsia="Times New Roman" w:cs="微软雅黑"/>
          <w:b/>
          <w:bCs/>
          <w:color w:val="auto"/>
          <w:kern w:val="0"/>
          <w:sz w:val="24"/>
          <w:highlight w:val="none"/>
        </w:rPr>
        <w:t>将样品安装摆放在指定</w:t>
      </w:r>
      <w:r>
        <w:rPr>
          <w:rFonts w:hint="eastAsia" w:ascii="宋体" w:hAnsi="宋体" w:eastAsia="宋体" w:cs="微软雅黑"/>
          <w:b/>
          <w:bCs/>
          <w:color w:val="auto"/>
          <w:kern w:val="0"/>
          <w:sz w:val="24"/>
          <w:highlight w:val="none"/>
          <w:lang w:eastAsia="zh-CN"/>
        </w:rPr>
        <w:t>区域</w:t>
      </w:r>
      <w:r>
        <w:rPr>
          <w:rFonts w:ascii="宋体" w:hAnsi="宋体" w:eastAsia="Times New Roman" w:cs="微软雅黑"/>
          <w:b/>
          <w:bCs/>
          <w:color w:val="auto"/>
          <w:kern w:val="0"/>
          <w:sz w:val="24"/>
          <w:highlight w:val="none"/>
        </w:rPr>
        <w:t>，截止时间过后，将不再接收样品。</w:t>
      </w:r>
      <w:r>
        <w:rPr>
          <w:rFonts w:hint="eastAsia" w:cs="宋体"/>
          <w:b/>
          <w:bCs/>
          <w:color w:val="auto"/>
          <w:highlight w:val="none"/>
          <w:u w:val="none"/>
          <w:lang w:eastAsia="zh-CN"/>
        </w:rPr>
        <w:t>）</w:t>
      </w:r>
      <w:bookmarkStart w:id="85" w:name="_GoBack"/>
      <w:bookmarkEnd w:id="85"/>
    </w:p>
    <w:p w14:paraId="3867B6A7">
      <w:pPr>
        <w:ind w:firstLine="0" w:firstLineChars="0"/>
        <w:rPr>
          <w:rFonts w:ascii="仿宋_GB2312" w:hAnsi="宋体" w:eastAsia="仿宋_GB2312" w:cs="Times New Roman"/>
          <w:b/>
          <w:bCs/>
          <w:sz w:val="28"/>
          <w:szCs w:val="28"/>
          <w:highlight w:val="none"/>
        </w:rPr>
      </w:pPr>
      <w:r>
        <w:rPr>
          <w:rFonts w:hint="eastAsia" w:cs="宋体"/>
          <w:b/>
          <w:bCs/>
          <w:highlight w:val="none"/>
        </w:rPr>
        <w:t>标项四：图书馆1F-心理咨询中心家具（预算金额：69994.5元）</w:t>
      </w:r>
    </w:p>
    <w:tbl>
      <w:tblPr>
        <w:tblStyle w:val="44"/>
        <w:tblW w:w="10363" w:type="dxa"/>
        <w:tblInd w:w="-289" w:type="dxa"/>
        <w:tblLayout w:type="fixed"/>
        <w:tblCellMar>
          <w:top w:w="0" w:type="dxa"/>
          <w:left w:w="108" w:type="dxa"/>
          <w:bottom w:w="0" w:type="dxa"/>
          <w:right w:w="108" w:type="dxa"/>
        </w:tblCellMar>
      </w:tblPr>
      <w:tblGrid>
        <w:gridCol w:w="682"/>
        <w:gridCol w:w="1472"/>
        <w:gridCol w:w="628"/>
        <w:gridCol w:w="695"/>
        <w:gridCol w:w="2700"/>
        <w:gridCol w:w="1882"/>
        <w:gridCol w:w="2304"/>
      </w:tblGrid>
      <w:tr w14:paraId="769D2B62">
        <w:tblPrEx>
          <w:tblCellMar>
            <w:top w:w="0" w:type="dxa"/>
            <w:left w:w="108" w:type="dxa"/>
            <w:bottom w:w="0" w:type="dxa"/>
            <w:right w:w="108" w:type="dxa"/>
          </w:tblCellMar>
        </w:tblPrEx>
        <w:trPr>
          <w:trHeight w:val="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7FAEF1FF">
            <w:pPr>
              <w:widowControl/>
              <w:spacing w:line="240" w:lineRule="auto"/>
              <w:ind w:firstLine="0" w:firstLineChars="0"/>
              <w:jc w:val="center"/>
              <w:rPr>
                <w:rFonts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1472" w:type="dxa"/>
            <w:tcBorders>
              <w:top w:val="single" w:color="auto" w:sz="4" w:space="0"/>
              <w:left w:val="nil"/>
              <w:bottom w:val="single" w:color="auto" w:sz="4" w:space="0"/>
              <w:right w:val="single" w:color="auto" w:sz="4" w:space="0"/>
            </w:tcBorders>
            <w:noWrap w:val="0"/>
            <w:vAlign w:val="center"/>
          </w:tcPr>
          <w:p w14:paraId="6DFA6781">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设备名称</w:t>
            </w:r>
          </w:p>
        </w:tc>
        <w:tc>
          <w:tcPr>
            <w:tcW w:w="628" w:type="dxa"/>
            <w:tcBorders>
              <w:top w:val="single" w:color="auto" w:sz="4" w:space="0"/>
              <w:left w:val="nil"/>
              <w:bottom w:val="single" w:color="auto" w:sz="4" w:space="0"/>
              <w:right w:val="single" w:color="auto" w:sz="4" w:space="0"/>
            </w:tcBorders>
            <w:noWrap w:val="0"/>
            <w:vAlign w:val="center"/>
          </w:tcPr>
          <w:p w14:paraId="1F00AA5E">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单位</w:t>
            </w:r>
          </w:p>
        </w:tc>
        <w:tc>
          <w:tcPr>
            <w:tcW w:w="695" w:type="dxa"/>
            <w:tcBorders>
              <w:top w:val="single" w:color="auto" w:sz="4" w:space="0"/>
              <w:left w:val="nil"/>
              <w:bottom w:val="single" w:color="auto" w:sz="4" w:space="0"/>
              <w:right w:val="single" w:color="auto" w:sz="4" w:space="0"/>
            </w:tcBorders>
            <w:noWrap w:val="0"/>
            <w:vAlign w:val="center"/>
          </w:tcPr>
          <w:p w14:paraId="02C3C9B1">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数量</w:t>
            </w:r>
          </w:p>
        </w:tc>
        <w:tc>
          <w:tcPr>
            <w:tcW w:w="2700" w:type="dxa"/>
            <w:tcBorders>
              <w:top w:val="single" w:color="auto" w:sz="4" w:space="0"/>
              <w:left w:val="nil"/>
              <w:bottom w:val="single" w:color="auto" w:sz="4" w:space="0"/>
              <w:right w:val="single" w:color="auto" w:sz="4" w:space="0"/>
            </w:tcBorders>
            <w:noWrap w:val="0"/>
            <w:vAlign w:val="center"/>
          </w:tcPr>
          <w:p w14:paraId="646B1EC3">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材质</w:t>
            </w:r>
          </w:p>
        </w:tc>
        <w:tc>
          <w:tcPr>
            <w:tcW w:w="1882" w:type="dxa"/>
            <w:tcBorders>
              <w:top w:val="single" w:color="auto" w:sz="4" w:space="0"/>
              <w:left w:val="nil"/>
              <w:bottom w:val="single" w:color="auto" w:sz="4" w:space="0"/>
              <w:right w:val="single" w:color="auto" w:sz="4" w:space="0"/>
            </w:tcBorders>
            <w:noWrap w:val="0"/>
            <w:vAlign w:val="center"/>
          </w:tcPr>
          <w:p w14:paraId="30262FE1">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型号规格</w:t>
            </w:r>
          </w:p>
        </w:tc>
        <w:tc>
          <w:tcPr>
            <w:tcW w:w="2304" w:type="dxa"/>
            <w:tcBorders>
              <w:top w:val="single" w:color="auto" w:sz="4" w:space="0"/>
              <w:left w:val="nil"/>
              <w:bottom w:val="single" w:color="auto" w:sz="4" w:space="0"/>
              <w:right w:val="single" w:color="auto" w:sz="4" w:space="0"/>
            </w:tcBorders>
            <w:noWrap/>
            <w:vAlign w:val="center"/>
          </w:tcPr>
          <w:p w14:paraId="26C9F9EA">
            <w:pPr>
              <w:widowControl/>
              <w:spacing w:line="240" w:lineRule="auto"/>
              <w:ind w:firstLine="0" w:firstLineChars="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参考图片</w:t>
            </w:r>
          </w:p>
        </w:tc>
      </w:tr>
      <w:tr w14:paraId="157B60F1">
        <w:tblPrEx>
          <w:tblCellMar>
            <w:top w:w="0" w:type="dxa"/>
            <w:left w:w="108" w:type="dxa"/>
            <w:bottom w:w="0" w:type="dxa"/>
            <w:right w:w="108" w:type="dxa"/>
          </w:tblCellMar>
        </w:tblPrEx>
        <w:trPr>
          <w:trHeight w:val="1977" w:hRule="atLeast"/>
        </w:trPr>
        <w:tc>
          <w:tcPr>
            <w:tcW w:w="682" w:type="dxa"/>
            <w:tcBorders>
              <w:top w:val="nil"/>
              <w:left w:val="single" w:color="auto" w:sz="4" w:space="0"/>
              <w:bottom w:val="single" w:color="auto" w:sz="4" w:space="0"/>
              <w:right w:val="single" w:color="auto" w:sz="4" w:space="0"/>
            </w:tcBorders>
            <w:noWrap w:val="0"/>
            <w:vAlign w:val="center"/>
          </w:tcPr>
          <w:p w14:paraId="79C53AFB">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72" w:type="dxa"/>
            <w:tcBorders>
              <w:top w:val="nil"/>
              <w:left w:val="nil"/>
              <w:bottom w:val="single" w:color="auto" w:sz="4" w:space="0"/>
              <w:right w:val="single" w:color="auto" w:sz="4" w:space="0"/>
            </w:tcBorders>
            <w:noWrap w:val="0"/>
            <w:vAlign w:val="center"/>
          </w:tcPr>
          <w:p w14:paraId="318297BB">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冥想放松</w:t>
            </w:r>
          </w:p>
          <w:p w14:paraId="148565B4">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蒲团</w:t>
            </w:r>
          </w:p>
        </w:tc>
        <w:tc>
          <w:tcPr>
            <w:tcW w:w="628" w:type="dxa"/>
            <w:tcBorders>
              <w:top w:val="nil"/>
              <w:left w:val="nil"/>
              <w:bottom w:val="single" w:color="auto" w:sz="4" w:space="0"/>
              <w:right w:val="single" w:color="auto" w:sz="4" w:space="0"/>
            </w:tcBorders>
            <w:noWrap w:val="0"/>
            <w:vAlign w:val="center"/>
          </w:tcPr>
          <w:p w14:paraId="5F335557">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个</w:t>
            </w:r>
          </w:p>
        </w:tc>
        <w:tc>
          <w:tcPr>
            <w:tcW w:w="695" w:type="dxa"/>
            <w:tcBorders>
              <w:top w:val="nil"/>
              <w:left w:val="nil"/>
              <w:bottom w:val="single" w:color="auto" w:sz="4" w:space="0"/>
              <w:right w:val="single" w:color="auto" w:sz="4" w:space="0"/>
            </w:tcBorders>
            <w:noWrap w:val="0"/>
            <w:vAlign w:val="center"/>
          </w:tcPr>
          <w:p w14:paraId="381F9E4F">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10</w:t>
            </w:r>
          </w:p>
        </w:tc>
        <w:tc>
          <w:tcPr>
            <w:tcW w:w="2700" w:type="dxa"/>
            <w:tcBorders>
              <w:top w:val="nil"/>
              <w:left w:val="nil"/>
              <w:bottom w:val="single" w:color="auto" w:sz="4" w:space="0"/>
              <w:right w:val="single" w:color="auto" w:sz="4" w:space="0"/>
            </w:tcBorders>
            <w:noWrap w:val="0"/>
            <w:vAlign w:val="center"/>
          </w:tcPr>
          <w:p w14:paraId="1271A034">
            <w:pPr>
              <w:widowControl/>
              <w:spacing w:line="240" w:lineRule="auto"/>
              <w:ind w:firstLine="0" w:firstLineChars="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天然蒲草，手工编织，内芯填充EPC高弹棉，久坐不塌，软硬适中，轻便好用，打理简易，可用蘸水的干净抹布擦拭即可清除污渍，同时草面也会更加饱满。</w:t>
            </w:r>
          </w:p>
        </w:tc>
        <w:tc>
          <w:tcPr>
            <w:tcW w:w="1882" w:type="dxa"/>
            <w:tcBorders>
              <w:top w:val="nil"/>
              <w:left w:val="nil"/>
              <w:bottom w:val="single" w:color="auto" w:sz="4" w:space="0"/>
              <w:right w:val="single" w:color="auto" w:sz="4" w:space="0"/>
            </w:tcBorders>
            <w:noWrap w:val="0"/>
            <w:vAlign w:val="center"/>
          </w:tcPr>
          <w:p w14:paraId="413BC002">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直径500*100MM</w:t>
            </w:r>
          </w:p>
        </w:tc>
        <w:tc>
          <w:tcPr>
            <w:tcW w:w="2304" w:type="dxa"/>
            <w:tcBorders>
              <w:top w:val="nil"/>
              <w:left w:val="nil"/>
              <w:bottom w:val="single" w:color="auto" w:sz="4" w:space="0"/>
              <w:right w:val="single" w:color="auto" w:sz="4" w:space="0"/>
            </w:tcBorders>
            <w:noWrap/>
            <w:vAlign w:val="center"/>
          </w:tcPr>
          <w:p w14:paraId="4FF514D9">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drawing>
                <wp:anchor distT="0" distB="0" distL="114300" distR="114300" simplePos="0" relativeHeight="251679744" behindDoc="0" locked="0" layoutInCell="1" allowOverlap="1">
                  <wp:simplePos x="0" y="0"/>
                  <wp:positionH relativeFrom="column">
                    <wp:posOffset>7620</wp:posOffset>
                  </wp:positionH>
                  <wp:positionV relativeFrom="paragraph">
                    <wp:posOffset>20955</wp:posOffset>
                  </wp:positionV>
                  <wp:extent cx="1301750" cy="1076325"/>
                  <wp:effectExtent l="0" t="0" r="12700" b="9525"/>
                  <wp:wrapNone/>
                  <wp:docPr id="1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pic:cNvPicPr>
                            <a:picLocks noChangeAspect="1"/>
                          </pic:cNvPicPr>
                        </pic:nvPicPr>
                        <pic:blipFill>
                          <a:blip r:embed="rId92"/>
                          <a:stretch>
                            <a:fillRect/>
                          </a:stretch>
                        </pic:blipFill>
                        <pic:spPr>
                          <a:xfrm>
                            <a:off x="0" y="0"/>
                            <a:ext cx="1301750" cy="1076325"/>
                          </a:xfrm>
                          <a:prstGeom prst="rect">
                            <a:avLst/>
                          </a:prstGeom>
                          <a:noFill/>
                          <a:ln>
                            <a:noFill/>
                          </a:ln>
                        </pic:spPr>
                      </pic:pic>
                    </a:graphicData>
                  </a:graphic>
                </wp:anchor>
              </w:drawing>
            </w:r>
          </w:p>
          <w:p w14:paraId="6570A4A4">
            <w:pPr>
              <w:widowControl/>
              <w:spacing w:line="240" w:lineRule="auto"/>
              <w:ind w:firstLine="0" w:firstLineChars="0"/>
              <w:jc w:val="left"/>
              <w:rPr>
                <w:rFonts w:hint="eastAsia" w:ascii="宋体" w:hAnsi="宋体" w:eastAsia="宋体" w:cs="宋体"/>
                <w:kern w:val="0"/>
                <w:sz w:val="21"/>
                <w:szCs w:val="21"/>
                <w:highlight w:val="none"/>
              </w:rPr>
            </w:pPr>
          </w:p>
        </w:tc>
      </w:tr>
      <w:tr w14:paraId="1DABAAD0">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0034704A">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1472" w:type="dxa"/>
            <w:tcBorders>
              <w:top w:val="nil"/>
              <w:left w:val="nil"/>
              <w:bottom w:val="single" w:color="auto" w:sz="4" w:space="0"/>
              <w:right w:val="single" w:color="auto" w:sz="4" w:space="0"/>
            </w:tcBorders>
            <w:noWrap w:val="0"/>
            <w:vAlign w:val="center"/>
          </w:tcPr>
          <w:p w14:paraId="173FF955">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团体辅导</w:t>
            </w:r>
          </w:p>
          <w:p w14:paraId="7FA8E8BD">
            <w:pPr>
              <w:widowControl/>
              <w:spacing w:line="240" w:lineRule="auto"/>
              <w:ind w:firstLine="0" w:firstLineChars="0"/>
              <w:jc w:val="center"/>
              <w:rPr>
                <w:rFonts w:hint="eastAsia" w:eastAsia="宋体"/>
                <w:sz w:val="21"/>
                <w:szCs w:val="21"/>
                <w:highlight w:val="none"/>
                <w:lang w:val="en-US" w:eastAsia="zh-CN"/>
              </w:rPr>
            </w:pPr>
            <w:r>
              <w:rPr>
                <w:rFonts w:hint="eastAsia" w:ascii="宋体" w:hAnsi="宋体" w:eastAsia="宋体" w:cs="宋体"/>
                <w:kern w:val="0"/>
                <w:sz w:val="21"/>
                <w:szCs w:val="21"/>
                <w:highlight w:val="none"/>
              </w:rPr>
              <w:t>活动桌椅</w:t>
            </w:r>
          </w:p>
        </w:tc>
        <w:tc>
          <w:tcPr>
            <w:tcW w:w="628" w:type="dxa"/>
            <w:tcBorders>
              <w:top w:val="nil"/>
              <w:left w:val="nil"/>
              <w:bottom w:val="single" w:color="auto" w:sz="4" w:space="0"/>
              <w:right w:val="single" w:color="auto" w:sz="4" w:space="0"/>
            </w:tcBorders>
            <w:noWrap w:val="0"/>
            <w:vAlign w:val="center"/>
          </w:tcPr>
          <w:p w14:paraId="631755D6">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2A97441E">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4</w:t>
            </w:r>
          </w:p>
        </w:tc>
        <w:tc>
          <w:tcPr>
            <w:tcW w:w="2700" w:type="dxa"/>
            <w:tcBorders>
              <w:top w:val="nil"/>
              <w:left w:val="nil"/>
              <w:bottom w:val="single" w:color="auto" w:sz="4" w:space="0"/>
              <w:right w:val="single" w:color="auto" w:sz="4" w:space="0"/>
            </w:tcBorders>
            <w:noWrap w:val="0"/>
            <w:vAlign w:val="center"/>
          </w:tcPr>
          <w:p w14:paraId="56CA8A4C">
            <w:pPr>
              <w:widowControl/>
              <w:spacing w:line="240" w:lineRule="auto"/>
              <w:ind w:left="0" w:leftChars="0" w:firstLine="0" w:firstLineChars="0"/>
              <w:jc w:val="left"/>
              <w:rPr>
                <w:rFonts w:hint="eastAsia" w:ascii="宋体" w:hAnsi="宋体" w:eastAsia="宋体" w:cs="宋体"/>
                <w:kern w:val="0"/>
                <w:sz w:val="21"/>
                <w:szCs w:val="21"/>
                <w:highlight w:val="none"/>
                <w:lang w:eastAsia="zh-CN"/>
              </w:rPr>
            </w:pPr>
            <w:r>
              <w:rPr>
                <w:rFonts w:hint="eastAsia" w:cs="宋体"/>
                <w:kern w:val="0"/>
                <w:sz w:val="21"/>
                <w:szCs w:val="21"/>
                <w:highlight w:val="none"/>
                <w:lang w:val="en-US" w:eastAsia="zh-CN"/>
              </w:rPr>
              <w:t>1、</w:t>
            </w:r>
            <w:r>
              <w:rPr>
                <w:rFonts w:hint="eastAsia" w:ascii="宋体" w:hAnsi="宋体" w:eastAsia="宋体" w:cs="宋体"/>
                <w:kern w:val="0"/>
                <w:sz w:val="21"/>
                <w:szCs w:val="21"/>
                <w:highlight w:val="none"/>
              </w:rPr>
              <w:t>E1级高密度环保板，环保健康防水防腐，加粗钢管桌腿，表面静电喷塑，稳固结构不晃动</w:t>
            </w:r>
            <w:r>
              <w:rPr>
                <w:rFonts w:hint="eastAsia" w:ascii="宋体" w:hAnsi="宋体" w:eastAsia="宋体" w:cs="宋体"/>
                <w:kern w:val="0"/>
                <w:sz w:val="21"/>
                <w:szCs w:val="21"/>
                <w:highlight w:val="none"/>
                <w:lang w:eastAsia="zh-CN"/>
              </w:rPr>
              <w:t>。</w:t>
            </w:r>
          </w:p>
          <w:p w14:paraId="42E5EF98">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cs="宋体"/>
                <w:kern w:val="0"/>
                <w:sz w:val="21"/>
                <w:szCs w:val="21"/>
                <w:highlight w:val="none"/>
                <w:lang w:val="en-US" w:eastAsia="zh-CN"/>
              </w:rPr>
              <w:t>2、</w:t>
            </w:r>
            <w:r>
              <w:rPr>
                <w:rFonts w:hint="eastAsia" w:ascii="宋体" w:hAnsi="宋体" w:eastAsia="宋体" w:cs="宋体"/>
                <w:kern w:val="0"/>
                <w:sz w:val="21"/>
                <w:szCs w:val="21"/>
                <w:highlight w:val="none"/>
                <w:lang w:val="en-US" w:eastAsia="zh-CN"/>
              </w:rPr>
              <w:t>要求</w:t>
            </w:r>
            <w:r>
              <w:rPr>
                <w:rFonts w:hint="eastAsia" w:ascii="宋体" w:hAnsi="宋体" w:eastAsia="宋体" w:cs="宋体"/>
                <w:kern w:val="0"/>
                <w:sz w:val="21"/>
                <w:szCs w:val="21"/>
                <w:highlight w:val="none"/>
                <w:lang w:eastAsia="zh-CN"/>
              </w:rPr>
              <w:t>能够根据团体活动需要，组合不同造型，梯形桌子，十几种组合方式。每套由8把梯形桌及8把椅子组成。</w:t>
            </w:r>
            <w:r>
              <w:rPr>
                <w:rFonts w:hint="eastAsia" w:ascii="宋体" w:hAnsi="宋体" w:eastAsia="宋体" w:cs="宋体"/>
                <w:kern w:val="0"/>
                <w:sz w:val="21"/>
                <w:szCs w:val="21"/>
                <w:highlight w:val="none"/>
                <w:lang w:val="en-US" w:eastAsia="zh-CN"/>
              </w:rPr>
              <w:t>桌子要求浅胡桃或白枫色，</w:t>
            </w:r>
            <w:r>
              <w:rPr>
                <w:rFonts w:hint="eastAsia" w:ascii="宋体" w:hAnsi="宋体" w:eastAsia="宋体" w:cs="宋体"/>
                <w:kern w:val="0"/>
                <w:sz w:val="21"/>
                <w:szCs w:val="21"/>
                <w:highlight w:val="none"/>
                <w:lang w:eastAsia="zh-CN"/>
              </w:rPr>
              <w:t>椅子颜色为白色，要求：承重≥100公斤</w:t>
            </w:r>
            <w:r>
              <w:rPr>
                <w:rFonts w:hint="eastAsia" w:cs="宋体"/>
                <w:kern w:val="0"/>
                <w:sz w:val="21"/>
                <w:szCs w:val="21"/>
                <w:highlight w:val="none"/>
                <w:lang w:eastAsia="zh-CN"/>
              </w:rPr>
              <w:t>，</w:t>
            </w:r>
            <w:r>
              <w:rPr>
                <w:rFonts w:hint="eastAsia" w:ascii="宋体" w:hAnsi="宋体" w:eastAsia="宋体" w:cs="宋体"/>
                <w:kern w:val="0"/>
                <w:sz w:val="21"/>
                <w:szCs w:val="21"/>
                <w:highlight w:val="none"/>
                <w:lang w:eastAsia="zh-CN"/>
              </w:rPr>
              <w:t>可叠放</w:t>
            </w:r>
            <w:r>
              <w:rPr>
                <w:rFonts w:hint="eastAsia" w:cs="宋体"/>
                <w:kern w:val="0"/>
                <w:sz w:val="21"/>
                <w:szCs w:val="21"/>
                <w:highlight w:val="none"/>
                <w:lang w:eastAsia="zh-CN"/>
              </w:rPr>
              <w:t>。</w:t>
            </w:r>
          </w:p>
        </w:tc>
        <w:tc>
          <w:tcPr>
            <w:tcW w:w="1882" w:type="dxa"/>
            <w:tcBorders>
              <w:top w:val="nil"/>
              <w:left w:val="nil"/>
              <w:bottom w:val="single" w:color="auto" w:sz="4" w:space="0"/>
              <w:right w:val="single" w:color="auto" w:sz="4" w:space="0"/>
            </w:tcBorders>
            <w:noWrap w:val="0"/>
            <w:vAlign w:val="center"/>
          </w:tcPr>
          <w:p w14:paraId="48DE6CF1">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桌子：承重≥150公斤，尺寸规格：1200*600*750 椅子：配套</w:t>
            </w:r>
          </w:p>
        </w:tc>
        <w:tc>
          <w:tcPr>
            <w:tcW w:w="2304" w:type="dxa"/>
            <w:tcBorders>
              <w:top w:val="nil"/>
              <w:left w:val="nil"/>
              <w:bottom w:val="single" w:color="auto" w:sz="4" w:space="0"/>
              <w:right w:val="single" w:color="auto" w:sz="4" w:space="0"/>
            </w:tcBorders>
            <w:noWrap/>
            <w:vAlign w:val="center"/>
          </w:tcPr>
          <w:p w14:paraId="1EC881FF">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20165" cy="1472565"/>
                  <wp:effectExtent l="0" t="0" r="13335" b="1333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93"/>
                          <a:stretch>
                            <a:fillRect/>
                          </a:stretch>
                        </pic:blipFill>
                        <pic:spPr>
                          <a:xfrm>
                            <a:off x="0" y="0"/>
                            <a:ext cx="1320165" cy="1472565"/>
                          </a:xfrm>
                          <a:prstGeom prst="rect">
                            <a:avLst/>
                          </a:prstGeom>
                          <a:noFill/>
                          <a:ln>
                            <a:noFill/>
                          </a:ln>
                        </pic:spPr>
                      </pic:pic>
                    </a:graphicData>
                  </a:graphic>
                </wp:inline>
              </w:drawing>
            </w:r>
          </w:p>
        </w:tc>
      </w:tr>
      <w:tr w14:paraId="3E0855D7">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477E959E">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1472" w:type="dxa"/>
            <w:tcBorders>
              <w:top w:val="nil"/>
              <w:left w:val="nil"/>
              <w:bottom w:val="single" w:color="auto" w:sz="4" w:space="0"/>
              <w:right w:val="single" w:color="auto" w:sz="4" w:space="0"/>
            </w:tcBorders>
            <w:noWrap w:val="0"/>
            <w:vAlign w:val="center"/>
          </w:tcPr>
          <w:p w14:paraId="47C6175A">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接待台</w:t>
            </w:r>
          </w:p>
        </w:tc>
        <w:tc>
          <w:tcPr>
            <w:tcW w:w="628" w:type="dxa"/>
            <w:tcBorders>
              <w:top w:val="nil"/>
              <w:left w:val="nil"/>
              <w:bottom w:val="single" w:color="auto" w:sz="4" w:space="0"/>
              <w:right w:val="single" w:color="auto" w:sz="4" w:space="0"/>
            </w:tcBorders>
            <w:noWrap w:val="0"/>
            <w:vAlign w:val="center"/>
          </w:tcPr>
          <w:p w14:paraId="78D681F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7D8AF281">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1</w:t>
            </w:r>
          </w:p>
        </w:tc>
        <w:tc>
          <w:tcPr>
            <w:tcW w:w="2700" w:type="dxa"/>
            <w:tcBorders>
              <w:top w:val="nil"/>
              <w:left w:val="nil"/>
              <w:bottom w:val="single" w:color="auto" w:sz="4" w:space="0"/>
              <w:right w:val="single" w:color="auto" w:sz="4" w:space="0"/>
            </w:tcBorders>
            <w:noWrap w:val="0"/>
            <w:vAlign w:val="center"/>
          </w:tcPr>
          <w:p w14:paraId="3663F029">
            <w:pPr>
              <w:widowControl/>
              <w:numPr>
                <w:ilvl w:val="0"/>
                <w:numId w:val="0"/>
              </w:numPr>
              <w:spacing w:line="240" w:lineRule="auto"/>
              <w:jc w:val="left"/>
              <w:rPr>
                <w:rFonts w:hint="eastAsia" w:ascii="宋体" w:hAnsi="宋体" w:eastAsia="宋体" w:cs="宋体"/>
                <w:kern w:val="0"/>
                <w:sz w:val="21"/>
                <w:szCs w:val="21"/>
                <w:highlight w:val="none"/>
                <w:lang w:val="en-US" w:eastAsia="zh-CN"/>
              </w:rPr>
            </w:pPr>
            <w:r>
              <w:rPr>
                <w:rFonts w:hint="eastAsia" w:cs="宋体"/>
                <w:kern w:val="0"/>
                <w:sz w:val="21"/>
                <w:szCs w:val="21"/>
                <w:highlight w:val="none"/>
                <w:lang w:val="en-US" w:eastAsia="zh-CN"/>
              </w:rPr>
              <w:t>1、</w:t>
            </w:r>
            <w:r>
              <w:rPr>
                <w:rFonts w:hint="eastAsia" w:ascii="宋体" w:hAnsi="宋体" w:eastAsia="宋体" w:cs="宋体"/>
                <w:kern w:val="0"/>
                <w:sz w:val="21"/>
                <w:szCs w:val="21"/>
                <w:highlight w:val="none"/>
              </w:rPr>
              <w:t>E1级环保颗粒实木板材，</w:t>
            </w:r>
            <w:r>
              <w:rPr>
                <w:rFonts w:hint="eastAsia" w:ascii="宋体" w:hAnsi="宋体" w:eastAsia="宋体" w:cs="宋体"/>
                <w:kern w:val="0"/>
                <w:sz w:val="21"/>
                <w:szCs w:val="21"/>
                <w:highlight w:val="none"/>
                <w:lang w:eastAsia="zh-CN"/>
              </w:rPr>
              <w:t>整体烤漆工艺，</w:t>
            </w:r>
            <w:r>
              <w:rPr>
                <w:rFonts w:hint="eastAsia" w:ascii="宋体" w:hAnsi="宋体" w:eastAsia="宋体" w:cs="宋体"/>
                <w:kern w:val="0"/>
                <w:sz w:val="21"/>
                <w:szCs w:val="21"/>
                <w:highlight w:val="none"/>
              </w:rPr>
              <w:t>甲醛释放量&lt;0.5</w:t>
            </w:r>
            <w:r>
              <w:rPr>
                <w:rFonts w:hint="eastAsia" w:cs="宋体"/>
                <w:kern w:val="0"/>
                <w:sz w:val="21"/>
                <w:szCs w:val="21"/>
                <w:highlight w:val="none"/>
                <w:lang w:val="en-US" w:eastAsia="zh-CN"/>
              </w:rPr>
              <w:t>mg</w:t>
            </w:r>
            <w:r>
              <w:rPr>
                <w:rFonts w:hint="eastAsia" w:ascii="宋体" w:hAnsi="宋体" w:eastAsia="宋体" w:cs="宋体"/>
                <w:kern w:val="0"/>
                <w:sz w:val="21"/>
                <w:szCs w:val="21"/>
                <w:highlight w:val="none"/>
              </w:rPr>
              <w:t>/L，环保无异味，加厚板材</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强力承重，静音轨道</w:t>
            </w:r>
            <w:r>
              <w:rPr>
                <w:rFonts w:hint="eastAsia" w:cs="宋体"/>
                <w:kern w:val="0"/>
                <w:sz w:val="21"/>
                <w:szCs w:val="21"/>
                <w:highlight w:val="none"/>
                <w:lang w:eastAsia="zh-CN"/>
              </w:rPr>
              <w:t>。</w:t>
            </w:r>
          </w:p>
          <w:p w14:paraId="6506BB60">
            <w:pPr>
              <w:widowControl/>
              <w:numPr>
                <w:ilvl w:val="0"/>
                <w:numId w:val="0"/>
              </w:numPr>
              <w:spacing w:line="240" w:lineRule="auto"/>
              <w:jc w:val="left"/>
              <w:rPr>
                <w:rFonts w:hint="eastAsia" w:ascii="宋体" w:hAnsi="宋体" w:eastAsia="宋体" w:cs="宋体"/>
                <w:kern w:val="0"/>
                <w:sz w:val="21"/>
                <w:szCs w:val="21"/>
                <w:highlight w:val="none"/>
                <w:lang w:eastAsia="zh-CN"/>
              </w:rPr>
            </w:pPr>
            <w:r>
              <w:rPr>
                <w:rFonts w:hint="eastAsia" w:cs="宋体"/>
                <w:kern w:val="0"/>
                <w:sz w:val="21"/>
                <w:szCs w:val="21"/>
                <w:highlight w:val="none"/>
                <w:lang w:val="en-US" w:eastAsia="zh-CN"/>
              </w:rPr>
              <w:t>2、</w:t>
            </w:r>
            <w:r>
              <w:rPr>
                <w:rFonts w:hint="eastAsia" w:ascii="宋体" w:hAnsi="宋体" w:eastAsia="宋体" w:cs="宋体"/>
                <w:kern w:val="0"/>
                <w:sz w:val="21"/>
                <w:szCs w:val="21"/>
                <w:highlight w:val="none"/>
                <w:lang w:eastAsia="zh-CN"/>
              </w:rPr>
              <w:t>条纹：大理石条纹（</w:t>
            </w:r>
            <w:r>
              <w:rPr>
                <w:rFonts w:hint="eastAsia" w:ascii="宋体" w:hAnsi="宋体" w:eastAsia="宋体" w:cs="宋体"/>
                <w:kern w:val="0"/>
                <w:sz w:val="21"/>
                <w:szCs w:val="21"/>
                <w:highlight w:val="none"/>
                <w:lang w:val="en-US" w:eastAsia="zh-CN"/>
              </w:rPr>
              <w:t>可定制</w:t>
            </w:r>
            <w:r>
              <w:rPr>
                <w:rFonts w:hint="eastAsia" w:ascii="宋体" w:hAnsi="宋体" w:eastAsia="宋体" w:cs="宋体"/>
                <w:kern w:val="0"/>
                <w:sz w:val="21"/>
                <w:szCs w:val="21"/>
                <w:highlight w:val="none"/>
                <w:lang w:eastAsia="zh-CN"/>
              </w:rPr>
              <w:t>）。附加组件：带一个抽屉和一个键盘位。</w:t>
            </w:r>
            <w:r>
              <w:rPr>
                <w:rFonts w:hint="eastAsia" w:ascii="宋体" w:hAnsi="宋体" w:eastAsia="宋体" w:cs="宋体"/>
                <w:kern w:val="0"/>
                <w:sz w:val="21"/>
                <w:szCs w:val="21"/>
                <w:highlight w:val="none"/>
                <w:lang w:val="en-US" w:eastAsia="zh-CN"/>
              </w:rPr>
              <w:t>整体效果见图。</w:t>
            </w:r>
          </w:p>
        </w:tc>
        <w:tc>
          <w:tcPr>
            <w:tcW w:w="1882" w:type="dxa"/>
            <w:tcBorders>
              <w:top w:val="nil"/>
              <w:left w:val="nil"/>
              <w:bottom w:val="single" w:color="auto" w:sz="4" w:space="0"/>
              <w:right w:val="single" w:color="auto" w:sz="4" w:space="0"/>
            </w:tcBorders>
            <w:noWrap w:val="0"/>
            <w:vAlign w:val="center"/>
          </w:tcPr>
          <w:p w14:paraId="098D41B9">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2000*600*1000MM</w:t>
            </w:r>
          </w:p>
        </w:tc>
        <w:tc>
          <w:tcPr>
            <w:tcW w:w="2304" w:type="dxa"/>
            <w:tcBorders>
              <w:top w:val="nil"/>
              <w:left w:val="nil"/>
              <w:bottom w:val="single" w:color="auto" w:sz="4" w:space="0"/>
              <w:right w:val="single" w:color="auto" w:sz="4" w:space="0"/>
            </w:tcBorders>
            <w:noWrap/>
            <w:vAlign w:val="center"/>
          </w:tcPr>
          <w:p w14:paraId="0C61FD9D">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44930" cy="849630"/>
                  <wp:effectExtent l="0" t="0" r="7620"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94"/>
                          <a:stretch>
                            <a:fillRect/>
                          </a:stretch>
                        </pic:blipFill>
                        <pic:spPr>
                          <a:xfrm>
                            <a:off x="0" y="0"/>
                            <a:ext cx="1344930" cy="849630"/>
                          </a:xfrm>
                          <a:prstGeom prst="rect">
                            <a:avLst/>
                          </a:prstGeom>
                          <a:noFill/>
                          <a:ln>
                            <a:noFill/>
                          </a:ln>
                        </pic:spPr>
                      </pic:pic>
                    </a:graphicData>
                  </a:graphic>
                </wp:inline>
              </w:drawing>
            </w:r>
          </w:p>
        </w:tc>
      </w:tr>
      <w:tr w14:paraId="6B3683C5">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1A8EA1D6">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1472" w:type="dxa"/>
            <w:tcBorders>
              <w:top w:val="nil"/>
              <w:left w:val="nil"/>
              <w:bottom w:val="single" w:color="auto" w:sz="4" w:space="0"/>
              <w:right w:val="single" w:color="auto" w:sz="4" w:space="0"/>
            </w:tcBorders>
            <w:noWrap w:val="0"/>
            <w:vAlign w:val="center"/>
          </w:tcPr>
          <w:p w14:paraId="489E56A8">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等待沙发</w:t>
            </w:r>
          </w:p>
        </w:tc>
        <w:tc>
          <w:tcPr>
            <w:tcW w:w="628" w:type="dxa"/>
            <w:tcBorders>
              <w:top w:val="nil"/>
              <w:left w:val="nil"/>
              <w:bottom w:val="single" w:color="auto" w:sz="4" w:space="0"/>
              <w:right w:val="single" w:color="auto" w:sz="4" w:space="0"/>
            </w:tcBorders>
            <w:noWrap w:val="0"/>
            <w:vAlign w:val="center"/>
          </w:tcPr>
          <w:p w14:paraId="24EDD436">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5661ACEA">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1</w:t>
            </w:r>
          </w:p>
        </w:tc>
        <w:tc>
          <w:tcPr>
            <w:tcW w:w="2700" w:type="dxa"/>
            <w:tcBorders>
              <w:top w:val="nil"/>
              <w:left w:val="nil"/>
              <w:bottom w:val="single" w:color="auto" w:sz="4" w:space="0"/>
              <w:right w:val="single" w:color="auto" w:sz="4" w:space="0"/>
            </w:tcBorders>
            <w:noWrap w:val="0"/>
            <w:vAlign w:val="center"/>
          </w:tcPr>
          <w:p w14:paraId="6C51027A">
            <w:pPr>
              <w:widowControl/>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1、搭配组合：</w:t>
            </w:r>
            <w:r>
              <w:rPr>
                <w:rFonts w:hint="eastAsia" w:ascii="宋体" w:hAnsi="宋体" w:eastAsia="宋体" w:cs="宋体"/>
                <w:kern w:val="0"/>
                <w:sz w:val="21"/>
                <w:szCs w:val="21"/>
                <w:highlight w:val="none"/>
                <w:lang w:val="en-US" w:eastAsia="zh-CN"/>
              </w:rPr>
              <w:t>三</w:t>
            </w:r>
            <w:r>
              <w:rPr>
                <w:rFonts w:hint="eastAsia" w:ascii="宋体" w:hAnsi="宋体" w:eastAsia="宋体" w:cs="宋体"/>
                <w:kern w:val="0"/>
                <w:sz w:val="21"/>
                <w:szCs w:val="21"/>
                <w:highlight w:val="none"/>
              </w:rPr>
              <w:t>人位沙发1个，单人位沙发1个，长方形茶几1个</w:t>
            </w:r>
            <w:r>
              <w:rPr>
                <w:rFonts w:hint="eastAsia" w:cs="宋体"/>
                <w:kern w:val="0"/>
                <w:sz w:val="21"/>
                <w:szCs w:val="21"/>
                <w:highlight w:val="none"/>
                <w:lang w:val="en-US" w:eastAsia="zh-CN"/>
              </w:rPr>
              <w:t>。</w:t>
            </w:r>
          </w:p>
          <w:p w14:paraId="101A263F">
            <w:pPr>
              <w:widowControl/>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2、材质：木质加布艺</w:t>
            </w:r>
            <w:r>
              <w:rPr>
                <w:rFonts w:hint="eastAsia" w:cs="宋体"/>
                <w:kern w:val="0"/>
                <w:sz w:val="21"/>
                <w:szCs w:val="21"/>
                <w:highlight w:val="none"/>
                <w:lang w:val="en-US" w:eastAsia="zh-CN"/>
              </w:rPr>
              <w:t>。</w:t>
            </w:r>
          </w:p>
          <w:p w14:paraId="0CB61F38">
            <w:pPr>
              <w:widowControl/>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3、填充物：乳胶</w:t>
            </w:r>
            <w:r>
              <w:rPr>
                <w:rFonts w:hint="eastAsia" w:cs="宋体"/>
                <w:kern w:val="0"/>
                <w:sz w:val="21"/>
                <w:szCs w:val="21"/>
                <w:highlight w:val="none"/>
                <w:lang w:val="en-US" w:eastAsia="zh-CN"/>
              </w:rPr>
              <w:t>。</w:t>
            </w:r>
          </w:p>
          <w:p w14:paraId="186F5B1E">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4、风格：现代风</w:t>
            </w:r>
            <w:r>
              <w:rPr>
                <w:rFonts w:hint="eastAsia" w:ascii="宋体" w:hAnsi="宋体" w:eastAsia="宋体" w:cs="宋体"/>
                <w:kern w:val="0"/>
                <w:sz w:val="21"/>
                <w:szCs w:val="21"/>
                <w:highlight w:val="none"/>
                <w:lang w:eastAsia="zh-CN"/>
              </w:rPr>
              <w:t>，</w:t>
            </w:r>
          </w:p>
          <w:p w14:paraId="21586A2F">
            <w:pPr>
              <w:widowControl/>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颜色为米色加果绿色。</w:t>
            </w:r>
          </w:p>
          <w:p w14:paraId="535FE1DA">
            <w:pPr>
              <w:widowControl/>
              <w:spacing w:line="240" w:lineRule="auto"/>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5.尺寸：</w:t>
            </w: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80</w:t>
            </w:r>
            <w:r>
              <w:rPr>
                <w:rFonts w:hint="eastAsia" w:ascii="宋体" w:hAnsi="宋体" w:eastAsia="宋体" w:cs="宋体"/>
                <w:kern w:val="0"/>
                <w:sz w:val="21"/>
                <w:szCs w:val="21"/>
                <w:highlight w:val="none"/>
              </w:rPr>
              <w:t>cm，单人位</w:t>
            </w:r>
            <w:r>
              <w:rPr>
                <w:rFonts w:hint="eastAsia" w:ascii="宋体" w:hAnsi="宋体" w:eastAsia="宋体" w:cs="宋体"/>
                <w:kern w:val="0"/>
                <w:sz w:val="21"/>
                <w:szCs w:val="21"/>
                <w:highlight w:val="none"/>
                <w:lang w:val="en-US" w:eastAsia="zh-CN"/>
              </w:rPr>
              <w:t>64</w:t>
            </w:r>
            <w:r>
              <w:rPr>
                <w:rFonts w:hint="eastAsia" w:ascii="宋体" w:hAnsi="宋体" w:eastAsia="宋体" w:cs="宋体"/>
                <w:kern w:val="0"/>
                <w:sz w:val="21"/>
                <w:szCs w:val="21"/>
                <w:highlight w:val="none"/>
              </w:rPr>
              <w:t>cm，茶几</w:t>
            </w:r>
            <w:r>
              <w:rPr>
                <w:rFonts w:hint="eastAsia" w:ascii="宋体" w:hAnsi="宋体" w:eastAsia="宋体" w:cs="宋体"/>
                <w:kern w:val="0"/>
                <w:sz w:val="21"/>
                <w:szCs w:val="21"/>
                <w:highlight w:val="none"/>
                <w:lang w:val="en-US" w:eastAsia="zh-CN"/>
              </w:rPr>
              <w:t>10</w:t>
            </w:r>
            <w:r>
              <w:rPr>
                <w:rFonts w:hint="eastAsia" w:ascii="宋体" w:hAnsi="宋体" w:eastAsia="宋体" w:cs="宋体"/>
                <w:kern w:val="0"/>
                <w:sz w:val="21"/>
                <w:szCs w:val="21"/>
                <w:highlight w:val="none"/>
              </w:rPr>
              <w:t>0cm</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座深：45-50cm(含)</w:t>
            </w:r>
            <w:r>
              <w:rPr>
                <w:rFonts w:hint="eastAsia" w:cs="宋体"/>
                <w:kern w:val="0"/>
                <w:sz w:val="21"/>
                <w:szCs w:val="21"/>
                <w:highlight w:val="none"/>
                <w:lang w:val="en-US" w:eastAsia="zh-CN"/>
              </w:rPr>
              <w:t>。</w:t>
            </w:r>
          </w:p>
        </w:tc>
        <w:tc>
          <w:tcPr>
            <w:tcW w:w="1882" w:type="dxa"/>
            <w:tcBorders>
              <w:top w:val="nil"/>
              <w:left w:val="nil"/>
              <w:bottom w:val="single" w:color="auto" w:sz="4" w:space="0"/>
              <w:right w:val="single" w:color="auto" w:sz="4" w:space="0"/>
            </w:tcBorders>
            <w:noWrap w:val="0"/>
            <w:vAlign w:val="center"/>
          </w:tcPr>
          <w:p w14:paraId="4607E358">
            <w:pPr>
              <w:widowControl/>
              <w:spacing w:line="240" w:lineRule="auto"/>
              <w:ind w:firstLine="0" w:firstLineChars="0"/>
              <w:jc w:val="left"/>
              <w:rPr>
                <w:rFonts w:hint="default"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eastAsia="zh-CN"/>
              </w:rPr>
              <w:t>1三人位+1单人位+1茶几</w:t>
            </w:r>
          </w:p>
        </w:tc>
        <w:tc>
          <w:tcPr>
            <w:tcW w:w="2304" w:type="dxa"/>
            <w:tcBorders>
              <w:top w:val="nil"/>
              <w:left w:val="nil"/>
              <w:bottom w:val="single" w:color="auto" w:sz="4" w:space="0"/>
              <w:right w:val="single" w:color="auto" w:sz="4" w:space="0"/>
            </w:tcBorders>
            <w:noWrap/>
            <w:vAlign w:val="center"/>
          </w:tcPr>
          <w:p w14:paraId="54064922">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18260" cy="1098550"/>
                  <wp:effectExtent l="0" t="0" r="15240" b="635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95"/>
                          <a:stretch>
                            <a:fillRect/>
                          </a:stretch>
                        </pic:blipFill>
                        <pic:spPr>
                          <a:xfrm>
                            <a:off x="0" y="0"/>
                            <a:ext cx="1318260" cy="1098550"/>
                          </a:xfrm>
                          <a:prstGeom prst="rect">
                            <a:avLst/>
                          </a:prstGeom>
                          <a:noFill/>
                          <a:ln>
                            <a:noFill/>
                          </a:ln>
                        </pic:spPr>
                      </pic:pic>
                    </a:graphicData>
                  </a:graphic>
                </wp:inline>
              </w:drawing>
            </w:r>
          </w:p>
        </w:tc>
      </w:tr>
      <w:tr w14:paraId="3F37E1AB">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727722B0">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740B4E4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休闲沙发椅</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1EFF9A69">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215B92DC">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2</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57E05F1C">
            <w:pPr>
              <w:widowControl/>
              <w:numPr>
                <w:ilvl w:val="0"/>
                <w:numId w:val="8"/>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产品组成：两个单人休闲沙发椅，一个圆形茶几</w:t>
            </w:r>
            <w:r>
              <w:rPr>
                <w:rFonts w:hint="eastAsia" w:cs="宋体"/>
                <w:color w:val="000000"/>
                <w:kern w:val="0"/>
                <w:sz w:val="21"/>
                <w:szCs w:val="21"/>
                <w:highlight w:val="none"/>
                <w:lang w:eastAsia="zh-CN"/>
              </w:rPr>
              <w:t>。</w:t>
            </w:r>
          </w:p>
          <w:p w14:paraId="6907684A">
            <w:pPr>
              <w:widowControl/>
              <w:numPr>
                <w:ilvl w:val="0"/>
                <w:numId w:val="8"/>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材质：</w:t>
            </w:r>
            <w:r>
              <w:rPr>
                <w:rFonts w:hint="eastAsia" w:ascii="宋体" w:hAnsi="宋体" w:eastAsia="宋体" w:cs="宋体"/>
                <w:color w:val="000000"/>
                <w:kern w:val="0"/>
                <w:sz w:val="21"/>
                <w:szCs w:val="21"/>
                <w:highlight w:val="none"/>
                <w:lang w:eastAsia="zh-CN"/>
              </w:rPr>
              <w:t>实木沙发框架、人造革面料</w:t>
            </w:r>
            <w:r>
              <w:rPr>
                <w:rFonts w:hint="eastAsia" w:cs="宋体"/>
                <w:color w:val="000000"/>
                <w:kern w:val="0"/>
                <w:sz w:val="21"/>
                <w:szCs w:val="21"/>
                <w:highlight w:val="none"/>
                <w:lang w:eastAsia="zh-CN"/>
              </w:rPr>
              <w:t>。</w:t>
            </w:r>
          </w:p>
          <w:p w14:paraId="4A4600B5">
            <w:pPr>
              <w:widowControl/>
              <w:numPr>
                <w:ilvl w:val="0"/>
                <w:numId w:val="8"/>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填充物：</w:t>
            </w:r>
            <w:r>
              <w:rPr>
                <w:rFonts w:hint="eastAsia" w:ascii="宋体" w:hAnsi="宋体" w:eastAsia="宋体" w:cs="宋体"/>
                <w:color w:val="000000"/>
                <w:kern w:val="0"/>
                <w:sz w:val="21"/>
                <w:szCs w:val="21"/>
                <w:highlight w:val="none"/>
                <w:lang w:eastAsia="zh-CN"/>
              </w:rPr>
              <w:t>高回弹</w:t>
            </w:r>
            <w:r>
              <w:rPr>
                <w:rFonts w:hint="eastAsia" w:ascii="宋体" w:hAnsi="宋体" w:eastAsia="宋体" w:cs="宋体"/>
                <w:color w:val="000000"/>
                <w:kern w:val="0"/>
                <w:sz w:val="21"/>
                <w:szCs w:val="21"/>
                <w:highlight w:val="none"/>
              </w:rPr>
              <w:t>海绵</w:t>
            </w:r>
            <w:r>
              <w:rPr>
                <w:rFonts w:hint="eastAsia" w:cs="宋体"/>
                <w:color w:val="000000"/>
                <w:kern w:val="0"/>
                <w:sz w:val="21"/>
                <w:szCs w:val="21"/>
                <w:highlight w:val="none"/>
                <w:lang w:eastAsia="zh-CN"/>
              </w:rPr>
              <w:t>。</w:t>
            </w:r>
          </w:p>
          <w:p w14:paraId="1F70BC4B">
            <w:pPr>
              <w:widowControl/>
              <w:numPr>
                <w:ilvl w:val="0"/>
                <w:numId w:val="8"/>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颜色：</w:t>
            </w:r>
            <w:r>
              <w:rPr>
                <w:rFonts w:hint="eastAsia" w:ascii="宋体" w:hAnsi="宋体" w:eastAsia="宋体" w:cs="宋体"/>
                <w:color w:val="000000"/>
                <w:kern w:val="0"/>
                <w:sz w:val="21"/>
                <w:szCs w:val="21"/>
                <w:highlight w:val="none"/>
                <w:lang w:eastAsia="zh-CN"/>
              </w:rPr>
              <w:t>原木色或胡桃色；浅灰或浅咖色；</w:t>
            </w:r>
            <w:r>
              <w:rPr>
                <w:rFonts w:hint="eastAsia" w:ascii="宋体" w:hAnsi="宋体" w:eastAsia="宋体" w:cs="宋体"/>
                <w:color w:val="000000"/>
                <w:kern w:val="0"/>
                <w:sz w:val="21"/>
                <w:szCs w:val="21"/>
                <w:highlight w:val="none"/>
                <w:lang w:val="en-US" w:eastAsia="zh-CN" w:bidi="ar-SA"/>
              </w:rPr>
              <w:t>可拆洗。</w:t>
            </w:r>
          </w:p>
          <w:p w14:paraId="11220C88">
            <w:pPr>
              <w:widowControl/>
              <w:numPr>
                <w:ilvl w:val="0"/>
                <w:numId w:val="8"/>
              </w:numPr>
              <w:spacing w:line="240" w:lineRule="auto"/>
              <w:ind w:firstLine="0" w:firstLineChars="0"/>
              <w:jc w:val="left"/>
              <w:rPr>
                <w:rFonts w:ascii="宋体" w:hAnsi="宋体" w:eastAsia="宋体" w:cs="宋体"/>
                <w:kern w:val="0"/>
                <w:sz w:val="21"/>
                <w:szCs w:val="21"/>
                <w:highlight w:val="none"/>
              </w:rPr>
            </w:pPr>
            <w:r>
              <w:rPr>
                <w:rFonts w:hint="eastAsia" w:ascii="宋体" w:hAnsi="宋体" w:eastAsia="宋体" w:cs="宋体"/>
                <w:color w:val="000000"/>
                <w:kern w:val="0"/>
                <w:sz w:val="21"/>
                <w:szCs w:val="21"/>
                <w:highlight w:val="none"/>
              </w:rPr>
              <w:t>风格：</w:t>
            </w:r>
            <w:r>
              <w:rPr>
                <w:rFonts w:hint="eastAsia" w:ascii="宋体" w:hAnsi="宋体" w:eastAsia="宋体" w:cs="宋体"/>
                <w:color w:val="000000"/>
                <w:kern w:val="0"/>
                <w:sz w:val="21"/>
                <w:szCs w:val="21"/>
                <w:highlight w:val="none"/>
                <w:lang w:eastAsia="zh-CN"/>
              </w:rPr>
              <w:t>休闲简约</w:t>
            </w:r>
            <w:r>
              <w:rPr>
                <w:rFonts w:hint="eastAsia" w:cs="宋体"/>
                <w:color w:val="000000"/>
                <w:kern w:val="0"/>
                <w:sz w:val="21"/>
                <w:szCs w:val="21"/>
                <w:highlight w:val="none"/>
                <w:lang w:eastAsia="zh-CN"/>
              </w:rPr>
              <w:t>。</w:t>
            </w:r>
          </w:p>
          <w:p w14:paraId="2E037C95">
            <w:pPr>
              <w:widowControl/>
              <w:numPr>
                <w:ilvl w:val="0"/>
                <w:numId w:val="0"/>
              </w:numPr>
              <w:spacing w:line="240" w:lineRule="auto"/>
              <w:ind w:firstLine="0" w:firstLineChars="0"/>
              <w:jc w:val="left"/>
              <w:rPr>
                <w:rFonts w:hint="eastAsia" w:ascii="Times New Roman" w:hAnsi="Times New Roman" w:eastAsia="宋体" w:cs="Times New Roman"/>
                <w:sz w:val="21"/>
                <w:highlight w:val="none"/>
              </w:rPr>
            </w:pPr>
            <w:r>
              <w:rPr>
                <w:rFonts w:hint="eastAsia" w:ascii="宋体" w:hAnsi="宋体" w:eastAsia="宋体" w:cs="宋体"/>
                <w:color w:val="000000"/>
                <w:kern w:val="0"/>
                <w:sz w:val="21"/>
                <w:szCs w:val="21"/>
                <w:highlight w:val="none"/>
                <w:lang w:val="en-US" w:eastAsia="zh-CN"/>
              </w:rPr>
              <w:t>6.尺寸：67*80*84cm</w:t>
            </w:r>
          </w:p>
          <w:p w14:paraId="62981971">
            <w:pPr>
              <w:widowControl/>
              <w:spacing w:line="240" w:lineRule="auto"/>
              <w:ind w:firstLine="0" w:firstLineChars="0"/>
              <w:jc w:val="left"/>
              <w:rPr>
                <w:rFonts w:ascii="Times New Roman" w:hAnsi="Times New Roman" w:eastAsia="宋体" w:cs="Times New Roman"/>
                <w:sz w:val="21"/>
                <w:highlight w:val="none"/>
              </w:rPr>
            </w:pPr>
            <w:r>
              <w:rPr>
                <w:rFonts w:hint="eastAsia" w:ascii="宋体" w:hAnsi="宋体" w:eastAsia="宋体" w:cs="宋体"/>
                <w:kern w:val="0"/>
                <w:sz w:val="21"/>
                <w:szCs w:val="21"/>
                <w:highlight w:val="none"/>
              </w:rPr>
              <w:t>座深：45-50cm(含)</w:t>
            </w:r>
            <w:r>
              <w:rPr>
                <w:rFonts w:hint="eastAsia" w:cs="宋体"/>
                <w:color w:val="000000"/>
                <w:kern w:val="0"/>
                <w:sz w:val="21"/>
                <w:szCs w:val="21"/>
                <w:highlight w:val="none"/>
                <w:lang w:val="en-US" w:eastAsia="zh-CN" w:bidi="ar-SA"/>
              </w:rPr>
              <w:t>。</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4339170">
            <w:pPr>
              <w:widowControl/>
              <w:spacing w:line="240" w:lineRule="auto"/>
              <w:ind w:firstLine="0" w:firstLineChars="0"/>
              <w:jc w:val="center"/>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1茶几+2单人位</w:t>
            </w:r>
          </w:p>
        </w:tc>
        <w:tc>
          <w:tcPr>
            <w:tcW w:w="2304" w:type="dxa"/>
            <w:tcBorders>
              <w:top w:val="single" w:color="auto" w:sz="4" w:space="0"/>
              <w:left w:val="single" w:color="auto" w:sz="4" w:space="0"/>
              <w:bottom w:val="single" w:color="auto" w:sz="4" w:space="0"/>
              <w:right w:val="single" w:color="auto" w:sz="4" w:space="0"/>
            </w:tcBorders>
            <w:noWrap/>
            <w:vAlign w:val="center"/>
          </w:tcPr>
          <w:p w14:paraId="5191CED4">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05560" cy="1009015"/>
                  <wp:effectExtent l="0" t="0" r="8890" b="635"/>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96"/>
                          <a:stretch>
                            <a:fillRect/>
                          </a:stretch>
                        </pic:blipFill>
                        <pic:spPr>
                          <a:xfrm>
                            <a:off x="0" y="0"/>
                            <a:ext cx="1305560" cy="1009015"/>
                          </a:xfrm>
                          <a:prstGeom prst="rect">
                            <a:avLst/>
                          </a:prstGeom>
                          <a:noFill/>
                          <a:ln>
                            <a:noFill/>
                          </a:ln>
                        </pic:spPr>
                      </pic:pic>
                    </a:graphicData>
                  </a:graphic>
                </wp:inline>
              </w:drawing>
            </w:r>
          </w:p>
        </w:tc>
      </w:tr>
      <w:tr w14:paraId="3CA8905A">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2A963990">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1472" w:type="dxa"/>
            <w:tcBorders>
              <w:top w:val="single" w:color="auto" w:sz="4" w:space="0"/>
              <w:left w:val="nil"/>
              <w:bottom w:val="single" w:color="auto" w:sz="4" w:space="0"/>
              <w:right w:val="single" w:color="auto" w:sz="4" w:space="0"/>
            </w:tcBorders>
            <w:noWrap w:val="0"/>
            <w:vAlign w:val="center"/>
          </w:tcPr>
          <w:p w14:paraId="56C1E1DB">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个体</w:t>
            </w:r>
            <w:r>
              <w:rPr>
                <w:rFonts w:hint="eastAsia" w:ascii="宋体" w:hAnsi="宋体" w:eastAsia="宋体" w:cs="宋体"/>
                <w:kern w:val="0"/>
                <w:sz w:val="21"/>
                <w:szCs w:val="21"/>
                <w:highlight w:val="none"/>
              </w:rPr>
              <w:t>咨询</w:t>
            </w:r>
          </w:p>
          <w:p w14:paraId="12F37911">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沙发</w:t>
            </w:r>
          </w:p>
        </w:tc>
        <w:tc>
          <w:tcPr>
            <w:tcW w:w="628" w:type="dxa"/>
            <w:tcBorders>
              <w:top w:val="single" w:color="auto" w:sz="4" w:space="0"/>
              <w:left w:val="nil"/>
              <w:bottom w:val="single" w:color="auto" w:sz="4" w:space="0"/>
              <w:right w:val="single" w:color="auto" w:sz="4" w:space="0"/>
            </w:tcBorders>
            <w:noWrap w:val="0"/>
            <w:vAlign w:val="center"/>
          </w:tcPr>
          <w:p w14:paraId="3E0A73CA">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single" w:color="auto" w:sz="4" w:space="0"/>
              <w:left w:val="nil"/>
              <w:bottom w:val="single" w:color="auto" w:sz="4" w:space="0"/>
              <w:right w:val="single" w:color="auto" w:sz="4" w:space="0"/>
            </w:tcBorders>
            <w:noWrap w:val="0"/>
            <w:vAlign w:val="center"/>
          </w:tcPr>
          <w:p w14:paraId="67758675">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1</w:t>
            </w:r>
          </w:p>
        </w:tc>
        <w:tc>
          <w:tcPr>
            <w:tcW w:w="2700" w:type="dxa"/>
            <w:tcBorders>
              <w:top w:val="single" w:color="auto" w:sz="4" w:space="0"/>
              <w:left w:val="nil"/>
              <w:bottom w:val="single" w:color="auto" w:sz="4" w:space="0"/>
              <w:right w:val="single" w:color="auto" w:sz="4" w:space="0"/>
            </w:tcBorders>
            <w:noWrap w:val="0"/>
            <w:vAlign w:val="center"/>
          </w:tcPr>
          <w:p w14:paraId="7116FDCD">
            <w:pPr>
              <w:keepNext w:val="0"/>
              <w:keepLines w:val="0"/>
              <w:widowControl/>
              <w:suppressLineNumbers w:val="0"/>
              <w:spacing w:line="240" w:lineRule="auto"/>
              <w:ind w:firstLine="0" w:firstLineChars="0"/>
              <w:jc w:val="left"/>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2"/>
                <w:szCs w:val="22"/>
                <w:highlight w:val="none"/>
                <w:u w:val="none"/>
                <w:lang w:val="en-US" w:eastAsia="zh-CN" w:bidi="ar"/>
              </w:rPr>
              <w:t>1、组合形式：两个单人位，一个圆形茶几</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2、风格：日式</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3、沙发尺寸：84*70*86cm；座深50-55cm(含)</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4、框架材质：橡胶木</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5、面料：科技布或棉麻（可选）</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6、填充物：高回弹海绵</w:t>
            </w:r>
            <w:r>
              <w:rPr>
                <w:rFonts w:hint="eastAsia"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7、颜色：米白色或浅灰色</w:t>
            </w:r>
            <w:r>
              <w:rPr>
                <w:rFonts w:hint="eastAsia" w:cs="宋体"/>
                <w:i w:val="0"/>
                <w:iCs w:val="0"/>
                <w:color w:val="000000"/>
                <w:kern w:val="0"/>
                <w:sz w:val="22"/>
                <w:szCs w:val="22"/>
                <w:highlight w:val="none"/>
                <w:u w:val="none"/>
                <w:lang w:val="en-US" w:eastAsia="zh-CN" w:bidi="ar"/>
              </w:rPr>
              <w:t>。</w:t>
            </w:r>
          </w:p>
        </w:tc>
        <w:tc>
          <w:tcPr>
            <w:tcW w:w="1882" w:type="dxa"/>
            <w:tcBorders>
              <w:top w:val="single" w:color="auto" w:sz="4" w:space="0"/>
              <w:left w:val="nil"/>
              <w:bottom w:val="single" w:color="auto" w:sz="4" w:space="0"/>
              <w:right w:val="single" w:color="auto" w:sz="4" w:space="0"/>
            </w:tcBorders>
            <w:noWrap w:val="0"/>
            <w:vAlign w:val="center"/>
          </w:tcPr>
          <w:p w14:paraId="185F534D">
            <w:pPr>
              <w:widowControl/>
              <w:spacing w:line="240" w:lineRule="auto"/>
              <w:ind w:firstLine="0" w:firstLineChars="0"/>
              <w:jc w:val="center"/>
              <w:rPr>
                <w:rFonts w:hint="default" w:ascii="宋体" w:hAnsi="宋体" w:eastAsia="宋体" w:cs="宋体"/>
                <w:kern w:val="0"/>
                <w:sz w:val="21"/>
                <w:szCs w:val="21"/>
                <w:highlight w:val="none"/>
                <w:lang w:val="en-US"/>
              </w:rPr>
            </w:pPr>
            <w:r>
              <w:rPr>
                <w:rFonts w:hint="eastAsia" w:ascii="宋体" w:hAnsi="宋体" w:eastAsia="宋体" w:cs="宋体"/>
                <w:kern w:val="0"/>
                <w:sz w:val="21"/>
                <w:szCs w:val="21"/>
                <w:highlight w:val="none"/>
                <w:lang w:val="en-US" w:eastAsia="zh-CN"/>
              </w:rPr>
              <w:t>2单人位+1茶几</w:t>
            </w:r>
          </w:p>
        </w:tc>
        <w:tc>
          <w:tcPr>
            <w:tcW w:w="2304" w:type="dxa"/>
            <w:tcBorders>
              <w:top w:val="single" w:color="auto" w:sz="4" w:space="0"/>
              <w:left w:val="nil"/>
              <w:bottom w:val="single" w:color="auto" w:sz="4" w:space="0"/>
              <w:right w:val="single" w:color="auto" w:sz="4" w:space="0"/>
            </w:tcBorders>
            <w:noWrap/>
            <w:vAlign w:val="center"/>
          </w:tcPr>
          <w:p w14:paraId="769E6769">
            <w:pPr>
              <w:keepNext w:val="0"/>
              <w:keepLines w:val="0"/>
              <w:widowControl/>
              <w:suppressLineNumbers w:val="0"/>
              <w:spacing w:line="240" w:lineRule="auto"/>
              <w:ind w:firstLine="0" w:firstLineChars="0"/>
              <w:jc w:val="left"/>
              <w:textAlignment w:val="center"/>
              <w:rPr>
                <w:rFonts w:hint="eastAsia" w:ascii="宋体" w:hAnsi="宋体" w:eastAsia="宋体" w:cs="宋体"/>
                <w:kern w:val="0"/>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fldChar w:fldCharType="begin"/>
            </w:r>
            <w:r>
              <w:rPr>
                <w:rFonts w:hint="eastAsia" w:ascii="宋体" w:hAnsi="宋体" w:eastAsia="宋体" w:cs="宋体"/>
                <w:i w:val="0"/>
                <w:iCs w:val="0"/>
                <w:color w:val="000000"/>
                <w:kern w:val="0"/>
                <w:sz w:val="22"/>
                <w:szCs w:val="22"/>
                <w:highlight w:val="none"/>
                <w:u w:val="none"/>
                <w:lang w:val="en-US" w:eastAsia="zh-CN" w:bidi="ar"/>
              </w:rPr>
              <w:instrText xml:space="preserve">INCLUDEPICTURE \d "C:\\Users\\ADMINI~1\\AppData\\Local\\Temp\\ksohtml\\clip_cell_image13.png" \* MERGEFORMATINET </w:instrText>
            </w:r>
            <w:r>
              <w:rPr>
                <w:rFonts w:hint="eastAsia" w:ascii="宋体" w:hAnsi="宋体" w:eastAsia="宋体" w:cs="宋体"/>
                <w:i w:val="0"/>
                <w:iCs w:val="0"/>
                <w:color w:val="000000"/>
                <w:kern w:val="0"/>
                <w:sz w:val="22"/>
                <w:szCs w:val="22"/>
                <w:highlight w:val="none"/>
                <w:u w:val="none"/>
                <w:lang w:val="en-US" w:eastAsia="zh-CN" w:bidi="ar"/>
              </w:rPr>
              <w:fldChar w:fldCharType="separate"/>
            </w: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320800" cy="828675"/>
                  <wp:effectExtent l="0" t="0" r="12700" b="9525"/>
                  <wp:docPr id="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IMG_256"/>
                          <pic:cNvPicPr>
                            <a:picLocks noChangeAspect="1"/>
                          </pic:cNvPicPr>
                        </pic:nvPicPr>
                        <pic:blipFill>
                          <a:blip r:embed="rId97"/>
                          <a:stretch>
                            <a:fillRect/>
                          </a:stretch>
                        </pic:blipFill>
                        <pic:spPr>
                          <a:xfrm>
                            <a:off x="0" y="0"/>
                            <a:ext cx="1320800" cy="8286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highlight w:val="none"/>
                <w:u w:val="none"/>
                <w:lang w:val="en-US" w:eastAsia="zh-CN" w:bidi="ar"/>
              </w:rPr>
              <w:fldChar w:fldCharType="end"/>
            </w:r>
          </w:p>
        </w:tc>
      </w:tr>
      <w:tr w14:paraId="4605929B">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3B8612AF">
            <w:pPr>
              <w:widowControl/>
              <w:spacing w:line="240" w:lineRule="auto"/>
              <w:ind w:firstLine="0" w:firstLineChars="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w:t>
            </w:r>
          </w:p>
        </w:tc>
        <w:tc>
          <w:tcPr>
            <w:tcW w:w="1472" w:type="dxa"/>
            <w:tcBorders>
              <w:top w:val="single" w:color="auto" w:sz="4" w:space="0"/>
              <w:left w:val="nil"/>
              <w:bottom w:val="single" w:color="auto" w:sz="4" w:space="0"/>
              <w:right w:val="single" w:color="auto" w:sz="4" w:space="0"/>
            </w:tcBorders>
            <w:noWrap w:val="0"/>
            <w:vAlign w:val="center"/>
          </w:tcPr>
          <w:p w14:paraId="603E7A23">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团体</w:t>
            </w:r>
            <w:r>
              <w:rPr>
                <w:rFonts w:hint="eastAsia" w:ascii="宋体" w:hAnsi="宋体" w:eastAsia="宋体" w:cs="宋体"/>
                <w:kern w:val="0"/>
                <w:sz w:val="21"/>
                <w:szCs w:val="21"/>
                <w:highlight w:val="none"/>
              </w:rPr>
              <w:t>咨询</w:t>
            </w:r>
          </w:p>
          <w:p w14:paraId="0C9E7FFE">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沙发</w:t>
            </w:r>
          </w:p>
        </w:tc>
        <w:tc>
          <w:tcPr>
            <w:tcW w:w="628" w:type="dxa"/>
            <w:tcBorders>
              <w:top w:val="single" w:color="auto" w:sz="4" w:space="0"/>
              <w:left w:val="nil"/>
              <w:bottom w:val="single" w:color="auto" w:sz="4" w:space="0"/>
              <w:right w:val="single" w:color="auto" w:sz="4" w:space="0"/>
            </w:tcBorders>
            <w:noWrap w:val="0"/>
            <w:vAlign w:val="center"/>
          </w:tcPr>
          <w:p w14:paraId="29D0AC7E">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single" w:color="auto" w:sz="4" w:space="0"/>
              <w:left w:val="nil"/>
              <w:bottom w:val="single" w:color="auto" w:sz="4" w:space="0"/>
              <w:right w:val="single" w:color="auto" w:sz="4" w:space="0"/>
            </w:tcBorders>
            <w:noWrap w:val="0"/>
            <w:vAlign w:val="center"/>
          </w:tcPr>
          <w:p w14:paraId="07D62016">
            <w:pPr>
              <w:widowControl/>
              <w:spacing w:line="240" w:lineRule="auto"/>
              <w:ind w:firstLine="0" w:firstLineChars="0"/>
              <w:jc w:val="center"/>
              <w:rPr>
                <w:rFonts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2</w:t>
            </w:r>
          </w:p>
        </w:tc>
        <w:tc>
          <w:tcPr>
            <w:tcW w:w="2700" w:type="dxa"/>
            <w:tcBorders>
              <w:top w:val="single" w:color="auto" w:sz="4" w:space="0"/>
              <w:left w:val="nil"/>
              <w:bottom w:val="single" w:color="auto" w:sz="4" w:space="0"/>
              <w:right w:val="single" w:color="auto" w:sz="4" w:space="0"/>
            </w:tcBorders>
            <w:noWrap w:val="0"/>
            <w:vAlign w:val="center"/>
          </w:tcPr>
          <w:p w14:paraId="7A4A83CB">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1、组合形式：一个单人位，一个三人位，一个圆形茶几</w:t>
            </w:r>
            <w:r>
              <w:rPr>
                <w:rFonts w:hint="eastAsia" w:cs="宋体"/>
                <w:kern w:val="0"/>
                <w:sz w:val="21"/>
                <w:szCs w:val="21"/>
                <w:highlight w:val="none"/>
                <w:lang w:eastAsia="zh-CN"/>
              </w:rPr>
              <w:t>。</w:t>
            </w:r>
          </w:p>
          <w:p w14:paraId="6D9FF49E">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2、风格：日式</w:t>
            </w:r>
            <w:r>
              <w:rPr>
                <w:rFonts w:hint="eastAsia" w:cs="宋体"/>
                <w:kern w:val="0"/>
                <w:sz w:val="21"/>
                <w:szCs w:val="21"/>
                <w:highlight w:val="none"/>
                <w:lang w:eastAsia="zh-CN"/>
              </w:rPr>
              <w:t>。</w:t>
            </w:r>
          </w:p>
          <w:p w14:paraId="1D525710">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3、沙发尺寸：单人位84*70*86cm，三人位184*70*86cm；座深50-55cm(含)</w:t>
            </w:r>
            <w:r>
              <w:rPr>
                <w:rFonts w:hint="eastAsia" w:cs="宋体"/>
                <w:kern w:val="0"/>
                <w:sz w:val="21"/>
                <w:szCs w:val="21"/>
                <w:highlight w:val="none"/>
                <w:lang w:eastAsia="zh-CN"/>
              </w:rPr>
              <w:t>。</w:t>
            </w:r>
          </w:p>
          <w:p w14:paraId="1A71E43F">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4、框架材质：橡胶木</w:t>
            </w:r>
            <w:r>
              <w:rPr>
                <w:rFonts w:hint="eastAsia" w:cs="宋体"/>
                <w:kern w:val="0"/>
                <w:sz w:val="21"/>
                <w:szCs w:val="21"/>
                <w:highlight w:val="none"/>
                <w:lang w:eastAsia="zh-CN"/>
              </w:rPr>
              <w:t>。</w:t>
            </w:r>
          </w:p>
          <w:p w14:paraId="6F68E328">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5、面料：科技布或棉麻（可选）</w:t>
            </w:r>
            <w:r>
              <w:rPr>
                <w:rFonts w:hint="eastAsia" w:cs="宋体"/>
                <w:kern w:val="0"/>
                <w:sz w:val="21"/>
                <w:szCs w:val="21"/>
                <w:highlight w:val="none"/>
                <w:lang w:eastAsia="zh-CN"/>
              </w:rPr>
              <w:t>。</w:t>
            </w:r>
          </w:p>
          <w:p w14:paraId="09813B83">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6、填充物：高回弹海绵</w:t>
            </w:r>
            <w:r>
              <w:rPr>
                <w:rFonts w:hint="eastAsia" w:cs="宋体"/>
                <w:kern w:val="0"/>
                <w:sz w:val="21"/>
                <w:szCs w:val="21"/>
                <w:highlight w:val="none"/>
                <w:lang w:eastAsia="zh-CN"/>
              </w:rPr>
              <w:t>。</w:t>
            </w:r>
          </w:p>
          <w:p w14:paraId="305720C1">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7、颜色：米白色或浅灰色</w:t>
            </w:r>
            <w:r>
              <w:rPr>
                <w:rFonts w:hint="eastAsia" w:cs="宋体"/>
                <w:kern w:val="0"/>
                <w:sz w:val="21"/>
                <w:szCs w:val="21"/>
                <w:highlight w:val="none"/>
                <w:lang w:eastAsia="zh-CN"/>
              </w:rPr>
              <w:t>。</w:t>
            </w:r>
          </w:p>
        </w:tc>
        <w:tc>
          <w:tcPr>
            <w:tcW w:w="1882" w:type="dxa"/>
            <w:tcBorders>
              <w:top w:val="single" w:color="auto" w:sz="4" w:space="0"/>
              <w:left w:val="nil"/>
              <w:bottom w:val="single" w:color="auto" w:sz="4" w:space="0"/>
              <w:right w:val="single" w:color="auto" w:sz="4" w:space="0"/>
            </w:tcBorders>
            <w:noWrap w:val="0"/>
            <w:vAlign w:val="center"/>
          </w:tcPr>
          <w:p w14:paraId="2D976484">
            <w:pPr>
              <w:widowControl/>
              <w:spacing w:line="240" w:lineRule="auto"/>
              <w:ind w:firstLine="0" w:firstLineChars="0"/>
              <w:jc w:val="left"/>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1单人位+1三人位+1茶几</w:t>
            </w:r>
          </w:p>
        </w:tc>
        <w:tc>
          <w:tcPr>
            <w:tcW w:w="2304" w:type="dxa"/>
            <w:tcBorders>
              <w:top w:val="single" w:color="auto" w:sz="4" w:space="0"/>
              <w:left w:val="nil"/>
              <w:bottom w:val="single" w:color="auto" w:sz="4" w:space="0"/>
              <w:right w:val="single" w:color="auto" w:sz="4" w:space="0"/>
            </w:tcBorders>
            <w:noWrap/>
            <w:vAlign w:val="center"/>
          </w:tcPr>
          <w:p w14:paraId="171AE460">
            <w:pPr>
              <w:widowControl/>
              <w:spacing w:line="240" w:lineRule="auto"/>
              <w:ind w:firstLine="0" w:firstLineChars="0"/>
              <w:jc w:val="left"/>
              <w:rPr>
                <w:rFonts w:ascii="Times New Roman" w:hAnsi="Times New Roman" w:eastAsia="宋体" w:cs="Times New Roman"/>
                <w:sz w:val="21"/>
                <w:highlight w:val="none"/>
              </w:rPr>
            </w:pPr>
            <w:r>
              <w:rPr>
                <w:rFonts w:ascii="Times New Roman" w:hAnsi="Times New Roman" w:eastAsia="宋体" w:cs="Times New Roman"/>
                <w:sz w:val="21"/>
                <w:highlight w:val="none"/>
              </w:rPr>
              <w:drawing>
                <wp:inline distT="0" distB="0" distL="114300" distR="114300">
                  <wp:extent cx="1303655" cy="828040"/>
                  <wp:effectExtent l="0" t="0" r="10795" b="1016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98"/>
                          <a:stretch>
                            <a:fillRect/>
                          </a:stretch>
                        </pic:blipFill>
                        <pic:spPr>
                          <a:xfrm>
                            <a:off x="0" y="0"/>
                            <a:ext cx="1303655" cy="828040"/>
                          </a:xfrm>
                          <a:prstGeom prst="rect">
                            <a:avLst/>
                          </a:prstGeom>
                          <a:noFill/>
                          <a:ln>
                            <a:noFill/>
                          </a:ln>
                        </pic:spPr>
                      </pic:pic>
                    </a:graphicData>
                  </a:graphic>
                </wp:inline>
              </w:drawing>
            </w:r>
          </w:p>
        </w:tc>
      </w:tr>
      <w:tr w14:paraId="5762616C">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38DA5F88">
            <w:pPr>
              <w:widowControl/>
              <w:spacing w:line="240" w:lineRule="auto"/>
              <w:ind w:firstLine="0" w:firstLineChars="0"/>
              <w:jc w:val="center"/>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8</w:t>
            </w:r>
          </w:p>
        </w:tc>
        <w:tc>
          <w:tcPr>
            <w:tcW w:w="1472" w:type="dxa"/>
            <w:tcBorders>
              <w:top w:val="nil"/>
              <w:left w:val="nil"/>
              <w:bottom w:val="single" w:color="auto" w:sz="4" w:space="0"/>
              <w:right w:val="single" w:color="auto" w:sz="4" w:space="0"/>
            </w:tcBorders>
            <w:noWrap w:val="0"/>
            <w:vAlign w:val="center"/>
          </w:tcPr>
          <w:p w14:paraId="15CFAC17">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懒人沙发</w:t>
            </w:r>
          </w:p>
        </w:tc>
        <w:tc>
          <w:tcPr>
            <w:tcW w:w="628" w:type="dxa"/>
            <w:tcBorders>
              <w:top w:val="nil"/>
              <w:left w:val="nil"/>
              <w:bottom w:val="single" w:color="auto" w:sz="4" w:space="0"/>
              <w:right w:val="single" w:color="auto" w:sz="4" w:space="0"/>
            </w:tcBorders>
            <w:noWrap w:val="0"/>
            <w:vAlign w:val="center"/>
          </w:tcPr>
          <w:p w14:paraId="7E0C73C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06818321">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1</w:t>
            </w:r>
          </w:p>
        </w:tc>
        <w:tc>
          <w:tcPr>
            <w:tcW w:w="2700" w:type="dxa"/>
            <w:tcBorders>
              <w:top w:val="nil"/>
              <w:left w:val="nil"/>
              <w:bottom w:val="single" w:color="auto" w:sz="4" w:space="0"/>
              <w:right w:val="single" w:color="auto" w:sz="4" w:space="0"/>
            </w:tcBorders>
            <w:noWrap w:val="0"/>
            <w:vAlign w:val="center"/>
          </w:tcPr>
          <w:p w14:paraId="697AB1F5">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麂皮绒面料，细腻亲肤，微弹力，精选优质环保颗粒，包裹般的舒适，均匀填充，坐感柔软，让劳损区的肌肉更好的得到放松，让敏感区更满足的享受，灵动自由、随意摆动、自在生活，颜色</w:t>
            </w:r>
            <w:r>
              <w:rPr>
                <w:rFonts w:hint="eastAsia" w:ascii="宋体" w:hAnsi="宋体" w:eastAsia="宋体" w:cs="宋体"/>
                <w:kern w:val="0"/>
                <w:sz w:val="21"/>
                <w:szCs w:val="21"/>
                <w:highlight w:val="none"/>
                <w:lang w:val="en-US" w:eastAsia="zh-CN"/>
              </w:rPr>
              <w:t>米色。</w:t>
            </w:r>
          </w:p>
        </w:tc>
        <w:tc>
          <w:tcPr>
            <w:tcW w:w="1882" w:type="dxa"/>
            <w:tcBorders>
              <w:top w:val="nil"/>
              <w:left w:val="nil"/>
              <w:bottom w:val="single" w:color="auto" w:sz="4" w:space="0"/>
              <w:right w:val="single" w:color="auto" w:sz="4" w:space="0"/>
            </w:tcBorders>
            <w:noWrap w:val="0"/>
            <w:vAlign w:val="center"/>
          </w:tcPr>
          <w:p w14:paraId="46C14B83">
            <w:pPr>
              <w:widowControl/>
              <w:spacing w:line="240" w:lineRule="auto"/>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9</w:t>
            </w:r>
            <w:r>
              <w:rPr>
                <w:rFonts w:hint="eastAsia" w:ascii="宋体" w:hAnsi="宋体" w:eastAsia="宋体" w:cs="宋体"/>
                <w:kern w:val="0"/>
                <w:sz w:val="21"/>
                <w:szCs w:val="21"/>
                <w:highlight w:val="none"/>
              </w:rPr>
              <w:t>0*1</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en-US" w:eastAsia="zh-CN"/>
              </w:rPr>
              <w:t>cm</w:t>
            </w:r>
          </w:p>
        </w:tc>
        <w:tc>
          <w:tcPr>
            <w:tcW w:w="2304" w:type="dxa"/>
            <w:tcBorders>
              <w:top w:val="nil"/>
              <w:left w:val="nil"/>
              <w:bottom w:val="single" w:color="auto" w:sz="4" w:space="0"/>
              <w:right w:val="single" w:color="auto" w:sz="4" w:space="0"/>
            </w:tcBorders>
            <w:noWrap/>
            <w:vAlign w:val="center"/>
          </w:tcPr>
          <w:p w14:paraId="0C0F6650">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37310" cy="1634490"/>
                  <wp:effectExtent l="0" t="0" r="15240" b="381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99"/>
                          <a:stretch>
                            <a:fillRect/>
                          </a:stretch>
                        </pic:blipFill>
                        <pic:spPr>
                          <a:xfrm>
                            <a:off x="0" y="0"/>
                            <a:ext cx="1337310" cy="1634490"/>
                          </a:xfrm>
                          <a:prstGeom prst="rect">
                            <a:avLst/>
                          </a:prstGeom>
                          <a:noFill/>
                          <a:ln>
                            <a:noFill/>
                          </a:ln>
                        </pic:spPr>
                      </pic:pic>
                    </a:graphicData>
                  </a:graphic>
                </wp:inline>
              </w:drawing>
            </w:r>
          </w:p>
        </w:tc>
      </w:tr>
      <w:tr w14:paraId="475937B5">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27F2ED1E">
            <w:pPr>
              <w:widowControl/>
              <w:spacing w:line="240" w:lineRule="auto"/>
              <w:ind w:firstLine="0" w:firstLineChars="0"/>
              <w:jc w:val="center"/>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val="en-US" w:eastAsia="zh-CN"/>
              </w:rPr>
              <w:t>9</w:t>
            </w:r>
          </w:p>
        </w:tc>
        <w:tc>
          <w:tcPr>
            <w:tcW w:w="1472" w:type="dxa"/>
            <w:tcBorders>
              <w:top w:val="nil"/>
              <w:left w:val="nil"/>
              <w:bottom w:val="single" w:color="auto" w:sz="4" w:space="0"/>
              <w:right w:val="single" w:color="auto" w:sz="4" w:space="0"/>
            </w:tcBorders>
            <w:noWrap w:val="0"/>
            <w:vAlign w:val="center"/>
          </w:tcPr>
          <w:p w14:paraId="50AB9C49">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原木工作</w:t>
            </w:r>
          </w:p>
          <w:p w14:paraId="35DFFA97">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桌椅</w:t>
            </w:r>
          </w:p>
        </w:tc>
        <w:tc>
          <w:tcPr>
            <w:tcW w:w="628" w:type="dxa"/>
            <w:tcBorders>
              <w:top w:val="nil"/>
              <w:left w:val="nil"/>
              <w:bottom w:val="single" w:color="auto" w:sz="4" w:space="0"/>
              <w:right w:val="single" w:color="auto" w:sz="4" w:space="0"/>
            </w:tcBorders>
            <w:noWrap w:val="0"/>
            <w:vAlign w:val="center"/>
          </w:tcPr>
          <w:p w14:paraId="46C9CE99">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7DA2FC42">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2</w:t>
            </w:r>
          </w:p>
        </w:tc>
        <w:tc>
          <w:tcPr>
            <w:tcW w:w="2700" w:type="dxa"/>
            <w:tcBorders>
              <w:top w:val="nil"/>
              <w:left w:val="nil"/>
              <w:bottom w:val="single" w:color="auto" w:sz="4" w:space="0"/>
              <w:right w:val="single" w:color="auto" w:sz="4" w:space="0"/>
            </w:tcBorders>
            <w:noWrap w:val="0"/>
            <w:vAlign w:val="center"/>
          </w:tcPr>
          <w:p w14:paraId="2000D658">
            <w:pPr>
              <w:widowControl/>
              <w:spacing w:line="240" w:lineRule="auto"/>
              <w:ind w:firstLine="0" w:firstLineChars="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北美FAS级橡木，大板桌面直拼不易开裂，底部加固横梁，伸缩凹槽，用料扎实无辅材，多次开放式喷涂净味清漆</w:t>
            </w:r>
          </w:p>
        </w:tc>
        <w:tc>
          <w:tcPr>
            <w:tcW w:w="1882" w:type="dxa"/>
            <w:tcBorders>
              <w:top w:val="nil"/>
              <w:left w:val="nil"/>
              <w:bottom w:val="single" w:color="auto" w:sz="4" w:space="0"/>
              <w:right w:val="single" w:color="auto" w:sz="4" w:space="0"/>
            </w:tcBorders>
            <w:noWrap w:val="0"/>
            <w:vAlign w:val="center"/>
          </w:tcPr>
          <w:p w14:paraId="583B5D9C">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1400*400*760MM</w:t>
            </w:r>
          </w:p>
        </w:tc>
        <w:tc>
          <w:tcPr>
            <w:tcW w:w="2304" w:type="dxa"/>
            <w:tcBorders>
              <w:top w:val="nil"/>
              <w:left w:val="nil"/>
              <w:bottom w:val="single" w:color="auto" w:sz="4" w:space="0"/>
              <w:right w:val="single" w:color="auto" w:sz="4" w:space="0"/>
            </w:tcBorders>
            <w:noWrap/>
            <w:vAlign w:val="center"/>
          </w:tcPr>
          <w:p w14:paraId="6C8D1F5F">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drawing>
                <wp:anchor distT="0" distB="0" distL="114300" distR="114300" simplePos="0" relativeHeight="251676672" behindDoc="0" locked="0" layoutInCell="1" allowOverlap="1">
                  <wp:simplePos x="0" y="0"/>
                  <wp:positionH relativeFrom="column">
                    <wp:posOffset>62865</wp:posOffset>
                  </wp:positionH>
                  <wp:positionV relativeFrom="paragraph">
                    <wp:posOffset>101600</wp:posOffset>
                  </wp:positionV>
                  <wp:extent cx="1256030" cy="1257300"/>
                  <wp:effectExtent l="0" t="0" r="1270" b="0"/>
                  <wp:wrapNone/>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100"/>
                          <a:stretch>
                            <a:fillRect/>
                          </a:stretch>
                        </pic:blipFill>
                        <pic:spPr>
                          <a:xfrm>
                            <a:off x="0" y="0"/>
                            <a:ext cx="1256030" cy="1257300"/>
                          </a:xfrm>
                          <a:prstGeom prst="rect">
                            <a:avLst/>
                          </a:prstGeom>
                          <a:noFill/>
                          <a:ln>
                            <a:noFill/>
                          </a:ln>
                        </pic:spPr>
                      </pic:pic>
                    </a:graphicData>
                  </a:graphic>
                </wp:anchor>
              </w:drawing>
            </w:r>
          </w:p>
        </w:tc>
      </w:tr>
      <w:tr w14:paraId="14B70CA0">
        <w:tblPrEx>
          <w:tblCellMar>
            <w:top w:w="0" w:type="dxa"/>
            <w:left w:w="108" w:type="dxa"/>
            <w:bottom w:w="0" w:type="dxa"/>
            <w:right w:w="108" w:type="dxa"/>
          </w:tblCellMar>
        </w:tblPrEx>
        <w:trPr>
          <w:trHeight w:val="598" w:hRule="atLeast"/>
        </w:trPr>
        <w:tc>
          <w:tcPr>
            <w:tcW w:w="682" w:type="dxa"/>
            <w:tcBorders>
              <w:top w:val="nil"/>
              <w:left w:val="single" w:color="auto" w:sz="4" w:space="0"/>
              <w:bottom w:val="single" w:color="auto" w:sz="4" w:space="0"/>
              <w:right w:val="single" w:color="auto" w:sz="4" w:space="0"/>
            </w:tcBorders>
            <w:noWrap w:val="0"/>
            <w:vAlign w:val="center"/>
          </w:tcPr>
          <w:p w14:paraId="18822AA2">
            <w:pPr>
              <w:widowControl/>
              <w:spacing w:line="240" w:lineRule="auto"/>
              <w:ind w:firstLine="0" w:firstLineChars="0"/>
              <w:jc w:val="center"/>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w:t>
            </w:r>
          </w:p>
        </w:tc>
        <w:tc>
          <w:tcPr>
            <w:tcW w:w="1472" w:type="dxa"/>
            <w:tcBorders>
              <w:top w:val="nil"/>
              <w:left w:val="nil"/>
              <w:bottom w:val="single" w:color="auto" w:sz="4" w:space="0"/>
              <w:right w:val="single" w:color="auto" w:sz="4" w:space="0"/>
            </w:tcBorders>
            <w:noWrap w:val="0"/>
            <w:vAlign w:val="center"/>
          </w:tcPr>
          <w:p w14:paraId="087DBBA1">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圆柱</w:t>
            </w:r>
            <w:r>
              <w:rPr>
                <w:rFonts w:hint="eastAsia" w:ascii="宋体" w:hAnsi="宋体" w:eastAsia="宋体" w:cs="宋体"/>
                <w:kern w:val="0"/>
                <w:sz w:val="21"/>
                <w:szCs w:val="21"/>
                <w:highlight w:val="none"/>
              </w:rPr>
              <w:t>书架</w:t>
            </w:r>
          </w:p>
        </w:tc>
        <w:tc>
          <w:tcPr>
            <w:tcW w:w="628" w:type="dxa"/>
            <w:tcBorders>
              <w:top w:val="nil"/>
              <w:left w:val="nil"/>
              <w:bottom w:val="single" w:color="auto" w:sz="4" w:space="0"/>
              <w:right w:val="single" w:color="auto" w:sz="4" w:space="0"/>
            </w:tcBorders>
            <w:noWrap w:val="0"/>
            <w:vAlign w:val="center"/>
          </w:tcPr>
          <w:p w14:paraId="065EAE54">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个</w:t>
            </w:r>
          </w:p>
        </w:tc>
        <w:tc>
          <w:tcPr>
            <w:tcW w:w="695" w:type="dxa"/>
            <w:tcBorders>
              <w:top w:val="nil"/>
              <w:left w:val="nil"/>
              <w:bottom w:val="single" w:color="auto" w:sz="4" w:space="0"/>
              <w:right w:val="single" w:color="auto" w:sz="4" w:space="0"/>
            </w:tcBorders>
            <w:noWrap w:val="0"/>
            <w:vAlign w:val="center"/>
          </w:tcPr>
          <w:p w14:paraId="17759F97">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2</w:t>
            </w:r>
          </w:p>
        </w:tc>
        <w:tc>
          <w:tcPr>
            <w:tcW w:w="2700" w:type="dxa"/>
            <w:tcBorders>
              <w:top w:val="nil"/>
              <w:left w:val="nil"/>
              <w:bottom w:val="single" w:color="auto" w:sz="4" w:space="0"/>
              <w:right w:val="single" w:color="auto" w:sz="4" w:space="0"/>
            </w:tcBorders>
            <w:noWrap w:val="0"/>
            <w:vAlign w:val="center"/>
          </w:tcPr>
          <w:p w14:paraId="6D61DD22">
            <w:pPr>
              <w:widowControl/>
              <w:numPr>
                <w:ilvl w:val="0"/>
                <w:numId w:val="9"/>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层数：</w:t>
            </w: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层</w:t>
            </w:r>
            <w:r>
              <w:rPr>
                <w:rFonts w:hint="eastAsia" w:cs="宋体"/>
                <w:color w:val="000000"/>
                <w:kern w:val="0"/>
                <w:sz w:val="21"/>
                <w:szCs w:val="21"/>
                <w:highlight w:val="none"/>
                <w:lang w:eastAsia="zh-CN"/>
              </w:rPr>
              <w:t>。</w:t>
            </w:r>
          </w:p>
          <w:p w14:paraId="4921A7E0">
            <w:pPr>
              <w:widowControl/>
              <w:numPr>
                <w:ilvl w:val="0"/>
                <w:numId w:val="9"/>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架体尺寸：高1</w:t>
            </w:r>
            <w:r>
              <w:rPr>
                <w:rFonts w:hint="eastAsia" w:ascii="宋体" w:hAnsi="宋体" w:eastAsia="宋体" w:cs="宋体"/>
                <w:color w:val="000000"/>
                <w:kern w:val="0"/>
                <w:sz w:val="21"/>
                <w:szCs w:val="21"/>
                <w:highlight w:val="none"/>
                <w:lang w:val="en-US" w:eastAsia="zh-CN"/>
              </w:rPr>
              <w:t>61</w:t>
            </w:r>
            <w:r>
              <w:rPr>
                <w:rFonts w:hint="eastAsia" w:ascii="宋体" w:hAnsi="宋体" w:eastAsia="宋体" w:cs="宋体"/>
                <w:color w:val="000000"/>
                <w:kern w:val="0"/>
                <w:sz w:val="21"/>
                <w:szCs w:val="21"/>
                <w:highlight w:val="none"/>
              </w:rPr>
              <w:t>cm，直径45.5cm</w:t>
            </w:r>
            <w:r>
              <w:rPr>
                <w:rFonts w:hint="eastAsia" w:cs="宋体"/>
                <w:color w:val="000000"/>
                <w:kern w:val="0"/>
                <w:sz w:val="21"/>
                <w:szCs w:val="21"/>
                <w:highlight w:val="none"/>
                <w:lang w:eastAsia="zh-CN"/>
              </w:rPr>
              <w:t>。</w:t>
            </w:r>
          </w:p>
          <w:p w14:paraId="10C58C65">
            <w:pPr>
              <w:widowControl/>
              <w:numPr>
                <w:ilvl w:val="0"/>
                <w:numId w:val="9"/>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主体材质：实木，橡胶木</w:t>
            </w:r>
            <w:r>
              <w:rPr>
                <w:rFonts w:hint="eastAsia" w:cs="宋体"/>
                <w:color w:val="000000"/>
                <w:kern w:val="0"/>
                <w:sz w:val="21"/>
                <w:szCs w:val="21"/>
                <w:highlight w:val="none"/>
                <w:lang w:eastAsia="zh-CN"/>
              </w:rPr>
              <w:t>。</w:t>
            </w:r>
          </w:p>
          <w:p w14:paraId="32C91C4D">
            <w:pPr>
              <w:widowControl/>
              <w:numPr>
                <w:ilvl w:val="0"/>
                <w:numId w:val="9"/>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附件功能：可旋转</w:t>
            </w:r>
            <w:r>
              <w:rPr>
                <w:rFonts w:hint="eastAsia" w:cs="宋体"/>
                <w:color w:val="000000"/>
                <w:kern w:val="0"/>
                <w:sz w:val="21"/>
                <w:szCs w:val="21"/>
                <w:highlight w:val="none"/>
                <w:lang w:eastAsia="zh-CN"/>
              </w:rPr>
              <w:t>。</w:t>
            </w:r>
          </w:p>
          <w:p w14:paraId="128A57E2">
            <w:pPr>
              <w:widowControl/>
              <w:numPr>
                <w:ilvl w:val="0"/>
                <w:numId w:val="9"/>
              </w:numPr>
              <w:spacing w:line="240" w:lineRule="auto"/>
              <w:ind w:firstLine="0" w:firstLineChars="0"/>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风格：简约风</w:t>
            </w:r>
            <w:r>
              <w:rPr>
                <w:rFonts w:hint="eastAsia" w:cs="宋体"/>
                <w:color w:val="000000"/>
                <w:kern w:val="0"/>
                <w:sz w:val="21"/>
                <w:szCs w:val="21"/>
                <w:highlight w:val="none"/>
                <w:lang w:eastAsia="zh-CN"/>
              </w:rPr>
              <w:t>。</w:t>
            </w:r>
          </w:p>
          <w:p w14:paraId="2567FA86">
            <w:pPr>
              <w:widowControl/>
              <w:numPr>
                <w:ilvl w:val="0"/>
                <w:numId w:val="9"/>
              </w:numPr>
              <w:spacing w:line="240" w:lineRule="auto"/>
              <w:ind w:firstLine="0" w:firstLineChars="0"/>
              <w:jc w:val="left"/>
              <w:rPr>
                <w:rFonts w:ascii="宋体" w:hAnsi="宋体" w:eastAsia="宋体" w:cs="宋体"/>
                <w:kern w:val="0"/>
                <w:sz w:val="21"/>
                <w:szCs w:val="21"/>
                <w:highlight w:val="none"/>
              </w:rPr>
            </w:pPr>
            <w:r>
              <w:rPr>
                <w:rFonts w:hint="eastAsia" w:ascii="宋体" w:hAnsi="宋体" w:eastAsia="宋体" w:cs="宋体"/>
                <w:color w:val="000000"/>
                <w:kern w:val="0"/>
                <w:sz w:val="21"/>
                <w:szCs w:val="21"/>
                <w:highlight w:val="none"/>
              </w:rPr>
              <w:t>类别：</w:t>
            </w:r>
            <w:r>
              <w:rPr>
                <w:rFonts w:hint="eastAsia" w:ascii="宋体" w:hAnsi="宋体" w:eastAsia="宋体" w:cs="宋体"/>
                <w:color w:val="000000"/>
                <w:kern w:val="0"/>
                <w:sz w:val="21"/>
                <w:szCs w:val="21"/>
                <w:highlight w:val="none"/>
                <w:lang w:eastAsia="zh-CN"/>
              </w:rPr>
              <w:t>圆柱</w:t>
            </w:r>
            <w:r>
              <w:rPr>
                <w:rFonts w:hint="eastAsia" w:ascii="宋体" w:hAnsi="宋体" w:eastAsia="宋体" w:cs="宋体"/>
                <w:color w:val="000000"/>
                <w:kern w:val="0"/>
                <w:sz w:val="21"/>
                <w:szCs w:val="21"/>
                <w:highlight w:val="none"/>
              </w:rPr>
              <w:t>落地书架</w:t>
            </w:r>
            <w:r>
              <w:rPr>
                <w:rFonts w:hint="eastAsia" w:cs="宋体"/>
                <w:color w:val="000000"/>
                <w:kern w:val="0"/>
                <w:sz w:val="21"/>
                <w:szCs w:val="21"/>
                <w:highlight w:val="none"/>
                <w:lang w:eastAsia="zh-CN"/>
              </w:rPr>
              <w:t>。</w:t>
            </w:r>
          </w:p>
          <w:p w14:paraId="32C95B3C">
            <w:pPr>
              <w:widowControl/>
              <w:numPr>
                <w:ilvl w:val="0"/>
                <w:numId w:val="9"/>
              </w:numPr>
              <w:spacing w:line="240" w:lineRule="auto"/>
              <w:ind w:firstLine="0" w:firstLineChars="0"/>
              <w:jc w:val="left"/>
              <w:rPr>
                <w:rFonts w:ascii="宋体" w:hAnsi="宋体" w:eastAsia="宋体" w:cs="宋体"/>
                <w:kern w:val="0"/>
                <w:sz w:val="21"/>
                <w:szCs w:val="21"/>
                <w:highlight w:val="none"/>
              </w:rPr>
            </w:pPr>
            <w:r>
              <w:rPr>
                <w:rFonts w:hint="eastAsia" w:ascii="宋体" w:hAnsi="宋体" w:eastAsia="宋体" w:cs="宋体"/>
                <w:color w:val="000000"/>
                <w:kern w:val="0"/>
                <w:sz w:val="21"/>
                <w:szCs w:val="21"/>
                <w:highlight w:val="none"/>
                <w:lang w:val="en-US" w:eastAsia="zh-CN"/>
              </w:rPr>
              <w:t>7、</w:t>
            </w:r>
            <w:r>
              <w:rPr>
                <w:rFonts w:hint="eastAsia" w:ascii="宋体" w:hAnsi="宋体" w:eastAsia="宋体" w:cs="宋体"/>
                <w:color w:val="000000"/>
                <w:kern w:val="0"/>
                <w:sz w:val="21"/>
                <w:szCs w:val="21"/>
                <w:highlight w:val="none"/>
              </w:rPr>
              <w:t>颜色：胡桃色和樱桃木色</w:t>
            </w:r>
            <w:r>
              <w:rPr>
                <w:rFonts w:hint="eastAsia" w:cs="宋体"/>
                <w:color w:val="000000"/>
                <w:kern w:val="0"/>
                <w:sz w:val="21"/>
                <w:szCs w:val="21"/>
                <w:highlight w:val="none"/>
                <w:lang w:eastAsia="zh-CN"/>
              </w:rPr>
              <w:t>。</w:t>
            </w:r>
          </w:p>
        </w:tc>
        <w:tc>
          <w:tcPr>
            <w:tcW w:w="1882" w:type="dxa"/>
            <w:tcBorders>
              <w:top w:val="nil"/>
              <w:left w:val="nil"/>
              <w:bottom w:val="single" w:color="auto" w:sz="4" w:space="0"/>
              <w:right w:val="single" w:color="auto" w:sz="4" w:space="0"/>
            </w:tcBorders>
            <w:noWrap w:val="0"/>
            <w:vAlign w:val="center"/>
          </w:tcPr>
          <w:p w14:paraId="3695EEA2">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61</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45.5cm</w:t>
            </w:r>
          </w:p>
        </w:tc>
        <w:tc>
          <w:tcPr>
            <w:tcW w:w="2304" w:type="dxa"/>
            <w:tcBorders>
              <w:top w:val="nil"/>
              <w:left w:val="nil"/>
              <w:bottom w:val="single" w:color="auto" w:sz="4" w:space="0"/>
              <w:right w:val="single" w:color="auto" w:sz="4" w:space="0"/>
            </w:tcBorders>
            <w:noWrap/>
            <w:vAlign w:val="center"/>
          </w:tcPr>
          <w:p w14:paraId="682CC346">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ascii="Times New Roman" w:hAnsi="Times New Roman" w:eastAsia="宋体" w:cs="Times New Roman"/>
                <w:sz w:val="21"/>
                <w:highlight w:val="none"/>
              </w:rPr>
              <w:drawing>
                <wp:inline distT="0" distB="0" distL="114300" distR="114300">
                  <wp:extent cx="1367155" cy="1686560"/>
                  <wp:effectExtent l="0" t="0" r="4445" b="889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01"/>
                          <a:stretch>
                            <a:fillRect/>
                          </a:stretch>
                        </pic:blipFill>
                        <pic:spPr>
                          <a:xfrm>
                            <a:off x="0" y="0"/>
                            <a:ext cx="1367155" cy="1686560"/>
                          </a:xfrm>
                          <a:prstGeom prst="rect">
                            <a:avLst/>
                          </a:prstGeom>
                          <a:noFill/>
                          <a:ln>
                            <a:noFill/>
                          </a:ln>
                        </pic:spPr>
                      </pic:pic>
                    </a:graphicData>
                  </a:graphic>
                </wp:inline>
              </w:drawing>
            </w:r>
          </w:p>
        </w:tc>
      </w:tr>
      <w:tr w14:paraId="1F1B189A">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9BD1070">
            <w:pPr>
              <w:widowControl/>
              <w:spacing w:line="240" w:lineRule="auto"/>
              <w:ind w:firstLine="0" w:firstLineChars="0"/>
              <w:jc w:val="center"/>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1</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09CD8409">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文件柜</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7B5D6627">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个</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06C244A2">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4</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55DC2FB1">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北美FAS级橡木，纯橡木隔板，承重扎实有力，用料扎实无辅材，多次开放式喷涂净味清漆</w:t>
            </w:r>
            <w:r>
              <w:rPr>
                <w:rFonts w:hint="eastAsia" w:cs="宋体"/>
                <w:kern w:val="0"/>
                <w:sz w:val="21"/>
                <w:szCs w:val="21"/>
                <w:highlight w:val="none"/>
                <w:lang w:eastAsia="zh-CN"/>
              </w:rPr>
              <w:t>。</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BFA39E6">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800*320*2000MM</w:t>
            </w:r>
          </w:p>
        </w:tc>
        <w:tc>
          <w:tcPr>
            <w:tcW w:w="2304" w:type="dxa"/>
            <w:tcBorders>
              <w:top w:val="single" w:color="auto" w:sz="4" w:space="0"/>
              <w:left w:val="single" w:color="auto" w:sz="4" w:space="0"/>
              <w:bottom w:val="single" w:color="auto" w:sz="4" w:space="0"/>
              <w:right w:val="single" w:color="auto" w:sz="4" w:space="0"/>
            </w:tcBorders>
            <w:noWrap/>
            <w:vAlign w:val="center"/>
          </w:tcPr>
          <w:p w14:paraId="217096BA">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drawing>
                <wp:anchor distT="0" distB="0" distL="114300" distR="114300" simplePos="0" relativeHeight="251677696" behindDoc="0" locked="0" layoutInCell="1" allowOverlap="1">
                  <wp:simplePos x="0" y="0"/>
                  <wp:positionH relativeFrom="column">
                    <wp:posOffset>52070</wp:posOffset>
                  </wp:positionH>
                  <wp:positionV relativeFrom="paragraph">
                    <wp:posOffset>-17780</wp:posOffset>
                  </wp:positionV>
                  <wp:extent cx="1231265" cy="1285875"/>
                  <wp:effectExtent l="0" t="0" r="6985" b="9525"/>
                  <wp:wrapNone/>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102"/>
                          <a:stretch>
                            <a:fillRect/>
                          </a:stretch>
                        </pic:blipFill>
                        <pic:spPr>
                          <a:xfrm>
                            <a:off x="0" y="0"/>
                            <a:ext cx="1231265" cy="1285875"/>
                          </a:xfrm>
                          <a:prstGeom prst="rect">
                            <a:avLst/>
                          </a:prstGeom>
                          <a:noFill/>
                          <a:ln>
                            <a:noFill/>
                          </a:ln>
                        </pic:spPr>
                      </pic:pic>
                    </a:graphicData>
                  </a:graphic>
                </wp:anchor>
              </w:drawing>
            </w:r>
          </w:p>
        </w:tc>
      </w:tr>
      <w:tr w14:paraId="34C94C77">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26743724">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11</w:t>
            </w:r>
          </w:p>
        </w:tc>
        <w:tc>
          <w:tcPr>
            <w:tcW w:w="1472" w:type="dxa"/>
            <w:tcBorders>
              <w:top w:val="single" w:color="auto" w:sz="4" w:space="0"/>
              <w:left w:val="nil"/>
              <w:bottom w:val="single" w:color="auto" w:sz="4" w:space="0"/>
              <w:right w:val="single" w:color="auto" w:sz="4" w:space="0"/>
            </w:tcBorders>
            <w:noWrap w:val="0"/>
            <w:vAlign w:val="center"/>
          </w:tcPr>
          <w:p w14:paraId="11BD06B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储物矮柜</w:t>
            </w:r>
          </w:p>
        </w:tc>
        <w:tc>
          <w:tcPr>
            <w:tcW w:w="628" w:type="dxa"/>
            <w:tcBorders>
              <w:top w:val="single" w:color="auto" w:sz="4" w:space="0"/>
              <w:left w:val="nil"/>
              <w:bottom w:val="single" w:color="auto" w:sz="4" w:space="0"/>
              <w:right w:val="single" w:color="auto" w:sz="4" w:space="0"/>
            </w:tcBorders>
            <w:noWrap w:val="0"/>
            <w:vAlign w:val="center"/>
          </w:tcPr>
          <w:p w14:paraId="79444DF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个</w:t>
            </w:r>
          </w:p>
        </w:tc>
        <w:tc>
          <w:tcPr>
            <w:tcW w:w="695" w:type="dxa"/>
            <w:tcBorders>
              <w:top w:val="single" w:color="auto" w:sz="4" w:space="0"/>
              <w:left w:val="nil"/>
              <w:bottom w:val="single" w:color="auto" w:sz="4" w:space="0"/>
              <w:right w:val="single" w:color="auto" w:sz="4" w:space="0"/>
            </w:tcBorders>
            <w:noWrap w:val="0"/>
            <w:vAlign w:val="center"/>
          </w:tcPr>
          <w:p w14:paraId="1A8002A4">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2</w:t>
            </w:r>
          </w:p>
        </w:tc>
        <w:tc>
          <w:tcPr>
            <w:tcW w:w="2700" w:type="dxa"/>
            <w:tcBorders>
              <w:top w:val="single" w:color="auto" w:sz="4" w:space="0"/>
              <w:left w:val="nil"/>
              <w:bottom w:val="single" w:color="auto" w:sz="4" w:space="0"/>
              <w:right w:val="single" w:color="auto" w:sz="4" w:space="0"/>
            </w:tcBorders>
            <w:noWrap w:val="0"/>
            <w:vAlign w:val="center"/>
          </w:tcPr>
          <w:p w14:paraId="533631CF">
            <w:pPr>
              <w:widowControl/>
              <w:spacing w:line="240" w:lineRule="auto"/>
              <w:ind w:firstLine="0" w:firstLineChars="0"/>
              <w:jc w:val="left"/>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北美FAS级橡木，纯橡木隔板，承重扎实有力，用料扎实无辅材，多次开放式喷涂净味清漆</w:t>
            </w:r>
            <w:r>
              <w:rPr>
                <w:rFonts w:hint="eastAsia" w:cs="宋体"/>
                <w:kern w:val="0"/>
                <w:sz w:val="21"/>
                <w:szCs w:val="21"/>
                <w:highlight w:val="none"/>
                <w:lang w:eastAsia="zh-CN"/>
              </w:rPr>
              <w:t>。</w:t>
            </w:r>
          </w:p>
        </w:tc>
        <w:tc>
          <w:tcPr>
            <w:tcW w:w="1882" w:type="dxa"/>
            <w:tcBorders>
              <w:top w:val="single" w:color="auto" w:sz="4" w:space="0"/>
              <w:left w:val="nil"/>
              <w:bottom w:val="single" w:color="auto" w:sz="4" w:space="0"/>
              <w:right w:val="single" w:color="auto" w:sz="4" w:space="0"/>
            </w:tcBorders>
            <w:noWrap w:val="0"/>
            <w:vAlign w:val="center"/>
          </w:tcPr>
          <w:p w14:paraId="5FBC0B8E">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800*</w:t>
            </w:r>
            <w:r>
              <w:rPr>
                <w:rFonts w:hint="eastAsia" w:ascii="宋体" w:hAnsi="宋体" w:eastAsia="宋体" w:cs="宋体"/>
                <w:kern w:val="0"/>
                <w:sz w:val="21"/>
                <w:szCs w:val="21"/>
                <w:highlight w:val="none"/>
                <w:lang w:val="en-US" w:eastAsia="zh-CN"/>
              </w:rPr>
              <w:t>550</w:t>
            </w:r>
            <w:r>
              <w:rPr>
                <w:rFonts w:hint="eastAsia" w:ascii="宋体" w:hAnsi="宋体" w:eastAsia="宋体" w:cs="宋体"/>
                <w:kern w:val="0"/>
                <w:sz w:val="21"/>
                <w:szCs w:val="21"/>
                <w:highlight w:val="none"/>
              </w:rPr>
              <w:t>*950MM</w:t>
            </w:r>
          </w:p>
        </w:tc>
        <w:tc>
          <w:tcPr>
            <w:tcW w:w="2304" w:type="dxa"/>
            <w:tcBorders>
              <w:top w:val="single" w:color="auto" w:sz="4" w:space="0"/>
              <w:left w:val="nil"/>
              <w:bottom w:val="single" w:color="auto" w:sz="4" w:space="0"/>
              <w:right w:val="single" w:color="auto" w:sz="4" w:space="0"/>
            </w:tcBorders>
            <w:noWrap/>
            <w:vAlign w:val="center"/>
          </w:tcPr>
          <w:p w14:paraId="0D8AEDA3">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drawing>
                <wp:anchor distT="0" distB="0" distL="114300" distR="114300" simplePos="0" relativeHeight="251678720" behindDoc="0" locked="0" layoutInCell="1" allowOverlap="1">
                  <wp:simplePos x="0" y="0"/>
                  <wp:positionH relativeFrom="column">
                    <wp:posOffset>22860</wp:posOffset>
                  </wp:positionH>
                  <wp:positionV relativeFrom="paragraph">
                    <wp:posOffset>-8255</wp:posOffset>
                  </wp:positionV>
                  <wp:extent cx="1329055" cy="1293495"/>
                  <wp:effectExtent l="0" t="0" r="4445" b="1905"/>
                  <wp:wrapNone/>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103"/>
                          <a:stretch>
                            <a:fillRect/>
                          </a:stretch>
                        </pic:blipFill>
                        <pic:spPr>
                          <a:xfrm>
                            <a:off x="0" y="0"/>
                            <a:ext cx="1329055" cy="1293495"/>
                          </a:xfrm>
                          <a:prstGeom prst="rect">
                            <a:avLst/>
                          </a:prstGeom>
                          <a:noFill/>
                          <a:ln>
                            <a:noFill/>
                          </a:ln>
                        </pic:spPr>
                      </pic:pic>
                    </a:graphicData>
                  </a:graphic>
                </wp:anchor>
              </w:drawing>
            </w:r>
          </w:p>
        </w:tc>
      </w:tr>
      <w:tr w14:paraId="6B1C33F1">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6930EAD2">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12</w:t>
            </w:r>
          </w:p>
        </w:tc>
        <w:tc>
          <w:tcPr>
            <w:tcW w:w="1472" w:type="dxa"/>
            <w:tcBorders>
              <w:top w:val="nil"/>
              <w:left w:val="nil"/>
              <w:bottom w:val="single" w:color="auto" w:sz="4" w:space="0"/>
              <w:right w:val="single" w:color="auto" w:sz="4" w:space="0"/>
            </w:tcBorders>
            <w:noWrap w:val="0"/>
            <w:vAlign w:val="center"/>
          </w:tcPr>
          <w:p w14:paraId="6A47DF72">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可折叠桌</w:t>
            </w:r>
          </w:p>
          <w:p w14:paraId="101241B5">
            <w:pPr>
              <w:widowControl/>
              <w:spacing w:line="240" w:lineRule="auto"/>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（核心产品）</w:t>
            </w:r>
          </w:p>
        </w:tc>
        <w:tc>
          <w:tcPr>
            <w:tcW w:w="628" w:type="dxa"/>
            <w:tcBorders>
              <w:top w:val="nil"/>
              <w:left w:val="nil"/>
              <w:bottom w:val="single" w:color="auto" w:sz="4" w:space="0"/>
              <w:right w:val="single" w:color="auto" w:sz="4" w:space="0"/>
            </w:tcBorders>
            <w:noWrap w:val="0"/>
            <w:vAlign w:val="center"/>
          </w:tcPr>
          <w:p w14:paraId="26C0BB02">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695" w:type="dxa"/>
            <w:tcBorders>
              <w:top w:val="nil"/>
              <w:left w:val="nil"/>
              <w:bottom w:val="single" w:color="auto" w:sz="4" w:space="0"/>
              <w:right w:val="single" w:color="auto" w:sz="4" w:space="0"/>
            </w:tcBorders>
            <w:noWrap w:val="0"/>
            <w:vAlign w:val="center"/>
          </w:tcPr>
          <w:p w14:paraId="15F62E94">
            <w:pPr>
              <w:widowControl/>
              <w:spacing w:line="240" w:lineRule="auto"/>
              <w:ind w:firstLine="0" w:firstLineChars="0"/>
              <w:jc w:val="center"/>
              <w:rPr>
                <w:rFonts w:hint="eastAsia" w:ascii="宋体" w:hAnsi="宋体" w:eastAsia="宋体" w:cs="宋体"/>
                <w:kern w:val="0"/>
                <w:sz w:val="21"/>
                <w:szCs w:val="21"/>
                <w:highlight w:val="none"/>
              </w:rPr>
            </w:pPr>
            <w:r>
              <w:rPr>
                <w:rFonts w:ascii="宋体" w:hAnsi="宋体" w:eastAsia="宋体" w:cs="宋体"/>
                <w:kern w:val="0"/>
                <w:sz w:val="21"/>
                <w:szCs w:val="21"/>
                <w:highlight w:val="none"/>
              </w:rPr>
              <w:t>10</w:t>
            </w:r>
          </w:p>
        </w:tc>
        <w:tc>
          <w:tcPr>
            <w:tcW w:w="2700" w:type="dxa"/>
            <w:tcBorders>
              <w:top w:val="nil"/>
              <w:left w:val="nil"/>
              <w:bottom w:val="single" w:color="auto" w:sz="4" w:space="0"/>
              <w:right w:val="single" w:color="auto" w:sz="4" w:space="0"/>
            </w:tcBorders>
            <w:noWrap w:val="0"/>
            <w:vAlign w:val="center"/>
          </w:tcPr>
          <w:p w14:paraId="43538E81">
            <w:pPr>
              <w:widowControl/>
              <w:spacing w:line="240" w:lineRule="auto"/>
              <w:ind w:firstLine="0" w:firstLineChars="0"/>
              <w:jc w:val="left"/>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采用高硬度冷轧管以及塑料配件制作而成，承重性好，牢固不摇晃。开放式存储抽屉，25MM三聚氰胺免漆板，加厚桌面设计，一键手动旋转侧翻</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配套椅子十把。</w:t>
            </w:r>
          </w:p>
        </w:tc>
        <w:tc>
          <w:tcPr>
            <w:tcW w:w="1882" w:type="dxa"/>
            <w:tcBorders>
              <w:top w:val="nil"/>
              <w:left w:val="nil"/>
              <w:bottom w:val="single" w:color="auto" w:sz="4" w:space="0"/>
              <w:right w:val="single" w:color="auto" w:sz="4" w:space="0"/>
            </w:tcBorders>
            <w:noWrap w:val="0"/>
            <w:vAlign w:val="center"/>
          </w:tcPr>
          <w:p w14:paraId="0F6D6B65">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1400*500*750MM</w:t>
            </w:r>
          </w:p>
        </w:tc>
        <w:tc>
          <w:tcPr>
            <w:tcW w:w="2304" w:type="dxa"/>
            <w:tcBorders>
              <w:top w:val="nil"/>
              <w:left w:val="nil"/>
              <w:bottom w:val="single" w:color="auto" w:sz="4" w:space="0"/>
              <w:right w:val="single" w:color="auto" w:sz="4" w:space="0"/>
            </w:tcBorders>
            <w:noWrap/>
            <w:vAlign w:val="center"/>
          </w:tcPr>
          <w:p w14:paraId="716DD619">
            <w:pPr>
              <w:widowControl/>
              <w:spacing w:line="240" w:lineRule="auto"/>
              <w:ind w:firstLine="0" w:firstLineChars="0"/>
              <w:jc w:val="left"/>
              <w:rPr>
                <w:rFonts w:hint="eastAsia" w:ascii="宋体" w:hAnsi="宋体" w:eastAsia="宋体" w:cs="宋体"/>
                <w:kern w:val="0"/>
                <w:sz w:val="21"/>
                <w:szCs w:val="21"/>
                <w:highlight w:val="none"/>
              </w:rPr>
            </w:pPr>
            <w:r>
              <w:rPr>
                <w:rFonts w:ascii="Times New Roman" w:hAnsi="Times New Roman" w:eastAsia="宋体" w:cs="Times New Roman"/>
                <w:sz w:val="21"/>
                <w:highlight w:val="none"/>
              </w:rPr>
              <w:drawing>
                <wp:inline distT="0" distB="0" distL="114300" distR="114300">
                  <wp:extent cx="1352550" cy="1339215"/>
                  <wp:effectExtent l="0" t="0" r="0" b="13335"/>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104"/>
                          <a:stretch>
                            <a:fillRect/>
                          </a:stretch>
                        </pic:blipFill>
                        <pic:spPr>
                          <a:xfrm>
                            <a:off x="0" y="0"/>
                            <a:ext cx="1352550" cy="1339215"/>
                          </a:xfrm>
                          <a:prstGeom prst="rect">
                            <a:avLst/>
                          </a:prstGeom>
                          <a:noFill/>
                          <a:ln>
                            <a:noFill/>
                          </a:ln>
                        </pic:spPr>
                      </pic:pic>
                    </a:graphicData>
                  </a:graphic>
                </wp:inline>
              </w:drawing>
            </w:r>
          </w:p>
        </w:tc>
      </w:tr>
      <w:tr w14:paraId="233E98BF">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0E828C2D">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13</w:t>
            </w:r>
          </w:p>
        </w:tc>
        <w:tc>
          <w:tcPr>
            <w:tcW w:w="1472" w:type="dxa"/>
            <w:tcBorders>
              <w:top w:val="nil"/>
              <w:left w:val="nil"/>
              <w:bottom w:val="single" w:color="auto" w:sz="4" w:space="0"/>
              <w:right w:val="single" w:color="auto" w:sz="4" w:space="0"/>
            </w:tcBorders>
            <w:noWrap w:val="0"/>
            <w:vAlign w:val="center"/>
          </w:tcPr>
          <w:p w14:paraId="361819E6">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新中式椅子</w:t>
            </w:r>
          </w:p>
          <w:p w14:paraId="4FA3EB02">
            <w:pPr>
              <w:pStyle w:val="2"/>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（核心产品）</w:t>
            </w:r>
          </w:p>
        </w:tc>
        <w:tc>
          <w:tcPr>
            <w:tcW w:w="628" w:type="dxa"/>
            <w:tcBorders>
              <w:top w:val="nil"/>
              <w:left w:val="nil"/>
              <w:bottom w:val="single" w:color="auto" w:sz="4" w:space="0"/>
              <w:right w:val="single" w:color="auto" w:sz="4" w:space="0"/>
            </w:tcBorders>
            <w:noWrap w:val="0"/>
            <w:vAlign w:val="center"/>
          </w:tcPr>
          <w:p w14:paraId="56C459AF">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把</w:t>
            </w:r>
          </w:p>
        </w:tc>
        <w:tc>
          <w:tcPr>
            <w:tcW w:w="695" w:type="dxa"/>
            <w:tcBorders>
              <w:top w:val="nil"/>
              <w:left w:val="nil"/>
              <w:bottom w:val="single" w:color="auto" w:sz="4" w:space="0"/>
              <w:right w:val="single" w:color="auto" w:sz="4" w:space="0"/>
            </w:tcBorders>
            <w:noWrap w:val="0"/>
            <w:vAlign w:val="center"/>
          </w:tcPr>
          <w:p w14:paraId="6C545784">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20</w:t>
            </w:r>
          </w:p>
        </w:tc>
        <w:tc>
          <w:tcPr>
            <w:tcW w:w="2700" w:type="dxa"/>
            <w:tcBorders>
              <w:top w:val="nil"/>
              <w:left w:val="nil"/>
              <w:bottom w:val="single" w:color="auto" w:sz="4" w:space="0"/>
              <w:right w:val="single" w:color="auto" w:sz="4" w:space="0"/>
            </w:tcBorders>
            <w:noWrap w:val="0"/>
            <w:vAlign w:val="center"/>
          </w:tcPr>
          <w:p w14:paraId="25D6FD9A">
            <w:pPr>
              <w:widowControl/>
              <w:spacing w:line="240" w:lineRule="auto"/>
              <w:ind w:firstLine="0" w:firstLineChars="0"/>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、材质：</w:t>
            </w:r>
            <w:r>
              <w:rPr>
                <w:rFonts w:hint="eastAsia" w:ascii="宋体" w:hAnsi="宋体" w:eastAsia="宋体" w:cs="宋体"/>
                <w:color w:val="000000"/>
                <w:kern w:val="0"/>
                <w:sz w:val="21"/>
                <w:szCs w:val="21"/>
                <w:highlight w:val="none"/>
                <w:lang w:eastAsia="zh-CN"/>
              </w:rPr>
              <w:t>仿木纹金属，牢固</w:t>
            </w:r>
            <w:r>
              <w:rPr>
                <w:rFonts w:hint="eastAsia" w:cs="宋体"/>
                <w:color w:val="000000"/>
                <w:kern w:val="0"/>
                <w:sz w:val="21"/>
                <w:szCs w:val="21"/>
                <w:highlight w:val="none"/>
                <w:lang w:eastAsia="zh-CN"/>
              </w:rPr>
              <w:t>。</w:t>
            </w:r>
          </w:p>
          <w:p w14:paraId="56880B71">
            <w:pPr>
              <w:widowControl/>
              <w:spacing w:line="240" w:lineRule="auto"/>
              <w:ind w:firstLine="0" w:firstLineChars="0"/>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、风格：新中式</w:t>
            </w:r>
            <w:r>
              <w:rPr>
                <w:rFonts w:hint="eastAsia" w:ascii="宋体" w:hAnsi="宋体" w:eastAsia="宋体" w:cs="宋体"/>
                <w:color w:val="000000"/>
                <w:kern w:val="0"/>
                <w:sz w:val="21"/>
                <w:szCs w:val="21"/>
                <w:highlight w:val="none"/>
                <w:lang w:eastAsia="zh-CN"/>
              </w:rPr>
              <w:t>简约风</w:t>
            </w:r>
            <w:r>
              <w:rPr>
                <w:rFonts w:hint="eastAsia" w:cs="宋体"/>
                <w:color w:val="000000"/>
                <w:kern w:val="0"/>
                <w:sz w:val="21"/>
                <w:szCs w:val="21"/>
                <w:highlight w:val="none"/>
                <w:lang w:eastAsia="zh-CN"/>
              </w:rPr>
              <w:t>。</w:t>
            </w:r>
          </w:p>
          <w:p w14:paraId="2325116D">
            <w:pPr>
              <w:widowControl/>
              <w:spacing w:line="240" w:lineRule="auto"/>
              <w:ind w:firstLine="0" w:firstLineChars="0"/>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、坐面材质：布</w:t>
            </w:r>
            <w:r>
              <w:rPr>
                <w:rFonts w:hint="eastAsia" w:ascii="宋体" w:hAnsi="宋体" w:eastAsia="宋体" w:cs="宋体"/>
                <w:color w:val="000000"/>
                <w:kern w:val="0"/>
                <w:sz w:val="21"/>
                <w:szCs w:val="21"/>
                <w:highlight w:val="none"/>
                <w:lang w:eastAsia="zh-CN"/>
              </w:rPr>
              <w:t>艺，内里填充高密度回弹海绵</w:t>
            </w:r>
            <w:r>
              <w:rPr>
                <w:rFonts w:hint="eastAsia" w:cs="宋体"/>
                <w:color w:val="000000"/>
                <w:kern w:val="0"/>
                <w:sz w:val="21"/>
                <w:szCs w:val="21"/>
                <w:highlight w:val="none"/>
                <w:lang w:eastAsia="zh-CN"/>
              </w:rPr>
              <w:t>。</w:t>
            </w:r>
          </w:p>
          <w:p w14:paraId="77D3277C">
            <w:pPr>
              <w:widowControl/>
              <w:spacing w:line="240" w:lineRule="auto"/>
              <w:ind w:firstLine="0" w:firstLineChars="0"/>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、类别：四脚椅</w:t>
            </w:r>
            <w:r>
              <w:rPr>
                <w:rFonts w:hint="eastAsia" w:cs="宋体"/>
                <w:color w:val="000000"/>
                <w:kern w:val="0"/>
                <w:sz w:val="21"/>
                <w:szCs w:val="21"/>
                <w:highlight w:val="none"/>
                <w:lang w:eastAsia="zh-CN"/>
              </w:rPr>
              <w:t>。</w:t>
            </w:r>
          </w:p>
          <w:p w14:paraId="46B4AEFE">
            <w:pPr>
              <w:widowControl/>
              <w:spacing w:line="240" w:lineRule="auto"/>
              <w:ind w:firstLine="0" w:firstLineChars="0"/>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、尺寸：71*47*44cm</w:t>
            </w:r>
            <w:r>
              <w:rPr>
                <w:rFonts w:hint="eastAsia" w:cs="宋体"/>
                <w:color w:val="000000"/>
                <w:kern w:val="0"/>
                <w:sz w:val="21"/>
                <w:szCs w:val="21"/>
                <w:highlight w:val="none"/>
                <w:lang w:eastAsia="zh-CN"/>
              </w:rPr>
              <w:t>。</w:t>
            </w:r>
          </w:p>
          <w:p w14:paraId="1A053CFD">
            <w:pPr>
              <w:widowControl/>
              <w:spacing w:line="240" w:lineRule="auto"/>
              <w:ind w:firstLine="0" w:firstLineChars="0"/>
              <w:jc w:val="left"/>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、坐垫颜色：</w:t>
            </w:r>
            <w:r>
              <w:rPr>
                <w:rFonts w:hint="eastAsia" w:ascii="宋体" w:hAnsi="宋体" w:eastAsia="宋体" w:cs="宋体"/>
                <w:color w:val="000000"/>
                <w:kern w:val="0"/>
                <w:sz w:val="21"/>
                <w:szCs w:val="21"/>
                <w:highlight w:val="none"/>
                <w:lang w:eastAsia="zh-CN"/>
              </w:rPr>
              <w:t>灰</w:t>
            </w:r>
            <w:r>
              <w:rPr>
                <w:rFonts w:hint="eastAsia" w:ascii="宋体" w:hAnsi="宋体" w:eastAsia="宋体" w:cs="宋体"/>
                <w:color w:val="000000"/>
                <w:kern w:val="0"/>
                <w:sz w:val="21"/>
                <w:szCs w:val="21"/>
                <w:highlight w:val="none"/>
              </w:rPr>
              <w:t>色</w:t>
            </w:r>
            <w:r>
              <w:rPr>
                <w:rFonts w:hint="eastAsia" w:ascii="宋体" w:hAnsi="宋体" w:eastAsia="宋体" w:cs="宋体"/>
                <w:color w:val="000000"/>
                <w:kern w:val="0"/>
                <w:sz w:val="21"/>
                <w:szCs w:val="21"/>
                <w:highlight w:val="none"/>
                <w:lang w:eastAsia="zh-CN"/>
              </w:rPr>
              <w:t>、蓝色、浅纹色等</w:t>
            </w:r>
            <w:r>
              <w:rPr>
                <w:rFonts w:hint="eastAsia" w:cs="宋体"/>
                <w:color w:val="000000"/>
                <w:kern w:val="0"/>
                <w:sz w:val="21"/>
                <w:szCs w:val="21"/>
                <w:highlight w:val="none"/>
                <w:lang w:eastAsia="zh-CN"/>
              </w:rPr>
              <w:t>。</w:t>
            </w:r>
          </w:p>
          <w:p w14:paraId="148BA234">
            <w:pPr>
              <w:widowControl/>
              <w:spacing w:line="240" w:lineRule="auto"/>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7、椅子颜色：原木色和胡桃色</w:t>
            </w:r>
            <w:r>
              <w:rPr>
                <w:rFonts w:hint="eastAsia" w:cs="宋体"/>
                <w:kern w:val="0"/>
                <w:sz w:val="21"/>
                <w:szCs w:val="21"/>
                <w:highlight w:val="none"/>
                <w:lang w:val="en-US" w:eastAsia="zh-CN"/>
              </w:rPr>
              <w:t>。</w:t>
            </w:r>
          </w:p>
        </w:tc>
        <w:tc>
          <w:tcPr>
            <w:tcW w:w="1882" w:type="dxa"/>
            <w:tcBorders>
              <w:top w:val="nil"/>
              <w:left w:val="nil"/>
              <w:bottom w:val="single" w:color="auto" w:sz="4" w:space="0"/>
              <w:right w:val="single" w:color="auto" w:sz="4" w:space="0"/>
            </w:tcBorders>
            <w:noWrap w:val="0"/>
            <w:vAlign w:val="center"/>
          </w:tcPr>
          <w:p w14:paraId="5C719A30">
            <w:pPr>
              <w:widowControl/>
              <w:spacing w:line="240" w:lineRule="auto"/>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常规</w:t>
            </w:r>
          </w:p>
        </w:tc>
        <w:tc>
          <w:tcPr>
            <w:tcW w:w="2304" w:type="dxa"/>
            <w:tcBorders>
              <w:top w:val="nil"/>
              <w:left w:val="nil"/>
              <w:bottom w:val="single" w:color="auto" w:sz="4" w:space="0"/>
              <w:right w:val="single" w:color="auto" w:sz="4" w:space="0"/>
            </w:tcBorders>
            <w:noWrap/>
            <w:vAlign w:val="center"/>
          </w:tcPr>
          <w:p w14:paraId="3933C245">
            <w:pPr>
              <w:widowControl/>
              <w:spacing w:line="240" w:lineRule="auto"/>
              <w:ind w:firstLine="0" w:firstLineChars="0"/>
              <w:jc w:val="left"/>
              <w:rPr>
                <w:rFonts w:hint="eastAsia" w:ascii="宋体" w:hAnsi="宋体" w:eastAsia="宋体" w:cs="宋体"/>
                <w:kern w:val="0"/>
                <w:sz w:val="21"/>
                <w:szCs w:val="21"/>
                <w:highlight w:val="none"/>
              </w:rPr>
            </w:pPr>
            <w:r>
              <w:rPr>
                <w:rFonts w:ascii="宋体" w:hAnsi="宋体" w:eastAsia="宋体" w:cs="宋体"/>
                <w:sz w:val="24"/>
                <w:szCs w:val="24"/>
                <w:highlight w:val="none"/>
              </w:rPr>
              <w:drawing>
                <wp:inline distT="0" distB="0" distL="114300" distR="114300">
                  <wp:extent cx="1315720" cy="1585595"/>
                  <wp:effectExtent l="0" t="0" r="17780" b="14605"/>
                  <wp:docPr id="1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 descr="IMG_256"/>
                          <pic:cNvPicPr>
                            <a:picLocks noChangeAspect="1"/>
                          </pic:cNvPicPr>
                        </pic:nvPicPr>
                        <pic:blipFill>
                          <a:blip r:embed="rId105"/>
                          <a:stretch>
                            <a:fillRect/>
                          </a:stretch>
                        </pic:blipFill>
                        <pic:spPr>
                          <a:xfrm>
                            <a:off x="0" y="0"/>
                            <a:ext cx="1315720" cy="1585595"/>
                          </a:xfrm>
                          <a:prstGeom prst="rect">
                            <a:avLst/>
                          </a:prstGeom>
                          <a:noFill/>
                          <a:ln>
                            <a:noFill/>
                          </a:ln>
                        </pic:spPr>
                      </pic:pic>
                    </a:graphicData>
                  </a:graphic>
                </wp:inline>
              </w:drawing>
            </w:r>
          </w:p>
        </w:tc>
      </w:tr>
    </w:tbl>
    <w:p w14:paraId="27AB4C3E">
      <w:pPr>
        <w:spacing w:line="440" w:lineRule="exact"/>
        <w:ind w:firstLine="0" w:firstLineChars="0"/>
        <w:rPr>
          <w:rFonts w:ascii="仿宋_GB2312" w:eastAsia="仿宋_GB2312"/>
          <w:b/>
          <w:bCs/>
          <w:sz w:val="28"/>
          <w:szCs w:val="28"/>
          <w:highlight w:val="none"/>
        </w:rPr>
      </w:pPr>
    </w:p>
    <w:p w14:paraId="51A6902E">
      <w:pPr>
        <w:tabs>
          <w:tab w:val="left" w:pos="516"/>
        </w:tabs>
        <w:ind w:firstLine="0" w:firstLineChars="0"/>
        <w:jc w:val="left"/>
        <w:rPr>
          <w:highlight w:val="none"/>
        </w:rPr>
      </w:pPr>
    </w:p>
    <w:p w14:paraId="03AE132A">
      <w:pPr>
        <w:tabs>
          <w:tab w:val="left" w:pos="516"/>
        </w:tabs>
        <w:ind w:firstLine="0" w:firstLineChars="0"/>
        <w:jc w:val="left"/>
        <w:rPr>
          <w:highlight w:val="none"/>
        </w:rPr>
        <w:sectPr>
          <w:pgSz w:w="11906" w:h="16838"/>
          <w:pgMar w:top="1247" w:right="1134" w:bottom="1247" w:left="1134" w:header="170" w:footer="567" w:gutter="0"/>
          <w:cols w:space="720" w:num="1"/>
          <w:docGrid w:linePitch="381" w:charSpace="0"/>
        </w:sectPr>
      </w:pPr>
    </w:p>
    <w:p w14:paraId="49D82FB1">
      <w:pPr>
        <w:ind w:firstLine="0" w:firstLineChars="0"/>
        <w:rPr>
          <w:b/>
          <w:bCs/>
          <w:highlight w:val="none"/>
        </w:rPr>
      </w:pPr>
      <w:r>
        <w:rPr>
          <w:rFonts w:hint="eastAsia"/>
          <w:b/>
          <w:bCs/>
          <w:highlight w:val="none"/>
        </w:rPr>
        <w:t>四、</w:t>
      </w:r>
      <w:r>
        <w:rPr>
          <w:rFonts w:hint="eastAsia" w:cs="宋体"/>
          <w:b/>
          <w:bCs/>
          <w:highlight w:val="none"/>
        </w:rPr>
        <w:t>设备及服务要求</w:t>
      </w:r>
    </w:p>
    <w:p w14:paraId="3DE986C4">
      <w:pPr>
        <w:ind w:firstLine="0" w:firstLineChars="0"/>
        <w:rPr>
          <w:rFonts w:cs="宋体"/>
          <w:highlight w:val="none"/>
        </w:rPr>
      </w:pPr>
      <w:bookmarkStart w:id="16" w:name="_Toc5833"/>
      <w:r>
        <w:rPr>
          <w:rFonts w:hint="eastAsia"/>
          <w:b/>
          <w:bCs/>
          <w:highlight w:val="none"/>
        </w:rPr>
        <w:t>（一）设备要求</w:t>
      </w:r>
      <w:bookmarkEnd w:id="16"/>
    </w:p>
    <w:p w14:paraId="33AFD8B9">
      <w:pPr>
        <w:ind w:firstLine="480"/>
        <w:jc w:val="left"/>
        <w:rPr>
          <w:rFonts w:cs="宋体"/>
          <w:highlight w:val="none"/>
        </w:rPr>
      </w:pPr>
      <w:r>
        <w:rPr>
          <w:rFonts w:hint="eastAsia" w:cs="宋体"/>
          <w:highlight w:val="none"/>
        </w:rPr>
        <w:t>1.投标人提供的设备必须是原厂生产且全新的优质产品，拒绝</w:t>
      </w:r>
      <w:r>
        <w:rPr>
          <w:rFonts w:cs="宋体"/>
          <w:highlight w:val="none"/>
        </w:rPr>
        <w:t>OEM</w:t>
      </w:r>
      <w:r>
        <w:rPr>
          <w:rFonts w:hint="eastAsia" w:cs="宋体"/>
          <w:highlight w:val="none"/>
        </w:rPr>
        <w:t>、</w:t>
      </w:r>
      <w:r>
        <w:rPr>
          <w:rFonts w:cs="宋体"/>
          <w:highlight w:val="none"/>
        </w:rPr>
        <w:t>ODM</w:t>
      </w:r>
      <w:r>
        <w:rPr>
          <w:rFonts w:hint="eastAsia" w:cs="宋体"/>
          <w:highlight w:val="none"/>
        </w:rPr>
        <w:t>产品，须符合相应的国家标准的，并须提供相关产品的产品合格证、产品说明书和安装说明等资料，投标人所提供的产品在安装调试完成后，应构成一个完整的系统，能按照技术要求连续运行。</w:t>
      </w:r>
    </w:p>
    <w:p w14:paraId="100B2B1D">
      <w:pPr>
        <w:ind w:firstLine="480"/>
        <w:jc w:val="left"/>
        <w:rPr>
          <w:rFonts w:cs="宋体"/>
          <w:highlight w:val="none"/>
        </w:rPr>
      </w:pPr>
      <w:r>
        <w:rPr>
          <w:rFonts w:hint="eastAsia" w:cs="宋体"/>
          <w:highlight w:val="none"/>
        </w:rPr>
        <w:t>2.投标人应列出详细的产品配置清单（包括各主要零部件的厂家或品牌、型号和规格、数量等），作为技术评价依据之一。</w:t>
      </w:r>
    </w:p>
    <w:p w14:paraId="4D99EBDE">
      <w:pPr>
        <w:ind w:firstLine="0" w:firstLineChars="0"/>
        <w:rPr>
          <w:rFonts w:cs="宋体"/>
          <w:highlight w:val="none"/>
        </w:rPr>
      </w:pPr>
      <w:bookmarkStart w:id="17" w:name="_Toc16003"/>
      <w:r>
        <w:rPr>
          <w:rFonts w:hint="eastAsia"/>
          <w:b/>
          <w:bCs/>
          <w:highlight w:val="none"/>
        </w:rPr>
        <w:t>（二）质保期要求</w:t>
      </w:r>
      <w:bookmarkEnd w:id="17"/>
    </w:p>
    <w:p w14:paraId="0BBC5858">
      <w:pPr>
        <w:autoSpaceDE w:val="0"/>
        <w:autoSpaceDN w:val="0"/>
        <w:ind w:firstLine="480"/>
        <w:jc w:val="left"/>
        <w:rPr>
          <w:rFonts w:cs="宋体"/>
          <w:kern w:val="0"/>
          <w:highlight w:val="none"/>
        </w:rPr>
      </w:pPr>
      <w:bookmarkStart w:id="18" w:name="_Toc6432"/>
      <w:r>
        <w:rPr>
          <w:rFonts w:hint="eastAsia" w:cs="宋体"/>
          <w:kern w:val="0"/>
          <w:highlight w:val="none"/>
        </w:rPr>
        <w:t>1.质保期：本项目质保期不少于3年（若设备原厂商提供更长质保期，则按承诺的质保期执行）。质保期从验收合格之日起算。在质保期间，除人为损坏的问题，均由中标人负责维修和更换，所有费用由中标人自行承担。所有包含软件的设备需免费终生使用并提供更新服务。</w:t>
      </w:r>
    </w:p>
    <w:p w14:paraId="4D065589">
      <w:pPr>
        <w:autoSpaceDE w:val="0"/>
        <w:autoSpaceDN w:val="0"/>
        <w:ind w:firstLine="480"/>
        <w:jc w:val="left"/>
        <w:rPr>
          <w:rFonts w:cs="宋体"/>
          <w:kern w:val="0"/>
          <w:highlight w:val="none"/>
        </w:rPr>
      </w:pPr>
      <w:r>
        <w:rPr>
          <w:rFonts w:hint="eastAsia" w:cs="宋体"/>
          <w:kern w:val="0"/>
          <w:highlight w:val="none"/>
        </w:rPr>
        <w:t>2.在质保期内，供应商应对货物出现的质量及安全问题负责处理解决并承担一切费用。中标人负责免费提供设备运行所需全部备件，并提供免费维修、保养服务。</w:t>
      </w:r>
    </w:p>
    <w:p w14:paraId="2AF3048C">
      <w:pPr>
        <w:autoSpaceDE w:val="0"/>
        <w:autoSpaceDN w:val="0"/>
        <w:ind w:firstLine="480"/>
        <w:jc w:val="left"/>
        <w:rPr>
          <w:rFonts w:cs="宋体"/>
          <w:kern w:val="0"/>
          <w:highlight w:val="none"/>
        </w:rPr>
      </w:pPr>
      <w:r>
        <w:rPr>
          <w:rFonts w:hint="eastAsia" w:cs="宋体"/>
          <w:kern w:val="0"/>
          <w:highlight w:val="none"/>
        </w:rPr>
        <w:t>3.质保期内，非因采购人人为原因而出现设备质量问题的，由中标人负责包修、包换或包退并承担修理、调换或退货而产生的实际费用。如因采购人使用不当造成故障的，中标人应负责修理、调换，费用另行协商。</w:t>
      </w:r>
    </w:p>
    <w:p w14:paraId="4AA32E20">
      <w:pPr>
        <w:autoSpaceDE w:val="0"/>
        <w:autoSpaceDN w:val="0"/>
        <w:ind w:firstLine="480"/>
        <w:jc w:val="left"/>
        <w:rPr>
          <w:rFonts w:cs="宋体"/>
          <w:kern w:val="0"/>
          <w:highlight w:val="none"/>
        </w:rPr>
      </w:pPr>
      <w:r>
        <w:rPr>
          <w:rFonts w:hint="eastAsia" w:cs="宋体"/>
          <w:kern w:val="0"/>
          <w:highlight w:val="none"/>
        </w:rPr>
        <w:t>4.质保期内，如故障在中标人检修3个工作日后仍无法排除的，采购人有权要求中标人在采购人指定期限内免费提供不低于故障设备规格型号档次的备用设备供采购人使用，直至故障排除。</w:t>
      </w:r>
    </w:p>
    <w:p w14:paraId="216C7C0C">
      <w:pPr>
        <w:autoSpaceDE w:val="0"/>
        <w:autoSpaceDN w:val="0"/>
        <w:ind w:firstLine="480"/>
        <w:jc w:val="left"/>
        <w:rPr>
          <w:rFonts w:cs="宋体"/>
          <w:kern w:val="0"/>
          <w:highlight w:val="none"/>
        </w:rPr>
      </w:pPr>
      <w:r>
        <w:rPr>
          <w:rFonts w:hint="eastAsia" w:cs="宋体"/>
          <w:kern w:val="0"/>
          <w:highlight w:val="none"/>
        </w:rPr>
        <w:t>5.质保期内，如中标人未按照约定履行义务的，采购人有权自行委托第三人维修，维修费用由中标人承担。如因此造成采购人损失的，中标人应当赔偿采购人的全部损失。</w:t>
      </w:r>
    </w:p>
    <w:p w14:paraId="43E0F1C7">
      <w:pPr>
        <w:autoSpaceDE w:val="0"/>
        <w:autoSpaceDN w:val="0"/>
        <w:ind w:firstLine="480"/>
        <w:jc w:val="left"/>
        <w:rPr>
          <w:rFonts w:cs="宋体"/>
          <w:kern w:val="0"/>
          <w:highlight w:val="none"/>
        </w:rPr>
      </w:pPr>
      <w:r>
        <w:rPr>
          <w:rFonts w:hint="eastAsia" w:cs="宋体"/>
          <w:kern w:val="0"/>
          <w:highlight w:val="none"/>
        </w:rPr>
        <w:t>6.质保期内出现无法排除的故障，供应商需无条件更换同型号或高于技术要求参数的产品。质保期内因不能排除的故障而影响工作的情况每发生一次，其质保期相应延长60天。</w:t>
      </w:r>
    </w:p>
    <w:p w14:paraId="1CDCA6EF">
      <w:pPr>
        <w:autoSpaceDE w:val="0"/>
        <w:autoSpaceDN w:val="0"/>
        <w:ind w:firstLine="480"/>
        <w:jc w:val="left"/>
        <w:rPr>
          <w:rFonts w:cs="宋体"/>
          <w:kern w:val="0"/>
          <w:highlight w:val="none"/>
        </w:rPr>
      </w:pPr>
      <w:r>
        <w:rPr>
          <w:rFonts w:hint="eastAsia" w:cs="宋体"/>
          <w:kern w:val="0"/>
          <w:highlight w:val="none"/>
        </w:rPr>
        <w:t>7.质保期满后，供应商继续为采购人服务，仅收取零配件成本费，所涉及软件终身免费升级。</w:t>
      </w:r>
    </w:p>
    <w:p w14:paraId="3645995C">
      <w:pPr>
        <w:ind w:firstLine="0" w:firstLineChars="0"/>
        <w:rPr>
          <w:b/>
          <w:bCs/>
          <w:highlight w:val="none"/>
        </w:rPr>
      </w:pPr>
      <w:r>
        <w:rPr>
          <w:rFonts w:hint="eastAsia"/>
          <w:b/>
          <w:bCs/>
          <w:highlight w:val="none"/>
        </w:rPr>
        <w:t>（三）验收要求</w:t>
      </w:r>
      <w:bookmarkEnd w:id="18"/>
    </w:p>
    <w:p w14:paraId="619281E7">
      <w:pPr>
        <w:ind w:firstLine="480"/>
        <w:rPr>
          <w:highlight w:val="none"/>
        </w:rPr>
      </w:pPr>
      <w:r>
        <w:rPr>
          <w:rFonts w:hint="eastAsia"/>
          <w:highlight w:val="none"/>
        </w:rPr>
        <w:t>1.验收时间：中标人在设备送达指定地点并安装调试完毕后，书面通知采购人验收。</w:t>
      </w:r>
    </w:p>
    <w:p w14:paraId="57E3ED18">
      <w:pPr>
        <w:ind w:firstLine="480"/>
        <w:rPr>
          <w:rFonts w:cs="宋体"/>
          <w:kern w:val="0"/>
          <w:highlight w:val="none"/>
        </w:rPr>
      </w:pPr>
      <w:r>
        <w:rPr>
          <w:rFonts w:hint="eastAsia"/>
          <w:highlight w:val="none"/>
        </w:rPr>
        <w:t>2.验收：根据行业相关标准及招标文件、投标文件相应技术要求，由采购人组织验收。</w:t>
      </w:r>
    </w:p>
    <w:p w14:paraId="6018A336">
      <w:pPr>
        <w:ind w:firstLine="0" w:firstLineChars="0"/>
        <w:rPr>
          <w:b/>
          <w:bCs/>
          <w:highlight w:val="none"/>
        </w:rPr>
      </w:pPr>
      <w:bookmarkStart w:id="19" w:name="_Toc1306"/>
      <w:r>
        <w:rPr>
          <w:rFonts w:hint="eastAsia"/>
          <w:b/>
          <w:bCs/>
          <w:highlight w:val="none"/>
        </w:rPr>
        <w:t>（四）</w:t>
      </w:r>
      <w:bookmarkEnd w:id="19"/>
      <w:bookmarkStart w:id="20" w:name="_Toc14890"/>
      <w:r>
        <w:rPr>
          <w:rFonts w:hint="eastAsia"/>
          <w:b/>
          <w:bCs/>
          <w:highlight w:val="none"/>
        </w:rPr>
        <w:t>送货调试安装</w:t>
      </w:r>
    </w:p>
    <w:p w14:paraId="65AD4D2C">
      <w:pPr>
        <w:ind w:firstLine="480"/>
        <w:rPr>
          <w:highlight w:val="none"/>
        </w:rPr>
      </w:pPr>
      <w:r>
        <w:rPr>
          <w:rFonts w:hint="eastAsia"/>
          <w:highlight w:val="none"/>
        </w:rPr>
        <w:t>1.供应商应按招标文件规定的货物性能、技术要求、质量标准向采购人提供未经使用的全新产品，符合国家法律法规规定和技术规格、质量标准的出厂原装合格产品。供应商应派采购人认可的有经验和能力、具有相应资质的技术人员，负责系统设备安装工作，在设备安装期间应充分了解设备安装进度要求，解决安装中出现的技术问题。</w:t>
      </w:r>
    </w:p>
    <w:p w14:paraId="2BBC7FE8">
      <w:pPr>
        <w:ind w:firstLine="480"/>
        <w:rPr>
          <w:highlight w:val="none"/>
        </w:rPr>
      </w:pPr>
      <w:r>
        <w:rPr>
          <w:rFonts w:hint="eastAsia"/>
          <w:highlight w:val="none"/>
        </w:rPr>
        <w:t>2.调试所需专用工具设施物料由供应商自备、自费运到现场，完工后自费搬走。送货、调试过程中发生的费用由中标供应商负责。</w:t>
      </w:r>
    </w:p>
    <w:p w14:paraId="54CAD63D">
      <w:pPr>
        <w:ind w:firstLine="480"/>
        <w:rPr>
          <w:highlight w:val="none"/>
        </w:rPr>
      </w:pPr>
      <w:r>
        <w:rPr>
          <w:rFonts w:hint="eastAsia"/>
          <w:highlight w:val="none"/>
        </w:rPr>
        <w:t>3.设备的拆箱、通电、调试等各项工作由供应商负责，但必须在采购人指定人员的参与下进行。在实际实施前必须先经采购人同意方可进行。调试的原始记录须经各方签字后作为验收的文件之一。</w:t>
      </w:r>
    </w:p>
    <w:bookmarkEnd w:id="20"/>
    <w:p w14:paraId="3B264946">
      <w:pPr>
        <w:ind w:firstLine="0" w:firstLineChars="0"/>
        <w:rPr>
          <w:rFonts w:cs="宋体"/>
          <w:highlight w:val="none"/>
        </w:rPr>
      </w:pPr>
      <w:bookmarkStart w:id="21" w:name="_Toc10927"/>
      <w:r>
        <w:rPr>
          <w:rFonts w:hint="eastAsia"/>
          <w:b/>
          <w:bCs/>
          <w:highlight w:val="none"/>
        </w:rPr>
        <w:t>（五）培训要求</w:t>
      </w:r>
      <w:bookmarkEnd w:id="21"/>
    </w:p>
    <w:p w14:paraId="163DA42D">
      <w:pPr>
        <w:ind w:firstLine="480"/>
        <w:rPr>
          <w:b/>
          <w:bCs/>
          <w:highlight w:val="none"/>
        </w:rPr>
      </w:pPr>
      <w:r>
        <w:rPr>
          <w:rFonts w:hint="eastAsia" w:cs="宋体"/>
          <w:highlight w:val="none"/>
        </w:rPr>
        <w:t>中标人负责对中标产品的操作培训、应用等与产品使用、维护等相关的技术问题，对采购人的操作人员、维修人员进行用户现场培训，培训内容包括硬件和软件使用；培训地点用户指定，不限制人数，可根据需要延长培训时间。培训后要求采购人相关人员达到能熟练掌握产品操作与设置等的基本原理与应用技术。投标文件中提供详细培训方案。</w:t>
      </w:r>
    </w:p>
    <w:p w14:paraId="37DB57AA">
      <w:pPr>
        <w:ind w:firstLine="0" w:firstLineChars="0"/>
        <w:rPr>
          <w:b/>
          <w:bCs/>
          <w:highlight w:val="none"/>
        </w:rPr>
      </w:pPr>
      <w:r>
        <w:rPr>
          <w:rFonts w:hint="eastAsia"/>
          <w:b/>
          <w:bCs/>
          <w:highlight w:val="none"/>
        </w:rPr>
        <w:t>（六）售后服务要求</w:t>
      </w:r>
    </w:p>
    <w:p w14:paraId="2BC42BDD">
      <w:pPr>
        <w:ind w:firstLine="480"/>
        <w:rPr>
          <w:rFonts w:cs="宋体"/>
          <w:highlight w:val="none"/>
        </w:rPr>
      </w:pPr>
      <w:r>
        <w:rPr>
          <w:rFonts w:hint="eastAsia" w:cs="宋体"/>
          <w:highlight w:val="none"/>
        </w:rPr>
        <w:t>1.质保期内出现的质量问题，中标</w:t>
      </w:r>
      <w:r>
        <w:rPr>
          <w:rFonts w:hint="eastAsia" w:cs="宋体"/>
          <w:highlight w:val="none"/>
          <w:lang w:val="en-US" w:eastAsia="zh-CN"/>
        </w:rPr>
        <w:t>人需在现场响应后</w:t>
      </w:r>
      <w:r>
        <w:rPr>
          <w:rFonts w:hint="eastAsia" w:cs="宋体"/>
          <w:highlight w:val="none"/>
        </w:rPr>
        <w:t>24小时内解决问题；如在24小时之内仍不能排除故障的，中标人应提供与原产品相同或不低于原产品档次的备用产品。故障排除后中标人应出具书面故障诊断报告备案。</w:t>
      </w:r>
    </w:p>
    <w:p w14:paraId="73342C28">
      <w:pPr>
        <w:ind w:firstLine="480"/>
        <w:rPr>
          <w:rFonts w:cs="宋体"/>
          <w:highlight w:val="none"/>
        </w:rPr>
      </w:pPr>
      <w:r>
        <w:rPr>
          <w:rFonts w:hint="eastAsia" w:cs="宋体"/>
          <w:highlight w:val="none"/>
        </w:rPr>
        <w:t>2.出现故障后，中标人如未按上述要求进行响应，采购人可以采取必要的补救措施，由此产生的风险和费用全部由中标人承担。</w:t>
      </w:r>
    </w:p>
    <w:p w14:paraId="3CF99315">
      <w:pPr>
        <w:ind w:firstLine="480"/>
        <w:rPr>
          <w:rFonts w:cs="宋体"/>
          <w:highlight w:val="none"/>
        </w:rPr>
      </w:pPr>
      <w:r>
        <w:rPr>
          <w:rFonts w:hint="eastAsia" w:cs="宋体"/>
          <w:highlight w:val="none"/>
        </w:rPr>
        <w:t>3.质保期内，除人为损坏和不可抗力外，期间所产生的任何维护或维修及更换配件的费用均由中标人承担。</w:t>
      </w:r>
    </w:p>
    <w:p w14:paraId="341E29C0">
      <w:pPr>
        <w:ind w:firstLine="480"/>
        <w:rPr>
          <w:highlight w:val="none"/>
        </w:rPr>
      </w:pPr>
      <w:r>
        <w:rPr>
          <w:rFonts w:hint="eastAsia" w:cs="宋体"/>
          <w:highlight w:val="none"/>
        </w:rPr>
        <w:t>4.质保期外，中标人仍应提供不低于质保期内水平的质量保障，相关维护费用不得超过项目采购价的5%。</w:t>
      </w:r>
    </w:p>
    <w:p w14:paraId="75D9380D">
      <w:pPr>
        <w:ind w:firstLine="0" w:firstLineChars="0"/>
        <w:rPr>
          <w:b/>
          <w:bCs/>
          <w:highlight w:val="none"/>
        </w:rPr>
      </w:pPr>
      <w:r>
        <w:rPr>
          <w:rFonts w:hint="eastAsia"/>
          <w:b/>
          <w:bCs/>
          <w:highlight w:val="none"/>
        </w:rPr>
        <w:t>五、▲商务要求</w:t>
      </w:r>
    </w:p>
    <w:p w14:paraId="368AD773">
      <w:pPr>
        <w:ind w:firstLine="0" w:firstLineChars="0"/>
        <w:rPr>
          <w:b/>
          <w:bCs/>
          <w:highlight w:val="none"/>
        </w:rPr>
      </w:pPr>
      <w:r>
        <w:rPr>
          <w:rFonts w:hint="eastAsia"/>
          <w:b/>
          <w:bCs/>
          <w:highlight w:val="none"/>
        </w:rPr>
        <w:t>（一）</w:t>
      </w:r>
      <w:bookmarkStart w:id="22" w:name="_Toc3643"/>
      <w:bookmarkStart w:id="23" w:name="_Toc14375"/>
      <w:r>
        <w:rPr>
          <w:rFonts w:hint="eastAsia"/>
          <w:b/>
          <w:bCs/>
          <w:highlight w:val="none"/>
        </w:rPr>
        <w:t>供货期限、地点</w:t>
      </w:r>
    </w:p>
    <w:p w14:paraId="1EC185B1">
      <w:pPr>
        <w:ind w:firstLine="480"/>
        <w:rPr>
          <w:rFonts w:cs="宋体"/>
          <w:highlight w:val="none"/>
        </w:rPr>
      </w:pPr>
      <w:r>
        <w:rPr>
          <w:rFonts w:hint="eastAsia"/>
          <w:highlight w:val="none"/>
        </w:rPr>
        <w:t>1.供货期限：</w:t>
      </w:r>
      <w:r>
        <w:rPr>
          <w:rFonts w:hint="eastAsia" w:cs="宋体"/>
          <w:highlight w:val="none"/>
        </w:rPr>
        <w:t>于</w:t>
      </w:r>
      <w:r>
        <w:rPr>
          <w:rFonts w:hint="eastAsia"/>
          <w:highlight w:val="none"/>
        </w:rPr>
        <w:t>2025年5月30日之前完成供货、安装、调试</w:t>
      </w:r>
      <w:r>
        <w:rPr>
          <w:rFonts w:hint="eastAsia" w:cs="宋体"/>
          <w:highlight w:val="none"/>
        </w:rPr>
        <w:t>。</w:t>
      </w:r>
    </w:p>
    <w:p w14:paraId="36C6546E">
      <w:pPr>
        <w:ind w:firstLine="480"/>
        <w:rPr>
          <w:highlight w:val="none"/>
        </w:rPr>
      </w:pPr>
      <w:r>
        <w:rPr>
          <w:rFonts w:hint="eastAsia"/>
          <w:highlight w:val="none"/>
        </w:rPr>
        <w:t>2.供货地点：招标人指定地点。</w:t>
      </w:r>
    </w:p>
    <w:bookmarkEnd w:id="22"/>
    <w:bookmarkEnd w:id="23"/>
    <w:p w14:paraId="64D9CBFC">
      <w:pPr>
        <w:ind w:firstLine="0" w:firstLineChars="0"/>
        <w:rPr>
          <w:b/>
          <w:bCs/>
          <w:color w:val="FF0000"/>
          <w:highlight w:val="none"/>
        </w:rPr>
      </w:pPr>
      <w:bookmarkStart w:id="24" w:name="_Toc32145"/>
      <w:bookmarkStart w:id="25" w:name="_Toc30601"/>
      <w:r>
        <w:rPr>
          <w:rFonts w:hint="eastAsia"/>
          <w:b/>
          <w:bCs/>
          <w:highlight w:val="none"/>
        </w:rPr>
        <w:t>（二）付款方式</w:t>
      </w:r>
    </w:p>
    <w:p w14:paraId="5FB77C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highlight w:val="none"/>
        </w:rPr>
      </w:pPr>
      <w:r>
        <w:rPr>
          <w:rFonts w:hint="eastAsia" w:cs="宋体"/>
          <w:highlight w:val="none"/>
        </w:rPr>
        <w:t>▲根据《保障中小企业款项支付条例》、省财政厅《浙江省财政厅关于进一步发挥政府采购政策功能全力推动经济稳进提质的通知》（浙财采监【2022】3号）要求，制定如下付款方式：</w:t>
      </w:r>
    </w:p>
    <w:p w14:paraId="27956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highlight w:val="none"/>
        </w:rPr>
      </w:pPr>
      <w:r>
        <w:rPr>
          <w:rFonts w:hint="eastAsia" w:cs="宋体"/>
          <w:highlight w:val="none"/>
        </w:rPr>
        <w:t>1.采购人自采购合同生效及具备实施条件后7个工作日内支付预付款，也即合同金额的40%；（注：若中标供应商明确表示无需预付款或者主动要求降低预付款比例的，采购人可不适用前述规定。）</w:t>
      </w:r>
    </w:p>
    <w:p w14:paraId="22FDFC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highlight w:val="none"/>
        </w:rPr>
      </w:pPr>
      <w:r>
        <w:rPr>
          <w:rFonts w:hint="eastAsia" w:cs="宋体"/>
          <w:highlight w:val="none"/>
        </w:rPr>
        <w:t>2.全部货物安装、组装、调试完成后进行初验，初验合格后支付</w:t>
      </w:r>
      <w:r>
        <w:rPr>
          <w:rFonts w:hint="eastAsia" w:cs="宋体"/>
          <w:highlight w:val="none"/>
          <w:lang w:val="en-US" w:eastAsia="zh-CN"/>
        </w:rPr>
        <w:t>至</w:t>
      </w:r>
      <w:r>
        <w:rPr>
          <w:rFonts w:hint="eastAsia" w:cs="宋体"/>
          <w:highlight w:val="none"/>
        </w:rPr>
        <w:t>合同金额的</w:t>
      </w:r>
      <w:r>
        <w:rPr>
          <w:rFonts w:hint="eastAsia" w:cs="宋体"/>
          <w:highlight w:val="none"/>
          <w:lang w:val="en-US" w:eastAsia="zh-CN"/>
        </w:rPr>
        <w:t>90</w:t>
      </w:r>
      <w:r>
        <w:rPr>
          <w:rFonts w:hint="eastAsia" w:cs="宋体"/>
          <w:highlight w:val="none"/>
        </w:rPr>
        <w:t>%，终验合格后支付剩余款项10%。（按实际数量结算，最高不超过合同金额）。</w:t>
      </w:r>
    </w:p>
    <w:p w14:paraId="5687C5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highlight w:val="none"/>
        </w:rPr>
      </w:pPr>
      <w:r>
        <w:rPr>
          <w:rFonts w:hint="eastAsia" w:cs="宋体"/>
          <w:highlight w:val="none"/>
        </w:rPr>
        <w:t>如遇合同期内未完成验收，中标供应商必须出具与付款金额相对应的担保措施，担保措施可以是银行、保险公司等金融机构出具的预付款保函或其他担保措施。在出具保函证明后完成余款支付。采购人在收到货物，拆包验收完毕，并出具验收报告后，办理解除担保的相关材料。</w:t>
      </w:r>
    </w:p>
    <w:p w14:paraId="2F9F3F18">
      <w:pPr>
        <w:ind w:firstLine="0" w:firstLineChars="0"/>
        <w:rPr>
          <w:b/>
          <w:bCs/>
          <w:highlight w:val="none"/>
        </w:rPr>
      </w:pPr>
      <w:r>
        <w:rPr>
          <w:rFonts w:hint="eastAsia"/>
          <w:b/>
          <w:bCs/>
          <w:highlight w:val="none"/>
        </w:rPr>
        <w:t>（三）履约保证金</w:t>
      </w:r>
    </w:p>
    <w:p w14:paraId="736AE204">
      <w:pPr>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color w:val="auto"/>
          <w:kern w:val="2"/>
          <w:sz w:val="24"/>
          <w:szCs w:val="24"/>
          <w:highlight w:val="none"/>
          <w:lang w:val="en-US" w:eastAsia="zh-CN" w:bidi="ar-SA"/>
        </w:rPr>
        <w:t>履约保证金为合同金额的1%；履约保证金形式为：中标</w:t>
      </w:r>
      <w:r>
        <w:rPr>
          <w:rFonts w:hint="eastAsia" w:ascii="宋体" w:hAnsi="宋体" w:cs="宋体"/>
          <w:b w:val="0"/>
          <w:bCs/>
          <w:color w:val="auto"/>
          <w:sz w:val="24"/>
          <w:highlight w:val="none"/>
        </w:rPr>
        <w:t>人应当以支票、汇票、本票或者金融机构、担保机构出具的保函等非现金形式提交。鼓励和支持</w:t>
      </w:r>
      <w:r>
        <w:rPr>
          <w:rFonts w:hint="eastAsia" w:asciiTheme="minorEastAsia" w:hAnsiTheme="minorEastAsia" w:eastAsiaTheme="minorEastAsia" w:cstheme="minorEastAsia"/>
          <w:color w:val="auto"/>
          <w:kern w:val="2"/>
          <w:sz w:val="24"/>
          <w:szCs w:val="24"/>
          <w:highlight w:val="none"/>
          <w:lang w:val="en-US" w:eastAsia="zh-CN" w:bidi="ar-SA"/>
        </w:rPr>
        <w:t>中标</w:t>
      </w:r>
      <w:r>
        <w:rPr>
          <w:rFonts w:hint="eastAsia" w:ascii="宋体" w:hAnsi="宋体" w:cs="宋体"/>
          <w:b w:val="0"/>
          <w:bCs/>
          <w:color w:val="auto"/>
          <w:sz w:val="24"/>
          <w:highlight w:val="none"/>
        </w:rPr>
        <w:t>人以银行、保险公司出具的保函形式提供履约保证金</w:t>
      </w:r>
      <w:r>
        <w:rPr>
          <w:rFonts w:hint="eastAsia" w:asciiTheme="minorEastAsia" w:hAnsiTheme="minorEastAsia" w:eastAsiaTheme="minorEastAsia" w:cstheme="minorEastAsia"/>
          <w:color w:val="auto"/>
          <w:kern w:val="2"/>
          <w:sz w:val="24"/>
          <w:szCs w:val="24"/>
          <w:highlight w:val="none"/>
          <w:lang w:val="en-US" w:eastAsia="zh-CN" w:bidi="ar-SA"/>
        </w:rPr>
        <w:t>；中标人应根据采购人要求汇入采购人指定账号或提供保函。合同履约完毕，履约保证金无息退还。</w:t>
      </w:r>
    </w:p>
    <w:p w14:paraId="4355531F">
      <w:pPr>
        <w:ind w:left="0" w:leftChars="0" w:firstLine="0" w:firstLineChars="0"/>
        <w:rPr>
          <w:rFonts w:cs="宋体"/>
          <w:b/>
          <w:bCs/>
          <w:kern w:val="0"/>
          <w:highlight w:val="none"/>
        </w:rPr>
      </w:pPr>
      <w:r>
        <w:rPr>
          <w:rFonts w:hint="eastAsia" w:cs="宋体"/>
          <w:b/>
          <w:bCs/>
          <w:kern w:val="0"/>
          <w:highlight w:val="none"/>
        </w:rPr>
        <w:t>（四）品牌认定</w:t>
      </w:r>
    </w:p>
    <w:p w14:paraId="2647D90C">
      <w:pPr>
        <w:ind w:firstLine="480"/>
        <w:rPr>
          <w:rFonts w:cs="宋体"/>
          <w:b/>
          <w:bCs/>
          <w:kern w:val="0"/>
          <w:highlight w:val="none"/>
        </w:rPr>
      </w:pPr>
      <w:r>
        <w:rPr>
          <w:rFonts w:hint="eastAsia" w:cs="宋体"/>
          <w:kern w:val="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8CACCE9">
      <w:pPr>
        <w:ind w:firstLine="0" w:firstLineChars="0"/>
        <w:rPr>
          <w:rFonts w:cs="宋体"/>
          <w:b/>
          <w:bCs/>
          <w:kern w:val="0"/>
          <w:highlight w:val="none"/>
        </w:rPr>
      </w:pPr>
      <w:r>
        <w:rPr>
          <w:rFonts w:hint="eastAsia" w:cs="宋体"/>
          <w:b/>
          <w:bCs/>
          <w:kern w:val="0"/>
          <w:highlight w:val="none"/>
        </w:rPr>
        <w:t>（五）政策说明</w:t>
      </w:r>
    </w:p>
    <w:p w14:paraId="03319498">
      <w:pPr>
        <w:ind w:left="0" w:leftChars="0" w:firstLine="482" w:firstLineChars="200"/>
        <w:rPr>
          <w:rFonts w:cs="宋体"/>
          <w:b/>
          <w:bCs/>
          <w:highlight w:val="none"/>
        </w:rPr>
      </w:pPr>
      <w:r>
        <w:rPr>
          <w:rFonts w:hint="eastAsia" w:cs="宋体"/>
          <w:b/>
          <w:bCs/>
          <w:kern w:val="0"/>
          <w:highlight w:val="none"/>
        </w:rPr>
        <w:t>1.本项目采购标的对应的中小企业划分标准所属行业为</w:t>
      </w:r>
      <w:r>
        <w:rPr>
          <w:rFonts w:hint="eastAsia" w:cs="宋体"/>
          <w:b/>
          <w:bCs/>
          <w:kern w:val="0"/>
          <w:highlight w:val="none"/>
          <w:u w:val="single"/>
        </w:rPr>
        <w:t>工业</w:t>
      </w:r>
      <w:r>
        <w:rPr>
          <w:rFonts w:hint="eastAsia" w:cs="宋体"/>
          <w:b/>
          <w:bCs/>
          <w:highlight w:val="none"/>
        </w:rPr>
        <w:t>。</w:t>
      </w:r>
    </w:p>
    <w:p w14:paraId="52F24B7F">
      <w:pPr>
        <w:ind w:firstLine="480"/>
        <w:rPr>
          <w:highlight w:val="none"/>
        </w:rPr>
      </w:pPr>
      <w:r>
        <w:rPr>
          <w:rFonts w:hint="eastAsia" w:cs="宋体"/>
          <w:kern w:val="0"/>
          <w:highlight w:val="none"/>
        </w:rPr>
        <w:t>2.依据《</w:t>
      </w:r>
      <w:r>
        <w:rPr>
          <w:rFonts w:hint="eastAsia" w:cs="宋体"/>
          <w:kern w:val="0"/>
          <w:highlight w:val="none"/>
          <w:lang w:eastAsia="zh-Hans"/>
        </w:rPr>
        <w:t>政府采购促进中小企业发展管理办法》</w:t>
      </w:r>
      <w:r>
        <w:rPr>
          <w:rFonts w:hint="eastAsia" w:cs="宋体"/>
          <w:kern w:val="0"/>
          <w:highlight w:val="none"/>
        </w:rPr>
        <w:t>（财库【2020】46号）规定享受扶持政策获得政府采购合同的，小微企业不得将合同分包给大中型企业，中型企业不得将合同分包给大型企业。</w:t>
      </w:r>
    </w:p>
    <w:bookmarkEnd w:id="14"/>
    <w:bookmarkEnd w:id="24"/>
    <w:bookmarkEnd w:id="25"/>
    <w:p w14:paraId="2F2DF96F">
      <w:pPr>
        <w:ind w:firstLine="0" w:firstLineChars="0"/>
        <w:rPr>
          <w:b/>
          <w:bCs/>
          <w:highlight w:val="none"/>
        </w:rPr>
      </w:pPr>
      <w:bookmarkStart w:id="26" w:name="_Toc17984"/>
      <w:r>
        <w:rPr>
          <w:rFonts w:hint="eastAsia"/>
          <w:b/>
          <w:bCs/>
          <w:highlight w:val="none"/>
        </w:rPr>
        <w:t>（六）合同履行</w:t>
      </w:r>
    </w:p>
    <w:p w14:paraId="3354F8F7">
      <w:pPr>
        <w:tabs>
          <w:tab w:val="left" w:pos="421"/>
        </w:tabs>
        <w:ind w:firstLine="480"/>
        <w:jc w:val="left"/>
        <w:rPr>
          <w:highlight w:val="none"/>
        </w:rPr>
        <w:sectPr>
          <w:pgSz w:w="11906" w:h="16838"/>
          <w:pgMar w:top="1247" w:right="1134" w:bottom="1247" w:left="1134" w:header="170" w:footer="567" w:gutter="0"/>
          <w:cols w:space="720" w:num="1"/>
          <w:docGrid w:linePitch="381" w:charSpace="0"/>
        </w:sectPr>
      </w:pPr>
      <w:r>
        <w:rPr>
          <w:rFonts w:hint="eastAsia"/>
          <w:highlight w:val="none"/>
        </w:rPr>
        <w:t>必须由投标主体履行合同。</w:t>
      </w:r>
    </w:p>
    <w:p w14:paraId="6ACFD3E4">
      <w:pPr>
        <w:pStyle w:val="3"/>
        <w:rPr>
          <w:rFonts w:cs="宋体"/>
          <w:sz w:val="36"/>
          <w:szCs w:val="36"/>
          <w:highlight w:val="none"/>
        </w:rPr>
      </w:pPr>
      <w:r>
        <w:rPr>
          <w:rFonts w:hint="eastAsia" w:cs="宋体"/>
          <w:sz w:val="36"/>
          <w:szCs w:val="36"/>
          <w:highlight w:val="none"/>
        </w:rPr>
        <w:t>第三章  投标人须知</w:t>
      </w:r>
      <w:bookmarkEnd w:id="26"/>
    </w:p>
    <w:p w14:paraId="5DF74ACF">
      <w:pPr>
        <w:pStyle w:val="4"/>
        <w:spacing w:line="240" w:lineRule="auto"/>
        <w:jc w:val="center"/>
        <w:rPr>
          <w:rFonts w:ascii="宋体" w:hAnsi="宋体" w:cs="宋体"/>
          <w:szCs w:val="28"/>
          <w:highlight w:val="none"/>
        </w:rPr>
      </w:pPr>
      <w:bookmarkStart w:id="27" w:name="_Toc452457413"/>
      <w:bookmarkStart w:id="28" w:name="_Toc2290"/>
      <w:bookmarkStart w:id="29" w:name="_Toc21699"/>
      <w:r>
        <w:rPr>
          <w:rFonts w:hint="eastAsia" w:ascii="宋体" w:hAnsi="宋体" w:cs="宋体"/>
          <w:szCs w:val="28"/>
          <w:highlight w:val="none"/>
        </w:rPr>
        <w:t>前 附 表</w:t>
      </w:r>
      <w:bookmarkEnd w:id="27"/>
      <w:bookmarkEnd w:id="28"/>
      <w:bookmarkEnd w:id="29"/>
    </w:p>
    <w:tbl>
      <w:tblPr>
        <w:tblStyle w:val="44"/>
        <w:tblW w:w="1011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991"/>
        <w:gridCol w:w="7349"/>
      </w:tblGrid>
      <w:tr w14:paraId="65BF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72" w:type="dxa"/>
            <w:vAlign w:val="center"/>
          </w:tcPr>
          <w:p w14:paraId="673D992F">
            <w:pPr>
              <w:spacing w:line="360" w:lineRule="exact"/>
              <w:ind w:firstLine="0" w:firstLineChars="0"/>
              <w:jc w:val="center"/>
              <w:rPr>
                <w:rFonts w:cs="宋体"/>
                <w:b/>
                <w:bCs/>
                <w:highlight w:val="none"/>
              </w:rPr>
            </w:pPr>
            <w:bookmarkStart w:id="30" w:name="_Toc452457414"/>
            <w:bookmarkStart w:id="31" w:name="_Toc152042305"/>
            <w:bookmarkStart w:id="32" w:name="_Toc296602420"/>
            <w:bookmarkStart w:id="33" w:name="_Toc144974497"/>
            <w:bookmarkStart w:id="34" w:name="_Toc247085689"/>
            <w:bookmarkStart w:id="35" w:name="_Toc179632546"/>
            <w:bookmarkStart w:id="36" w:name="_Toc246996918"/>
            <w:bookmarkStart w:id="37" w:name="_Toc246996175"/>
            <w:bookmarkStart w:id="38" w:name="_Toc152045529"/>
            <w:r>
              <w:rPr>
                <w:rFonts w:hint="eastAsia" w:cs="宋体"/>
                <w:b/>
                <w:bCs/>
                <w:highlight w:val="none"/>
              </w:rPr>
              <w:t>序号</w:t>
            </w:r>
          </w:p>
        </w:tc>
        <w:tc>
          <w:tcPr>
            <w:tcW w:w="1991" w:type="dxa"/>
            <w:vAlign w:val="center"/>
          </w:tcPr>
          <w:p w14:paraId="7962EC87">
            <w:pPr>
              <w:spacing w:line="360" w:lineRule="exact"/>
              <w:ind w:firstLine="0" w:firstLineChars="0"/>
              <w:jc w:val="center"/>
              <w:rPr>
                <w:rFonts w:cs="宋体"/>
                <w:b/>
                <w:bCs/>
                <w:highlight w:val="none"/>
              </w:rPr>
            </w:pPr>
            <w:r>
              <w:rPr>
                <w:rFonts w:hint="eastAsia" w:cs="宋体"/>
                <w:b/>
                <w:bCs/>
                <w:highlight w:val="none"/>
              </w:rPr>
              <w:t>事项</w:t>
            </w:r>
          </w:p>
        </w:tc>
        <w:tc>
          <w:tcPr>
            <w:tcW w:w="7349" w:type="dxa"/>
            <w:vAlign w:val="center"/>
          </w:tcPr>
          <w:p w14:paraId="60E41421">
            <w:pPr>
              <w:spacing w:line="360" w:lineRule="exact"/>
              <w:ind w:firstLine="0" w:firstLineChars="0"/>
              <w:jc w:val="center"/>
              <w:rPr>
                <w:rFonts w:cs="宋体"/>
                <w:b/>
                <w:bCs/>
                <w:highlight w:val="none"/>
              </w:rPr>
            </w:pPr>
            <w:r>
              <w:rPr>
                <w:rFonts w:hint="eastAsia" w:cs="宋体"/>
                <w:b/>
                <w:bCs/>
                <w:highlight w:val="none"/>
              </w:rPr>
              <w:t>内容</w:t>
            </w:r>
          </w:p>
        </w:tc>
      </w:tr>
      <w:tr w14:paraId="7F5D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2" w:type="dxa"/>
            <w:vAlign w:val="center"/>
          </w:tcPr>
          <w:p w14:paraId="28D65D83">
            <w:pPr>
              <w:spacing w:line="400" w:lineRule="exact"/>
              <w:ind w:firstLine="240" w:firstLineChars="100"/>
              <w:rPr>
                <w:rFonts w:cs="宋体"/>
                <w:highlight w:val="none"/>
              </w:rPr>
            </w:pPr>
            <w:r>
              <w:rPr>
                <w:rFonts w:hint="eastAsia" w:cs="宋体"/>
                <w:highlight w:val="none"/>
              </w:rPr>
              <w:t>1</w:t>
            </w:r>
          </w:p>
        </w:tc>
        <w:tc>
          <w:tcPr>
            <w:tcW w:w="1991" w:type="dxa"/>
            <w:vAlign w:val="center"/>
          </w:tcPr>
          <w:p w14:paraId="5B16C4D1">
            <w:pPr>
              <w:spacing w:line="400" w:lineRule="exact"/>
              <w:ind w:firstLine="0" w:firstLineChars="0"/>
              <w:jc w:val="center"/>
              <w:rPr>
                <w:rFonts w:cs="宋体"/>
                <w:highlight w:val="none"/>
              </w:rPr>
            </w:pPr>
            <w:r>
              <w:rPr>
                <w:rFonts w:hint="eastAsia" w:cs="宋体"/>
                <w:highlight w:val="none"/>
              </w:rPr>
              <w:t>项目概况</w:t>
            </w:r>
          </w:p>
        </w:tc>
        <w:tc>
          <w:tcPr>
            <w:tcW w:w="7349" w:type="dxa"/>
            <w:vAlign w:val="center"/>
          </w:tcPr>
          <w:p w14:paraId="3AB39BF7">
            <w:pPr>
              <w:spacing w:line="400" w:lineRule="exact"/>
              <w:ind w:firstLine="0" w:firstLineChars="0"/>
              <w:rPr>
                <w:rFonts w:cs="宋体"/>
                <w:highlight w:val="none"/>
              </w:rPr>
            </w:pPr>
            <w:r>
              <w:rPr>
                <w:rFonts w:hint="eastAsia" w:cs="宋体"/>
                <w:highlight w:val="none"/>
              </w:rPr>
              <w:t>采购人：</w:t>
            </w:r>
            <w:r>
              <w:rPr>
                <w:rStyle w:val="47"/>
                <w:rFonts w:hint="eastAsia" w:cs="宋体"/>
                <w:b w:val="0"/>
                <w:highlight w:val="none"/>
              </w:rPr>
              <w:t>湖州学院</w:t>
            </w:r>
          </w:p>
          <w:p w14:paraId="2BF22AE6">
            <w:pPr>
              <w:spacing w:line="400" w:lineRule="exact"/>
              <w:ind w:firstLine="0" w:firstLineChars="0"/>
              <w:rPr>
                <w:rFonts w:cs="宋体"/>
                <w:highlight w:val="none"/>
              </w:rPr>
            </w:pPr>
            <w:r>
              <w:rPr>
                <w:rFonts w:hint="eastAsia" w:cs="宋体"/>
                <w:highlight w:val="none"/>
              </w:rPr>
              <w:t>项目名称：湖州学院图书馆书架、桌椅采购项目</w:t>
            </w:r>
          </w:p>
          <w:p w14:paraId="4DA83F3E">
            <w:pPr>
              <w:spacing w:line="400" w:lineRule="exact"/>
              <w:ind w:firstLine="0" w:firstLineChars="0"/>
              <w:rPr>
                <w:rFonts w:cs="宋体"/>
                <w:highlight w:val="none"/>
              </w:rPr>
            </w:pPr>
            <w:r>
              <w:rPr>
                <w:rFonts w:hint="eastAsia" w:cs="宋体"/>
                <w:highlight w:val="none"/>
              </w:rPr>
              <w:t xml:space="preserve">项目编号：ZJZX-HZXY-2024003                      </w:t>
            </w:r>
          </w:p>
        </w:tc>
      </w:tr>
      <w:tr w14:paraId="20B2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72" w:type="dxa"/>
            <w:vAlign w:val="center"/>
          </w:tcPr>
          <w:p w14:paraId="1E9D6C88">
            <w:pPr>
              <w:spacing w:line="400" w:lineRule="exact"/>
              <w:ind w:firstLine="0" w:firstLineChars="0"/>
              <w:jc w:val="center"/>
              <w:rPr>
                <w:rFonts w:cs="宋体"/>
                <w:highlight w:val="none"/>
              </w:rPr>
            </w:pPr>
            <w:r>
              <w:rPr>
                <w:rFonts w:hint="eastAsia" w:cs="宋体"/>
                <w:highlight w:val="none"/>
              </w:rPr>
              <w:t>2</w:t>
            </w:r>
          </w:p>
        </w:tc>
        <w:tc>
          <w:tcPr>
            <w:tcW w:w="1991" w:type="dxa"/>
            <w:vAlign w:val="center"/>
          </w:tcPr>
          <w:p w14:paraId="4C60A46C">
            <w:pPr>
              <w:spacing w:line="400" w:lineRule="exact"/>
              <w:ind w:firstLine="0" w:firstLineChars="0"/>
              <w:jc w:val="center"/>
              <w:rPr>
                <w:rFonts w:cs="宋体"/>
                <w:highlight w:val="none"/>
              </w:rPr>
            </w:pPr>
            <w:r>
              <w:rPr>
                <w:rFonts w:hint="eastAsia" w:cs="宋体"/>
                <w:highlight w:val="none"/>
              </w:rPr>
              <w:t>采购内容</w:t>
            </w:r>
          </w:p>
        </w:tc>
        <w:tc>
          <w:tcPr>
            <w:tcW w:w="7349" w:type="dxa"/>
            <w:vAlign w:val="center"/>
          </w:tcPr>
          <w:p w14:paraId="318EB573">
            <w:pPr>
              <w:spacing w:line="400" w:lineRule="exact"/>
              <w:ind w:firstLine="0" w:firstLineChars="0"/>
              <w:rPr>
                <w:rFonts w:cs="宋体"/>
                <w:highlight w:val="none"/>
              </w:rPr>
            </w:pPr>
            <w:r>
              <w:rPr>
                <w:rFonts w:hint="eastAsia" w:cs="宋体"/>
                <w:highlight w:val="none"/>
              </w:rPr>
              <w:t>详见“第二章-采购需求”。</w:t>
            </w:r>
          </w:p>
        </w:tc>
      </w:tr>
      <w:tr w14:paraId="391D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2" w:type="dxa"/>
            <w:vAlign w:val="center"/>
          </w:tcPr>
          <w:p w14:paraId="24CB094B">
            <w:pPr>
              <w:spacing w:line="400" w:lineRule="exact"/>
              <w:ind w:firstLine="0" w:firstLineChars="0"/>
              <w:jc w:val="center"/>
              <w:rPr>
                <w:rFonts w:cs="宋体"/>
                <w:highlight w:val="none"/>
              </w:rPr>
            </w:pPr>
            <w:r>
              <w:rPr>
                <w:rFonts w:hint="eastAsia" w:cs="宋体"/>
                <w:highlight w:val="none"/>
              </w:rPr>
              <w:t>3</w:t>
            </w:r>
          </w:p>
        </w:tc>
        <w:tc>
          <w:tcPr>
            <w:tcW w:w="1991" w:type="dxa"/>
            <w:vAlign w:val="center"/>
          </w:tcPr>
          <w:p w14:paraId="7C8B8223">
            <w:pPr>
              <w:spacing w:line="400" w:lineRule="exact"/>
              <w:ind w:firstLine="0" w:firstLineChars="0"/>
              <w:jc w:val="center"/>
              <w:rPr>
                <w:rFonts w:cs="宋体"/>
                <w:highlight w:val="none"/>
              </w:rPr>
            </w:pPr>
            <w:r>
              <w:rPr>
                <w:rFonts w:hint="eastAsia" w:cs="宋体"/>
                <w:color w:val="000000"/>
                <w:highlight w:val="none"/>
              </w:rPr>
              <w:t>采购方式及评审办法</w:t>
            </w:r>
          </w:p>
        </w:tc>
        <w:tc>
          <w:tcPr>
            <w:tcW w:w="7349" w:type="dxa"/>
            <w:vAlign w:val="center"/>
          </w:tcPr>
          <w:p w14:paraId="549B0D02">
            <w:pPr>
              <w:spacing w:line="400" w:lineRule="exact"/>
              <w:ind w:firstLine="0" w:firstLineChars="0"/>
              <w:rPr>
                <w:rFonts w:cs="宋体"/>
                <w:highlight w:val="none"/>
              </w:rPr>
            </w:pPr>
            <w:r>
              <w:rPr>
                <w:rFonts w:hint="eastAsia" w:cs="宋体"/>
                <w:highlight w:val="none"/>
              </w:rPr>
              <w:t>经批准或确认的本次采购方式：公开招标</w:t>
            </w:r>
          </w:p>
          <w:p w14:paraId="1CF317B0">
            <w:pPr>
              <w:spacing w:line="400" w:lineRule="exact"/>
              <w:ind w:firstLine="0" w:firstLineChars="0"/>
              <w:rPr>
                <w:rFonts w:cs="宋体"/>
                <w:highlight w:val="none"/>
              </w:rPr>
            </w:pPr>
            <w:r>
              <w:rPr>
                <w:rFonts w:hint="eastAsia" w:cs="宋体"/>
                <w:highlight w:val="none"/>
              </w:rPr>
              <w:t xml:space="preserve">评审办法：综合评分法                                            </w:t>
            </w:r>
          </w:p>
        </w:tc>
      </w:tr>
      <w:tr w14:paraId="2C00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E6A0856">
            <w:pPr>
              <w:spacing w:line="400" w:lineRule="exact"/>
              <w:ind w:firstLine="0" w:firstLineChars="0"/>
              <w:jc w:val="center"/>
              <w:rPr>
                <w:rFonts w:cs="宋体"/>
                <w:highlight w:val="none"/>
              </w:rPr>
            </w:pPr>
            <w:r>
              <w:rPr>
                <w:rFonts w:hint="eastAsia" w:cs="宋体"/>
                <w:highlight w:val="none"/>
              </w:rPr>
              <w:t>4</w:t>
            </w:r>
          </w:p>
        </w:tc>
        <w:tc>
          <w:tcPr>
            <w:tcW w:w="1991" w:type="dxa"/>
            <w:vAlign w:val="center"/>
          </w:tcPr>
          <w:p w14:paraId="143563FD">
            <w:pPr>
              <w:spacing w:line="400" w:lineRule="exact"/>
              <w:ind w:firstLine="0" w:firstLineChars="0"/>
              <w:jc w:val="center"/>
              <w:rPr>
                <w:rFonts w:cs="宋体"/>
                <w:highlight w:val="none"/>
              </w:rPr>
            </w:pPr>
            <w:r>
              <w:rPr>
                <w:rFonts w:hint="eastAsia" w:cs="宋体"/>
                <w:highlight w:val="none"/>
              </w:rPr>
              <w:t>报价要求</w:t>
            </w:r>
          </w:p>
        </w:tc>
        <w:tc>
          <w:tcPr>
            <w:tcW w:w="7349" w:type="dxa"/>
            <w:vAlign w:val="center"/>
          </w:tcPr>
          <w:p w14:paraId="1A49E688">
            <w:pPr>
              <w:spacing w:line="400" w:lineRule="exact"/>
              <w:ind w:firstLine="0" w:firstLineChars="0"/>
              <w:rPr>
                <w:rFonts w:cs="宋体"/>
                <w:highlight w:val="none"/>
              </w:rPr>
            </w:pPr>
            <w:r>
              <w:rPr>
                <w:rFonts w:hint="eastAsia" w:cs="宋体"/>
                <w:highlight w:val="none"/>
              </w:rPr>
              <w:t>（1）</w:t>
            </w:r>
            <w:r>
              <w:rPr>
                <w:rFonts w:hint="eastAsia" w:cs="宋体"/>
                <w:highlight w:val="none"/>
                <w:lang w:val="zh-CN"/>
              </w:rPr>
              <w:t>有关本项目实施所需的所有费用（含税费）均计入报价。</w:t>
            </w:r>
          </w:p>
          <w:p w14:paraId="041A0BF4">
            <w:pPr>
              <w:spacing w:line="400" w:lineRule="exact"/>
              <w:ind w:firstLine="0" w:firstLineChars="0"/>
              <w:rPr>
                <w:rFonts w:cs="宋体"/>
                <w:highlight w:val="none"/>
              </w:rPr>
            </w:pPr>
            <w:r>
              <w:rPr>
                <w:rFonts w:hint="eastAsia" w:cs="宋体"/>
                <w:highlight w:val="none"/>
              </w:rPr>
              <w:t>（2）《开标一览表》（报价表）是报价的唯一载体。投标文件中价格全部采用人民币报价。招标文件未列明，而投标人认为必需的费用也需列入报价。</w:t>
            </w:r>
          </w:p>
          <w:p w14:paraId="4F7B5A4A">
            <w:pPr>
              <w:spacing w:line="400" w:lineRule="exact"/>
              <w:ind w:firstLine="0" w:firstLineChars="0"/>
              <w:rPr>
                <w:rFonts w:cs="宋体"/>
                <w:highlight w:val="none"/>
              </w:rPr>
            </w:pPr>
            <w:r>
              <w:rPr>
                <w:rFonts w:hint="eastAsia" w:cs="宋体"/>
                <w:highlight w:val="none"/>
              </w:rPr>
              <w:t>（3）投标报价出现下列情形的，投标无效：</w:t>
            </w:r>
          </w:p>
          <w:p w14:paraId="021D2FB2">
            <w:pPr>
              <w:spacing w:line="400" w:lineRule="exact"/>
              <w:ind w:firstLine="480"/>
              <w:rPr>
                <w:rFonts w:cs="宋体"/>
                <w:highlight w:val="none"/>
              </w:rPr>
            </w:pPr>
            <w:r>
              <w:rPr>
                <w:rFonts w:hint="eastAsia" w:cs="宋体"/>
                <w:highlight w:val="none"/>
              </w:rPr>
              <w:t>▲投标文件出现不是唯一的、有选择性投标报价的；</w:t>
            </w:r>
          </w:p>
          <w:p w14:paraId="1D6F9E86">
            <w:pPr>
              <w:spacing w:line="400" w:lineRule="exact"/>
              <w:ind w:firstLine="480"/>
              <w:rPr>
                <w:rFonts w:cs="宋体"/>
                <w:highlight w:val="none"/>
              </w:rPr>
            </w:pPr>
            <w:r>
              <w:rPr>
                <w:rFonts w:hint="eastAsia" w:cs="宋体"/>
                <w:highlight w:val="none"/>
              </w:rPr>
              <w:t>▲</w:t>
            </w:r>
            <w:r>
              <w:rPr>
                <w:rFonts w:hint="eastAsia" w:cs="宋体"/>
                <w:highlight w:val="none"/>
                <w:lang w:val="zh-CN"/>
              </w:rPr>
              <w:t>投标报价超过招标文件中规定的预算金额或者最高限价（</w:t>
            </w:r>
            <w:r>
              <w:rPr>
                <w:rFonts w:hint="eastAsia" w:cs="宋体"/>
                <w:highlight w:val="none"/>
              </w:rPr>
              <w:t>含单价最高限价）</w:t>
            </w:r>
            <w:r>
              <w:rPr>
                <w:rFonts w:hint="eastAsia" w:cs="宋体"/>
                <w:highlight w:val="none"/>
                <w:lang w:val="zh-CN"/>
              </w:rPr>
              <w:t>的</w:t>
            </w:r>
            <w:r>
              <w:rPr>
                <w:rFonts w:hint="eastAsia" w:cs="宋体"/>
                <w:highlight w:val="none"/>
              </w:rPr>
              <w:t>；</w:t>
            </w:r>
          </w:p>
          <w:p w14:paraId="6338737C">
            <w:pPr>
              <w:spacing w:line="400" w:lineRule="exact"/>
              <w:ind w:firstLine="480"/>
              <w:rPr>
                <w:rFonts w:cs="宋体"/>
                <w:highlight w:val="none"/>
              </w:rPr>
            </w:pPr>
            <w:r>
              <w:rPr>
                <w:rFonts w:hint="eastAsia" w:cs="宋体"/>
                <w:highlight w:val="none"/>
              </w:rPr>
              <w:t>▲报价明显低于其他通过符合性审查投标人的报价，有可能影响产品质量或者不能诚信履约的，未能按要求提供书面说明或者提交相关证明材料证明其报价合理性的；</w:t>
            </w:r>
          </w:p>
          <w:p w14:paraId="285F05CD">
            <w:pPr>
              <w:spacing w:line="400" w:lineRule="exact"/>
              <w:ind w:firstLine="480"/>
              <w:rPr>
                <w:rFonts w:cs="宋体"/>
                <w:highlight w:val="none"/>
              </w:rPr>
            </w:pPr>
            <w:r>
              <w:rPr>
                <w:rFonts w:hint="eastAsia" w:cs="宋体"/>
                <w:highlight w:val="none"/>
              </w:rPr>
              <w:t>▲投标人对根据修正原则修正后的报价不确认的。</w:t>
            </w:r>
          </w:p>
        </w:tc>
      </w:tr>
      <w:tr w14:paraId="75C0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72" w:type="dxa"/>
            <w:vAlign w:val="center"/>
          </w:tcPr>
          <w:p w14:paraId="3A99E73C">
            <w:pPr>
              <w:spacing w:line="400" w:lineRule="exact"/>
              <w:ind w:firstLine="0" w:firstLineChars="0"/>
              <w:jc w:val="center"/>
              <w:rPr>
                <w:rFonts w:cs="宋体"/>
                <w:highlight w:val="none"/>
              </w:rPr>
            </w:pPr>
            <w:r>
              <w:rPr>
                <w:rFonts w:hint="eastAsia" w:cs="宋体"/>
                <w:highlight w:val="none"/>
              </w:rPr>
              <w:t>5</w:t>
            </w:r>
          </w:p>
        </w:tc>
        <w:tc>
          <w:tcPr>
            <w:tcW w:w="1991" w:type="dxa"/>
            <w:vAlign w:val="center"/>
          </w:tcPr>
          <w:p w14:paraId="6849FD00">
            <w:pPr>
              <w:spacing w:line="400" w:lineRule="exact"/>
              <w:ind w:firstLine="0" w:firstLineChars="0"/>
              <w:jc w:val="center"/>
              <w:rPr>
                <w:rFonts w:cs="宋体"/>
                <w:highlight w:val="none"/>
              </w:rPr>
            </w:pPr>
            <w:r>
              <w:rPr>
                <w:rFonts w:hint="eastAsia" w:cs="宋体"/>
                <w:highlight w:val="none"/>
              </w:rPr>
              <w:t>预算金额</w:t>
            </w:r>
          </w:p>
        </w:tc>
        <w:tc>
          <w:tcPr>
            <w:tcW w:w="7349" w:type="dxa"/>
            <w:vAlign w:val="center"/>
          </w:tcPr>
          <w:p w14:paraId="5BF202CA">
            <w:pPr>
              <w:spacing w:line="400" w:lineRule="exact"/>
              <w:ind w:firstLine="0" w:firstLineChars="0"/>
              <w:rPr>
                <w:rFonts w:cs="宋体"/>
                <w:highlight w:val="none"/>
              </w:rPr>
            </w:pPr>
            <w:r>
              <w:rPr>
                <w:rFonts w:hint="eastAsia" w:cs="宋体"/>
                <w:highlight w:val="none"/>
              </w:rPr>
              <w:t>标项一：2365410元；标项二：1560000元；标项三：860005.5元；标项四：69994.5元</w:t>
            </w:r>
          </w:p>
        </w:tc>
      </w:tr>
      <w:tr w14:paraId="56DA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72" w:type="dxa"/>
            <w:vAlign w:val="center"/>
          </w:tcPr>
          <w:p w14:paraId="4B5F3F00">
            <w:pPr>
              <w:spacing w:line="400" w:lineRule="exact"/>
              <w:ind w:firstLine="0" w:firstLineChars="0"/>
              <w:jc w:val="center"/>
              <w:rPr>
                <w:rFonts w:cs="宋体"/>
                <w:highlight w:val="none"/>
              </w:rPr>
            </w:pPr>
            <w:r>
              <w:rPr>
                <w:rFonts w:hint="eastAsia" w:cs="宋体"/>
                <w:highlight w:val="none"/>
              </w:rPr>
              <w:t>6</w:t>
            </w:r>
          </w:p>
        </w:tc>
        <w:tc>
          <w:tcPr>
            <w:tcW w:w="1991" w:type="dxa"/>
            <w:vAlign w:val="center"/>
          </w:tcPr>
          <w:p w14:paraId="31CACD38">
            <w:pPr>
              <w:spacing w:line="400" w:lineRule="exact"/>
              <w:ind w:firstLine="0" w:firstLineChars="0"/>
              <w:jc w:val="center"/>
              <w:rPr>
                <w:rFonts w:cs="宋体"/>
                <w:b/>
                <w:highlight w:val="none"/>
              </w:rPr>
            </w:pPr>
            <w:r>
              <w:rPr>
                <w:rFonts w:hint="eastAsia" w:cs="宋体"/>
                <w:highlight w:val="none"/>
              </w:rPr>
              <w:t>信息公告及评标结果公告媒体</w:t>
            </w:r>
          </w:p>
        </w:tc>
        <w:tc>
          <w:tcPr>
            <w:tcW w:w="7349" w:type="dxa"/>
            <w:vAlign w:val="center"/>
          </w:tcPr>
          <w:p w14:paraId="461DCFA5">
            <w:pPr>
              <w:spacing w:line="400" w:lineRule="exact"/>
              <w:ind w:firstLine="0" w:firstLineChars="0"/>
              <w:rPr>
                <w:highlight w:val="none"/>
              </w:rPr>
            </w:pPr>
            <w:r>
              <w:rPr>
                <w:rFonts w:hint="eastAsia" w:cs="宋体"/>
                <w:highlight w:val="none"/>
              </w:rPr>
              <w:t>浙江政府采购网：</w:t>
            </w:r>
            <w:r>
              <w:rPr>
                <w:highlight w:val="none"/>
              </w:rPr>
              <w:fldChar w:fldCharType="begin"/>
            </w:r>
            <w:r>
              <w:rPr>
                <w:highlight w:val="none"/>
              </w:rPr>
              <w:instrText xml:space="preserve"> HYPERLINK "http://zfcg.czt.zj.gov.cn/" </w:instrText>
            </w:r>
            <w:r>
              <w:rPr>
                <w:highlight w:val="none"/>
              </w:rPr>
              <w:fldChar w:fldCharType="separate"/>
            </w:r>
            <w:r>
              <w:rPr>
                <w:rStyle w:val="52"/>
                <w:rFonts w:hint="eastAsia" w:ascii="宋体" w:hAnsi="宋体" w:cs="宋体"/>
                <w:highlight w:val="none"/>
              </w:rPr>
              <w:t>http://zfcg.czt.zj.gov.cn/</w:t>
            </w:r>
            <w:r>
              <w:rPr>
                <w:rStyle w:val="52"/>
                <w:rFonts w:hint="eastAsia" w:ascii="宋体" w:hAnsi="宋体" w:cs="宋体"/>
                <w:highlight w:val="none"/>
              </w:rPr>
              <w:fldChar w:fldCharType="end"/>
            </w:r>
          </w:p>
        </w:tc>
      </w:tr>
      <w:tr w14:paraId="6C24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9235BF3">
            <w:pPr>
              <w:spacing w:line="400" w:lineRule="exact"/>
              <w:ind w:firstLine="0" w:firstLineChars="0"/>
              <w:jc w:val="center"/>
              <w:rPr>
                <w:rFonts w:cs="宋体"/>
                <w:highlight w:val="none"/>
              </w:rPr>
            </w:pPr>
            <w:r>
              <w:rPr>
                <w:rFonts w:hint="eastAsia" w:cs="宋体"/>
                <w:highlight w:val="none"/>
              </w:rPr>
              <w:t>7</w:t>
            </w:r>
          </w:p>
        </w:tc>
        <w:tc>
          <w:tcPr>
            <w:tcW w:w="1991" w:type="dxa"/>
            <w:vAlign w:val="center"/>
          </w:tcPr>
          <w:p w14:paraId="48CA3E9C">
            <w:pPr>
              <w:spacing w:line="400" w:lineRule="exact"/>
              <w:ind w:firstLine="0" w:firstLineChars="0"/>
              <w:jc w:val="center"/>
              <w:rPr>
                <w:rFonts w:cs="宋体"/>
                <w:highlight w:val="none"/>
              </w:rPr>
            </w:pPr>
            <w:r>
              <w:rPr>
                <w:rFonts w:hint="eastAsia" w:cs="宋体"/>
                <w:highlight w:val="none"/>
              </w:rPr>
              <w:t>转包或分包</w:t>
            </w:r>
          </w:p>
        </w:tc>
        <w:tc>
          <w:tcPr>
            <w:tcW w:w="7349" w:type="dxa"/>
            <w:vAlign w:val="center"/>
          </w:tcPr>
          <w:p w14:paraId="6BC90483">
            <w:pPr>
              <w:numPr>
                <w:ilvl w:val="0"/>
                <w:numId w:val="10"/>
              </w:numPr>
              <w:spacing w:line="400" w:lineRule="exact"/>
              <w:ind w:firstLine="0" w:firstLineChars="0"/>
              <w:rPr>
                <w:rFonts w:cs="宋体"/>
                <w:highlight w:val="none"/>
              </w:rPr>
            </w:pPr>
            <w:r>
              <w:rPr>
                <w:rFonts w:hint="eastAsia" w:cs="宋体"/>
                <w:highlight w:val="none"/>
              </w:rPr>
              <w:t>本项目不允许转包。</w:t>
            </w:r>
          </w:p>
          <w:p w14:paraId="08FEBD1D">
            <w:pPr>
              <w:spacing w:line="400" w:lineRule="exact"/>
              <w:ind w:firstLine="0" w:firstLineChars="0"/>
              <w:rPr>
                <w:rFonts w:cs="宋体"/>
                <w:highlight w:val="none"/>
              </w:rPr>
            </w:pPr>
            <w:r>
              <w:rPr>
                <w:rFonts w:hint="eastAsia" w:cs="宋体"/>
                <w:highlight w:val="none"/>
              </w:rPr>
              <w:t>（2）本项目不允许分包。</w:t>
            </w:r>
          </w:p>
        </w:tc>
      </w:tr>
      <w:tr w14:paraId="1890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772" w:type="dxa"/>
            <w:vAlign w:val="center"/>
          </w:tcPr>
          <w:p w14:paraId="55C386D3">
            <w:pPr>
              <w:spacing w:line="400" w:lineRule="exact"/>
              <w:ind w:firstLine="0" w:firstLineChars="0"/>
              <w:jc w:val="center"/>
              <w:rPr>
                <w:rFonts w:cs="宋体"/>
                <w:highlight w:val="none"/>
              </w:rPr>
            </w:pPr>
            <w:r>
              <w:rPr>
                <w:rFonts w:hint="eastAsia" w:cs="宋体"/>
                <w:highlight w:val="none"/>
              </w:rPr>
              <w:t>8</w:t>
            </w:r>
          </w:p>
        </w:tc>
        <w:tc>
          <w:tcPr>
            <w:tcW w:w="1991" w:type="dxa"/>
            <w:vAlign w:val="center"/>
          </w:tcPr>
          <w:p w14:paraId="017DD0CE">
            <w:pPr>
              <w:spacing w:line="400" w:lineRule="exact"/>
              <w:ind w:firstLine="0" w:firstLineChars="0"/>
              <w:jc w:val="center"/>
              <w:rPr>
                <w:rFonts w:cs="宋体"/>
                <w:highlight w:val="none"/>
              </w:rPr>
            </w:pPr>
            <w:r>
              <w:rPr>
                <w:rFonts w:hint="eastAsia" w:cs="宋体"/>
                <w:highlight w:val="none"/>
              </w:rPr>
              <w:t>投标人应当提交的投标文件</w:t>
            </w:r>
          </w:p>
        </w:tc>
        <w:tc>
          <w:tcPr>
            <w:tcW w:w="7349" w:type="dxa"/>
            <w:vAlign w:val="center"/>
          </w:tcPr>
          <w:p w14:paraId="6FC18638">
            <w:pPr>
              <w:spacing w:line="400" w:lineRule="exact"/>
              <w:ind w:firstLine="0" w:firstLineChars="0"/>
              <w:rPr>
                <w:rFonts w:cs="宋体"/>
                <w:highlight w:val="none"/>
              </w:rPr>
            </w:pPr>
            <w:r>
              <w:rPr>
                <w:rFonts w:hint="eastAsia" w:cs="宋体"/>
                <w:highlight w:val="none"/>
              </w:rPr>
              <w:t>投标文件由《资格文件》、《商务技术文件》、《报价文件》三部分组成：详见本章“第三节-投标文件的编制”。</w:t>
            </w:r>
          </w:p>
          <w:p w14:paraId="22734E62">
            <w:pPr>
              <w:spacing w:line="400" w:lineRule="exact"/>
              <w:ind w:firstLine="0" w:firstLineChars="0"/>
              <w:rPr>
                <w:rFonts w:cs="宋体"/>
                <w:highlight w:val="none"/>
              </w:rPr>
            </w:pPr>
            <w:r>
              <w:rPr>
                <w:rFonts w:hint="eastAsia" w:cs="宋体"/>
                <w:highlight w:val="none"/>
              </w:rPr>
              <w:t>▲投标人未提供有效的资格证明文件的，视为投标人不具备招标文件中规定的资格要求，投标无效。</w:t>
            </w:r>
          </w:p>
        </w:tc>
      </w:tr>
      <w:tr w14:paraId="307E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772" w:type="dxa"/>
            <w:vAlign w:val="center"/>
          </w:tcPr>
          <w:p w14:paraId="42605831">
            <w:pPr>
              <w:spacing w:line="360" w:lineRule="exact"/>
              <w:ind w:firstLine="0" w:firstLineChars="0"/>
              <w:jc w:val="center"/>
              <w:rPr>
                <w:rFonts w:cs="宋体"/>
                <w:highlight w:val="none"/>
              </w:rPr>
            </w:pPr>
            <w:r>
              <w:rPr>
                <w:rFonts w:hint="eastAsia" w:cs="宋体"/>
                <w:highlight w:val="none"/>
              </w:rPr>
              <w:t>9</w:t>
            </w:r>
          </w:p>
        </w:tc>
        <w:tc>
          <w:tcPr>
            <w:tcW w:w="1991" w:type="dxa"/>
            <w:vAlign w:val="center"/>
          </w:tcPr>
          <w:p w14:paraId="034457DE">
            <w:pPr>
              <w:spacing w:line="360" w:lineRule="exact"/>
              <w:ind w:firstLine="0" w:firstLineChars="0"/>
              <w:jc w:val="center"/>
              <w:rPr>
                <w:rFonts w:cs="宋体"/>
                <w:highlight w:val="none"/>
              </w:rPr>
            </w:pPr>
            <w:r>
              <w:rPr>
                <w:rFonts w:hint="eastAsia" w:cs="宋体"/>
                <w:highlight w:val="none"/>
              </w:rPr>
              <w:t>投标文件形式</w:t>
            </w:r>
          </w:p>
        </w:tc>
        <w:tc>
          <w:tcPr>
            <w:tcW w:w="7349" w:type="dxa"/>
            <w:vAlign w:val="center"/>
          </w:tcPr>
          <w:p w14:paraId="534F5A1C">
            <w:pPr>
              <w:spacing w:line="360" w:lineRule="exact"/>
              <w:ind w:firstLine="0" w:firstLineChars="0"/>
              <w:rPr>
                <w:rFonts w:cs="宋体"/>
                <w:szCs w:val="21"/>
                <w:highlight w:val="none"/>
              </w:rPr>
            </w:pPr>
            <w:r>
              <w:rPr>
                <w:rFonts w:hint="eastAsia" w:cs="宋体"/>
                <w:szCs w:val="21"/>
                <w:highlight w:val="none"/>
              </w:rPr>
              <w:t>本项目实行电子投标。</w:t>
            </w:r>
          </w:p>
          <w:p w14:paraId="32D5ED87">
            <w:pPr>
              <w:spacing w:line="360" w:lineRule="exact"/>
              <w:ind w:firstLine="0" w:firstLineChars="0"/>
              <w:rPr>
                <w:rFonts w:cs="宋体"/>
                <w:szCs w:val="21"/>
                <w:highlight w:val="none"/>
              </w:rPr>
            </w:pPr>
            <w:r>
              <w:rPr>
                <w:rFonts w:hint="eastAsia" w:cs="宋体"/>
                <w:szCs w:val="21"/>
                <w:highlight w:val="none"/>
              </w:rPr>
              <w:t>供应商应准备两种形式的投标文件：电子加密投标文件、以介质存储的数据电文形式的备份投标文件。</w:t>
            </w:r>
          </w:p>
          <w:p w14:paraId="659152FE">
            <w:pPr>
              <w:spacing w:line="360" w:lineRule="exact"/>
              <w:ind w:firstLine="0" w:firstLineChars="0"/>
              <w:rPr>
                <w:rFonts w:cs="宋体"/>
                <w:szCs w:val="21"/>
                <w:highlight w:val="none"/>
              </w:rPr>
            </w:pPr>
            <w:r>
              <w:rPr>
                <w:rFonts w:hint="eastAsia" w:cs="宋体"/>
                <w:szCs w:val="21"/>
                <w:highlight w:val="none"/>
              </w:rPr>
              <w:t>（1）“电子加密投标文件”是指通过“政采云电子交易客户端”完成投标文件编制后生成并加密的数据电文形式的投标文件（后缀格式为.jmbs）</w:t>
            </w:r>
          </w:p>
          <w:p w14:paraId="0E022595">
            <w:pPr>
              <w:spacing w:line="360" w:lineRule="exact"/>
              <w:ind w:firstLine="0" w:firstLineChars="0"/>
              <w:rPr>
                <w:rFonts w:cs="宋体"/>
                <w:szCs w:val="21"/>
                <w:highlight w:val="none"/>
              </w:rPr>
            </w:pPr>
            <w:r>
              <w:rPr>
                <w:rFonts w:hint="eastAsia" w:cs="宋体"/>
                <w:szCs w:val="21"/>
                <w:highlight w:val="none"/>
              </w:rPr>
              <w:t>（2）“备份投标文件”是指与“电子加密投标文件”同时生成的数据电文形式的电子文件（备份投标文件，用于供应商电子加密投标文件解密异常时应急使用），其他方式编制的备份投标文件视为无效备份投标文件。备份投标文件（后缀格式为.bfbs）以U盘形式提供。</w:t>
            </w:r>
          </w:p>
          <w:p w14:paraId="7464ED8C">
            <w:pPr>
              <w:spacing w:line="360" w:lineRule="exact"/>
              <w:ind w:firstLine="0" w:firstLineChars="0"/>
              <w:rPr>
                <w:rFonts w:cs="宋体"/>
                <w:highlight w:val="none"/>
              </w:rPr>
            </w:pPr>
            <w:r>
              <w:rPr>
                <w:rFonts w:hint="eastAsia" w:cs="宋体"/>
                <w:b/>
                <w:highlight w:val="none"/>
              </w:rPr>
              <w:t>招标人、招标代理机构不强制或变相强制投标人提交备份投标文件。</w:t>
            </w:r>
          </w:p>
        </w:tc>
      </w:tr>
      <w:tr w14:paraId="3200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772" w:type="dxa"/>
            <w:vAlign w:val="center"/>
          </w:tcPr>
          <w:p w14:paraId="033517F2">
            <w:pPr>
              <w:spacing w:line="360" w:lineRule="exact"/>
              <w:ind w:firstLine="0" w:firstLineChars="0"/>
              <w:jc w:val="center"/>
              <w:rPr>
                <w:rFonts w:cs="宋体"/>
                <w:highlight w:val="none"/>
              </w:rPr>
            </w:pPr>
            <w:r>
              <w:rPr>
                <w:rFonts w:hint="eastAsia" w:cs="宋体"/>
                <w:highlight w:val="none"/>
              </w:rPr>
              <w:t>10</w:t>
            </w:r>
          </w:p>
        </w:tc>
        <w:tc>
          <w:tcPr>
            <w:tcW w:w="1991" w:type="dxa"/>
            <w:vAlign w:val="center"/>
          </w:tcPr>
          <w:p w14:paraId="2EFA0F4C">
            <w:pPr>
              <w:spacing w:line="360" w:lineRule="exact"/>
              <w:ind w:firstLine="0" w:firstLineChars="0"/>
              <w:jc w:val="center"/>
              <w:rPr>
                <w:rFonts w:cs="宋体"/>
                <w:highlight w:val="none"/>
              </w:rPr>
            </w:pPr>
            <w:r>
              <w:rPr>
                <w:rFonts w:hint="eastAsia" w:cs="宋体"/>
                <w:szCs w:val="21"/>
                <w:highlight w:val="none"/>
              </w:rPr>
              <w:t>投标文件的上传和提交</w:t>
            </w:r>
          </w:p>
        </w:tc>
        <w:tc>
          <w:tcPr>
            <w:tcW w:w="7349" w:type="dxa"/>
            <w:vAlign w:val="center"/>
          </w:tcPr>
          <w:p w14:paraId="550DEE57">
            <w:pPr>
              <w:spacing w:line="360" w:lineRule="exact"/>
              <w:ind w:firstLine="0" w:firstLineChars="0"/>
              <w:rPr>
                <w:highlight w:val="none"/>
              </w:rPr>
            </w:pPr>
            <w:r>
              <w:rPr>
                <w:rFonts w:hint="eastAsia"/>
                <w:highlight w:val="none"/>
              </w:rPr>
              <w:t>（1）电子加密投标文件：投标文件制作完成并生成加密文件，在投标截止时间前，供应商需将加密的投标文件上传至浙江政府采购网，到达开标时间后，进行解密。</w:t>
            </w:r>
          </w:p>
          <w:p w14:paraId="57DDBE41">
            <w:pPr>
              <w:spacing w:line="360" w:lineRule="exact"/>
              <w:ind w:firstLine="0" w:firstLineChars="0"/>
              <w:rPr>
                <w:highlight w:val="none"/>
              </w:rPr>
            </w:pPr>
            <w:r>
              <w:rPr>
                <w:rFonts w:hint="eastAsia"/>
                <w:highlight w:val="none"/>
              </w:rPr>
              <w:t>供应商未在投标截止时间前成功上传电子加密投标文件的投标无效。</w:t>
            </w:r>
          </w:p>
          <w:p w14:paraId="52C6146A">
            <w:pPr>
              <w:spacing w:line="360" w:lineRule="exact"/>
              <w:ind w:firstLine="0" w:firstLineChars="0"/>
              <w:rPr>
                <w:highlight w:val="none"/>
              </w:rPr>
            </w:pPr>
            <w:r>
              <w:rPr>
                <w:rFonts w:hint="eastAsia"/>
                <w:highlight w:val="none"/>
              </w:rPr>
              <w:t>（2）备份投标文件：投标截止时间前1天，供应商应将备份投标文件递交至代理机构，以便电子加密投标文件解密异常时应急使用。</w:t>
            </w:r>
          </w:p>
          <w:p w14:paraId="2D435506">
            <w:pPr>
              <w:spacing w:line="360" w:lineRule="exact"/>
              <w:ind w:firstLine="0" w:firstLineChars="0"/>
              <w:rPr>
                <w:highlight w:val="none"/>
              </w:rPr>
            </w:pPr>
            <w:r>
              <w:rPr>
                <w:rFonts w:hint="eastAsia"/>
                <w:highlight w:val="none"/>
              </w:rPr>
              <w:t>备份投标文件递交要求：供应商须将备份投标文件以U盘形式单独放在密封袋中，密封后并在密封袋上注明投标项目名称、投标单位名称并加盖公章。未密封包装或逾期送达的“备份投标文件”将不予接收。</w:t>
            </w:r>
          </w:p>
          <w:p w14:paraId="608E2568">
            <w:pPr>
              <w:spacing w:line="360" w:lineRule="exact"/>
              <w:ind w:firstLine="0" w:firstLineChars="0"/>
              <w:rPr>
                <w:highlight w:val="none"/>
              </w:rPr>
            </w:pPr>
            <w:r>
              <w:rPr>
                <w:rFonts w:hint="eastAsia"/>
                <w:highlight w:val="none"/>
              </w:rPr>
              <w:t>地址：湖州市康山街道嘉年华国际广场C座C1805室</w:t>
            </w:r>
          </w:p>
          <w:p w14:paraId="68599088">
            <w:pPr>
              <w:spacing w:line="360" w:lineRule="exact"/>
              <w:ind w:firstLine="0" w:firstLineChars="0"/>
              <w:rPr>
                <w:highlight w:val="none"/>
              </w:rPr>
            </w:pPr>
            <w:r>
              <w:rPr>
                <w:rFonts w:hint="eastAsia"/>
                <w:highlight w:val="none"/>
              </w:rPr>
              <w:t>收件人：徐工/18767608890</w:t>
            </w:r>
          </w:p>
        </w:tc>
      </w:tr>
      <w:tr w14:paraId="6FCB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772" w:type="dxa"/>
            <w:vAlign w:val="center"/>
          </w:tcPr>
          <w:p w14:paraId="64CDC485">
            <w:pPr>
              <w:spacing w:line="360" w:lineRule="exact"/>
              <w:ind w:firstLine="0" w:firstLineChars="0"/>
              <w:jc w:val="center"/>
              <w:rPr>
                <w:rFonts w:cs="宋体"/>
                <w:highlight w:val="none"/>
              </w:rPr>
            </w:pPr>
            <w:r>
              <w:rPr>
                <w:rFonts w:hint="eastAsia" w:cs="宋体"/>
                <w:highlight w:val="none"/>
              </w:rPr>
              <w:t>11</w:t>
            </w:r>
          </w:p>
        </w:tc>
        <w:tc>
          <w:tcPr>
            <w:tcW w:w="1991" w:type="dxa"/>
            <w:vAlign w:val="center"/>
          </w:tcPr>
          <w:p w14:paraId="292859B4">
            <w:pPr>
              <w:spacing w:line="360" w:lineRule="exact"/>
              <w:ind w:firstLine="0" w:firstLineChars="0"/>
              <w:jc w:val="center"/>
              <w:rPr>
                <w:rFonts w:cs="宋体"/>
                <w:szCs w:val="21"/>
                <w:highlight w:val="none"/>
              </w:rPr>
            </w:pPr>
            <w:r>
              <w:rPr>
                <w:rFonts w:hint="eastAsia" w:cs="宋体"/>
                <w:bCs/>
                <w:szCs w:val="21"/>
                <w:highlight w:val="none"/>
              </w:rPr>
              <w:t>电子加密投标文件的解密和异常情况处理</w:t>
            </w:r>
          </w:p>
        </w:tc>
        <w:tc>
          <w:tcPr>
            <w:tcW w:w="7349" w:type="dxa"/>
            <w:vAlign w:val="center"/>
          </w:tcPr>
          <w:p w14:paraId="3BD791F1">
            <w:pPr>
              <w:spacing w:line="360" w:lineRule="exact"/>
              <w:ind w:firstLine="0" w:firstLineChars="0"/>
              <w:rPr>
                <w:rFonts w:cs="宋体"/>
                <w:highlight w:val="none"/>
              </w:rPr>
            </w:pPr>
            <w:r>
              <w:rPr>
                <w:rFonts w:hint="eastAsia" w:cs="宋体"/>
                <w:highlight w:val="none"/>
              </w:rPr>
              <w:t>（1）开标后，采购组织机构将向各投标供应商发出“电子加密投标文件”的解密通知，各投标供应商代表应当在接到解密通知后30分钟内自行完成“电子加密投标文件”的在线解密。</w:t>
            </w:r>
          </w:p>
          <w:p w14:paraId="3CD3862C">
            <w:pPr>
              <w:spacing w:line="360" w:lineRule="exact"/>
              <w:ind w:firstLine="0" w:firstLineChars="0"/>
              <w:rPr>
                <w:rFonts w:cs="宋体"/>
                <w:highlight w:val="none"/>
              </w:rPr>
            </w:pPr>
            <w:r>
              <w:rPr>
                <w:rFonts w:hint="eastAsia" w:cs="宋体"/>
                <w:highlight w:val="none"/>
              </w:rPr>
              <w:t>（2）通过“政采云平台”成功上传递交的“电子加密投标文件”无法按时解密，投标供应商如按规定递交了“备份投标文件”的，以“备份投标文件”为依据（由采购组织机构按“政采云平台”操作规范将“备份投标文件”上传至“政采云平台”，上传成功后，“电子加密投标文件”自动失效），否则视为投标无效。</w:t>
            </w:r>
          </w:p>
          <w:p w14:paraId="7200F934">
            <w:pPr>
              <w:spacing w:line="360" w:lineRule="exact"/>
              <w:ind w:firstLine="0" w:firstLineChars="0"/>
              <w:rPr>
                <w:rFonts w:cs="宋体"/>
                <w:highlight w:val="none"/>
              </w:rPr>
            </w:pPr>
            <w:r>
              <w:rPr>
                <w:rFonts w:hint="eastAsia" w:cs="宋体"/>
                <w:highlight w:val="none"/>
              </w:rPr>
              <w:t>（3）投标截止时间前，投标供应商仅递交了“备份投标文件”而未将电子加密投标文件上传至“政采云平台”的，投标无效。</w:t>
            </w:r>
          </w:p>
        </w:tc>
      </w:tr>
      <w:tr w14:paraId="4612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72" w:type="dxa"/>
            <w:vAlign w:val="center"/>
          </w:tcPr>
          <w:p w14:paraId="097AFAD0">
            <w:pPr>
              <w:spacing w:line="360" w:lineRule="exact"/>
              <w:ind w:firstLine="0" w:firstLineChars="0"/>
              <w:jc w:val="center"/>
              <w:rPr>
                <w:rFonts w:cs="宋体"/>
                <w:highlight w:val="none"/>
              </w:rPr>
            </w:pPr>
            <w:r>
              <w:rPr>
                <w:rFonts w:hint="eastAsia" w:cs="宋体"/>
                <w:highlight w:val="none"/>
              </w:rPr>
              <w:t>12</w:t>
            </w:r>
          </w:p>
        </w:tc>
        <w:tc>
          <w:tcPr>
            <w:tcW w:w="1991" w:type="dxa"/>
            <w:vAlign w:val="center"/>
          </w:tcPr>
          <w:p w14:paraId="2F3B977C">
            <w:pPr>
              <w:spacing w:line="360" w:lineRule="exact"/>
              <w:ind w:firstLine="0" w:firstLineChars="0"/>
              <w:jc w:val="center"/>
              <w:rPr>
                <w:rFonts w:cs="宋体"/>
                <w:highlight w:val="none"/>
              </w:rPr>
            </w:pPr>
            <w:r>
              <w:rPr>
                <w:rFonts w:hint="eastAsia" w:cs="宋体"/>
                <w:highlight w:val="none"/>
              </w:rPr>
              <w:t>投标文件有效期</w:t>
            </w:r>
          </w:p>
        </w:tc>
        <w:tc>
          <w:tcPr>
            <w:tcW w:w="7349" w:type="dxa"/>
            <w:vAlign w:val="center"/>
          </w:tcPr>
          <w:p w14:paraId="1CD8CEEB">
            <w:pPr>
              <w:spacing w:line="360" w:lineRule="exact"/>
              <w:ind w:firstLine="0" w:firstLineChars="0"/>
              <w:rPr>
                <w:rFonts w:cs="宋体"/>
                <w:highlight w:val="none"/>
              </w:rPr>
            </w:pPr>
            <w:r>
              <w:rPr>
                <w:rFonts w:hint="eastAsia" w:cs="宋体"/>
                <w:highlight w:val="none"/>
              </w:rPr>
              <w:t>自提交投标文件的截止之日起90天。</w:t>
            </w:r>
          </w:p>
        </w:tc>
      </w:tr>
      <w:tr w14:paraId="2C6B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772" w:type="dxa"/>
            <w:vAlign w:val="center"/>
          </w:tcPr>
          <w:p w14:paraId="6F81F811">
            <w:pPr>
              <w:spacing w:line="360" w:lineRule="exact"/>
              <w:ind w:firstLine="0" w:firstLineChars="0"/>
              <w:jc w:val="center"/>
              <w:rPr>
                <w:rFonts w:cs="宋体"/>
                <w:highlight w:val="none"/>
              </w:rPr>
            </w:pPr>
            <w:r>
              <w:rPr>
                <w:rFonts w:hint="eastAsia" w:cs="宋体"/>
                <w:highlight w:val="none"/>
              </w:rPr>
              <w:t>13</w:t>
            </w:r>
          </w:p>
        </w:tc>
        <w:tc>
          <w:tcPr>
            <w:tcW w:w="1991" w:type="dxa"/>
            <w:vAlign w:val="center"/>
          </w:tcPr>
          <w:p w14:paraId="6033433D">
            <w:pPr>
              <w:spacing w:line="360" w:lineRule="exact"/>
              <w:ind w:firstLine="0" w:firstLineChars="0"/>
              <w:jc w:val="center"/>
              <w:rPr>
                <w:rFonts w:cs="宋体"/>
                <w:highlight w:val="none"/>
              </w:rPr>
            </w:pPr>
            <w:r>
              <w:rPr>
                <w:rFonts w:hint="eastAsia" w:cs="宋体"/>
                <w:color w:val="000000"/>
                <w:highlight w:val="none"/>
              </w:rPr>
              <w:t>现场踏勘/样品/演示</w:t>
            </w:r>
          </w:p>
        </w:tc>
        <w:tc>
          <w:tcPr>
            <w:tcW w:w="7349" w:type="dxa"/>
            <w:vAlign w:val="center"/>
          </w:tcPr>
          <w:p w14:paraId="513B886E">
            <w:pPr>
              <w:spacing w:line="360" w:lineRule="exact"/>
              <w:ind w:firstLine="0" w:firstLineChars="0"/>
              <w:jc w:val="left"/>
              <w:rPr>
                <w:rFonts w:cs="宋体"/>
                <w:color w:val="000000"/>
                <w:highlight w:val="none"/>
              </w:rPr>
            </w:pPr>
            <w:r>
              <w:rPr>
                <w:rFonts w:hint="eastAsia" w:cs="宋体"/>
                <w:color w:val="000000"/>
                <w:highlight w:val="none"/>
              </w:rPr>
              <w:t>现场踏勘：□ 组织；☑ 不组织</w:t>
            </w:r>
          </w:p>
          <w:p w14:paraId="4697A800">
            <w:pPr>
              <w:spacing w:line="360" w:lineRule="exact"/>
              <w:ind w:firstLine="0" w:firstLineChars="0"/>
              <w:jc w:val="left"/>
              <w:rPr>
                <w:rFonts w:cs="宋体"/>
                <w:color w:val="000000"/>
                <w:highlight w:val="none"/>
              </w:rPr>
            </w:pPr>
            <w:r>
              <w:rPr>
                <w:rFonts w:hint="eastAsia" w:cs="宋体"/>
                <w:color w:val="000000"/>
                <w:highlight w:val="none"/>
              </w:rPr>
              <w:t>样品：</w:t>
            </w:r>
            <w:r>
              <w:rPr>
                <w:rFonts w:hint="eastAsia" w:cs="宋体"/>
                <w:color w:val="000000"/>
                <w:highlight w:val="none"/>
                <w:lang w:eastAsia="zh-CN"/>
              </w:rPr>
              <w:t>☑</w:t>
            </w:r>
            <w:r>
              <w:rPr>
                <w:rFonts w:hint="eastAsia" w:cs="宋体"/>
                <w:color w:val="000000"/>
                <w:highlight w:val="none"/>
              </w:rPr>
              <w:t xml:space="preserve"> 提供；</w:t>
            </w:r>
            <w:r>
              <w:rPr>
                <w:rFonts w:hint="eastAsia" w:cs="宋体"/>
                <w:color w:val="000000"/>
                <w:highlight w:val="none"/>
                <w:lang w:eastAsia="zh-CN"/>
              </w:rPr>
              <w:t>□</w:t>
            </w:r>
            <w:r>
              <w:rPr>
                <w:rFonts w:hint="eastAsia" w:cs="宋体"/>
                <w:color w:val="000000"/>
                <w:highlight w:val="none"/>
              </w:rPr>
              <w:t xml:space="preserve"> 不提供</w:t>
            </w:r>
          </w:p>
          <w:p w14:paraId="578687D6">
            <w:pPr>
              <w:spacing w:line="360" w:lineRule="exact"/>
              <w:ind w:firstLine="0" w:firstLineChars="0"/>
              <w:rPr>
                <w:rFonts w:cs="宋体"/>
                <w:highlight w:val="none"/>
              </w:rPr>
            </w:pPr>
            <w:r>
              <w:rPr>
                <w:rFonts w:hint="eastAsia" w:cs="宋体"/>
                <w:color w:val="000000"/>
                <w:highlight w:val="none"/>
              </w:rPr>
              <w:t>演示：□ 提供；☑ 不提供</w:t>
            </w:r>
          </w:p>
        </w:tc>
      </w:tr>
      <w:tr w14:paraId="3EFA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72" w:type="dxa"/>
            <w:vAlign w:val="center"/>
          </w:tcPr>
          <w:p w14:paraId="30B46D8C">
            <w:pPr>
              <w:spacing w:line="360" w:lineRule="exact"/>
              <w:ind w:firstLine="0" w:firstLineChars="0"/>
              <w:jc w:val="center"/>
              <w:rPr>
                <w:rFonts w:cs="宋体"/>
                <w:highlight w:val="none"/>
              </w:rPr>
            </w:pPr>
            <w:r>
              <w:rPr>
                <w:rFonts w:hint="eastAsia" w:cs="宋体"/>
                <w:highlight w:val="none"/>
              </w:rPr>
              <w:t>14</w:t>
            </w:r>
          </w:p>
        </w:tc>
        <w:tc>
          <w:tcPr>
            <w:tcW w:w="1991" w:type="dxa"/>
            <w:vAlign w:val="center"/>
          </w:tcPr>
          <w:p w14:paraId="555BA396">
            <w:pPr>
              <w:spacing w:line="380" w:lineRule="exact"/>
              <w:ind w:firstLine="0" w:firstLineChars="0"/>
              <w:jc w:val="center"/>
              <w:rPr>
                <w:rFonts w:cs="宋体"/>
                <w:color w:val="000000"/>
                <w:highlight w:val="none"/>
              </w:rPr>
            </w:pPr>
            <w:r>
              <w:rPr>
                <w:rFonts w:hint="eastAsia" w:cs="宋体"/>
                <w:color w:val="000000"/>
                <w:highlight w:val="none"/>
              </w:rPr>
              <w:t>是否允许采购进口产品</w:t>
            </w:r>
          </w:p>
        </w:tc>
        <w:tc>
          <w:tcPr>
            <w:tcW w:w="7349" w:type="dxa"/>
            <w:vAlign w:val="center"/>
          </w:tcPr>
          <w:p w14:paraId="2AEEA9B1">
            <w:pPr>
              <w:spacing w:line="380" w:lineRule="exact"/>
              <w:ind w:firstLine="0" w:firstLineChars="0"/>
              <w:rPr>
                <w:rFonts w:cs="宋体"/>
                <w:kern w:val="0"/>
                <w:highlight w:val="none"/>
              </w:rPr>
            </w:pPr>
            <w:r>
              <w:rPr>
                <w:rFonts w:hint="eastAsia" w:cs="宋体"/>
                <w:color w:val="000000"/>
                <w:highlight w:val="none"/>
              </w:rPr>
              <w:t>☑本项目</w:t>
            </w:r>
            <w:r>
              <w:rPr>
                <w:rFonts w:hint="eastAsia" w:cs="宋体"/>
                <w:kern w:val="0"/>
                <w:highlight w:val="none"/>
              </w:rPr>
              <w:t>不允许采购进口产品。</w:t>
            </w:r>
          </w:p>
          <w:p w14:paraId="5EF4B12C">
            <w:pPr>
              <w:spacing w:line="380" w:lineRule="exact"/>
              <w:ind w:firstLine="0" w:firstLineChars="0"/>
              <w:rPr>
                <w:rFonts w:cs="宋体"/>
                <w:color w:val="000000"/>
                <w:highlight w:val="none"/>
              </w:rPr>
            </w:pPr>
            <w:r>
              <w:rPr>
                <w:rFonts w:hint="eastAsia" w:cs="宋体"/>
                <w:color w:val="000000"/>
                <w:highlight w:val="none"/>
              </w:rPr>
              <w:t>□允许</w:t>
            </w:r>
            <w:r>
              <w:rPr>
                <w:rFonts w:hint="eastAsia" w:cs="宋体"/>
                <w:kern w:val="0"/>
                <w:highlight w:val="none"/>
              </w:rPr>
              <w:t>采购进口产品。</w:t>
            </w:r>
          </w:p>
        </w:tc>
      </w:tr>
      <w:tr w14:paraId="6FA8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2" w:type="dxa"/>
            <w:vAlign w:val="center"/>
          </w:tcPr>
          <w:p w14:paraId="49773FB0">
            <w:pPr>
              <w:spacing w:line="380" w:lineRule="exact"/>
              <w:ind w:firstLine="0" w:firstLineChars="0"/>
              <w:jc w:val="center"/>
              <w:rPr>
                <w:rFonts w:cs="宋体"/>
                <w:highlight w:val="none"/>
              </w:rPr>
            </w:pPr>
            <w:r>
              <w:rPr>
                <w:rFonts w:hint="eastAsia" w:cs="宋体"/>
                <w:highlight w:val="none"/>
              </w:rPr>
              <w:t>15</w:t>
            </w:r>
          </w:p>
        </w:tc>
        <w:tc>
          <w:tcPr>
            <w:tcW w:w="1991" w:type="dxa"/>
            <w:vAlign w:val="center"/>
          </w:tcPr>
          <w:p w14:paraId="3CF5C504">
            <w:pPr>
              <w:spacing w:line="380" w:lineRule="exact"/>
              <w:ind w:firstLine="0" w:firstLineChars="0"/>
              <w:jc w:val="center"/>
              <w:rPr>
                <w:rFonts w:cs="宋体"/>
                <w:highlight w:val="none"/>
              </w:rPr>
            </w:pPr>
            <w:r>
              <w:rPr>
                <w:rFonts w:hint="eastAsia" w:cs="宋体"/>
                <w:highlight w:val="none"/>
              </w:rPr>
              <w:t>招标代理服务费</w:t>
            </w:r>
          </w:p>
        </w:tc>
        <w:tc>
          <w:tcPr>
            <w:tcW w:w="7349" w:type="dxa"/>
            <w:vAlign w:val="center"/>
          </w:tcPr>
          <w:p w14:paraId="13F4D659">
            <w:pPr>
              <w:spacing w:line="380" w:lineRule="exact"/>
              <w:ind w:firstLine="0" w:firstLineChars="0"/>
              <w:rPr>
                <w:rFonts w:cs="宋体"/>
                <w:highlight w:val="none"/>
              </w:rPr>
            </w:pPr>
            <w:r>
              <w:rPr>
                <w:rFonts w:hint="eastAsia" w:cs="宋体"/>
                <w:highlight w:val="none"/>
              </w:rPr>
              <w:t>（1）收费标准参照国家计委关于</w:t>
            </w:r>
            <w:r>
              <w:rPr>
                <w:rFonts w:hint="eastAsia" w:cs="宋体"/>
                <w:color w:val="000000"/>
                <w:highlight w:val="none"/>
              </w:rPr>
              <w:t>标项分别收取</w:t>
            </w:r>
            <w:r>
              <w:rPr>
                <w:rFonts w:hint="eastAsia" w:cs="宋体"/>
                <w:highlight w:val="none"/>
              </w:rPr>
              <w:t>印发《招标代理服务收费管理暂行办法》的通知（计价格[2002]1980号），在此基础上按69.4%折扣计取（不累进计算），由中标供应商一次性向代理机构支付。四标段分别收取12179元、8032元、4428元、361元。</w:t>
            </w:r>
          </w:p>
          <w:p w14:paraId="3224D462">
            <w:pPr>
              <w:spacing w:line="380" w:lineRule="exact"/>
              <w:ind w:firstLine="0" w:firstLineChars="0"/>
              <w:rPr>
                <w:rFonts w:cs="宋体"/>
                <w:color w:val="000000"/>
                <w:highlight w:val="none"/>
              </w:rPr>
            </w:pPr>
            <w:r>
              <w:rPr>
                <w:rFonts w:hint="eastAsia" w:cs="宋体"/>
                <w:color w:val="000000"/>
                <w:highlight w:val="none"/>
              </w:rPr>
              <w:t>（2）本项目代理服务费按，中标人在中标通知书发出当日，以电汇方式向招标代理机构交纳代理服务费，如未按上述规定办理，招标代理机构有权对于代理服务费不足部分进行追索。</w:t>
            </w:r>
          </w:p>
          <w:p w14:paraId="249E5BC3">
            <w:pPr>
              <w:spacing w:line="380" w:lineRule="exact"/>
              <w:ind w:firstLine="0" w:firstLineChars="0"/>
              <w:rPr>
                <w:rFonts w:cs="宋体"/>
                <w:color w:val="000000"/>
                <w:highlight w:val="none"/>
              </w:rPr>
            </w:pPr>
            <w:r>
              <w:rPr>
                <w:rFonts w:hint="eastAsia" w:cs="宋体"/>
                <w:color w:val="000000"/>
                <w:highlight w:val="none"/>
              </w:rPr>
              <w:t>（3）服务费缴纳账号：</w:t>
            </w:r>
          </w:p>
          <w:p w14:paraId="4E9405D3">
            <w:pPr>
              <w:spacing w:line="380" w:lineRule="exact"/>
              <w:ind w:firstLine="0" w:firstLineChars="0"/>
              <w:rPr>
                <w:rFonts w:cs="宋体"/>
                <w:highlight w:val="none"/>
              </w:rPr>
            </w:pPr>
            <w:r>
              <w:rPr>
                <w:rFonts w:hint="eastAsia" w:cs="宋体"/>
                <w:highlight w:val="none"/>
              </w:rPr>
              <w:t>收款人：浙江致信招标代理有限公司湖州分公司</w:t>
            </w:r>
          </w:p>
          <w:p w14:paraId="7A172775">
            <w:pPr>
              <w:spacing w:line="380" w:lineRule="exact"/>
              <w:ind w:firstLine="0" w:firstLineChars="0"/>
              <w:rPr>
                <w:rFonts w:cs="宋体"/>
                <w:highlight w:val="none"/>
              </w:rPr>
            </w:pPr>
            <w:r>
              <w:rPr>
                <w:rFonts w:hint="eastAsia" w:cs="宋体"/>
                <w:highlight w:val="none"/>
              </w:rPr>
              <w:t>开户银行：恒丰银行股份有限公司湖州分行</w:t>
            </w:r>
          </w:p>
          <w:p w14:paraId="58B3F69B">
            <w:pPr>
              <w:spacing w:line="380" w:lineRule="exact"/>
              <w:ind w:firstLine="0" w:firstLineChars="0"/>
              <w:rPr>
                <w:rFonts w:cs="宋体"/>
                <w:highlight w:val="none"/>
              </w:rPr>
            </w:pPr>
            <w:r>
              <w:rPr>
                <w:rFonts w:hint="eastAsia" w:cs="宋体"/>
                <w:highlight w:val="none"/>
              </w:rPr>
              <w:t>账号：33050106100100000031</w:t>
            </w:r>
          </w:p>
          <w:p w14:paraId="52901918">
            <w:pPr>
              <w:spacing w:line="380" w:lineRule="exact"/>
              <w:ind w:firstLine="0" w:firstLineChars="0"/>
              <w:rPr>
                <w:rFonts w:cs="宋体"/>
                <w:highlight w:val="none"/>
              </w:rPr>
            </w:pPr>
            <w:r>
              <w:rPr>
                <w:rFonts w:hint="eastAsia" w:cs="宋体"/>
                <w:highlight w:val="none"/>
              </w:rPr>
              <w:t>开票及相关问题联系人：潘工/0572-2038559</w:t>
            </w:r>
          </w:p>
        </w:tc>
      </w:tr>
      <w:tr w14:paraId="54E6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2" w:type="dxa"/>
            <w:vAlign w:val="center"/>
          </w:tcPr>
          <w:p w14:paraId="3689A25C">
            <w:pPr>
              <w:spacing w:line="380" w:lineRule="exact"/>
              <w:ind w:firstLine="0" w:firstLineChars="0"/>
              <w:jc w:val="center"/>
              <w:rPr>
                <w:rFonts w:cs="宋体"/>
                <w:highlight w:val="none"/>
              </w:rPr>
            </w:pPr>
            <w:r>
              <w:rPr>
                <w:rFonts w:hint="eastAsia" w:cs="宋体"/>
                <w:highlight w:val="none"/>
              </w:rPr>
              <w:t>16</w:t>
            </w:r>
          </w:p>
        </w:tc>
        <w:tc>
          <w:tcPr>
            <w:tcW w:w="1991" w:type="dxa"/>
            <w:vAlign w:val="center"/>
          </w:tcPr>
          <w:p w14:paraId="316E9A9A">
            <w:pPr>
              <w:spacing w:line="380" w:lineRule="exact"/>
              <w:ind w:firstLine="0" w:firstLineChars="0"/>
              <w:jc w:val="center"/>
              <w:rPr>
                <w:rFonts w:cs="宋体"/>
                <w:highlight w:val="none"/>
              </w:rPr>
            </w:pPr>
            <w:r>
              <w:rPr>
                <w:rFonts w:hint="eastAsia" w:cs="宋体"/>
                <w:highlight w:val="none"/>
              </w:rPr>
              <w:t>中标后注意事项</w:t>
            </w:r>
          </w:p>
        </w:tc>
        <w:tc>
          <w:tcPr>
            <w:tcW w:w="7349" w:type="dxa"/>
            <w:vAlign w:val="center"/>
          </w:tcPr>
          <w:p w14:paraId="687FD38E">
            <w:pPr>
              <w:tabs>
                <w:tab w:val="left" w:pos="312"/>
              </w:tabs>
              <w:spacing w:line="380" w:lineRule="exact"/>
              <w:ind w:firstLine="0" w:firstLineChars="0"/>
              <w:rPr>
                <w:rFonts w:cs="宋体"/>
                <w:highlight w:val="none"/>
              </w:rPr>
            </w:pPr>
            <w:r>
              <w:rPr>
                <w:rFonts w:hint="eastAsia" w:cs="宋体"/>
                <w:highlight w:val="none"/>
              </w:rPr>
              <w:t>（1）中标人在中标之后领取通知书时，应向招标代理机构交纳招标代理服务费。</w:t>
            </w:r>
          </w:p>
          <w:p w14:paraId="5481516D">
            <w:pPr>
              <w:tabs>
                <w:tab w:val="left" w:pos="312"/>
              </w:tabs>
              <w:spacing w:line="380" w:lineRule="exact"/>
              <w:ind w:firstLine="0" w:firstLineChars="0"/>
              <w:rPr>
                <w:rFonts w:cs="宋体"/>
                <w:highlight w:val="none"/>
              </w:rPr>
            </w:pPr>
            <w:r>
              <w:rPr>
                <w:rFonts w:hint="eastAsia" w:cs="宋体"/>
                <w:highlight w:val="none"/>
              </w:rPr>
              <w:t>（2）若中标人未在约定时间内支付招标代理服务费，从逾期之日起按日利率千分之一承担违约金。</w:t>
            </w:r>
          </w:p>
          <w:p w14:paraId="17453B19">
            <w:pPr>
              <w:spacing w:line="380" w:lineRule="exact"/>
              <w:ind w:firstLine="0" w:firstLineChars="0"/>
              <w:rPr>
                <w:rFonts w:cs="宋体"/>
                <w:highlight w:val="none"/>
              </w:rPr>
            </w:pPr>
            <w:r>
              <w:rPr>
                <w:rFonts w:hint="eastAsia" w:cs="宋体"/>
                <w:highlight w:val="none"/>
              </w:rPr>
              <w:t>（3）若中标人未按上述规定办理，需承担招标代理机构为实现债权的所有费用（包括但不限于律师费、催讨车旅费、保全担保费等）。</w:t>
            </w:r>
          </w:p>
        </w:tc>
      </w:tr>
      <w:tr w14:paraId="6E65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Align w:val="center"/>
          </w:tcPr>
          <w:p w14:paraId="0DEE3595">
            <w:pPr>
              <w:spacing w:line="380" w:lineRule="exact"/>
              <w:ind w:firstLine="0" w:firstLineChars="0"/>
              <w:jc w:val="center"/>
              <w:rPr>
                <w:rFonts w:cs="宋体"/>
                <w:highlight w:val="none"/>
              </w:rPr>
            </w:pPr>
            <w:r>
              <w:rPr>
                <w:rFonts w:hint="eastAsia" w:cs="宋体"/>
                <w:highlight w:val="none"/>
              </w:rPr>
              <w:t>17</w:t>
            </w:r>
          </w:p>
        </w:tc>
        <w:tc>
          <w:tcPr>
            <w:tcW w:w="1991" w:type="dxa"/>
            <w:vAlign w:val="center"/>
          </w:tcPr>
          <w:p w14:paraId="4FC0FECA">
            <w:pPr>
              <w:spacing w:line="380" w:lineRule="exact"/>
              <w:ind w:firstLine="0" w:firstLineChars="0"/>
              <w:jc w:val="center"/>
              <w:rPr>
                <w:rFonts w:cs="宋体"/>
                <w:highlight w:val="none"/>
              </w:rPr>
            </w:pPr>
            <w:r>
              <w:rPr>
                <w:rFonts w:hint="eastAsia" w:cs="宋体"/>
                <w:highlight w:val="none"/>
              </w:rPr>
              <w:t>实质性条款</w:t>
            </w:r>
          </w:p>
        </w:tc>
        <w:tc>
          <w:tcPr>
            <w:tcW w:w="7349" w:type="dxa"/>
            <w:vAlign w:val="center"/>
          </w:tcPr>
          <w:p w14:paraId="3F651EB5">
            <w:pPr>
              <w:spacing w:line="380" w:lineRule="exact"/>
              <w:ind w:firstLine="0" w:firstLineChars="0"/>
              <w:rPr>
                <w:highlight w:val="none"/>
              </w:rPr>
            </w:pPr>
            <w:r>
              <w:rPr>
                <w:rFonts w:hint="eastAsia"/>
                <w:highlight w:val="none"/>
                <w:lang w:val="zh-CN"/>
              </w:rPr>
              <w:t>带“</w:t>
            </w:r>
            <w:r>
              <w:rPr>
                <w:rFonts w:hint="eastAsia"/>
                <w:highlight w:val="none"/>
              </w:rPr>
              <w:t>▲”的条款是实质性条款，投标文件须作出实质性响应，否则作无效投标处理。</w:t>
            </w:r>
          </w:p>
        </w:tc>
      </w:tr>
      <w:tr w14:paraId="1B86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772" w:type="dxa"/>
            <w:vAlign w:val="center"/>
          </w:tcPr>
          <w:p w14:paraId="2425CA23">
            <w:pPr>
              <w:spacing w:line="380" w:lineRule="exact"/>
              <w:ind w:firstLine="0" w:firstLineChars="0"/>
              <w:jc w:val="center"/>
              <w:rPr>
                <w:rFonts w:cs="宋体"/>
                <w:highlight w:val="none"/>
              </w:rPr>
            </w:pPr>
            <w:r>
              <w:rPr>
                <w:rFonts w:hint="eastAsia" w:cs="宋体"/>
                <w:highlight w:val="none"/>
              </w:rPr>
              <w:t>18</w:t>
            </w:r>
          </w:p>
        </w:tc>
        <w:tc>
          <w:tcPr>
            <w:tcW w:w="1991" w:type="dxa"/>
            <w:vAlign w:val="center"/>
          </w:tcPr>
          <w:p w14:paraId="74D79E0D">
            <w:pPr>
              <w:spacing w:line="380" w:lineRule="exact"/>
              <w:ind w:firstLine="0" w:firstLineChars="0"/>
              <w:jc w:val="center"/>
              <w:rPr>
                <w:rFonts w:cs="宋体"/>
                <w:highlight w:val="none"/>
              </w:rPr>
            </w:pPr>
            <w:r>
              <w:rPr>
                <w:rFonts w:hint="eastAsia" w:cs="宋体"/>
                <w:highlight w:val="none"/>
              </w:rPr>
              <w:t>中小企业扶持</w:t>
            </w:r>
          </w:p>
          <w:p w14:paraId="63567CCD">
            <w:pPr>
              <w:spacing w:line="380" w:lineRule="exact"/>
              <w:ind w:firstLine="0" w:firstLineChars="0"/>
              <w:jc w:val="center"/>
              <w:rPr>
                <w:rFonts w:cs="宋体"/>
                <w:highlight w:val="none"/>
              </w:rPr>
            </w:pPr>
            <w:r>
              <w:rPr>
                <w:rFonts w:hint="eastAsia" w:cs="宋体"/>
                <w:highlight w:val="none"/>
              </w:rPr>
              <w:t>政策</w:t>
            </w:r>
          </w:p>
        </w:tc>
        <w:tc>
          <w:tcPr>
            <w:tcW w:w="7349" w:type="dxa"/>
            <w:vAlign w:val="center"/>
          </w:tcPr>
          <w:p w14:paraId="7104D0C8">
            <w:pPr>
              <w:spacing w:line="380" w:lineRule="exact"/>
              <w:ind w:firstLine="0" w:firstLineChars="0"/>
              <w:rPr>
                <w:rFonts w:cs="宋体"/>
                <w:highlight w:val="none"/>
                <w:lang w:val="zh-CN"/>
              </w:rPr>
            </w:pPr>
            <w:r>
              <w:rPr>
                <w:rFonts w:hint="eastAsia" w:cs="宋体"/>
                <w:highlight w:val="none"/>
                <w:lang w:val="zh-CN"/>
              </w:rPr>
              <w:t>（</w:t>
            </w:r>
            <w:r>
              <w:rPr>
                <w:rFonts w:hint="eastAsia" w:cs="宋体"/>
                <w:highlight w:val="none"/>
              </w:rPr>
              <w:t>1</w:t>
            </w:r>
            <w:r>
              <w:rPr>
                <w:rFonts w:hint="eastAsia" w:cs="宋体"/>
                <w:highlight w:val="none"/>
                <w:lang w:val="zh-CN"/>
              </w:rPr>
              <w:t>）</w:t>
            </w:r>
            <w:r>
              <w:rPr>
                <w:rFonts w:hint="eastAsia" w:cs="宋体"/>
                <w:b/>
                <w:bCs/>
                <w:highlight w:val="none"/>
                <w:lang w:val="zh-CN"/>
              </w:rPr>
              <w:t>本项目专门面向中小企业预留采购份额。</w:t>
            </w:r>
          </w:p>
          <w:p w14:paraId="114F3FF1">
            <w:pPr>
              <w:spacing w:line="380" w:lineRule="exact"/>
              <w:ind w:firstLine="0" w:firstLineChars="0"/>
              <w:rPr>
                <w:rFonts w:cs="宋体"/>
                <w:kern w:val="0"/>
                <w:highlight w:val="none"/>
              </w:rPr>
            </w:pPr>
            <w:r>
              <w:rPr>
                <w:rFonts w:hint="eastAsia" w:cs="宋体"/>
                <w:highlight w:val="none"/>
              </w:rPr>
              <w:t>（</w:t>
            </w:r>
            <w:r>
              <w:rPr>
                <w:rFonts w:hint="eastAsia" w:cs="宋体"/>
                <w:kern w:val="0"/>
                <w:highlight w:val="none"/>
              </w:rPr>
              <w:t>2）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ABC51CC">
            <w:pPr>
              <w:spacing w:line="380" w:lineRule="exact"/>
              <w:ind w:firstLine="0" w:firstLineChars="0"/>
              <w:rPr>
                <w:rFonts w:cs="宋体"/>
                <w:bCs/>
                <w:kern w:val="0"/>
                <w:highlight w:val="none"/>
              </w:rPr>
            </w:pPr>
            <w:r>
              <w:rPr>
                <w:rFonts w:hint="eastAsia" w:cs="宋体"/>
                <w:highlight w:val="none"/>
              </w:rPr>
              <w:t>（</w:t>
            </w:r>
            <w:r>
              <w:rPr>
                <w:rFonts w:hint="eastAsia" w:cs="宋体"/>
                <w:kern w:val="0"/>
                <w:highlight w:val="none"/>
              </w:rPr>
              <w:t>3）本次采购标的为</w:t>
            </w:r>
            <w:r>
              <w:rPr>
                <w:rFonts w:hint="eastAsia" w:cs="宋体"/>
                <w:b/>
                <w:bCs/>
                <w:kern w:val="0"/>
                <w:highlight w:val="none"/>
                <w:u w:val="single"/>
              </w:rPr>
              <w:t>货物</w:t>
            </w:r>
            <w:r>
              <w:rPr>
                <w:rFonts w:hint="eastAsia" w:cs="宋体"/>
                <w:kern w:val="0"/>
                <w:highlight w:val="none"/>
              </w:rPr>
              <w:t>，对应的中小企业划分标准所属行业是：</w:t>
            </w:r>
            <w:r>
              <w:rPr>
                <w:rFonts w:hint="eastAsia" w:cs="宋体"/>
                <w:b/>
                <w:bCs/>
                <w:kern w:val="0"/>
                <w:highlight w:val="none"/>
                <w:u w:val="single"/>
              </w:rPr>
              <w:t>工业</w:t>
            </w:r>
            <w:r>
              <w:rPr>
                <w:rFonts w:hint="eastAsia" w:cs="宋体"/>
                <w:bCs/>
                <w:kern w:val="0"/>
                <w:highlight w:val="none"/>
              </w:rPr>
              <w:t>。</w:t>
            </w:r>
          </w:p>
          <w:p w14:paraId="49B409EF">
            <w:pPr>
              <w:spacing w:line="380" w:lineRule="exact"/>
              <w:ind w:firstLine="0" w:firstLineChars="0"/>
              <w:rPr>
                <w:rFonts w:cs="宋体"/>
                <w:kern w:val="0"/>
                <w:highlight w:val="none"/>
              </w:rPr>
            </w:pPr>
            <w:r>
              <w:rPr>
                <w:rFonts w:hint="eastAsia" w:cs="宋体"/>
                <w:highlight w:val="none"/>
              </w:rPr>
              <w:t>（</w:t>
            </w:r>
            <w:r>
              <w:rPr>
                <w:rFonts w:hint="eastAsia" w:cs="宋体"/>
                <w:kern w:val="0"/>
                <w:highlight w:val="none"/>
              </w:rPr>
              <w:t>4）参加本次采购活动的供应商</w:t>
            </w:r>
            <w:r>
              <w:rPr>
                <w:rFonts w:hint="eastAsia" w:cs="宋体"/>
                <w:b/>
                <w:kern w:val="0"/>
                <w:highlight w:val="none"/>
                <w:u w:val="single"/>
              </w:rPr>
              <w:t>提供的货物全部由中小企业制造</w:t>
            </w:r>
            <w:r>
              <w:rPr>
                <w:rFonts w:hint="eastAsia" w:cs="宋体"/>
                <w:b/>
                <w:kern w:val="0"/>
                <w:highlight w:val="none"/>
              </w:rPr>
              <w:t>，</w:t>
            </w:r>
            <w:r>
              <w:rPr>
                <w:rFonts w:hint="eastAsia" w:cs="宋体"/>
                <w:kern w:val="0"/>
                <w:highlight w:val="none"/>
              </w:rPr>
              <w:t>其报价给予</w:t>
            </w:r>
            <w:r>
              <w:rPr>
                <w:rFonts w:hint="eastAsia" w:cs="宋体"/>
                <w:b/>
                <w:bCs/>
                <w:kern w:val="0"/>
                <w:highlight w:val="none"/>
                <w:u w:val="single"/>
              </w:rPr>
              <w:t>1</w:t>
            </w:r>
            <w:r>
              <w:rPr>
                <w:rFonts w:hint="eastAsia" w:cs="宋体"/>
                <w:b/>
                <w:kern w:val="0"/>
                <w:highlight w:val="none"/>
                <w:u w:val="single"/>
              </w:rPr>
              <w:t>0%</w:t>
            </w:r>
            <w:r>
              <w:rPr>
                <w:rFonts w:hint="eastAsia" w:cs="宋体"/>
                <w:kern w:val="0"/>
                <w:highlight w:val="none"/>
              </w:rPr>
              <w:t>的扣除，用扣除后的价格参加评审。</w:t>
            </w:r>
            <w:r>
              <w:rPr>
                <w:rFonts w:hint="eastAsia" w:cs="宋体"/>
                <w:b/>
                <w:bCs/>
                <w:kern w:val="0"/>
                <w:highlight w:val="none"/>
              </w:rPr>
              <w:t>（本项目不适用）</w:t>
            </w:r>
          </w:p>
          <w:p w14:paraId="29A402ED">
            <w:pPr>
              <w:spacing w:line="380" w:lineRule="exact"/>
              <w:ind w:firstLine="0" w:firstLineChars="0"/>
              <w:rPr>
                <w:rFonts w:cs="宋体"/>
                <w:kern w:val="0"/>
                <w:highlight w:val="none"/>
              </w:rPr>
            </w:pPr>
            <w:r>
              <w:rPr>
                <w:rFonts w:hint="eastAsia" w:cs="宋体"/>
                <w:kern w:val="0"/>
                <w:highlight w:val="none"/>
              </w:rPr>
              <w:t>（5）符合小微企业划分标准的个体工商户，视同小微企业。</w:t>
            </w:r>
          </w:p>
          <w:p w14:paraId="442E0A9B">
            <w:pPr>
              <w:spacing w:line="380" w:lineRule="exact"/>
              <w:ind w:firstLine="0" w:firstLineChars="0"/>
              <w:rPr>
                <w:rFonts w:cs="宋体"/>
                <w:kern w:val="0"/>
                <w:highlight w:val="none"/>
              </w:rPr>
            </w:pPr>
            <w:r>
              <w:rPr>
                <w:rFonts w:hint="eastAsia" w:cs="宋体"/>
                <w:kern w:val="0"/>
                <w:highlight w:val="none"/>
              </w:rPr>
              <w:t>（6）小微企业参加政府采购活动，应当出具《中小企业声明函》。</w:t>
            </w:r>
          </w:p>
          <w:p w14:paraId="076AEBAB">
            <w:pPr>
              <w:spacing w:line="380" w:lineRule="exact"/>
              <w:ind w:firstLine="0" w:firstLineChars="0"/>
              <w:rPr>
                <w:rFonts w:cs="宋体"/>
                <w:highlight w:val="none"/>
              </w:rPr>
            </w:pPr>
            <w:r>
              <w:rPr>
                <w:rFonts w:hint="eastAsia" w:cs="宋体"/>
                <w:highlight w:val="none"/>
              </w:rPr>
              <w:t>（7）监狱企业和残疾人福利性单位视同小型、微型企业，按《财政部司法部关于政府采购支持监狱企业发展有关问题的通知》(财库〔2014〕68号)、《财政部民政部中国残疾人联合会关于促进残疾人就业政府采购政策的通知》（财库〔2017〕141号）的规定执行。</w:t>
            </w:r>
          </w:p>
          <w:p w14:paraId="23A2F55A">
            <w:pPr>
              <w:spacing w:line="380" w:lineRule="exact"/>
              <w:ind w:firstLine="0" w:firstLineChars="0"/>
              <w:rPr>
                <w:highlight w:val="none"/>
                <w:lang w:val="zh-CN"/>
              </w:rPr>
            </w:pPr>
            <w:r>
              <w:rPr>
                <w:rFonts w:hint="eastAsia"/>
                <w:highlight w:val="none"/>
              </w:rPr>
              <w:t>（8）小微企业不得将合同分包给大中型企业，中型企业不得将合同分包给大型企业。</w:t>
            </w:r>
          </w:p>
        </w:tc>
      </w:tr>
    </w:tbl>
    <w:p w14:paraId="28CF211E">
      <w:pPr>
        <w:pStyle w:val="4"/>
        <w:jc w:val="center"/>
        <w:rPr>
          <w:rFonts w:ascii="宋体" w:hAnsi="宋体" w:cs="宋体"/>
          <w:sz w:val="24"/>
          <w:szCs w:val="24"/>
          <w:highlight w:val="none"/>
        </w:rPr>
      </w:pPr>
      <w:r>
        <w:rPr>
          <w:rFonts w:hint="eastAsia" w:ascii="宋体" w:hAnsi="宋体" w:cs="宋体"/>
          <w:sz w:val="24"/>
          <w:szCs w:val="24"/>
          <w:highlight w:val="none"/>
        </w:rPr>
        <w:br w:type="page"/>
      </w:r>
      <w:bookmarkEnd w:id="30"/>
      <w:bookmarkEnd w:id="31"/>
      <w:bookmarkEnd w:id="32"/>
      <w:bookmarkEnd w:id="33"/>
      <w:bookmarkEnd w:id="34"/>
      <w:bookmarkEnd w:id="35"/>
      <w:bookmarkEnd w:id="36"/>
      <w:bookmarkEnd w:id="37"/>
      <w:bookmarkEnd w:id="38"/>
      <w:bookmarkStart w:id="39" w:name="_Toc22147"/>
      <w:bookmarkStart w:id="40" w:name="_Toc2440"/>
      <w:bookmarkStart w:id="41" w:name="_Toc144974498"/>
      <w:bookmarkStart w:id="42" w:name="_Toc152042306"/>
      <w:bookmarkStart w:id="43" w:name="_Toc246996176"/>
      <w:bookmarkStart w:id="44" w:name="_Toc246996919"/>
      <w:bookmarkStart w:id="45" w:name="_Toc247085690"/>
      <w:bookmarkStart w:id="46" w:name="_Toc296602421"/>
      <w:bookmarkStart w:id="47" w:name="_Toc179632547"/>
      <w:bookmarkStart w:id="48" w:name="_Toc152045530"/>
      <w:r>
        <w:rPr>
          <w:rFonts w:hint="eastAsia" w:ascii="宋体" w:hAnsi="宋体" w:cs="宋体"/>
          <w:sz w:val="24"/>
          <w:szCs w:val="24"/>
          <w:highlight w:val="none"/>
        </w:rPr>
        <w:t>第一节  总 则</w:t>
      </w:r>
      <w:bookmarkEnd w:id="39"/>
      <w:bookmarkEnd w:id="40"/>
    </w:p>
    <w:p w14:paraId="4F9A7AF4">
      <w:pPr>
        <w:ind w:firstLine="0" w:firstLineChars="0"/>
        <w:rPr>
          <w:rFonts w:cs="宋体"/>
          <w:highlight w:val="none"/>
        </w:rPr>
      </w:pPr>
      <w:r>
        <w:rPr>
          <w:rFonts w:hint="eastAsia"/>
          <w:b/>
          <w:bCs/>
          <w:highlight w:val="none"/>
        </w:rPr>
        <w:t>一、适用范围</w:t>
      </w:r>
    </w:p>
    <w:p w14:paraId="2302A1A1">
      <w:pPr>
        <w:ind w:firstLine="480"/>
        <w:rPr>
          <w:rFonts w:cs="宋体"/>
          <w:highlight w:val="none"/>
        </w:rPr>
      </w:pPr>
      <w:r>
        <w:rPr>
          <w:rFonts w:hint="eastAsia" w:cs="宋体"/>
          <w:highlight w:val="none"/>
        </w:rPr>
        <w:t>本招标文件适用于该项目的招标、投标、开标、资格审查及信用信息查询、评标、定标、合同、验收等行为（法律、法规另有规定的，从其规定）。</w:t>
      </w:r>
    </w:p>
    <w:p w14:paraId="66155A62">
      <w:pPr>
        <w:ind w:firstLine="0" w:firstLineChars="0"/>
        <w:rPr>
          <w:rFonts w:cs="宋体"/>
          <w:highlight w:val="none"/>
        </w:rPr>
      </w:pPr>
      <w:r>
        <w:rPr>
          <w:rFonts w:hint="eastAsia"/>
          <w:b/>
          <w:bCs/>
          <w:highlight w:val="none"/>
        </w:rPr>
        <w:t>二、定义</w:t>
      </w:r>
    </w:p>
    <w:p w14:paraId="167697A7">
      <w:pPr>
        <w:ind w:firstLine="480"/>
        <w:rPr>
          <w:rFonts w:cs="宋体"/>
          <w:highlight w:val="none"/>
        </w:rPr>
      </w:pPr>
      <w:r>
        <w:rPr>
          <w:rFonts w:hint="eastAsia" w:cs="宋体"/>
          <w:highlight w:val="none"/>
        </w:rPr>
        <w:t>1.“招标人”系指湖州学院。</w:t>
      </w:r>
    </w:p>
    <w:p w14:paraId="03AFDDCD">
      <w:pPr>
        <w:ind w:firstLine="480"/>
        <w:rPr>
          <w:rFonts w:cs="宋体"/>
          <w:highlight w:val="none"/>
        </w:rPr>
      </w:pPr>
      <w:r>
        <w:rPr>
          <w:rFonts w:hint="eastAsia" w:cs="宋体"/>
          <w:highlight w:val="none"/>
        </w:rPr>
        <w:t>2.“招标代理机构”系指组织本次招标的浙江致信招标代理有限公司。</w:t>
      </w:r>
    </w:p>
    <w:p w14:paraId="100279CB">
      <w:pPr>
        <w:ind w:firstLine="480"/>
        <w:rPr>
          <w:rFonts w:cs="宋体"/>
          <w:highlight w:val="none"/>
        </w:rPr>
      </w:pPr>
      <w:r>
        <w:rPr>
          <w:rFonts w:hint="eastAsia" w:cs="宋体"/>
          <w:highlight w:val="none"/>
        </w:rPr>
        <w:t>3.“投标人”和“投标方”系指参加本次招标活动符合资格条件的供应商。</w:t>
      </w:r>
    </w:p>
    <w:p w14:paraId="67FB6F33">
      <w:pPr>
        <w:ind w:firstLine="480"/>
        <w:rPr>
          <w:rFonts w:cs="宋体"/>
          <w:highlight w:val="none"/>
        </w:rPr>
      </w:pPr>
      <w:r>
        <w:rPr>
          <w:rFonts w:hint="eastAsia" w:cs="宋体"/>
          <w:highlight w:val="none"/>
        </w:rPr>
        <w:t>4.“授权代表”系指参加本次招标活动的授权代表。</w:t>
      </w:r>
    </w:p>
    <w:p w14:paraId="2A127490">
      <w:pPr>
        <w:ind w:firstLine="480"/>
        <w:rPr>
          <w:rFonts w:cs="宋体"/>
          <w:highlight w:val="none"/>
        </w:rPr>
      </w:pPr>
      <w:r>
        <w:rPr>
          <w:rFonts w:hint="eastAsia"/>
          <w:highlight w:val="none"/>
        </w:rPr>
        <w:t>5.</w:t>
      </w:r>
      <w:r>
        <w:rPr>
          <w:rFonts w:hint="eastAsia" w:cs="宋体"/>
          <w:highlight w:val="none"/>
        </w:rPr>
        <w:t>“书面形式”包括信函、传真、电子文档等。</w:t>
      </w:r>
    </w:p>
    <w:p w14:paraId="46518B43">
      <w:pPr>
        <w:pStyle w:val="6"/>
        <w:ind w:firstLine="480"/>
        <w:rPr>
          <w:rFonts w:cs="宋体"/>
          <w:b w:val="0"/>
          <w:bCs w:val="0"/>
          <w:highlight w:val="none"/>
        </w:rPr>
      </w:pPr>
      <w:r>
        <w:rPr>
          <w:rFonts w:hint="eastAsia"/>
          <w:b w:val="0"/>
          <w:bCs w:val="0"/>
          <w:highlight w:val="none"/>
        </w:rPr>
        <w:t>6.</w:t>
      </w:r>
      <w:r>
        <w:rPr>
          <w:rFonts w:hint="eastAsia" w:cs="宋体"/>
          <w:b w:val="0"/>
          <w:bCs w:val="0"/>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p>
    <w:p w14:paraId="107ABD30">
      <w:pPr>
        <w:ind w:firstLine="480"/>
        <w:rPr>
          <w:highlight w:val="none"/>
        </w:rPr>
      </w:pPr>
      <w:r>
        <w:rPr>
          <w:rFonts w:hint="eastAsia" w:cs="宋体"/>
          <w:highlight w:val="none"/>
        </w:rPr>
        <w:t>7.“电子交易平台”是指本项目政府采购活动所依托的政府采购云平台（https://www.zcygov.cn/）。</w:t>
      </w:r>
    </w:p>
    <w:p w14:paraId="2A66BD7B">
      <w:pPr>
        <w:ind w:firstLine="480"/>
        <w:rPr>
          <w:rFonts w:cs="宋体"/>
          <w:highlight w:val="none"/>
        </w:rPr>
      </w:pPr>
      <w:r>
        <w:rPr>
          <w:rFonts w:hint="eastAsia" w:cs="宋体"/>
          <w:highlight w:val="none"/>
        </w:rPr>
        <w:t>8.“▲”系指实质性要求条款，投标人应做出实质性响应；“★”系指重要要求条款。</w:t>
      </w:r>
    </w:p>
    <w:p w14:paraId="470676D6">
      <w:pPr>
        <w:ind w:firstLine="0" w:firstLineChars="0"/>
        <w:rPr>
          <w:rFonts w:cs="宋体"/>
          <w:highlight w:val="none"/>
        </w:rPr>
      </w:pPr>
      <w:r>
        <w:rPr>
          <w:rFonts w:hint="eastAsia" w:cs="宋体"/>
          <w:highlight w:val="none"/>
        </w:rPr>
        <w:t>“</w:t>
      </w:r>
      <w:r>
        <w:rPr>
          <w:rFonts w:hint="eastAsia" w:cs="宋体"/>
          <w:color w:val="000000"/>
          <w:highlight w:val="none"/>
        </w:rPr>
        <w:t>☑</w:t>
      </w:r>
      <w:r>
        <w:rPr>
          <w:rFonts w:hint="eastAsia" w:cs="宋体"/>
          <w:highlight w:val="none"/>
        </w:rPr>
        <w:t>”系指适用本项目的要求，“</w:t>
      </w:r>
      <w:sdt>
        <w:sdtPr>
          <w:rPr>
            <w:rFonts w:hint="eastAsia" w:cs="宋体"/>
            <w:kern w:val="0"/>
            <w:highlight w:val="none"/>
          </w:rPr>
          <w:id w:val="404888855"/>
          <w14:checkbox>
            <w14:checked w14:val="0"/>
            <w14:checkedState w14:val="00FE" w14:font="Wingdings"/>
            <w14:uncheckedState w14:val="2610" w14:font="MS Gothic"/>
          </w14:checkbox>
        </w:sdtPr>
        <w:sdtEndPr>
          <w:rPr>
            <w:rFonts w:hint="eastAsia" w:cs="宋体"/>
            <w:kern w:val="0"/>
            <w:highlight w:val="none"/>
          </w:rPr>
        </w:sdtEndPr>
        <w:sdtContent>
          <w:r>
            <w:rPr>
              <w:rFonts w:hint="eastAsia" w:ascii="MS Gothic" w:hAnsi="MS Gothic" w:cs="宋体"/>
              <w:kern w:val="0"/>
              <w:highlight w:val="none"/>
            </w:rPr>
            <w:t>☐</w:t>
          </w:r>
        </w:sdtContent>
      </w:sdt>
      <w:r>
        <w:rPr>
          <w:rFonts w:hint="eastAsia" w:cs="宋体"/>
          <w:highlight w:val="none"/>
        </w:rPr>
        <w:t>”系指不适用本项目的要求。</w:t>
      </w:r>
    </w:p>
    <w:p w14:paraId="067004E3">
      <w:pPr>
        <w:ind w:firstLine="0" w:firstLineChars="0"/>
        <w:rPr>
          <w:rFonts w:cs="宋体"/>
          <w:highlight w:val="none"/>
        </w:rPr>
      </w:pPr>
      <w:r>
        <w:rPr>
          <w:rFonts w:hint="eastAsia"/>
          <w:b/>
          <w:bCs/>
          <w:highlight w:val="none"/>
        </w:rPr>
        <w:t>三、合格的投标人</w:t>
      </w:r>
    </w:p>
    <w:p w14:paraId="79FDCE63">
      <w:pPr>
        <w:ind w:firstLine="480"/>
        <w:rPr>
          <w:rFonts w:cs="宋体"/>
          <w:highlight w:val="none"/>
        </w:rPr>
      </w:pPr>
      <w:r>
        <w:rPr>
          <w:rFonts w:hint="eastAsia" w:cs="宋体"/>
          <w:highlight w:val="none"/>
        </w:rPr>
        <w:t>详见“招标公告-申请人的资格要求”。</w:t>
      </w:r>
    </w:p>
    <w:p w14:paraId="6C9A6733">
      <w:pPr>
        <w:ind w:firstLine="0" w:firstLineChars="0"/>
        <w:rPr>
          <w:rFonts w:cs="宋体"/>
          <w:highlight w:val="none"/>
        </w:rPr>
      </w:pPr>
      <w:r>
        <w:rPr>
          <w:rFonts w:hint="eastAsia"/>
          <w:b/>
          <w:bCs/>
          <w:highlight w:val="none"/>
        </w:rPr>
        <w:t>四、投标费用</w:t>
      </w:r>
    </w:p>
    <w:p w14:paraId="53E39F61">
      <w:pPr>
        <w:ind w:firstLine="480"/>
        <w:rPr>
          <w:rFonts w:cs="宋体"/>
          <w:highlight w:val="none"/>
        </w:rPr>
      </w:pPr>
      <w:r>
        <w:rPr>
          <w:rFonts w:hint="eastAsia" w:cs="宋体"/>
          <w:highlight w:val="none"/>
        </w:rPr>
        <w:t>1.无论投标结果如何，投标人自行承担所有与参加投标有关的全部费用。</w:t>
      </w:r>
    </w:p>
    <w:p w14:paraId="6C4C0495">
      <w:pPr>
        <w:ind w:firstLine="480"/>
        <w:rPr>
          <w:rFonts w:cs="宋体"/>
          <w:highlight w:val="none"/>
        </w:rPr>
      </w:pPr>
      <w:r>
        <w:rPr>
          <w:rFonts w:hint="eastAsia" w:cs="宋体"/>
          <w:highlight w:val="none"/>
        </w:rPr>
        <w:t>2.中标人在中标通知书发出当日，应向招标代理机构交纳代理服务费，收费标准见“第三章-投标人须知-前附表-第15项”。</w:t>
      </w:r>
    </w:p>
    <w:p w14:paraId="1978D09A">
      <w:pPr>
        <w:ind w:firstLine="0" w:firstLineChars="0"/>
        <w:rPr>
          <w:b/>
          <w:bCs/>
          <w:highlight w:val="none"/>
        </w:rPr>
      </w:pPr>
      <w:r>
        <w:rPr>
          <w:rFonts w:hint="eastAsia"/>
          <w:b/>
          <w:bCs/>
          <w:highlight w:val="none"/>
        </w:rPr>
        <w:t>五、采购项目需要落实的政府采购政策</w:t>
      </w:r>
    </w:p>
    <w:p w14:paraId="1DAE3C53">
      <w:pPr>
        <w:ind w:firstLine="480"/>
        <w:rPr>
          <w:rFonts w:cs="宋体"/>
          <w:highlight w:val="none"/>
        </w:rPr>
      </w:pPr>
      <w:r>
        <w:rPr>
          <w:rFonts w:hint="eastAsia" w:cs="宋体"/>
          <w:highlight w:val="none"/>
        </w:rPr>
        <w:t>1.本项目原则上采购本国生产的货物、工程和服务，不允许采购进口产品。除非招标人采购进口产品，已经在采购活动开始前向财政部门提出申请并获得财政部门审核同意，且在采购需求中明确规定可以采购进口产品（但如果因信息不对称等原因，仍有满足需求的国内产品要求参与采购竞争的，招标人、招标代理机构不会对其加以限制，仍将按照公平竞争原则实施采购）。</w:t>
      </w:r>
    </w:p>
    <w:p w14:paraId="2F70F38C">
      <w:pPr>
        <w:ind w:firstLine="480"/>
        <w:rPr>
          <w:rFonts w:cs="宋体"/>
          <w:highlight w:val="none"/>
        </w:rPr>
      </w:pPr>
      <w:r>
        <w:rPr>
          <w:rFonts w:hint="eastAsia" w:cs="宋体"/>
          <w:highlight w:val="none"/>
        </w:rPr>
        <w:t>2.支持绿色发展</w:t>
      </w:r>
    </w:p>
    <w:p w14:paraId="14A04643">
      <w:pPr>
        <w:ind w:firstLine="480"/>
        <w:rPr>
          <w:rFonts w:cs="宋体"/>
          <w:b/>
          <w:highlight w:val="none"/>
        </w:rPr>
      </w:pPr>
      <w:r>
        <w:rPr>
          <w:rFonts w:hint="eastAsia" w:cs="宋体"/>
          <w:highlight w:val="none"/>
        </w:rPr>
        <w:t>2.1 招标人拟采购的产品属于品目清单范围的，招标人及其委托的招标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cs="宋体"/>
          <w:b/>
          <w:highlight w:val="none"/>
        </w:rPr>
        <w:t>招标人拟采购的产品属于政府强制采购的节能产品品目清单范围的，投标人未按招标文件要求提供国家确定的认证机构出具的、处于有效期之内的节能产品认证证书的，投标无效。</w:t>
      </w:r>
    </w:p>
    <w:p w14:paraId="4BF98BC1">
      <w:pPr>
        <w:ind w:firstLine="480"/>
        <w:rPr>
          <w:rFonts w:cs="宋体"/>
          <w:highlight w:val="none"/>
        </w:rPr>
      </w:pPr>
      <w:r>
        <w:rPr>
          <w:rFonts w:hint="eastAsia" w:cs="宋体"/>
          <w:highlight w:val="none"/>
        </w:rPr>
        <w:t>2.2 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14:paraId="676166B0">
      <w:pPr>
        <w:ind w:firstLine="480"/>
        <w:rPr>
          <w:rFonts w:cs="宋体"/>
          <w:highlight w:val="none"/>
        </w:rPr>
      </w:pPr>
      <w:r>
        <w:rPr>
          <w:rFonts w:hint="eastAsia" w:cs="宋体"/>
          <w:highlight w:val="none"/>
        </w:rPr>
        <w:t>3.支持中小企业发展</w:t>
      </w:r>
    </w:p>
    <w:p w14:paraId="59AA50E7">
      <w:pPr>
        <w:ind w:firstLine="480"/>
        <w:rPr>
          <w:rFonts w:cs="宋体"/>
          <w:highlight w:val="none"/>
        </w:rPr>
      </w:pPr>
      <w:r>
        <w:rPr>
          <w:rFonts w:hint="eastAsia" w:cs="宋体"/>
          <w:highlight w:val="none"/>
        </w:rPr>
        <w:t>3.1 中小企业，是指在中华人民共和国境内依法设立，依据国务院批准的中小企业划分标准确定的中型企业、小型企业和微型企业，但与大企业的负责人为同一人，或者与大企业存在直接控股、管理关系的除外。</w:t>
      </w:r>
    </w:p>
    <w:p w14:paraId="76CACA6D">
      <w:pPr>
        <w:ind w:firstLine="480"/>
        <w:rPr>
          <w:rFonts w:cs="宋体"/>
          <w:highlight w:val="none"/>
        </w:rPr>
      </w:pPr>
      <w:r>
        <w:rPr>
          <w:rFonts w:hint="eastAsia" w:cs="宋体"/>
          <w:highlight w:val="none"/>
        </w:rPr>
        <w:t>符合中小企业划分标准的个体工商户，在政府采购活动中视同中小企业。</w:t>
      </w:r>
    </w:p>
    <w:p w14:paraId="29FF7D29">
      <w:pPr>
        <w:widowControl/>
        <w:ind w:firstLine="480"/>
        <w:jc w:val="left"/>
        <w:rPr>
          <w:rFonts w:cs="宋体"/>
          <w:kern w:val="0"/>
          <w:highlight w:val="none"/>
        </w:rPr>
      </w:pPr>
      <w:r>
        <w:rPr>
          <w:rFonts w:hint="eastAsia" w:cs="宋体"/>
          <w:bCs/>
          <w:highlight w:val="none"/>
        </w:rPr>
        <w:t xml:space="preserve">3.2 </w:t>
      </w:r>
      <w:r>
        <w:rPr>
          <w:rFonts w:hint="eastAsia" w:cs="宋体"/>
          <w:kern w:val="0"/>
          <w:highlight w:val="none"/>
        </w:rPr>
        <w:t>在政府采购活动中，投标人提供的货物、工程或者服务符合下列情形的，享受中小企业扶持政策：</w:t>
      </w:r>
    </w:p>
    <w:p w14:paraId="1C838481">
      <w:pPr>
        <w:widowControl/>
        <w:ind w:firstLine="480"/>
        <w:jc w:val="left"/>
        <w:rPr>
          <w:rFonts w:cs="宋体"/>
          <w:kern w:val="0"/>
          <w:highlight w:val="none"/>
        </w:rPr>
      </w:pPr>
      <w:r>
        <w:rPr>
          <w:rFonts w:hint="eastAsia" w:cs="宋体"/>
          <w:kern w:val="0"/>
          <w:highlight w:val="none"/>
        </w:rPr>
        <w:t>3.2.1 在货物采购项目中，货物由中小企业制造，即货物由中小企业生产且使用该中小企业商号或者注册商标；</w:t>
      </w:r>
    </w:p>
    <w:p w14:paraId="70BC45C5">
      <w:pPr>
        <w:widowControl/>
        <w:ind w:firstLine="480"/>
        <w:jc w:val="left"/>
        <w:rPr>
          <w:rFonts w:cs="宋体"/>
          <w:kern w:val="0"/>
          <w:highlight w:val="none"/>
        </w:rPr>
      </w:pPr>
      <w:r>
        <w:rPr>
          <w:rFonts w:hint="eastAsia" w:cs="宋体"/>
          <w:kern w:val="0"/>
          <w:highlight w:val="none"/>
        </w:rPr>
        <w:t>3.2.2 在工程采购项目中，工程由中小企业承建，即工程施工单位为中小企业；</w:t>
      </w:r>
    </w:p>
    <w:p w14:paraId="2EB79ABD">
      <w:pPr>
        <w:widowControl/>
        <w:ind w:firstLine="480"/>
        <w:jc w:val="left"/>
        <w:rPr>
          <w:rFonts w:cs="宋体"/>
          <w:kern w:val="0"/>
          <w:highlight w:val="none"/>
        </w:rPr>
      </w:pPr>
      <w:r>
        <w:rPr>
          <w:rFonts w:hint="eastAsia" w:cs="宋体"/>
          <w:kern w:val="0"/>
          <w:highlight w:val="none"/>
        </w:rPr>
        <w:t>3.2.3 在服务采购项目中，服务由中小企业承接，即提供服务的人员为中小企业依照《中华人民共和国劳动合同法》订立劳动合同的从业人员。</w:t>
      </w:r>
    </w:p>
    <w:p w14:paraId="1777B8A8">
      <w:pPr>
        <w:widowControl/>
        <w:ind w:firstLine="480"/>
        <w:jc w:val="left"/>
        <w:rPr>
          <w:rFonts w:cs="宋体"/>
          <w:kern w:val="0"/>
          <w:highlight w:val="none"/>
        </w:rPr>
      </w:pPr>
      <w:r>
        <w:rPr>
          <w:rFonts w:hint="eastAsia" w:cs="宋体"/>
          <w:kern w:val="0"/>
          <w:highlight w:val="none"/>
        </w:rPr>
        <w:t>在货物采购项目中，投标人提供的货物既有中小企业制造货物，也有大型企业制造货物的，不享受中小企业扶持政策。</w:t>
      </w:r>
    </w:p>
    <w:p w14:paraId="6484FC24">
      <w:pPr>
        <w:widowControl/>
        <w:ind w:firstLine="480"/>
        <w:jc w:val="left"/>
        <w:rPr>
          <w:rFonts w:cs="宋体"/>
          <w:kern w:val="0"/>
          <w:highlight w:val="none"/>
        </w:rPr>
      </w:pPr>
      <w:r>
        <w:rPr>
          <w:rFonts w:hint="eastAsia" w:cs="宋体"/>
          <w:kern w:val="0"/>
          <w:highlight w:val="none"/>
        </w:rPr>
        <w:t>以联合体形式参加政府采购活动，联合体各方均为中小企业的，联合体视同中小企业。其中，联合体各方均为小微企业的，联合体视同小微企业。</w:t>
      </w:r>
    </w:p>
    <w:p w14:paraId="5B11B562">
      <w:pPr>
        <w:ind w:firstLine="480"/>
        <w:rPr>
          <w:rFonts w:cs="宋体"/>
          <w:highlight w:val="none"/>
        </w:rPr>
      </w:pPr>
      <w:r>
        <w:rPr>
          <w:rFonts w:hint="eastAsia" w:cs="宋体"/>
          <w:highlight w:val="none"/>
        </w:rPr>
        <w:t>3.3 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4057E2">
      <w:pPr>
        <w:ind w:firstLine="480"/>
        <w:rPr>
          <w:rFonts w:cs="宋体"/>
          <w:highlight w:val="none"/>
        </w:rPr>
      </w:pPr>
      <w:r>
        <w:rPr>
          <w:rFonts w:hint="eastAsia" w:cs="宋体"/>
          <w:highlight w:val="none"/>
        </w:rPr>
        <w:t>3.4 符合《关于促进残疾人就业政府采购政策的通知》（财库〔2017〕141号）规定的条件并提供《残疾人福利性单位声明函》的残疾人福利性单位视同小型、微型企业。</w:t>
      </w:r>
    </w:p>
    <w:p w14:paraId="13022E7C">
      <w:pPr>
        <w:ind w:firstLine="480"/>
        <w:rPr>
          <w:rFonts w:cs="宋体"/>
          <w:highlight w:val="none"/>
        </w:rPr>
      </w:pPr>
      <w:r>
        <w:rPr>
          <w:rFonts w:hint="eastAsia" w:cs="宋体"/>
          <w:highlight w:val="none"/>
        </w:rPr>
        <w:t>3.5 符合《关于政府采购支持监狱企业发展有关问题的通知》（财库[2014]68号）规定的监狱企业并提供由省级以上监狱管理局、戒毒管理局（含新疆生产建设兵团）出具的属于监狱企业证明文件的，视同为小型、微型企业。</w:t>
      </w:r>
    </w:p>
    <w:p w14:paraId="7D682247">
      <w:pPr>
        <w:ind w:firstLine="480"/>
        <w:rPr>
          <w:rFonts w:cs="宋体"/>
          <w:highlight w:val="none"/>
        </w:rPr>
      </w:pPr>
      <w:r>
        <w:rPr>
          <w:rFonts w:hint="eastAsia" w:cs="宋体"/>
          <w:highlight w:val="none"/>
        </w:rPr>
        <w:t>3.6 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64A7890">
      <w:pPr>
        <w:ind w:firstLine="480"/>
        <w:rPr>
          <w:rFonts w:cs="宋体"/>
          <w:highlight w:val="none"/>
        </w:rPr>
      </w:pPr>
      <w:r>
        <w:rPr>
          <w:rFonts w:hint="eastAsia" w:cs="宋体"/>
          <w:highlight w:val="none"/>
        </w:rPr>
        <w:t>3.7 中小企业享受扶持政策获得政府采购合同的，小微企业不得将合同分包给大中型企业，中型企业不得将合同分包给大型企业。</w:t>
      </w:r>
    </w:p>
    <w:p w14:paraId="28BE25F4">
      <w:pPr>
        <w:ind w:firstLine="480"/>
        <w:rPr>
          <w:rFonts w:cs="宋体"/>
          <w:highlight w:val="none"/>
        </w:rPr>
      </w:pPr>
      <w:r>
        <w:rPr>
          <w:rFonts w:hint="eastAsia" w:cs="宋体"/>
          <w:highlight w:val="none"/>
        </w:rPr>
        <w:t>4.</w:t>
      </w:r>
      <w:r>
        <w:rPr>
          <w:rFonts w:hint="eastAsia" w:cs="宋体"/>
          <w:bCs/>
          <w:highlight w:val="none"/>
        </w:rPr>
        <w:t>支持创新发展</w:t>
      </w:r>
    </w:p>
    <w:p w14:paraId="2B072402">
      <w:pPr>
        <w:ind w:firstLine="480"/>
        <w:rPr>
          <w:rFonts w:cs="宋体"/>
          <w:highlight w:val="none"/>
        </w:rPr>
      </w:pPr>
      <w:r>
        <w:rPr>
          <w:rFonts w:hint="eastAsia" w:cs="宋体"/>
          <w:highlight w:val="none"/>
        </w:rPr>
        <w:t>4.1 招标人优先采购被认定为首台套产品和“制造精品”的自主创新产品。</w:t>
      </w:r>
    </w:p>
    <w:p w14:paraId="4B58E436">
      <w:pPr>
        <w:ind w:firstLine="480"/>
        <w:rPr>
          <w:rFonts w:cs="宋体"/>
          <w:highlight w:val="none"/>
        </w:rPr>
      </w:pPr>
      <w:r>
        <w:rPr>
          <w:rFonts w:hint="eastAsia" w:cs="宋体"/>
          <w:highlight w:val="none"/>
        </w:rPr>
        <w:t>4.2 首台套产品被纳入《首台套产品推广应用指导目录》之日起3年内，以及产品核心技术高于国内领先水平，并具有明晰自主知识产权的“制造精品”产品，自认定之日起三年内视同已具备相应销售业绩，参加政府采购活动时业绩分值为满分。</w:t>
      </w:r>
    </w:p>
    <w:p w14:paraId="27867BE3">
      <w:pPr>
        <w:pStyle w:val="5"/>
        <w:ind w:left="480" w:leftChars="200"/>
        <w:rPr>
          <w:rFonts w:cs="宋体"/>
          <w:b w:val="0"/>
          <w:bCs w:val="0"/>
          <w:highlight w:val="none"/>
        </w:rPr>
      </w:pPr>
      <w:r>
        <w:rPr>
          <w:rFonts w:hint="eastAsia" w:cs="宋体"/>
          <w:b w:val="0"/>
          <w:bCs w:val="0"/>
          <w:highlight w:val="none"/>
        </w:rPr>
        <w:t>5.中小企业信用融资</w:t>
      </w:r>
    </w:p>
    <w:p w14:paraId="155C4121">
      <w:pPr>
        <w:pStyle w:val="5"/>
        <w:ind w:firstLine="480" w:firstLineChars="200"/>
        <w:rPr>
          <w:rFonts w:cs="宋体"/>
          <w:highlight w:val="none"/>
        </w:rPr>
      </w:pPr>
      <w:r>
        <w:rPr>
          <w:rFonts w:hint="eastAsia" w:cs="宋体"/>
          <w:b w:val="0"/>
          <w:bCs w:val="0"/>
          <w:highlight w:val="none"/>
        </w:rPr>
        <w:t>投标人若有融资意向，详见《政府采购支持中小企业信用融资相关事项通知》，或登录浙江政府采购网“中小企业信用融资”模块，查看信用融资政策及相关银行服务方案。</w:t>
      </w:r>
    </w:p>
    <w:p w14:paraId="4CA34CFE">
      <w:pPr>
        <w:ind w:firstLine="0" w:firstLineChars="0"/>
        <w:rPr>
          <w:rFonts w:cs="宋体"/>
          <w:highlight w:val="none"/>
        </w:rPr>
      </w:pPr>
      <w:r>
        <w:rPr>
          <w:rFonts w:hint="eastAsia"/>
          <w:b/>
          <w:bCs/>
          <w:highlight w:val="none"/>
        </w:rPr>
        <w:t>六、询问、质疑、投诉</w:t>
      </w:r>
    </w:p>
    <w:p w14:paraId="6A898154">
      <w:pPr>
        <w:autoSpaceDE w:val="0"/>
        <w:autoSpaceDN w:val="0"/>
        <w:ind w:firstLine="480"/>
        <w:jc w:val="left"/>
        <w:rPr>
          <w:rFonts w:cs="宋体"/>
          <w:kern w:val="0"/>
          <w:highlight w:val="none"/>
          <w:lang w:val="zh-CN"/>
        </w:rPr>
      </w:pPr>
      <w:r>
        <w:rPr>
          <w:rFonts w:hint="eastAsia" w:cs="宋体"/>
          <w:kern w:val="0"/>
          <w:highlight w:val="none"/>
          <w:lang w:val="zh-CN"/>
        </w:rPr>
        <w:t>1</w:t>
      </w:r>
      <w:r>
        <w:rPr>
          <w:rFonts w:hint="eastAsia" w:cs="宋体"/>
          <w:kern w:val="0"/>
          <w:highlight w:val="none"/>
        </w:rPr>
        <w:t>.</w:t>
      </w:r>
      <w:r>
        <w:rPr>
          <w:rFonts w:hint="eastAsia" w:cs="宋体"/>
          <w:kern w:val="0"/>
          <w:highlight w:val="none"/>
          <w:lang w:val="zh-CN"/>
        </w:rPr>
        <w:t>投标人询问</w:t>
      </w:r>
    </w:p>
    <w:p w14:paraId="6962E20D">
      <w:pPr>
        <w:autoSpaceDE w:val="0"/>
        <w:autoSpaceDN w:val="0"/>
        <w:ind w:firstLine="480"/>
        <w:jc w:val="left"/>
        <w:rPr>
          <w:rFonts w:cs="宋体"/>
          <w:kern w:val="0"/>
          <w:highlight w:val="none"/>
          <w:lang w:val="zh-CN"/>
        </w:rPr>
      </w:pPr>
      <w:r>
        <w:rPr>
          <w:rFonts w:hint="eastAsia" w:cs="宋体"/>
          <w:kern w:val="0"/>
          <w:highlight w:val="none"/>
          <w:lang w:val="zh-CN"/>
        </w:rPr>
        <w:t>投标人对政府采购活动事项有疑问的，可以提出询问，招标人或者招标代理机构应当在3个工作日内对投标人依法提出的询问作出答复，但答复的内容不得涉及商业秘密。投标人提出的询问超出招标人对招标代理机构委托授权范围的，招标代理机构应当告知投标人向招标人提出。</w:t>
      </w:r>
    </w:p>
    <w:p w14:paraId="6F5501BE">
      <w:pPr>
        <w:autoSpaceDE w:val="0"/>
        <w:autoSpaceDN w:val="0"/>
        <w:ind w:firstLine="480"/>
        <w:jc w:val="left"/>
        <w:rPr>
          <w:rFonts w:cs="宋体"/>
          <w:kern w:val="0"/>
          <w:highlight w:val="none"/>
          <w:lang w:val="zh-CN"/>
        </w:rPr>
      </w:pPr>
      <w:r>
        <w:rPr>
          <w:rFonts w:hint="eastAsia" w:cs="宋体"/>
          <w:kern w:val="0"/>
          <w:highlight w:val="none"/>
          <w:lang w:val="zh-CN"/>
        </w:rPr>
        <w:t>2</w:t>
      </w:r>
      <w:r>
        <w:rPr>
          <w:rFonts w:hint="eastAsia" w:cs="宋体"/>
          <w:kern w:val="0"/>
          <w:highlight w:val="none"/>
        </w:rPr>
        <w:t>.</w:t>
      </w:r>
      <w:r>
        <w:rPr>
          <w:rFonts w:hint="eastAsia" w:cs="宋体"/>
          <w:kern w:val="0"/>
          <w:highlight w:val="none"/>
          <w:lang w:val="zh-CN"/>
        </w:rPr>
        <w:t>投标人质疑</w:t>
      </w:r>
    </w:p>
    <w:p w14:paraId="1DFFAE7D">
      <w:pPr>
        <w:pStyle w:val="20"/>
        <w:spacing w:line="360" w:lineRule="auto"/>
        <w:ind w:firstLine="480" w:firstLineChars="200"/>
        <w:rPr>
          <w:rFonts w:hAnsi="宋体" w:cs="宋体"/>
          <w:sz w:val="24"/>
          <w:highlight w:val="none"/>
        </w:rPr>
      </w:pPr>
      <w:r>
        <w:rPr>
          <w:rFonts w:hint="eastAsia" w:hAnsi="宋体" w:cs="宋体"/>
          <w:sz w:val="24"/>
          <w:highlight w:val="none"/>
        </w:rPr>
        <w:t>（1）提出质疑的投标人应当是参与所质疑项目招标活动的投标人。潜在投标人已依法获取其可质疑的招标文件的，可以对该文件提出质疑。</w:t>
      </w:r>
    </w:p>
    <w:p w14:paraId="3096F31F">
      <w:pPr>
        <w:pStyle w:val="20"/>
        <w:spacing w:line="360" w:lineRule="auto"/>
        <w:ind w:firstLine="480" w:firstLineChars="200"/>
        <w:rPr>
          <w:rFonts w:hAnsi="宋体" w:cs="宋体"/>
          <w:sz w:val="24"/>
          <w:highlight w:val="none"/>
        </w:rPr>
      </w:pPr>
      <w:r>
        <w:rPr>
          <w:rFonts w:hint="eastAsia" w:hAnsi="宋体" w:cs="宋体"/>
          <w:kern w:val="0"/>
          <w:sz w:val="24"/>
          <w:highlight w:val="none"/>
          <w:lang w:val="zh-CN"/>
        </w:rPr>
        <w:t>（</w:t>
      </w:r>
      <w:r>
        <w:rPr>
          <w:rFonts w:hint="eastAsia" w:hAnsi="宋体" w:cs="宋体"/>
          <w:sz w:val="24"/>
          <w:highlight w:val="none"/>
        </w:rPr>
        <w:t>2）投标人认为招标文件、招标过程和中标结果使自己的权益受到损害的，可以在知道或者应知其权益受到损害之日起七个工作日内，以书面形式向招标人或者招标机构提出质疑，否则，招标人或者招标机构不予受理：</w:t>
      </w:r>
    </w:p>
    <w:p w14:paraId="012F8F6B">
      <w:pPr>
        <w:pStyle w:val="8"/>
        <w:spacing w:line="420" w:lineRule="exact"/>
        <w:ind w:firstLine="720" w:firstLineChars="300"/>
        <w:rPr>
          <w:rFonts w:ascii="宋体" w:hAnsi="宋体" w:cs="宋体"/>
          <w:sz w:val="24"/>
          <w:highlight w:val="none"/>
        </w:rPr>
      </w:pPr>
      <w:r>
        <w:rPr>
          <w:rFonts w:hint="eastAsia" w:ascii="宋体" w:hAnsi="宋体" w:cs="宋体"/>
          <w:sz w:val="24"/>
          <w:highlight w:val="none"/>
        </w:rPr>
        <w:t>1）对招标文件提出质疑的，质疑期限为投标人获得招标文件之日或者招标文件公告期限届满之日起计算。</w:t>
      </w:r>
    </w:p>
    <w:p w14:paraId="373F0DA5">
      <w:pPr>
        <w:pStyle w:val="20"/>
        <w:spacing w:line="420" w:lineRule="exact"/>
        <w:ind w:firstLine="720" w:firstLineChars="300"/>
        <w:rPr>
          <w:rFonts w:hAnsi="宋体" w:cs="宋体"/>
          <w:sz w:val="24"/>
          <w:highlight w:val="none"/>
        </w:rPr>
      </w:pPr>
      <w:r>
        <w:rPr>
          <w:rFonts w:hint="eastAsia" w:hAnsi="宋体" w:cs="宋体"/>
          <w:sz w:val="24"/>
          <w:highlight w:val="none"/>
        </w:rPr>
        <w:t>2）对招标过程提出质疑的，质疑期限为各招标程序环节结束之日起计算。对同一招标程序环节的质疑，投标人须一次性提出。</w:t>
      </w:r>
    </w:p>
    <w:p w14:paraId="72B8A022">
      <w:pPr>
        <w:pStyle w:val="20"/>
        <w:spacing w:line="420" w:lineRule="exact"/>
        <w:ind w:firstLine="720" w:firstLineChars="300"/>
        <w:rPr>
          <w:rFonts w:hAnsi="宋体" w:cs="宋体"/>
          <w:sz w:val="24"/>
          <w:highlight w:val="none"/>
        </w:rPr>
      </w:pPr>
      <w:r>
        <w:rPr>
          <w:rFonts w:hint="eastAsia" w:hAnsi="宋体" w:cs="宋体"/>
          <w:sz w:val="24"/>
          <w:highlight w:val="none"/>
        </w:rPr>
        <w:t>3）对招标结果提出质疑的，质疑期限自招标结果公告期限届满之日起计算。</w:t>
      </w:r>
    </w:p>
    <w:p w14:paraId="4A0B691B">
      <w:pPr>
        <w:pStyle w:val="20"/>
        <w:spacing w:line="420" w:lineRule="exact"/>
        <w:ind w:firstLine="480" w:firstLineChars="200"/>
        <w:rPr>
          <w:rFonts w:hAnsi="宋体" w:cs="宋体"/>
          <w:kern w:val="0"/>
          <w:sz w:val="24"/>
          <w:highlight w:val="none"/>
          <w:lang w:val="zh-CN"/>
        </w:rPr>
      </w:pPr>
      <w:r>
        <w:rPr>
          <w:rFonts w:hint="eastAsia" w:hAnsi="宋体" w:cs="宋体"/>
          <w:kern w:val="0"/>
          <w:sz w:val="24"/>
          <w:highlight w:val="none"/>
          <w:lang w:val="zh-CN"/>
        </w:rPr>
        <w:t>（</w:t>
      </w:r>
      <w:r>
        <w:rPr>
          <w:rFonts w:hint="eastAsia" w:hAnsi="宋体" w:cs="宋体"/>
          <w:kern w:val="0"/>
          <w:sz w:val="24"/>
          <w:highlight w:val="none"/>
        </w:rPr>
        <w:t>3）</w:t>
      </w:r>
      <w:r>
        <w:rPr>
          <w:rFonts w:hint="eastAsia" w:hAnsi="宋体" w:cs="宋体"/>
          <w:sz w:val="24"/>
          <w:highlight w:val="none"/>
        </w:rPr>
        <w:t>投标人提出质疑应当提交质疑函和必要的证明材料。质疑函应当包括下列内容：</w:t>
      </w:r>
    </w:p>
    <w:p w14:paraId="6A317EE2">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1）</w:t>
      </w:r>
      <w:r>
        <w:rPr>
          <w:rFonts w:hint="eastAsia" w:hAnsi="宋体" w:cs="宋体"/>
          <w:kern w:val="0"/>
          <w:sz w:val="24"/>
          <w:highlight w:val="none"/>
          <w:lang w:val="zh-CN"/>
        </w:rPr>
        <w:t>投标人的姓名或者名称、地址、邮编、联系人及联系电话；</w:t>
      </w:r>
    </w:p>
    <w:p w14:paraId="18DA66A1">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2）</w:t>
      </w:r>
      <w:r>
        <w:rPr>
          <w:rFonts w:hint="eastAsia" w:hAnsi="宋体" w:cs="宋体"/>
          <w:kern w:val="0"/>
          <w:sz w:val="24"/>
          <w:highlight w:val="none"/>
          <w:lang w:val="zh-CN"/>
        </w:rPr>
        <w:t>质疑项目的名称、编号；</w:t>
      </w:r>
    </w:p>
    <w:p w14:paraId="6F4CCB87">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3）</w:t>
      </w:r>
      <w:r>
        <w:rPr>
          <w:rFonts w:hint="eastAsia" w:hAnsi="宋体" w:cs="宋体"/>
          <w:kern w:val="0"/>
          <w:sz w:val="24"/>
          <w:highlight w:val="none"/>
          <w:lang w:val="zh-CN"/>
        </w:rPr>
        <w:t>具体、明确的质疑事项和与质疑事项相关的请求；</w:t>
      </w:r>
    </w:p>
    <w:p w14:paraId="6BEE384F">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4）</w:t>
      </w:r>
      <w:r>
        <w:rPr>
          <w:rFonts w:hint="eastAsia" w:hAnsi="宋体" w:cs="宋体"/>
          <w:kern w:val="0"/>
          <w:sz w:val="24"/>
          <w:highlight w:val="none"/>
          <w:lang w:val="zh-CN"/>
        </w:rPr>
        <w:t>事实依据；</w:t>
      </w:r>
    </w:p>
    <w:p w14:paraId="2000621D">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5）</w:t>
      </w:r>
      <w:r>
        <w:rPr>
          <w:rFonts w:hint="eastAsia" w:hAnsi="宋体" w:cs="宋体"/>
          <w:kern w:val="0"/>
          <w:sz w:val="24"/>
          <w:highlight w:val="none"/>
          <w:lang w:val="zh-CN"/>
        </w:rPr>
        <w:t>必要的法律依据；</w:t>
      </w:r>
    </w:p>
    <w:p w14:paraId="17432F85">
      <w:pPr>
        <w:pStyle w:val="20"/>
        <w:spacing w:line="420" w:lineRule="exact"/>
        <w:ind w:firstLine="720" w:firstLineChars="300"/>
        <w:rPr>
          <w:rFonts w:hAnsi="宋体" w:cs="宋体"/>
          <w:kern w:val="0"/>
          <w:sz w:val="24"/>
          <w:highlight w:val="none"/>
          <w:lang w:val="zh-CN"/>
        </w:rPr>
      </w:pPr>
      <w:r>
        <w:rPr>
          <w:rFonts w:hint="eastAsia" w:hAnsi="宋体" w:cs="宋体"/>
          <w:sz w:val="24"/>
          <w:highlight w:val="none"/>
        </w:rPr>
        <w:t>6）</w:t>
      </w:r>
      <w:r>
        <w:rPr>
          <w:rFonts w:hint="eastAsia" w:hAnsi="宋体" w:cs="宋体"/>
          <w:kern w:val="0"/>
          <w:sz w:val="24"/>
          <w:highlight w:val="none"/>
          <w:lang w:val="zh-CN"/>
        </w:rPr>
        <w:t>提出质疑的日期。</w:t>
      </w:r>
    </w:p>
    <w:p w14:paraId="06739B89">
      <w:pPr>
        <w:spacing w:line="420" w:lineRule="exact"/>
        <w:ind w:firstLine="480"/>
        <w:rPr>
          <w:highlight w:val="none"/>
        </w:rPr>
      </w:pPr>
      <w:r>
        <w:rPr>
          <w:rFonts w:hint="eastAsia"/>
          <w:highlight w:val="none"/>
        </w:rPr>
        <w:t>投标人提交的质疑函需一式三份。投标人为自然人的，应当由本人签字；投标人为法人或者其他组织的，应当由法定代表人、主要负责人，或者其授权代表签字或者盖章，并加盖公章。</w:t>
      </w:r>
    </w:p>
    <w:p w14:paraId="3389E26E">
      <w:pPr>
        <w:spacing w:line="420" w:lineRule="exact"/>
        <w:ind w:firstLine="480"/>
        <w:rPr>
          <w:highlight w:val="none"/>
        </w:rPr>
      </w:pPr>
      <w:r>
        <w:rPr>
          <w:rFonts w:hint="eastAsia"/>
          <w:highlight w:val="none"/>
          <w:lang w:val="zh-CN"/>
        </w:rPr>
        <w:t>（</w:t>
      </w:r>
      <w:r>
        <w:rPr>
          <w:rFonts w:hint="eastAsia"/>
          <w:highlight w:val="none"/>
        </w:rPr>
        <w:t>4）招标人或者招标机构应当在收到投标人的书面质疑后七个工作日内作出答复，并以书面形式通知质疑投标人和其他与质疑处理结果有利害关系的政府采购当事人，但答复的内容不得涉及商业秘密。招标人或者招标机构在质疑回复后5个工作日内，在浙江政府采购网的“其他公告”栏目公开质疑答复，答复内容应当完整。质疑函作为附件上传。</w:t>
      </w:r>
    </w:p>
    <w:p w14:paraId="348BD91D">
      <w:pPr>
        <w:spacing w:line="420" w:lineRule="exact"/>
        <w:ind w:firstLine="480"/>
        <w:rPr>
          <w:highlight w:val="none"/>
        </w:rPr>
      </w:pPr>
      <w:r>
        <w:rPr>
          <w:rFonts w:hint="eastAsia"/>
          <w:highlight w:val="none"/>
          <w:lang w:val="zh-CN"/>
        </w:rPr>
        <w:t>（</w:t>
      </w:r>
      <w:r>
        <w:rPr>
          <w:rFonts w:hint="eastAsia"/>
          <w:highlight w:val="none"/>
        </w:rPr>
        <w:t>5）询问或者质疑事项可能影响采购结果的，招标人应当暂停签订合同，已经签订合同的，应当中止履行合同。</w:t>
      </w:r>
    </w:p>
    <w:p w14:paraId="647501F1">
      <w:pPr>
        <w:spacing w:line="420" w:lineRule="exact"/>
        <w:ind w:firstLine="480"/>
        <w:rPr>
          <w:highlight w:val="none"/>
          <w:lang w:val="zh-CN"/>
        </w:rPr>
      </w:pPr>
      <w:r>
        <w:rPr>
          <w:rFonts w:hint="eastAsia"/>
          <w:highlight w:val="none"/>
        </w:rPr>
        <w:t>3.</w:t>
      </w:r>
      <w:r>
        <w:rPr>
          <w:rFonts w:hint="eastAsia"/>
          <w:highlight w:val="none"/>
          <w:lang w:val="zh-CN"/>
        </w:rPr>
        <w:t>投标人投诉</w:t>
      </w:r>
    </w:p>
    <w:p w14:paraId="567EFD36">
      <w:pPr>
        <w:spacing w:line="420" w:lineRule="exact"/>
        <w:ind w:firstLine="480"/>
        <w:rPr>
          <w:highlight w:val="none"/>
        </w:rPr>
      </w:pPr>
      <w:r>
        <w:rPr>
          <w:rFonts w:hint="eastAsia"/>
          <w:highlight w:val="none"/>
        </w:rPr>
        <w:t>（1）质疑投标人对招标人、招标机构的答复不满意或者招标人、招标机构未在规定的时间内作出答复的，可以在答复期满后十五个工作日内向同级政府采购监督管理部门提出投诉。</w:t>
      </w:r>
    </w:p>
    <w:p w14:paraId="57191791">
      <w:pPr>
        <w:spacing w:line="420" w:lineRule="exact"/>
        <w:ind w:firstLine="480"/>
        <w:rPr>
          <w:highlight w:val="none"/>
        </w:rPr>
      </w:pPr>
      <w:r>
        <w:rPr>
          <w:rFonts w:hint="eastAsia"/>
          <w:highlight w:val="none"/>
        </w:rPr>
        <w:t>（</w:t>
      </w:r>
      <w:r>
        <w:rPr>
          <w:rFonts w:hint="eastAsia"/>
          <w:highlight w:val="none"/>
          <w:lang w:val="zh-CN"/>
        </w:rPr>
        <w:t>2）</w:t>
      </w:r>
      <w:r>
        <w:rPr>
          <w:rFonts w:hint="eastAsia"/>
          <w:highlight w:val="none"/>
        </w:rPr>
        <w:t>投标人投诉的事项不得超出已质疑事项的范围，基于质疑答复内容提出的投诉事项除外。</w:t>
      </w:r>
    </w:p>
    <w:p w14:paraId="4D049267">
      <w:pPr>
        <w:spacing w:line="420" w:lineRule="exact"/>
        <w:ind w:firstLine="480"/>
        <w:rPr>
          <w:highlight w:val="none"/>
        </w:rPr>
      </w:pPr>
      <w:r>
        <w:rPr>
          <w:rFonts w:hint="eastAsia"/>
          <w:highlight w:val="none"/>
        </w:rPr>
        <w:t>（3）投标人投诉应当有明确的请求和必要的证明材料。</w:t>
      </w:r>
    </w:p>
    <w:p w14:paraId="2EDE6325">
      <w:pPr>
        <w:spacing w:line="440" w:lineRule="exact"/>
        <w:ind w:firstLine="0" w:firstLineChars="0"/>
        <w:rPr>
          <w:b/>
          <w:bCs/>
          <w:highlight w:val="none"/>
        </w:rPr>
      </w:pPr>
      <w:r>
        <w:rPr>
          <w:rFonts w:hint="eastAsia"/>
          <w:b/>
          <w:bCs/>
          <w:highlight w:val="none"/>
        </w:rPr>
        <w:t>七、特别说明</w:t>
      </w:r>
    </w:p>
    <w:p w14:paraId="5BF4CB19">
      <w:pPr>
        <w:spacing w:line="440" w:lineRule="exact"/>
        <w:ind w:firstLine="480"/>
        <w:rPr>
          <w:rFonts w:cs="宋体"/>
          <w:highlight w:val="none"/>
        </w:rPr>
        <w:sectPr>
          <w:pgSz w:w="11906" w:h="16838"/>
          <w:pgMar w:top="1247" w:right="1247" w:bottom="1247" w:left="1247" w:header="170" w:footer="567" w:gutter="0"/>
          <w:cols w:space="720" w:num="1"/>
          <w:docGrid w:linePitch="381" w:charSpace="0"/>
        </w:sectPr>
      </w:pPr>
      <w:r>
        <w:rPr>
          <w:rFonts w:hint="eastAsia" w:cs="宋体"/>
          <w:highlight w:val="none"/>
        </w:rPr>
        <w:t>投标人在投标活动中提供任何虚假材料，其投标无效，并报相关监管部门查处；中标后发现的,处以招标金额千分之五以上千分之十以下的罚款，列入不良行为记录名单，在一至三年内禁止参加招标活动，有违法所得的，并处没收违法所得，情节严重的，由相关管理机关吊销营业执照；构成犯罪的，依法追究刑事责任。</w:t>
      </w:r>
    </w:p>
    <w:p w14:paraId="2B7C654C">
      <w:pPr>
        <w:pStyle w:val="4"/>
        <w:jc w:val="center"/>
        <w:rPr>
          <w:rFonts w:ascii="宋体" w:hAnsi="宋体" w:cs="宋体"/>
          <w:sz w:val="24"/>
          <w:szCs w:val="24"/>
          <w:highlight w:val="none"/>
        </w:rPr>
      </w:pPr>
      <w:bookmarkStart w:id="49" w:name="_Toc91899879"/>
      <w:bookmarkStart w:id="50" w:name="_Toc16985"/>
      <w:r>
        <w:rPr>
          <w:rFonts w:hint="eastAsia" w:ascii="宋体" w:hAnsi="宋体" w:cs="宋体"/>
          <w:sz w:val="24"/>
          <w:szCs w:val="24"/>
          <w:highlight w:val="none"/>
        </w:rPr>
        <w:t>第二节  招标文件</w:t>
      </w:r>
      <w:bookmarkEnd w:id="49"/>
      <w:r>
        <w:rPr>
          <w:rFonts w:hint="eastAsia" w:ascii="宋体" w:hAnsi="宋体" w:cs="宋体"/>
          <w:sz w:val="24"/>
          <w:szCs w:val="24"/>
          <w:highlight w:val="none"/>
        </w:rPr>
        <w:t>的构成、澄清、修改</w:t>
      </w:r>
      <w:bookmarkEnd w:id="50"/>
    </w:p>
    <w:p w14:paraId="0B50C59A">
      <w:pPr>
        <w:ind w:firstLine="0" w:firstLineChars="0"/>
        <w:rPr>
          <w:b/>
          <w:bCs/>
          <w:highlight w:val="none"/>
        </w:rPr>
      </w:pPr>
      <w:bookmarkStart w:id="51" w:name="_Toc91899880"/>
      <w:bookmarkStart w:id="52" w:name="_Hlt74730307"/>
      <w:r>
        <w:rPr>
          <w:rFonts w:hint="eastAsia"/>
          <w:b/>
          <w:bCs/>
          <w:highlight w:val="none"/>
        </w:rPr>
        <w:t>一、招标文件的构成</w:t>
      </w:r>
      <w:bookmarkEnd w:id="51"/>
    </w:p>
    <w:bookmarkEnd w:id="52"/>
    <w:p w14:paraId="1897D9D8">
      <w:pPr>
        <w:pStyle w:val="20"/>
        <w:spacing w:line="360" w:lineRule="auto"/>
        <w:ind w:firstLine="480" w:firstLineChars="200"/>
        <w:rPr>
          <w:rFonts w:hAnsi="宋体" w:cs="宋体"/>
          <w:sz w:val="24"/>
          <w:szCs w:val="24"/>
          <w:highlight w:val="none"/>
        </w:rPr>
      </w:pPr>
      <w:r>
        <w:rPr>
          <w:rFonts w:hint="eastAsia" w:hAnsi="宋体" w:cs="宋体"/>
          <w:sz w:val="24"/>
          <w:szCs w:val="24"/>
          <w:highlight w:val="none"/>
        </w:rPr>
        <w:t>1.招标文件包括下列文件及附件：</w:t>
      </w:r>
    </w:p>
    <w:p w14:paraId="00036F2F">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"_Toc32332" </w:instrText>
      </w:r>
      <w:r>
        <w:rPr>
          <w:highlight w:val="none"/>
        </w:rPr>
        <w:fldChar w:fldCharType="separate"/>
      </w:r>
      <w:r>
        <w:rPr>
          <w:rFonts w:hint="eastAsia" w:hAnsi="宋体" w:cs="宋体"/>
          <w:sz w:val="24"/>
          <w:szCs w:val="24"/>
          <w:highlight w:val="none"/>
        </w:rPr>
        <w:t>第一章 招标公告</w:t>
      </w:r>
      <w:r>
        <w:rPr>
          <w:rFonts w:hint="eastAsia" w:hAnsi="宋体" w:cs="宋体"/>
          <w:sz w:val="24"/>
          <w:szCs w:val="24"/>
          <w:highlight w:val="none"/>
        </w:rPr>
        <w:fldChar w:fldCharType="end"/>
      </w:r>
      <w:r>
        <w:rPr>
          <w:rFonts w:hint="eastAsia" w:hAnsi="宋体" w:cs="宋体"/>
          <w:sz w:val="24"/>
          <w:szCs w:val="24"/>
          <w:highlight w:val="none"/>
        </w:rPr>
        <w:t>；</w:t>
      </w:r>
    </w:p>
    <w:p w14:paraId="7D0C880F">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"_Toc24282" </w:instrText>
      </w:r>
      <w:r>
        <w:rPr>
          <w:highlight w:val="none"/>
        </w:rPr>
        <w:fldChar w:fldCharType="separate"/>
      </w:r>
      <w:r>
        <w:rPr>
          <w:rFonts w:hint="eastAsia" w:hAnsi="宋体" w:cs="宋体"/>
          <w:sz w:val="24"/>
          <w:szCs w:val="24"/>
          <w:highlight w:val="none"/>
        </w:rPr>
        <w:t>第二章 采购需求</w:t>
      </w:r>
      <w:r>
        <w:rPr>
          <w:rFonts w:hint="eastAsia" w:hAnsi="宋体" w:cs="宋体"/>
          <w:sz w:val="24"/>
          <w:szCs w:val="24"/>
          <w:highlight w:val="none"/>
        </w:rPr>
        <w:fldChar w:fldCharType="end"/>
      </w:r>
      <w:r>
        <w:rPr>
          <w:rFonts w:hint="eastAsia" w:hAnsi="宋体" w:cs="宋体"/>
          <w:sz w:val="24"/>
          <w:szCs w:val="24"/>
          <w:highlight w:val="none"/>
        </w:rPr>
        <w:t>；</w:t>
      </w:r>
    </w:p>
    <w:p w14:paraId="5554A698">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"_Toc7338" </w:instrText>
      </w:r>
      <w:r>
        <w:rPr>
          <w:highlight w:val="none"/>
        </w:rPr>
        <w:fldChar w:fldCharType="separate"/>
      </w:r>
      <w:r>
        <w:rPr>
          <w:rFonts w:hint="eastAsia" w:hAnsi="宋体" w:cs="宋体"/>
          <w:sz w:val="24"/>
          <w:szCs w:val="24"/>
          <w:highlight w:val="none"/>
        </w:rPr>
        <w:t>第三章 投标人须知</w:t>
      </w:r>
      <w:r>
        <w:rPr>
          <w:rFonts w:hint="eastAsia" w:hAnsi="宋体" w:cs="宋体"/>
          <w:sz w:val="24"/>
          <w:szCs w:val="24"/>
          <w:highlight w:val="none"/>
        </w:rPr>
        <w:fldChar w:fldCharType="end"/>
      </w:r>
      <w:r>
        <w:rPr>
          <w:rFonts w:hint="eastAsia" w:hAnsi="宋体" w:cs="宋体"/>
          <w:sz w:val="24"/>
          <w:szCs w:val="24"/>
          <w:highlight w:val="none"/>
        </w:rPr>
        <w:t>；</w:t>
      </w:r>
    </w:p>
    <w:p w14:paraId="5C177205">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"_Toc22869" </w:instrText>
      </w:r>
      <w:r>
        <w:rPr>
          <w:highlight w:val="none"/>
        </w:rPr>
        <w:fldChar w:fldCharType="separate"/>
      </w:r>
      <w:r>
        <w:rPr>
          <w:rFonts w:hint="eastAsia" w:hAnsi="宋体" w:cs="宋体"/>
          <w:sz w:val="24"/>
          <w:szCs w:val="24"/>
          <w:highlight w:val="none"/>
        </w:rPr>
        <w:t>第四章 评标办法及评分标准</w:t>
      </w:r>
      <w:r>
        <w:rPr>
          <w:rFonts w:hint="eastAsia" w:hAnsi="宋体" w:cs="宋体"/>
          <w:sz w:val="24"/>
          <w:szCs w:val="24"/>
          <w:highlight w:val="none"/>
        </w:rPr>
        <w:fldChar w:fldCharType="end"/>
      </w:r>
      <w:r>
        <w:rPr>
          <w:rFonts w:hint="eastAsia" w:hAnsi="宋体" w:cs="宋体"/>
          <w:sz w:val="24"/>
          <w:szCs w:val="24"/>
          <w:highlight w:val="none"/>
        </w:rPr>
        <w:t>；</w:t>
      </w:r>
    </w:p>
    <w:p w14:paraId="60E18074">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"_Toc7087" </w:instrText>
      </w:r>
      <w:r>
        <w:rPr>
          <w:highlight w:val="none"/>
        </w:rPr>
        <w:fldChar w:fldCharType="separate"/>
      </w:r>
      <w:r>
        <w:rPr>
          <w:rFonts w:hint="eastAsia" w:hAnsi="宋体" w:cs="宋体"/>
          <w:sz w:val="24"/>
          <w:szCs w:val="24"/>
          <w:highlight w:val="none"/>
        </w:rPr>
        <w:t>第五章 合同主要格式</w:t>
      </w:r>
      <w:r>
        <w:rPr>
          <w:rFonts w:hint="eastAsia" w:hAnsi="宋体" w:cs="宋体"/>
          <w:sz w:val="24"/>
          <w:szCs w:val="24"/>
          <w:highlight w:val="none"/>
        </w:rPr>
        <w:fldChar w:fldCharType="end"/>
      </w:r>
      <w:r>
        <w:rPr>
          <w:rFonts w:hint="eastAsia" w:hAnsi="宋体" w:cs="宋体"/>
          <w:sz w:val="24"/>
          <w:szCs w:val="24"/>
          <w:highlight w:val="none"/>
        </w:rPr>
        <w:t>及条款；</w:t>
      </w:r>
    </w:p>
    <w:p w14:paraId="4714BAA4">
      <w:pPr>
        <w:pStyle w:val="20"/>
        <w:numPr>
          <w:ilvl w:val="0"/>
          <w:numId w:val="11"/>
        </w:numPr>
        <w:adjustRightInd w:val="0"/>
        <w:spacing w:line="360" w:lineRule="auto"/>
        <w:ind w:left="839" w:firstLine="105" w:firstLineChars="50"/>
        <w:rPr>
          <w:rFonts w:hAnsi="宋体" w:cs="宋体"/>
          <w:sz w:val="24"/>
          <w:szCs w:val="24"/>
          <w:highlight w:val="none"/>
        </w:rPr>
      </w:pPr>
      <w:r>
        <w:rPr>
          <w:highlight w:val="none"/>
        </w:rPr>
        <w:fldChar w:fldCharType="begin"/>
      </w:r>
      <w:r>
        <w:rPr>
          <w:highlight w:val="none"/>
        </w:rPr>
        <w:instrText xml:space="preserve"> HYPERLINK \l "_Toc29638" </w:instrText>
      </w:r>
      <w:r>
        <w:rPr>
          <w:highlight w:val="none"/>
        </w:rPr>
        <w:fldChar w:fldCharType="separate"/>
      </w:r>
      <w:r>
        <w:rPr>
          <w:rFonts w:hint="eastAsia" w:hAnsi="宋体" w:cs="宋体"/>
          <w:sz w:val="24"/>
          <w:szCs w:val="24"/>
          <w:highlight w:val="none"/>
        </w:rPr>
        <w:t>第六章 投标文件格式/</w:t>
      </w:r>
      <w:r>
        <w:rPr>
          <w:rFonts w:hint="eastAsia" w:hAnsi="宋体" w:cs="宋体"/>
          <w:sz w:val="24"/>
          <w:szCs w:val="24"/>
          <w:highlight w:val="none"/>
        </w:rPr>
        <w:fldChar w:fldCharType="end"/>
      </w:r>
      <w:r>
        <w:rPr>
          <w:rFonts w:hint="eastAsia" w:hAnsi="宋体" w:cs="宋体"/>
          <w:sz w:val="24"/>
          <w:szCs w:val="24"/>
          <w:highlight w:val="none"/>
        </w:rPr>
        <w:t>应提交的有关格式范例。</w:t>
      </w:r>
    </w:p>
    <w:p w14:paraId="3D5F0399">
      <w:pPr>
        <w:ind w:firstLine="480"/>
        <w:rPr>
          <w:rFonts w:cs="宋体"/>
          <w:highlight w:val="none"/>
        </w:rPr>
      </w:pPr>
      <w:r>
        <w:rPr>
          <w:rFonts w:hint="eastAsia" w:cs="宋体"/>
          <w:highlight w:val="none"/>
        </w:rPr>
        <w:t>2.与本项目有关的</w:t>
      </w:r>
      <w:r>
        <w:rPr>
          <w:rFonts w:hint="eastAsia" w:cs="宋体"/>
          <w:bCs/>
          <w:highlight w:val="none"/>
        </w:rPr>
        <w:t>澄清或者修改的内容为招标文件的组成部分</w:t>
      </w:r>
      <w:r>
        <w:rPr>
          <w:rFonts w:hint="eastAsia" w:cs="宋体"/>
          <w:highlight w:val="none"/>
        </w:rPr>
        <w:t>。</w:t>
      </w:r>
    </w:p>
    <w:p w14:paraId="791765CE">
      <w:pPr>
        <w:ind w:firstLine="0" w:firstLineChars="0"/>
        <w:rPr>
          <w:rFonts w:cs="宋体"/>
          <w:b/>
          <w:highlight w:val="none"/>
        </w:rPr>
      </w:pPr>
      <w:r>
        <w:rPr>
          <w:rFonts w:hint="eastAsia"/>
          <w:b/>
          <w:bCs/>
          <w:highlight w:val="none"/>
        </w:rPr>
        <w:t>二、招标文件的澄清、修改</w:t>
      </w:r>
    </w:p>
    <w:p w14:paraId="7004CD8F">
      <w:pPr>
        <w:pStyle w:val="147"/>
        <w:snapToGrid w:val="0"/>
        <w:spacing w:before="0"/>
        <w:ind w:firstLine="480"/>
        <w:rPr>
          <w:rFonts w:ascii="宋体" w:hAnsi="宋体" w:cs="宋体"/>
          <w:highlight w:val="none"/>
        </w:rPr>
      </w:pPr>
      <w:r>
        <w:rPr>
          <w:rFonts w:hint="eastAsia" w:ascii="宋体" w:hAnsi="宋体" w:cs="宋体"/>
          <w:highlight w:val="none"/>
        </w:rPr>
        <w:t>1.已获取招标文件的潜在投标人，若有问题需要澄清，应于投标截止时间前，以书面形式向招标代理机构提出，招标代理机构与招标人研究后，对认为有必要回答的问题，将以书面解答形式通知所有招标文件收受人。</w:t>
      </w:r>
    </w:p>
    <w:p w14:paraId="600DEF23">
      <w:pPr>
        <w:pStyle w:val="147"/>
        <w:snapToGrid w:val="0"/>
        <w:spacing w:before="0"/>
        <w:ind w:firstLine="480"/>
        <w:rPr>
          <w:rFonts w:ascii="宋体" w:hAnsi="宋体" w:cs="宋体"/>
          <w:highlight w:val="none"/>
        </w:rPr>
      </w:pPr>
      <w:r>
        <w:rPr>
          <w:rFonts w:hint="eastAsia" w:ascii="宋体" w:hAnsi="宋体" w:cs="宋体"/>
          <w:highlight w:val="none"/>
        </w:rPr>
        <w:t>2.招标人或者招标代理机构可以对已发出的招标文件进行必要的澄清或者修改，澄清或者修改应在原公告发布媒体上发布澄清公告，澄清、修改的内容为招标文件的组成部分。</w:t>
      </w:r>
    </w:p>
    <w:p w14:paraId="4B380A13">
      <w:pPr>
        <w:pStyle w:val="147"/>
        <w:snapToGrid w:val="0"/>
        <w:spacing w:before="0"/>
        <w:ind w:firstLine="480"/>
        <w:rPr>
          <w:rFonts w:ascii="宋体" w:hAnsi="宋体" w:cs="宋体"/>
          <w:highlight w:val="none"/>
        </w:rPr>
      </w:pPr>
      <w:r>
        <w:rPr>
          <w:rFonts w:hint="eastAsia" w:ascii="宋体" w:hAnsi="宋体" w:cs="宋体"/>
          <w:highlight w:val="none"/>
        </w:rPr>
        <w:t>澄清或者修改的内容可能影响投标文件编制的，招标人或者招标代理机构应在投标截止时间至少15日前，以书面形式通知所有已获取招标文件的潜在投标人；不足15日的，招标人或者招标代理机构应顺延提交投标文件的截止时间。</w:t>
      </w:r>
    </w:p>
    <w:p w14:paraId="0C78ECB3">
      <w:pPr>
        <w:pStyle w:val="147"/>
        <w:snapToGrid w:val="0"/>
        <w:spacing w:before="0"/>
        <w:ind w:firstLine="480"/>
        <w:rPr>
          <w:rFonts w:ascii="宋体" w:hAnsi="宋体" w:cs="宋体"/>
          <w:highlight w:val="none"/>
        </w:rPr>
      </w:pPr>
      <w:r>
        <w:rPr>
          <w:rFonts w:hint="eastAsia" w:ascii="宋体" w:hAnsi="宋体" w:cs="宋体"/>
          <w:highlight w:val="none"/>
        </w:rPr>
        <w:t>3.招标文件的修改将以书面形式通知所有购买招标文件的投标人，并对其具有约束力。投标人在收到上述通知后，应立即向招标代理机构回函确认。若无书面回函确认，视同投标人已收到招标文件修改的通知，并受其约束。</w:t>
      </w:r>
    </w:p>
    <w:p w14:paraId="63473A0F">
      <w:pPr>
        <w:ind w:firstLine="480"/>
        <w:rPr>
          <w:rFonts w:cs="宋体"/>
          <w:b/>
          <w:highlight w:val="none"/>
        </w:rPr>
      </w:pPr>
      <w:r>
        <w:rPr>
          <w:rFonts w:hint="eastAsia" w:cs="宋体"/>
          <w:highlight w:val="none"/>
        </w:rPr>
        <w:t>▲</w:t>
      </w:r>
      <w:r>
        <w:rPr>
          <w:rFonts w:hint="eastAsia" w:cs="宋体"/>
          <w:b/>
          <w:highlight w:val="none"/>
        </w:rPr>
        <w:t>投标文件未按招标文件澄清、修改的内容编制，又不符合实质性要求的，投标无效。</w:t>
      </w:r>
    </w:p>
    <w:p w14:paraId="5AAE6779">
      <w:pPr>
        <w:pStyle w:val="80"/>
        <w:rPr>
          <w:rFonts w:ascii="宋体" w:hAnsi="宋体" w:eastAsia="宋体" w:cs="宋体"/>
          <w:color w:val="auto"/>
          <w:highlight w:val="none"/>
        </w:rPr>
      </w:pPr>
    </w:p>
    <w:p w14:paraId="03B42580">
      <w:pPr>
        <w:pStyle w:val="4"/>
        <w:jc w:val="center"/>
        <w:rPr>
          <w:rFonts w:ascii="宋体" w:hAnsi="宋体" w:cs="宋体"/>
          <w:sz w:val="24"/>
          <w:szCs w:val="24"/>
          <w:highlight w:val="none"/>
        </w:rPr>
      </w:pPr>
      <w:bookmarkStart w:id="53" w:name="_Toc82338241"/>
      <w:bookmarkStart w:id="54" w:name="_Toc204"/>
      <w:bookmarkStart w:id="55" w:name="_Toc450840075"/>
      <w:bookmarkStart w:id="56" w:name="_Toc82873324"/>
      <w:bookmarkStart w:id="57" w:name="_Toc1096"/>
      <w:r>
        <w:rPr>
          <w:rFonts w:hint="eastAsia" w:ascii="宋体" w:hAnsi="宋体" w:cs="宋体"/>
          <w:sz w:val="24"/>
          <w:szCs w:val="24"/>
          <w:highlight w:val="none"/>
        </w:rPr>
        <w:t>第三节  投标文件</w:t>
      </w:r>
      <w:bookmarkEnd w:id="53"/>
      <w:bookmarkEnd w:id="54"/>
      <w:bookmarkEnd w:id="55"/>
      <w:bookmarkEnd w:id="56"/>
      <w:bookmarkEnd w:id="57"/>
    </w:p>
    <w:p w14:paraId="791A7B0C">
      <w:pPr>
        <w:ind w:firstLine="0" w:firstLineChars="0"/>
        <w:rPr>
          <w:rFonts w:cs="宋体"/>
          <w:highlight w:val="none"/>
        </w:rPr>
      </w:pPr>
      <w:r>
        <w:rPr>
          <w:rFonts w:hint="eastAsia"/>
          <w:b/>
          <w:bCs/>
          <w:highlight w:val="none"/>
        </w:rPr>
        <w:t>一、投标文件语言和计量单位</w:t>
      </w:r>
    </w:p>
    <w:p w14:paraId="75639E30">
      <w:pPr>
        <w:ind w:firstLine="480"/>
        <w:rPr>
          <w:rFonts w:cs="宋体"/>
          <w:highlight w:val="none"/>
        </w:rPr>
      </w:pPr>
      <w:r>
        <w:rPr>
          <w:rFonts w:hint="eastAsia" w:cs="宋体"/>
          <w:highlight w:val="none"/>
        </w:rPr>
        <w:t>1.投标文件以及供应商与招标人就有关投标事宜的来往函电，均应以中文书写。投标文件中所附或所引用的原件不是中文时，应附中文译本。</w:t>
      </w:r>
    </w:p>
    <w:p w14:paraId="616CE1F1">
      <w:pPr>
        <w:ind w:firstLine="480"/>
        <w:rPr>
          <w:rFonts w:cs="宋体"/>
          <w:highlight w:val="none"/>
        </w:rPr>
      </w:pPr>
      <w:r>
        <w:rPr>
          <w:rFonts w:hint="eastAsia" w:cs="宋体"/>
          <w:highlight w:val="none"/>
        </w:rPr>
        <w:t>2.投标文件中所使用的计量单位，除招标文件中有特殊要求外，均应采用国家法定计量单位。</w:t>
      </w:r>
    </w:p>
    <w:p w14:paraId="7EC22AD1">
      <w:pPr>
        <w:ind w:firstLine="0" w:firstLineChars="0"/>
        <w:rPr>
          <w:rFonts w:cs="宋体"/>
          <w:highlight w:val="none"/>
        </w:rPr>
      </w:pPr>
      <w:r>
        <w:rPr>
          <w:rFonts w:hint="eastAsia"/>
          <w:b/>
          <w:bCs/>
          <w:highlight w:val="none"/>
        </w:rPr>
        <w:t>二、投标文件的组成</w:t>
      </w:r>
    </w:p>
    <w:p w14:paraId="00FC5BDF">
      <w:pPr>
        <w:ind w:firstLine="480"/>
        <w:rPr>
          <w:rFonts w:cs="宋体"/>
          <w:highlight w:val="none"/>
        </w:rPr>
      </w:pPr>
      <w:r>
        <w:rPr>
          <w:rFonts w:hint="eastAsia" w:cs="宋体"/>
          <w:highlight w:val="none"/>
        </w:rPr>
        <w:t>投标文件由《资格文件》、《商务技术文件》和《报价文件》三部分组成。</w:t>
      </w:r>
    </w:p>
    <w:p w14:paraId="6E84CC0C">
      <w:pPr>
        <w:ind w:firstLine="482"/>
        <w:rPr>
          <w:highlight w:val="none"/>
        </w:rPr>
      </w:pPr>
      <w:r>
        <w:rPr>
          <w:rFonts w:hint="eastAsia"/>
          <w:b/>
          <w:bCs/>
          <w:highlight w:val="none"/>
        </w:rPr>
        <w:t>每个部分的投标文件需要分别制作、上传、提交。</w:t>
      </w:r>
    </w:p>
    <w:p w14:paraId="19474B94">
      <w:pPr>
        <w:ind w:firstLine="0" w:firstLineChars="0"/>
        <w:rPr>
          <w:rFonts w:cs="宋体"/>
          <w:highlight w:val="none"/>
        </w:rPr>
      </w:pPr>
      <w:r>
        <w:rPr>
          <w:rFonts w:hint="eastAsia" w:cs="宋体"/>
          <w:b/>
          <w:bCs/>
          <w:highlight w:val="none"/>
        </w:rPr>
        <w:t>（一）《资格文件》：</w:t>
      </w:r>
    </w:p>
    <w:p w14:paraId="0F917319">
      <w:pPr>
        <w:ind w:firstLine="480"/>
        <w:rPr>
          <w:rFonts w:hint="eastAsia" w:eastAsia="宋体" w:cs="宋体"/>
          <w:highlight w:val="none"/>
          <w:lang w:eastAsia="zh-CN"/>
        </w:rPr>
      </w:pPr>
      <w:r>
        <w:rPr>
          <w:rFonts w:hint="eastAsia" w:cs="宋体"/>
          <w:highlight w:val="none"/>
        </w:rPr>
        <w:t>1.投标声明书；（附件一）</w:t>
      </w:r>
    </w:p>
    <w:p w14:paraId="7B6B4425">
      <w:pPr>
        <w:ind w:firstLine="480"/>
        <w:rPr>
          <w:rFonts w:hint="eastAsia" w:eastAsia="宋体" w:cs="宋体"/>
          <w:highlight w:val="none"/>
          <w:lang w:eastAsia="zh-CN"/>
        </w:rPr>
      </w:pPr>
      <w:r>
        <w:rPr>
          <w:rFonts w:hint="eastAsia" w:cs="宋体"/>
          <w:highlight w:val="none"/>
        </w:rPr>
        <w:t>2.有效的营业执照副本；（扫描件一份）</w:t>
      </w:r>
    </w:p>
    <w:p w14:paraId="249DAB7F">
      <w:pPr>
        <w:ind w:firstLine="480"/>
        <w:rPr>
          <w:rFonts w:hint="eastAsia" w:eastAsia="宋体" w:cs="宋体"/>
          <w:highlight w:val="none"/>
          <w:lang w:eastAsia="zh-CN"/>
        </w:rPr>
      </w:pPr>
      <w:r>
        <w:rPr>
          <w:rFonts w:hint="eastAsia" w:cs="宋体"/>
          <w:highlight w:val="none"/>
        </w:rPr>
        <w:t>3.符合参加政府采购活动应当具备的一般条件的承诺函；（附件二）</w:t>
      </w:r>
    </w:p>
    <w:p w14:paraId="1E9DB038">
      <w:pPr>
        <w:ind w:firstLine="480"/>
        <w:rPr>
          <w:rFonts w:cs="宋体"/>
          <w:highlight w:val="none"/>
        </w:rPr>
      </w:pPr>
      <w:r>
        <w:rPr>
          <w:rFonts w:hint="eastAsia" w:cs="宋体"/>
          <w:highlight w:val="none"/>
        </w:rPr>
        <w:t>4.</w:t>
      </w:r>
      <w:r>
        <w:rPr>
          <w:rFonts w:hint="eastAsia"/>
          <w:highlight w:val="none"/>
        </w:rPr>
        <w:t>投标人股权信息表；（附件三）</w:t>
      </w:r>
    </w:p>
    <w:p w14:paraId="5CE1AA0C">
      <w:pPr>
        <w:ind w:firstLine="480"/>
        <w:rPr>
          <w:highlight w:val="none"/>
        </w:rPr>
      </w:pPr>
      <w:r>
        <w:rPr>
          <w:rFonts w:hint="eastAsia"/>
          <w:highlight w:val="none"/>
        </w:rPr>
        <w:t>5.</w:t>
      </w:r>
      <w:r>
        <w:rPr>
          <w:rFonts w:hint="eastAsia" w:cs="宋体"/>
          <w:highlight w:val="none"/>
        </w:rPr>
        <w:t>法定代表人有效身份证明书和法定代表人授权委托书（投标人的代表若为非法定代表人的，必须提交法定代表人授权委托书、授权代表身份证复印件、授权代表社保证明（提供近三个月任意一个月的社保缴纳证明）；（附件四）</w:t>
      </w:r>
    </w:p>
    <w:p w14:paraId="7B7D7985">
      <w:pPr>
        <w:ind w:firstLine="480"/>
        <w:rPr>
          <w:highlight w:val="none"/>
        </w:rPr>
      </w:pPr>
      <w:r>
        <w:rPr>
          <w:rFonts w:hint="eastAsia"/>
          <w:highlight w:val="none"/>
        </w:rPr>
        <w:t>6.廉政承诺书；（附件五）</w:t>
      </w:r>
    </w:p>
    <w:p w14:paraId="69D3B940">
      <w:pPr>
        <w:ind w:firstLine="480"/>
        <w:rPr>
          <w:highlight w:val="none"/>
        </w:rPr>
      </w:pPr>
      <w:r>
        <w:rPr>
          <w:rFonts w:hint="eastAsia"/>
          <w:highlight w:val="none"/>
        </w:rPr>
        <w:t>7.中小企业声明函或监狱企业、</w:t>
      </w:r>
      <w:r>
        <w:rPr>
          <w:rFonts w:hint="eastAsia" w:cs="宋体"/>
          <w:highlight w:val="none"/>
        </w:rPr>
        <w:t>残疾人福利性单位声明函。（附件六）</w:t>
      </w:r>
    </w:p>
    <w:p w14:paraId="3AA05543">
      <w:pPr>
        <w:ind w:firstLine="0" w:firstLineChars="0"/>
        <w:rPr>
          <w:rFonts w:hint="eastAsia" w:eastAsia="宋体" w:cs="宋体"/>
          <w:b/>
          <w:bCs/>
          <w:highlight w:val="none"/>
          <w:lang w:eastAsia="zh-CN"/>
        </w:rPr>
      </w:pPr>
      <w:r>
        <w:rPr>
          <w:rFonts w:hint="eastAsia" w:cs="宋体"/>
          <w:b/>
          <w:bCs/>
          <w:highlight w:val="none"/>
        </w:rPr>
        <w:t>（二）《商务技术文件》：</w:t>
      </w:r>
      <w:r>
        <w:rPr>
          <w:rFonts w:hint="eastAsia" w:cs="宋体"/>
          <w:b/>
          <w:bCs/>
          <w:highlight w:val="none"/>
          <w:lang w:eastAsia="zh-CN"/>
        </w:rPr>
        <w:t>（具体内容按照各标项评分表中的“评审因素”要求提供）</w:t>
      </w:r>
    </w:p>
    <w:p w14:paraId="1B1C95F2">
      <w:pPr>
        <w:ind w:firstLine="480"/>
        <w:rPr>
          <w:rFonts w:cs="宋体"/>
          <w:highlight w:val="none"/>
        </w:rPr>
      </w:pPr>
      <w:r>
        <w:rPr>
          <w:rFonts w:hint="eastAsia" w:cs="宋体"/>
          <w:highlight w:val="none"/>
        </w:rPr>
        <w:t>1.评分索引表；（附件七）</w:t>
      </w:r>
    </w:p>
    <w:p w14:paraId="4CF59DAF">
      <w:pPr>
        <w:ind w:firstLine="480"/>
        <w:rPr>
          <w:rFonts w:cs="宋体"/>
          <w:highlight w:val="none"/>
        </w:rPr>
      </w:pPr>
      <w:r>
        <w:rPr>
          <w:rFonts w:hint="eastAsia" w:cs="宋体"/>
          <w:highlight w:val="none"/>
        </w:rPr>
        <w:t>2.商务偏离表；（附件八）</w:t>
      </w:r>
    </w:p>
    <w:p w14:paraId="5773CF49">
      <w:pPr>
        <w:ind w:left="480" w:leftChars="200" w:firstLine="0" w:firstLineChars="0"/>
        <w:rPr>
          <w:rFonts w:hint="default" w:eastAsia="宋体" w:cs="宋体"/>
          <w:highlight w:val="none"/>
          <w:lang w:val="en-US" w:eastAsia="zh-CN"/>
        </w:rPr>
      </w:pPr>
      <w:r>
        <w:rPr>
          <w:rFonts w:hint="eastAsia" w:cs="宋体"/>
          <w:highlight w:val="none"/>
        </w:rPr>
        <w:t>3.</w:t>
      </w:r>
      <w:r>
        <w:rPr>
          <w:rFonts w:hint="eastAsia" w:cs="宋体"/>
          <w:highlight w:val="none"/>
          <w:lang w:val="en-US" w:eastAsia="zh-CN"/>
        </w:rPr>
        <w:t>技术指标响应程度</w:t>
      </w:r>
      <w:r>
        <w:rPr>
          <w:rFonts w:hint="eastAsia" w:asciiTheme="minorEastAsia" w:hAnsiTheme="minorEastAsia" w:eastAsiaTheme="minorEastAsia" w:cstheme="minorEastAsia"/>
          <w:kern w:val="0"/>
          <w:highlight w:val="none"/>
        </w:rPr>
        <w:t>（以技术规范偏离表</w:t>
      </w:r>
      <w:r>
        <w:rPr>
          <w:rFonts w:cs="宋体"/>
          <w:b w:val="0"/>
          <w:bCs/>
          <w:highlight w:val="none"/>
        </w:rPr>
        <w:t>和技术支持证明材料</w:t>
      </w:r>
      <w:r>
        <w:rPr>
          <w:rFonts w:hint="eastAsia" w:asciiTheme="minorEastAsia" w:hAnsiTheme="minorEastAsia" w:eastAsiaTheme="minorEastAsia" w:cstheme="minorEastAsia"/>
          <w:kern w:val="0"/>
          <w:highlight w:val="none"/>
        </w:rPr>
        <w:t>为评审依据）</w:t>
      </w:r>
      <w:r>
        <w:rPr>
          <w:rFonts w:hint="eastAsia" w:cs="宋体"/>
          <w:highlight w:val="none"/>
          <w:lang w:val="en-US" w:eastAsia="zh-CN"/>
        </w:rPr>
        <w:t>；（附件九）</w:t>
      </w:r>
    </w:p>
    <w:p w14:paraId="68A6116F">
      <w:pPr>
        <w:ind w:firstLine="480"/>
        <w:rPr>
          <w:rFonts w:cs="宋体"/>
          <w:highlight w:val="none"/>
        </w:rPr>
      </w:pPr>
      <w:r>
        <w:rPr>
          <w:rFonts w:hint="eastAsia" w:cs="宋体"/>
          <w:highlight w:val="none"/>
        </w:rPr>
        <w:t>4.</w:t>
      </w:r>
      <w:r>
        <w:rPr>
          <w:rFonts w:hint="eastAsia" w:asciiTheme="minorEastAsia" w:hAnsiTheme="minorEastAsia" w:eastAsiaTheme="minorEastAsia" w:cstheme="minorEastAsia"/>
          <w:highlight w:val="none"/>
          <w:lang w:val="en-US" w:eastAsia="zh-CN"/>
        </w:rPr>
        <w:t>项目实施方案</w:t>
      </w:r>
      <w:r>
        <w:rPr>
          <w:rFonts w:hint="eastAsia" w:cs="宋体"/>
          <w:highlight w:val="none"/>
        </w:rPr>
        <w:t>；</w:t>
      </w:r>
    </w:p>
    <w:p w14:paraId="64B8CD20">
      <w:pPr>
        <w:ind w:firstLine="480"/>
        <w:rPr>
          <w:rFonts w:cs="宋体"/>
          <w:highlight w:val="none"/>
        </w:rPr>
      </w:pPr>
      <w:r>
        <w:rPr>
          <w:rFonts w:hint="eastAsia" w:cs="宋体"/>
          <w:highlight w:val="none"/>
        </w:rPr>
        <w:t>5.</w:t>
      </w:r>
      <w:r>
        <w:rPr>
          <w:rFonts w:hint="eastAsia" w:cs="宋体"/>
          <w:highlight w:val="none"/>
          <w:lang w:val="en-US" w:eastAsia="zh-CN"/>
        </w:rPr>
        <w:t>质量保证措施</w:t>
      </w:r>
      <w:r>
        <w:rPr>
          <w:rFonts w:hint="eastAsia" w:cs="宋体"/>
          <w:highlight w:val="none"/>
        </w:rPr>
        <w:t>；</w:t>
      </w:r>
    </w:p>
    <w:p w14:paraId="5DF5B156">
      <w:pPr>
        <w:ind w:firstLine="480"/>
        <w:rPr>
          <w:rFonts w:cs="宋体"/>
          <w:highlight w:val="none"/>
        </w:rPr>
      </w:pPr>
      <w:r>
        <w:rPr>
          <w:rFonts w:hint="eastAsia" w:cs="宋体"/>
          <w:highlight w:val="none"/>
        </w:rPr>
        <w:t>6.</w:t>
      </w:r>
      <w:r>
        <w:rPr>
          <w:rFonts w:hint="eastAsia" w:cs="宋体"/>
          <w:highlight w:val="none"/>
          <w:lang w:val="en-US" w:eastAsia="zh-CN"/>
        </w:rPr>
        <w:t>安装调试方案</w:t>
      </w:r>
      <w:r>
        <w:rPr>
          <w:rFonts w:hint="eastAsia" w:cs="宋体"/>
          <w:highlight w:val="none"/>
        </w:rPr>
        <w:t>；</w:t>
      </w:r>
    </w:p>
    <w:p w14:paraId="42DDAE3F">
      <w:pPr>
        <w:ind w:firstLine="480"/>
        <w:rPr>
          <w:rFonts w:cs="宋体"/>
          <w:highlight w:val="none"/>
        </w:rPr>
      </w:pPr>
      <w:r>
        <w:rPr>
          <w:rFonts w:hint="eastAsia" w:cs="宋体"/>
          <w:highlight w:val="none"/>
        </w:rPr>
        <w:t>7.</w:t>
      </w:r>
      <w:r>
        <w:rPr>
          <w:rFonts w:hint="eastAsia" w:cs="宋体"/>
          <w:highlight w:val="none"/>
          <w:lang w:val="en-US" w:eastAsia="zh-CN"/>
        </w:rPr>
        <w:t>项目进度计划及安排</w:t>
      </w:r>
      <w:r>
        <w:rPr>
          <w:rFonts w:hint="eastAsia" w:cs="宋体"/>
          <w:highlight w:val="none"/>
        </w:rPr>
        <w:t>；</w:t>
      </w:r>
    </w:p>
    <w:p w14:paraId="2ADFA6BB">
      <w:pPr>
        <w:ind w:firstLine="480"/>
        <w:rPr>
          <w:rFonts w:cs="宋体"/>
          <w:highlight w:val="none"/>
        </w:rPr>
      </w:pPr>
      <w:r>
        <w:rPr>
          <w:rFonts w:hint="eastAsia" w:cs="宋体"/>
          <w:highlight w:val="none"/>
        </w:rPr>
        <w:t>8.</w:t>
      </w:r>
      <w:r>
        <w:rPr>
          <w:rFonts w:hint="eastAsia" w:cs="宋体"/>
          <w:highlight w:val="none"/>
          <w:lang w:val="en-US" w:eastAsia="zh-CN"/>
        </w:rPr>
        <w:t>检测报告</w:t>
      </w:r>
      <w:r>
        <w:rPr>
          <w:rFonts w:hint="eastAsia" w:cs="宋体"/>
          <w:highlight w:val="none"/>
        </w:rPr>
        <w:t>；（如有）</w:t>
      </w:r>
    </w:p>
    <w:p w14:paraId="07E9D11B">
      <w:pPr>
        <w:ind w:firstLine="480"/>
        <w:rPr>
          <w:rFonts w:cs="宋体"/>
          <w:highlight w:val="none"/>
        </w:rPr>
      </w:pPr>
      <w:r>
        <w:rPr>
          <w:rFonts w:hint="eastAsia" w:cs="宋体"/>
          <w:highlight w:val="none"/>
        </w:rPr>
        <w:t>9.</w:t>
      </w:r>
      <w:r>
        <w:rPr>
          <w:rFonts w:hint="eastAsia" w:asciiTheme="minorEastAsia" w:hAnsiTheme="minorEastAsia" w:eastAsiaTheme="minorEastAsia" w:cstheme="minorEastAsia"/>
          <w:kern w:val="0"/>
          <w:highlight w:val="none"/>
          <w:lang w:val="en-US" w:eastAsia="zh-CN"/>
        </w:rPr>
        <w:t>生产设备；（如有）</w:t>
      </w:r>
    </w:p>
    <w:p w14:paraId="037FE90F">
      <w:pPr>
        <w:ind w:firstLine="480"/>
        <w:rPr>
          <w:rFonts w:hint="eastAsia" w:eastAsia="宋体" w:cs="宋体"/>
          <w:highlight w:val="none"/>
          <w:lang w:val="en-US" w:eastAsia="zh-CN"/>
        </w:rPr>
      </w:pPr>
      <w:r>
        <w:rPr>
          <w:rFonts w:hint="eastAsia" w:cs="宋体"/>
          <w:highlight w:val="none"/>
        </w:rPr>
        <w:t>10.</w:t>
      </w:r>
      <w:r>
        <w:rPr>
          <w:rFonts w:hint="eastAsia" w:asciiTheme="minorEastAsia" w:hAnsiTheme="minorEastAsia" w:eastAsiaTheme="minorEastAsia" w:cstheme="minorEastAsia"/>
          <w:highlight w:val="none"/>
          <w:lang w:val="en-US" w:eastAsia="zh-CN"/>
        </w:rPr>
        <w:t>样品分</w:t>
      </w:r>
      <w:r>
        <w:rPr>
          <w:rFonts w:hint="eastAsia" w:cs="宋体"/>
          <w:highlight w:val="none"/>
        </w:rPr>
        <w:t>；</w:t>
      </w:r>
      <w:r>
        <w:rPr>
          <w:rFonts w:hint="eastAsia" w:cs="宋体"/>
          <w:highlight w:val="none"/>
          <w:lang w:eastAsia="zh-CN"/>
        </w:rPr>
        <w:t>（如有）</w:t>
      </w:r>
    </w:p>
    <w:p w14:paraId="45D09A1B">
      <w:pPr>
        <w:ind w:left="480" w:leftChars="200" w:firstLine="0" w:firstLineChars="0"/>
        <w:rPr>
          <w:rFonts w:cs="宋体"/>
          <w:highlight w:val="none"/>
        </w:rPr>
      </w:pPr>
      <w:r>
        <w:rPr>
          <w:rFonts w:hint="eastAsia" w:cs="宋体"/>
          <w:highlight w:val="none"/>
        </w:rPr>
        <w:t>11.</w:t>
      </w:r>
      <w:r>
        <w:rPr>
          <w:rFonts w:hint="eastAsia" w:cs="宋体"/>
          <w:highlight w:val="none"/>
          <w:lang w:val="en-US" w:eastAsia="zh-CN"/>
        </w:rPr>
        <w:t>售后服务方案</w:t>
      </w:r>
      <w:r>
        <w:rPr>
          <w:rFonts w:hint="eastAsia" w:cs="宋体"/>
          <w:highlight w:val="none"/>
        </w:rPr>
        <w:t>；</w:t>
      </w:r>
    </w:p>
    <w:p w14:paraId="2E276CAF">
      <w:pPr>
        <w:adjustRightInd w:val="0"/>
        <w:snapToGrid w:val="0"/>
        <w:ind w:firstLine="480"/>
        <w:rPr>
          <w:rFonts w:cs="宋体"/>
          <w:highlight w:val="none"/>
        </w:rPr>
      </w:pPr>
      <w:r>
        <w:rPr>
          <w:rFonts w:hint="eastAsia" w:cs="宋体"/>
          <w:highlight w:val="none"/>
        </w:rPr>
        <w:t>12.</w:t>
      </w:r>
      <w:r>
        <w:rPr>
          <w:rFonts w:hint="eastAsia" w:cs="宋体"/>
          <w:highlight w:val="none"/>
          <w:lang w:val="en-US" w:eastAsia="zh-CN"/>
        </w:rPr>
        <w:t>质保期</w:t>
      </w:r>
      <w:r>
        <w:rPr>
          <w:rFonts w:hint="eastAsia" w:cs="宋体"/>
          <w:highlight w:val="none"/>
        </w:rPr>
        <w:t>；</w:t>
      </w:r>
    </w:p>
    <w:p w14:paraId="5E9EA77C">
      <w:pPr>
        <w:adjustRightInd w:val="0"/>
        <w:snapToGrid w:val="0"/>
        <w:ind w:firstLine="480"/>
        <w:rPr>
          <w:rFonts w:cs="宋体"/>
          <w:highlight w:val="none"/>
        </w:rPr>
      </w:pPr>
      <w:r>
        <w:rPr>
          <w:rFonts w:hint="eastAsia" w:cs="宋体"/>
          <w:highlight w:val="none"/>
        </w:rPr>
        <w:t>13.</w:t>
      </w:r>
      <w:r>
        <w:rPr>
          <w:rFonts w:hint="eastAsia" w:cs="宋体"/>
          <w:highlight w:val="none"/>
          <w:lang w:val="en-US" w:eastAsia="zh-CN"/>
        </w:rPr>
        <w:t>优惠承诺</w:t>
      </w:r>
      <w:r>
        <w:rPr>
          <w:rFonts w:hint="eastAsia" w:cs="宋体"/>
          <w:highlight w:val="none"/>
        </w:rPr>
        <w:t>；</w:t>
      </w:r>
    </w:p>
    <w:p w14:paraId="1AA86731">
      <w:pPr>
        <w:ind w:left="480" w:leftChars="200" w:firstLine="0" w:firstLineChars="0"/>
        <w:rPr>
          <w:rFonts w:hint="eastAsia" w:cs="宋体"/>
          <w:highlight w:val="none"/>
          <w:lang w:val="en-US" w:eastAsia="zh-CN"/>
        </w:rPr>
      </w:pPr>
      <w:r>
        <w:rPr>
          <w:rFonts w:hint="eastAsia" w:cs="宋体"/>
          <w:highlight w:val="none"/>
        </w:rPr>
        <w:t>14.</w:t>
      </w:r>
      <w:r>
        <w:rPr>
          <w:rFonts w:hint="eastAsia" w:cs="宋体"/>
          <w:highlight w:val="none"/>
          <w:lang w:val="en-US" w:eastAsia="zh-CN"/>
        </w:rPr>
        <w:t>企业认证；（如有）</w:t>
      </w:r>
    </w:p>
    <w:p w14:paraId="3E60B413">
      <w:pPr>
        <w:ind w:left="480" w:leftChars="200" w:firstLine="0" w:firstLineChars="0"/>
        <w:rPr>
          <w:rFonts w:hint="eastAsia" w:eastAsia="宋体" w:cs="宋体"/>
          <w:highlight w:val="none"/>
          <w:lang w:val="en-US" w:eastAsia="zh-CN"/>
        </w:rPr>
      </w:pPr>
      <w:r>
        <w:rPr>
          <w:rFonts w:hint="eastAsia" w:cs="宋体"/>
          <w:highlight w:val="none"/>
          <w:lang w:val="en-US" w:eastAsia="zh-CN"/>
        </w:rPr>
        <w:t>15.类似业绩：</w:t>
      </w:r>
      <w:r>
        <w:rPr>
          <w:rFonts w:hint="eastAsia" w:cs="宋体"/>
          <w:b w:val="0"/>
          <w:bCs w:val="0"/>
          <w:sz w:val="24"/>
          <w:szCs w:val="24"/>
          <w:highlight w:val="none"/>
        </w:rPr>
        <w:t>同类项目实施情况一览表</w:t>
      </w:r>
      <w:r>
        <w:rPr>
          <w:rFonts w:hint="eastAsia" w:cs="宋体"/>
          <w:b w:val="0"/>
          <w:bCs w:val="0"/>
          <w:sz w:val="24"/>
          <w:szCs w:val="24"/>
          <w:highlight w:val="none"/>
          <w:lang w:eastAsia="zh-CN"/>
        </w:rPr>
        <w:t>；（附件十）</w:t>
      </w:r>
    </w:p>
    <w:p w14:paraId="4D454B21">
      <w:pPr>
        <w:ind w:left="480" w:leftChars="200" w:firstLine="0" w:firstLineChars="0"/>
        <w:rPr>
          <w:rFonts w:cs="宋体"/>
          <w:highlight w:val="none"/>
        </w:rPr>
      </w:pPr>
      <w:r>
        <w:rPr>
          <w:rFonts w:hint="eastAsia" w:cs="宋体"/>
          <w:highlight w:val="none"/>
          <w:lang w:val="en-US" w:eastAsia="zh-CN"/>
        </w:rPr>
        <w:t>16.</w:t>
      </w:r>
      <w:r>
        <w:rPr>
          <w:rFonts w:hint="eastAsia" w:cs="宋体"/>
          <w:highlight w:val="none"/>
        </w:rPr>
        <w:t>其它本招标文件评分表要求提供的材料或投标人认为需要补充的其他资料或说明。</w:t>
      </w:r>
    </w:p>
    <w:p w14:paraId="51ED44DC">
      <w:pPr>
        <w:ind w:firstLine="0" w:firstLineChars="0"/>
        <w:rPr>
          <w:rFonts w:cs="宋体"/>
          <w:highlight w:val="none"/>
        </w:rPr>
      </w:pPr>
      <w:r>
        <w:rPr>
          <w:rFonts w:hint="eastAsia" w:cs="宋体"/>
          <w:b/>
          <w:bCs/>
          <w:highlight w:val="none"/>
        </w:rPr>
        <w:t>（三）《报价文件》：</w:t>
      </w:r>
    </w:p>
    <w:p w14:paraId="6483441D">
      <w:pPr>
        <w:ind w:firstLine="480"/>
        <w:rPr>
          <w:rFonts w:cs="宋体"/>
          <w:highlight w:val="none"/>
        </w:rPr>
      </w:pPr>
      <w:r>
        <w:rPr>
          <w:rFonts w:hint="eastAsia" w:cs="宋体"/>
          <w:highlight w:val="none"/>
        </w:rPr>
        <w:t>1.投标响应函；（附件十一）</w:t>
      </w:r>
    </w:p>
    <w:p w14:paraId="5577B585">
      <w:pPr>
        <w:ind w:firstLine="480"/>
        <w:jc w:val="left"/>
        <w:rPr>
          <w:rFonts w:cs="宋体"/>
          <w:highlight w:val="none"/>
        </w:rPr>
      </w:pPr>
      <w:r>
        <w:rPr>
          <w:rFonts w:hint="eastAsia" w:cs="宋体"/>
          <w:highlight w:val="none"/>
        </w:rPr>
        <w:t>2.开标一览表；（附件十二）</w:t>
      </w:r>
    </w:p>
    <w:p w14:paraId="0063395B">
      <w:pPr>
        <w:ind w:firstLine="480"/>
        <w:rPr>
          <w:rFonts w:cs="宋体"/>
          <w:highlight w:val="none"/>
        </w:rPr>
      </w:pPr>
      <w:r>
        <w:rPr>
          <w:rFonts w:hint="eastAsia" w:cs="宋体"/>
          <w:highlight w:val="none"/>
        </w:rPr>
        <w:t>3.报价明细表；（附件十三）</w:t>
      </w:r>
    </w:p>
    <w:p w14:paraId="08DA391D">
      <w:pPr>
        <w:ind w:firstLine="480"/>
        <w:rPr>
          <w:rFonts w:cs="宋体"/>
          <w:highlight w:val="none"/>
        </w:rPr>
      </w:pPr>
      <w:r>
        <w:rPr>
          <w:rFonts w:hint="eastAsia" w:cs="宋体"/>
          <w:highlight w:val="none"/>
        </w:rPr>
        <w:t>4.</w:t>
      </w:r>
      <w:r>
        <w:rPr>
          <w:rFonts w:hint="eastAsia"/>
          <w:highlight w:val="none"/>
        </w:rPr>
        <w:t>缴纳采购代理服务费承诺函；（附件十四）</w:t>
      </w:r>
    </w:p>
    <w:p w14:paraId="7355CBF0">
      <w:pPr>
        <w:ind w:firstLine="480"/>
        <w:rPr>
          <w:rFonts w:cs="宋体"/>
          <w:highlight w:val="none"/>
        </w:rPr>
      </w:pPr>
      <w:r>
        <w:rPr>
          <w:rFonts w:hint="eastAsia" w:cs="宋体"/>
          <w:highlight w:val="none"/>
        </w:rPr>
        <w:t>5.</w:t>
      </w:r>
      <w:r>
        <w:rPr>
          <w:rFonts w:hint="eastAsia" w:cs="宋体"/>
          <w:bCs/>
          <w:highlight w:val="none"/>
        </w:rPr>
        <w:t>投标人针对投标报价需要补充的其他文件和说明</w:t>
      </w:r>
      <w:r>
        <w:rPr>
          <w:rFonts w:hint="eastAsia"/>
          <w:highlight w:val="none"/>
        </w:rPr>
        <w:t>。</w:t>
      </w:r>
    </w:p>
    <w:p w14:paraId="79637208">
      <w:pPr>
        <w:ind w:firstLine="482"/>
        <w:rPr>
          <w:rFonts w:cs="宋体"/>
          <w:b/>
          <w:bCs/>
          <w:highlight w:val="none"/>
        </w:rPr>
      </w:pPr>
      <w:r>
        <w:rPr>
          <w:rFonts w:hint="eastAsia" w:cs="宋体"/>
          <w:b/>
          <w:bCs/>
          <w:highlight w:val="none"/>
        </w:rPr>
        <w:t>▲注：法定代表人授权委托书、投标声明书、投标响应函必须由法定代表人或其授权代表签名并加盖单位公章（或CA电子签章）。</w:t>
      </w:r>
    </w:p>
    <w:p w14:paraId="3CAB703A">
      <w:pPr>
        <w:ind w:firstLine="0" w:firstLineChars="0"/>
        <w:rPr>
          <w:rFonts w:cs="宋体"/>
          <w:b/>
          <w:bCs/>
          <w:highlight w:val="none"/>
        </w:rPr>
      </w:pPr>
      <w:r>
        <w:rPr>
          <w:rFonts w:hint="eastAsia"/>
          <w:b/>
          <w:bCs/>
          <w:highlight w:val="none"/>
        </w:rPr>
        <w:t>三、投标文件的编制</w:t>
      </w:r>
    </w:p>
    <w:p w14:paraId="700AF711">
      <w:pPr>
        <w:ind w:firstLine="480"/>
        <w:rPr>
          <w:highlight w:val="none"/>
        </w:rPr>
      </w:pPr>
      <w:r>
        <w:rPr>
          <w:rFonts w:hint="eastAsia"/>
          <w:highlight w:val="none"/>
        </w:rPr>
        <w:t>本项目实行网上投标。</w:t>
      </w:r>
    </w:p>
    <w:p w14:paraId="28577781">
      <w:pPr>
        <w:ind w:firstLine="480"/>
        <w:rPr>
          <w:rFonts w:cs="宋体"/>
          <w:b/>
          <w:highlight w:val="none"/>
        </w:rPr>
      </w:pPr>
      <w:r>
        <w:rPr>
          <w:rFonts w:hint="eastAsia" w:cs="宋体"/>
          <w:kern w:val="0"/>
          <w:highlight w:val="none"/>
          <w:lang w:val="zh-CN"/>
        </w:rPr>
        <w:t>1.投标文件分为《资格文件》、《商务技术文件》、《报价文件》三部分。各投标人请按照“招标文件</w:t>
      </w:r>
      <w:r>
        <w:rPr>
          <w:rFonts w:hint="eastAsia" w:cs="宋体"/>
          <w:kern w:val="0"/>
          <w:highlight w:val="none"/>
        </w:rPr>
        <w:t>-</w:t>
      </w:r>
      <w:r>
        <w:rPr>
          <w:rFonts w:hint="eastAsia" w:cs="宋体"/>
          <w:kern w:val="0"/>
          <w:highlight w:val="none"/>
          <w:lang w:val="zh-CN"/>
        </w:rPr>
        <w:t>第六章”规定的格式进行投标文件的编制，混乱的编排导致投标文件被误读或评标委员会查找不到有效文件是投标人的风险。</w:t>
      </w:r>
    </w:p>
    <w:p w14:paraId="06872E1A">
      <w:pPr>
        <w:ind w:firstLine="480"/>
        <w:rPr>
          <w:rFonts w:cs="宋体"/>
          <w:kern w:val="0"/>
          <w:highlight w:val="none"/>
          <w:lang w:val="zh-CN"/>
        </w:rPr>
      </w:pPr>
      <w:r>
        <w:rPr>
          <w:rFonts w:hint="eastAsia" w:cs="宋体"/>
          <w:kern w:val="0"/>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530AE0">
      <w:pPr>
        <w:ind w:firstLine="480"/>
        <w:rPr>
          <w:rFonts w:cs="宋体"/>
          <w:kern w:val="0"/>
          <w:highlight w:val="none"/>
          <w:lang w:val="zh-CN"/>
        </w:rPr>
      </w:pPr>
      <w:r>
        <w:rPr>
          <w:rFonts w:hint="eastAsia" w:cs="宋体"/>
          <w:kern w:val="0"/>
          <w:highlight w:val="none"/>
        </w:rPr>
        <w:t>3</w:t>
      </w:r>
      <w:r>
        <w:rPr>
          <w:rFonts w:hint="eastAsia" w:cs="宋体"/>
          <w:kern w:val="0"/>
          <w:highlight w:val="none"/>
          <w:lang w:val="zh-CN"/>
        </w:rPr>
        <w:t>.使用“政采云电子交易客户端”需要提前申领CA数字证书，申领流程请自行前往“浙江政府采购网-下载专区-电子交易客户端-CA驱动和申领流程”进行查阅。</w:t>
      </w:r>
    </w:p>
    <w:p w14:paraId="2EA66F1A">
      <w:pPr>
        <w:ind w:firstLine="0" w:firstLineChars="0"/>
        <w:rPr>
          <w:rFonts w:cs="宋体"/>
          <w:highlight w:val="none"/>
        </w:rPr>
      </w:pPr>
      <w:r>
        <w:rPr>
          <w:rFonts w:hint="eastAsia"/>
          <w:b/>
          <w:bCs/>
          <w:highlight w:val="none"/>
        </w:rPr>
        <w:t>四、投标报价</w:t>
      </w:r>
    </w:p>
    <w:p w14:paraId="409F3B16">
      <w:pPr>
        <w:ind w:left="480" w:leftChars="200" w:firstLine="0" w:firstLineChars="0"/>
        <w:rPr>
          <w:rFonts w:cs="宋体"/>
          <w:highlight w:val="none"/>
        </w:rPr>
      </w:pPr>
      <w:r>
        <w:rPr>
          <w:rFonts w:hint="eastAsia" w:cs="宋体"/>
          <w:highlight w:val="none"/>
        </w:rPr>
        <w:t>1.投标报价是指一次性报出不得更改的价格。本项目以人民币进行报价。</w:t>
      </w:r>
    </w:p>
    <w:p w14:paraId="37C39A59">
      <w:pPr>
        <w:ind w:firstLine="480"/>
        <w:rPr>
          <w:rFonts w:cs="宋体"/>
          <w:highlight w:val="none"/>
        </w:rPr>
      </w:pPr>
      <w:r>
        <w:rPr>
          <w:rFonts w:hint="eastAsia" w:cs="宋体"/>
          <w:highlight w:val="none"/>
        </w:rPr>
        <w:t>2.投标报价是履行合同的最终价格，包含产品或服务的</w:t>
      </w:r>
      <w:r>
        <w:rPr>
          <w:rFonts w:hint="eastAsia" w:cs="宋体"/>
          <w:highlight w:val="none"/>
          <w:lang w:eastAsia="zh-Hans"/>
        </w:rPr>
        <w:t>测试、调试、上线、试运行、其它必要操作（含供货、安装）、培训、维保</w:t>
      </w:r>
      <w:r>
        <w:rPr>
          <w:rFonts w:hint="eastAsia" w:cs="宋体"/>
          <w:highlight w:val="none"/>
        </w:rPr>
        <w:t>、保险费、利润、关税（若有）、税金以及达到使用要求及质量标准、质保期服务所需的全部费用及招标代理服务费等一切直至通过验收的费用，不需要招标人额外支付其他费用。投标人的报价应按招标文件要求的格式、顺序编制。</w:t>
      </w:r>
    </w:p>
    <w:p w14:paraId="0E1A174C">
      <w:pPr>
        <w:ind w:firstLine="480"/>
        <w:rPr>
          <w:rFonts w:cs="宋体"/>
          <w:highlight w:val="none"/>
        </w:rPr>
      </w:pPr>
      <w:r>
        <w:rPr>
          <w:rFonts w:hint="eastAsia" w:cs="宋体"/>
          <w:highlight w:val="none"/>
        </w:rPr>
        <w:t>《开标一览表》是报价的唯一载体。投标文件中价格全部采用人民币报价。招标文件未列明，而投标人认为必需的费用也需列入报价。</w:t>
      </w:r>
    </w:p>
    <w:p w14:paraId="69123220">
      <w:pPr>
        <w:ind w:firstLine="480" w:firstLineChars="0"/>
        <w:rPr>
          <w:rFonts w:cs="宋体"/>
          <w:highlight w:val="none"/>
        </w:rPr>
      </w:pPr>
      <w:r>
        <w:rPr>
          <w:rFonts w:hint="eastAsia" w:cs="宋体"/>
          <w:highlight w:val="none"/>
        </w:rPr>
        <w:t>3.投标报价出现下列情形的，投标无效：</w:t>
      </w:r>
    </w:p>
    <w:p w14:paraId="1CE128B0">
      <w:pPr>
        <w:ind w:firstLine="480"/>
        <w:rPr>
          <w:rFonts w:cs="宋体"/>
          <w:highlight w:val="none"/>
        </w:rPr>
      </w:pPr>
      <w:r>
        <w:rPr>
          <w:rFonts w:hint="eastAsia" w:cs="宋体"/>
          <w:highlight w:val="none"/>
        </w:rPr>
        <w:t>▲投标文件出现不是唯一的、有选择性投标报价的；</w:t>
      </w:r>
    </w:p>
    <w:p w14:paraId="26193312">
      <w:pPr>
        <w:ind w:firstLine="480"/>
        <w:rPr>
          <w:rFonts w:cs="宋体"/>
          <w:highlight w:val="none"/>
        </w:rPr>
      </w:pPr>
      <w:r>
        <w:rPr>
          <w:rFonts w:hint="eastAsia" w:cs="宋体"/>
          <w:highlight w:val="none"/>
        </w:rPr>
        <w:t>▲投标报价高于本项目招标预算或者最高限价的；</w:t>
      </w:r>
    </w:p>
    <w:p w14:paraId="7126E628">
      <w:pPr>
        <w:ind w:firstLine="480"/>
        <w:rPr>
          <w:rFonts w:cs="宋体"/>
          <w:highlight w:val="none"/>
        </w:rPr>
      </w:pPr>
      <w:r>
        <w:rPr>
          <w:rFonts w:hint="eastAsia" w:cs="宋体"/>
          <w:highlight w:val="none"/>
        </w:rPr>
        <w:t>▲报价明显低于其他通过符合性审查投标人的报价，有可能影响产品质量或者不能诚信履约的，未能按要求提供书面说明或者提交相关证明材料，不能证明其报价合理性的；</w:t>
      </w:r>
    </w:p>
    <w:p w14:paraId="51F8B73A">
      <w:pPr>
        <w:ind w:firstLine="480"/>
        <w:rPr>
          <w:rFonts w:cs="宋体"/>
          <w:highlight w:val="none"/>
        </w:rPr>
      </w:pPr>
      <w:r>
        <w:rPr>
          <w:rFonts w:hint="eastAsia" w:cs="宋体"/>
          <w:highlight w:val="none"/>
        </w:rPr>
        <w:t>▲《开标一览表》填写不完整或字迹不能辨认或有漏项的；</w:t>
      </w:r>
    </w:p>
    <w:p w14:paraId="3BA27C5D">
      <w:pPr>
        <w:ind w:firstLine="480"/>
        <w:rPr>
          <w:rFonts w:cs="宋体"/>
          <w:highlight w:val="none"/>
        </w:rPr>
      </w:pPr>
      <w:r>
        <w:rPr>
          <w:rFonts w:hint="eastAsia" w:cs="宋体"/>
          <w:highlight w:val="none"/>
        </w:rPr>
        <w:t>▲投标人对根据修正原则修正后的报价不确认的。</w:t>
      </w:r>
    </w:p>
    <w:p w14:paraId="726BAC79">
      <w:pPr>
        <w:ind w:firstLine="0" w:firstLineChars="0"/>
        <w:rPr>
          <w:rFonts w:cs="宋体"/>
          <w:highlight w:val="none"/>
        </w:rPr>
      </w:pPr>
      <w:r>
        <w:rPr>
          <w:rFonts w:hint="eastAsia"/>
          <w:b/>
          <w:bCs/>
          <w:highlight w:val="none"/>
        </w:rPr>
        <w:t>五、投标文件的签署及规定</w:t>
      </w:r>
    </w:p>
    <w:p w14:paraId="7E7943A9">
      <w:pPr>
        <w:ind w:firstLine="480"/>
        <w:rPr>
          <w:highlight w:val="none"/>
        </w:rPr>
      </w:pPr>
      <w:bookmarkStart w:id="58" w:name="_Toc12521"/>
      <w:bookmarkStart w:id="59" w:name="_Toc1"/>
      <w:r>
        <w:rPr>
          <w:rFonts w:hint="eastAsia"/>
          <w:highlight w:val="none"/>
        </w:rPr>
        <w:t>1.投标文件按照“招标文件-第六章”格式要求进行签署、盖章。</w:t>
      </w:r>
      <w:r>
        <w:rPr>
          <w:rFonts w:hint="eastAsia"/>
          <w:b/>
          <w:bCs/>
          <w:highlight w:val="none"/>
        </w:rPr>
        <w:t>▲投标人的投标文件未按照招标文件要求签署、盖章的，其投标无效。</w:t>
      </w:r>
    </w:p>
    <w:p w14:paraId="019B7977">
      <w:pPr>
        <w:ind w:firstLine="480"/>
        <w:rPr>
          <w:highlight w:val="none"/>
        </w:rPr>
      </w:pPr>
      <w:r>
        <w:rPr>
          <w:rFonts w:hint="eastAsia"/>
          <w:highlight w:val="none"/>
        </w:rPr>
        <w:t>2.为确保网上操作合法、有效和安全，投标人应当在投标截止时间前完成在“政府采购云平台”的身份认证，确保在电子投标过程中能够对相关数据电文进行加密和使用电子签名。</w:t>
      </w:r>
    </w:p>
    <w:p w14:paraId="2EDB9E93">
      <w:pPr>
        <w:ind w:firstLine="480"/>
        <w:rPr>
          <w:rFonts w:cs="宋体"/>
          <w:highlight w:val="none"/>
        </w:rPr>
      </w:pPr>
      <w:r>
        <w:rPr>
          <w:rFonts w:hint="eastAsia"/>
          <w:highlight w:val="none"/>
        </w:rPr>
        <w:t>3.招标文件对投标文件签署、盖章的要求适用于电子签名。</w:t>
      </w:r>
    </w:p>
    <w:p w14:paraId="6DF43237">
      <w:pPr>
        <w:ind w:firstLine="0" w:firstLineChars="0"/>
        <w:rPr>
          <w:rFonts w:cs="宋体"/>
          <w:b/>
          <w:highlight w:val="none"/>
        </w:rPr>
      </w:pPr>
      <w:r>
        <w:rPr>
          <w:rFonts w:hint="eastAsia"/>
          <w:b/>
          <w:bCs/>
          <w:highlight w:val="none"/>
        </w:rPr>
        <w:t>六、备份投标文件</w:t>
      </w:r>
    </w:p>
    <w:p w14:paraId="4036E0BA">
      <w:pPr>
        <w:pStyle w:val="20"/>
        <w:spacing w:line="360" w:lineRule="auto"/>
        <w:ind w:firstLine="360" w:firstLineChars="150"/>
        <w:rPr>
          <w:rFonts w:hAnsi="宋体" w:cs="宋体"/>
          <w:b/>
          <w:sz w:val="24"/>
          <w:szCs w:val="24"/>
          <w:highlight w:val="none"/>
        </w:rPr>
      </w:pPr>
      <w:r>
        <w:rPr>
          <w:rFonts w:hint="eastAsia" w:hAnsi="宋体" w:cs="宋体"/>
          <w:sz w:val="24"/>
          <w:szCs w:val="24"/>
          <w:highlight w:val="none"/>
        </w:rPr>
        <w:t xml:space="preserve"> 1.投标人在电子交易平台传输递交投标文件后，还可以在投标截止时间前直接提交或者以邮政快递方式递交备份投标文件1份，</w:t>
      </w:r>
      <w:r>
        <w:rPr>
          <w:rFonts w:hint="eastAsia" w:hAnsi="宋体" w:cs="宋体"/>
          <w:b/>
          <w:sz w:val="24"/>
          <w:szCs w:val="24"/>
          <w:highlight w:val="none"/>
        </w:rPr>
        <w:t>但招标人、招标代理机构不强制或变相强制投标人提交备份投标文件。</w:t>
      </w:r>
    </w:p>
    <w:p w14:paraId="18202B2E">
      <w:pPr>
        <w:pStyle w:val="20"/>
        <w:spacing w:line="360" w:lineRule="auto"/>
        <w:ind w:firstLine="480" w:firstLineChars="200"/>
        <w:rPr>
          <w:rFonts w:hAnsi="宋体" w:cs="宋体"/>
          <w:b/>
          <w:sz w:val="24"/>
          <w:szCs w:val="24"/>
          <w:highlight w:val="none"/>
        </w:rPr>
      </w:pPr>
      <w:r>
        <w:rPr>
          <w:rFonts w:hint="eastAsia" w:hAnsi="宋体" w:cs="宋体"/>
          <w:sz w:val="24"/>
          <w:szCs w:val="24"/>
          <w:highlight w:val="none"/>
        </w:rPr>
        <w:t>2.备份投标文件须在“政采云投标客户端”制作生成，并储存在</w:t>
      </w:r>
      <w:r>
        <w:rPr>
          <w:rFonts w:hint="eastAsia" w:hAnsi="宋体" w:cs="宋体"/>
          <w:sz w:val="24"/>
          <w:highlight w:val="none"/>
        </w:rPr>
        <w:t>U盘</w:t>
      </w:r>
      <w:r>
        <w:rPr>
          <w:rFonts w:hint="eastAsia" w:hAnsi="宋体" w:cs="宋体"/>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highlight w:val="none"/>
        </w:rPr>
        <w:t>不符合上述制作、</w:t>
      </w:r>
      <w:r>
        <w:rPr>
          <w:rFonts w:hint="eastAsia" w:hAnsi="宋体" w:cs="宋体"/>
          <w:b/>
          <w:sz w:val="24"/>
          <w:szCs w:val="24"/>
          <w:highlight w:val="none"/>
        </w:rPr>
        <w:t>存储、密封规定的备份投标文件将被视为无效或者被拒绝接收。</w:t>
      </w:r>
    </w:p>
    <w:p w14:paraId="04A05D62">
      <w:pPr>
        <w:pStyle w:val="20"/>
        <w:spacing w:line="360" w:lineRule="auto"/>
        <w:ind w:firstLine="480" w:firstLineChars="200"/>
        <w:rPr>
          <w:rFonts w:hAnsi="宋体" w:cs="宋体"/>
          <w:sz w:val="24"/>
          <w:szCs w:val="24"/>
          <w:highlight w:val="none"/>
        </w:rPr>
      </w:pPr>
      <w:r>
        <w:rPr>
          <w:rFonts w:hint="eastAsia" w:hAnsi="宋体" w:cs="宋体"/>
          <w:sz w:val="24"/>
          <w:szCs w:val="24"/>
          <w:highlight w:val="none"/>
        </w:rPr>
        <w:t>3.直接提交备份投标文件的，投标人应于投标截止时间前在招标公告中载明的开标地点将备份投标文件提交给招标代理机构，招标代理机构拒绝接受逾期送达的备份投标文件。</w:t>
      </w:r>
    </w:p>
    <w:p w14:paraId="3923EF43">
      <w:pPr>
        <w:pStyle w:val="20"/>
        <w:spacing w:line="360" w:lineRule="auto"/>
        <w:ind w:firstLine="480" w:firstLineChars="200"/>
        <w:rPr>
          <w:rFonts w:hAnsi="宋体" w:cs="宋体"/>
          <w:sz w:val="24"/>
          <w:szCs w:val="24"/>
          <w:highlight w:val="none"/>
        </w:rPr>
      </w:pPr>
      <w:r>
        <w:rPr>
          <w:rFonts w:hint="eastAsia" w:hAnsi="宋体" w:cs="宋体"/>
          <w:sz w:val="24"/>
          <w:szCs w:val="24"/>
          <w:highlight w:val="none"/>
        </w:rPr>
        <w:t>4.以邮政快递方式递交备份投标文件的，投标人应先将备份投标文件按要求密封和标记，再进行邮政快递包装后邮寄。备份投标文件须在投标截止时间之前1天送达招标文件“第三章-投标人须知-前附表”规定的备份投标文件送达地点；送达时间以签收人签收时间为准。招标代理机构将拒绝接受逾期送达的备份投标文件。邮寄过程中，电子备份投标文件发生泄露、遗失、损坏或延期送达等情况的，由投标人自行负责。</w:t>
      </w:r>
    </w:p>
    <w:p w14:paraId="1B584299">
      <w:pPr>
        <w:ind w:firstLine="0" w:firstLineChars="0"/>
        <w:rPr>
          <w:rFonts w:cs="宋体"/>
          <w:highlight w:val="none"/>
        </w:rPr>
      </w:pPr>
      <w:r>
        <w:rPr>
          <w:rFonts w:hint="eastAsia"/>
          <w:b/>
          <w:bCs/>
          <w:highlight w:val="none"/>
        </w:rPr>
        <w:t>七、投标文件的有效期</w:t>
      </w:r>
    </w:p>
    <w:p w14:paraId="6C17D062">
      <w:pPr>
        <w:ind w:firstLine="480"/>
        <w:rPr>
          <w:rFonts w:cs="宋体"/>
          <w:highlight w:val="none"/>
        </w:rPr>
      </w:pPr>
      <w:r>
        <w:rPr>
          <w:rFonts w:hint="eastAsia" w:cs="宋体"/>
          <w:highlight w:val="none"/>
        </w:rPr>
        <w:t>1.投标文件有效期按“投标人须知-前附表-第12项”规定，投标文件应在该有效期内保持有效。合同签订后，投标文件作为合同附件，投标文件有效期同合同有效期。</w:t>
      </w:r>
    </w:p>
    <w:p w14:paraId="5603DADD">
      <w:pPr>
        <w:ind w:firstLine="480"/>
        <w:rPr>
          <w:rFonts w:cs="宋体"/>
          <w:highlight w:val="none"/>
        </w:rPr>
      </w:pPr>
      <w:r>
        <w:rPr>
          <w:rFonts w:hint="eastAsia" w:cs="宋体"/>
          <w:highlight w:val="none"/>
        </w:rPr>
        <w:t>2.在特殊情况下，招标人可与供应商协商延长投标文件有效期，这种要求和答复均应以书面形式进行。</w:t>
      </w:r>
    </w:p>
    <w:p w14:paraId="05C16B23">
      <w:pPr>
        <w:ind w:firstLine="480"/>
        <w:rPr>
          <w:rFonts w:cs="宋体"/>
          <w:highlight w:val="none"/>
        </w:rPr>
      </w:pPr>
      <w:r>
        <w:rPr>
          <w:rFonts w:hint="eastAsia" w:cs="宋体"/>
          <w:highlight w:val="none"/>
        </w:rPr>
        <w:t>3.同意延长有效期的供应商不能修改投标文件。</w:t>
      </w:r>
    </w:p>
    <w:p w14:paraId="06FAC9D3">
      <w:pPr>
        <w:pStyle w:val="4"/>
        <w:jc w:val="center"/>
        <w:rPr>
          <w:rFonts w:ascii="宋体" w:hAnsi="宋体" w:cs="宋体"/>
          <w:sz w:val="24"/>
          <w:szCs w:val="24"/>
          <w:highlight w:val="none"/>
        </w:rPr>
      </w:pPr>
    </w:p>
    <w:p w14:paraId="469CFD87">
      <w:pPr>
        <w:pStyle w:val="4"/>
        <w:jc w:val="center"/>
        <w:rPr>
          <w:rFonts w:ascii="宋体" w:hAnsi="宋体" w:cs="宋体"/>
          <w:sz w:val="24"/>
          <w:szCs w:val="24"/>
          <w:highlight w:val="none"/>
        </w:rPr>
      </w:pPr>
      <w:r>
        <w:rPr>
          <w:rFonts w:hint="eastAsia" w:ascii="宋体" w:hAnsi="宋体" w:cs="宋体"/>
          <w:sz w:val="24"/>
          <w:szCs w:val="24"/>
          <w:highlight w:val="none"/>
        </w:rPr>
        <w:t>第四节  投标文件的提交</w:t>
      </w:r>
      <w:bookmarkEnd w:id="58"/>
      <w:bookmarkEnd w:id="59"/>
    </w:p>
    <w:p w14:paraId="2403D3EB">
      <w:pPr>
        <w:ind w:firstLine="0" w:firstLineChars="0"/>
        <w:rPr>
          <w:rFonts w:cs="宋体"/>
          <w:highlight w:val="none"/>
        </w:rPr>
      </w:pPr>
      <w:r>
        <w:rPr>
          <w:rFonts w:hint="eastAsia"/>
          <w:b/>
          <w:bCs/>
          <w:highlight w:val="none"/>
        </w:rPr>
        <w:t>一、投标文件的上传和提交</w:t>
      </w:r>
    </w:p>
    <w:p w14:paraId="042A6E55">
      <w:pPr>
        <w:ind w:firstLine="480"/>
        <w:rPr>
          <w:rFonts w:cs="宋体"/>
          <w:highlight w:val="none"/>
        </w:rPr>
      </w:pPr>
      <w:r>
        <w:rPr>
          <w:rFonts w:hint="eastAsia" w:cs="宋体"/>
          <w:highlight w:val="none"/>
        </w:rPr>
        <w:t>详见“投标人须知-前附表-第10项”。</w:t>
      </w:r>
    </w:p>
    <w:p w14:paraId="166DDA8E">
      <w:pPr>
        <w:ind w:firstLine="0" w:firstLineChars="0"/>
        <w:rPr>
          <w:rFonts w:cs="宋体"/>
          <w:highlight w:val="none"/>
        </w:rPr>
      </w:pPr>
      <w:r>
        <w:rPr>
          <w:rFonts w:hint="eastAsia"/>
          <w:b/>
          <w:bCs/>
          <w:highlight w:val="none"/>
        </w:rPr>
        <w:t>二、投标文件的补充、修改、撤回</w:t>
      </w:r>
    </w:p>
    <w:p w14:paraId="6FB7BBC3">
      <w:pPr>
        <w:ind w:firstLine="480"/>
        <w:rPr>
          <w:highlight w:val="none"/>
        </w:rPr>
      </w:pPr>
      <w:bookmarkStart w:id="60" w:name="_Toc20835"/>
      <w:bookmarkStart w:id="61" w:name="_Toc27893"/>
      <w:r>
        <w:rPr>
          <w:rFonts w:hint="eastAsia"/>
          <w:highlight w:val="none"/>
        </w:rPr>
        <w:t>1.投标人应当在投标截止时间前完成投标文件的上传提交，并可以补充、修改或者撤回投标文件。补充或者修改投标文件的，应当先行撤回原文件，补充、修改后重新上传提交。投标截止时间后提交的投标文件，电子交易平台将拒收。</w:t>
      </w:r>
    </w:p>
    <w:p w14:paraId="50084FF7">
      <w:pPr>
        <w:ind w:firstLine="480"/>
        <w:rPr>
          <w:highlight w:val="none"/>
        </w:rPr>
      </w:pPr>
      <w:r>
        <w:rPr>
          <w:rFonts w:hint="eastAsia"/>
          <w:highlight w:val="none"/>
        </w:rPr>
        <w:t>2.电子交易平台收到投标文件，将妥善保存并即时向投标人发出确认回执通知。在投标截止时间前，除投标人补充、修改或者撤回投标文件外，任何单位和个人不得解密或提取投标文件。</w:t>
      </w:r>
    </w:p>
    <w:p w14:paraId="0087A61D">
      <w:pPr>
        <w:ind w:firstLine="480"/>
        <w:rPr>
          <w:highlight w:val="none"/>
        </w:rPr>
      </w:pPr>
      <w:r>
        <w:rPr>
          <w:rFonts w:hint="eastAsia"/>
          <w:highlight w:val="none"/>
        </w:rPr>
        <w:t>3.招标人、招标代理机构可以视情况延长投标文件提交的截止时间。在上述情况下，招标代理机构与投标人以前在投标截止期方面的全部权利、责任和义务，将适用于延长至新的投标截止期。</w:t>
      </w:r>
    </w:p>
    <w:p w14:paraId="6828910A">
      <w:pPr>
        <w:pStyle w:val="4"/>
        <w:jc w:val="center"/>
        <w:rPr>
          <w:rFonts w:ascii="宋体" w:hAnsi="宋体" w:cs="宋体"/>
          <w:sz w:val="24"/>
          <w:szCs w:val="24"/>
          <w:highlight w:val="none"/>
        </w:rPr>
      </w:pPr>
      <w:r>
        <w:rPr>
          <w:rFonts w:hint="eastAsia" w:ascii="宋体" w:hAnsi="宋体" w:cs="宋体"/>
          <w:sz w:val="24"/>
          <w:szCs w:val="24"/>
          <w:highlight w:val="none"/>
        </w:rPr>
        <w:t>第五节  开 标</w:t>
      </w:r>
      <w:bookmarkEnd w:id="60"/>
      <w:bookmarkEnd w:id="61"/>
    </w:p>
    <w:p w14:paraId="38A0EF46">
      <w:pPr>
        <w:ind w:firstLine="0" w:firstLineChars="0"/>
        <w:rPr>
          <w:rFonts w:cs="宋体"/>
          <w:highlight w:val="none"/>
        </w:rPr>
      </w:pPr>
      <w:r>
        <w:rPr>
          <w:rFonts w:hint="eastAsia"/>
          <w:b/>
          <w:bCs/>
          <w:highlight w:val="none"/>
        </w:rPr>
        <w:t>一、开标流程</w:t>
      </w:r>
    </w:p>
    <w:p w14:paraId="498C6826">
      <w:pPr>
        <w:ind w:firstLine="482"/>
        <w:rPr>
          <w:rFonts w:cs="宋体"/>
          <w:b/>
          <w:bCs/>
          <w:highlight w:val="none"/>
        </w:rPr>
      </w:pPr>
      <w:r>
        <w:rPr>
          <w:rFonts w:hint="eastAsia" w:cs="宋体"/>
          <w:b/>
          <w:bCs/>
          <w:highlight w:val="none"/>
        </w:rPr>
        <w:t>1.开标准备</w:t>
      </w:r>
    </w:p>
    <w:p w14:paraId="5D109103">
      <w:pPr>
        <w:pStyle w:val="6"/>
        <w:ind w:firstLine="480"/>
        <w:rPr>
          <w:rFonts w:cs="宋体"/>
          <w:b w:val="0"/>
          <w:bCs w:val="0"/>
          <w:highlight w:val="none"/>
        </w:rPr>
      </w:pPr>
      <w:r>
        <w:rPr>
          <w:rFonts w:hint="eastAsia" w:cs="宋体"/>
          <w:b w:val="0"/>
          <w:bCs w:val="0"/>
          <w:highlight w:val="none"/>
        </w:rPr>
        <w:t>招标代理机构将按照招标文件规定的时间通过浙江政府采购网组织开标、开启电子加密投标文件，所有供应商均应当准时在线参加。供应商如不参加开标大会的，视同认可开标结果，事后不得对采购相关人员、开标过程和开标结果提出异议，同时供应商因未在线参加开标而导致电子加密投标文件无法按时解密等一切后果由供应商自己承担。</w:t>
      </w:r>
    </w:p>
    <w:p w14:paraId="47B40FA3">
      <w:pPr>
        <w:ind w:firstLine="482"/>
        <w:rPr>
          <w:rFonts w:cs="宋体"/>
          <w:b/>
          <w:bCs/>
          <w:highlight w:val="none"/>
        </w:rPr>
      </w:pPr>
      <w:r>
        <w:rPr>
          <w:rFonts w:hint="eastAsia" w:cs="宋体"/>
          <w:b/>
          <w:bCs/>
          <w:highlight w:val="none"/>
        </w:rPr>
        <w:t>2.开标流程（两阶段）</w:t>
      </w:r>
    </w:p>
    <w:p w14:paraId="04EC7E9A">
      <w:pPr>
        <w:ind w:firstLine="480"/>
        <w:rPr>
          <w:rFonts w:cs="宋体"/>
          <w:highlight w:val="none"/>
        </w:rPr>
      </w:pPr>
      <w:r>
        <w:rPr>
          <w:rFonts w:hint="eastAsia" w:cs="宋体"/>
          <w:highlight w:val="none"/>
        </w:rPr>
        <w:t>2.1 开标第一阶段</w:t>
      </w:r>
    </w:p>
    <w:p w14:paraId="7C6033C8">
      <w:pPr>
        <w:ind w:firstLine="480"/>
        <w:rPr>
          <w:rFonts w:cs="宋体"/>
          <w:highlight w:val="none"/>
        </w:rPr>
      </w:pPr>
      <w:r>
        <w:rPr>
          <w:rFonts w:hint="eastAsia" w:cs="宋体"/>
          <w:highlight w:val="none"/>
        </w:rPr>
        <w:t>2.1.1 招标代理机构开始解密，供应商在规定的时间内进行电子加密投标文件解密。</w:t>
      </w:r>
    </w:p>
    <w:p w14:paraId="2D136A94">
      <w:pPr>
        <w:ind w:firstLine="480"/>
        <w:rPr>
          <w:rFonts w:cs="宋体"/>
          <w:highlight w:val="none"/>
        </w:rPr>
      </w:pPr>
      <w:r>
        <w:rPr>
          <w:rFonts w:hint="eastAsia" w:cs="宋体"/>
          <w:highlight w:val="none"/>
        </w:rPr>
        <w:t>2.1.2 解密时间为开标后30分钟内。</w:t>
      </w:r>
    </w:p>
    <w:p w14:paraId="2C524DDE">
      <w:pPr>
        <w:ind w:firstLine="480"/>
        <w:rPr>
          <w:rFonts w:cs="宋体"/>
          <w:highlight w:val="none"/>
        </w:rPr>
      </w:pPr>
      <w:r>
        <w:rPr>
          <w:rFonts w:hint="eastAsia" w:cs="宋体"/>
          <w:highlight w:val="none"/>
        </w:rPr>
        <w:t>2.1.3 解密失败的异常处理：供应商在规定的时间内无法完成已递交的电子加密投标文件解密的，如已按规定递交了备份投标文件的，将由招标代理机构将备份投标文件上传至浙江政府采购网，上传成功后，原电子加密投标文件自动失效。</w:t>
      </w:r>
    </w:p>
    <w:p w14:paraId="1A4D2E6F">
      <w:pPr>
        <w:ind w:firstLine="480"/>
        <w:rPr>
          <w:rFonts w:cs="宋体"/>
          <w:highlight w:val="none"/>
        </w:rPr>
      </w:pPr>
      <w:r>
        <w:rPr>
          <w:rFonts w:hint="eastAsia" w:cs="宋体"/>
          <w:highlight w:val="none"/>
        </w:rPr>
        <w:t>2.1.4 第一阶段开标结束。</w:t>
      </w:r>
    </w:p>
    <w:p w14:paraId="1429C415">
      <w:pPr>
        <w:ind w:firstLine="480"/>
        <w:rPr>
          <w:rFonts w:cs="宋体"/>
          <w:highlight w:val="none"/>
        </w:rPr>
      </w:pPr>
      <w:r>
        <w:rPr>
          <w:rFonts w:hint="eastAsia" w:cs="宋体"/>
          <w:highlight w:val="none"/>
        </w:rPr>
        <w:t>2.1.5 转入资格文件和商务技术文件评审。</w:t>
      </w:r>
    </w:p>
    <w:p w14:paraId="556E7361">
      <w:pPr>
        <w:ind w:firstLine="480"/>
        <w:rPr>
          <w:rFonts w:cs="宋体"/>
          <w:highlight w:val="none"/>
        </w:rPr>
      </w:pPr>
      <w:r>
        <w:rPr>
          <w:rFonts w:hint="eastAsia" w:cs="宋体"/>
          <w:highlight w:val="none"/>
        </w:rPr>
        <w:t>2.2 开标第二阶段</w:t>
      </w:r>
    </w:p>
    <w:p w14:paraId="12443A79">
      <w:pPr>
        <w:ind w:firstLine="480"/>
        <w:rPr>
          <w:rFonts w:cs="宋体"/>
          <w:highlight w:val="none"/>
        </w:rPr>
      </w:pPr>
      <w:r>
        <w:rPr>
          <w:rFonts w:hint="eastAsia" w:cs="宋体"/>
          <w:highlight w:val="none"/>
        </w:rPr>
        <w:t>2.2.1 资格文件和商务技术文件评审结束后，进入开标大会第二阶段。公布无效供应商名称及理由，同时公布有效供应商的商务技术部分得分情况。</w:t>
      </w:r>
    </w:p>
    <w:p w14:paraId="4F148F4C">
      <w:pPr>
        <w:ind w:firstLine="480"/>
        <w:rPr>
          <w:rFonts w:cs="宋体"/>
          <w:highlight w:val="none"/>
        </w:rPr>
      </w:pPr>
      <w:r>
        <w:rPr>
          <w:rFonts w:hint="eastAsia" w:cs="宋体"/>
          <w:highlight w:val="none"/>
        </w:rPr>
        <w:t>2.2.2 开启有效供应商的报价文件，公布开标一览表有关内容。开标结束后，由评标委员会对报价的合理性、准确性等进行审查核实。</w:t>
      </w:r>
    </w:p>
    <w:p w14:paraId="04DAA75A">
      <w:pPr>
        <w:ind w:firstLine="482"/>
        <w:rPr>
          <w:highlight w:val="none"/>
        </w:rPr>
      </w:pPr>
      <w:r>
        <w:rPr>
          <w:rFonts w:hint="eastAsia"/>
          <w:b/>
          <w:bCs/>
          <w:highlight w:val="none"/>
        </w:rPr>
        <w:t>3.投标文件初步评审</w:t>
      </w:r>
    </w:p>
    <w:p w14:paraId="31AA4BA7">
      <w:pPr>
        <w:ind w:firstLine="480"/>
        <w:rPr>
          <w:rFonts w:cs="宋体"/>
          <w:highlight w:val="none"/>
        </w:rPr>
      </w:pPr>
      <w:r>
        <w:rPr>
          <w:rFonts w:hint="eastAsia" w:cs="宋体"/>
          <w:highlight w:val="none"/>
        </w:rPr>
        <w:t>3.1 招标代理机构或评审专家首先审查各供应商的资格条件是否满足招标文件要求。</w:t>
      </w:r>
    </w:p>
    <w:p w14:paraId="222A5228">
      <w:pPr>
        <w:ind w:firstLine="480"/>
        <w:rPr>
          <w:rFonts w:cs="宋体"/>
          <w:highlight w:val="none"/>
        </w:rPr>
      </w:pPr>
      <w:r>
        <w:rPr>
          <w:rFonts w:hint="eastAsia" w:cs="宋体"/>
          <w:highlight w:val="none"/>
        </w:rPr>
        <w:t>3.2 评标委员会将首先审查每份投标文件是否实质上响应了招标文件的要求，实质性响应的投标文件是指投标文件符合招标文件规定的实质性内容、条件和规定。</w:t>
      </w:r>
    </w:p>
    <w:p w14:paraId="44622BD2">
      <w:pPr>
        <w:ind w:firstLine="480"/>
        <w:rPr>
          <w:rFonts w:cs="宋体"/>
          <w:highlight w:val="none"/>
        </w:rPr>
      </w:pPr>
      <w:r>
        <w:rPr>
          <w:rFonts w:hint="eastAsia" w:cs="宋体"/>
          <w:highlight w:val="none"/>
        </w:rPr>
        <w:t>3.3 重大偏离或保留是指将会影响到招标文件规定的服务范围、质量标准，或会给合同中规定的招标人的权利和供应商的责任造成实质性限制，而纠正这些偏离或保留将对其他提交了实质性响应的投标文件的供应商产生不公平影响的。</w:t>
      </w:r>
    </w:p>
    <w:p w14:paraId="75F561E7">
      <w:pPr>
        <w:ind w:firstLine="480"/>
        <w:rPr>
          <w:rFonts w:cs="宋体"/>
          <w:highlight w:val="none"/>
        </w:rPr>
      </w:pPr>
      <w:r>
        <w:rPr>
          <w:rFonts w:hint="eastAsia" w:cs="宋体"/>
          <w:highlight w:val="none"/>
        </w:rPr>
        <w:t>3.4 细微偏离是指投标文件对招标文件的非实质性内容存在不完全响应或不响应。</w:t>
      </w:r>
    </w:p>
    <w:p w14:paraId="35D78596">
      <w:pPr>
        <w:ind w:firstLine="480"/>
        <w:rPr>
          <w:rFonts w:cs="宋体"/>
          <w:highlight w:val="none"/>
        </w:rPr>
      </w:pPr>
      <w:r>
        <w:rPr>
          <w:rFonts w:hint="eastAsia" w:cs="宋体"/>
          <w:highlight w:val="none"/>
        </w:rPr>
        <w:t>3.5 重大偏离和保留、细微偏离由评标委员会界定。初步评审时如发现投标文件与招标文件要求有重大偏离和保留，其投标文件将被作无效标处理。供应商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供应商的评审。</w:t>
      </w:r>
    </w:p>
    <w:p w14:paraId="757599C3">
      <w:pPr>
        <w:ind w:firstLine="480"/>
        <w:rPr>
          <w:rFonts w:cs="宋体"/>
          <w:highlight w:val="none"/>
        </w:rPr>
      </w:pPr>
      <w:r>
        <w:rPr>
          <w:rFonts w:hint="eastAsia" w:cs="宋体"/>
          <w:highlight w:val="none"/>
        </w:rPr>
        <w:t>3.6 初步评审工作内容</w:t>
      </w:r>
    </w:p>
    <w:p w14:paraId="74F2BDC0">
      <w:pPr>
        <w:ind w:firstLine="480"/>
        <w:rPr>
          <w:rFonts w:cs="宋体"/>
          <w:highlight w:val="none"/>
        </w:rPr>
      </w:pPr>
      <w:r>
        <w:rPr>
          <w:rFonts w:hint="eastAsia" w:cs="宋体"/>
          <w:highlight w:val="none"/>
        </w:rPr>
        <w:t>3.6.1 资格性检查</w:t>
      </w:r>
    </w:p>
    <w:p w14:paraId="711ADE55">
      <w:pPr>
        <w:ind w:firstLine="480"/>
        <w:rPr>
          <w:rFonts w:cs="宋体"/>
          <w:highlight w:val="none"/>
        </w:rPr>
      </w:pPr>
      <w:r>
        <w:rPr>
          <w:rFonts w:hint="eastAsia" w:cs="宋体"/>
          <w:highlight w:val="none"/>
        </w:rPr>
        <w:t>依据法律法规及招标文件的规定，对投标文件中的提供的资格证明材料进行审查，以确定供应商是否具备投标资格。</w:t>
      </w:r>
    </w:p>
    <w:p w14:paraId="0AE64A2C">
      <w:pPr>
        <w:ind w:firstLine="480"/>
        <w:rPr>
          <w:rFonts w:cs="宋体"/>
          <w:highlight w:val="none"/>
        </w:rPr>
      </w:pPr>
      <w:r>
        <w:rPr>
          <w:rFonts w:hint="eastAsia" w:cs="宋体"/>
          <w:highlight w:val="none"/>
        </w:rPr>
        <w:t>3.6.2 符合性检查</w:t>
      </w:r>
    </w:p>
    <w:p w14:paraId="7764D8F9">
      <w:pPr>
        <w:ind w:firstLine="480"/>
        <w:rPr>
          <w:rFonts w:cs="宋体"/>
          <w:highlight w:val="none"/>
        </w:rPr>
      </w:pPr>
      <w:r>
        <w:rPr>
          <w:rFonts w:hint="eastAsia" w:cs="宋体"/>
          <w:highlight w:val="none"/>
        </w:rPr>
        <w:t>依据招标文件的规定，从投标文件的有效性、完整性和对招标文件的响应程度进行审查，以确定是否对招标文件的实质性要求作出响应。</w:t>
      </w:r>
    </w:p>
    <w:p w14:paraId="11A6981D">
      <w:pPr>
        <w:ind w:firstLine="480"/>
        <w:rPr>
          <w:highlight w:val="none"/>
        </w:rPr>
      </w:pPr>
      <w:r>
        <w:rPr>
          <w:rFonts w:hint="eastAsia" w:cs="宋体"/>
          <w:highlight w:val="none"/>
        </w:rPr>
        <w:t>3.7 评标委员会对投标文件的判定，只依据投标文件内容本身和按招标文件规定提交资料，不依靠开标后的任何外来证明。如供应商提交的资质证明或其他内容不齐全，由此造成的后果由供应商自己负责。</w:t>
      </w:r>
    </w:p>
    <w:p w14:paraId="02E791F7">
      <w:pPr>
        <w:ind w:firstLine="0" w:firstLineChars="0"/>
        <w:rPr>
          <w:rFonts w:cs="宋体"/>
          <w:highlight w:val="none"/>
        </w:rPr>
      </w:pPr>
      <w:r>
        <w:rPr>
          <w:rFonts w:hint="eastAsia"/>
          <w:b/>
          <w:bCs/>
          <w:highlight w:val="none"/>
        </w:rPr>
        <w:t>二、投标文件鉴定</w:t>
      </w:r>
    </w:p>
    <w:p w14:paraId="0DACD686">
      <w:pPr>
        <w:ind w:firstLine="480"/>
        <w:rPr>
          <w:rFonts w:cs="宋体"/>
          <w:highlight w:val="none"/>
        </w:rPr>
      </w:pPr>
      <w:bookmarkStart w:id="62" w:name="_Toc13357"/>
      <w:bookmarkStart w:id="63" w:name="_Toc13687"/>
      <w:r>
        <w:rPr>
          <w:rFonts w:hint="eastAsia" w:cs="宋体"/>
          <w:highlight w:val="none"/>
        </w:rPr>
        <w:t>1.开标时，招标代理机构将对投标文件进行初步审查，检查投标文件内容是否完整、编排是否有序、文件签署是否规范以及投标人资格是否符合要求等。如投标文件被确认为无效，招标代理机构将及时通知该投标人。</w:t>
      </w:r>
    </w:p>
    <w:p w14:paraId="3E1E6D0D">
      <w:pPr>
        <w:ind w:firstLine="480"/>
        <w:rPr>
          <w:rFonts w:cs="宋体"/>
          <w:highlight w:val="none"/>
        </w:rPr>
      </w:pPr>
      <w:r>
        <w:rPr>
          <w:rFonts w:hint="eastAsia" w:cs="宋体"/>
          <w:highlight w:val="none"/>
        </w:rPr>
        <w:t>2.如果投标文件实质上不响应招标文件的要求，招标代理机构及评标委员会将予以拒绝，并且不允许通过修正或撤消不符合要求的差异或保留，使之成为具有响应性的投标。</w:t>
      </w:r>
    </w:p>
    <w:p w14:paraId="1BD09637">
      <w:pPr>
        <w:ind w:firstLine="480"/>
        <w:rPr>
          <w:rFonts w:cs="宋体"/>
          <w:highlight w:val="none"/>
        </w:rPr>
      </w:pPr>
      <w:r>
        <w:rPr>
          <w:rFonts w:hint="eastAsia" w:cs="宋体"/>
          <w:highlight w:val="none"/>
        </w:rPr>
        <w:t>3.经开标后递交至评标委员会的投标文件，仍需接受相关符合性的检查，并有可能在评标过程中被判断为无效。</w:t>
      </w:r>
    </w:p>
    <w:p w14:paraId="61EF3C0E">
      <w:pPr>
        <w:pStyle w:val="4"/>
        <w:jc w:val="center"/>
        <w:rPr>
          <w:rFonts w:ascii="宋体" w:hAnsi="宋体" w:cs="宋体"/>
          <w:sz w:val="24"/>
          <w:szCs w:val="24"/>
          <w:highlight w:val="none"/>
        </w:rPr>
      </w:pPr>
    </w:p>
    <w:p w14:paraId="15AA4838">
      <w:pPr>
        <w:tabs>
          <w:tab w:val="left" w:pos="894"/>
        </w:tabs>
        <w:bidi w:val="0"/>
        <w:ind w:left="0" w:leftChars="0" w:firstLine="0" w:firstLineChars="0"/>
        <w:jc w:val="center"/>
        <w:rPr>
          <w:rFonts w:ascii="宋体" w:hAnsi="宋体" w:cs="宋体"/>
          <w:sz w:val="24"/>
          <w:szCs w:val="24"/>
          <w:highlight w:val="none"/>
        </w:rPr>
      </w:pPr>
      <w:r>
        <w:rPr>
          <w:rFonts w:hint="eastAsia" w:ascii="宋体" w:hAnsi="宋体" w:cs="宋体"/>
          <w:b/>
          <w:bCs/>
          <w:sz w:val="24"/>
          <w:szCs w:val="24"/>
          <w:highlight w:val="none"/>
        </w:rPr>
        <w:t>第六节  评 标</w:t>
      </w:r>
      <w:bookmarkEnd w:id="62"/>
      <w:bookmarkEnd w:id="63"/>
    </w:p>
    <w:p w14:paraId="0A166934">
      <w:pPr>
        <w:ind w:firstLine="0" w:firstLineChars="0"/>
        <w:rPr>
          <w:rFonts w:cs="宋体"/>
          <w:highlight w:val="none"/>
        </w:rPr>
      </w:pPr>
      <w:r>
        <w:rPr>
          <w:rFonts w:hint="eastAsia"/>
          <w:b/>
          <w:bCs/>
          <w:highlight w:val="none"/>
        </w:rPr>
        <w:t>一、组建评标委员会</w:t>
      </w:r>
    </w:p>
    <w:p w14:paraId="46AAFAE5">
      <w:pPr>
        <w:ind w:firstLine="480"/>
        <w:rPr>
          <w:rFonts w:cs="宋体"/>
          <w:highlight w:val="none"/>
        </w:rPr>
      </w:pPr>
      <w:r>
        <w:rPr>
          <w:highlight w:val="none"/>
        </w:rPr>
        <w:t>本项目评标委员会由</w:t>
      </w:r>
      <w:r>
        <w:rPr>
          <w:rFonts w:hint="eastAsia"/>
          <w:highlight w:val="none"/>
        </w:rPr>
        <w:t>招标人代表和有关技术、经济等方面的专家组成，成员人数为5人及以上单数，其中技术、经济等方面的专家不少于成员总数的三分之二。</w:t>
      </w:r>
      <w:r>
        <w:rPr>
          <w:rFonts w:hint="eastAsia" w:cs="宋体"/>
          <w:highlight w:val="none"/>
        </w:rPr>
        <w:t>评标委员会成员名单在招标结果确定之前依法保密。</w:t>
      </w:r>
    </w:p>
    <w:p w14:paraId="30E1710A">
      <w:pPr>
        <w:ind w:firstLine="0" w:firstLineChars="0"/>
        <w:rPr>
          <w:rFonts w:cs="宋体"/>
          <w:highlight w:val="none"/>
        </w:rPr>
      </w:pPr>
      <w:r>
        <w:rPr>
          <w:rFonts w:hint="eastAsia"/>
          <w:b/>
          <w:bCs/>
          <w:highlight w:val="none"/>
        </w:rPr>
        <w:t>二、评标的方式</w:t>
      </w:r>
    </w:p>
    <w:p w14:paraId="6D800704">
      <w:pPr>
        <w:ind w:firstLine="480"/>
        <w:rPr>
          <w:rFonts w:cs="宋体"/>
          <w:highlight w:val="none"/>
        </w:rPr>
      </w:pPr>
      <w:r>
        <w:rPr>
          <w:rFonts w:hint="eastAsia" w:cs="宋体"/>
          <w:highlight w:val="none"/>
        </w:rPr>
        <w:t>本项目采用不公开方式评标，评标的依据为招标文件和投标文件。不考虑投标人在开标后提交的任何补充声明、修正方案。</w:t>
      </w:r>
    </w:p>
    <w:p w14:paraId="3AF1410C">
      <w:pPr>
        <w:ind w:firstLine="0" w:firstLineChars="0"/>
        <w:rPr>
          <w:rFonts w:cs="宋体"/>
          <w:highlight w:val="none"/>
        </w:rPr>
      </w:pPr>
      <w:r>
        <w:rPr>
          <w:rFonts w:hint="eastAsia"/>
          <w:b/>
          <w:bCs/>
          <w:highlight w:val="none"/>
        </w:rPr>
        <w:t>三、评标原则</w:t>
      </w:r>
    </w:p>
    <w:p w14:paraId="2F754952">
      <w:pPr>
        <w:ind w:firstLine="480"/>
        <w:rPr>
          <w:rFonts w:cs="宋体"/>
          <w:highlight w:val="none"/>
        </w:rPr>
      </w:pPr>
      <w:r>
        <w:rPr>
          <w:rFonts w:hint="eastAsia" w:cs="宋体"/>
          <w:highlight w:val="none"/>
        </w:rPr>
        <w:t>评标严格按照招标文件的要求和条件，只依据投标内容本身，不依靠开标后的任何外来证明。以公平、公正、科学、择优的原则进行；比较报价，同时考虑以下因素：</w:t>
      </w:r>
    </w:p>
    <w:p w14:paraId="2EE7DE63">
      <w:pPr>
        <w:ind w:firstLine="480"/>
        <w:rPr>
          <w:rFonts w:cs="宋体"/>
          <w:highlight w:val="none"/>
        </w:rPr>
      </w:pPr>
      <w:r>
        <w:rPr>
          <w:rFonts w:hint="eastAsia" w:cs="宋体"/>
          <w:highlight w:val="none"/>
        </w:rPr>
        <w:t>1.价格合理，方案、产品先进、可靠；</w:t>
      </w:r>
    </w:p>
    <w:p w14:paraId="2271E697">
      <w:pPr>
        <w:ind w:firstLine="480"/>
        <w:rPr>
          <w:rFonts w:cs="宋体"/>
          <w:highlight w:val="none"/>
        </w:rPr>
      </w:pPr>
      <w:r>
        <w:rPr>
          <w:rFonts w:hint="eastAsia" w:cs="宋体"/>
          <w:highlight w:val="none"/>
        </w:rPr>
        <w:t>2.经营信誉；</w:t>
      </w:r>
    </w:p>
    <w:p w14:paraId="3C20B98F">
      <w:pPr>
        <w:ind w:firstLine="480"/>
        <w:rPr>
          <w:rFonts w:cs="宋体"/>
          <w:highlight w:val="none"/>
        </w:rPr>
      </w:pPr>
      <w:r>
        <w:rPr>
          <w:rFonts w:hint="eastAsia" w:cs="宋体"/>
          <w:highlight w:val="none"/>
        </w:rPr>
        <w:t>3.反对不正当竞争。</w:t>
      </w:r>
    </w:p>
    <w:p w14:paraId="7EC9B879">
      <w:pPr>
        <w:ind w:firstLine="0" w:firstLineChars="0"/>
        <w:rPr>
          <w:rFonts w:cs="宋体"/>
          <w:highlight w:val="none"/>
        </w:rPr>
      </w:pPr>
      <w:r>
        <w:rPr>
          <w:rFonts w:hint="eastAsia"/>
          <w:b/>
          <w:bCs/>
          <w:highlight w:val="none"/>
        </w:rPr>
        <w:t>四、评标程序</w:t>
      </w:r>
    </w:p>
    <w:p w14:paraId="64F8DEC8">
      <w:pPr>
        <w:ind w:firstLine="480"/>
        <w:rPr>
          <w:rFonts w:cs="宋体"/>
          <w:highlight w:val="none"/>
        </w:rPr>
      </w:pPr>
      <w:r>
        <w:rPr>
          <w:rFonts w:hint="eastAsia" w:cs="宋体"/>
          <w:highlight w:val="none"/>
        </w:rPr>
        <w:t>1.招标代理机构按照招标文件规定的时间、地点及程序组织评审。评审活动一般应按以下程序组织开展：</w:t>
      </w:r>
    </w:p>
    <w:p w14:paraId="44600C8E">
      <w:pPr>
        <w:ind w:firstLine="480"/>
        <w:rPr>
          <w:rFonts w:cs="宋体"/>
          <w:highlight w:val="none"/>
        </w:rPr>
      </w:pPr>
      <w:r>
        <w:rPr>
          <w:rFonts w:hint="eastAsia" w:cs="宋体"/>
          <w:highlight w:val="none"/>
        </w:rPr>
        <w:t>（1）开启评审场地的录音录像采集设备，并确保其正常运行；</w:t>
      </w:r>
    </w:p>
    <w:p w14:paraId="358FF144">
      <w:pPr>
        <w:ind w:firstLine="480"/>
        <w:rPr>
          <w:rFonts w:cs="宋体"/>
          <w:highlight w:val="none"/>
        </w:rPr>
      </w:pPr>
      <w:r>
        <w:rPr>
          <w:rFonts w:hint="eastAsia" w:cs="宋体"/>
          <w:highlight w:val="none"/>
        </w:rPr>
        <w:t>（2）核验出席评审活动现场的评标委员会各成员身份，并要求其分别登记、签到，按规定统一收缴、保存其通讯工具，无关人员一律拒绝其进入评审现场；</w:t>
      </w:r>
    </w:p>
    <w:p w14:paraId="2DA955D4">
      <w:pPr>
        <w:ind w:firstLine="480"/>
        <w:rPr>
          <w:rFonts w:cs="宋体"/>
          <w:highlight w:val="none"/>
        </w:rPr>
      </w:pPr>
      <w:r>
        <w:rPr>
          <w:rFonts w:hint="eastAsia" w:cs="宋体"/>
          <w:highlight w:val="none"/>
        </w:rPr>
        <w:t>（3）介绍评审现场的人员情况，宣布评审工作纪律，告知评标委员会应当回避情形；组织推选评标委员会组长；</w:t>
      </w:r>
    </w:p>
    <w:p w14:paraId="58512F61">
      <w:pPr>
        <w:ind w:firstLine="480"/>
        <w:rPr>
          <w:rFonts w:cs="宋体"/>
          <w:highlight w:val="none"/>
        </w:rPr>
      </w:pPr>
      <w:r>
        <w:rPr>
          <w:rFonts w:hint="eastAsia" w:cs="宋体"/>
          <w:highlight w:val="none"/>
        </w:rPr>
        <w:t>（4）通报报名参加本项目的投标人名单及资格预审情况（如有），宣读最终提交投标文件且通过资格审查的投标人名单，组织评标委员会各位成员签订《招标评审人员廉洁自律承诺书》；</w:t>
      </w:r>
    </w:p>
    <w:p w14:paraId="62BC4D71">
      <w:pPr>
        <w:ind w:firstLine="480"/>
        <w:rPr>
          <w:rFonts w:cs="宋体"/>
          <w:highlight w:val="none"/>
        </w:rPr>
      </w:pPr>
      <w:r>
        <w:rPr>
          <w:rFonts w:hint="eastAsia" w:cs="宋体"/>
          <w:highlight w:val="none"/>
        </w:rPr>
        <w:t>（5）根据需要简要介绍招标文件（含补充文件）制定及质疑答复情况、按书面陈述项目基本情况及评审工作需注意事项等，让评审专家尽快知悉和了解所评审项目的招标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p>
    <w:p w14:paraId="181B3290">
      <w:pPr>
        <w:ind w:firstLine="480"/>
        <w:rPr>
          <w:rFonts w:cs="宋体"/>
          <w:highlight w:val="none"/>
        </w:rPr>
      </w:pPr>
      <w:r>
        <w:rPr>
          <w:rFonts w:hint="eastAsia" w:cs="宋体"/>
          <w:highlight w:val="none"/>
        </w:rPr>
        <w:t>（6）评标委员会组长组织评标委员会独立评审。评标委员会依据招标文件的规定，从投标文件的有效性、完整性和对招标文件的响应程度进行审查，以确定是否对招标文件的实质性要求作出响应。评标委员会对拟认定为投标文件无效的，应组织相关投标人代表进行陈述、澄清或申辩；招标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14:paraId="388A1228">
      <w:pPr>
        <w:ind w:firstLine="480"/>
        <w:rPr>
          <w:rFonts w:cs="宋体"/>
          <w:highlight w:val="none"/>
        </w:rPr>
      </w:pPr>
      <w:r>
        <w:rPr>
          <w:rFonts w:hint="eastAsia" w:cs="宋体"/>
          <w:highlight w:val="none"/>
        </w:rPr>
        <w:t>（7）做好评审现场相关记录，协助评标委员会组长做好评审报告起草、有关内容电脑文字录入等工作，并要求评标委员会各成员签字确认；</w:t>
      </w:r>
    </w:p>
    <w:p w14:paraId="128E9A96">
      <w:pPr>
        <w:ind w:firstLine="480"/>
        <w:rPr>
          <w:rFonts w:cs="宋体"/>
          <w:highlight w:val="none"/>
        </w:rPr>
      </w:pPr>
      <w:r>
        <w:rPr>
          <w:rFonts w:hint="eastAsia" w:cs="宋体"/>
          <w:highlight w:val="none"/>
        </w:rPr>
        <w:t>（8）评审结束后，招标代理机构交还评审人员及其他现场相关人员的通讯工具。</w:t>
      </w:r>
    </w:p>
    <w:p w14:paraId="62CBA870">
      <w:pPr>
        <w:ind w:firstLine="0" w:firstLineChars="0"/>
        <w:rPr>
          <w:rFonts w:cs="宋体"/>
          <w:highlight w:val="none"/>
        </w:rPr>
      </w:pPr>
      <w:r>
        <w:rPr>
          <w:rFonts w:hint="eastAsia"/>
          <w:b/>
          <w:bCs/>
          <w:highlight w:val="none"/>
        </w:rPr>
        <w:t>五、修正原则</w:t>
      </w:r>
    </w:p>
    <w:p w14:paraId="05FFE185">
      <w:pPr>
        <w:ind w:firstLine="480"/>
        <w:rPr>
          <w:rFonts w:cs="宋体"/>
          <w:highlight w:val="none"/>
        </w:rPr>
      </w:pPr>
      <w:r>
        <w:rPr>
          <w:rFonts w:hint="eastAsia" w:cs="宋体"/>
          <w:highlight w:val="none"/>
        </w:rPr>
        <w:t>评标委员会对投标文件的报价文件进行审核，对发现计算、书写等错误的，按以下原则进行修正：</w:t>
      </w:r>
    </w:p>
    <w:p w14:paraId="6E1EE54F">
      <w:pPr>
        <w:pStyle w:val="147"/>
        <w:spacing w:before="0"/>
        <w:ind w:firstLine="480"/>
        <w:rPr>
          <w:rFonts w:ascii="宋体" w:hAnsi="宋体" w:cs="宋体"/>
          <w:kern w:val="0"/>
          <w:highlight w:val="none"/>
        </w:rPr>
      </w:pPr>
      <w:r>
        <w:rPr>
          <w:rFonts w:hint="eastAsia" w:ascii="宋体" w:hAnsi="宋体" w:cs="宋体"/>
          <w:kern w:val="0"/>
          <w:highlight w:val="none"/>
        </w:rPr>
        <w:t>1.投标文件中开标一览表(报价表)内容与投标文件中相应内容不一致的，以开标一览表(报价表)为准；</w:t>
      </w:r>
    </w:p>
    <w:p w14:paraId="23D60B23">
      <w:pPr>
        <w:pStyle w:val="147"/>
        <w:spacing w:before="0"/>
        <w:ind w:firstLine="480"/>
        <w:rPr>
          <w:rFonts w:ascii="宋体" w:hAnsi="宋体" w:cs="宋体"/>
          <w:kern w:val="0"/>
          <w:highlight w:val="none"/>
        </w:rPr>
      </w:pPr>
      <w:r>
        <w:rPr>
          <w:rFonts w:hint="eastAsia" w:ascii="宋体" w:hAnsi="宋体" w:cs="宋体"/>
          <w:kern w:val="0"/>
          <w:highlight w:val="none"/>
        </w:rPr>
        <w:t>2.大写金额和小写金额不一致的，以大写金额为准；</w:t>
      </w:r>
    </w:p>
    <w:p w14:paraId="05637C58">
      <w:pPr>
        <w:pStyle w:val="147"/>
        <w:spacing w:before="0"/>
        <w:ind w:firstLine="480"/>
        <w:rPr>
          <w:rFonts w:ascii="宋体" w:hAnsi="宋体" w:cs="宋体"/>
          <w:kern w:val="0"/>
          <w:highlight w:val="none"/>
        </w:rPr>
      </w:pPr>
      <w:r>
        <w:rPr>
          <w:rFonts w:hint="eastAsia" w:ascii="宋体" w:hAnsi="宋体" w:cs="宋体"/>
          <w:kern w:val="0"/>
          <w:highlight w:val="none"/>
        </w:rPr>
        <w:t>3.单价金额小数点或者百分比有明显错位的，以开标一览表的总价为准，并修改单价；</w:t>
      </w:r>
    </w:p>
    <w:p w14:paraId="7233D63F">
      <w:pPr>
        <w:pStyle w:val="147"/>
        <w:spacing w:before="0"/>
        <w:ind w:firstLine="480"/>
        <w:rPr>
          <w:rFonts w:ascii="宋体" w:hAnsi="宋体" w:cs="宋体"/>
          <w:kern w:val="0"/>
          <w:highlight w:val="none"/>
        </w:rPr>
      </w:pPr>
      <w:r>
        <w:rPr>
          <w:rFonts w:hint="eastAsia" w:ascii="宋体" w:hAnsi="宋体" w:cs="宋体"/>
          <w:kern w:val="0"/>
          <w:highlight w:val="none"/>
        </w:rPr>
        <w:t>4.总价金额与按单价汇总金额不一致的，以单价金额计算结果为准；</w:t>
      </w:r>
    </w:p>
    <w:p w14:paraId="564CBB90">
      <w:pPr>
        <w:pStyle w:val="147"/>
        <w:spacing w:before="0"/>
        <w:ind w:firstLine="480"/>
        <w:rPr>
          <w:rFonts w:ascii="宋体" w:hAnsi="宋体" w:cs="宋体"/>
          <w:kern w:val="0"/>
          <w:highlight w:val="none"/>
        </w:rPr>
      </w:pPr>
      <w:r>
        <w:rPr>
          <w:rFonts w:hint="eastAsia" w:ascii="宋体" w:hAnsi="宋体" w:cs="宋体"/>
          <w:kern w:val="0"/>
          <w:highlight w:val="none"/>
        </w:rPr>
        <w:t>5.同时出现两种以上不一致的，按照以上规定的顺序修正。修正后的报价按照第87号令《政府采购货物和服务招标投标管理办法》第五十一条第二款的规定经投标人确认后产生约束力。</w:t>
      </w:r>
    </w:p>
    <w:p w14:paraId="1D65145E">
      <w:pPr>
        <w:ind w:firstLine="0" w:firstLineChars="0"/>
        <w:rPr>
          <w:rFonts w:cs="宋体"/>
          <w:highlight w:val="none"/>
        </w:rPr>
      </w:pPr>
      <w:r>
        <w:rPr>
          <w:rFonts w:hint="eastAsia"/>
          <w:b/>
          <w:bCs/>
          <w:highlight w:val="none"/>
        </w:rPr>
        <w:t>六、投标无效的情形</w:t>
      </w:r>
    </w:p>
    <w:p w14:paraId="74D21517">
      <w:pPr>
        <w:ind w:firstLine="480"/>
        <w:rPr>
          <w:rFonts w:cs="宋体"/>
          <w:highlight w:val="none"/>
        </w:rPr>
      </w:pPr>
      <w:r>
        <w:rPr>
          <w:rFonts w:hint="eastAsia" w:cs="宋体"/>
          <w:highlight w:val="none"/>
        </w:rPr>
        <w:t>1.在符合性审查、商务技术评审时，如发现下列情形之一的，投标文件将被视为无效：</w:t>
      </w:r>
    </w:p>
    <w:p w14:paraId="7E7BCBF6">
      <w:pPr>
        <w:ind w:firstLine="480"/>
        <w:rPr>
          <w:rFonts w:cs="宋体"/>
          <w:kern w:val="0"/>
          <w:highlight w:val="none"/>
        </w:rPr>
      </w:pPr>
      <w:r>
        <w:rPr>
          <w:rFonts w:hint="eastAsia" w:cs="宋体"/>
          <w:kern w:val="0"/>
          <w:highlight w:val="none"/>
        </w:rPr>
        <w:t>（1）投标人不具备招标文件中规定的资格要求的（投标人未提供有效的资格证明文件的，视为投标人不具备招标文件中规定的资格要求）；</w:t>
      </w:r>
    </w:p>
    <w:p w14:paraId="3C65B7AE">
      <w:pPr>
        <w:ind w:firstLine="480"/>
        <w:rPr>
          <w:rFonts w:cs="宋体"/>
          <w:kern w:val="0"/>
          <w:highlight w:val="none"/>
        </w:rPr>
      </w:pPr>
      <w:r>
        <w:rPr>
          <w:rFonts w:hint="eastAsia" w:cs="宋体"/>
          <w:kern w:val="0"/>
          <w:highlight w:val="none"/>
        </w:rPr>
        <w:t>（2）投标文件未按照招标文件要求签署、盖章的；</w:t>
      </w:r>
    </w:p>
    <w:p w14:paraId="26FEABE0">
      <w:pPr>
        <w:ind w:firstLine="480"/>
        <w:rPr>
          <w:rFonts w:cs="宋体"/>
          <w:kern w:val="0"/>
          <w:highlight w:val="none"/>
        </w:rPr>
      </w:pPr>
      <w:r>
        <w:rPr>
          <w:rFonts w:hint="eastAsia" w:cs="宋体"/>
          <w:kern w:val="0"/>
          <w:highlight w:val="none"/>
        </w:rPr>
        <w:t>（3）招标人拟采购的产品属于政府强制采购的节能产品品目清单范围的，投标人未按招标文件要求提供国家确定的认证机构出具的、处于有效期之内的节能产品认证证书的；</w:t>
      </w:r>
    </w:p>
    <w:p w14:paraId="0F5CA525">
      <w:pPr>
        <w:ind w:firstLine="480"/>
        <w:rPr>
          <w:rFonts w:cs="宋体"/>
          <w:kern w:val="0"/>
          <w:highlight w:val="none"/>
        </w:rPr>
      </w:pPr>
      <w:r>
        <w:rPr>
          <w:rFonts w:hint="eastAsia" w:cs="宋体"/>
          <w:kern w:val="0"/>
          <w:highlight w:val="none"/>
        </w:rPr>
        <w:t>（4）投标文件含有招标人不能接受的附加条件的；</w:t>
      </w:r>
    </w:p>
    <w:p w14:paraId="2210B374">
      <w:pPr>
        <w:ind w:firstLine="480"/>
        <w:rPr>
          <w:rFonts w:cs="宋体"/>
          <w:kern w:val="0"/>
          <w:highlight w:val="none"/>
        </w:rPr>
      </w:pPr>
      <w:r>
        <w:rPr>
          <w:rFonts w:hint="eastAsia" w:cs="宋体"/>
          <w:kern w:val="0"/>
          <w:highlight w:val="none"/>
        </w:rPr>
        <w:t>（5）投标文件中承诺的投标有效期少于招标文件中载明的投标有效期的；</w:t>
      </w:r>
    </w:p>
    <w:p w14:paraId="25CE0CD7">
      <w:pPr>
        <w:pStyle w:val="4"/>
        <w:tabs>
          <w:tab w:val="left" w:pos="432"/>
        </w:tabs>
        <w:ind w:left="492" w:leftChars="205"/>
        <w:rPr>
          <w:rFonts w:ascii="宋体" w:hAnsi="宋体" w:cs="宋体"/>
          <w:b w:val="0"/>
          <w:bCs w:val="0"/>
          <w:kern w:val="0"/>
          <w:sz w:val="24"/>
          <w:szCs w:val="24"/>
          <w:highlight w:val="none"/>
        </w:rPr>
      </w:pPr>
      <w:r>
        <w:rPr>
          <w:rFonts w:hint="eastAsia" w:ascii="宋体" w:hAnsi="宋体" w:cs="宋体"/>
          <w:b w:val="0"/>
          <w:bCs w:val="0"/>
          <w:kern w:val="0"/>
          <w:sz w:val="24"/>
          <w:szCs w:val="24"/>
          <w:highlight w:val="none"/>
        </w:rPr>
        <w:t>（6）投标文件不满足招标文件的其它实质性要求的；</w:t>
      </w:r>
    </w:p>
    <w:p w14:paraId="295EEB00">
      <w:pPr>
        <w:ind w:firstLine="480"/>
        <w:rPr>
          <w:rFonts w:cs="宋体"/>
          <w:kern w:val="0"/>
          <w:highlight w:val="none"/>
        </w:rPr>
      </w:pPr>
      <w:r>
        <w:rPr>
          <w:rFonts w:hint="eastAsia" w:cs="宋体"/>
          <w:kern w:val="0"/>
          <w:highlight w:val="none"/>
        </w:rPr>
        <w:t>（7）法律、法规、规章（适用本市的）及省级以上规范性文件（适用本市的）规定的其他无效情形。</w:t>
      </w:r>
    </w:p>
    <w:p w14:paraId="5650199C">
      <w:pPr>
        <w:ind w:firstLine="480"/>
        <w:rPr>
          <w:rFonts w:cs="宋体"/>
          <w:highlight w:val="none"/>
        </w:rPr>
      </w:pPr>
      <w:r>
        <w:rPr>
          <w:rFonts w:hint="eastAsia" w:cs="宋体"/>
          <w:highlight w:val="none"/>
        </w:rPr>
        <w:t>2.在报价评审时，如发现下列情形之一的，投标文件将被视为无效：</w:t>
      </w:r>
    </w:p>
    <w:p w14:paraId="1679E217">
      <w:pPr>
        <w:ind w:firstLine="480"/>
        <w:rPr>
          <w:rFonts w:cs="宋体"/>
          <w:highlight w:val="none"/>
        </w:rPr>
      </w:pPr>
      <w:r>
        <w:rPr>
          <w:rFonts w:hint="eastAsia" w:cs="宋体"/>
          <w:highlight w:val="none"/>
        </w:rPr>
        <w:t>（1）报价文件未按要求签署、盖章的；</w:t>
      </w:r>
    </w:p>
    <w:p w14:paraId="1D18A0AF">
      <w:pPr>
        <w:ind w:firstLine="480"/>
        <w:rPr>
          <w:rFonts w:cs="宋体"/>
          <w:highlight w:val="none"/>
        </w:rPr>
      </w:pPr>
      <w:r>
        <w:rPr>
          <w:rFonts w:hint="eastAsia" w:cs="宋体"/>
          <w:highlight w:val="none"/>
        </w:rPr>
        <w:t>（2）未按照招标文件标明的币种报价的；</w:t>
      </w:r>
    </w:p>
    <w:p w14:paraId="35912007">
      <w:pPr>
        <w:ind w:firstLine="480"/>
        <w:rPr>
          <w:rFonts w:cs="宋体"/>
          <w:highlight w:val="none"/>
        </w:rPr>
      </w:pPr>
      <w:r>
        <w:rPr>
          <w:rFonts w:hint="eastAsia" w:cs="宋体"/>
          <w:highlight w:val="none"/>
        </w:rPr>
        <w:t>（3）报价明细有缺漏项，或者与招标文件要求不一致的；</w:t>
      </w:r>
    </w:p>
    <w:p w14:paraId="5471B26C">
      <w:pPr>
        <w:ind w:firstLine="480"/>
        <w:rPr>
          <w:rFonts w:cs="宋体"/>
          <w:highlight w:val="none"/>
        </w:rPr>
      </w:pPr>
      <w:r>
        <w:rPr>
          <w:rFonts w:hint="eastAsia" w:cs="宋体"/>
          <w:highlight w:val="none"/>
        </w:rPr>
        <w:t>（4）报价超过招标文件中规定的预算金额或者最高限价</w:t>
      </w:r>
      <w:r>
        <w:rPr>
          <w:rFonts w:hint="eastAsia" w:cs="宋体"/>
          <w:kern w:val="0"/>
          <w:highlight w:val="none"/>
        </w:rPr>
        <w:t>（含单价最高限价）</w:t>
      </w:r>
      <w:r>
        <w:rPr>
          <w:rFonts w:hint="eastAsia" w:cs="宋体"/>
          <w:highlight w:val="none"/>
        </w:rPr>
        <w:t>的；</w:t>
      </w:r>
    </w:p>
    <w:p w14:paraId="3FB4C0E5">
      <w:pPr>
        <w:ind w:firstLine="480"/>
        <w:rPr>
          <w:rFonts w:cs="宋体"/>
          <w:highlight w:val="none"/>
        </w:rPr>
      </w:pPr>
      <w:r>
        <w:rPr>
          <w:rFonts w:hint="eastAsia" w:cs="宋体"/>
          <w:highlight w:val="none"/>
        </w:rPr>
        <w:t>（5）报价</w:t>
      </w:r>
      <w:r>
        <w:rPr>
          <w:rFonts w:hint="eastAsia" w:cs="宋体"/>
          <w:kern w:val="0"/>
          <w:highlight w:val="none"/>
        </w:rPr>
        <w:t>不是唯一的、</w:t>
      </w:r>
      <w:r>
        <w:rPr>
          <w:rFonts w:hint="eastAsia" w:cs="宋体"/>
          <w:highlight w:val="none"/>
        </w:rPr>
        <w:t>具有选择性，或者开标价格与投标文件承诺的优惠（折扣）价格不一致的；</w:t>
      </w:r>
    </w:p>
    <w:p w14:paraId="2BBE3B36">
      <w:pPr>
        <w:ind w:firstLine="480"/>
        <w:rPr>
          <w:rFonts w:cs="宋体"/>
          <w:highlight w:val="none"/>
        </w:rPr>
      </w:pPr>
      <w:r>
        <w:rPr>
          <w:rFonts w:hint="eastAsia" w:cs="宋体"/>
          <w:highlight w:val="none"/>
        </w:rPr>
        <w:t>（6）报价明显低于其他通过符合性审查投标人的报价（有可能影响产品质量或者不能诚信履约的），投标人在评标现场合理的时间内无法提供书面说明（必要时提交相关证明材料）证明其报价合理性的。</w:t>
      </w:r>
    </w:p>
    <w:p w14:paraId="4F317934">
      <w:pPr>
        <w:ind w:firstLine="480"/>
        <w:rPr>
          <w:rFonts w:cs="宋体"/>
          <w:highlight w:val="none"/>
        </w:rPr>
      </w:pPr>
      <w:r>
        <w:rPr>
          <w:rFonts w:hint="eastAsia" w:cs="宋体"/>
          <w:highlight w:val="none"/>
        </w:rPr>
        <w:t>3.有下列情形之一的，视为投标人串通投标，其投标无效，由招标人或招标代理机构上报招标监督管理部门，视情列入不良行为记录名单，在一至三年内禁止参加招标活动：</w:t>
      </w:r>
    </w:p>
    <w:p w14:paraId="0427633E">
      <w:pPr>
        <w:ind w:firstLine="480"/>
        <w:rPr>
          <w:rFonts w:cs="宋体"/>
          <w:highlight w:val="none"/>
        </w:rPr>
      </w:pPr>
      <w:r>
        <w:rPr>
          <w:rFonts w:hint="eastAsia" w:cs="宋体"/>
          <w:highlight w:val="none"/>
        </w:rPr>
        <w:t>（1）不同投标人的投标文件由同一单位或者个人编制；</w:t>
      </w:r>
    </w:p>
    <w:p w14:paraId="25B3CD48">
      <w:pPr>
        <w:ind w:firstLine="480"/>
        <w:rPr>
          <w:rFonts w:cs="宋体"/>
          <w:highlight w:val="none"/>
        </w:rPr>
      </w:pPr>
      <w:r>
        <w:rPr>
          <w:rFonts w:hint="eastAsia" w:cs="宋体"/>
          <w:highlight w:val="none"/>
        </w:rPr>
        <w:t>（2）不同投标人委托同一单位或者个人办理投标事宜；</w:t>
      </w:r>
    </w:p>
    <w:p w14:paraId="57277859">
      <w:pPr>
        <w:ind w:firstLine="480"/>
        <w:rPr>
          <w:rFonts w:cs="宋体"/>
          <w:highlight w:val="none"/>
        </w:rPr>
      </w:pPr>
      <w:r>
        <w:rPr>
          <w:rFonts w:hint="eastAsia" w:cs="宋体"/>
          <w:highlight w:val="none"/>
        </w:rPr>
        <w:t>（3）不同投标人的投标文件载明的项目管理成员或者联系人员为同一人；</w:t>
      </w:r>
    </w:p>
    <w:p w14:paraId="49C50B15">
      <w:pPr>
        <w:ind w:firstLine="480"/>
        <w:rPr>
          <w:rFonts w:cs="宋体"/>
          <w:highlight w:val="none"/>
        </w:rPr>
      </w:pPr>
      <w:r>
        <w:rPr>
          <w:rFonts w:hint="eastAsia" w:cs="宋体"/>
          <w:highlight w:val="none"/>
        </w:rPr>
        <w:t>（4）不同投标人的投标文件异常一致或者投标报价呈规律性差异；</w:t>
      </w:r>
    </w:p>
    <w:p w14:paraId="3EF65578">
      <w:pPr>
        <w:ind w:firstLine="480"/>
        <w:rPr>
          <w:rFonts w:cs="宋体"/>
          <w:highlight w:val="none"/>
        </w:rPr>
      </w:pPr>
      <w:r>
        <w:rPr>
          <w:rFonts w:hint="eastAsia" w:cs="宋体"/>
          <w:highlight w:val="none"/>
        </w:rPr>
        <w:t>（5）不同投标人的投标文件相互混装。</w:t>
      </w:r>
    </w:p>
    <w:p w14:paraId="7A0EE1F0">
      <w:pPr>
        <w:ind w:firstLine="0" w:firstLineChars="0"/>
        <w:rPr>
          <w:rFonts w:cs="宋体"/>
          <w:highlight w:val="none"/>
        </w:rPr>
      </w:pPr>
      <w:r>
        <w:rPr>
          <w:rFonts w:hint="eastAsia"/>
          <w:b/>
          <w:bCs/>
          <w:highlight w:val="none"/>
        </w:rPr>
        <w:t>七、投标的澄清</w:t>
      </w:r>
    </w:p>
    <w:p w14:paraId="00392912">
      <w:pPr>
        <w:ind w:firstLine="480"/>
        <w:rPr>
          <w:rFonts w:cs="宋体"/>
          <w:highlight w:val="none"/>
        </w:rPr>
      </w:pPr>
      <w:r>
        <w:rPr>
          <w:rFonts w:hint="eastAsia" w:cs="宋体"/>
          <w:highlight w:val="none"/>
        </w:rPr>
        <w:t>1.对投标文件审查中发现的投标文件表达含义不明确、同类问题表述不一致或者有明显文字与计算错误的内容，评标委员会可通过询标，要求投标人做出澄清。投标人必须按照招标代理机构通知的时间、地点派技术和商务人员进行答疑和澄清。</w:t>
      </w:r>
    </w:p>
    <w:p w14:paraId="767E8260">
      <w:pPr>
        <w:ind w:firstLine="480"/>
        <w:rPr>
          <w:rFonts w:cs="宋体"/>
          <w:highlight w:val="none"/>
        </w:rPr>
      </w:pPr>
      <w:r>
        <w:rPr>
          <w:rFonts w:hint="eastAsia" w:cs="宋体"/>
          <w:highlight w:val="none"/>
        </w:rPr>
        <w:t>2.投标人应对需要澄清的问题作书面回答，该书面回答应有投标人授权代表（或法定代表人）的签字（或盖章），书面澄清将作为投标内容的一部分。</w:t>
      </w:r>
    </w:p>
    <w:p w14:paraId="4AF185C4">
      <w:pPr>
        <w:ind w:firstLine="480"/>
        <w:rPr>
          <w:rFonts w:cs="宋体"/>
          <w:highlight w:val="none"/>
        </w:rPr>
      </w:pPr>
      <w:r>
        <w:rPr>
          <w:rFonts w:hint="eastAsia" w:cs="宋体"/>
          <w:highlight w:val="none"/>
        </w:rPr>
        <w:t>3.投标人对投标文件的澄清不得超出投标文件的范围或改变投标价格等投标文件的实质性内容。否则，不予接受。</w:t>
      </w:r>
    </w:p>
    <w:p w14:paraId="2E1DCF67">
      <w:pPr>
        <w:ind w:firstLine="0" w:firstLineChars="0"/>
        <w:rPr>
          <w:rFonts w:cs="宋体"/>
          <w:highlight w:val="none"/>
        </w:rPr>
      </w:pPr>
      <w:r>
        <w:rPr>
          <w:rFonts w:hint="eastAsia"/>
          <w:b/>
          <w:bCs/>
          <w:highlight w:val="none"/>
        </w:rPr>
        <w:t>八、评标办法</w:t>
      </w:r>
    </w:p>
    <w:p w14:paraId="2660BB45">
      <w:pPr>
        <w:ind w:firstLine="480"/>
        <w:rPr>
          <w:rFonts w:cs="宋体"/>
          <w:highlight w:val="none"/>
        </w:rPr>
      </w:pPr>
      <w:r>
        <w:rPr>
          <w:rFonts w:hint="eastAsia" w:cs="宋体"/>
          <w:highlight w:val="none"/>
        </w:rPr>
        <w:t>本项目评标办法采用综合评分法，具体评标内容及评分标准等详见《第四章-评标办法及评分标准》。</w:t>
      </w:r>
    </w:p>
    <w:p w14:paraId="34D962B4">
      <w:pPr>
        <w:pStyle w:val="4"/>
        <w:jc w:val="center"/>
        <w:rPr>
          <w:rFonts w:ascii="宋体" w:hAnsi="宋体" w:cs="宋体"/>
          <w:sz w:val="24"/>
          <w:szCs w:val="24"/>
          <w:highlight w:val="none"/>
        </w:rPr>
      </w:pPr>
      <w:bookmarkStart w:id="64" w:name="_Toc24239"/>
      <w:bookmarkStart w:id="65" w:name="_Toc31535"/>
    </w:p>
    <w:p w14:paraId="083B9E0E">
      <w:pPr>
        <w:tabs>
          <w:tab w:val="left" w:pos="1113"/>
        </w:tabs>
        <w:bidi w:val="0"/>
        <w:ind w:left="0" w:leftChars="0" w:firstLine="0" w:firstLineChars="0"/>
        <w:jc w:val="center"/>
        <w:rPr>
          <w:rFonts w:ascii="宋体" w:hAnsi="宋体" w:cs="宋体"/>
          <w:sz w:val="24"/>
          <w:szCs w:val="24"/>
          <w:highlight w:val="none"/>
        </w:rPr>
      </w:pPr>
      <w:r>
        <w:rPr>
          <w:rFonts w:hint="eastAsia" w:ascii="宋体" w:hAnsi="宋体" w:cs="宋体"/>
          <w:b/>
          <w:bCs/>
          <w:sz w:val="24"/>
          <w:szCs w:val="24"/>
          <w:highlight w:val="none"/>
        </w:rPr>
        <w:t>第七节  定 标</w:t>
      </w:r>
    </w:p>
    <w:p w14:paraId="217933E7">
      <w:pPr>
        <w:ind w:firstLine="480"/>
        <w:rPr>
          <w:rFonts w:cs="宋体"/>
          <w:highlight w:val="none"/>
        </w:rPr>
      </w:pPr>
      <w:r>
        <w:rPr>
          <w:rFonts w:hint="eastAsia" w:cs="宋体"/>
          <w:highlight w:val="none"/>
        </w:rPr>
        <w:t>1.确定中标供应商。本项目由招标人确定中标供应商。</w:t>
      </w:r>
    </w:p>
    <w:p w14:paraId="071DBD0D">
      <w:pPr>
        <w:ind w:firstLine="480"/>
        <w:rPr>
          <w:rFonts w:cs="宋体"/>
          <w:highlight w:val="none"/>
        </w:rPr>
      </w:pPr>
      <w:r>
        <w:rPr>
          <w:rFonts w:hint="eastAsia" w:cs="宋体"/>
          <w:highlight w:val="none"/>
        </w:rPr>
        <w:t>2.招标代理机构在评标结束后2个工作日内将评标报告交招标人确认。</w:t>
      </w:r>
    </w:p>
    <w:p w14:paraId="410DF9EA">
      <w:pPr>
        <w:ind w:firstLine="480"/>
        <w:rPr>
          <w:rFonts w:cs="宋体"/>
          <w:highlight w:val="none"/>
        </w:rPr>
      </w:pPr>
      <w:r>
        <w:rPr>
          <w:rFonts w:hint="eastAsia" w:cs="宋体"/>
          <w:highlight w:val="none"/>
        </w:rPr>
        <w:t>3.招标人自收到评审报告之日起5个工作日内通过电子交易平台在评审报告推荐的中标候选人中按顺序确定中标人。中标候选人并列的，由招标人或者招标人委托评标委员会按照招标文件规定的方式确定中标供应商；招标文件未规定的，采取随机抽取的方式确定。</w:t>
      </w:r>
    </w:p>
    <w:p w14:paraId="20809A25">
      <w:pPr>
        <w:ind w:firstLine="480"/>
        <w:rPr>
          <w:rFonts w:cs="宋体"/>
          <w:highlight w:val="none"/>
        </w:rPr>
      </w:pPr>
      <w:r>
        <w:rPr>
          <w:rFonts w:hint="eastAsia" w:cs="宋体"/>
          <w:highlight w:val="none"/>
        </w:rPr>
        <w:t>4.招标人在收到评标报告5个工作日内未按评标报告推荐的中标候选人顺序确定中标供应商，又不能说明合法理由的，视同按评标报告推荐的顺序确定排名第一的中标候选人为中标供应商。</w:t>
      </w:r>
    </w:p>
    <w:p w14:paraId="0E0B01E5">
      <w:pPr>
        <w:ind w:firstLine="480"/>
        <w:rPr>
          <w:rFonts w:cs="宋体"/>
          <w:highlight w:val="none"/>
        </w:rPr>
      </w:pPr>
      <w:r>
        <w:rPr>
          <w:rFonts w:hint="eastAsia" w:cs="宋体"/>
          <w:highlight w:val="none"/>
        </w:rPr>
        <w:t>5.招标人依法确定中标供应商后2个工作日内，招标代理机构以书面形式发出《中标通知书》，并同时在相关网站上发布中标结果公告。</w:t>
      </w:r>
    </w:p>
    <w:p w14:paraId="6CBD7677">
      <w:pPr>
        <w:ind w:firstLine="360"/>
        <w:rPr>
          <w:sz w:val="18"/>
          <w:szCs w:val="18"/>
          <w:highlight w:val="none"/>
        </w:rPr>
      </w:pPr>
    </w:p>
    <w:p w14:paraId="24EA78FA">
      <w:pPr>
        <w:pStyle w:val="4"/>
        <w:jc w:val="center"/>
        <w:rPr>
          <w:rFonts w:ascii="宋体" w:hAnsi="宋体" w:cs="宋体"/>
          <w:sz w:val="24"/>
          <w:szCs w:val="24"/>
          <w:highlight w:val="none"/>
        </w:rPr>
      </w:pPr>
      <w:r>
        <w:rPr>
          <w:rFonts w:hint="eastAsia" w:ascii="宋体" w:hAnsi="宋体" w:cs="宋体"/>
          <w:sz w:val="24"/>
          <w:szCs w:val="24"/>
          <w:highlight w:val="none"/>
        </w:rPr>
        <w:t xml:space="preserve"> 第八节  授予合同</w:t>
      </w:r>
      <w:bookmarkEnd w:id="64"/>
      <w:bookmarkEnd w:id="65"/>
    </w:p>
    <w:p w14:paraId="51762781">
      <w:pPr>
        <w:ind w:firstLine="0" w:firstLineChars="0"/>
        <w:rPr>
          <w:rFonts w:cs="宋体"/>
          <w:highlight w:val="none"/>
        </w:rPr>
      </w:pPr>
      <w:r>
        <w:rPr>
          <w:rFonts w:hint="eastAsia"/>
          <w:b/>
          <w:bCs/>
          <w:highlight w:val="none"/>
        </w:rPr>
        <w:t>一、中标通知书</w:t>
      </w:r>
    </w:p>
    <w:p w14:paraId="649FA089">
      <w:pPr>
        <w:ind w:firstLine="480"/>
        <w:rPr>
          <w:rFonts w:cs="宋体"/>
          <w:highlight w:val="none"/>
        </w:rPr>
      </w:pPr>
      <w:r>
        <w:rPr>
          <w:rFonts w:hint="eastAsia" w:cs="宋体"/>
          <w:highlight w:val="none"/>
        </w:rPr>
        <w:t>1.确定中标供应商后，招标代理机构将以书面形式发出中标通知书，通知中标的供应商其投标被接受；</w:t>
      </w:r>
    </w:p>
    <w:p w14:paraId="57842619">
      <w:pPr>
        <w:ind w:firstLine="480"/>
        <w:rPr>
          <w:rFonts w:cs="宋体"/>
          <w:highlight w:val="none"/>
        </w:rPr>
      </w:pPr>
      <w:r>
        <w:rPr>
          <w:rFonts w:hint="eastAsia" w:cs="宋体"/>
          <w:highlight w:val="none"/>
        </w:rPr>
        <w:t>2.中标通知书为双方签订合同的依据；</w:t>
      </w:r>
    </w:p>
    <w:p w14:paraId="2CE74336">
      <w:pPr>
        <w:ind w:firstLine="480"/>
        <w:rPr>
          <w:rFonts w:cs="宋体"/>
          <w:highlight w:val="none"/>
        </w:rPr>
      </w:pPr>
      <w:r>
        <w:rPr>
          <w:rFonts w:hint="eastAsia" w:cs="宋体"/>
          <w:highlight w:val="none"/>
        </w:rPr>
        <w:t>3.中标供应商应根据中标通知书中规定的时间内，由法定代表人或其授权代理人与招标人签订合同。</w:t>
      </w:r>
    </w:p>
    <w:p w14:paraId="36928E09">
      <w:pPr>
        <w:ind w:firstLine="0" w:firstLineChars="0"/>
        <w:rPr>
          <w:rFonts w:cs="宋体"/>
          <w:highlight w:val="none"/>
        </w:rPr>
      </w:pPr>
      <w:r>
        <w:rPr>
          <w:rFonts w:hint="eastAsia"/>
          <w:b/>
          <w:bCs/>
          <w:highlight w:val="none"/>
        </w:rPr>
        <w:t>二、签订合同</w:t>
      </w:r>
    </w:p>
    <w:p w14:paraId="39F7467F">
      <w:pPr>
        <w:widowControl/>
        <w:ind w:firstLine="480"/>
        <w:jc w:val="left"/>
        <w:rPr>
          <w:rFonts w:cs="宋体"/>
          <w:highlight w:val="none"/>
        </w:rPr>
      </w:pPr>
      <w:r>
        <w:rPr>
          <w:rFonts w:hint="eastAsia" w:cs="宋体"/>
          <w:color w:val="000000"/>
          <w:kern w:val="0"/>
          <w:highlight w:val="none"/>
          <w:lang w:bidi="ar"/>
        </w:rPr>
        <w:t xml:space="preserve">1.招标人与中标人应当在《中标通知书》发出之日起30日内签订正式合同，明确双方权利、义务和违约责任。 </w:t>
      </w:r>
    </w:p>
    <w:p w14:paraId="3D47FDDE">
      <w:pPr>
        <w:widowControl/>
        <w:ind w:firstLine="480"/>
        <w:jc w:val="left"/>
        <w:rPr>
          <w:rFonts w:cs="宋体"/>
          <w:highlight w:val="none"/>
        </w:rPr>
      </w:pPr>
      <w:r>
        <w:rPr>
          <w:rFonts w:hint="eastAsia" w:cs="宋体"/>
          <w:color w:val="000000"/>
          <w:kern w:val="0"/>
          <w:highlight w:val="none"/>
          <w:lang w:bidi="ar"/>
        </w:rPr>
        <w:t xml:space="preserve">2.中标人接到中标通知书后，在规定时间内借故否认已经承诺的条件而拒签合同的， 以违约处理，其中标资格将被取消。 </w:t>
      </w:r>
    </w:p>
    <w:p w14:paraId="0B77659D">
      <w:pPr>
        <w:widowControl/>
        <w:ind w:firstLine="480"/>
        <w:jc w:val="left"/>
        <w:rPr>
          <w:rFonts w:cs="宋体"/>
          <w:highlight w:val="none"/>
        </w:rPr>
      </w:pPr>
      <w:r>
        <w:rPr>
          <w:rFonts w:hint="eastAsia" w:cs="宋体"/>
          <w:color w:val="000000"/>
          <w:kern w:val="0"/>
          <w:highlight w:val="none"/>
          <w:lang w:bidi="ar"/>
        </w:rPr>
        <w:t xml:space="preserve">3.中标候选人放弃中标；因不可抗力提出不能履行合同；或者招标文件规定应当提交 </w:t>
      </w:r>
    </w:p>
    <w:p w14:paraId="484C8650">
      <w:pPr>
        <w:widowControl/>
        <w:ind w:firstLine="0" w:firstLineChars="0"/>
        <w:jc w:val="left"/>
        <w:rPr>
          <w:rFonts w:cs="宋体"/>
          <w:highlight w:val="none"/>
        </w:rPr>
      </w:pPr>
      <w:r>
        <w:rPr>
          <w:rFonts w:hint="eastAsia" w:cs="宋体"/>
          <w:color w:val="000000"/>
          <w:kern w:val="0"/>
          <w:highlight w:val="none"/>
          <w:lang w:bidi="ar"/>
        </w:rPr>
        <w:t>履约保证金、承诺要求等而在规定的期限内未能提交的；或未能在规定时间内与招标人签订合同的；或者经质疑，招标人审查后，确因中标候选人在本次</w:t>
      </w:r>
      <w:r>
        <w:rPr>
          <w:rFonts w:hint="eastAsia" w:cs="宋体"/>
          <w:highlight w:val="none"/>
        </w:rPr>
        <w:t>招标</w:t>
      </w:r>
      <w:r>
        <w:rPr>
          <w:rFonts w:hint="eastAsia" w:cs="宋体"/>
          <w:color w:val="000000"/>
          <w:kern w:val="0"/>
          <w:highlight w:val="none"/>
          <w:lang w:bidi="ar"/>
        </w:rPr>
        <w:t>活动中存在违法违规行为或其他原因使质疑成立的，招标人可视情况确定是否由第二有效中标候选人替补，</w:t>
      </w:r>
      <w:r>
        <w:rPr>
          <w:rFonts w:hint="eastAsia" w:cs="宋体"/>
          <w:highlight w:val="none"/>
        </w:rPr>
        <w:t>也可以重新开展招标活动。</w:t>
      </w:r>
    </w:p>
    <w:p w14:paraId="02315598">
      <w:pPr>
        <w:widowControl/>
        <w:ind w:firstLine="480"/>
        <w:jc w:val="left"/>
        <w:rPr>
          <w:rFonts w:cs="宋体"/>
          <w:highlight w:val="none"/>
        </w:rPr>
      </w:pPr>
      <w:r>
        <w:rPr>
          <w:rFonts w:hint="eastAsia" w:cs="宋体"/>
          <w:color w:val="000000"/>
          <w:kern w:val="0"/>
          <w:highlight w:val="none"/>
          <w:lang w:bidi="ar"/>
        </w:rPr>
        <w:t xml:space="preserve">4.招标文件、中标人的投标文件、投标修改文件、评标过程中有关澄清文件及经投标 </w:t>
      </w:r>
    </w:p>
    <w:p w14:paraId="4147B5D6">
      <w:pPr>
        <w:widowControl/>
        <w:ind w:firstLine="0" w:firstLineChars="0"/>
        <w:jc w:val="left"/>
        <w:rPr>
          <w:rFonts w:cs="宋体"/>
          <w:color w:val="000000"/>
          <w:kern w:val="0"/>
          <w:highlight w:val="none"/>
          <w:lang w:bidi="ar"/>
        </w:rPr>
      </w:pPr>
      <w:r>
        <w:rPr>
          <w:rFonts w:hint="eastAsia" w:cs="宋体"/>
          <w:color w:val="000000"/>
          <w:kern w:val="0"/>
          <w:highlight w:val="none"/>
          <w:lang w:bidi="ar"/>
        </w:rPr>
        <w:t>人和评委双方签字的询标记录和中标通知书均作为签订合同依据。</w:t>
      </w:r>
    </w:p>
    <w:p w14:paraId="790C079F">
      <w:pPr>
        <w:pStyle w:val="4"/>
        <w:jc w:val="center"/>
        <w:rPr>
          <w:rFonts w:hint="eastAsia" w:ascii="宋体" w:hAnsi="宋体" w:cs="宋体"/>
          <w:sz w:val="24"/>
          <w:szCs w:val="24"/>
          <w:highlight w:val="none"/>
        </w:rPr>
      </w:pPr>
      <w:bookmarkStart w:id="66" w:name="_Toc12481"/>
      <w:bookmarkStart w:id="67" w:name="_Toc15220"/>
    </w:p>
    <w:p w14:paraId="75CA45A1">
      <w:pPr>
        <w:pStyle w:val="4"/>
        <w:jc w:val="center"/>
        <w:rPr>
          <w:rFonts w:ascii="宋体" w:hAnsi="宋体" w:cs="宋体"/>
          <w:sz w:val="24"/>
          <w:szCs w:val="24"/>
          <w:highlight w:val="none"/>
        </w:rPr>
      </w:pPr>
      <w:r>
        <w:rPr>
          <w:rFonts w:hint="eastAsia" w:ascii="宋体" w:hAnsi="宋体" w:cs="宋体"/>
          <w:sz w:val="24"/>
          <w:szCs w:val="24"/>
          <w:highlight w:val="none"/>
        </w:rPr>
        <w:t xml:space="preserve">第九节 </w:t>
      </w:r>
      <w:bookmarkEnd w:id="66"/>
      <w:bookmarkEnd w:id="67"/>
      <w:r>
        <w:rPr>
          <w:rFonts w:hint="eastAsia" w:ascii="宋体" w:hAnsi="宋体" w:cs="宋体"/>
          <w:sz w:val="24"/>
          <w:szCs w:val="24"/>
          <w:highlight w:val="none"/>
        </w:rPr>
        <w:t xml:space="preserve"> </w:t>
      </w:r>
      <w:r>
        <w:rPr>
          <w:rFonts w:hint="eastAsia" w:cs="宋体"/>
          <w:sz w:val="24"/>
          <w:szCs w:val="24"/>
          <w:highlight w:val="none"/>
        </w:rPr>
        <w:t>电子交易活动的中止</w:t>
      </w:r>
    </w:p>
    <w:p w14:paraId="75A0E3AA">
      <w:pPr>
        <w:ind w:firstLine="0" w:firstLineChars="0"/>
        <w:rPr>
          <w:rFonts w:cs="宋体"/>
          <w:b/>
          <w:bCs/>
          <w:highlight w:val="none"/>
        </w:rPr>
      </w:pPr>
      <w:r>
        <w:rPr>
          <w:rFonts w:hint="eastAsia" w:cs="宋体"/>
          <w:b/>
          <w:bCs/>
          <w:highlight w:val="none"/>
        </w:rPr>
        <w:t>一、例外处理</w:t>
      </w:r>
    </w:p>
    <w:p w14:paraId="7EF48517">
      <w:pPr>
        <w:ind w:firstLine="480"/>
        <w:rPr>
          <w:rFonts w:cs="宋体"/>
          <w:highlight w:val="none"/>
        </w:rPr>
      </w:pPr>
      <w:r>
        <w:rPr>
          <w:rFonts w:hint="eastAsia" w:cs="宋体"/>
          <w:highlight w:val="none"/>
        </w:rPr>
        <w:t>投标截止时间结束后或评审过程中参加投标的投标人不足三家的，除招标任务取消情形外，招标人可选择以下方式之一处理：</w:t>
      </w:r>
    </w:p>
    <w:p w14:paraId="1116ACB9">
      <w:pPr>
        <w:ind w:firstLine="480"/>
        <w:rPr>
          <w:rFonts w:cs="宋体"/>
          <w:highlight w:val="none"/>
        </w:rPr>
      </w:pPr>
      <w:r>
        <w:rPr>
          <w:rFonts w:hint="eastAsia" w:cs="宋体"/>
          <w:highlight w:val="none"/>
        </w:rPr>
        <w:t>1.可作废标处理，重新组织招标；</w:t>
      </w:r>
    </w:p>
    <w:p w14:paraId="42B34FF0">
      <w:pPr>
        <w:ind w:firstLine="480"/>
        <w:rPr>
          <w:rFonts w:cs="宋体"/>
          <w:highlight w:val="none"/>
        </w:rPr>
      </w:pPr>
      <w:r>
        <w:rPr>
          <w:rFonts w:hint="eastAsia" w:cs="宋体"/>
          <w:highlight w:val="none"/>
        </w:rPr>
        <w:t>2.可按相关监督部门审批意见采用其他采购方式组织采购。</w:t>
      </w:r>
    </w:p>
    <w:p w14:paraId="6594AD44">
      <w:pPr>
        <w:ind w:firstLine="0" w:firstLineChars="0"/>
        <w:rPr>
          <w:rFonts w:cs="宋体"/>
          <w:highlight w:val="none"/>
        </w:rPr>
      </w:pPr>
      <w:r>
        <w:rPr>
          <w:rFonts w:hint="eastAsia"/>
          <w:b/>
          <w:bCs/>
          <w:highlight w:val="none"/>
        </w:rPr>
        <w:t>二、电子交易活动的中止</w:t>
      </w:r>
    </w:p>
    <w:p w14:paraId="6EF0E5F6">
      <w:pPr>
        <w:pStyle w:val="147"/>
        <w:snapToGrid w:val="0"/>
        <w:spacing w:before="0"/>
        <w:ind w:firstLine="480"/>
        <w:rPr>
          <w:rFonts w:ascii="宋体" w:hAnsi="宋体" w:cs="宋体"/>
          <w:highlight w:val="none"/>
        </w:rPr>
      </w:pPr>
      <w:r>
        <w:rPr>
          <w:rFonts w:hint="eastAsia" w:ascii="宋体" w:hAnsi="宋体" w:cs="宋体"/>
          <w:highlight w:val="none"/>
        </w:rPr>
        <w:t>采购过程中出现以下情形，导致电子交易平台无法正常运行，或者无法保证电子交易的公平、公正和安全时，招标代理机构可中止电子交易活动：</w:t>
      </w:r>
    </w:p>
    <w:p w14:paraId="2826A6E6">
      <w:pPr>
        <w:pStyle w:val="147"/>
        <w:snapToGrid w:val="0"/>
        <w:spacing w:before="0"/>
        <w:ind w:firstLine="480"/>
        <w:rPr>
          <w:rFonts w:ascii="宋体" w:hAnsi="宋体" w:cs="宋体"/>
          <w:highlight w:val="none"/>
        </w:rPr>
      </w:pPr>
      <w:r>
        <w:rPr>
          <w:rFonts w:hint="eastAsia" w:ascii="宋体" w:hAnsi="宋体" w:cs="宋体"/>
          <w:highlight w:val="none"/>
        </w:rPr>
        <w:t xml:space="preserve">1.电子交易平台发生故障而无法登录访问的； </w:t>
      </w:r>
    </w:p>
    <w:p w14:paraId="5976B2FA">
      <w:pPr>
        <w:pStyle w:val="147"/>
        <w:snapToGrid w:val="0"/>
        <w:spacing w:before="0"/>
        <w:ind w:firstLine="480"/>
        <w:rPr>
          <w:rFonts w:ascii="宋体" w:hAnsi="宋体" w:cs="宋体"/>
          <w:highlight w:val="none"/>
        </w:rPr>
      </w:pPr>
      <w:r>
        <w:rPr>
          <w:rFonts w:hint="eastAsia" w:ascii="宋体" w:hAnsi="宋体" w:cs="宋体"/>
          <w:highlight w:val="none"/>
        </w:rPr>
        <w:t>2.电子交易平台应用或数据库出现错误，不能进行正常操作的；</w:t>
      </w:r>
    </w:p>
    <w:p w14:paraId="3BC1A060">
      <w:pPr>
        <w:pStyle w:val="147"/>
        <w:snapToGrid w:val="0"/>
        <w:spacing w:before="0"/>
        <w:ind w:firstLine="480"/>
        <w:rPr>
          <w:rFonts w:ascii="宋体" w:hAnsi="宋体" w:cs="宋体"/>
          <w:highlight w:val="none"/>
        </w:rPr>
      </w:pPr>
      <w:r>
        <w:rPr>
          <w:rFonts w:hint="eastAsia" w:ascii="宋体" w:hAnsi="宋体" w:cs="宋体"/>
          <w:highlight w:val="none"/>
        </w:rPr>
        <w:t>3.电子交易平台发现严重安全漏洞，有潜在泄密危险的；</w:t>
      </w:r>
    </w:p>
    <w:p w14:paraId="2D4F66C6">
      <w:pPr>
        <w:pStyle w:val="147"/>
        <w:snapToGrid w:val="0"/>
        <w:spacing w:before="0"/>
        <w:ind w:firstLine="480"/>
        <w:rPr>
          <w:rFonts w:ascii="宋体" w:hAnsi="宋体" w:cs="宋体"/>
          <w:highlight w:val="none"/>
        </w:rPr>
      </w:pPr>
      <w:r>
        <w:rPr>
          <w:rFonts w:hint="eastAsia" w:ascii="宋体" w:hAnsi="宋体" w:cs="宋体"/>
          <w:highlight w:val="none"/>
        </w:rPr>
        <w:t xml:space="preserve">4.病毒发作导致不能进行正常操作的； </w:t>
      </w:r>
    </w:p>
    <w:p w14:paraId="13320FA1">
      <w:pPr>
        <w:pStyle w:val="147"/>
        <w:snapToGrid w:val="0"/>
        <w:spacing w:before="0"/>
        <w:ind w:firstLine="480"/>
        <w:rPr>
          <w:rFonts w:ascii="宋体" w:hAnsi="宋体" w:cs="宋体"/>
          <w:highlight w:val="none"/>
        </w:rPr>
      </w:pPr>
      <w:r>
        <w:rPr>
          <w:rFonts w:hint="eastAsia" w:ascii="宋体" w:hAnsi="宋体" w:cs="宋体"/>
          <w:highlight w:val="none"/>
        </w:rPr>
        <w:t>5.其他无法保证电子交易的公平、公正和安全的情况。</w:t>
      </w:r>
    </w:p>
    <w:p w14:paraId="72CF4C21">
      <w:pPr>
        <w:pStyle w:val="147"/>
        <w:snapToGrid w:val="0"/>
        <w:spacing w:before="0"/>
        <w:ind w:firstLine="0" w:firstLineChars="0"/>
        <w:rPr>
          <w:rFonts w:ascii="宋体" w:hAnsi="宋体" w:cs="宋体"/>
          <w:highlight w:val="none"/>
        </w:rPr>
      </w:pPr>
      <w:r>
        <w:rPr>
          <w:rFonts w:hint="eastAsia" w:ascii="宋体" w:hAnsi="宋体" w:cs="宋体"/>
          <w:highlight w:val="none"/>
        </w:rPr>
        <w:t xml:space="preserve">    6.出现以上情形，不影响采购公平、公正性的，采购组织机构可以待上述情形消除后继续组织电子交易活动，也可以决定某些环节以纸质形式进行；影响或可能影响采购公平、公正性的，应当重新组织采购。</w:t>
      </w:r>
    </w:p>
    <w:p w14:paraId="7239F35C">
      <w:pPr>
        <w:numPr>
          <w:ilvl w:val="0"/>
          <w:numId w:val="12"/>
        </w:numPr>
        <w:ind w:firstLine="480"/>
        <w:rPr>
          <w:highlight w:val="none"/>
        </w:rPr>
        <w:sectPr>
          <w:pgSz w:w="11906" w:h="16838"/>
          <w:pgMar w:top="1247" w:right="1247" w:bottom="1247" w:left="1247" w:header="170" w:footer="567" w:gutter="0"/>
          <w:cols w:space="720" w:num="1"/>
          <w:docGrid w:linePitch="381" w:charSpace="0"/>
        </w:sectPr>
      </w:pPr>
    </w:p>
    <w:p w14:paraId="2AF0E8C4">
      <w:pPr>
        <w:pStyle w:val="3"/>
        <w:rPr>
          <w:rFonts w:cs="宋体"/>
          <w:szCs w:val="32"/>
          <w:highlight w:val="none"/>
        </w:rPr>
      </w:pPr>
      <w:bookmarkStart w:id="68" w:name="_Toc82873316"/>
      <w:bookmarkStart w:id="69" w:name="_Toc82338233"/>
      <w:bookmarkStart w:id="70" w:name="_Toc450840079"/>
      <w:bookmarkStart w:id="71" w:name="_Toc20600"/>
      <w:r>
        <w:rPr>
          <w:rFonts w:hint="eastAsia" w:cs="宋体"/>
          <w:sz w:val="36"/>
          <w:szCs w:val="36"/>
          <w:highlight w:val="none"/>
        </w:rPr>
        <w:t xml:space="preserve">第四章 </w:t>
      </w:r>
      <w:bookmarkEnd w:id="68"/>
      <w:bookmarkEnd w:id="69"/>
      <w:bookmarkEnd w:id="70"/>
      <w:r>
        <w:rPr>
          <w:rFonts w:hint="eastAsia" w:cs="宋体"/>
          <w:sz w:val="36"/>
          <w:szCs w:val="36"/>
          <w:highlight w:val="none"/>
        </w:rPr>
        <w:t xml:space="preserve"> 评标办法及评分标准</w:t>
      </w:r>
      <w:bookmarkEnd w:id="71"/>
    </w:p>
    <w:p w14:paraId="42BDFEA6">
      <w:pPr>
        <w:pageBreakBefore w:val="0"/>
        <w:kinsoku/>
        <w:wordWrap/>
        <w:overflowPunct/>
        <w:topLinePunct w:val="0"/>
        <w:bidi w:val="0"/>
        <w:snapToGrid/>
        <w:spacing w:line="440" w:lineRule="exact"/>
        <w:ind w:firstLine="0" w:firstLineChars="0"/>
        <w:textAlignment w:val="auto"/>
        <w:rPr>
          <w:rFonts w:cs="宋体"/>
          <w:highlight w:val="none"/>
        </w:rPr>
      </w:pPr>
      <w:bookmarkStart w:id="72" w:name="_Toc11391"/>
      <w:bookmarkStart w:id="73" w:name="OLE_LINK3"/>
      <w:bookmarkStart w:id="74" w:name="_Toc3811"/>
      <w:bookmarkStart w:id="75" w:name="_Toc3110"/>
      <w:r>
        <w:rPr>
          <w:rFonts w:hint="eastAsia"/>
          <w:b/>
          <w:bCs/>
          <w:highlight w:val="none"/>
        </w:rPr>
        <w:t>一、评分总则</w:t>
      </w:r>
    </w:p>
    <w:p w14:paraId="72B30A39">
      <w:pPr>
        <w:pageBreakBefore w:val="0"/>
        <w:kinsoku/>
        <w:wordWrap/>
        <w:overflowPunct/>
        <w:topLinePunct w:val="0"/>
        <w:bidi w:val="0"/>
        <w:snapToGrid/>
        <w:spacing w:line="440" w:lineRule="exact"/>
        <w:ind w:firstLine="480"/>
        <w:textAlignment w:val="auto"/>
        <w:rPr>
          <w:rFonts w:cs="宋体"/>
          <w:highlight w:val="none"/>
        </w:rPr>
      </w:pPr>
      <w:r>
        <w:rPr>
          <w:rFonts w:hint="eastAsia" w:cs="宋体"/>
          <w:highlight w:val="none"/>
        </w:rPr>
        <w:t>以招标文件要求为基础，考虑各项相关因素的影响，将相关因素以定量计算的办法转换成分数表示形式，以最高“评标分数”确定评标结果顺序。</w:t>
      </w:r>
    </w:p>
    <w:p w14:paraId="7678A908">
      <w:pPr>
        <w:pageBreakBefore w:val="0"/>
        <w:kinsoku/>
        <w:wordWrap/>
        <w:overflowPunct/>
        <w:topLinePunct w:val="0"/>
        <w:bidi w:val="0"/>
        <w:snapToGrid/>
        <w:spacing w:line="440" w:lineRule="exact"/>
        <w:ind w:firstLine="480"/>
        <w:textAlignment w:val="auto"/>
        <w:rPr>
          <w:rFonts w:cs="宋体"/>
          <w:highlight w:val="none"/>
        </w:rPr>
      </w:pPr>
      <w:r>
        <w:rPr>
          <w:rFonts w:hint="eastAsia" w:cs="宋体"/>
          <w:highlight w:val="none"/>
        </w:rPr>
        <w:t>本次招标的评标采用</w:t>
      </w:r>
      <w:r>
        <w:rPr>
          <w:rFonts w:hint="eastAsia" w:cs="宋体"/>
          <w:b/>
          <w:highlight w:val="none"/>
        </w:rPr>
        <w:t>综合评分法</w:t>
      </w:r>
      <w:r>
        <w:rPr>
          <w:rFonts w:hint="eastAsia" w:cs="宋体"/>
          <w:highlight w:val="none"/>
        </w:rPr>
        <w:t>。</w:t>
      </w:r>
    </w:p>
    <w:bookmarkEnd w:id="72"/>
    <w:bookmarkEnd w:id="73"/>
    <w:bookmarkEnd w:id="74"/>
    <w:bookmarkEnd w:id="75"/>
    <w:p w14:paraId="157B4CE9">
      <w:pPr>
        <w:pageBreakBefore w:val="0"/>
        <w:kinsoku/>
        <w:wordWrap/>
        <w:overflowPunct/>
        <w:topLinePunct w:val="0"/>
        <w:bidi w:val="0"/>
        <w:snapToGrid/>
        <w:spacing w:line="440" w:lineRule="exact"/>
        <w:ind w:firstLine="480"/>
        <w:textAlignment w:val="auto"/>
        <w:rPr>
          <w:rFonts w:cs="宋体"/>
          <w:highlight w:val="none"/>
        </w:rPr>
      </w:pPr>
      <w:bookmarkStart w:id="76" w:name="_Toc82873317"/>
      <w:bookmarkStart w:id="77" w:name="_Toc82338234"/>
      <w:bookmarkStart w:id="78" w:name="_Toc450840083"/>
      <w:r>
        <w:rPr>
          <w:rFonts w:hint="eastAsia" w:cs="宋体"/>
          <w:highlight w:val="none"/>
        </w:rPr>
        <w:t>评标总分为100分，合格投标人的评标得分为各项目汇总得分，中标候选资格按评标得分由高到低顺序排列，得分相同的，按投标报价由低到高顺序排列。得分且投标报价相同，按技术分由高到低顺序排列。技术部分得分仍相同的，由采购人采用随机抽取的方式决定</w:t>
      </w:r>
      <w:r>
        <w:rPr>
          <w:rFonts w:hint="eastAsia" w:cs="宋体"/>
          <w:highlight w:val="none"/>
          <w:lang w:eastAsia="zh-CN"/>
        </w:rPr>
        <w:t>。</w:t>
      </w:r>
      <w:r>
        <w:rPr>
          <w:rFonts w:hint="eastAsia" w:cs="宋体"/>
          <w:highlight w:val="none"/>
        </w:rPr>
        <w:t>排名第一的投标人为第一中标候选人,其他投标人中标候选资格依此类推。第一中标候选人放弃中标或者因不可抗力提出不能履行合同，采购人可以确定第二中标候选人为中标人，排名第二的中标候选人因前款同样的原因不能签订合同，采购人可以确定排名第三的中标候选人为中标人，采购人也可选择重新采购。评分过程中采用四舍五入法，并保留小数2位。</w:t>
      </w:r>
    </w:p>
    <w:p w14:paraId="5E2318CD">
      <w:pPr>
        <w:pageBreakBefore w:val="0"/>
        <w:kinsoku/>
        <w:wordWrap/>
        <w:overflowPunct/>
        <w:topLinePunct w:val="0"/>
        <w:bidi w:val="0"/>
        <w:snapToGrid/>
        <w:spacing w:line="440" w:lineRule="exact"/>
        <w:ind w:firstLine="480"/>
        <w:textAlignment w:val="auto"/>
        <w:rPr>
          <w:rFonts w:hint="eastAsia" w:eastAsia="宋体" w:cs="宋体"/>
          <w:highlight w:val="none"/>
          <w:lang w:eastAsia="zh-CN"/>
        </w:rPr>
      </w:pPr>
      <w:r>
        <w:rPr>
          <w:rFonts w:hint="eastAsia" w:cs="宋体"/>
          <w:highlight w:val="none"/>
        </w:rPr>
        <w:t>投标人评标综合得分=商务、技术及资信分+价格分</w:t>
      </w:r>
      <w:r>
        <w:rPr>
          <w:rFonts w:hint="eastAsia" w:cs="宋体"/>
          <w:highlight w:val="none"/>
          <w:lang w:eastAsia="zh-CN"/>
        </w:rPr>
        <w:t>。</w:t>
      </w:r>
    </w:p>
    <w:p w14:paraId="1AC9A97C">
      <w:pPr>
        <w:pageBreakBefore w:val="0"/>
        <w:kinsoku/>
        <w:wordWrap/>
        <w:overflowPunct/>
        <w:topLinePunct w:val="0"/>
        <w:bidi w:val="0"/>
        <w:snapToGrid/>
        <w:spacing w:line="440" w:lineRule="exact"/>
        <w:ind w:firstLine="480"/>
        <w:textAlignment w:val="auto"/>
        <w:rPr>
          <w:rFonts w:cs="宋体"/>
          <w:highlight w:val="none"/>
        </w:rPr>
      </w:pPr>
      <w:r>
        <w:rPr>
          <w:rFonts w:hint="eastAsia" w:cs="宋体"/>
          <w:highlight w:val="none"/>
        </w:rPr>
        <w:t>商务、技术及资信分按照评标委员会成员的独立评分结果的算术平均分计算，计算公式为：</w:t>
      </w:r>
    </w:p>
    <w:p w14:paraId="722B85A3">
      <w:pPr>
        <w:pageBreakBefore w:val="0"/>
        <w:kinsoku/>
        <w:wordWrap/>
        <w:overflowPunct/>
        <w:topLinePunct w:val="0"/>
        <w:bidi w:val="0"/>
        <w:snapToGrid/>
        <w:spacing w:line="440" w:lineRule="exact"/>
        <w:ind w:firstLine="480"/>
        <w:textAlignment w:val="auto"/>
        <w:rPr>
          <w:rFonts w:hint="eastAsia" w:eastAsia="宋体" w:cs="宋体"/>
          <w:highlight w:val="none"/>
          <w:lang w:eastAsia="zh-CN"/>
        </w:rPr>
      </w:pPr>
      <w:r>
        <w:rPr>
          <w:rFonts w:hint="eastAsia" w:cs="宋体"/>
          <w:highlight w:val="none"/>
        </w:rPr>
        <w:t>商务、技术及资信分=（评标委员会所有成员评分合计数）/（评标委员会组成人员数）</w:t>
      </w:r>
      <w:r>
        <w:rPr>
          <w:rFonts w:hint="eastAsia" w:cs="宋体"/>
          <w:highlight w:val="none"/>
          <w:lang w:eastAsia="zh-CN"/>
        </w:rPr>
        <w:t>。</w:t>
      </w:r>
    </w:p>
    <w:p w14:paraId="11C56821">
      <w:pPr>
        <w:pageBreakBefore w:val="0"/>
        <w:kinsoku/>
        <w:wordWrap/>
        <w:overflowPunct/>
        <w:topLinePunct w:val="0"/>
        <w:bidi w:val="0"/>
        <w:snapToGrid/>
        <w:spacing w:line="440" w:lineRule="exact"/>
        <w:ind w:firstLine="0" w:firstLineChars="0"/>
        <w:textAlignment w:val="auto"/>
        <w:rPr>
          <w:rFonts w:cs="宋体"/>
          <w:highlight w:val="none"/>
        </w:rPr>
      </w:pPr>
      <w:bookmarkStart w:id="79" w:name="_Toc7789"/>
      <w:r>
        <w:rPr>
          <w:rFonts w:hint="eastAsia"/>
          <w:b/>
          <w:bCs/>
          <w:highlight w:val="none"/>
        </w:rPr>
        <w:t>二、评分内容及标准</w:t>
      </w:r>
      <w:bookmarkEnd w:id="79"/>
    </w:p>
    <w:p w14:paraId="4C71E6D9">
      <w:pPr>
        <w:pageBreakBefore w:val="0"/>
        <w:kinsoku/>
        <w:wordWrap/>
        <w:overflowPunct/>
        <w:topLinePunct w:val="0"/>
        <w:bidi w:val="0"/>
        <w:snapToGrid/>
        <w:spacing w:line="440" w:lineRule="exact"/>
        <w:ind w:firstLine="480"/>
        <w:textAlignment w:val="auto"/>
        <w:rPr>
          <w:rFonts w:cs="宋体"/>
          <w:highlight w:val="none"/>
        </w:rPr>
      </w:pPr>
      <w:r>
        <w:rPr>
          <w:rFonts w:hint="eastAsia" w:cs="宋体"/>
          <w:highlight w:val="none"/>
        </w:rPr>
        <w:t>本评标标准是对“投标人须知”中“</w:t>
      </w:r>
      <w:r>
        <w:rPr>
          <w:rFonts w:hint="eastAsia" w:cs="宋体"/>
          <w:b/>
          <w:highlight w:val="none"/>
        </w:rPr>
        <w:t>第五节-开标</w:t>
      </w:r>
      <w:r>
        <w:rPr>
          <w:rFonts w:hint="eastAsia" w:cs="宋体"/>
          <w:highlight w:val="none"/>
        </w:rPr>
        <w:t>”、“</w:t>
      </w:r>
      <w:r>
        <w:rPr>
          <w:rFonts w:hint="eastAsia" w:cs="宋体"/>
          <w:b/>
          <w:highlight w:val="none"/>
        </w:rPr>
        <w:t>第六节-评标</w:t>
      </w:r>
      <w:r>
        <w:rPr>
          <w:rFonts w:hint="eastAsia" w:cs="宋体"/>
          <w:highlight w:val="none"/>
        </w:rPr>
        <w:t>”以及其他相关条款的具体补充，如有矛盾，以本评标标准为准：</w:t>
      </w:r>
    </w:p>
    <w:p w14:paraId="6CCB219B">
      <w:pPr>
        <w:pageBreakBefore w:val="0"/>
        <w:kinsoku/>
        <w:wordWrap/>
        <w:overflowPunct/>
        <w:topLinePunct w:val="0"/>
        <w:autoSpaceDE w:val="0"/>
        <w:autoSpaceDN w:val="0"/>
        <w:bidi w:val="0"/>
        <w:adjustRightInd w:val="0"/>
        <w:snapToGrid/>
        <w:spacing w:line="440" w:lineRule="exact"/>
        <w:ind w:firstLine="0" w:firstLineChars="0"/>
        <w:textAlignment w:val="auto"/>
        <w:rPr>
          <w:rFonts w:cs="宋体"/>
          <w:b/>
          <w:highlight w:val="none"/>
        </w:rPr>
      </w:pPr>
      <w:r>
        <w:rPr>
          <w:rFonts w:hint="eastAsia" w:cs="宋体"/>
          <w:b/>
          <w:highlight w:val="none"/>
        </w:rPr>
        <w:t>（一）价格分（30分）</w:t>
      </w:r>
    </w:p>
    <w:p w14:paraId="4E4FE49F">
      <w:pPr>
        <w:pageBreakBefore w:val="0"/>
        <w:kinsoku/>
        <w:wordWrap/>
        <w:overflowPunct/>
        <w:topLinePunct w:val="0"/>
        <w:autoSpaceDE w:val="0"/>
        <w:autoSpaceDN w:val="0"/>
        <w:bidi w:val="0"/>
        <w:adjustRightInd w:val="0"/>
        <w:snapToGrid/>
        <w:spacing w:line="440" w:lineRule="exact"/>
        <w:ind w:firstLine="482"/>
        <w:textAlignment w:val="auto"/>
        <w:rPr>
          <w:rFonts w:cs="宋体"/>
          <w:highlight w:val="none"/>
          <w:lang w:val="zh-CN"/>
        </w:rPr>
      </w:pPr>
      <w:r>
        <w:rPr>
          <w:rFonts w:hint="eastAsia" w:cs="宋体"/>
          <w:b/>
          <w:highlight w:val="none"/>
        </w:rPr>
        <w:t>投标价格的合理性</w:t>
      </w:r>
      <w:r>
        <w:rPr>
          <w:rFonts w:hint="eastAsia" w:cs="宋体"/>
          <w:highlight w:val="none"/>
        </w:rPr>
        <w:t>：</w:t>
      </w:r>
      <w:r>
        <w:rPr>
          <w:rFonts w:hint="eastAsia" w:cs="宋体"/>
          <w:highlight w:val="none"/>
          <w:lang w:val="zh-CN"/>
        </w:rPr>
        <w:t>分析总报价及各个分项报价是否合理，报价范围是否完整，有否重大错漏项。</w:t>
      </w:r>
      <w:r>
        <w:rPr>
          <w:rFonts w:hint="eastAsia" w:cs="宋体"/>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2087FF3">
      <w:pPr>
        <w:pageBreakBefore w:val="0"/>
        <w:widowControl/>
        <w:kinsoku/>
        <w:wordWrap/>
        <w:overflowPunct/>
        <w:topLinePunct w:val="0"/>
        <w:bidi w:val="0"/>
        <w:snapToGrid/>
        <w:spacing w:line="440" w:lineRule="exact"/>
        <w:ind w:firstLine="482"/>
        <w:jc w:val="left"/>
        <w:textAlignment w:val="auto"/>
        <w:rPr>
          <w:rFonts w:cs="宋体"/>
          <w:kern w:val="0"/>
          <w:highlight w:val="none"/>
        </w:rPr>
      </w:pPr>
      <w:r>
        <w:rPr>
          <w:rFonts w:hint="eastAsia" w:cs="宋体"/>
          <w:b/>
          <w:bCs/>
          <w:highlight w:val="none"/>
          <w:lang w:val="zh-CN"/>
        </w:rPr>
        <w:t>价格分计算方法：</w:t>
      </w:r>
      <w:r>
        <w:rPr>
          <w:rFonts w:hint="eastAsia" w:cs="宋体"/>
          <w:kern w:val="0"/>
          <w:highlight w:val="none"/>
        </w:rPr>
        <w:t>有效投标报价的最低价作为评标基准价，其最低报价为满分；其他投标人的价格分按［投标报价得分=（评标基准价/投标报价）*30%*100］的计算公式计算。</w:t>
      </w:r>
    </w:p>
    <w:p w14:paraId="4B8885CF">
      <w:pPr>
        <w:pageBreakBefore w:val="0"/>
        <w:widowControl/>
        <w:kinsoku/>
        <w:wordWrap/>
        <w:overflowPunct/>
        <w:topLinePunct w:val="0"/>
        <w:bidi w:val="0"/>
        <w:snapToGrid/>
        <w:spacing w:line="440" w:lineRule="exact"/>
        <w:ind w:firstLine="480"/>
        <w:jc w:val="left"/>
        <w:textAlignment w:val="auto"/>
        <w:rPr>
          <w:rFonts w:cs="宋体"/>
          <w:kern w:val="0"/>
          <w:highlight w:val="none"/>
        </w:rPr>
      </w:pPr>
      <w:r>
        <w:rPr>
          <w:rFonts w:hint="eastAsia" w:cs="宋体"/>
          <w:kern w:val="0"/>
          <w:highlight w:val="none"/>
        </w:rPr>
        <w:t>评标过程中，不得去掉报价中的最高报价和最低报价。</w:t>
      </w:r>
    </w:p>
    <w:p w14:paraId="744EE9F6">
      <w:pPr>
        <w:pStyle w:val="6"/>
        <w:pageBreakBefore w:val="0"/>
        <w:kinsoku/>
        <w:wordWrap/>
        <w:overflowPunct/>
        <w:topLinePunct w:val="0"/>
        <w:bidi w:val="0"/>
        <w:snapToGrid/>
        <w:spacing w:line="440" w:lineRule="exact"/>
        <w:ind w:firstLine="480"/>
        <w:textAlignment w:val="auto"/>
        <w:rPr>
          <w:b w:val="0"/>
          <w:bCs w:val="0"/>
          <w:highlight w:val="none"/>
        </w:rPr>
      </w:pPr>
      <w:r>
        <w:rPr>
          <w:rFonts w:hint="eastAsia" w:cs="宋体"/>
          <w:b w:val="0"/>
          <w:bCs w:val="0"/>
          <w:highlight w:val="none"/>
        </w:rPr>
        <w:t>投标报价超过预算金额或最高限价（不含本数）的为无效报价。</w:t>
      </w:r>
    </w:p>
    <w:p w14:paraId="25C657B6">
      <w:pPr>
        <w:widowControl/>
        <w:snapToGrid w:val="0"/>
        <w:ind w:firstLine="0" w:firstLineChars="0"/>
        <w:jc w:val="left"/>
        <w:rPr>
          <w:rFonts w:hint="eastAsia" w:cs="宋体"/>
          <w:b/>
          <w:position w:val="-30"/>
          <w:highlight w:val="none"/>
        </w:rPr>
      </w:pPr>
    </w:p>
    <w:p w14:paraId="28051477">
      <w:pPr>
        <w:widowControl/>
        <w:snapToGrid w:val="0"/>
        <w:spacing w:line="240" w:lineRule="auto"/>
        <w:ind w:firstLine="0" w:firstLineChars="0"/>
        <w:jc w:val="left"/>
        <w:rPr>
          <w:rFonts w:hint="eastAsia" w:cs="宋体"/>
          <w:b/>
          <w:position w:val="-30"/>
          <w:highlight w:val="none"/>
        </w:rPr>
      </w:pPr>
    </w:p>
    <w:p w14:paraId="22529133">
      <w:pPr>
        <w:widowControl/>
        <w:snapToGrid w:val="0"/>
        <w:spacing w:line="240" w:lineRule="auto"/>
        <w:ind w:firstLine="0" w:firstLineChars="0"/>
        <w:jc w:val="left"/>
        <w:rPr>
          <w:rFonts w:cs="宋体"/>
          <w:b/>
          <w:position w:val="-30"/>
          <w:highlight w:val="none"/>
        </w:rPr>
      </w:pPr>
      <w:r>
        <w:rPr>
          <w:rFonts w:hint="eastAsia" w:cs="宋体"/>
          <w:b/>
          <w:position w:val="-30"/>
          <w:highlight w:val="none"/>
        </w:rPr>
        <w:t>（二）商务、技术及资信分（70分）</w:t>
      </w:r>
    </w:p>
    <w:bookmarkEnd w:id="76"/>
    <w:bookmarkEnd w:id="77"/>
    <w:bookmarkEnd w:id="78"/>
    <w:p w14:paraId="4B806B5B">
      <w:pPr>
        <w:widowControl/>
        <w:snapToGrid w:val="0"/>
        <w:spacing w:line="240" w:lineRule="auto"/>
        <w:ind w:firstLineChars="0"/>
        <w:jc w:val="left"/>
        <w:rPr>
          <w:rFonts w:hint="eastAsia" w:cs="宋体"/>
          <w:b/>
          <w:position w:val="-30"/>
          <w:highlight w:val="none"/>
        </w:rPr>
      </w:pPr>
      <w:r>
        <w:rPr>
          <w:rFonts w:hint="eastAsia" w:cs="宋体"/>
          <w:b/>
          <w:position w:val="-30"/>
          <w:highlight w:val="none"/>
        </w:rPr>
        <w:t>标项一：图书馆书架</w:t>
      </w:r>
    </w:p>
    <w:tbl>
      <w:tblPr>
        <w:tblStyle w:val="44"/>
        <w:tblW w:w="10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84"/>
        <w:gridCol w:w="7215"/>
        <w:gridCol w:w="892"/>
      </w:tblGrid>
      <w:tr w14:paraId="4884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3C7407AD">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序号</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4C09F574">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评审因素</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7CA32D6F">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评分标准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CDDA092">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分值</w:t>
            </w:r>
          </w:p>
        </w:tc>
      </w:tr>
      <w:tr w14:paraId="452D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49"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59EBEB89">
            <w:pPr>
              <w:spacing w:beforeLines="0" w:afterLines="0" w:line="360" w:lineRule="exact"/>
              <w:ind w:firstLine="482"/>
              <w:jc w:val="center"/>
              <w:rPr>
                <w:rFonts w:hint="default" w:cs="宋体"/>
                <w:b/>
                <w:kern w:val="0"/>
                <w:sz w:val="24"/>
                <w:szCs w:val="24"/>
                <w:highlight w:val="none"/>
              </w:rPr>
            </w:pPr>
            <w:r>
              <w:rPr>
                <w:rFonts w:hint="default" w:cs="宋体"/>
                <w:b/>
                <w:kern w:val="0"/>
                <w:sz w:val="24"/>
                <w:szCs w:val="24"/>
                <w:highlight w:val="none"/>
              </w:rPr>
              <w:t>技术分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2EE6664F">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52分</w:t>
            </w:r>
          </w:p>
        </w:tc>
      </w:tr>
      <w:tr w14:paraId="6D03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3C6C981E">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rPr>
              <w:t>1</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3B2FD197">
            <w:pPr>
              <w:keepNext w:val="0"/>
              <w:keepLines w:val="0"/>
              <w:pageBreakBefore w:val="0"/>
              <w:widowControl/>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lang w:bidi="ar"/>
              </w:rPr>
              <w:t>技术指标</w:t>
            </w:r>
          </w:p>
          <w:p w14:paraId="2D4FA608">
            <w:pPr>
              <w:keepNext w:val="0"/>
              <w:keepLines w:val="0"/>
              <w:pageBreakBefore w:val="0"/>
              <w:widowControl/>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lang w:bidi="ar"/>
              </w:rPr>
              <w:t>响应程度</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52E010C7">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根据投标产品的性能、规格、技术参数等指标是否满足招标文件的要求进行打分（</w:t>
            </w:r>
            <w:r>
              <w:rPr>
                <w:rFonts w:hint="default" w:cs="宋体"/>
                <w:kern w:val="0"/>
                <w:sz w:val="24"/>
                <w:szCs w:val="24"/>
                <w:highlight w:val="none"/>
                <w:lang w:bidi="ar"/>
              </w:rPr>
              <w:t>全部满足或明显优于招标文件要求的得满分16分</w:t>
            </w:r>
            <w:r>
              <w:rPr>
                <w:rFonts w:hint="default" w:cs="宋体"/>
                <w:sz w:val="24"/>
                <w:szCs w:val="24"/>
                <w:highlight w:val="none"/>
                <w:lang w:bidi="ar"/>
              </w:rPr>
              <w:t>）：</w:t>
            </w:r>
          </w:p>
          <w:p w14:paraId="4A92D419">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（1）标注“▲”项为实质性条款，不允许负偏离，否则投标无效；</w:t>
            </w:r>
          </w:p>
          <w:p w14:paraId="1D88A8B5">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（2）标注“</w:t>
            </w:r>
            <w:r>
              <w:rPr>
                <w:rFonts w:hint="default" w:cs="宋体"/>
                <w:color w:val="000000"/>
                <w:kern w:val="0"/>
                <w:sz w:val="24"/>
                <w:szCs w:val="24"/>
                <w:highlight w:val="none"/>
                <w:lang w:bidi="ar"/>
              </w:rPr>
              <w:t>★</w:t>
            </w:r>
            <w:r>
              <w:rPr>
                <w:rFonts w:hint="default" w:cs="宋体"/>
                <w:sz w:val="24"/>
                <w:szCs w:val="24"/>
                <w:highlight w:val="none"/>
                <w:lang w:bidi="ar"/>
              </w:rPr>
              <w:t>”项为重要技术条款，每负偏离或缺漏1项的扣1分，扣完本项得分为止；</w:t>
            </w:r>
          </w:p>
          <w:p w14:paraId="41F07F1C">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（3）一般技术条款每负偏离或缺漏1项的扣0.5分，扣完本项得分为止。</w:t>
            </w:r>
          </w:p>
          <w:p w14:paraId="1A8DB772">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b/>
                <w:sz w:val="24"/>
                <w:szCs w:val="24"/>
                <w:highlight w:val="none"/>
                <w:lang w:bidi="ar"/>
              </w:rPr>
              <w:t>（根据投标人的技术规范偏离表和技术支持证明材料等进行打分）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33724C72">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16分</w:t>
            </w:r>
          </w:p>
        </w:tc>
      </w:tr>
      <w:tr w14:paraId="53F0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095AE9CF">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rPr>
              <w:t>2</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054FCF65">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项目实施</w:t>
            </w:r>
          </w:p>
          <w:p w14:paraId="09658B0A">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方案</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3FFB19CE">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投标人针对本项目需求，提供的整体实施方案的合理性、全面性及科学性进行评审。方案完整，项目符合度高，专业性强，可实施性强的得3分；方案基本完整，项目基本具有符合性、专业性、可实施性一般的得2分；方案存在一定缺陷，项目符合度交叉，专业度交叉的得1分；方案存在明显缺陷，与项目特征无关，可实施性存在困难的或未提供的得0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FDC3346">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rPr>
              <w:t>3分</w:t>
            </w:r>
          </w:p>
        </w:tc>
      </w:tr>
      <w:tr w14:paraId="5271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722F220A">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rPr>
              <w:t>3</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7C638748">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质量保证</w:t>
            </w:r>
          </w:p>
          <w:p w14:paraId="5EB64558">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措施</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78C6AC03">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投标人有明确的质量目标，质量保证措施完善、严密、有效，能切实保证所投标产品的质量，有利于采购标的实现的得3分；质量保证措施基本完整，能有效保障所投产品质量的得2分；质量保证措施存在一定缺陷，能基本保证所投产品质量的得1分；存在明显缺陷，难以保证产品质量的或未提供的得0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6152CADA">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rPr>
              <w:t>3分</w:t>
            </w:r>
          </w:p>
        </w:tc>
      </w:tr>
      <w:tr w14:paraId="2BE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59804923">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rPr>
              <w:t>4</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62B6E064">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安装调试</w:t>
            </w:r>
          </w:p>
          <w:p w14:paraId="29519CD0">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方案</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3E983876">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0E816DE">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rPr>
              <w:t>5分</w:t>
            </w:r>
          </w:p>
        </w:tc>
      </w:tr>
      <w:tr w14:paraId="0DAA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58F73F2E">
            <w:pPr>
              <w:keepNext w:val="0"/>
              <w:keepLines w:val="0"/>
              <w:pageBreakBefore w:val="0"/>
              <w:widowControl/>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lang w:bidi="ar"/>
              </w:rPr>
              <w:t>5</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2579DF3B">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项目进度计划及安排</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2AEDABF3">
            <w:pPr>
              <w:keepNext w:val="0"/>
              <w:keepLines w:val="0"/>
              <w:pageBreakBefore w:val="0"/>
              <w:kinsoku/>
              <w:wordWrap/>
              <w:overflowPunct/>
              <w:topLinePunct w:val="0"/>
              <w:autoSpaceDE w:val="0"/>
              <w:autoSpaceDN/>
              <w:bidi w:val="0"/>
              <w:adjustRightInd/>
              <w:snapToGrid/>
              <w:spacing w:beforeLines="0" w:afterLines="0" w:line="360" w:lineRule="exact"/>
              <w:ind w:firstLine="0" w:firstLineChars="0"/>
              <w:textAlignment w:val="auto"/>
              <w:rPr>
                <w:rFonts w:hint="default" w:cs="宋体"/>
                <w:sz w:val="24"/>
                <w:szCs w:val="24"/>
                <w:highlight w:val="none"/>
              </w:rPr>
            </w:pPr>
            <w:r>
              <w:rPr>
                <w:rFonts w:hint="default" w:cs="宋体"/>
                <w:sz w:val="24"/>
                <w:szCs w:val="24"/>
                <w:highlight w:val="none"/>
                <w:lang w:bidi="ar"/>
              </w:rPr>
              <w:t>根据投标人的项目进度计划及安排方案、进度控制措施进行评分。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41FB1C60">
            <w:pPr>
              <w:keepNext w:val="0"/>
              <w:keepLines w:val="0"/>
              <w:pageBreakBefore w:val="0"/>
              <w:kinsoku/>
              <w:wordWrap/>
              <w:overflowPunct/>
              <w:topLinePunct w:val="0"/>
              <w:autoSpaceDN/>
              <w:bidi w:val="0"/>
              <w:adjustRightInd/>
              <w:snapToGrid/>
              <w:spacing w:beforeLines="0" w:afterLines="0" w:line="360" w:lineRule="exact"/>
              <w:ind w:firstLine="0" w:firstLineChars="0"/>
              <w:jc w:val="center"/>
              <w:textAlignment w:val="auto"/>
              <w:rPr>
                <w:rFonts w:hint="default" w:cs="宋体"/>
                <w:sz w:val="24"/>
                <w:szCs w:val="24"/>
                <w:highlight w:val="none"/>
              </w:rPr>
            </w:pPr>
            <w:r>
              <w:rPr>
                <w:rFonts w:hint="default" w:cs="宋体"/>
                <w:sz w:val="24"/>
                <w:szCs w:val="24"/>
                <w:highlight w:val="none"/>
              </w:rPr>
              <w:t>3分</w:t>
            </w:r>
          </w:p>
        </w:tc>
      </w:tr>
      <w:tr w14:paraId="62F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24AD92C0">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lang w:bidi="ar"/>
              </w:rPr>
              <w:t>6</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014B2A40">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检测报告</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3339267F">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textAlignment w:val="auto"/>
              <w:rPr>
                <w:rFonts w:hint="default" w:cs="宋体"/>
                <w:sz w:val="24"/>
                <w:szCs w:val="24"/>
                <w:highlight w:val="none"/>
              </w:rPr>
            </w:pPr>
            <w:r>
              <w:rPr>
                <w:rFonts w:hint="default" w:cs="宋体"/>
                <w:sz w:val="24"/>
                <w:szCs w:val="24"/>
                <w:highlight w:val="none"/>
                <w:lang w:bidi="ar"/>
              </w:rPr>
              <w:t>提供下列检测报告，每提供一个得1.5分，最多得3分。不提供不得分,同一类型的不重复计分。检测报告上的产品或材料名称应与招标文件上的以下名称基本一致，否则不得分。</w:t>
            </w:r>
          </w:p>
          <w:p w14:paraId="101FD852">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textAlignment w:val="auto"/>
              <w:rPr>
                <w:rFonts w:hint="default" w:cs="宋体"/>
                <w:sz w:val="24"/>
                <w:szCs w:val="24"/>
                <w:highlight w:val="none"/>
                <w:lang w:bidi="ar"/>
              </w:rPr>
            </w:pPr>
            <w:r>
              <w:rPr>
                <w:rFonts w:hint="default" w:cs="宋体"/>
                <w:sz w:val="24"/>
                <w:szCs w:val="24"/>
                <w:highlight w:val="none"/>
                <w:lang w:bidi="ar"/>
              </w:rPr>
              <w:t>（1）提供手动密集</w:t>
            </w:r>
            <w:r>
              <w:rPr>
                <w:rFonts w:hint="eastAsia" w:cs="宋体"/>
                <w:sz w:val="24"/>
                <w:szCs w:val="24"/>
                <w:highlight w:val="none"/>
                <w:lang w:val="en-US" w:eastAsia="zh-CN" w:bidi="ar"/>
              </w:rPr>
              <w:t>书</w:t>
            </w:r>
            <w:r>
              <w:rPr>
                <w:rFonts w:hint="default" w:cs="宋体"/>
                <w:sz w:val="24"/>
                <w:szCs w:val="24"/>
                <w:highlight w:val="none"/>
                <w:lang w:bidi="ar"/>
              </w:rPr>
              <w:t>架检测报告,应符合GB/T13667.3-2013《钢制书架 第3部分：手动密集书架》的要求。</w:t>
            </w:r>
          </w:p>
          <w:p w14:paraId="5D7EAF70">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textAlignment w:val="auto"/>
              <w:rPr>
                <w:rFonts w:hint="default" w:cs="宋体"/>
                <w:sz w:val="24"/>
                <w:szCs w:val="24"/>
                <w:highlight w:val="none"/>
                <w:lang w:bidi="ar"/>
              </w:rPr>
            </w:pPr>
            <w:r>
              <w:rPr>
                <w:rFonts w:hint="default" w:cs="宋体"/>
                <w:sz w:val="24"/>
                <w:szCs w:val="24"/>
                <w:highlight w:val="none"/>
                <w:lang w:bidi="ar"/>
              </w:rPr>
              <w:t>（2）提供双面钢木书架报告。应符合GB/T13667.1-2015《钢制书架 第1部分：单、复柱书架》的要求。</w:t>
            </w:r>
          </w:p>
          <w:p w14:paraId="5096092B">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textAlignment w:val="auto"/>
              <w:rPr>
                <w:rFonts w:hint="default"/>
                <w:sz w:val="24"/>
                <w:szCs w:val="24"/>
                <w:highlight w:val="none"/>
              </w:rPr>
            </w:pPr>
            <w:r>
              <w:rPr>
                <w:rFonts w:hint="default" w:cs="宋体"/>
                <w:b/>
                <w:sz w:val="24"/>
                <w:szCs w:val="24"/>
                <w:highlight w:val="none"/>
                <w:u w:val="single"/>
                <w:lang w:bidi="ar"/>
              </w:rPr>
              <w:t>注：提供国家认可的第三方检测机构出具的带有CMA标志的检测报告扫描件（有效期内）。并提供全国认证认可信息公共服务平台网站信息截图并加盖供应商公章，不提供不得分。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469CEAD8">
            <w:pPr>
              <w:keepNext w:val="0"/>
              <w:keepLines w:val="0"/>
              <w:pageBreakBefore w:val="0"/>
              <w:kinsoku/>
              <w:wordWrap/>
              <w:overflowPunct/>
              <w:topLinePunct w:val="0"/>
              <w:autoSpaceDE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lang w:bidi="ar"/>
              </w:rPr>
              <w:t>3分</w:t>
            </w:r>
          </w:p>
        </w:tc>
      </w:tr>
      <w:tr w14:paraId="28EB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011D3B2D">
            <w:pPr>
              <w:keepNext w:val="0"/>
              <w:keepLines w:val="0"/>
              <w:pageBreakBefore w:val="0"/>
              <w:kinsoku/>
              <w:wordWrap/>
              <w:overflowPunct/>
              <w:topLinePunct w:val="0"/>
              <w:autoSpaceDN/>
              <w:bidi w:val="0"/>
              <w:adjustRightInd/>
              <w:snapToGrid/>
              <w:spacing w:beforeLines="0" w:afterLines="0" w:line="320" w:lineRule="exact"/>
              <w:ind w:firstLine="0" w:firstLineChars="0"/>
              <w:jc w:val="center"/>
              <w:textAlignment w:val="auto"/>
              <w:rPr>
                <w:rFonts w:hint="default" w:cs="宋体"/>
                <w:kern w:val="0"/>
                <w:sz w:val="24"/>
                <w:szCs w:val="24"/>
                <w:highlight w:val="none"/>
              </w:rPr>
            </w:pPr>
            <w:r>
              <w:rPr>
                <w:rFonts w:hint="default" w:cs="宋体"/>
                <w:kern w:val="0"/>
                <w:sz w:val="24"/>
                <w:szCs w:val="24"/>
                <w:highlight w:val="none"/>
              </w:rPr>
              <w:t>7</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7A055E02">
            <w:pPr>
              <w:keepNext w:val="0"/>
              <w:keepLines w:val="0"/>
              <w:pageBreakBefore w:val="0"/>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rPr>
              <w:t>生产设备</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5C2CDDB8">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sz w:val="24"/>
                <w:szCs w:val="24"/>
                <w:highlight w:val="none"/>
              </w:rPr>
            </w:pPr>
            <w:r>
              <w:rPr>
                <w:rFonts w:hint="eastAsia"/>
                <w:highlight w:val="none"/>
                <w:lang w:val="en-US" w:eastAsia="zh-CN"/>
              </w:rPr>
              <w:t>生产所投设备</w:t>
            </w:r>
            <w:r>
              <w:rPr>
                <w:rFonts w:hint="default" w:cs="宋体"/>
                <w:sz w:val="24"/>
                <w:szCs w:val="24"/>
                <w:highlight w:val="none"/>
              </w:rPr>
              <w:t>具备密集架制造的核心专业生产设备数控加工中心、激光切割机、数控</w:t>
            </w:r>
            <w:r>
              <w:rPr>
                <w:rFonts w:hint="eastAsia" w:cs="宋体"/>
                <w:sz w:val="24"/>
                <w:szCs w:val="24"/>
                <w:highlight w:val="none"/>
                <w:lang w:val="en-US" w:eastAsia="zh-CN"/>
              </w:rPr>
              <w:t>折弯设备</w:t>
            </w:r>
            <w:r>
              <w:rPr>
                <w:rFonts w:hint="default" w:cs="宋体"/>
                <w:sz w:val="24"/>
                <w:szCs w:val="24"/>
                <w:highlight w:val="none"/>
              </w:rPr>
              <w:t>、金属冲压设备、喷涂生产线、污水处理设备的得基本分4分，每少一项设备、设施，在基本分的基础上减1分。</w:t>
            </w:r>
          </w:p>
          <w:p w14:paraId="0DCA9852">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sz w:val="21"/>
                <w:szCs w:val="21"/>
                <w:highlight w:val="none"/>
              </w:rPr>
            </w:pPr>
            <w:r>
              <w:rPr>
                <w:rFonts w:hint="default" w:cs="宋体"/>
                <w:b/>
                <w:sz w:val="24"/>
                <w:szCs w:val="24"/>
                <w:highlight w:val="none"/>
                <w:u w:val="single"/>
              </w:rPr>
              <w:t>注：提供购置发票或设备租赁发票复印件及生产场地</w:t>
            </w:r>
            <w:r>
              <w:rPr>
                <w:rFonts w:hint="eastAsia" w:cs="宋体"/>
                <w:b/>
                <w:sz w:val="24"/>
                <w:szCs w:val="24"/>
                <w:highlight w:val="none"/>
                <w:u w:val="single"/>
                <w:lang w:val="en-US" w:eastAsia="zh-CN"/>
              </w:rPr>
              <w:t>设备放置</w:t>
            </w:r>
            <w:r>
              <w:rPr>
                <w:rFonts w:hint="default" w:cs="宋体"/>
                <w:b/>
                <w:sz w:val="24"/>
                <w:szCs w:val="24"/>
                <w:highlight w:val="none"/>
                <w:u w:val="single"/>
              </w:rPr>
              <w:t>照片证明。</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0E45CF6">
            <w:pPr>
              <w:keepNext w:val="0"/>
              <w:keepLines w:val="0"/>
              <w:pageBreakBefore w:val="0"/>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rPr>
              <w:t>4分</w:t>
            </w:r>
          </w:p>
        </w:tc>
      </w:tr>
      <w:tr w14:paraId="3D39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jc w:val="center"/>
        </w:trPr>
        <w:tc>
          <w:tcPr>
            <w:tcW w:w="750"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3C74B415">
            <w:pPr>
              <w:keepNext w:val="0"/>
              <w:keepLines w:val="0"/>
              <w:pageBreakBefore w:val="0"/>
              <w:widowControl/>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rPr>
              <w:t>8</w:t>
            </w:r>
          </w:p>
        </w:tc>
        <w:tc>
          <w:tcPr>
            <w:tcW w:w="1284"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447DC74E">
            <w:pPr>
              <w:keepNext w:val="0"/>
              <w:keepLines w:val="0"/>
              <w:pageBreakBefore w:val="0"/>
              <w:widowControl/>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rPr>
              <w:t>样品分</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273B26E6">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b/>
                <w:kern w:val="0"/>
                <w:sz w:val="24"/>
                <w:szCs w:val="24"/>
                <w:highlight w:val="none"/>
                <w:lang w:bidi="ar"/>
              </w:rPr>
              <w:t>投标人提供3节成列的手动带灯文书档案密集架：</w:t>
            </w:r>
            <w:r>
              <w:rPr>
                <w:rFonts w:hint="default" w:cs="宋体"/>
                <w:kern w:val="0"/>
                <w:sz w:val="24"/>
                <w:szCs w:val="24"/>
                <w:highlight w:val="none"/>
                <w:lang w:bidi="ar"/>
              </w:rPr>
              <w:t>一侧装门，一侧不装门；样品包含轨道及相关的所有配件，组合后可正常运行。</w:t>
            </w:r>
          </w:p>
          <w:p w14:paraId="742FC916">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各零部件表面应光滑、平整、不应有尖角和突起；焊接件应焊接牢固，焊痕光滑平整；照明感应灵敏，照明效果好；涂层表面应平整光滑，色泽均匀一致，没有有流挂、起粒、皱皮、露底、剥落、伤痕等缺陷。</w:t>
            </w:r>
          </w:p>
          <w:p w14:paraId="2A7FAB74">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结构合理、牢固稳定、照明感应灵敏，照明效果好</w:t>
            </w:r>
            <w:r>
              <w:rPr>
                <w:rFonts w:hint="eastAsia" w:cs="宋体"/>
                <w:kern w:val="0"/>
                <w:sz w:val="24"/>
                <w:szCs w:val="24"/>
                <w:highlight w:val="none"/>
                <w:lang w:eastAsia="zh-CN" w:bidi="ar"/>
              </w:rPr>
              <w:t>，</w:t>
            </w:r>
            <w:r>
              <w:rPr>
                <w:rFonts w:hint="default" w:cs="宋体"/>
                <w:kern w:val="0"/>
                <w:sz w:val="24"/>
                <w:szCs w:val="24"/>
                <w:highlight w:val="none"/>
                <w:lang w:bidi="ar"/>
              </w:rPr>
              <w:t>焊接件严密平整、涂层表面平整光滑无划痕的得8分；</w:t>
            </w:r>
          </w:p>
          <w:p w14:paraId="74F791B6">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结构、焊接件基本满足要求、照明感应较灵敏，照明效果较好，涂层表面较平整的得6分；</w:t>
            </w:r>
          </w:p>
          <w:p w14:paraId="0B3DD78D">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结构、焊接件略有瑕疵、照明感应一般，照明效果一般，涂层表面欠光滑的得4分；</w:t>
            </w:r>
          </w:p>
          <w:p w14:paraId="33659358">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sz w:val="24"/>
                <w:szCs w:val="24"/>
                <w:highlight w:val="none"/>
              </w:rPr>
            </w:pPr>
            <w:r>
              <w:rPr>
                <w:rFonts w:hint="default" w:cs="宋体"/>
                <w:kern w:val="0"/>
                <w:sz w:val="24"/>
                <w:szCs w:val="24"/>
                <w:highlight w:val="none"/>
                <w:lang w:bidi="ar"/>
              </w:rPr>
              <w:t>结构、焊接件制作显粗糙，照明感应较差，照明效果较差，涂层表面欠光滑的得2分。</w:t>
            </w:r>
          </w:p>
          <w:p w14:paraId="12EAE9D2">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b/>
                <w:sz w:val="24"/>
                <w:szCs w:val="24"/>
                <w:highlight w:val="none"/>
              </w:rPr>
            </w:pPr>
            <w:r>
              <w:rPr>
                <w:rFonts w:hint="default" w:cs="宋体"/>
                <w:b/>
                <w:kern w:val="0"/>
                <w:sz w:val="24"/>
                <w:szCs w:val="24"/>
                <w:highlight w:val="none"/>
                <w:u w:val="single"/>
                <w:lang w:bidi="ar"/>
              </w:rPr>
              <w:t>注：样品严重偏离采购要求、未递交样品的其样品分为零分。</w:t>
            </w:r>
          </w:p>
        </w:tc>
        <w:tc>
          <w:tcPr>
            <w:tcW w:w="892"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69D8976B">
            <w:pPr>
              <w:keepNext w:val="0"/>
              <w:keepLines w:val="0"/>
              <w:pageBreakBefore w:val="0"/>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sz w:val="24"/>
                <w:szCs w:val="24"/>
                <w:highlight w:val="none"/>
              </w:rPr>
              <w:t>15分</w:t>
            </w:r>
          </w:p>
        </w:tc>
      </w:tr>
      <w:tr w14:paraId="5742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0" w:hRule="atLeast"/>
          <w:jc w:val="center"/>
        </w:trPr>
        <w:tc>
          <w:tcPr>
            <w:tcW w:w="750"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01FBA64D">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sz w:val="24"/>
                <w:szCs w:val="24"/>
                <w:highlight w:val="none"/>
              </w:rPr>
            </w:pPr>
          </w:p>
        </w:tc>
        <w:tc>
          <w:tcPr>
            <w:tcW w:w="1284"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7AC2DF65">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sz w:val="24"/>
                <w:szCs w:val="24"/>
                <w:highlight w:val="none"/>
              </w:rPr>
            </w:pP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42BA1CEA">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b/>
                <w:kern w:val="0"/>
                <w:sz w:val="24"/>
                <w:szCs w:val="24"/>
                <w:highlight w:val="none"/>
                <w:lang w:bidi="ar"/>
              </w:rPr>
              <w:t>投标人提供3节成列的六层双面带灯钢木书架：</w:t>
            </w:r>
          </w:p>
          <w:p w14:paraId="4BB49A46">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外观要求：根据采购需求要求提供的投标样品从款式与产品效果及结构要求吻合度、美观度、装配工艺进行打分。</w:t>
            </w:r>
          </w:p>
          <w:p w14:paraId="64A8CAC4">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款式与产品效果及结构要求吻合度高、美观、大方、装配工艺优良的得7分；</w:t>
            </w:r>
          </w:p>
          <w:p w14:paraId="1DA24A56">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款式与产品效果及结构要求吻合度较高、实用、简洁、装配工艺较好的得5分；</w:t>
            </w:r>
          </w:p>
          <w:p w14:paraId="28D8C699">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kern w:val="0"/>
                <w:sz w:val="24"/>
                <w:szCs w:val="24"/>
                <w:highlight w:val="none"/>
                <w:lang w:bidi="ar"/>
              </w:rPr>
            </w:pPr>
            <w:r>
              <w:rPr>
                <w:rFonts w:hint="default" w:cs="宋体"/>
                <w:kern w:val="0"/>
                <w:sz w:val="24"/>
                <w:szCs w:val="24"/>
                <w:highlight w:val="none"/>
                <w:lang w:bidi="ar"/>
              </w:rPr>
              <w:t>款式与产品效果及结构要求吻合度一般，美观度略有不足、装配工艺一般的得3分；</w:t>
            </w:r>
          </w:p>
          <w:p w14:paraId="0B687C61">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sz w:val="24"/>
                <w:szCs w:val="24"/>
                <w:highlight w:val="none"/>
              </w:rPr>
            </w:pPr>
            <w:r>
              <w:rPr>
                <w:rFonts w:hint="default" w:cs="宋体"/>
                <w:kern w:val="0"/>
                <w:sz w:val="24"/>
                <w:szCs w:val="24"/>
                <w:highlight w:val="none"/>
                <w:lang w:bidi="ar"/>
              </w:rPr>
              <w:t>款式与产品效果及结构要求吻合度差，美观度欠缺、装配工艺较差的得1分。</w:t>
            </w:r>
          </w:p>
          <w:p w14:paraId="623AC2C8">
            <w:pPr>
              <w:keepNext w:val="0"/>
              <w:keepLines w:val="0"/>
              <w:pageBreakBefore w:val="0"/>
              <w:widowControl/>
              <w:kinsoku/>
              <w:wordWrap/>
              <w:overflowPunct/>
              <w:topLinePunct w:val="0"/>
              <w:autoSpaceDN/>
              <w:bidi w:val="0"/>
              <w:adjustRightInd/>
              <w:snapToGrid/>
              <w:spacing w:beforeLines="0" w:afterLines="0" w:line="320" w:lineRule="exact"/>
              <w:ind w:firstLine="0" w:firstLineChars="0"/>
              <w:textAlignment w:val="auto"/>
              <w:rPr>
                <w:rFonts w:hint="default" w:cs="宋体"/>
                <w:b/>
                <w:sz w:val="24"/>
                <w:szCs w:val="24"/>
                <w:highlight w:val="none"/>
              </w:rPr>
            </w:pPr>
            <w:r>
              <w:rPr>
                <w:rFonts w:hint="default" w:cs="宋体"/>
                <w:b/>
                <w:kern w:val="0"/>
                <w:sz w:val="24"/>
                <w:szCs w:val="24"/>
                <w:highlight w:val="none"/>
                <w:u w:val="single"/>
                <w:lang w:bidi="ar"/>
              </w:rPr>
              <w:t>注：样品严重偏离采购要求、未递交样品的其样品分为零分。</w:t>
            </w:r>
          </w:p>
        </w:tc>
        <w:tc>
          <w:tcPr>
            <w:tcW w:w="892"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3DDF78E2">
            <w:pPr>
              <w:keepNext w:val="0"/>
              <w:keepLines w:val="0"/>
              <w:pageBreakBefore w:val="0"/>
              <w:kinsoku/>
              <w:wordWrap/>
              <w:overflowPunct/>
              <w:topLinePunct w:val="0"/>
              <w:autoSpaceDN/>
              <w:bidi w:val="0"/>
              <w:adjustRightInd/>
              <w:snapToGrid/>
              <w:spacing w:beforeLines="0" w:afterLines="0" w:line="320" w:lineRule="exact"/>
              <w:ind w:firstLine="0" w:firstLineChars="0"/>
              <w:textAlignment w:val="auto"/>
              <w:rPr>
                <w:rFonts w:hint="default" w:cs="宋体"/>
                <w:b/>
                <w:sz w:val="24"/>
                <w:szCs w:val="24"/>
                <w:highlight w:val="none"/>
                <w:u w:val="single"/>
              </w:rPr>
            </w:pPr>
          </w:p>
        </w:tc>
      </w:tr>
      <w:tr w14:paraId="1529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249"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19D2BDBE">
            <w:pPr>
              <w:keepNext w:val="0"/>
              <w:keepLines w:val="0"/>
              <w:pageBreakBefore w:val="0"/>
              <w:kinsoku/>
              <w:wordWrap/>
              <w:overflowPunct/>
              <w:topLinePunct w:val="0"/>
              <w:autoSpaceDN/>
              <w:bidi w:val="0"/>
              <w:adjustRightInd/>
              <w:snapToGrid/>
              <w:spacing w:beforeLines="0" w:afterLines="0" w:line="320" w:lineRule="exact"/>
              <w:ind w:firstLine="482"/>
              <w:jc w:val="center"/>
              <w:textAlignment w:val="auto"/>
              <w:rPr>
                <w:rFonts w:hint="default" w:cs="宋体"/>
                <w:sz w:val="24"/>
                <w:szCs w:val="24"/>
                <w:highlight w:val="none"/>
              </w:rPr>
            </w:pPr>
            <w:r>
              <w:rPr>
                <w:rFonts w:hint="default" w:cs="宋体"/>
                <w:b/>
                <w:sz w:val="24"/>
                <w:szCs w:val="24"/>
                <w:highlight w:val="none"/>
              </w:rPr>
              <w:t>商务及资信分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59EF46E2">
            <w:pPr>
              <w:keepNext w:val="0"/>
              <w:keepLines w:val="0"/>
              <w:pageBreakBefore w:val="0"/>
              <w:kinsoku/>
              <w:wordWrap/>
              <w:overflowPunct/>
              <w:topLinePunct w:val="0"/>
              <w:autoSpaceDN/>
              <w:bidi w:val="0"/>
              <w:adjustRightInd/>
              <w:snapToGrid/>
              <w:spacing w:beforeLines="0" w:afterLines="0" w:line="320" w:lineRule="exact"/>
              <w:ind w:firstLine="0" w:firstLineChars="0"/>
              <w:jc w:val="center"/>
              <w:textAlignment w:val="auto"/>
              <w:rPr>
                <w:rFonts w:hint="default" w:cs="宋体"/>
                <w:sz w:val="24"/>
                <w:szCs w:val="24"/>
                <w:highlight w:val="none"/>
              </w:rPr>
            </w:pPr>
            <w:r>
              <w:rPr>
                <w:rFonts w:hint="default" w:cs="宋体"/>
                <w:b/>
                <w:sz w:val="24"/>
                <w:szCs w:val="24"/>
                <w:highlight w:val="none"/>
              </w:rPr>
              <w:t>18分</w:t>
            </w:r>
          </w:p>
        </w:tc>
      </w:tr>
      <w:tr w14:paraId="52F9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7578B8E8">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9</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0CC6111F">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售后服务</w:t>
            </w:r>
          </w:p>
          <w:p w14:paraId="69246DD5">
            <w:pPr>
              <w:widowControl/>
              <w:spacing w:beforeLines="0" w:afterLines="0" w:line="240" w:lineRule="auto"/>
              <w:ind w:firstLine="0" w:firstLineChars="0"/>
              <w:jc w:val="center"/>
              <w:rPr>
                <w:rFonts w:hint="default" w:cs="宋体"/>
                <w:kern w:val="0"/>
                <w:sz w:val="24"/>
                <w:szCs w:val="24"/>
                <w:highlight w:val="none"/>
              </w:rPr>
            </w:pPr>
            <w:r>
              <w:rPr>
                <w:rFonts w:hint="default" w:cs="宋体"/>
                <w:sz w:val="24"/>
                <w:szCs w:val="24"/>
                <w:highlight w:val="none"/>
              </w:rPr>
              <w:t>方案</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4CA97E00">
            <w:pPr>
              <w:spacing w:beforeLines="0" w:afterLines="0" w:line="240" w:lineRule="auto"/>
              <w:ind w:firstLine="0" w:firstLineChars="0"/>
              <w:rPr>
                <w:rFonts w:hint="default" w:cs="宋体"/>
                <w:sz w:val="24"/>
                <w:szCs w:val="24"/>
                <w:highlight w:val="none"/>
              </w:rPr>
            </w:pPr>
            <w:r>
              <w:rPr>
                <w:rFonts w:hint="default" w:cs="宋体"/>
                <w:sz w:val="24"/>
                <w:szCs w:val="24"/>
                <w:highlight w:val="none"/>
              </w:rPr>
              <w:t>（1）综合考虑技术支持和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0486DDCD">
            <w:pPr>
              <w:spacing w:beforeLines="0" w:afterLines="0" w:line="240" w:lineRule="auto"/>
              <w:ind w:firstLine="0" w:firstLineChars="0"/>
              <w:rPr>
                <w:rFonts w:hint="default" w:cs="宋体"/>
                <w:sz w:val="24"/>
                <w:szCs w:val="24"/>
                <w:highlight w:val="none"/>
              </w:rPr>
            </w:pPr>
            <w:r>
              <w:rPr>
                <w:rFonts w:hint="default" w:cs="宋体"/>
                <w:sz w:val="24"/>
                <w:szCs w:val="24"/>
                <w:highlight w:val="none"/>
              </w:rPr>
              <w:t>（2）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1AEAACA8">
            <w:pPr>
              <w:spacing w:beforeLines="0" w:afterLines="0" w:line="240" w:lineRule="auto"/>
              <w:ind w:firstLine="0" w:firstLineChars="0"/>
              <w:rPr>
                <w:rFonts w:hint="default" w:cs="宋体"/>
                <w:sz w:val="24"/>
                <w:szCs w:val="24"/>
                <w:highlight w:val="none"/>
              </w:rPr>
            </w:pPr>
            <w:r>
              <w:rPr>
                <w:rFonts w:hint="default" w:cs="宋体"/>
                <w:sz w:val="24"/>
                <w:szCs w:val="24"/>
                <w:highlight w:val="none"/>
              </w:rPr>
              <w:t>（3）现场响应时间：供应商3小时到达现场响应不得分；在3小时基础上每减少1小时加1分，最高得2分。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0F6021E4">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8分</w:t>
            </w:r>
          </w:p>
        </w:tc>
      </w:tr>
      <w:tr w14:paraId="7908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3EDF3056">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10</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1C5D6479">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质保期</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44745EFC">
            <w:pPr>
              <w:autoSpaceDE w:val="0"/>
              <w:spacing w:beforeLines="0" w:afterLines="0" w:line="240" w:lineRule="auto"/>
              <w:ind w:firstLine="0" w:firstLineChars="0"/>
              <w:rPr>
                <w:rFonts w:hint="default" w:cs="宋体"/>
                <w:b/>
                <w:sz w:val="24"/>
                <w:szCs w:val="24"/>
                <w:highlight w:val="none"/>
              </w:rPr>
            </w:pPr>
            <w:r>
              <w:rPr>
                <w:rFonts w:hint="default" w:cs="宋体"/>
                <w:sz w:val="24"/>
                <w:szCs w:val="24"/>
                <w:highlight w:val="none"/>
                <w:lang w:bidi="ar"/>
              </w:rPr>
              <w:t>质保期在满足招标文件要求3年的基础上（如部分设备、配件有更长质保要求按更长要求计算），全部产品每增加1年质保期加0.5分，本项最高得2分。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451C40C5">
            <w:pPr>
              <w:autoSpaceDE w:val="0"/>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lang w:bidi="ar"/>
              </w:rPr>
              <w:t>2分</w:t>
            </w:r>
          </w:p>
        </w:tc>
      </w:tr>
      <w:tr w14:paraId="3DF1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049B42A1">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11</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3C4A3160">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优惠承诺</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62E584A1">
            <w:pPr>
              <w:spacing w:beforeLines="0" w:afterLines="0" w:line="240" w:lineRule="auto"/>
              <w:ind w:firstLine="0" w:firstLineChars="0"/>
              <w:rPr>
                <w:rFonts w:hint="default" w:cs="宋体"/>
                <w:sz w:val="24"/>
                <w:szCs w:val="24"/>
                <w:highlight w:val="none"/>
              </w:rPr>
            </w:pPr>
            <w:r>
              <w:rPr>
                <w:rFonts w:hint="default" w:cs="宋体"/>
                <w:sz w:val="24"/>
                <w:szCs w:val="24"/>
                <w:highlight w:val="none"/>
              </w:rPr>
              <w:t>投标人在满足采购文件服务要求的基础上，提供额外的实质性优惠承诺，每提供一项有效的实质性优惠承诺得1分，最多得2分。</w:t>
            </w:r>
          </w:p>
          <w:p w14:paraId="66E918D1">
            <w:pPr>
              <w:spacing w:beforeLines="0" w:afterLines="0" w:line="240" w:lineRule="auto"/>
              <w:ind w:firstLine="0" w:firstLineChars="0"/>
              <w:rPr>
                <w:rFonts w:hint="default" w:cs="宋体"/>
                <w:sz w:val="24"/>
                <w:szCs w:val="24"/>
                <w:highlight w:val="none"/>
              </w:rPr>
            </w:pPr>
            <w:r>
              <w:rPr>
                <w:rFonts w:hint="default"/>
                <w:b/>
                <w:sz w:val="24"/>
                <w:szCs w:val="24"/>
                <w:highlight w:val="none"/>
                <w:u w:val="single"/>
              </w:rPr>
              <w:t>注：优惠承诺须经评标委员会成员一致认可方为有效。</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D5C5AB6">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2分</w:t>
            </w:r>
          </w:p>
        </w:tc>
      </w:tr>
      <w:tr w14:paraId="4F77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5439CB60">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12</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27E1558B">
            <w:pPr>
              <w:spacing w:beforeLines="0" w:afterLines="0" w:line="240" w:lineRule="auto"/>
              <w:ind w:firstLine="0" w:firstLineChars="0"/>
              <w:jc w:val="center"/>
              <w:rPr>
                <w:rFonts w:hint="default" w:cs="宋体"/>
                <w:kern w:val="0"/>
                <w:sz w:val="24"/>
                <w:szCs w:val="24"/>
                <w:highlight w:val="none"/>
              </w:rPr>
            </w:pPr>
            <w:r>
              <w:rPr>
                <w:rFonts w:hint="default" w:cs="宋体"/>
                <w:sz w:val="24"/>
                <w:szCs w:val="24"/>
                <w:highlight w:val="none"/>
              </w:rPr>
              <w:t>企业认证</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0DE6304B">
            <w:pPr>
              <w:spacing w:beforeLines="0" w:afterLines="0" w:line="240" w:lineRule="auto"/>
              <w:ind w:firstLine="0" w:firstLineChars="0"/>
              <w:rPr>
                <w:rFonts w:hint="default" w:cs="宋体"/>
                <w:sz w:val="24"/>
                <w:szCs w:val="24"/>
                <w:highlight w:val="none"/>
              </w:rPr>
            </w:pPr>
            <w:r>
              <w:rPr>
                <w:rFonts w:hint="default" w:cs="宋体"/>
                <w:sz w:val="24"/>
                <w:szCs w:val="24"/>
                <w:highlight w:val="none"/>
              </w:rPr>
              <w:t>（1）投标人具有有效的环境管理体系证书的得1分；</w:t>
            </w:r>
          </w:p>
          <w:p w14:paraId="651FE417">
            <w:pPr>
              <w:spacing w:beforeLines="0" w:afterLines="0" w:line="240" w:lineRule="auto"/>
              <w:ind w:firstLine="0" w:firstLineChars="0"/>
              <w:rPr>
                <w:rFonts w:hint="default" w:cs="宋体"/>
                <w:sz w:val="24"/>
                <w:szCs w:val="24"/>
                <w:highlight w:val="none"/>
              </w:rPr>
            </w:pPr>
            <w:r>
              <w:rPr>
                <w:rFonts w:hint="default" w:cs="宋体"/>
                <w:sz w:val="24"/>
                <w:szCs w:val="24"/>
                <w:highlight w:val="none"/>
              </w:rPr>
              <w:t>（2）投标人具有有效的质量管理体系证书的得1分；</w:t>
            </w:r>
          </w:p>
          <w:p w14:paraId="19B76CFB">
            <w:pPr>
              <w:spacing w:beforeLines="0" w:afterLines="0" w:line="240" w:lineRule="auto"/>
              <w:ind w:firstLine="0" w:firstLineChars="0"/>
              <w:rPr>
                <w:rFonts w:hint="default" w:cs="宋体"/>
                <w:sz w:val="24"/>
                <w:szCs w:val="24"/>
                <w:highlight w:val="none"/>
              </w:rPr>
            </w:pPr>
            <w:r>
              <w:rPr>
                <w:rFonts w:hint="default" w:cs="宋体"/>
                <w:sz w:val="24"/>
                <w:szCs w:val="24"/>
                <w:highlight w:val="none"/>
              </w:rPr>
              <w:t>（3）投标人具有有效的职业健康安全管理体系的得1分。</w:t>
            </w:r>
          </w:p>
          <w:p w14:paraId="0FBD509F">
            <w:pPr>
              <w:spacing w:beforeLines="0" w:afterLines="0" w:line="240" w:lineRule="auto"/>
              <w:ind w:firstLine="0" w:firstLineChars="0"/>
              <w:rPr>
                <w:rFonts w:hint="default" w:cs="宋体"/>
                <w:b/>
                <w:kern w:val="0"/>
                <w:sz w:val="24"/>
                <w:szCs w:val="24"/>
                <w:highlight w:val="none"/>
              </w:rPr>
            </w:pPr>
            <w:r>
              <w:rPr>
                <w:rFonts w:hint="default" w:cs="宋体"/>
                <w:b/>
                <w:sz w:val="24"/>
                <w:szCs w:val="24"/>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5AC3731">
            <w:pPr>
              <w:spacing w:beforeLines="0" w:afterLines="0" w:line="360" w:lineRule="exact"/>
              <w:ind w:firstLine="0" w:firstLineChars="0"/>
              <w:jc w:val="center"/>
              <w:rPr>
                <w:rFonts w:hint="default" w:cs="宋体"/>
                <w:b/>
                <w:kern w:val="0"/>
                <w:sz w:val="24"/>
                <w:szCs w:val="24"/>
                <w:highlight w:val="none"/>
              </w:rPr>
            </w:pPr>
            <w:r>
              <w:rPr>
                <w:rFonts w:hint="default" w:cs="宋体"/>
                <w:sz w:val="24"/>
                <w:szCs w:val="24"/>
                <w:highlight w:val="none"/>
              </w:rPr>
              <w:t>3分</w:t>
            </w:r>
          </w:p>
        </w:tc>
      </w:tr>
      <w:tr w14:paraId="3C8C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750" w:type="dxa"/>
            <w:tcBorders>
              <w:top w:val="single" w:color="auto" w:sz="4" w:space="0"/>
              <w:left w:val="single" w:color="auto" w:sz="4" w:space="0"/>
              <w:bottom w:val="single" w:color="auto" w:sz="4" w:space="0"/>
              <w:right w:val="single" w:color="auto" w:sz="4" w:space="0"/>
              <w:tl2br w:val="nil"/>
              <w:tr2bl w:val="nil"/>
            </w:tcBorders>
            <w:noWrap/>
            <w:vAlign w:val="center"/>
          </w:tcPr>
          <w:p w14:paraId="36DAED47">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13</w:t>
            </w:r>
          </w:p>
        </w:tc>
        <w:tc>
          <w:tcPr>
            <w:tcW w:w="1284" w:type="dxa"/>
            <w:tcBorders>
              <w:top w:val="single" w:color="auto" w:sz="4" w:space="0"/>
              <w:left w:val="single" w:color="auto" w:sz="4" w:space="0"/>
              <w:bottom w:val="single" w:color="auto" w:sz="4" w:space="0"/>
              <w:right w:val="single" w:color="auto" w:sz="4" w:space="0"/>
              <w:tl2br w:val="nil"/>
              <w:tr2bl w:val="nil"/>
            </w:tcBorders>
            <w:noWrap/>
            <w:vAlign w:val="center"/>
          </w:tcPr>
          <w:p w14:paraId="74AB1B4E">
            <w:pPr>
              <w:spacing w:beforeLines="0" w:afterLines="0" w:line="240" w:lineRule="auto"/>
              <w:ind w:firstLine="0" w:firstLineChars="0"/>
              <w:jc w:val="center"/>
              <w:rPr>
                <w:rFonts w:hint="default" w:cs="宋体"/>
                <w:kern w:val="0"/>
                <w:sz w:val="24"/>
                <w:szCs w:val="24"/>
                <w:highlight w:val="none"/>
              </w:rPr>
            </w:pPr>
            <w:r>
              <w:rPr>
                <w:rFonts w:hint="default" w:cs="宋体"/>
                <w:sz w:val="24"/>
                <w:szCs w:val="24"/>
                <w:highlight w:val="none"/>
              </w:rPr>
              <w:t>类似业绩</w:t>
            </w:r>
          </w:p>
        </w:tc>
        <w:tc>
          <w:tcPr>
            <w:tcW w:w="7215" w:type="dxa"/>
            <w:tcBorders>
              <w:top w:val="single" w:color="auto" w:sz="4" w:space="0"/>
              <w:left w:val="single" w:color="auto" w:sz="4" w:space="0"/>
              <w:bottom w:val="single" w:color="auto" w:sz="4" w:space="0"/>
              <w:right w:val="single" w:color="auto" w:sz="4" w:space="0"/>
              <w:tl2br w:val="nil"/>
              <w:tr2bl w:val="nil"/>
            </w:tcBorders>
            <w:noWrap/>
            <w:vAlign w:val="center"/>
          </w:tcPr>
          <w:p w14:paraId="6FE5B3B7">
            <w:pPr>
              <w:spacing w:beforeLines="0" w:afterLines="0" w:line="240" w:lineRule="auto"/>
              <w:ind w:firstLine="0" w:firstLineChars="0"/>
              <w:rPr>
                <w:rFonts w:hint="default" w:cs="宋体"/>
                <w:sz w:val="24"/>
                <w:szCs w:val="24"/>
                <w:highlight w:val="none"/>
              </w:rPr>
            </w:pPr>
            <w:r>
              <w:rPr>
                <w:rFonts w:hint="default" w:cs="宋体"/>
                <w:sz w:val="24"/>
                <w:szCs w:val="24"/>
                <w:highlight w:val="none"/>
              </w:rPr>
              <w:t>投标人自2022年1月1日以来（以合同签订时间为准）承接过的类似项目（密集架及钢木书架类）业绩，每提供一个有效业绩得1分，最高得3分。</w:t>
            </w:r>
          </w:p>
          <w:p w14:paraId="7E7A01D7">
            <w:pPr>
              <w:spacing w:beforeLines="0" w:afterLines="0" w:line="240" w:lineRule="auto"/>
              <w:ind w:firstLine="0" w:firstLineChars="0"/>
              <w:rPr>
                <w:rFonts w:hint="default" w:cs="宋体"/>
                <w:b/>
                <w:kern w:val="0"/>
                <w:sz w:val="24"/>
                <w:szCs w:val="24"/>
                <w:highlight w:val="none"/>
              </w:rPr>
            </w:pPr>
            <w:r>
              <w:rPr>
                <w:rFonts w:hint="default" w:cs="宋体"/>
                <w:b/>
                <w:sz w:val="24"/>
                <w:szCs w:val="24"/>
                <w:highlight w:val="none"/>
                <w:u w:val="single"/>
              </w:rPr>
              <w:t>注：提供完整合同扫描件或清晰的复印件并加盖公章，未提供不得分。</w:t>
            </w:r>
          </w:p>
        </w:tc>
        <w:tc>
          <w:tcPr>
            <w:tcW w:w="892" w:type="dxa"/>
            <w:tcBorders>
              <w:top w:val="single" w:color="auto" w:sz="4" w:space="0"/>
              <w:left w:val="single" w:color="auto" w:sz="4" w:space="0"/>
              <w:bottom w:val="single" w:color="auto" w:sz="4" w:space="0"/>
              <w:right w:val="single" w:color="auto" w:sz="4" w:space="0"/>
              <w:tl2br w:val="nil"/>
              <w:tr2bl w:val="nil"/>
            </w:tcBorders>
            <w:noWrap/>
            <w:vAlign w:val="center"/>
          </w:tcPr>
          <w:p w14:paraId="1F46937E">
            <w:pPr>
              <w:spacing w:beforeLines="0" w:afterLines="0" w:line="360" w:lineRule="exact"/>
              <w:ind w:firstLine="0" w:firstLineChars="0"/>
              <w:jc w:val="center"/>
              <w:rPr>
                <w:rFonts w:hint="default" w:cs="宋体"/>
                <w:b/>
                <w:kern w:val="0"/>
                <w:sz w:val="24"/>
                <w:szCs w:val="24"/>
                <w:highlight w:val="none"/>
              </w:rPr>
            </w:pPr>
            <w:r>
              <w:rPr>
                <w:rFonts w:hint="default" w:cs="宋体"/>
                <w:sz w:val="24"/>
                <w:szCs w:val="24"/>
                <w:highlight w:val="none"/>
              </w:rPr>
              <w:t>3分</w:t>
            </w:r>
          </w:p>
        </w:tc>
      </w:tr>
    </w:tbl>
    <w:p w14:paraId="086B8A15">
      <w:pPr>
        <w:bidi w:val="0"/>
        <w:ind w:left="0" w:leftChars="0" w:firstLine="0" w:firstLineChars="0"/>
        <w:rPr>
          <w:highlight w:val="none"/>
        </w:rPr>
      </w:pPr>
    </w:p>
    <w:p w14:paraId="707A9678">
      <w:pPr>
        <w:ind w:firstLine="480"/>
        <w:rPr>
          <w:highlight w:val="none"/>
        </w:rPr>
        <w:sectPr>
          <w:pgSz w:w="11907" w:h="16840"/>
          <w:pgMar w:top="1247" w:right="1304" w:bottom="1021" w:left="1304" w:header="720" w:footer="720" w:gutter="0"/>
          <w:cols w:space="720" w:num="1"/>
          <w:docGrid w:linePitch="286" w:charSpace="0"/>
        </w:sectPr>
      </w:pPr>
    </w:p>
    <w:p w14:paraId="3BFF4D84">
      <w:pPr>
        <w:spacing w:line="240" w:lineRule="auto"/>
        <w:ind w:firstLine="0" w:firstLineChars="0"/>
        <w:rPr>
          <w:rFonts w:cs="宋体"/>
          <w:b/>
          <w:bCs/>
          <w:highlight w:val="none"/>
        </w:rPr>
      </w:pPr>
      <w:r>
        <w:rPr>
          <w:rFonts w:hint="eastAsia"/>
          <w:b/>
          <w:bCs/>
          <w:highlight w:val="none"/>
        </w:rPr>
        <w:t>标项二：</w:t>
      </w:r>
      <w:r>
        <w:rPr>
          <w:rFonts w:hint="eastAsia" w:cs="宋体"/>
          <w:b/>
          <w:bCs/>
          <w:highlight w:val="none"/>
        </w:rPr>
        <w:t>图书馆功能服务区家具</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95"/>
        <w:gridCol w:w="7746"/>
        <w:gridCol w:w="761"/>
      </w:tblGrid>
      <w:tr w14:paraId="7665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9EAF842">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序号</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27CD7FB7">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评审因素</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5C9D7115">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评分标准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94D8F3F">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分值</w:t>
            </w:r>
          </w:p>
        </w:tc>
      </w:tr>
      <w:tr w14:paraId="6AF4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1938A61A">
            <w:pPr>
              <w:spacing w:beforeLines="0" w:afterLines="0" w:line="360" w:lineRule="exact"/>
              <w:ind w:firstLine="482"/>
              <w:jc w:val="center"/>
              <w:rPr>
                <w:rFonts w:hint="default" w:cs="宋体"/>
                <w:b/>
                <w:kern w:val="0"/>
                <w:sz w:val="24"/>
                <w:szCs w:val="24"/>
                <w:highlight w:val="none"/>
              </w:rPr>
            </w:pPr>
            <w:r>
              <w:rPr>
                <w:rFonts w:hint="default" w:cs="宋体"/>
                <w:b/>
                <w:kern w:val="0"/>
                <w:sz w:val="24"/>
                <w:szCs w:val="24"/>
                <w:highlight w:val="none"/>
              </w:rPr>
              <w:t>技术分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D8E7F44">
            <w:pPr>
              <w:spacing w:beforeLines="0" w:afterLines="0" w:line="360" w:lineRule="exact"/>
              <w:ind w:firstLine="0" w:firstLineChars="0"/>
              <w:jc w:val="center"/>
              <w:rPr>
                <w:rFonts w:hint="default" w:cs="宋体"/>
                <w:b/>
                <w:kern w:val="0"/>
                <w:sz w:val="24"/>
                <w:szCs w:val="24"/>
                <w:highlight w:val="none"/>
              </w:rPr>
            </w:pPr>
            <w:r>
              <w:rPr>
                <w:rFonts w:hint="default" w:cs="宋体"/>
                <w:b/>
                <w:kern w:val="0"/>
                <w:sz w:val="24"/>
                <w:szCs w:val="24"/>
                <w:highlight w:val="none"/>
              </w:rPr>
              <w:t>52分</w:t>
            </w:r>
          </w:p>
        </w:tc>
      </w:tr>
      <w:tr w14:paraId="48F6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E5C76D9">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16FFC431">
            <w:pPr>
              <w:widowControl/>
              <w:autoSpaceDE w:val="0"/>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lang w:bidi="ar"/>
              </w:rPr>
              <w:t>技术指标</w:t>
            </w:r>
          </w:p>
          <w:p w14:paraId="702F340E">
            <w:pPr>
              <w:widowControl/>
              <w:autoSpaceDE w:val="0"/>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lang w:bidi="ar"/>
              </w:rPr>
              <w:t>响应程度</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DEF42F8">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根据投标产品的性能、规格、技术参数等指标是否满足招标文件的要求进行打分（</w:t>
            </w:r>
            <w:r>
              <w:rPr>
                <w:rFonts w:hint="default" w:cs="宋体"/>
                <w:kern w:val="0"/>
                <w:sz w:val="24"/>
                <w:szCs w:val="24"/>
                <w:highlight w:val="none"/>
                <w:lang w:bidi="ar"/>
              </w:rPr>
              <w:t>全部满足或明显优于招标文件要求的得满分16分</w:t>
            </w:r>
            <w:r>
              <w:rPr>
                <w:rFonts w:hint="default" w:cs="宋体"/>
                <w:sz w:val="24"/>
                <w:szCs w:val="24"/>
                <w:highlight w:val="none"/>
                <w:lang w:bidi="ar"/>
              </w:rPr>
              <w:t>）：</w:t>
            </w:r>
          </w:p>
          <w:p w14:paraId="04733EFB">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（1）标注“▲”项为实质性条款，不允许负偏离，否则投标无效；</w:t>
            </w:r>
          </w:p>
          <w:p w14:paraId="67FA9508">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（2）标注“</w:t>
            </w:r>
            <w:r>
              <w:rPr>
                <w:rFonts w:hint="default" w:cs="宋体"/>
                <w:color w:val="000000"/>
                <w:kern w:val="0"/>
                <w:sz w:val="24"/>
                <w:szCs w:val="24"/>
                <w:highlight w:val="none"/>
                <w:lang w:bidi="ar"/>
              </w:rPr>
              <w:t>★</w:t>
            </w:r>
            <w:r>
              <w:rPr>
                <w:rFonts w:hint="default" w:cs="宋体"/>
                <w:sz w:val="24"/>
                <w:szCs w:val="24"/>
                <w:highlight w:val="none"/>
                <w:lang w:bidi="ar"/>
              </w:rPr>
              <w:t>”项为重要技术条款，每负偏离或缺漏1项的扣1分，扣完本项得分为止；</w:t>
            </w:r>
          </w:p>
          <w:p w14:paraId="763AB2DB">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（3）一般技术条款每负偏离或缺漏1项的扣0.5分，扣完本项得分为止。</w:t>
            </w:r>
          </w:p>
          <w:p w14:paraId="5EFA986E">
            <w:pPr>
              <w:autoSpaceDE w:val="0"/>
              <w:spacing w:beforeLines="0" w:afterLines="0" w:line="240" w:lineRule="auto"/>
              <w:ind w:firstLine="0" w:firstLineChars="0"/>
              <w:rPr>
                <w:rFonts w:hint="default" w:cs="宋体"/>
                <w:sz w:val="24"/>
                <w:szCs w:val="24"/>
                <w:highlight w:val="none"/>
              </w:rPr>
            </w:pPr>
            <w:r>
              <w:rPr>
                <w:rFonts w:hint="default" w:cs="宋体"/>
                <w:b/>
                <w:sz w:val="24"/>
                <w:szCs w:val="24"/>
                <w:highlight w:val="none"/>
                <w:lang w:bidi="ar"/>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DD5EC59">
            <w:pPr>
              <w:autoSpaceDE w:val="0"/>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lang w:bidi="ar"/>
              </w:rPr>
              <w:t>16分</w:t>
            </w:r>
          </w:p>
        </w:tc>
      </w:tr>
      <w:tr w14:paraId="7CEC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01FCAB0">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2</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33080AAB">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项目实施</w:t>
            </w:r>
          </w:p>
          <w:p w14:paraId="5F2D5C80">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513F7DD7">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投标人针对本项目需求，提供的整体实施方案的合理性、全面性及科学性进行评审。方案完整，项目符合度高，专业性强，可实施性强的得3分；方案基本完整，项目基本具有符合性、专业性、可实施性一般的得2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0B125FEA">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3分</w:t>
            </w:r>
          </w:p>
        </w:tc>
      </w:tr>
      <w:tr w14:paraId="782F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25A8EEB">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3</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75327328">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质量保证</w:t>
            </w:r>
          </w:p>
          <w:p w14:paraId="08E62E51">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措施</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5853CAC5">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投标人有明确的质量目标，质量保证措施完善、严密、有效，能切实保证所投标产品的质量，有利于采购标的实现的得3分；质量保证措施基本完整，能有效保障所投产品质量的得2分；质量保证措施存在一定缺陷，能基本保证所投产品质量的得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5EFB2D85">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3分</w:t>
            </w:r>
          </w:p>
        </w:tc>
      </w:tr>
      <w:tr w14:paraId="6D25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B84B994">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4</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7D12667A">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安装调试</w:t>
            </w:r>
          </w:p>
          <w:p w14:paraId="2031AC40">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2582292E">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3E6FE20">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5分</w:t>
            </w:r>
          </w:p>
        </w:tc>
      </w:tr>
      <w:tr w14:paraId="7817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A1162D2">
            <w:pPr>
              <w:widowControl/>
              <w:autoSpaceDE w:val="0"/>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lang w:bidi="ar"/>
              </w:rPr>
              <w:t>5</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17604DCB">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项目进度计划及安排</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56DAE35E">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根据投标人的项目进度计划及安排方案、进度控制措施进行评分。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5095E0D1">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3分</w:t>
            </w:r>
          </w:p>
        </w:tc>
      </w:tr>
      <w:tr w14:paraId="5BDA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2C9EBB1">
            <w:pPr>
              <w:autoSpaceDE w:val="0"/>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lang w:bidi="ar"/>
              </w:rPr>
              <w:t>6</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6593BF28">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检测报告</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39414DD4">
            <w:pPr>
              <w:autoSpaceDE w:val="0"/>
              <w:spacing w:beforeLines="0" w:afterLines="0" w:line="240" w:lineRule="auto"/>
              <w:ind w:firstLine="0" w:firstLineChars="0"/>
              <w:rPr>
                <w:rFonts w:hint="default" w:cs="宋体"/>
                <w:sz w:val="24"/>
                <w:szCs w:val="24"/>
                <w:highlight w:val="none"/>
              </w:rPr>
            </w:pPr>
            <w:r>
              <w:rPr>
                <w:rFonts w:hint="default" w:cs="宋体"/>
                <w:sz w:val="24"/>
                <w:szCs w:val="24"/>
                <w:highlight w:val="none"/>
                <w:lang w:bidi="ar"/>
              </w:rPr>
              <w:t>提供下列检测报告，每提供一个得1分，最多得3分。不提供不得分,同一类型的不重复计分。检测报告上的产品或材料名称应与招标文件上的以下名称基本一致，否则不得分。</w:t>
            </w:r>
          </w:p>
          <w:p w14:paraId="08F109EF">
            <w:pPr>
              <w:autoSpaceDE w:val="0"/>
              <w:spacing w:beforeLines="0" w:afterLines="0" w:line="240" w:lineRule="auto"/>
              <w:ind w:firstLine="0" w:firstLineChars="0"/>
              <w:rPr>
                <w:rFonts w:hint="default" w:cs="宋体"/>
                <w:sz w:val="24"/>
                <w:szCs w:val="24"/>
                <w:highlight w:val="none"/>
                <w:lang w:bidi="ar"/>
              </w:rPr>
            </w:pPr>
            <w:r>
              <w:rPr>
                <w:rFonts w:hint="default" w:cs="宋体"/>
                <w:sz w:val="24"/>
                <w:szCs w:val="24"/>
                <w:highlight w:val="none"/>
                <w:lang w:bidi="ar"/>
              </w:rPr>
              <w:t>（1）橡胶木，木材含水率≤11%，甲醛释放量≤1.5mg/L；</w:t>
            </w:r>
          </w:p>
          <w:p w14:paraId="71169938">
            <w:pPr>
              <w:autoSpaceDE w:val="0"/>
              <w:spacing w:beforeLines="0" w:afterLines="0" w:line="240" w:lineRule="auto"/>
              <w:ind w:firstLine="0" w:firstLineChars="0"/>
              <w:rPr>
                <w:rFonts w:hint="default" w:cs="宋体"/>
                <w:sz w:val="24"/>
                <w:szCs w:val="24"/>
                <w:highlight w:val="none"/>
                <w:lang w:bidi="ar"/>
              </w:rPr>
            </w:pPr>
            <w:r>
              <w:rPr>
                <w:rFonts w:hint="default" w:cs="宋体"/>
                <w:sz w:val="24"/>
                <w:szCs w:val="24"/>
                <w:highlight w:val="none"/>
                <w:lang w:bidi="ar"/>
              </w:rPr>
              <w:t>（2）油漆，VOC含量符合标准；</w:t>
            </w:r>
          </w:p>
          <w:p w14:paraId="4771EBFE">
            <w:pPr>
              <w:autoSpaceDE w:val="0"/>
              <w:spacing w:beforeLines="0" w:afterLines="0" w:line="240" w:lineRule="auto"/>
              <w:ind w:firstLine="0" w:firstLineChars="0"/>
              <w:rPr>
                <w:rFonts w:hint="default" w:cs="宋体"/>
                <w:sz w:val="24"/>
                <w:szCs w:val="24"/>
                <w:highlight w:val="none"/>
                <w:lang w:bidi="ar"/>
              </w:rPr>
            </w:pPr>
            <w:r>
              <w:rPr>
                <w:rFonts w:hint="default" w:cs="宋体"/>
                <w:sz w:val="24"/>
                <w:szCs w:val="24"/>
                <w:highlight w:val="none"/>
                <w:lang w:bidi="ar"/>
              </w:rPr>
              <w:t>（3）钢管。耐腐蚀达到或优于100h。</w:t>
            </w:r>
          </w:p>
          <w:p w14:paraId="0E621A3E">
            <w:pPr>
              <w:autoSpaceDE w:val="0"/>
              <w:spacing w:beforeLines="0" w:afterLines="0" w:line="240" w:lineRule="auto"/>
              <w:ind w:firstLine="0" w:firstLineChars="0"/>
              <w:rPr>
                <w:rFonts w:hint="default"/>
                <w:sz w:val="24"/>
                <w:szCs w:val="24"/>
                <w:highlight w:val="none"/>
              </w:rPr>
            </w:pPr>
            <w:r>
              <w:rPr>
                <w:rFonts w:hint="default" w:cs="宋体"/>
                <w:b/>
                <w:sz w:val="24"/>
                <w:szCs w:val="24"/>
                <w:highlight w:val="none"/>
                <w:u w:val="single"/>
                <w:lang w:bidi="ar"/>
              </w:rPr>
              <w:t>注：提供国家认可的第三方检测机构出具的带有CMA标志的检测报告扫描件（有效期内）。并提供全国认证认可信息公共服务平台网站信息截图并加盖供应商公章，不提供不得分。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698FDFE">
            <w:pPr>
              <w:autoSpaceDE w:val="0"/>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lang w:bidi="ar"/>
              </w:rPr>
              <w:t>3分</w:t>
            </w:r>
          </w:p>
        </w:tc>
      </w:tr>
      <w:tr w14:paraId="4E27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C5CF938">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7</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38C659B7">
            <w:pPr>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生产设备</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3154713E">
            <w:pPr>
              <w:spacing w:beforeLines="0" w:afterLines="0" w:line="240" w:lineRule="auto"/>
              <w:ind w:firstLine="0" w:firstLineChars="0"/>
              <w:rPr>
                <w:rFonts w:hint="default" w:cs="宋体"/>
                <w:sz w:val="24"/>
                <w:szCs w:val="24"/>
                <w:highlight w:val="none"/>
              </w:rPr>
            </w:pPr>
            <w:r>
              <w:rPr>
                <w:rFonts w:hint="default"/>
                <w:sz w:val="24"/>
                <w:szCs w:val="24"/>
                <w:highlight w:val="none"/>
              </w:rPr>
              <w:t>提供生产所投货物的相关生产设备，包括以下设备：冲床、除尘设备、雕刻机、高速电脑裁板机、全自动封边机、砂光机。全部具备得</w:t>
            </w:r>
            <w:r>
              <w:rPr>
                <w:rFonts w:hint="default" w:cs="宋体"/>
                <w:sz w:val="24"/>
                <w:szCs w:val="24"/>
                <w:highlight w:val="none"/>
              </w:rPr>
              <w:t>基本分4分，每少一项设备、设施，在基本分的基础上减1分。</w:t>
            </w:r>
          </w:p>
          <w:p w14:paraId="5D1386A9">
            <w:pPr>
              <w:spacing w:beforeLines="0" w:afterLines="0" w:line="240" w:lineRule="auto"/>
              <w:ind w:firstLine="0" w:firstLineChars="0"/>
              <w:rPr>
                <w:rFonts w:hint="default" w:cs="宋体"/>
                <w:sz w:val="21"/>
                <w:szCs w:val="21"/>
                <w:highlight w:val="none"/>
              </w:rPr>
            </w:pPr>
            <w:r>
              <w:rPr>
                <w:rFonts w:hint="default" w:cs="宋体"/>
                <w:b/>
                <w:sz w:val="24"/>
                <w:szCs w:val="24"/>
                <w:highlight w:val="none"/>
                <w:u w:val="single"/>
              </w:rPr>
              <w:t>注：提供购置发票或设备租赁发票复印件及生产场地</w:t>
            </w:r>
            <w:r>
              <w:rPr>
                <w:rFonts w:hint="eastAsia" w:cs="宋体"/>
                <w:b/>
                <w:sz w:val="24"/>
                <w:szCs w:val="24"/>
                <w:highlight w:val="none"/>
                <w:u w:val="single"/>
                <w:lang w:val="en-US" w:eastAsia="zh-CN"/>
              </w:rPr>
              <w:t>设备放置</w:t>
            </w:r>
            <w:r>
              <w:rPr>
                <w:rFonts w:hint="default" w:cs="宋体"/>
                <w:b/>
                <w:sz w:val="24"/>
                <w:szCs w:val="24"/>
                <w:highlight w:val="none"/>
                <w:u w:val="single"/>
              </w:rPr>
              <w:t>照片证明。</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8827842">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4分</w:t>
            </w:r>
          </w:p>
        </w:tc>
      </w:tr>
      <w:tr w14:paraId="2D59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0ACCB34">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8</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16C34A68">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样品分</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78708A11">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根据样品材质的符合度、尺寸、产品效果及结构要求吻合度及工艺的合理性、整体的稳固度、质量、外观有无毛边、表面是否平整，表面处理是否光滑、整体效果等进行评审。</w:t>
            </w:r>
          </w:p>
          <w:p w14:paraId="5931EA5E">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制作工艺优秀、产品效果及结构要求吻合度高、做工精细、外观美观、触感光滑、平整的得15分；</w:t>
            </w:r>
          </w:p>
          <w:p w14:paraId="7EF4F4D8">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制作工艺精良、产品效果及结构要求吻合度较高，外观有轻微划痕、色差等的得12分；</w:t>
            </w:r>
          </w:p>
          <w:p w14:paraId="200E465E">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样品制作工艺一般、产品效果及结构要求吻合度一般，外观或触感出现不平整、凸起部分、色泽暗淡的得9分；</w:t>
            </w:r>
          </w:p>
          <w:p w14:paraId="0227DDEB">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样品制作工艺及做工有瑕疵之处、产品效果及结构要求吻合度较差、外观有色差、触感不平整、有毛刺等情况的得6分；</w:t>
            </w:r>
          </w:p>
          <w:p w14:paraId="3CABE1D3">
            <w:pPr>
              <w:widowControl/>
              <w:spacing w:beforeLines="0" w:afterLines="0" w:line="240" w:lineRule="auto"/>
              <w:ind w:firstLine="0" w:firstLineChars="0"/>
              <w:rPr>
                <w:rFonts w:hint="default" w:cs="宋体"/>
                <w:sz w:val="24"/>
                <w:szCs w:val="24"/>
                <w:highlight w:val="none"/>
              </w:rPr>
            </w:pPr>
            <w:r>
              <w:rPr>
                <w:rFonts w:hint="default" w:cs="宋体"/>
                <w:sz w:val="24"/>
                <w:szCs w:val="24"/>
                <w:highlight w:val="none"/>
              </w:rPr>
              <w:t>产品效果及结构要求吻合度差、样品材质粗糙、有明显的凸起、起泡、剥落等情况、金属件连接处不严密、松动、发出噪音、外观出现污渍或锈斑的得3分。</w:t>
            </w:r>
          </w:p>
          <w:p w14:paraId="18EAC80D">
            <w:pPr>
              <w:widowControl/>
              <w:spacing w:beforeLines="0" w:afterLines="0" w:line="240" w:lineRule="auto"/>
              <w:ind w:firstLine="0" w:firstLineChars="0"/>
              <w:rPr>
                <w:rFonts w:hint="default" w:cs="宋体"/>
                <w:b/>
                <w:sz w:val="24"/>
                <w:szCs w:val="24"/>
                <w:highlight w:val="none"/>
              </w:rPr>
            </w:pPr>
            <w:r>
              <w:rPr>
                <w:rFonts w:hint="default" w:cs="宋体"/>
                <w:b/>
                <w:sz w:val="24"/>
                <w:szCs w:val="24"/>
                <w:highlight w:val="none"/>
                <w:u w:val="single"/>
              </w:rPr>
              <w:t>注：样品严重偏离采购要求，未递交样品的或样品种类不全的，其样品分为零分。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1924CF9">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15分</w:t>
            </w:r>
          </w:p>
        </w:tc>
      </w:tr>
      <w:tr w14:paraId="6521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6C1D2F46">
            <w:pPr>
              <w:spacing w:beforeLines="0" w:afterLines="0" w:line="240" w:lineRule="auto"/>
              <w:ind w:firstLine="482"/>
              <w:jc w:val="center"/>
              <w:rPr>
                <w:rFonts w:hint="default" w:cs="宋体"/>
                <w:sz w:val="24"/>
                <w:szCs w:val="24"/>
                <w:highlight w:val="none"/>
              </w:rPr>
            </w:pPr>
            <w:r>
              <w:rPr>
                <w:rFonts w:hint="default" w:cs="宋体"/>
                <w:b/>
                <w:sz w:val="24"/>
                <w:szCs w:val="24"/>
                <w:highlight w:val="none"/>
              </w:rPr>
              <w:t>商务及资信分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958777D">
            <w:pPr>
              <w:spacing w:beforeLines="0" w:afterLines="0" w:line="360" w:lineRule="exact"/>
              <w:ind w:firstLine="0" w:firstLineChars="0"/>
              <w:jc w:val="center"/>
              <w:rPr>
                <w:rFonts w:hint="default" w:cs="宋体"/>
                <w:sz w:val="24"/>
                <w:szCs w:val="24"/>
                <w:highlight w:val="none"/>
              </w:rPr>
            </w:pPr>
            <w:r>
              <w:rPr>
                <w:rFonts w:hint="default" w:cs="宋体"/>
                <w:b/>
                <w:sz w:val="24"/>
                <w:szCs w:val="24"/>
                <w:highlight w:val="none"/>
              </w:rPr>
              <w:t>18分</w:t>
            </w:r>
          </w:p>
        </w:tc>
      </w:tr>
      <w:tr w14:paraId="1081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46895D1">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9</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53F67EFC">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售后服务</w:t>
            </w:r>
          </w:p>
          <w:p w14:paraId="6DE472B2">
            <w:pPr>
              <w:widowControl/>
              <w:spacing w:beforeLines="0" w:afterLines="0" w:line="240" w:lineRule="auto"/>
              <w:ind w:firstLine="0" w:firstLineChars="0"/>
              <w:jc w:val="center"/>
              <w:rPr>
                <w:rFonts w:hint="default" w:cs="宋体"/>
                <w:kern w:val="0"/>
                <w:sz w:val="24"/>
                <w:szCs w:val="24"/>
                <w:highlight w:val="none"/>
              </w:rPr>
            </w:pPr>
            <w:r>
              <w:rPr>
                <w:rFonts w:hint="default" w:cs="宋体"/>
                <w:sz w:val="24"/>
                <w:szCs w:val="24"/>
                <w:highlight w:val="none"/>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3CD6CAA3">
            <w:pPr>
              <w:spacing w:beforeLines="0" w:afterLines="0" w:line="240" w:lineRule="auto"/>
              <w:ind w:firstLine="0" w:firstLineChars="0"/>
              <w:rPr>
                <w:rFonts w:hint="default" w:cs="宋体"/>
                <w:sz w:val="24"/>
                <w:szCs w:val="24"/>
                <w:highlight w:val="none"/>
              </w:rPr>
            </w:pPr>
            <w:r>
              <w:rPr>
                <w:rFonts w:hint="default" w:cs="宋体"/>
                <w:sz w:val="24"/>
                <w:szCs w:val="24"/>
                <w:highlight w:val="none"/>
              </w:rPr>
              <w:t>（1）综合考虑技术支持和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2E4F67D3">
            <w:pPr>
              <w:spacing w:beforeLines="0" w:afterLines="0" w:line="240" w:lineRule="auto"/>
              <w:ind w:firstLine="0" w:firstLineChars="0"/>
              <w:rPr>
                <w:rFonts w:hint="default" w:cs="宋体"/>
                <w:sz w:val="24"/>
                <w:szCs w:val="24"/>
                <w:highlight w:val="none"/>
              </w:rPr>
            </w:pPr>
            <w:r>
              <w:rPr>
                <w:rFonts w:hint="default" w:cs="宋体"/>
                <w:sz w:val="24"/>
                <w:szCs w:val="24"/>
                <w:highlight w:val="none"/>
              </w:rPr>
              <w:t>（2）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035D3820">
            <w:pPr>
              <w:spacing w:beforeLines="0" w:afterLines="0" w:line="240" w:lineRule="auto"/>
              <w:ind w:firstLine="0" w:firstLineChars="0"/>
              <w:rPr>
                <w:rFonts w:hint="default" w:cs="宋体"/>
                <w:sz w:val="24"/>
                <w:szCs w:val="24"/>
                <w:highlight w:val="none"/>
              </w:rPr>
            </w:pPr>
            <w:r>
              <w:rPr>
                <w:rFonts w:hint="default" w:cs="宋体"/>
                <w:sz w:val="24"/>
                <w:szCs w:val="24"/>
                <w:highlight w:val="none"/>
              </w:rPr>
              <w:t>（3）现场响应时间：供应商3小时到达现场响应不得分；在3小时基础上每减少1小时加1分，最高得2分。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A4183F1">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8分</w:t>
            </w:r>
          </w:p>
        </w:tc>
      </w:tr>
      <w:tr w14:paraId="22E9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EAD6B29">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10</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3D4638BC">
            <w:pPr>
              <w:autoSpaceDE w:val="0"/>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lang w:bidi="ar"/>
              </w:rPr>
              <w:t>质保期</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58D1A4F">
            <w:pPr>
              <w:autoSpaceDE w:val="0"/>
              <w:spacing w:beforeLines="0" w:afterLines="0" w:line="240" w:lineRule="auto"/>
              <w:ind w:firstLine="0" w:firstLineChars="0"/>
              <w:rPr>
                <w:rFonts w:hint="default" w:cs="宋体"/>
                <w:b/>
                <w:sz w:val="24"/>
                <w:szCs w:val="24"/>
                <w:highlight w:val="none"/>
              </w:rPr>
            </w:pPr>
            <w:r>
              <w:rPr>
                <w:rFonts w:hint="default" w:cs="宋体"/>
                <w:sz w:val="24"/>
                <w:szCs w:val="24"/>
                <w:highlight w:val="none"/>
                <w:lang w:bidi="ar"/>
              </w:rPr>
              <w:t>质保期在满足招标文件要求3年的基础上（如部分设备、配件有更长质保要求按更长要求计算），全部产品每增加1年质保期加0.5分，本项最高得2分。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FD691DD">
            <w:pPr>
              <w:autoSpaceDE w:val="0"/>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lang w:bidi="ar"/>
              </w:rPr>
              <w:t>2分</w:t>
            </w:r>
          </w:p>
        </w:tc>
      </w:tr>
      <w:tr w14:paraId="0A19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85B5749">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11</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2DA75059">
            <w:pPr>
              <w:widowControl/>
              <w:spacing w:beforeLines="0" w:afterLines="0" w:line="240" w:lineRule="auto"/>
              <w:ind w:firstLine="0" w:firstLineChars="0"/>
              <w:jc w:val="center"/>
              <w:rPr>
                <w:rFonts w:hint="default" w:cs="宋体"/>
                <w:sz w:val="24"/>
                <w:szCs w:val="24"/>
                <w:highlight w:val="none"/>
              </w:rPr>
            </w:pPr>
            <w:r>
              <w:rPr>
                <w:rFonts w:hint="default" w:cs="宋体"/>
                <w:sz w:val="24"/>
                <w:szCs w:val="24"/>
                <w:highlight w:val="none"/>
              </w:rPr>
              <w:t>优惠承诺</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10F2EEEA">
            <w:pPr>
              <w:spacing w:beforeLines="0" w:afterLines="0" w:line="240" w:lineRule="auto"/>
              <w:ind w:firstLine="0" w:firstLineChars="0"/>
              <w:rPr>
                <w:rFonts w:hint="default" w:cs="宋体"/>
                <w:sz w:val="24"/>
                <w:szCs w:val="24"/>
                <w:highlight w:val="none"/>
              </w:rPr>
            </w:pPr>
            <w:r>
              <w:rPr>
                <w:rFonts w:hint="default" w:cs="宋体"/>
                <w:sz w:val="24"/>
                <w:szCs w:val="24"/>
                <w:highlight w:val="none"/>
              </w:rPr>
              <w:t>投标人在满足采购文件服务要求的基础上，提供额外的实质性优惠承诺，每提供一项有效的实质性优惠承诺得1分，最多得2分。</w:t>
            </w:r>
          </w:p>
          <w:p w14:paraId="242DC549">
            <w:pPr>
              <w:spacing w:beforeLines="0" w:afterLines="0" w:line="240" w:lineRule="auto"/>
              <w:ind w:firstLine="0" w:firstLineChars="0"/>
              <w:rPr>
                <w:rFonts w:hint="default" w:cs="宋体"/>
                <w:sz w:val="24"/>
                <w:szCs w:val="24"/>
                <w:highlight w:val="none"/>
              </w:rPr>
            </w:pPr>
            <w:r>
              <w:rPr>
                <w:rFonts w:hint="default"/>
                <w:b/>
                <w:sz w:val="24"/>
                <w:szCs w:val="24"/>
                <w:highlight w:val="none"/>
                <w:u w:val="single"/>
              </w:rPr>
              <w:t>注：优惠承诺须经评标委员会成员一致认可方为有效。</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52A5FFB">
            <w:pPr>
              <w:spacing w:beforeLines="0" w:afterLines="0" w:line="360" w:lineRule="exact"/>
              <w:ind w:firstLine="0" w:firstLineChars="0"/>
              <w:jc w:val="center"/>
              <w:rPr>
                <w:rFonts w:hint="default" w:cs="宋体"/>
                <w:sz w:val="24"/>
                <w:szCs w:val="24"/>
                <w:highlight w:val="none"/>
              </w:rPr>
            </w:pPr>
            <w:r>
              <w:rPr>
                <w:rFonts w:hint="default" w:cs="宋体"/>
                <w:sz w:val="24"/>
                <w:szCs w:val="24"/>
                <w:highlight w:val="none"/>
              </w:rPr>
              <w:t>2分</w:t>
            </w:r>
          </w:p>
        </w:tc>
      </w:tr>
      <w:tr w14:paraId="6F0D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46FD498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s="宋体"/>
                <w:kern w:val="0"/>
                <w:sz w:val="24"/>
                <w:szCs w:val="24"/>
                <w:highlight w:val="none"/>
              </w:rPr>
            </w:pPr>
            <w:r>
              <w:rPr>
                <w:rFonts w:hint="default" w:cs="宋体"/>
                <w:kern w:val="0"/>
                <w:sz w:val="24"/>
                <w:szCs w:val="24"/>
                <w:highlight w:val="none"/>
              </w:rPr>
              <w:t>12</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01EE319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s="宋体"/>
                <w:kern w:val="0"/>
                <w:sz w:val="24"/>
                <w:szCs w:val="24"/>
                <w:highlight w:val="none"/>
              </w:rPr>
            </w:pPr>
            <w:r>
              <w:rPr>
                <w:rFonts w:hint="default" w:cs="宋体"/>
                <w:sz w:val="24"/>
                <w:szCs w:val="24"/>
                <w:highlight w:val="none"/>
              </w:rPr>
              <w:t>企业认证</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60CA853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cs="宋体"/>
                <w:sz w:val="24"/>
                <w:szCs w:val="24"/>
                <w:highlight w:val="none"/>
              </w:rPr>
            </w:pPr>
            <w:r>
              <w:rPr>
                <w:rFonts w:hint="default" w:cs="宋体"/>
                <w:sz w:val="24"/>
                <w:szCs w:val="24"/>
                <w:highlight w:val="none"/>
              </w:rPr>
              <w:t>（1）投标人具有有效的环境管理体系证书的得1分；</w:t>
            </w:r>
          </w:p>
          <w:p w14:paraId="25D4FE7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cs="宋体"/>
                <w:sz w:val="24"/>
                <w:szCs w:val="24"/>
                <w:highlight w:val="none"/>
              </w:rPr>
            </w:pPr>
            <w:r>
              <w:rPr>
                <w:rFonts w:hint="default" w:cs="宋体"/>
                <w:sz w:val="24"/>
                <w:szCs w:val="24"/>
                <w:highlight w:val="none"/>
              </w:rPr>
              <w:t>（2）投标人具有有效的质量管理体系证书的得1分；</w:t>
            </w:r>
          </w:p>
          <w:p w14:paraId="0EAF79D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cs="宋体"/>
                <w:sz w:val="24"/>
                <w:szCs w:val="24"/>
                <w:highlight w:val="none"/>
              </w:rPr>
            </w:pPr>
            <w:r>
              <w:rPr>
                <w:rFonts w:hint="default" w:cs="宋体"/>
                <w:sz w:val="24"/>
                <w:szCs w:val="24"/>
                <w:highlight w:val="none"/>
              </w:rPr>
              <w:t>（3）投标人具有有效的职业健康安全管理体系的得1分。</w:t>
            </w:r>
          </w:p>
          <w:p w14:paraId="08BDE08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cs="宋体"/>
                <w:b/>
                <w:kern w:val="0"/>
                <w:sz w:val="24"/>
                <w:szCs w:val="24"/>
                <w:highlight w:val="none"/>
              </w:rPr>
            </w:pPr>
            <w:r>
              <w:rPr>
                <w:rFonts w:hint="default" w:cs="宋体"/>
                <w:b/>
                <w:sz w:val="24"/>
                <w:szCs w:val="24"/>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1B35F76">
            <w:pPr>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jc w:val="center"/>
              <w:textAlignment w:val="auto"/>
              <w:rPr>
                <w:rFonts w:hint="default" w:cs="宋体"/>
                <w:b/>
                <w:kern w:val="0"/>
                <w:sz w:val="24"/>
                <w:szCs w:val="24"/>
                <w:highlight w:val="none"/>
              </w:rPr>
            </w:pPr>
            <w:r>
              <w:rPr>
                <w:rFonts w:hint="default" w:cs="宋体"/>
                <w:sz w:val="24"/>
                <w:szCs w:val="24"/>
                <w:highlight w:val="none"/>
              </w:rPr>
              <w:t>3分</w:t>
            </w:r>
          </w:p>
        </w:tc>
      </w:tr>
      <w:tr w14:paraId="29C7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B4BD019">
            <w:pPr>
              <w:spacing w:beforeLines="0" w:afterLines="0" w:line="240" w:lineRule="auto"/>
              <w:ind w:firstLine="0" w:firstLineChars="0"/>
              <w:jc w:val="center"/>
              <w:rPr>
                <w:rFonts w:hint="default" w:cs="宋体"/>
                <w:kern w:val="0"/>
                <w:sz w:val="24"/>
                <w:szCs w:val="24"/>
                <w:highlight w:val="none"/>
              </w:rPr>
            </w:pPr>
            <w:r>
              <w:rPr>
                <w:rFonts w:hint="default" w:cs="宋体"/>
                <w:kern w:val="0"/>
                <w:sz w:val="24"/>
                <w:szCs w:val="24"/>
                <w:highlight w:val="none"/>
              </w:rPr>
              <w:t>13</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09A9118B">
            <w:pPr>
              <w:spacing w:beforeLines="0" w:afterLines="0" w:line="240" w:lineRule="auto"/>
              <w:ind w:firstLine="0" w:firstLineChars="0"/>
              <w:jc w:val="center"/>
              <w:rPr>
                <w:rFonts w:hint="default" w:cs="宋体"/>
                <w:kern w:val="0"/>
                <w:sz w:val="24"/>
                <w:szCs w:val="24"/>
                <w:highlight w:val="none"/>
              </w:rPr>
            </w:pPr>
            <w:r>
              <w:rPr>
                <w:rFonts w:hint="default" w:cs="宋体"/>
                <w:sz w:val="24"/>
                <w:szCs w:val="24"/>
                <w:highlight w:val="none"/>
              </w:rPr>
              <w:t>类似业绩</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6FB94EA7">
            <w:pPr>
              <w:spacing w:beforeLines="0" w:afterLines="0" w:line="240" w:lineRule="auto"/>
              <w:ind w:firstLine="0" w:firstLineChars="0"/>
              <w:rPr>
                <w:rFonts w:hint="default" w:cs="宋体"/>
                <w:sz w:val="24"/>
                <w:szCs w:val="24"/>
                <w:highlight w:val="none"/>
              </w:rPr>
            </w:pPr>
            <w:r>
              <w:rPr>
                <w:rFonts w:hint="default" w:cs="宋体"/>
                <w:sz w:val="24"/>
                <w:szCs w:val="24"/>
                <w:highlight w:val="none"/>
              </w:rPr>
              <w:t>投标人自2022年1月1日以来（以合同签订时间为准）承接过的类似项目（家具类）业绩，每提供一个有效业绩得1分，最高得3分。</w:t>
            </w:r>
          </w:p>
          <w:p w14:paraId="09ECB6A5">
            <w:pPr>
              <w:spacing w:beforeLines="0" w:afterLines="0" w:line="240" w:lineRule="auto"/>
              <w:ind w:firstLine="0" w:firstLineChars="0"/>
              <w:rPr>
                <w:rFonts w:hint="default" w:cs="宋体"/>
                <w:b/>
                <w:kern w:val="0"/>
                <w:sz w:val="24"/>
                <w:szCs w:val="24"/>
                <w:highlight w:val="none"/>
              </w:rPr>
            </w:pPr>
            <w:r>
              <w:rPr>
                <w:rFonts w:hint="default" w:cs="宋体"/>
                <w:b/>
                <w:sz w:val="24"/>
                <w:szCs w:val="24"/>
                <w:highlight w:val="none"/>
                <w:u w:val="single"/>
              </w:rPr>
              <w:t>注：提供完整合同扫描件或清晰的复印件并加盖公章，未提供不得分。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3B8663D">
            <w:pPr>
              <w:spacing w:beforeLines="0" w:afterLines="0" w:line="360" w:lineRule="exact"/>
              <w:ind w:firstLine="0" w:firstLineChars="0"/>
              <w:jc w:val="center"/>
              <w:rPr>
                <w:rFonts w:hint="default" w:cs="宋体"/>
                <w:b/>
                <w:kern w:val="0"/>
                <w:sz w:val="24"/>
                <w:szCs w:val="24"/>
                <w:highlight w:val="none"/>
              </w:rPr>
            </w:pPr>
            <w:r>
              <w:rPr>
                <w:rFonts w:hint="default" w:cs="宋体"/>
                <w:sz w:val="24"/>
                <w:szCs w:val="24"/>
                <w:highlight w:val="none"/>
              </w:rPr>
              <w:t>3分</w:t>
            </w:r>
          </w:p>
        </w:tc>
      </w:tr>
    </w:tbl>
    <w:p w14:paraId="1107781D">
      <w:pPr>
        <w:pStyle w:val="2"/>
        <w:rPr>
          <w:rFonts w:cs="宋体"/>
          <w:b/>
          <w:bCs/>
          <w:highlight w:val="none"/>
        </w:rPr>
      </w:pPr>
    </w:p>
    <w:p w14:paraId="2498BF39">
      <w:pPr>
        <w:spacing w:line="560" w:lineRule="exact"/>
        <w:ind w:firstLine="482"/>
        <w:rPr>
          <w:rFonts w:cs="宋体"/>
          <w:b/>
          <w:bCs/>
          <w:highlight w:val="none"/>
        </w:rPr>
      </w:pPr>
      <w:r>
        <w:rPr>
          <w:rFonts w:hint="eastAsia" w:cs="宋体"/>
          <w:b/>
          <w:bCs/>
          <w:highlight w:val="none"/>
        </w:rPr>
        <w:br w:type="page"/>
      </w:r>
    </w:p>
    <w:p w14:paraId="017CEFF5">
      <w:pPr>
        <w:spacing w:line="240" w:lineRule="auto"/>
        <w:ind w:firstLine="0" w:firstLineChars="0"/>
        <w:rPr>
          <w:rFonts w:cs="宋体"/>
          <w:b/>
          <w:bCs/>
          <w:highlight w:val="none"/>
        </w:rPr>
      </w:pPr>
      <w:r>
        <w:rPr>
          <w:rFonts w:hint="eastAsia"/>
          <w:b/>
          <w:bCs/>
          <w:highlight w:val="none"/>
        </w:rPr>
        <w:t>标项三：</w:t>
      </w:r>
      <w:r>
        <w:rPr>
          <w:rFonts w:hint="eastAsia" w:cs="宋体"/>
          <w:b/>
          <w:bCs/>
          <w:highlight w:val="none"/>
        </w:rPr>
        <w:t>图书馆开放服务椅</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36"/>
        <w:gridCol w:w="7705"/>
        <w:gridCol w:w="761"/>
      </w:tblGrid>
      <w:tr w14:paraId="5568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9E2F639">
            <w:pPr>
              <w:spacing w:line="360" w:lineRule="exact"/>
              <w:ind w:firstLine="0" w:firstLineChars="0"/>
              <w:jc w:val="center"/>
              <w:rPr>
                <w:rFonts w:cs="宋体"/>
                <w:b/>
                <w:kern w:val="0"/>
                <w:highlight w:val="none"/>
              </w:rPr>
            </w:pPr>
            <w:r>
              <w:rPr>
                <w:rFonts w:cs="宋体"/>
                <w:b/>
                <w:kern w:val="0"/>
                <w:highlight w:val="none"/>
              </w:rPr>
              <w:t>序号</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4C4D22FF">
            <w:pPr>
              <w:spacing w:line="360" w:lineRule="exact"/>
              <w:ind w:firstLine="0" w:firstLineChars="0"/>
              <w:jc w:val="center"/>
              <w:rPr>
                <w:rFonts w:cs="宋体"/>
                <w:b/>
                <w:kern w:val="0"/>
                <w:highlight w:val="none"/>
              </w:rPr>
            </w:pPr>
            <w:r>
              <w:rPr>
                <w:rFonts w:cs="宋体"/>
                <w:b/>
                <w:kern w:val="0"/>
                <w:highlight w:val="none"/>
              </w:rPr>
              <w:t>评审因素</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29A2AC4F">
            <w:pPr>
              <w:spacing w:line="360" w:lineRule="exact"/>
              <w:ind w:left="0" w:leftChars="0" w:firstLine="0" w:firstLineChars="0"/>
              <w:jc w:val="center"/>
              <w:rPr>
                <w:rFonts w:cs="宋体"/>
                <w:b/>
                <w:kern w:val="0"/>
                <w:highlight w:val="none"/>
              </w:rPr>
            </w:pPr>
            <w:r>
              <w:rPr>
                <w:rFonts w:cs="宋体"/>
                <w:b/>
                <w:kern w:val="0"/>
                <w:highlight w:val="none"/>
              </w:rPr>
              <w:t>评分标准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D22E504">
            <w:pPr>
              <w:spacing w:line="360" w:lineRule="exact"/>
              <w:ind w:firstLine="0" w:firstLineChars="0"/>
              <w:jc w:val="center"/>
              <w:rPr>
                <w:rFonts w:cs="宋体"/>
                <w:b/>
                <w:kern w:val="0"/>
                <w:highlight w:val="none"/>
              </w:rPr>
            </w:pPr>
            <w:r>
              <w:rPr>
                <w:rFonts w:cs="宋体"/>
                <w:b/>
                <w:kern w:val="0"/>
                <w:highlight w:val="none"/>
              </w:rPr>
              <w:t>分值</w:t>
            </w:r>
          </w:p>
        </w:tc>
      </w:tr>
      <w:tr w14:paraId="5507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62E5E1E1">
            <w:pPr>
              <w:spacing w:line="360" w:lineRule="exact"/>
              <w:ind w:firstLine="482"/>
              <w:jc w:val="center"/>
              <w:rPr>
                <w:rFonts w:cs="宋体"/>
                <w:b/>
                <w:kern w:val="0"/>
                <w:highlight w:val="none"/>
              </w:rPr>
            </w:pPr>
            <w:r>
              <w:rPr>
                <w:rFonts w:cs="宋体"/>
                <w:b/>
                <w:kern w:val="0"/>
                <w:highlight w:val="none"/>
              </w:rPr>
              <w:t>技术分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6349121">
            <w:pPr>
              <w:spacing w:line="360" w:lineRule="exact"/>
              <w:ind w:firstLine="0" w:firstLineChars="0"/>
              <w:jc w:val="center"/>
              <w:rPr>
                <w:rFonts w:cs="宋体"/>
                <w:b/>
                <w:kern w:val="0"/>
                <w:highlight w:val="none"/>
              </w:rPr>
            </w:pPr>
            <w:r>
              <w:rPr>
                <w:rFonts w:cs="宋体"/>
                <w:b/>
                <w:kern w:val="0"/>
                <w:highlight w:val="none"/>
              </w:rPr>
              <w:t>5</w:t>
            </w:r>
            <w:r>
              <w:rPr>
                <w:rFonts w:hint="eastAsia" w:cs="宋体"/>
                <w:b/>
                <w:kern w:val="0"/>
                <w:highlight w:val="none"/>
              </w:rPr>
              <w:t>3</w:t>
            </w:r>
            <w:r>
              <w:rPr>
                <w:rFonts w:cs="宋体"/>
                <w:b/>
                <w:kern w:val="0"/>
                <w:highlight w:val="none"/>
              </w:rPr>
              <w:t>分</w:t>
            </w:r>
          </w:p>
        </w:tc>
      </w:tr>
      <w:tr w14:paraId="61A6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01EC81D">
            <w:pPr>
              <w:spacing w:line="360" w:lineRule="exact"/>
              <w:ind w:firstLine="0" w:firstLineChars="0"/>
              <w:jc w:val="center"/>
              <w:rPr>
                <w:rFonts w:cs="宋体"/>
                <w:kern w:val="0"/>
                <w:highlight w:val="none"/>
              </w:rPr>
            </w:pPr>
            <w:r>
              <w:rPr>
                <w:rFonts w:cs="宋体"/>
                <w:kern w:val="0"/>
                <w:highlight w:val="none"/>
              </w:rPr>
              <w:t>1</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6C2BC91">
            <w:pPr>
              <w:widowControl/>
              <w:autoSpaceDE w:val="0"/>
              <w:spacing w:line="240" w:lineRule="auto"/>
              <w:ind w:firstLine="0" w:firstLineChars="0"/>
              <w:jc w:val="center"/>
              <w:rPr>
                <w:rFonts w:cs="宋体"/>
                <w:kern w:val="0"/>
                <w:highlight w:val="none"/>
              </w:rPr>
            </w:pPr>
            <w:r>
              <w:rPr>
                <w:rFonts w:cs="宋体"/>
                <w:kern w:val="0"/>
                <w:highlight w:val="none"/>
                <w:lang w:bidi="ar"/>
              </w:rPr>
              <w:t>技术指标</w:t>
            </w:r>
          </w:p>
          <w:p w14:paraId="631B8DB1">
            <w:pPr>
              <w:widowControl/>
              <w:autoSpaceDE w:val="0"/>
              <w:spacing w:line="240" w:lineRule="auto"/>
              <w:ind w:firstLine="0" w:firstLineChars="0"/>
              <w:jc w:val="center"/>
              <w:rPr>
                <w:rFonts w:cs="宋体"/>
                <w:kern w:val="0"/>
                <w:highlight w:val="none"/>
              </w:rPr>
            </w:pPr>
            <w:r>
              <w:rPr>
                <w:rFonts w:cs="宋体"/>
                <w:kern w:val="0"/>
                <w:highlight w:val="none"/>
                <w:lang w:bidi="ar"/>
              </w:rPr>
              <w:t>响应程度</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A0085F0">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根据投标产品的性能、规格、技术参数等指标是否满足招标文件的要求进行打分（</w:t>
            </w:r>
            <w:r>
              <w:rPr>
                <w:rFonts w:cs="宋体"/>
                <w:kern w:val="0"/>
                <w:highlight w:val="none"/>
                <w:lang w:bidi="ar"/>
              </w:rPr>
              <w:t>全部满足或明显优于招标文件要求的得满分16分</w:t>
            </w:r>
            <w:r>
              <w:rPr>
                <w:rFonts w:cs="宋体"/>
                <w:highlight w:val="none"/>
                <w:lang w:bidi="ar"/>
              </w:rPr>
              <w:t>）：</w:t>
            </w:r>
          </w:p>
          <w:p w14:paraId="53E0C9D6">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1</w:t>
            </w:r>
            <w:r>
              <w:rPr>
                <w:rFonts w:hint="eastAsia" w:cs="宋体"/>
                <w:highlight w:val="none"/>
                <w:lang w:eastAsia="zh-CN" w:bidi="ar"/>
              </w:rPr>
              <w:t>）</w:t>
            </w:r>
            <w:r>
              <w:rPr>
                <w:rFonts w:cs="宋体"/>
                <w:highlight w:val="none"/>
                <w:lang w:bidi="ar"/>
              </w:rPr>
              <w:t>标注“▲”项为实质性条款，不允许负偏离，否则投标无效；</w:t>
            </w:r>
          </w:p>
          <w:p w14:paraId="357AA4F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2</w:t>
            </w:r>
            <w:r>
              <w:rPr>
                <w:rFonts w:hint="eastAsia" w:cs="宋体"/>
                <w:highlight w:val="none"/>
                <w:lang w:eastAsia="zh-CN" w:bidi="ar"/>
              </w:rPr>
              <w:t>）</w:t>
            </w:r>
            <w:r>
              <w:rPr>
                <w:rFonts w:cs="宋体"/>
                <w:highlight w:val="none"/>
                <w:lang w:bidi="ar"/>
              </w:rPr>
              <w:t>标注“</w:t>
            </w:r>
            <w:r>
              <w:rPr>
                <w:rFonts w:cs="宋体"/>
                <w:color w:val="000000"/>
                <w:kern w:val="0"/>
                <w:highlight w:val="none"/>
                <w:lang w:bidi="ar"/>
              </w:rPr>
              <w:t>★</w:t>
            </w:r>
            <w:r>
              <w:rPr>
                <w:rFonts w:cs="宋体"/>
                <w:highlight w:val="none"/>
                <w:lang w:bidi="ar"/>
              </w:rPr>
              <w:t>”项为重要技术条款，每负偏离或缺漏1项的扣1分，扣完本项得分为止；</w:t>
            </w:r>
          </w:p>
          <w:p w14:paraId="5C4F18B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3</w:t>
            </w:r>
            <w:r>
              <w:rPr>
                <w:rFonts w:hint="eastAsia" w:cs="宋体"/>
                <w:highlight w:val="none"/>
                <w:lang w:eastAsia="zh-CN" w:bidi="ar"/>
              </w:rPr>
              <w:t>）</w:t>
            </w:r>
            <w:r>
              <w:rPr>
                <w:rFonts w:cs="宋体"/>
                <w:highlight w:val="none"/>
                <w:lang w:bidi="ar"/>
              </w:rPr>
              <w:t>一般技术条款每负偏离或缺漏1项的扣0.5分，扣完本项得分为止。</w:t>
            </w:r>
          </w:p>
          <w:p w14:paraId="621109C1">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b/>
                <w:highlight w:val="none"/>
                <w:lang w:bidi="ar"/>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C5F6F9B">
            <w:pPr>
              <w:autoSpaceDE w:val="0"/>
              <w:spacing w:line="360" w:lineRule="exact"/>
              <w:ind w:firstLine="0" w:firstLineChars="0"/>
              <w:jc w:val="center"/>
              <w:rPr>
                <w:rFonts w:cs="宋体"/>
                <w:highlight w:val="none"/>
              </w:rPr>
            </w:pPr>
            <w:r>
              <w:rPr>
                <w:rFonts w:cs="宋体"/>
                <w:highlight w:val="none"/>
                <w:lang w:bidi="ar"/>
              </w:rPr>
              <w:t>16分</w:t>
            </w:r>
          </w:p>
        </w:tc>
      </w:tr>
      <w:tr w14:paraId="1399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09FC41F">
            <w:pPr>
              <w:spacing w:line="360" w:lineRule="exact"/>
              <w:ind w:firstLine="0" w:firstLineChars="0"/>
              <w:jc w:val="center"/>
              <w:rPr>
                <w:rFonts w:cs="宋体"/>
                <w:kern w:val="0"/>
                <w:highlight w:val="none"/>
              </w:rPr>
            </w:pPr>
            <w:r>
              <w:rPr>
                <w:rFonts w:hint="eastAsia" w:cs="宋体"/>
                <w:kern w:val="0"/>
                <w:highlight w:val="none"/>
              </w:rPr>
              <w:t>2</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2432311">
            <w:pPr>
              <w:autoSpaceDE w:val="0"/>
              <w:spacing w:line="240" w:lineRule="auto"/>
              <w:ind w:firstLine="0" w:firstLineChars="0"/>
              <w:jc w:val="center"/>
              <w:rPr>
                <w:rFonts w:cs="宋体"/>
                <w:highlight w:val="none"/>
              </w:rPr>
            </w:pPr>
            <w:r>
              <w:rPr>
                <w:rFonts w:cs="宋体"/>
                <w:highlight w:val="none"/>
                <w:lang w:bidi="ar"/>
              </w:rPr>
              <w:t>项目实施</w:t>
            </w:r>
          </w:p>
          <w:p w14:paraId="7B289673">
            <w:pPr>
              <w:autoSpaceDE w:val="0"/>
              <w:spacing w:line="240" w:lineRule="auto"/>
              <w:ind w:firstLine="0" w:firstLineChars="0"/>
              <w:jc w:val="center"/>
              <w:rPr>
                <w:rFonts w:cs="宋体"/>
                <w:highlight w:val="none"/>
              </w:rPr>
            </w:pPr>
            <w:r>
              <w:rPr>
                <w:rFonts w:cs="宋体"/>
                <w:highlight w:val="none"/>
                <w:lang w:bidi="ar"/>
              </w:rPr>
              <w:t>方案</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BBC4119">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投标人针对本项目需求，提供的整体实施方案的合理性、全面性及科学性进行评审</w:t>
            </w:r>
            <w:r>
              <w:rPr>
                <w:rFonts w:hint="eastAsia" w:cs="宋体"/>
                <w:highlight w:val="none"/>
                <w:lang w:eastAsia="zh-CN" w:bidi="ar"/>
              </w:rPr>
              <w:t>。</w:t>
            </w:r>
            <w:r>
              <w:rPr>
                <w:rFonts w:cs="宋体"/>
                <w:highlight w:val="none"/>
                <w:lang w:bidi="ar"/>
              </w:rPr>
              <w:t>方案完整，项目符合度高，专业性强，可实施性强的得3分；方案基本完整，项目基本具有符合性、专业性、可实施性</w:t>
            </w:r>
            <w:r>
              <w:rPr>
                <w:rFonts w:hint="eastAsia" w:cs="宋体"/>
                <w:highlight w:val="none"/>
                <w:lang w:val="en-US" w:eastAsia="zh-CN" w:bidi="ar"/>
              </w:rPr>
              <w:t>一般</w:t>
            </w:r>
            <w:r>
              <w:rPr>
                <w:rFonts w:cs="宋体"/>
                <w:highlight w:val="none"/>
                <w:lang w:bidi="ar"/>
              </w:rPr>
              <w:t>的得2分；方案存在一定缺陷，项目符合度交叉，专业度交叉的得1分；方案存在明显缺陷，与项目特征无关，可实施性存在困难的或未提供的得0分。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3DDB268">
            <w:pPr>
              <w:spacing w:line="360" w:lineRule="exact"/>
              <w:ind w:firstLine="0" w:firstLineChars="0"/>
              <w:jc w:val="center"/>
              <w:rPr>
                <w:rFonts w:cs="宋体"/>
                <w:highlight w:val="none"/>
              </w:rPr>
            </w:pPr>
            <w:r>
              <w:rPr>
                <w:rFonts w:cs="宋体"/>
                <w:highlight w:val="none"/>
              </w:rPr>
              <w:t>3分</w:t>
            </w:r>
          </w:p>
        </w:tc>
      </w:tr>
      <w:tr w14:paraId="372D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1A1D6AC">
            <w:pPr>
              <w:spacing w:line="360" w:lineRule="exact"/>
              <w:ind w:firstLine="0" w:firstLineChars="0"/>
              <w:jc w:val="center"/>
              <w:rPr>
                <w:rFonts w:cs="宋体"/>
                <w:kern w:val="0"/>
                <w:highlight w:val="none"/>
              </w:rPr>
            </w:pPr>
            <w:r>
              <w:rPr>
                <w:rFonts w:hint="eastAsia" w:cs="宋体"/>
                <w:kern w:val="0"/>
                <w:highlight w:val="none"/>
              </w:rPr>
              <w:t>3</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587A68F7">
            <w:pPr>
              <w:autoSpaceDE w:val="0"/>
              <w:spacing w:line="240" w:lineRule="auto"/>
              <w:ind w:firstLine="0" w:firstLineChars="0"/>
              <w:jc w:val="center"/>
              <w:rPr>
                <w:rFonts w:cs="宋体"/>
                <w:highlight w:val="none"/>
              </w:rPr>
            </w:pPr>
            <w:r>
              <w:rPr>
                <w:rFonts w:cs="宋体"/>
                <w:highlight w:val="none"/>
                <w:lang w:bidi="ar"/>
              </w:rPr>
              <w:t>质量保证</w:t>
            </w:r>
          </w:p>
          <w:p w14:paraId="6A4932F7">
            <w:pPr>
              <w:autoSpaceDE w:val="0"/>
              <w:spacing w:line="240" w:lineRule="auto"/>
              <w:ind w:firstLine="0" w:firstLineChars="0"/>
              <w:jc w:val="center"/>
              <w:rPr>
                <w:rFonts w:cs="宋体"/>
                <w:highlight w:val="none"/>
              </w:rPr>
            </w:pPr>
            <w:r>
              <w:rPr>
                <w:rFonts w:cs="宋体"/>
                <w:highlight w:val="none"/>
                <w:lang w:bidi="ar"/>
              </w:rPr>
              <w:t>措施</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70D29316">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投标人有明确的质量目标，质量保证措施完善、严密、有效，能切实保证所投标产品的质量，有利于采购标的实现</w:t>
            </w:r>
            <w:r>
              <w:rPr>
                <w:rFonts w:hint="eastAsia" w:cs="宋体"/>
                <w:highlight w:val="none"/>
                <w:lang w:val="en-US" w:eastAsia="zh-CN" w:bidi="ar"/>
              </w:rPr>
              <w:t>的</w:t>
            </w:r>
            <w:r>
              <w:rPr>
                <w:rFonts w:cs="宋体"/>
                <w:highlight w:val="none"/>
                <w:lang w:bidi="ar"/>
              </w:rPr>
              <w:t>得3分；质量保证措施基本完整，能有效保障所投产品质量的得2分；质量保证措施存在一定缺陷，能基本保证所投产品质量的得1分；存在明显缺陷，难以保证产品质量的或未提供的得0分。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0D3181F1">
            <w:pPr>
              <w:spacing w:line="360" w:lineRule="exact"/>
              <w:ind w:firstLine="0" w:firstLineChars="0"/>
              <w:jc w:val="center"/>
              <w:rPr>
                <w:rFonts w:cs="宋体"/>
                <w:highlight w:val="none"/>
              </w:rPr>
            </w:pPr>
            <w:r>
              <w:rPr>
                <w:rFonts w:cs="宋体"/>
                <w:highlight w:val="none"/>
              </w:rPr>
              <w:t>3分</w:t>
            </w:r>
          </w:p>
        </w:tc>
      </w:tr>
      <w:tr w14:paraId="4027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37783C4">
            <w:pPr>
              <w:spacing w:line="360" w:lineRule="exact"/>
              <w:ind w:firstLine="0" w:firstLineChars="0"/>
              <w:jc w:val="center"/>
              <w:rPr>
                <w:rFonts w:cs="宋体"/>
                <w:kern w:val="0"/>
                <w:highlight w:val="none"/>
              </w:rPr>
            </w:pPr>
            <w:r>
              <w:rPr>
                <w:rFonts w:hint="eastAsia" w:cs="宋体"/>
                <w:kern w:val="0"/>
                <w:highlight w:val="none"/>
              </w:rPr>
              <w:t>4</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51DE0DC3">
            <w:pPr>
              <w:autoSpaceDE w:val="0"/>
              <w:spacing w:line="240" w:lineRule="auto"/>
              <w:ind w:firstLine="0" w:firstLineChars="0"/>
              <w:jc w:val="center"/>
              <w:rPr>
                <w:rFonts w:cs="宋体"/>
                <w:highlight w:val="none"/>
              </w:rPr>
            </w:pPr>
            <w:r>
              <w:rPr>
                <w:rFonts w:cs="宋体"/>
                <w:highlight w:val="none"/>
                <w:lang w:bidi="ar"/>
              </w:rPr>
              <w:t>安装调试</w:t>
            </w:r>
          </w:p>
          <w:p w14:paraId="29BA04EB">
            <w:pPr>
              <w:autoSpaceDE w:val="0"/>
              <w:spacing w:line="240" w:lineRule="auto"/>
              <w:ind w:firstLine="0" w:firstLineChars="0"/>
              <w:jc w:val="center"/>
              <w:rPr>
                <w:rFonts w:cs="宋体"/>
                <w:highlight w:val="none"/>
              </w:rPr>
            </w:pPr>
            <w:r>
              <w:rPr>
                <w:rFonts w:cs="宋体"/>
                <w:highlight w:val="none"/>
                <w:lang w:bidi="ar"/>
              </w:rPr>
              <w:t>方案</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307DABD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根据投标人提供的安装调试方案进行评分</w:t>
            </w:r>
            <w:r>
              <w:rPr>
                <w:rFonts w:hint="eastAsia" w:cs="宋体"/>
                <w:highlight w:val="none"/>
                <w:lang w:eastAsia="zh-CN" w:bidi="ar"/>
              </w:rPr>
              <w:t>。</w:t>
            </w:r>
            <w:r>
              <w:rPr>
                <w:rFonts w:cs="宋体"/>
                <w:highlight w:val="none"/>
                <w:lang w:bidi="ar"/>
              </w:rPr>
              <w:t>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35C23A9">
            <w:pPr>
              <w:spacing w:line="360" w:lineRule="exact"/>
              <w:ind w:firstLine="0" w:firstLineChars="0"/>
              <w:jc w:val="center"/>
              <w:rPr>
                <w:rFonts w:cs="宋体"/>
                <w:highlight w:val="none"/>
              </w:rPr>
            </w:pPr>
            <w:r>
              <w:rPr>
                <w:rFonts w:cs="宋体"/>
                <w:highlight w:val="none"/>
              </w:rPr>
              <w:t>5分</w:t>
            </w:r>
          </w:p>
        </w:tc>
      </w:tr>
      <w:tr w14:paraId="6ED6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363B9DB">
            <w:pPr>
              <w:spacing w:line="360" w:lineRule="exact"/>
              <w:ind w:firstLine="0" w:firstLineChars="0"/>
              <w:jc w:val="center"/>
              <w:rPr>
                <w:rFonts w:cs="宋体"/>
                <w:kern w:val="0"/>
                <w:highlight w:val="none"/>
              </w:rPr>
            </w:pPr>
            <w:r>
              <w:rPr>
                <w:rFonts w:hint="eastAsia" w:cs="宋体"/>
                <w:kern w:val="0"/>
                <w:highlight w:val="none"/>
              </w:rPr>
              <w:t>5</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49168903">
            <w:pPr>
              <w:autoSpaceDE w:val="0"/>
              <w:spacing w:line="240" w:lineRule="auto"/>
              <w:ind w:firstLine="0" w:firstLineChars="0"/>
              <w:jc w:val="center"/>
              <w:rPr>
                <w:rFonts w:cs="宋体"/>
                <w:highlight w:val="none"/>
              </w:rPr>
            </w:pPr>
            <w:r>
              <w:rPr>
                <w:rFonts w:cs="宋体"/>
                <w:highlight w:val="none"/>
                <w:lang w:bidi="ar"/>
              </w:rPr>
              <w:t>项目进度计划及安排</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5DB4E56C">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根据投标人的项目进度计划及安排方案、进度控制措施进行评分</w:t>
            </w:r>
            <w:r>
              <w:rPr>
                <w:rFonts w:hint="eastAsia" w:cs="宋体"/>
                <w:highlight w:val="none"/>
                <w:lang w:eastAsia="zh-CN" w:bidi="ar"/>
              </w:rPr>
              <w:t>。</w:t>
            </w:r>
            <w:r>
              <w:rPr>
                <w:rFonts w:cs="宋体"/>
                <w:highlight w:val="none"/>
                <w:lang w:bidi="ar"/>
              </w:rPr>
              <w:t>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6E51846">
            <w:pPr>
              <w:spacing w:line="360" w:lineRule="exact"/>
              <w:ind w:firstLine="0" w:firstLineChars="0"/>
              <w:jc w:val="center"/>
              <w:rPr>
                <w:rFonts w:cs="宋体"/>
                <w:highlight w:val="none"/>
              </w:rPr>
            </w:pPr>
            <w:r>
              <w:rPr>
                <w:rFonts w:cs="宋体"/>
                <w:highlight w:val="none"/>
              </w:rPr>
              <w:t>3分</w:t>
            </w:r>
          </w:p>
        </w:tc>
      </w:tr>
      <w:tr w14:paraId="793F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227CF21">
            <w:pPr>
              <w:keepNext w:val="0"/>
              <w:keepLines w:val="0"/>
              <w:pageBreakBefore w:val="0"/>
              <w:widowControl/>
              <w:kinsoku/>
              <w:wordWrap/>
              <w:overflowPunct/>
              <w:topLinePunct w:val="0"/>
              <w:autoSpaceDE w:val="0"/>
              <w:autoSpaceDN/>
              <w:bidi w:val="0"/>
              <w:adjustRightInd/>
              <w:snapToGrid/>
              <w:spacing w:line="360" w:lineRule="exact"/>
              <w:ind w:firstLine="0" w:firstLineChars="0"/>
              <w:jc w:val="center"/>
              <w:textAlignment w:val="auto"/>
              <w:rPr>
                <w:rFonts w:cs="宋体"/>
                <w:kern w:val="0"/>
                <w:highlight w:val="none"/>
              </w:rPr>
            </w:pPr>
            <w:r>
              <w:rPr>
                <w:rFonts w:hint="eastAsia" w:cs="宋体"/>
                <w:kern w:val="0"/>
                <w:highlight w:val="none"/>
              </w:rPr>
              <w:t>6</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C31D6D3">
            <w:pPr>
              <w:keepNext w:val="0"/>
              <w:keepLines w:val="0"/>
              <w:pageBreakBefore w:val="0"/>
              <w:kinsoku/>
              <w:wordWrap/>
              <w:overflowPunct/>
              <w:topLinePunct w:val="0"/>
              <w:autoSpaceDN/>
              <w:bidi w:val="0"/>
              <w:adjustRightInd/>
              <w:snapToGrid/>
              <w:spacing w:line="360" w:lineRule="exact"/>
              <w:ind w:firstLine="0" w:firstLineChars="0"/>
              <w:jc w:val="center"/>
              <w:textAlignment w:val="auto"/>
              <w:rPr>
                <w:rFonts w:cs="宋体"/>
                <w:highlight w:val="none"/>
              </w:rPr>
            </w:pPr>
            <w:r>
              <w:rPr>
                <w:rFonts w:hint="eastAsia" w:cs="宋体"/>
                <w:highlight w:val="none"/>
              </w:rPr>
              <w:t>检测报告</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7FFF2B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rPr>
              <w:t>提供下列检测报告，每提供一个得1</w:t>
            </w:r>
            <w:r>
              <w:rPr>
                <w:rFonts w:hint="eastAsia" w:cs="宋体"/>
                <w:highlight w:val="none"/>
                <w:lang w:val="en-US" w:eastAsia="zh-CN"/>
              </w:rPr>
              <w:t>.5</w:t>
            </w:r>
            <w:r>
              <w:rPr>
                <w:rFonts w:hint="eastAsia" w:cs="宋体"/>
                <w:highlight w:val="none"/>
              </w:rPr>
              <w:t>分，最多得3分。不提供不得分,同一类型的不重复计分。检测报告上的产品或材料名称应与招标文件上的以下名称基本一致，否则不得分。</w:t>
            </w:r>
          </w:p>
          <w:p w14:paraId="483F9F9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木材</w:t>
            </w:r>
            <w:r>
              <w:rPr>
                <w:rFonts w:hint="eastAsia"/>
                <w:highlight w:val="none"/>
                <w:lang w:eastAsia="zh"/>
              </w:rPr>
              <w:t>圆盘豆原木</w:t>
            </w:r>
            <w:r>
              <w:rPr>
                <w:rFonts w:hint="eastAsia"/>
                <w:highlight w:val="none"/>
              </w:rPr>
              <w:t>（</w:t>
            </w:r>
            <w:r>
              <w:rPr>
                <w:rFonts w:hint="eastAsia"/>
                <w:highlight w:val="none"/>
                <w:lang w:eastAsia="zh"/>
              </w:rPr>
              <w:t>又名</w:t>
            </w:r>
            <w:r>
              <w:rPr>
                <w:rFonts w:hint="eastAsia"/>
                <w:highlight w:val="none"/>
              </w:rPr>
              <w:t>绿柄桑圆盘豆）检测报告：含水率低于11%。</w:t>
            </w:r>
          </w:p>
          <w:p w14:paraId="7DEA04DC">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清漆检测报告：</w:t>
            </w:r>
            <w:r>
              <w:rPr>
                <w:rFonts w:hint="eastAsia"/>
                <w:highlight w:val="none"/>
                <w:lang w:eastAsia="zh"/>
              </w:rPr>
              <w:t>甲醛释放量≤0.2mg/L</w:t>
            </w:r>
            <w:r>
              <w:rPr>
                <w:rFonts w:hint="eastAsia"/>
                <w:highlight w:val="none"/>
              </w:rPr>
              <w:t>；</w:t>
            </w:r>
            <w:r>
              <w:rPr>
                <w:rFonts w:hint="eastAsia"/>
                <w:highlight w:val="none"/>
                <w:lang w:eastAsia="zh"/>
              </w:rPr>
              <w:t>重金属含量(限色漆)可溶性铅含量≤20mg/kg，可溶性镉含量≤20mg/kg，可溶性铬含量≤20mg/kg，可溶性汞含量≤20mg/kg</w:t>
            </w:r>
            <w:r>
              <w:rPr>
                <w:rFonts w:hint="eastAsia"/>
                <w:highlight w:val="none"/>
              </w:rPr>
              <w:t>。</w:t>
            </w:r>
          </w:p>
          <w:p w14:paraId="4EAA614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b/>
                <w:highlight w:val="none"/>
                <w:u w:val="single"/>
              </w:rPr>
              <w:t>注：提供国家认可的第三方检测机构出具的带有CMA标志的检测报告扫描件（有效期内）。并提供全国认证认可信息公共服务平台网站信息截图并加盖供应商公章，不提供不得分。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86C77C2">
            <w:pPr>
              <w:keepNext w:val="0"/>
              <w:keepLines w:val="0"/>
              <w:pageBreakBefore w:val="0"/>
              <w:kinsoku/>
              <w:wordWrap/>
              <w:overflowPunct/>
              <w:topLinePunct w:val="0"/>
              <w:autoSpaceDN/>
              <w:bidi w:val="0"/>
              <w:adjustRightInd/>
              <w:snapToGrid/>
              <w:spacing w:line="360" w:lineRule="exact"/>
              <w:ind w:firstLine="0" w:firstLineChars="0"/>
              <w:jc w:val="center"/>
              <w:textAlignment w:val="auto"/>
              <w:rPr>
                <w:highlight w:val="none"/>
              </w:rPr>
            </w:pPr>
            <w:r>
              <w:rPr>
                <w:rFonts w:hint="eastAsia"/>
                <w:highlight w:val="none"/>
              </w:rPr>
              <w:t>3分</w:t>
            </w:r>
          </w:p>
        </w:tc>
      </w:tr>
      <w:tr w14:paraId="5B1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C239E0B">
            <w:pPr>
              <w:keepNext w:val="0"/>
              <w:keepLines w:val="0"/>
              <w:pageBreakBefore w:val="0"/>
              <w:widowControl w:val="0"/>
              <w:kinsoku/>
              <w:wordWrap/>
              <w:overflowPunct/>
              <w:topLinePunct w:val="0"/>
              <w:autoSpaceDE w:val="0"/>
              <w:autoSpaceDN/>
              <w:bidi w:val="0"/>
              <w:adjustRightInd/>
              <w:snapToGrid/>
              <w:spacing w:line="300" w:lineRule="exact"/>
              <w:ind w:firstLine="0" w:firstLineChars="0"/>
              <w:jc w:val="center"/>
              <w:textAlignment w:val="auto"/>
              <w:rPr>
                <w:rFonts w:cs="宋体"/>
                <w:kern w:val="0"/>
                <w:highlight w:val="none"/>
              </w:rPr>
            </w:pPr>
            <w:r>
              <w:rPr>
                <w:rFonts w:hint="eastAsia" w:cs="宋体"/>
                <w:kern w:val="0"/>
                <w:highlight w:val="none"/>
              </w:rPr>
              <w:t>7</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C4CF4AD">
            <w:pPr>
              <w:keepNext w:val="0"/>
              <w:keepLines w:val="0"/>
              <w:pageBreakBefore w:val="0"/>
              <w:widowControl w:val="0"/>
              <w:kinsoku/>
              <w:wordWrap/>
              <w:overflowPunct/>
              <w:topLinePunct w:val="0"/>
              <w:autoSpaceDN/>
              <w:bidi w:val="0"/>
              <w:adjustRightInd/>
              <w:snapToGrid/>
              <w:spacing w:line="300" w:lineRule="exact"/>
              <w:ind w:firstLine="0" w:firstLineChars="0"/>
              <w:jc w:val="center"/>
              <w:textAlignment w:val="auto"/>
              <w:rPr>
                <w:rFonts w:cs="宋体"/>
                <w:highlight w:val="none"/>
              </w:rPr>
            </w:pPr>
            <w:r>
              <w:rPr>
                <w:rFonts w:hint="eastAsia" w:cs="宋体"/>
                <w:highlight w:val="none"/>
              </w:rPr>
              <w:t>生产设备</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415158F">
            <w:pPr>
              <w:keepNext w:val="0"/>
              <w:keepLines w:val="0"/>
              <w:pageBreakBefore w:val="0"/>
              <w:widowControl w:val="0"/>
              <w:kinsoku/>
              <w:wordWrap/>
              <w:overflowPunct/>
              <w:topLinePunct w:val="0"/>
              <w:autoSpaceDN/>
              <w:bidi w:val="0"/>
              <w:adjustRightInd/>
              <w:snapToGrid/>
              <w:spacing w:line="300" w:lineRule="exact"/>
              <w:ind w:left="0" w:leftChars="0" w:firstLine="0" w:firstLineChars="0"/>
              <w:textAlignment w:val="auto"/>
              <w:rPr>
                <w:highlight w:val="none"/>
              </w:rPr>
            </w:pPr>
            <w:r>
              <w:rPr>
                <w:rFonts w:hint="eastAsia"/>
                <w:highlight w:val="none"/>
                <w:lang w:val="en-US" w:eastAsia="zh-CN"/>
              </w:rPr>
              <w:t>生产所投设备</w:t>
            </w:r>
            <w:r>
              <w:rPr>
                <w:rFonts w:hint="eastAsia"/>
                <w:highlight w:val="none"/>
              </w:rPr>
              <w:t>应具有木工车间，并配备开料机、抛光机、打眼机、电脑雕刻机</w:t>
            </w:r>
            <w:r>
              <w:rPr>
                <w:rFonts w:hint="eastAsia"/>
                <w:highlight w:val="none"/>
                <w:lang w:eastAsia="zh-CN"/>
              </w:rPr>
              <w:t>、</w:t>
            </w:r>
            <w:r>
              <w:rPr>
                <w:rFonts w:hint="eastAsia"/>
                <w:highlight w:val="none"/>
              </w:rPr>
              <w:t>榫头加工中心</w:t>
            </w:r>
            <w:r>
              <w:rPr>
                <w:rFonts w:hint="eastAsia"/>
                <w:highlight w:val="none"/>
                <w:lang w:eastAsia="zh-CN"/>
              </w:rPr>
              <w:t>、</w:t>
            </w:r>
            <w:r>
              <w:rPr>
                <w:rFonts w:hint="eastAsia"/>
                <w:highlight w:val="none"/>
              </w:rPr>
              <w:t>真空高频烘干处理设备，全部具备得</w:t>
            </w:r>
            <w:r>
              <w:rPr>
                <w:rFonts w:hint="eastAsia" w:cs="宋体"/>
                <w:highlight w:val="none"/>
              </w:rPr>
              <w:t>基本分</w:t>
            </w:r>
            <w:r>
              <w:rPr>
                <w:rFonts w:hint="eastAsia" w:cs="宋体"/>
                <w:highlight w:val="none"/>
                <w:lang w:val="en-US" w:eastAsia="zh-CN"/>
              </w:rPr>
              <w:t>5</w:t>
            </w:r>
            <w:r>
              <w:rPr>
                <w:rFonts w:hint="eastAsia" w:cs="宋体"/>
                <w:highlight w:val="none"/>
              </w:rPr>
              <w:t>分，每少一项设备、设施，在基本分的基础上减1分。</w:t>
            </w:r>
          </w:p>
          <w:p w14:paraId="694419F6">
            <w:pPr>
              <w:keepNext w:val="0"/>
              <w:keepLines w:val="0"/>
              <w:pageBreakBefore w:val="0"/>
              <w:widowControl w:val="0"/>
              <w:kinsoku/>
              <w:wordWrap/>
              <w:overflowPunct/>
              <w:topLinePunct w:val="0"/>
              <w:autoSpaceDN/>
              <w:bidi w:val="0"/>
              <w:adjustRightInd/>
              <w:snapToGrid/>
              <w:spacing w:line="300" w:lineRule="exact"/>
              <w:ind w:left="0" w:leftChars="0" w:firstLine="0" w:firstLineChars="0"/>
              <w:textAlignment w:val="auto"/>
              <w:rPr>
                <w:highlight w:val="none"/>
              </w:rPr>
            </w:pPr>
            <w:r>
              <w:rPr>
                <w:rFonts w:hint="eastAsia" w:cs="宋体"/>
                <w:b/>
                <w:highlight w:val="none"/>
                <w:u w:val="single"/>
              </w:rPr>
              <w:t>注：提供购置发票或设备租赁发票复印件及木工车间生产场地</w:t>
            </w:r>
            <w:r>
              <w:rPr>
                <w:rFonts w:hint="eastAsia" w:cs="宋体"/>
                <w:b/>
                <w:highlight w:val="none"/>
                <w:u w:val="single"/>
                <w:lang w:val="en-US" w:eastAsia="zh-CN"/>
              </w:rPr>
              <w:t>和生产场地设备放置</w:t>
            </w:r>
            <w:r>
              <w:rPr>
                <w:rFonts w:hint="eastAsia" w:cs="宋体"/>
                <w:b/>
                <w:highlight w:val="none"/>
                <w:u w:val="single"/>
              </w:rPr>
              <w:t>照片证明。</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FE2440C">
            <w:pPr>
              <w:keepNext w:val="0"/>
              <w:keepLines w:val="0"/>
              <w:pageBreakBefore w:val="0"/>
              <w:widowControl w:val="0"/>
              <w:kinsoku/>
              <w:wordWrap/>
              <w:overflowPunct/>
              <w:topLinePunct w:val="0"/>
              <w:autoSpaceDN/>
              <w:bidi w:val="0"/>
              <w:adjustRightInd/>
              <w:snapToGrid/>
              <w:spacing w:line="300" w:lineRule="exact"/>
              <w:ind w:firstLine="0" w:firstLineChars="0"/>
              <w:jc w:val="center"/>
              <w:textAlignment w:val="auto"/>
              <w:rPr>
                <w:highlight w:val="none"/>
              </w:rPr>
            </w:pPr>
            <w:r>
              <w:rPr>
                <w:rFonts w:hint="eastAsia"/>
                <w:highlight w:val="none"/>
              </w:rPr>
              <w:t>5分</w:t>
            </w:r>
          </w:p>
        </w:tc>
      </w:tr>
      <w:tr w14:paraId="78C3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DBC926F">
            <w:pPr>
              <w:spacing w:line="360" w:lineRule="exact"/>
              <w:ind w:firstLine="0" w:firstLineChars="0"/>
              <w:jc w:val="center"/>
              <w:rPr>
                <w:rFonts w:cs="宋体"/>
                <w:kern w:val="0"/>
                <w:highlight w:val="none"/>
              </w:rPr>
            </w:pPr>
            <w:r>
              <w:rPr>
                <w:rFonts w:hint="eastAsia" w:cs="宋体"/>
                <w:kern w:val="0"/>
                <w:highlight w:val="none"/>
              </w:rPr>
              <w:t>8</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2D54580">
            <w:pPr>
              <w:spacing w:line="360" w:lineRule="exact"/>
              <w:ind w:firstLine="0" w:firstLineChars="0"/>
              <w:jc w:val="center"/>
              <w:rPr>
                <w:rFonts w:cs="宋体"/>
                <w:highlight w:val="none"/>
              </w:rPr>
            </w:pPr>
            <w:r>
              <w:rPr>
                <w:rFonts w:hint="eastAsia" w:cs="宋体"/>
                <w:highlight w:val="none"/>
              </w:rPr>
              <w:t>样品分</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12E9E28">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根据样品材质的符合度、尺寸、产品效果及结构要求吻合度及工艺的合理性、整体的稳固度、质量、外观有无毛边、表面是否平整，表面处理是否光滑、整体效果等进行评审。</w:t>
            </w:r>
          </w:p>
          <w:p w14:paraId="39DD3872">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制作工艺优秀、采用隐形榫卯结构、椅面弧度舒适、产品效果及结构要求吻合度高、做工精细、外观美观、触感光滑、平整的得15分；</w:t>
            </w:r>
          </w:p>
          <w:p w14:paraId="012D48DA">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制作工艺精良、采用隐形榫卯结构、椅面弧度较舒适、产品效果及结构要求吻合度较高，外观有轻微划痕、色差等的得12分；</w:t>
            </w:r>
          </w:p>
          <w:p w14:paraId="7AB18286">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样品制作工艺一般、采用榫卯结构、椅面弧度较舒适、产品效果及结构要求吻合度一般，外观或触感出现不平整、凸起部分、色泽暗淡的得9分；</w:t>
            </w:r>
          </w:p>
          <w:p w14:paraId="51EDB9EF">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样品制作工艺及做工有瑕疵之处、产品效果及结构要求吻合度较差、外观有色差、触感不平整、有毛刺等情况的得6分；</w:t>
            </w:r>
          </w:p>
          <w:p w14:paraId="51157951">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产品效果及结构要求吻合度差、样品材质粗糙、有明显的凸起、起泡、剥落等情况、金属件连接处不严密、松动、发出噪音、外观出现污渍或锈斑的得3分。</w:t>
            </w:r>
          </w:p>
          <w:p w14:paraId="734A959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b/>
                <w:highlight w:val="none"/>
                <w:u w:val="single"/>
              </w:rPr>
              <w:t>注：样品严重偏离采购要求，未递交样品的或样品种类不全的，其样品分为零分。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8B8F9C1">
            <w:pPr>
              <w:spacing w:line="360" w:lineRule="exact"/>
              <w:ind w:firstLine="0" w:firstLineChars="0"/>
              <w:jc w:val="center"/>
              <w:rPr>
                <w:highlight w:val="none"/>
              </w:rPr>
            </w:pPr>
            <w:r>
              <w:rPr>
                <w:rFonts w:hint="eastAsia"/>
                <w:highlight w:val="none"/>
              </w:rPr>
              <w:t>15分</w:t>
            </w:r>
          </w:p>
        </w:tc>
      </w:tr>
      <w:tr w14:paraId="2492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60CF1253">
            <w:pPr>
              <w:keepNext w:val="0"/>
              <w:keepLines w:val="0"/>
              <w:pageBreakBefore w:val="0"/>
              <w:widowControl w:val="0"/>
              <w:kinsoku/>
              <w:wordWrap/>
              <w:overflowPunct/>
              <w:topLinePunct w:val="0"/>
              <w:autoSpaceDN/>
              <w:bidi w:val="0"/>
              <w:adjustRightInd/>
              <w:snapToGrid/>
              <w:spacing w:line="240" w:lineRule="auto"/>
              <w:ind w:firstLine="482" w:firstLineChars="200"/>
              <w:jc w:val="center"/>
              <w:textAlignment w:val="auto"/>
              <w:rPr>
                <w:rFonts w:cs="宋体"/>
                <w:highlight w:val="none"/>
              </w:rPr>
            </w:pPr>
            <w:r>
              <w:rPr>
                <w:rFonts w:hint="eastAsia" w:cs="宋体"/>
                <w:b/>
                <w:highlight w:val="none"/>
              </w:rPr>
              <w:t>商务及资信分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F8E4974">
            <w:pPr>
              <w:spacing w:line="360" w:lineRule="exact"/>
              <w:ind w:firstLine="0" w:firstLineChars="0"/>
              <w:jc w:val="center"/>
              <w:rPr>
                <w:rFonts w:cs="宋体"/>
                <w:highlight w:val="none"/>
              </w:rPr>
            </w:pPr>
            <w:r>
              <w:rPr>
                <w:rFonts w:cs="宋体"/>
                <w:b/>
                <w:bCs/>
                <w:highlight w:val="none"/>
              </w:rPr>
              <w:t>1</w:t>
            </w:r>
            <w:r>
              <w:rPr>
                <w:rFonts w:hint="eastAsia" w:cs="宋体"/>
                <w:b/>
                <w:bCs/>
                <w:highlight w:val="none"/>
              </w:rPr>
              <w:t>7</w:t>
            </w:r>
            <w:r>
              <w:rPr>
                <w:rFonts w:cs="宋体"/>
                <w:b/>
                <w:bCs/>
                <w:highlight w:val="none"/>
              </w:rPr>
              <w:t>分</w:t>
            </w:r>
          </w:p>
        </w:tc>
      </w:tr>
      <w:tr w14:paraId="7F6E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404004F">
            <w:pPr>
              <w:spacing w:line="360" w:lineRule="exact"/>
              <w:ind w:firstLine="0" w:firstLineChars="0"/>
              <w:jc w:val="center"/>
              <w:rPr>
                <w:rFonts w:cs="宋体"/>
                <w:kern w:val="0"/>
                <w:highlight w:val="none"/>
              </w:rPr>
            </w:pPr>
            <w:r>
              <w:rPr>
                <w:rFonts w:cs="宋体"/>
                <w:kern w:val="0"/>
                <w:highlight w:val="none"/>
              </w:rPr>
              <w:t>9</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2A0D15">
            <w:pPr>
              <w:widowControl/>
              <w:spacing w:line="240" w:lineRule="auto"/>
              <w:ind w:firstLine="0" w:firstLineChars="0"/>
              <w:jc w:val="center"/>
              <w:rPr>
                <w:rFonts w:cs="宋体"/>
                <w:highlight w:val="none"/>
              </w:rPr>
            </w:pPr>
            <w:r>
              <w:rPr>
                <w:rFonts w:cs="宋体"/>
                <w:highlight w:val="none"/>
              </w:rPr>
              <w:t>售后服务</w:t>
            </w:r>
          </w:p>
          <w:p w14:paraId="5E7FF806">
            <w:pPr>
              <w:widowControl/>
              <w:spacing w:line="240" w:lineRule="auto"/>
              <w:ind w:firstLine="0" w:firstLineChars="0"/>
              <w:jc w:val="center"/>
              <w:rPr>
                <w:rFonts w:cs="宋体"/>
                <w:kern w:val="0"/>
                <w:highlight w:val="none"/>
              </w:rPr>
            </w:pPr>
            <w:r>
              <w:rPr>
                <w:rFonts w:cs="宋体"/>
                <w:highlight w:val="none"/>
              </w:rPr>
              <w:t>方案</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7C75BBE">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3481372C">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4F6C604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现场响应时间：供应商4小时到达现场响应不得分；在</w:t>
            </w:r>
            <w:r>
              <w:rPr>
                <w:rFonts w:hint="eastAsia" w:cs="宋体"/>
                <w:highlight w:val="none"/>
                <w:lang w:val="en-US" w:eastAsia="zh-CN"/>
              </w:rPr>
              <w:t>4</w:t>
            </w:r>
            <w:r>
              <w:rPr>
                <w:rFonts w:cs="宋体"/>
                <w:highlight w:val="none"/>
              </w:rPr>
              <w:t>小时基础上每减少1小时加1分，最高得3分。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59DE276">
            <w:pPr>
              <w:spacing w:line="360" w:lineRule="exact"/>
              <w:ind w:firstLine="0" w:firstLineChars="0"/>
              <w:jc w:val="center"/>
              <w:rPr>
                <w:rFonts w:cs="宋体"/>
                <w:highlight w:val="none"/>
              </w:rPr>
            </w:pPr>
            <w:r>
              <w:rPr>
                <w:rFonts w:cs="宋体"/>
                <w:highlight w:val="none"/>
              </w:rPr>
              <w:t>9分</w:t>
            </w:r>
          </w:p>
        </w:tc>
      </w:tr>
      <w:tr w14:paraId="76DD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CC25A5D">
            <w:pPr>
              <w:autoSpaceDE w:val="0"/>
              <w:spacing w:line="360" w:lineRule="exact"/>
              <w:ind w:firstLine="0" w:firstLineChars="0"/>
              <w:jc w:val="center"/>
              <w:rPr>
                <w:rFonts w:cs="宋体"/>
                <w:kern w:val="0"/>
                <w:highlight w:val="none"/>
              </w:rPr>
            </w:pPr>
            <w:r>
              <w:rPr>
                <w:rFonts w:hint="eastAsia" w:cs="宋体"/>
                <w:kern w:val="0"/>
                <w:highlight w:val="none"/>
                <w:lang w:bidi="ar"/>
              </w:rPr>
              <w:t>10</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71F7B32B">
            <w:pPr>
              <w:autoSpaceDE w:val="0"/>
              <w:spacing w:line="240" w:lineRule="auto"/>
              <w:ind w:firstLine="0" w:firstLineChars="0"/>
              <w:jc w:val="center"/>
              <w:rPr>
                <w:rFonts w:cs="宋体"/>
                <w:highlight w:val="none"/>
              </w:rPr>
            </w:pPr>
            <w:r>
              <w:rPr>
                <w:rFonts w:cs="宋体"/>
                <w:highlight w:val="none"/>
                <w:lang w:bidi="ar"/>
              </w:rPr>
              <w:t>质保期</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7C73CE22">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b/>
                <w:highlight w:val="none"/>
              </w:rPr>
            </w:pPr>
            <w:r>
              <w:rPr>
                <w:rFonts w:hint="eastAsia" w:cs="宋体"/>
                <w:highlight w:val="none"/>
                <w:lang w:bidi="ar"/>
              </w:rPr>
              <w:t>质保期在满足招标文件要求3年的基础上（如部分设备、配件有更长质保要求按更长要求计算）</w:t>
            </w:r>
            <w:r>
              <w:rPr>
                <w:rFonts w:hint="eastAsia" w:cs="宋体"/>
                <w:highlight w:val="none"/>
                <w:lang w:eastAsia="zh-CN" w:bidi="ar"/>
              </w:rPr>
              <w:t>，</w:t>
            </w:r>
            <w:r>
              <w:rPr>
                <w:rFonts w:cs="宋体"/>
                <w:highlight w:val="none"/>
                <w:lang w:bidi="ar"/>
              </w:rPr>
              <w:t>全部产品每增加1年质保期加0.5分，本项最高得</w:t>
            </w:r>
            <w:r>
              <w:rPr>
                <w:rFonts w:hint="eastAsia" w:cs="宋体"/>
                <w:highlight w:val="none"/>
                <w:lang w:bidi="ar"/>
              </w:rPr>
              <w:t>3</w:t>
            </w:r>
            <w:r>
              <w:rPr>
                <w:rFonts w:cs="宋体"/>
                <w:highlight w:val="none"/>
                <w:lang w:bidi="ar"/>
              </w:rPr>
              <w:t>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57EB3B8E">
            <w:pPr>
              <w:autoSpaceDE w:val="0"/>
              <w:spacing w:line="360" w:lineRule="exact"/>
              <w:ind w:firstLine="0" w:firstLineChars="0"/>
              <w:jc w:val="center"/>
              <w:rPr>
                <w:rFonts w:cs="宋体"/>
                <w:highlight w:val="none"/>
              </w:rPr>
            </w:pPr>
            <w:r>
              <w:rPr>
                <w:rFonts w:hint="eastAsia" w:cs="宋体"/>
                <w:highlight w:val="none"/>
                <w:lang w:bidi="ar"/>
              </w:rPr>
              <w:t>3</w:t>
            </w:r>
            <w:r>
              <w:rPr>
                <w:rFonts w:cs="宋体"/>
                <w:highlight w:val="none"/>
                <w:lang w:bidi="ar"/>
              </w:rPr>
              <w:t>分</w:t>
            </w:r>
          </w:p>
        </w:tc>
      </w:tr>
      <w:tr w14:paraId="0267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3A267EB">
            <w:pPr>
              <w:autoSpaceDE w:val="0"/>
              <w:spacing w:line="360" w:lineRule="exact"/>
              <w:ind w:firstLine="0" w:firstLineChars="0"/>
              <w:jc w:val="center"/>
              <w:rPr>
                <w:rFonts w:cs="宋体"/>
                <w:kern w:val="0"/>
                <w:highlight w:val="none"/>
                <w:lang w:bidi="ar"/>
              </w:rPr>
            </w:pPr>
            <w:r>
              <w:rPr>
                <w:rFonts w:hint="eastAsia" w:cs="宋体"/>
                <w:kern w:val="0"/>
                <w:highlight w:val="none"/>
                <w:lang w:bidi="ar"/>
              </w:rPr>
              <w:t>11</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E35F4A">
            <w:pPr>
              <w:widowControl/>
              <w:spacing w:line="240" w:lineRule="auto"/>
              <w:ind w:firstLine="0" w:firstLineChars="0"/>
              <w:jc w:val="center"/>
              <w:rPr>
                <w:rFonts w:cs="宋体"/>
                <w:highlight w:val="none"/>
              </w:rPr>
            </w:pPr>
            <w:r>
              <w:rPr>
                <w:rFonts w:cs="宋体"/>
                <w:highlight w:val="none"/>
              </w:rPr>
              <w:t>优惠承诺</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5AF19D7">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4332943A">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b/>
                <w:highlight w:val="none"/>
                <w:u w:val="single"/>
              </w:rPr>
              <w:t>注：优惠承诺须经评标委员会成员一致认可方为有效。</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C1ED53B">
            <w:pPr>
              <w:spacing w:line="360" w:lineRule="exact"/>
              <w:ind w:firstLine="0" w:firstLineChars="0"/>
              <w:jc w:val="center"/>
              <w:rPr>
                <w:rFonts w:cs="宋体"/>
                <w:highlight w:val="none"/>
              </w:rPr>
            </w:pPr>
            <w:r>
              <w:rPr>
                <w:rFonts w:cs="宋体"/>
                <w:highlight w:val="none"/>
              </w:rPr>
              <w:t>2分</w:t>
            </w:r>
          </w:p>
        </w:tc>
      </w:tr>
      <w:tr w14:paraId="1670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46BF3F3">
            <w:pPr>
              <w:widowControl/>
              <w:spacing w:line="360" w:lineRule="exact"/>
              <w:ind w:firstLine="0" w:firstLineChars="0"/>
              <w:jc w:val="center"/>
              <w:rPr>
                <w:rFonts w:cs="宋体"/>
                <w:highlight w:val="none"/>
              </w:rPr>
            </w:pPr>
            <w:r>
              <w:rPr>
                <w:rFonts w:cs="宋体"/>
                <w:highlight w:val="none"/>
              </w:rPr>
              <w:t>12</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1F13DA9">
            <w:pPr>
              <w:spacing w:line="240" w:lineRule="auto"/>
              <w:ind w:firstLine="0" w:firstLineChars="0"/>
              <w:jc w:val="center"/>
              <w:rPr>
                <w:rFonts w:cs="宋体"/>
                <w:kern w:val="0"/>
                <w:highlight w:val="none"/>
              </w:rPr>
            </w:pPr>
            <w:r>
              <w:rPr>
                <w:rFonts w:cs="宋体"/>
                <w:highlight w:val="none"/>
              </w:rPr>
              <w:t>类似业绩</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92B51E5">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投标人自2022年1月1日以来（以合同签订时间为准）承接过的类似项目（家具类）业绩，每提供一个有效业绩得1分，最高得3分。</w:t>
            </w:r>
          </w:p>
          <w:p w14:paraId="34AB518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C597447">
            <w:pPr>
              <w:spacing w:line="360" w:lineRule="exact"/>
              <w:ind w:firstLine="0" w:firstLineChars="0"/>
              <w:jc w:val="center"/>
              <w:rPr>
                <w:rFonts w:cs="宋体"/>
                <w:b/>
                <w:kern w:val="0"/>
                <w:highlight w:val="none"/>
              </w:rPr>
            </w:pPr>
            <w:r>
              <w:rPr>
                <w:rFonts w:cs="宋体"/>
                <w:highlight w:val="none"/>
              </w:rPr>
              <w:t>3分</w:t>
            </w:r>
          </w:p>
        </w:tc>
      </w:tr>
    </w:tbl>
    <w:p w14:paraId="6C602DDC">
      <w:pPr>
        <w:spacing w:line="240" w:lineRule="auto"/>
        <w:ind w:firstLine="0" w:firstLineChars="0"/>
        <w:rPr>
          <w:rFonts w:cs="宋体"/>
          <w:b/>
          <w:bCs/>
          <w:highlight w:val="none"/>
        </w:rPr>
      </w:pPr>
    </w:p>
    <w:p w14:paraId="75D6DBEB">
      <w:pPr>
        <w:spacing w:line="560" w:lineRule="exact"/>
        <w:ind w:firstLine="482"/>
        <w:rPr>
          <w:rFonts w:cs="宋体"/>
          <w:b/>
          <w:bCs/>
          <w:highlight w:val="none"/>
        </w:rPr>
      </w:pPr>
      <w:r>
        <w:rPr>
          <w:rFonts w:hint="eastAsia" w:cs="宋体"/>
          <w:b/>
          <w:bCs/>
          <w:highlight w:val="none"/>
        </w:rPr>
        <w:br w:type="page"/>
      </w:r>
    </w:p>
    <w:p w14:paraId="31F707D9">
      <w:pPr>
        <w:spacing w:line="240" w:lineRule="auto"/>
        <w:ind w:firstLine="0" w:firstLineChars="0"/>
        <w:rPr>
          <w:rFonts w:cs="宋体"/>
          <w:b/>
          <w:bCs/>
          <w:highlight w:val="none"/>
        </w:rPr>
      </w:pPr>
      <w:r>
        <w:rPr>
          <w:rFonts w:hint="eastAsia"/>
          <w:b/>
          <w:bCs/>
          <w:highlight w:val="none"/>
        </w:rPr>
        <w:t>标项四：</w:t>
      </w:r>
      <w:r>
        <w:rPr>
          <w:rFonts w:hint="eastAsia" w:cs="宋体"/>
          <w:b/>
          <w:bCs/>
          <w:highlight w:val="none"/>
        </w:rPr>
        <w:t>图书馆1F-心理咨询中心家具</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49"/>
        <w:gridCol w:w="7692"/>
        <w:gridCol w:w="761"/>
      </w:tblGrid>
      <w:tr w14:paraId="025A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0C2B730C">
            <w:pPr>
              <w:spacing w:line="360" w:lineRule="exact"/>
              <w:ind w:firstLine="0" w:firstLineChars="0"/>
              <w:jc w:val="center"/>
              <w:rPr>
                <w:rFonts w:cs="宋体"/>
                <w:b/>
                <w:bCs/>
                <w:kern w:val="0"/>
                <w:highlight w:val="none"/>
              </w:rPr>
            </w:pPr>
            <w:r>
              <w:rPr>
                <w:rFonts w:hint="eastAsia" w:cs="宋体"/>
                <w:b/>
                <w:bCs/>
                <w:kern w:val="0"/>
                <w:highlight w:val="none"/>
              </w:rPr>
              <w:t>序号</w:t>
            </w:r>
          </w:p>
        </w:tc>
        <w:tc>
          <w:tcPr>
            <w:tcW w:w="1349" w:type="dxa"/>
            <w:noWrap/>
            <w:vAlign w:val="center"/>
          </w:tcPr>
          <w:p w14:paraId="6692805D">
            <w:pPr>
              <w:spacing w:line="360" w:lineRule="exact"/>
              <w:ind w:firstLine="0" w:firstLineChars="0"/>
              <w:jc w:val="center"/>
              <w:rPr>
                <w:rFonts w:cs="宋体"/>
                <w:b/>
                <w:bCs/>
                <w:kern w:val="0"/>
                <w:highlight w:val="none"/>
              </w:rPr>
            </w:pPr>
            <w:r>
              <w:rPr>
                <w:rFonts w:hint="eastAsia" w:cs="宋体"/>
                <w:b/>
                <w:bCs/>
                <w:kern w:val="0"/>
                <w:highlight w:val="none"/>
              </w:rPr>
              <w:t>评审因素</w:t>
            </w:r>
          </w:p>
        </w:tc>
        <w:tc>
          <w:tcPr>
            <w:tcW w:w="7692" w:type="dxa"/>
            <w:noWrap/>
            <w:vAlign w:val="center"/>
          </w:tcPr>
          <w:p w14:paraId="43F5C30D">
            <w:pPr>
              <w:spacing w:line="360" w:lineRule="exact"/>
              <w:ind w:left="0" w:leftChars="0" w:firstLine="0" w:firstLineChars="0"/>
              <w:jc w:val="center"/>
              <w:rPr>
                <w:rFonts w:cs="宋体"/>
                <w:b/>
                <w:bCs/>
                <w:kern w:val="0"/>
                <w:highlight w:val="none"/>
              </w:rPr>
            </w:pPr>
            <w:r>
              <w:rPr>
                <w:rFonts w:hint="eastAsia" w:cs="宋体"/>
                <w:b/>
                <w:bCs/>
                <w:kern w:val="0"/>
                <w:highlight w:val="none"/>
              </w:rPr>
              <w:t>评分标准</w:t>
            </w:r>
          </w:p>
        </w:tc>
        <w:tc>
          <w:tcPr>
            <w:tcW w:w="761" w:type="dxa"/>
            <w:noWrap/>
            <w:vAlign w:val="center"/>
          </w:tcPr>
          <w:p w14:paraId="50E1851D">
            <w:pPr>
              <w:spacing w:line="360" w:lineRule="exact"/>
              <w:ind w:firstLine="0" w:firstLineChars="0"/>
              <w:jc w:val="center"/>
              <w:rPr>
                <w:rFonts w:cs="宋体"/>
                <w:b/>
                <w:bCs/>
                <w:kern w:val="0"/>
                <w:highlight w:val="none"/>
              </w:rPr>
            </w:pPr>
            <w:r>
              <w:rPr>
                <w:rFonts w:hint="eastAsia" w:cs="宋体"/>
                <w:b/>
                <w:bCs/>
                <w:kern w:val="0"/>
                <w:highlight w:val="none"/>
              </w:rPr>
              <w:t>分值</w:t>
            </w:r>
          </w:p>
        </w:tc>
      </w:tr>
      <w:tr w14:paraId="46C4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05" w:type="dxa"/>
            <w:gridSpan w:val="3"/>
            <w:noWrap/>
            <w:vAlign w:val="center"/>
          </w:tcPr>
          <w:p w14:paraId="34499A57">
            <w:pPr>
              <w:spacing w:line="360" w:lineRule="exact"/>
              <w:ind w:firstLine="482"/>
              <w:jc w:val="center"/>
              <w:rPr>
                <w:rFonts w:cs="宋体"/>
                <w:b/>
                <w:bCs/>
                <w:kern w:val="0"/>
                <w:highlight w:val="none"/>
              </w:rPr>
            </w:pPr>
            <w:r>
              <w:rPr>
                <w:rFonts w:hint="eastAsia" w:cs="宋体"/>
                <w:b/>
                <w:bCs/>
                <w:kern w:val="0"/>
                <w:highlight w:val="none"/>
              </w:rPr>
              <w:t>技术分</w:t>
            </w:r>
          </w:p>
        </w:tc>
        <w:tc>
          <w:tcPr>
            <w:tcW w:w="761" w:type="dxa"/>
            <w:noWrap/>
            <w:vAlign w:val="center"/>
          </w:tcPr>
          <w:p w14:paraId="4CFECD4C">
            <w:pPr>
              <w:spacing w:line="360" w:lineRule="exact"/>
              <w:ind w:firstLine="0" w:firstLineChars="0"/>
              <w:jc w:val="center"/>
              <w:rPr>
                <w:rFonts w:cs="宋体"/>
                <w:b/>
                <w:bCs/>
                <w:kern w:val="0"/>
                <w:highlight w:val="none"/>
              </w:rPr>
            </w:pPr>
            <w:r>
              <w:rPr>
                <w:rFonts w:hint="eastAsia" w:cs="宋体"/>
                <w:b/>
                <w:bCs/>
                <w:kern w:val="0"/>
                <w:highlight w:val="none"/>
              </w:rPr>
              <w:t>51分</w:t>
            </w:r>
          </w:p>
        </w:tc>
      </w:tr>
      <w:tr w14:paraId="3B85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07C217F">
            <w:pPr>
              <w:widowControl/>
              <w:spacing w:line="360" w:lineRule="exact"/>
              <w:ind w:firstLine="0" w:firstLineChars="0"/>
              <w:jc w:val="center"/>
              <w:rPr>
                <w:rFonts w:cs="宋体"/>
                <w:kern w:val="0"/>
                <w:highlight w:val="none"/>
              </w:rPr>
            </w:pPr>
            <w:r>
              <w:rPr>
                <w:rFonts w:hint="eastAsia" w:cs="宋体"/>
                <w:kern w:val="0"/>
                <w:highlight w:val="none"/>
              </w:rPr>
              <w:t>1</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0B4568CC">
            <w:pPr>
              <w:widowControl/>
              <w:spacing w:line="360" w:lineRule="exact"/>
              <w:ind w:firstLine="0" w:firstLineChars="0"/>
              <w:jc w:val="center"/>
              <w:rPr>
                <w:rFonts w:cs="宋体"/>
                <w:kern w:val="0"/>
                <w:highlight w:val="none"/>
              </w:rPr>
            </w:pPr>
            <w:r>
              <w:rPr>
                <w:rFonts w:cs="宋体"/>
                <w:kern w:val="0"/>
                <w:highlight w:val="none"/>
              </w:rPr>
              <w:t>技术指标</w:t>
            </w:r>
          </w:p>
          <w:p w14:paraId="1136750C">
            <w:pPr>
              <w:widowControl/>
              <w:spacing w:line="360" w:lineRule="exact"/>
              <w:ind w:firstLine="0" w:firstLineChars="0"/>
              <w:jc w:val="center"/>
              <w:rPr>
                <w:rFonts w:cs="宋体"/>
                <w:kern w:val="0"/>
                <w:highlight w:val="none"/>
              </w:rPr>
            </w:pPr>
            <w:r>
              <w:rPr>
                <w:rFonts w:cs="宋体"/>
                <w:kern w:val="0"/>
                <w:highlight w:val="none"/>
              </w:rPr>
              <w:t>响应程度</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0247E8C4">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根据投标产品的性能、规格、技术参数等指标是否满足招标文件的要求进行打分（</w:t>
            </w:r>
            <w:r>
              <w:rPr>
                <w:rFonts w:cs="宋体"/>
                <w:kern w:val="0"/>
                <w:highlight w:val="none"/>
              </w:rPr>
              <w:t>全部满足或明显优于招标文件要求的得满分16分</w:t>
            </w:r>
            <w:r>
              <w:rPr>
                <w:rFonts w:cs="宋体"/>
                <w:highlight w:val="none"/>
              </w:rPr>
              <w:t>）：</w:t>
            </w:r>
          </w:p>
          <w:p w14:paraId="4033C0F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标注“▲”项为实质性条款，不允许负偏离，否则投标无效；</w:t>
            </w:r>
          </w:p>
          <w:p w14:paraId="27641078">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标注 “</w:t>
            </w:r>
            <w:r>
              <w:rPr>
                <w:rFonts w:cs="宋体"/>
                <w:color w:val="000000"/>
                <w:kern w:val="0"/>
                <w:highlight w:val="none"/>
              </w:rPr>
              <w:t>★</w:t>
            </w:r>
            <w:r>
              <w:rPr>
                <w:rFonts w:cs="宋体"/>
                <w:highlight w:val="none"/>
              </w:rPr>
              <w:t>”项为重要技术条款，每负偏离或缺漏1项的扣1分，扣完本项得分为止；</w:t>
            </w:r>
          </w:p>
          <w:p w14:paraId="42AEB849">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一般技术条款每负偏离或缺漏1项的扣0.5分，扣完本项得分为止。</w:t>
            </w:r>
          </w:p>
          <w:p w14:paraId="3C01F2AB">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b/>
                <w:highlight w:val="none"/>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107EC72">
            <w:pPr>
              <w:spacing w:line="360" w:lineRule="exact"/>
              <w:ind w:firstLine="0" w:firstLineChars="0"/>
              <w:jc w:val="center"/>
              <w:rPr>
                <w:rFonts w:cs="宋体"/>
                <w:highlight w:val="none"/>
              </w:rPr>
            </w:pPr>
            <w:r>
              <w:rPr>
                <w:rFonts w:cs="宋体"/>
                <w:highlight w:val="none"/>
              </w:rPr>
              <w:t>16分</w:t>
            </w:r>
          </w:p>
        </w:tc>
      </w:tr>
      <w:tr w14:paraId="7F0E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81A6A43">
            <w:pPr>
              <w:widowControl/>
              <w:spacing w:line="360" w:lineRule="exact"/>
              <w:ind w:firstLine="0" w:firstLineChars="0"/>
              <w:jc w:val="center"/>
              <w:rPr>
                <w:rFonts w:cs="宋体"/>
                <w:highlight w:val="none"/>
              </w:rPr>
            </w:pPr>
            <w:r>
              <w:rPr>
                <w:rFonts w:hint="eastAsia" w:cs="宋体"/>
                <w:highlight w:val="none"/>
              </w:rPr>
              <w:t>2</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7B8CFDC1">
            <w:pPr>
              <w:spacing w:line="360" w:lineRule="exact"/>
              <w:ind w:firstLine="0" w:firstLineChars="0"/>
              <w:jc w:val="center"/>
              <w:rPr>
                <w:rFonts w:cs="宋体"/>
                <w:highlight w:val="none"/>
              </w:rPr>
            </w:pPr>
            <w:r>
              <w:rPr>
                <w:rFonts w:cs="宋体"/>
                <w:highlight w:val="none"/>
              </w:rPr>
              <w:t>项目实施</w:t>
            </w:r>
          </w:p>
          <w:p w14:paraId="57D75498">
            <w:pPr>
              <w:spacing w:line="360" w:lineRule="exact"/>
              <w:ind w:firstLine="0" w:firstLineChars="0"/>
              <w:jc w:val="center"/>
              <w:rPr>
                <w:rFonts w:cs="宋体"/>
                <w:highlight w:val="none"/>
              </w:rPr>
            </w:pPr>
            <w:r>
              <w:rPr>
                <w:rFonts w:cs="宋体"/>
                <w:highlight w:val="none"/>
              </w:rPr>
              <w:t>方案</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2C1BCE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投标人针对本项目需求，提供的整体实施方案的合理性、全面性及科学性进行评审</w:t>
            </w:r>
            <w:r>
              <w:rPr>
                <w:rFonts w:hint="eastAsia" w:cs="宋体"/>
                <w:highlight w:val="none"/>
                <w:lang w:eastAsia="zh-CN"/>
              </w:rPr>
              <w:t>。</w:t>
            </w:r>
            <w:r>
              <w:rPr>
                <w:rFonts w:cs="宋体"/>
                <w:highlight w:val="none"/>
              </w:rPr>
              <w:t>方案完整，项目符合度高，专业性强，可实施性强的得5分；方案基本完整，项目基本具有符合性、专业性、可实施性</w:t>
            </w:r>
            <w:r>
              <w:rPr>
                <w:rFonts w:hint="eastAsia" w:cs="宋体"/>
                <w:highlight w:val="none"/>
                <w:lang w:val="en-US" w:eastAsia="zh-CN"/>
              </w:rPr>
              <w:t>一般</w:t>
            </w:r>
            <w:r>
              <w:rPr>
                <w:rFonts w:cs="宋体"/>
                <w:highlight w:val="none"/>
              </w:rPr>
              <w:t>的得3分；方案存在一定缺陷，项目符合度交叉，专业度交叉的得1分；方案存在明显缺陷，与项目特征无关，可实施性存在困难的或未提供的得0分。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5192851">
            <w:pPr>
              <w:spacing w:line="360" w:lineRule="exact"/>
              <w:ind w:firstLine="0" w:firstLineChars="0"/>
              <w:jc w:val="center"/>
              <w:rPr>
                <w:rFonts w:cs="宋体"/>
                <w:highlight w:val="none"/>
              </w:rPr>
            </w:pPr>
            <w:r>
              <w:rPr>
                <w:rFonts w:cs="宋体"/>
                <w:highlight w:val="none"/>
              </w:rPr>
              <w:t>5分</w:t>
            </w:r>
          </w:p>
        </w:tc>
      </w:tr>
      <w:tr w14:paraId="4DB6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A4F0735">
            <w:pPr>
              <w:adjustRightInd w:val="0"/>
              <w:snapToGrid w:val="0"/>
              <w:spacing w:line="360" w:lineRule="exact"/>
              <w:ind w:firstLine="0" w:firstLineChars="0"/>
              <w:jc w:val="center"/>
              <w:rPr>
                <w:rFonts w:cs="宋体"/>
                <w:highlight w:val="none"/>
              </w:rPr>
            </w:pPr>
            <w:r>
              <w:rPr>
                <w:rFonts w:hint="eastAsia" w:cs="宋体"/>
                <w:highlight w:val="none"/>
              </w:rPr>
              <w:t>3</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2D8EC72B">
            <w:pPr>
              <w:adjustRightInd w:val="0"/>
              <w:snapToGrid w:val="0"/>
              <w:spacing w:line="360" w:lineRule="exact"/>
              <w:ind w:firstLine="0" w:firstLineChars="0"/>
              <w:jc w:val="center"/>
              <w:rPr>
                <w:rFonts w:cs="宋体"/>
                <w:highlight w:val="none"/>
              </w:rPr>
            </w:pPr>
            <w:r>
              <w:rPr>
                <w:rFonts w:cs="宋体"/>
                <w:highlight w:val="none"/>
              </w:rPr>
              <w:t>质量保证</w:t>
            </w:r>
          </w:p>
          <w:p w14:paraId="36A64F13">
            <w:pPr>
              <w:adjustRightInd w:val="0"/>
              <w:snapToGrid w:val="0"/>
              <w:spacing w:line="360" w:lineRule="exact"/>
              <w:ind w:firstLine="0" w:firstLineChars="0"/>
              <w:jc w:val="center"/>
              <w:rPr>
                <w:rFonts w:cs="宋体"/>
                <w:highlight w:val="none"/>
              </w:rPr>
            </w:pPr>
            <w:r>
              <w:rPr>
                <w:rFonts w:cs="宋体"/>
                <w:highlight w:val="none"/>
              </w:rPr>
              <w:t>措施</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669690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投标人有明确的质量目标，质量保证措施完善、严密、有效，能切实保证所投标产品的质量，有利于采购标的实现</w:t>
            </w:r>
            <w:r>
              <w:rPr>
                <w:rFonts w:hint="eastAsia" w:cs="宋体"/>
                <w:highlight w:val="none"/>
                <w:lang w:val="en-US" w:eastAsia="zh-CN"/>
              </w:rPr>
              <w:t>的</w:t>
            </w:r>
            <w:r>
              <w:rPr>
                <w:rFonts w:cs="宋体"/>
                <w:highlight w:val="none"/>
              </w:rPr>
              <w:t>得5分；质量保证措施基本完整，能有效保障所投产品质量的得3分；质量保证措施存在一定缺陷，能基本保证所投产品质量的</w:t>
            </w:r>
            <w:r>
              <w:rPr>
                <w:rFonts w:hint="eastAsia" w:cs="宋体"/>
                <w:highlight w:val="none"/>
                <w:lang w:val="en-US" w:eastAsia="zh-CN"/>
              </w:rPr>
              <w:t>得</w:t>
            </w:r>
            <w:r>
              <w:rPr>
                <w:rFonts w:cs="宋体"/>
                <w:highlight w:val="none"/>
              </w:rPr>
              <w:t>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3112DF8">
            <w:pPr>
              <w:spacing w:line="360" w:lineRule="exact"/>
              <w:ind w:firstLine="0" w:firstLineChars="0"/>
              <w:jc w:val="center"/>
              <w:rPr>
                <w:rFonts w:cs="宋体"/>
                <w:highlight w:val="none"/>
              </w:rPr>
            </w:pPr>
            <w:r>
              <w:rPr>
                <w:rFonts w:cs="宋体"/>
                <w:highlight w:val="none"/>
              </w:rPr>
              <w:t>5分</w:t>
            </w:r>
          </w:p>
        </w:tc>
      </w:tr>
      <w:tr w14:paraId="13AF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78BDE60">
            <w:pPr>
              <w:spacing w:line="360" w:lineRule="exact"/>
              <w:ind w:firstLine="0" w:firstLineChars="0"/>
              <w:jc w:val="center"/>
              <w:rPr>
                <w:rFonts w:cs="宋体"/>
                <w:highlight w:val="none"/>
              </w:rPr>
            </w:pPr>
            <w:r>
              <w:rPr>
                <w:rFonts w:hint="eastAsia" w:cs="宋体"/>
                <w:highlight w:val="none"/>
              </w:rPr>
              <w:t>4</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3149DB7F">
            <w:pPr>
              <w:spacing w:line="360" w:lineRule="exact"/>
              <w:ind w:firstLine="0" w:firstLineChars="0"/>
              <w:jc w:val="center"/>
              <w:rPr>
                <w:rFonts w:cs="宋体"/>
                <w:highlight w:val="none"/>
              </w:rPr>
            </w:pPr>
            <w:r>
              <w:rPr>
                <w:rFonts w:cs="宋体"/>
                <w:highlight w:val="none"/>
              </w:rPr>
              <w:t>安装调试</w:t>
            </w:r>
          </w:p>
          <w:p w14:paraId="7D263BDB">
            <w:pPr>
              <w:spacing w:line="360" w:lineRule="exact"/>
              <w:ind w:firstLine="0" w:firstLineChars="0"/>
              <w:jc w:val="center"/>
              <w:rPr>
                <w:rFonts w:cs="宋体"/>
                <w:highlight w:val="none"/>
              </w:rPr>
            </w:pPr>
            <w:r>
              <w:rPr>
                <w:rFonts w:cs="宋体"/>
                <w:highlight w:val="none"/>
              </w:rPr>
              <w:t>方案</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1A121C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根据投标人提供的安装调试方案进行评分</w:t>
            </w:r>
            <w:r>
              <w:rPr>
                <w:rFonts w:hint="eastAsia" w:cs="宋体"/>
                <w:highlight w:val="none"/>
                <w:lang w:eastAsia="zh-CN"/>
              </w:rPr>
              <w:t>。</w:t>
            </w:r>
            <w:r>
              <w:rPr>
                <w:rFonts w:cs="宋体"/>
                <w:highlight w:val="none"/>
              </w:rPr>
              <w:t>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CB3D763">
            <w:pPr>
              <w:spacing w:line="360" w:lineRule="exact"/>
              <w:ind w:firstLine="0" w:firstLineChars="0"/>
              <w:jc w:val="center"/>
              <w:rPr>
                <w:rFonts w:cs="宋体"/>
                <w:highlight w:val="none"/>
              </w:rPr>
            </w:pPr>
            <w:r>
              <w:rPr>
                <w:rFonts w:cs="宋体"/>
                <w:highlight w:val="none"/>
              </w:rPr>
              <w:t>5分</w:t>
            </w:r>
          </w:p>
        </w:tc>
      </w:tr>
      <w:tr w14:paraId="37EE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2A11AF9">
            <w:pPr>
              <w:spacing w:line="360" w:lineRule="exact"/>
              <w:ind w:firstLine="0" w:firstLineChars="0"/>
              <w:jc w:val="center"/>
              <w:rPr>
                <w:rFonts w:cs="宋体"/>
                <w:highlight w:val="none"/>
              </w:rPr>
            </w:pPr>
            <w:r>
              <w:rPr>
                <w:rFonts w:hint="eastAsia" w:cs="宋体"/>
                <w:highlight w:val="none"/>
              </w:rPr>
              <w:t>5</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0C7E61FC">
            <w:pPr>
              <w:spacing w:line="360" w:lineRule="exact"/>
              <w:ind w:firstLine="0" w:firstLineChars="0"/>
              <w:jc w:val="center"/>
              <w:rPr>
                <w:rFonts w:cs="宋体"/>
                <w:highlight w:val="none"/>
              </w:rPr>
            </w:pPr>
            <w:r>
              <w:rPr>
                <w:rFonts w:cs="宋体"/>
                <w:highlight w:val="none"/>
              </w:rPr>
              <w:t>项目进度计划及安排</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580A75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根据投标人的项目进度计划及安排方案、进度控制措施进行评分</w:t>
            </w:r>
            <w:r>
              <w:rPr>
                <w:rFonts w:hint="eastAsia" w:cs="宋体"/>
                <w:highlight w:val="none"/>
                <w:lang w:eastAsia="zh-CN"/>
              </w:rPr>
              <w:t>。</w:t>
            </w:r>
            <w:r>
              <w:rPr>
                <w:rFonts w:cs="宋体"/>
                <w:highlight w:val="none"/>
              </w:rPr>
              <w:t>进度计划安排合理且符合实施周期的要求，进度控制措施内容详细、完善、针对性强的得5分；进度计划安排基本合理，进度控制措施内容基本详细完善、基本具有针对性的得3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8236152">
            <w:pPr>
              <w:spacing w:line="360" w:lineRule="exact"/>
              <w:ind w:firstLine="0" w:firstLineChars="0"/>
              <w:jc w:val="center"/>
              <w:rPr>
                <w:rFonts w:cs="宋体"/>
                <w:highlight w:val="none"/>
              </w:rPr>
            </w:pPr>
            <w:r>
              <w:rPr>
                <w:rFonts w:cs="宋体"/>
                <w:highlight w:val="none"/>
              </w:rPr>
              <w:t>5分</w:t>
            </w:r>
          </w:p>
        </w:tc>
      </w:tr>
      <w:tr w14:paraId="457E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A49AB66">
            <w:pPr>
              <w:widowControl/>
              <w:spacing w:beforeLines="0" w:afterLines="0" w:line="360" w:lineRule="exact"/>
              <w:ind w:firstLine="0" w:firstLineChars="0"/>
              <w:jc w:val="center"/>
              <w:rPr>
                <w:rFonts w:hint="eastAsia" w:ascii="宋体" w:hAnsi="宋体" w:eastAsia="宋体" w:cs="宋体"/>
                <w:kern w:val="2"/>
                <w:sz w:val="24"/>
                <w:szCs w:val="24"/>
                <w:highlight w:val="none"/>
                <w:lang w:val="en-US" w:eastAsia="zh-CN" w:bidi="ar-SA"/>
              </w:rPr>
            </w:pPr>
            <w:r>
              <w:rPr>
                <w:rFonts w:hint="default" w:cs="宋体"/>
                <w:sz w:val="24"/>
                <w:szCs w:val="24"/>
                <w:highlight w:val="none"/>
              </w:rPr>
              <w:t>6</w:t>
            </w:r>
          </w:p>
        </w:tc>
        <w:tc>
          <w:tcPr>
            <w:tcW w:w="134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30B2AA9">
            <w:pPr>
              <w:widowControl/>
              <w:spacing w:beforeLines="0" w:afterLines="0" w:line="360" w:lineRule="exact"/>
              <w:ind w:firstLine="0" w:firstLineChars="0"/>
              <w:jc w:val="center"/>
              <w:rPr>
                <w:rFonts w:hint="default" w:ascii="宋体" w:hAnsi="宋体" w:eastAsia="宋体" w:cs="宋体"/>
                <w:kern w:val="2"/>
                <w:sz w:val="24"/>
                <w:szCs w:val="24"/>
                <w:highlight w:val="none"/>
                <w:lang w:val="en-US" w:eastAsia="zh-CN" w:bidi="ar-SA"/>
              </w:rPr>
            </w:pPr>
            <w:r>
              <w:rPr>
                <w:rFonts w:hint="default" w:cs="宋体"/>
                <w:sz w:val="24"/>
                <w:szCs w:val="24"/>
                <w:highlight w:val="none"/>
              </w:rPr>
              <w:t>设计方案</w:t>
            </w:r>
          </w:p>
        </w:tc>
        <w:tc>
          <w:tcPr>
            <w:tcW w:w="76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91797E4">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根据厂家依据采购需求</w:t>
            </w:r>
            <w:r>
              <w:rPr>
                <w:rFonts w:hint="eastAsia" w:cs="宋体"/>
                <w:sz w:val="24"/>
                <w:szCs w:val="24"/>
                <w:highlight w:val="none"/>
                <w:lang w:val="en-US" w:eastAsia="zh-CN"/>
              </w:rPr>
              <w:t>制定</w:t>
            </w:r>
            <w:r>
              <w:rPr>
                <w:rFonts w:hint="default" w:cs="宋体"/>
                <w:sz w:val="24"/>
                <w:szCs w:val="24"/>
                <w:highlight w:val="none"/>
              </w:rPr>
              <w:t>的设计方案，如需求的的符合度、工艺的合理性、整体的方案设计、色彩搭配等进行评审。</w:t>
            </w:r>
          </w:p>
          <w:p w14:paraId="5B44FD27">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所投产品的结构设计合理、工艺精细、家具设计图、工艺图效果美观，整体设计、色彩搭配美观的得10分；</w:t>
            </w:r>
          </w:p>
          <w:p w14:paraId="20463C36">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所投产品的结构设计较合理、工艺较精细、家具设计图、工艺图效果较美观，整体设计、色彩搭配较美观的得8分；</w:t>
            </w:r>
          </w:p>
          <w:p w14:paraId="6ADF301A">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所投产品的结构设计基本合理、工艺普通、家具设计图、工艺图效果良好，整体设计、色彩搭配良好的得6分；</w:t>
            </w:r>
          </w:p>
          <w:p w14:paraId="786E66C7">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所投产品的结构设计存在一定不合理、工艺较差、家具设计图、工艺图效果较差，整体设计、色彩搭配较差</w:t>
            </w:r>
            <w:r>
              <w:rPr>
                <w:rFonts w:hint="eastAsia" w:cs="宋体"/>
                <w:sz w:val="24"/>
                <w:szCs w:val="24"/>
                <w:highlight w:val="none"/>
                <w:lang w:val="en-US" w:eastAsia="zh-CN"/>
              </w:rPr>
              <w:t>的</w:t>
            </w:r>
            <w:r>
              <w:rPr>
                <w:rFonts w:hint="default" w:cs="宋体"/>
                <w:sz w:val="24"/>
                <w:szCs w:val="24"/>
                <w:highlight w:val="none"/>
              </w:rPr>
              <w:t>得4分；</w:t>
            </w:r>
          </w:p>
          <w:p w14:paraId="2790A720">
            <w:pPr>
              <w:widowControl/>
              <w:spacing w:beforeLines="0" w:afterLines="0" w:line="240" w:lineRule="auto"/>
              <w:ind w:left="0" w:leftChars="0" w:firstLine="0" w:firstLineChars="0"/>
              <w:rPr>
                <w:rFonts w:hint="default" w:cs="宋体"/>
                <w:sz w:val="24"/>
                <w:szCs w:val="24"/>
                <w:highlight w:val="none"/>
              </w:rPr>
            </w:pPr>
            <w:r>
              <w:rPr>
                <w:rFonts w:hint="default" w:cs="宋体"/>
                <w:sz w:val="24"/>
                <w:szCs w:val="24"/>
                <w:highlight w:val="none"/>
              </w:rPr>
              <w:t>所投产品的结构设计存在明显不合理、工艺差、家具设计图、工艺图效果差，整体设计、色彩搭配差的得2分。</w:t>
            </w:r>
          </w:p>
          <w:p w14:paraId="659DB93B">
            <w:pPr>
              <w:widowControl/>
              <w:spacing w:beforeLines="0" w:afterLines="0" w:line="240" w:lineRule="auto"/>
              <w:ind w:left="0" w:leftChars="0" w:firstLine="0" w:firstLineChars="0"/>
              <w:rPr>
                <w:rFonts w:hint="default" w:ascii="宋体" w:hAnsi="宋体" w:eastAsia="宋体" w:cs="宋体"/>
                <w:kern w:val="2"/>
                <w:sz w:val="24"/>
                <w:szCs w:val="24"/>
                <w:highlight w:val="none"/>
                <w:lang w:val="en-US" w:eastAsia="zh-CN" w:bidi="ar-SA"/>
              </w:rPr>
            </w:pPr>
            <w:r>
              <w:rPr>
                <w:rFonts w:hint="default" w:cs="宋体"/>
                <w:b/>
                <w:sz w:val="24"/>
                <w:szCs w:val="24"/>
                <w:highlight w:val="none"/>
                <w:u w:val="single"/>
              </w:rPr>
              <w:t>注：方案严重偏离采购</w:t>
            </w:r>
            <w:r>
              <w:rPr>
                <w:rFonts w:hint="eastAsia" w:cs="宋体"/>
                <w:b/>
                <w:sz w:val="24"/>
                <w:szCs w:val="24"/>
                <w:highlight w:val="none"/>
                <w:u w:val="single"/>
                <w:lang w:eastAsia="zh-CN"/>
              </w:rPr>
              <w:t>需</w:t>
            </w:r>
            <w:r>
              <w:rPr>
                <w:rFonts w:hint="default" w:cs="宋体"/>
                <w:b/>
                <w:sz w:val="24"/>
                <w:szCs w:val="24"/>
                <w:highlight w:val="none"/>
                <w:u w:val="single"/>
              </w:rPr>
              <w:t>求或未递交方案的不得分。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6650330">
            <w:pPr>
              <w:spacing w:beforeLines="0" w:afterLines="0" w:line="360" w:lineRule="exact"/>
              <w:ind w:firstLine="0" w:firstLineChars="0"/>
              <w:jc w:val="center"/>
              <w:rPr>
                <w:rFonts w:hint="default" w:ascii="宋体" w:hAnsi="宋体" w:eastAsia="宋体" w:cs="宋体"/>
                <w:kern w:val="2"/>
                <w:sz w:val="24"/>
                <w:szCs w:val="24"/>
                <w:highlight w:val="none"/>
                <w:lang w:val="en-US" w:eastAsia="zh-CN" w:bidi="ar-SA"/>
              </w:rPr>
            </w:pPr>
            <w:r>
              <w:rPr>
                <w:rFonts w:hint="eastAsia" w:cs="宋体"/>
                <w:sz w:val="24"/>
                <w:szCs w:val="24"/>
                <w:highlight w:val="none"/>
                <w:lang w:val="en-US" w:eastAsia="zh-CN"/>
              </w:rPr>
              <w:t>10</w:t>
            </w:r>
            <w:r>
              <w:rPr>
                <w:rFonts w:hint="default" w:cs="宋体"/>
                <w:sz w:val="24"/>
                <w:szCs w:val="24"/>
                <w:highlight w:val="none"/>
              </w:rPr>
              <w:t>分</w:t>
            </w:r>
          </w:p>
        </w:tc>
      </w:tr>
      <w:tr w14:paraId="5858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764" w:type="dxa"/>
            <w:shd w:val="clear" w:color="auto" w:fill="auto"/>
            <w:noWrap/>
            <w:vAlign w:val="center"/>
          </w:tcPr>
          <w:p w14:paraId="52BA5905">
            <w:pPr>
              <w:widowControl/>
              <w:spacing w:line="360" w:lineRule="exact"/>
              <w:ind w:firstLine="0" w:firstLineChars="0"/>
              <w:jc w:val="center"/>
              <w:rPr>
                <w:rFonts w:hint="eastAsia" w:eastAsia="宋体" w:cs="宋体"/>
                <w:highlight w:val="none"/>
                <w:lang w:val="en-US" w:eastAsia="zh-CN"/>
              </w:rPr>
            </w:pPr>
            <w:r>
              <w:rPr>
                <w:rFonts w:hint="eastAsia" w:cs="宋体"/>
                <w:highlight w:val="none"/>
                <w:lang w:val="en-US" w:eastAsia="zh-CN"/>
              </w:rPr>
              <w:t>7</w:t>
            </w:r>
          </w:p>
        </w:tc>
        <w:tc>
          <w:tcPr>
            <w:tcW w:w="1349" w:type="dxa"/>
            <w:shd w:val="clear" w:color="auto" w:fill="auto"/>
            <w:noWrap/>
            <w:vAlign w:val="center"/>
          </w:tcPr>
          <w:p w14:paraId="0566D38A">
            <w:pPr>
              <w:widowControl/>
              <w:spacing w:line="360" w:lineRule="exact"/>
              <w:ind w:firstLine="0" w:firstLineChars="0"/>
              <w:jc w:val="center"/>
              <w:rPr>
                <w:rFonts w:hint="default" w:eastAsia="宋体" w:cs="宋体"/>
                <w:highlight w:val="none"/>
                <w:lang w:val="en-US" w:eastAsia="zh-CN"/>
              </w:rPr>
            </w:pPr>
            <w:r>
              <w:rPr>
                <w:rFonts w:hint="eastAsia" w:cs="宋体"/>
                <w:highlight w:val="none"/>
                <w:lang w:val="en-US" w:eastAsia="zh-CN"/>
              </w:rPr>
              <w:t>检测报告</w:t>
            </w:r>
          </w:p>
        </w:tc>
        <w:tc>
          <w:tcPr>
            <w:tcW w:w="7692" w:type="dxa"/>
            <w:shd w:val="clear" w:color="auto" w:fill="auto"/>
            <w:noWrap/>
            <w:vAlign w:val="center"/>
          </w:tcPr>
          <w:p w14:paraId="44E257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cs="宋体"/>
                <w:highlight w:val="none"/>
                <w:lang w:val="en-US" w:eastAsia="zh-CN"/>
              </w:rPr>
            </w:pPr>
            <w:r>
              <w:rPr>
                <w:rFonts w:hint="eastAsia" w:cs="宋体"/>
                <w:highlight w:val="none"/>
                <w:lang w:val="en-US" w:eastAsia="zh-CN"/>
              </w:rPr>
              <w:t>提供下列检测报告，每提供一个得2.5分，最多得5分。不提供不得分,同一类型的不重复计分。检测报告上的产品或材料名称应与招标文件上的以下名称基本一致，否则不得分。</w:t>
            </w:r>
          </w:p>
          <w:p w14:paraId="280975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highlight w:val="none"/>
                <w:lang w:val="en-US" w:eastAsia="zh-CN"/>
              </w:rPr>
            </w:pPr>
            <w:r>
              <w:rPr>
                <w:rFonts w:hint="eastAsia" w:cs="宋体"/>
                <w:highlight w:val="none"/>
                <w:lang w:val="en-US" w:eastAsia="zh-CN"/>
              </w:rPr>
              <w:t>（1）</w:t>
            </w:r>
            <w:r>
              <w:rPr>
                <w:rFonts w:hint="eastAsia" w:ascii="宋体" w:hAnsi="宋体" w:eastAsia="宋体" w:cs="宋体"/>
                <w:highlight w:val="none"/>
                <w:lang w:val="en-US" w:eastAsia="zh-CN"/>
              </w:rPr>
              <w:t>团辅桌、折叠桌：根据GB/T 3324-2017标准要求：漆膜理化性能附着力、耐磨性、抗冲击均不低于3级；强度和耐久性符合要求。GB20286-2006：阻燃等级1级。</w:t>
            </w:r>
          </w:p>
          <w:p w14:paraId="46CAE5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highlight w:val="none"/>
                <w:lang w:val="en-US" w:eastAsia="zh-CN"/>
              </w:rPr>
            </w:pPr>
            <w:r>
              <w:rPr>
                <w:rFonts w:hint="eastAsia" w:cs="宋体"/>
                <w:highlight w:val="none"/>
                <w:lang w:val="en-US" w:eastAsia="zh-CN"/>
              </w:rPr>
              <w:t>（2）</w:t>
            </w:r>
            <w:r>
              <w:rPr>
                <w:rFonts w:hint="eastAsia" w:ascii="宋体" w:hAnsi="宋体" w:eastAsia="宋体" w:cs="宋体"/>
                <w:highlight w:val="none"/>
                <w:lang w:val="en-US" w:eastAsia="zh-CN"/>
              </w:rPr>
              <w:t>新中式椅子：根据GB/T 3324-2017标准要求：漆膜理化性能附着力、耐磨性、抗冲击均不低于3级；强度和耐久性符合要求。GB20286-2006：阻燃等级1级。</w:t>
            </w:r>
          </w:p>
          <w:p w14:paraId="02D764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highlight w:val="none"/>
              </w:rPr>
            </w:pPr>
            <w:r>
              <w:rPr>
                <w:rFonts w:hint="eastAsia" w:cs="宋体"/>
                <w:b/>
                <w:bCs/>
                <w:highlight w:val="none"/>
                <w:u w:val="single"/>
                <w:lang w:val="en-US" w:eastAsia="zh-CN"/>
              </w:rPr>
              <w:t>注：提供国家认可的第三方检测机构出具的带有CMA标志的检测报告扫描件（有效期内）。并提供全国认证认可信息公共服务平台网站信息截图并加盖供应商公章，不提供不得分。</w:t>
            </w:r>
          </w:p>
        </w:tc>
        <w:tc>
          <w:tcPr>
            <w:tcW w:w="761" w:type="dxa"/>
            <w:shd w:val="clear" w:color="auto" w:fill="auto"/>
            <w:noWrap/>
            <w:vAlign w:val="center"/>
          </w:tcPr>
          <w:p w14:paraId="57FE43D0">
            <w:pPr>
              <w:spacing w:line="360" w:lineRule="exact"/>
              <w:ind w:firstLine="0" w:firstLineChars="0"/>
              <w:jc w:val="center"/>
              <w:rPr>
                <w:rFonts w:hint="default" w:eastAsia="宋体" w:cs="宋体"/>
                <w:highlight w:val="none"/>
                <w:lang w:val="en-US" w:eastAsia="zh-CN"/>
              </w:rPr>
            </w:pPr>
            <w:r>
              <w:rPr>
                <w:rFonts w:hint="eastAsia" w:cs="宋体"/>
                <w:highlight w:val="none"/>
                <w:lang w:val="en-US" w:eastAsia="zh-CN"/>
              </w:rPr>
              <w:t>5分</w:t>
            </w:r>
          </w:p>
        </w:tc>
      </w:tr>
      <w:tr w14:paraId="7B9A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05" w:type="dxa"/>
            <w:gridSpan w:val="3"/>
            <w:noWrap/>
            <w:vAlign w:val="center"/>
          </w:tcPr>
          <w:p w14:paraId="12B0C835">
            <w:pPr>
              <w:keepNext w:val="0"/>
              <w:keepLines w:val="0"/>
              <w:pageBreakBefore w:val="0"/>
              <w:kinsoku/>
              <w:wordWrap/>
              <w:overflowPunct/>
              <w:topLinePunct w:val="0"/>
              <w:autoSpaceDE/>
              <w:autoSpaceDN/>
              <w:bidi w:val="0"/>
              <w:adjustRightInd/>
              <w:snapToGrid/>
              <w:spacing w:line="240" w:lineRule="auto"/>
              <w:ind w:firstLine="482" w:firstLineChars="200"/>
              <w:jc w:val="center"/>
              <w:textAlignment w:val="auto"/>
              <w:rPr>
                <w:rFonts w:cs="宋体"/>
                <w:b/>
                <w:bCs/>
                <w:highlight w:val="none"/>
              </w:rPr>
            </w:pPr>
            <w:r>
              <w:rPr>
                <w:rFonts w:hint="eastAsia" w:cs="宋体"/>
                <w:b/>
                <w:bCs/>
                <w:highlight w:val="none"/>
              </w:rPr>
              <w:t>商务及资信分</w:t>
            </w:r>
          </w:p>
        </w:tc>
        <w:tc>
          <w:tcPr>
            <w:tcW w:w="761" w:type="dxa"/>
            <w:noWrap/>
            <w:vAlign w:val="center"/>
          </w:tcPr>
          <w:p w14:paraId="09E77DF6">
            <w:pPr>
              <w:spacing w:line="360" w:lineRule="exact"/>
              <w:ind w:firstLine="0" w:firstLineChars="0"/>
              <w:jc w:val="center"/>
              <w:rPr>
                <w:rFonts w:cs="宋体"/>
                <w:b/>
                <w:bCs/>
                <w:highlight w:val="none"/>
              </w:rPr>
            </w:pPr>
            <w:r>
              <w:rPr>
                <w:rFonts w:hint="eastAsia" w:cs="宋体"/>
                <w:b/>
                <w:bCs/>
                <w:highlight w:val="none"/>
              </w:rPr>
              <w:t>19分</w:t>
            </w:r>
          </w:p>
        </w:tc>
      </w:tr>
      <w:tr w14:paraId="4ED5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6E24BF57">
            <w:pPr>
              <w:spacing w:line="360" w:lineRule="exact"/>
              <w:ind w:firstLine="0" w:firstLineChars="0"/>
              <w:jc w:val="center"/>
              <w:rPr>
                <w:rFonts w:hint="eastAsia" w:eastAsia="宋体" w:cs="宋体"/>
                <w:kern w:val="0"/>
                <w:highlight w:val="none"/>
                <w:lang w:val="en-US" w:eastAsia="zh-CN"/>
              </w:rPr>
            </w:pPr>
            <w:r>
              <w:rPr>
                <w:rFonts w:hint="eastAsia" w:cs="宋体"/>
                <w:kern w:val="0"/>
                <w:highlight w:val="none"/>
                <w:lang w:val="en-US" w:eastAsia="zh-CN"/>
              </w:rPr>
              <w:t>8</w:t>
            </w:r>
          </w:p>
        </w:tc>
        <w:tc>
          <w:tcPr>
            <w:tcW w:w="1349" w:type="dxa"/>
            <w:shd w:val="clear" w:color="auto" w:fill="auto"/>
            <w:noWrap/>
            <w:vAlign w:val="center"/>
          </w:tcPr>
          <w:p w14:paraId="2F6CA7D2">
            <w:pPr>
              <w:widowControl/>
              <w:spacing w:line="340" w:lineRule="exact"/>
              <w:ind w:firstLine="0" w:firstLineChars="0"/>
              <w:jc w:val="center"/>
              <w:rPr>
                <w:rFonts w:cs="宋体"/>
                <w:highlight w:val="none"/>
              </w:rPr>
            </w:pPr>
            <w:r>
              <w:rPr>
                <w:rFonts w:cs="宋体"/>
                <w:highlight w:val="none"/>
              </w:rPr>
              <w:t>售后服务</w:t>
            </w:r>
          </w:p>
          <w:p w14:paraId="6A9D3901">
            <w:pPr>
              <w:widowControl/>
              <w:spacing w:line="340" w:lineRule="exact"/>
              <w:ind w:firstLine="0" w:firstLineChars="0"/>
              <w:jc w:val="center"/>
              <w:rPr>
                <w:rFonts w:cs="宋体"/>
                <w:kern w:val="0"/>
                <w:highlight w:val="none"/>
              </w:rPr>
            </w:pPr>
            <w:r>
              <w:rPr>
                <w:rFonts w:cs="宋体"/>
                <w:highlight w:val="none"/>
              </w:rPr>
              <w:t>方案</w:t>
            </w:r>
          </w:p>
        </w:tc>
        <w:tc>
          <w:tcPr>
            <w:tcW w:w="7692" w:type="dxa"/>
            <w:shd w:val="clear" w:color="auto" w:fill="auto"/>
            <w:noWrap/>
            <w:vAlign w:val="center"/>
          </w:tcPr>
          <w:p w14:paraId="2300B7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79195E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725FB486">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现场响应时间：供应商4小时到达现场响应不得分；在</w:t>
            </w:r>
            <w:r>
              <w:rPr>
                <w:rFonts w:hint="eastAsia" w:cs="宋体"/>
                <w:highlight w:val="none"/>
                <w:lang w:val="en-US" w:eastAsia="zh-CN"/>
              </w:rPr>
              <w:t>4</w:t>
            </w:r>
            <w:r>
              <w:rPr>
                <w:rFonts w:cs="宋体"/>
                <w:highlight w:val="none"/>
              </w:rPr>
              <w:t>小时基础上每减少1小时加1分，最高得3分。</w:t>
            </w:r>
          </w:p>
        </w:tc>
        <w:tc>
          <w:tcPr>
            <w:tcW w:w="761" w:type="dxa"/>
            <w:shd w:val="clear" w:color="auto" w:fill="auto"/>
            <w:noWrap/>
            <w:vAlign w:val="center"/>
          </w:tcPr>
          <w:p w14:paraId="5C9F2220">
            <w:pPr>
              <w:spacing w:line="340" w:lineRule="exact"/>
              <w:ind w:firstLine="0" w:firstLineChars="0"/>
              <w:jc w:val="center"/>
              <w:rPr>
                <w:rFonts w:cs="宋体"/>
                <w:highlight w:val="none"/>
              </w:rPr>
            </w:pPr>
            <w:r>
              <w:rPr>
                <w:rFonts w:cs="宋体"/>
                <w:highlight w:val="none"/>
              </w:rPr>
              <w:t>9分</w:t>
            </w:r>
          </w:p>
        </w:tc>
      </w:tr>
      <w:tr w14:paraId="2E5C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0D09883C">
            <w:pPr>
              <w:spacing w:line="360" w:lineRule="exact"/>
              <w:ind w:firstLine="0" w:firstLineChars="0"/>
              <w:jc w:val="center"/>
              <w:rPr>
                <w:rFonts w:hint="eastAsia" w:eastAsia="宋体" w:cs="宋体"/>
                <w:kern w:val="0"/>
                <w:highlight w:val="none"/>
                <w:lang w:val="en-US" w:eastAsia="zh-CN"/>
              </w:rPr>
            </w:pPr>
            <w:r>
              <w:rPr>
                <w:rFonts w:hint="eastAsia" w:cs="宋体"/>
                <w:kern w:val="0"/>
                <w:highlight w:val="none"/>
                <w:lang w:val="en-US" w:eastAsia="zh-CN"/>
              </w:rPr>
              <w:t>9</w:t>
            </w:r>
          </w:p>
        </w:tc>
        <w:tc>
          <w:tcPr>
            <w:tcW w:w="1349" w:type="dxa"/>
            <w:shd w:val="clear" w:color="auto" w:fill="auto"/>
            <w:noWrap/>
            <w:vAlign w:val="center"/>
          </w:tcPr>
          <w:p w14:paraId="19E8ECED">
            <w:pPr>
              <w:spacing w:line="360" w:lineRule="exact"/>
              <w:ind w:firstLine="0" w:firstLineChars="0"/>
              <w:jc w:val="center"/>
              <w:rPr>
                <w:rFonts w:cs="宋体"/>
                <w:highlight w:val="none"/>
              </w:rPr>
            </w:pPr>
            <w:r>
              <w:rPr>
                <w:rFonts w:cs="宋体"/>
                <w:highlight w:val="none"/>
              </w:rPr>
              <w:t>质保期</w:t>
            </w:r>
          </w:p>
        </w:tc>
        <w:tc>
          <w:tcPr>
            <w:tcW w:w="7692" w:type="dxa"/>
            <w:shd w:val="clear" w:color="auto" w:fill="auto"/>
            <w:noWrap/>
            <w:vAlign w:val="center"/>
          </w:tcPr>
          <w:p w14:paraId="581C441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highlight w:val="none"/>
              </w:rPr>
            </w:pPr>
            <w:r>
              <w:rPr>
                <w:rFonts w:cs="宋体"/>
                <w:highlight w:val="none"/>
              </w:rPr>
              <w:t>质保期在满足招标文件要求</w:t>
            </w:r>
            <w:r>
              <w:rPr>
                <w:rFonts w:hint="eastAsia" w:cs="宋体"/>
                <w:highlight w:val="none"/>
                <w:lang w:val="en-US" w:eastAsia="zh-CN"/>
              </w:rPr>
              <w:t>3年</w:t>
            </w:r>
            <w:r>
              <w:rPr>
                <w:rFonts w:cs="宋体"/>
                <w:highlight w:val="none"/>
              </w:rPr>
              <w:t>的基础上</w:t>
            </w:r>
            <w:r>
              <w:rPr>
                <w:rFonts w:hint="eastAsia" w:cs="宋体"/>
                <w:highlight w:val="none"/>
                <w:lang w:eastAsia="zh-CN"/>
              </w:rPr>
              <w:t>（</w:t>
            </w:r>
            <w:r>
              <w:rPr>
                <w:rFonts w:hint="eastAsia" w:cs="宋体"/>
                <w:highlight w:val="none"/>
                <w:lang w:val="en-US" w:eastAsia="zh-CN"/>
              </w:rPr>
              <w:t>如部分设备、配件有更长质保要求按更长要求计算</w:t>
            </w:r>
            <w:r>
              <w:rPr>
                <w:rFonts w:hint="eastAsia" w:cs="宋体"/>
                <w:highlight w:val="none"/>
                <w:lang w:eastAsia="zh-CN"/>
              </w:rPr>
              <w:t>）</w:t>
            </w:r>
            <w:r>
              <w:rPr>
                <w:rFonts w:cs="宋体"/>
                <w:highlight w:val="none"/>
              </w:rPr>
              <w:t>，全部产品每增加1年质保期加0.5分，本项最高得2分。</w:t>
            </w:r>
          </w:p>
        </w:tc>
        <w:tc>
          <w:tcPr>
            <w:tcW w:w="761" w:type="dxa"/>
            <w:shd w:val="clear" w:color="auto" w:fill="auto"/>
            <w:noWrap/>
            <w:vAlign w:val="center"/>
          </w:tcPr>
          <w:p w14:paraId="1EBA5539">
            <w:pPr>
              <w:spacing w:line="360" w:lineRule="exact"/>
              <w:ind w:firstLine="0" w:firstLineChars="0"/>
              <w:jc w:val="center"/>
              <w:rPr>
                <w:rFonts w:cs="宋体"/>
                <w:highlight w:val="none"/>
              </w:rPr>
            </w:pPr>
            <w:r>
              <w:rPr>
                <w:rFonts w:cs="宋体"/>
                <w:highlight w:val="none"/>
              </w:rPr>
              <w:t>2分</w:t>
            </w:r>
          </w:p>
        </w:tc>
      </w:tr>
      <w:tr w14:paraId="201A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764" w:type="dxa"/>
            <w:noWrap/>
            <w:vAlign w:val="center"/>
          </w:tcPr>
          <w:p w14:paraId="4D854506">
            <w:pPr>
              <w:spacing w:line="360" w:lineRule="exact"/>
              <w:ind w:firstLine="0" w:firstLineChars="0"/>
              <w:jc w:val="center"/>
              <w:rPr>
                <w:rFonts w:hint="default" w:eastAsia="宋体" w:cs="宋体"/>
                <w:kern w:val="0"/>
                <w:highlight w:val="none"/>
                <w:lang w:val="en-US" w:eastAsia="zh-CN"/>
              </w:rPr>
            </w:pPr>
            <w:r>
              <w:rPr>
                <w:rFonts w:hint="eastAsia" w:cs="宋体"/>
                <w:kern w:val="0"/>
                <w:highlight w:val="none"/>
                <w:lang w:val="en-US" w:eastAsia="zh-CN"/>
              </w:rPr>
              <w:t>10</w:t>
            </w:r>
          </w:p>
        </w:tc>
        <w:tc>
          <w:tcPr>
            <w:tcW w:w="1349" w:type="dxa"/>
            <w:shd w:val="clear" w:color="auto" w:fill="auto"/>
            <w:noWrap/>
            <w:vAlign w:val="center"/>
          </w:tcPr>
          <w:p w14:paraId="5ECC4863">
            <w:pPr>
              <w:widowControl/>
              <w:spacing w:line="360" w:lineRule="exact"/>
              <w:ind w:firstLine="0" w:firstLineChars="0"/>
              <w:jc w:val="center"/>
              <w:rPr>
                <w:rFonts w:cs="宋体"/>
                <w:highlight w:val="none"/>
              </w:rPr>
            </w:pPr>
            <w:r>
              <w:rPr>
                <w:rFonts w:cs="宋体"/>
                <w:highlight w:val="none"/>
              </w:rPr>
              <w:t>优惠承诺</w:t>
            </w:r>
          </w:p>
        </w:tc>
        <w:tc>
          <w:tcPr>
            <w:tcW w:w="7692" w:type="dxa"/>
            <w:shd w:val="clear" w:color="auto" w:fill="auto"/>
            <w:noWrap/>
            <w:vAlign w:val="center"/>
          </w:tcPr>
          <w:p w14:paraId="48950C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3F31B4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b/>
                <w:highlight w:val="none"/>
                <w:u w:val="single"/>
              </w:rPr>
              <w:t>注：优惠承诺须经评标委员会成员一致认可方为有效。</w:t>
            </w:r>
          </w:p>
        </w:tc>
        <w:tc>
          <w:tcPr>
            <w:tcW w:w="761" w:type="dxa"/>
            <w:shd w:val="clear" w:color="auto" w:fill="auto"/>
            <w:noWrap/>
            <w:vAlign w:val="center"/>
          </w:tcPr>
          <w:p w14:paraId="2F8836BD">
            <w:pPr>
              <w:spacing w:line="360" w:lineRule="exact"/>
              <w:ind w:firstLine="0" w:firstLineChars="0"/>
              <w:jc w:val="center"/>
              <w:rPr>
                <w:rFonts w:cs="宋体"/>
                <w:highlight w:val="none"/>
              </w:rPr>
            </w:pPr>
            <w:r>
              <w:rPr>
                <w:rFonts w:cs="宋体"/>
                <w:highlight w:val="none"/>
              </w:rPr>
              <w:t>2分</w:t>
            </w:r>
          </w:p>
        </w:tc>
      </w:tr>
      <w:tr w14:paraId="60C3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764" w:type="dxa"/>
            <w:noWrap/>
            <w:vAlign w:val="center"/>
          </w:tcPr>
          <w:p w14:paraId="34F28EC3">
            <w:pPr>
              <w:widowControl/>
              <w:spacing w:line="340" w:lineRule="exact"/>
              <w:ind w:firstLine="0" w:firstLineChars="0"/>
              <w:jc w:val="center"/>
              <w:rPr>
                <w:rFonts w:hint="eastAsia" w:eastAsia="宋体" w:cs="宋体"/>
                <w:highlight w:val="none"/>
                <w:lang w:val="en-US" w:eastAsia="zh-CN"/>
              </w:rPr>
            </w:pPr>
            <w:r>
              <w:rPr>
                <w:rFonts w:hint="eastAsia" w:cs="宋体"/>
                <w:highlight w:val="none"/>
              </w:rPr>
              <w:t>1</w:t>
            </w:r>
            <w:r>
              <w:rPr>
                <w:rFonts w:hint="eastAsia" w:cs="宋体"/>
                <w:highlight w:val="none"/>
                <w:lang w:val="en-US" w:eastAsia="zh-CN"/>
              </w:rPr>
              <w:t>1</w:t>
            </w:r>
          </w:p>
        </w:tc>
        <w:tc>
          <w:tcPr>
            <w:tcW w:w="1349" w:type="dxa"/>
            <w:shd w:val="clear" w:color="auto" w:fill="auto"/>
            <w:noWrap/>
            <w:vAlign w:val="center"/>
          </w:tcPr>
          <w:p w14:paraId="18FB1EB1">
            <w:pPr>
              <w:spacing w:line="360" w:lineRule="exact"/>
              <w:ind w:firstLine="0" w:firstLineChars="0"/>
              <w:jc w:val="center"/>
              <w:rPr>
                <w:rFonts w:cs="宋体"/>
                <w:kern w:val="0"/>
                <w:highlight w:val="none"/>
              </w:rPr>
            </w:pPr>
            <w:r>
              <w:rPr>
                <w:rFonts w:cs="宋体"/>
                <w:highlight w:val="none"/>
              </w:rPr>
              <w:t>企业认证</w:t>
            </w:r>
          </w:p>
        </w:tc>
        <w:tc>
          <w:tcPr>
            <w:tcW w:w="7692" w:type="dxa"/>
            <w:shd w:val="clear" w:color="auto" w:fill="auto"/>
            <w:noWrap/>
            <w:vAlign w:val="center"/>
          </w:tcPr>
          <w:p w14:paraId="59BD7C82">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投标人具有有效的环境管理体系证书的得1分；</w:t>
            </w:r>
          </w:p>
          <w:p w14:paraId="7F4E822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投标人具有有效的质量管理体系证书的得1分；</w:t>
            </w:r>
          </w:p>
          <w:p w14:paraId="565C8B7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cs="宋体"/>
                <w:highlight w:val="none"/>
                <w:lang w:eastAsia="zh-CN"/>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投标人具有有效的职业健康安全管理体系的得1分</w:t>
            </w:r>
            <w:r>
              <w:rPr>
                <w:rFonts w:hint="eastAsia" w:cs="宋体"/>
                <w:highlight w:val="none"/>
                <w:lang w:eastAsia="zh-CN"/>
              </w:rPr>
              <w:t>。</w:t>
            </w:r>
          </w:p>
          <w:p w14:paraId="51BC0BD8">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761" w:type="dxa"/>
            <w:shd w:val="clear" w:color="auto" w:fill="auto"/>
            <w:noWrap/>
            <w:vAlign w:val="center"/>
          </w:tcPr>
          <w:p w14:paraId="1B8B1CE3">
            <w:pPr>
              <w:spacing w:line="360" w:lineRule="exact"/>
              <w:ind w:firstLine="0" w:firstLineChars="0"/>
              <w:jc w:val="center"/>
              <w:rPr>
                <w:rFonts w:cs="宋体"/>
                <w:b/>
                <w:kern w:val="0"/>
                <w:highlight w:val="none"/>
              </w:rPr>
            </w:pPr>
            <w:r>
              <w:rPr>
                <w:rFonts w:cs="宋体"/>
                <w:highlight w:val="none"/>
              </w:rPr>
              <w:t>3分</w:t>
            </w:r>
          </w:p>
        </w:tc>
      </w:tr>
      <w:tr w14:paraId="7774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64" w:type="dxa"/>
            <w:shd w:val="clear" w:color="auto" w:fill="auto"/>
            <w:noWrap/>
            <w:vAlign w:val="center"/>
          </w:tcPr>
          <w:p w14:paraId="01E4AA81">
            <w:pPr>
              <w:spacing w:line="360" w:lineRule="exact"/>
              <w:ind w:firstLine="0" w:firstLineChars="0"/>
              <w:jc w:val="center"/>
              <w:rPr>
                <w:rFonts w:hint="eastAsia" w:eastAsia="宋体" w:cs="宋体"/>
                <w:kern w:val="0"/>
                <w:highlight w:val="none"/>
                <w:lang w:val="en-US" w:eastAsia="zh-CN"/>
              </w:rPr>
            </w:pPr>
            <w:r>
              <w:rPr>
                <w:rFonts w:cs="宋体"/>
                <w:kern w:val="0"/>
                <w:highlight w:val="none"/>
              </w:rPr>
              <w:t>1</w:t>
            </w:r>
            <w:r>
              <w:rPr>
                <w:rFonts w:hint="eastAsia" w:cs="宋体"/>
                <w:kern w:val="0"/>
                <w:highlight w:val="none"/>
                <w:lang w:val="en-US" w:eastAsia="zh-CN"/>
              </w:rPr>
              <w:t>2</w:t>
            </w:r>
          </w:p>
        </w:tc>
        <w:tc>
          <w:tcPr>
            <w:tcW w:w="1349" w:type="dxa"/>
            <w:shd w:val="clear" w:color="auto" w:fill="auto"/>
            <w:noWrap/>
            <w:vAlign w:val="center"/>
          </w:tcPr>
          <w:p w14:paraId="631D5AEF">
            <w:pPr>
              <w:spacing w:line="360" w:lineRule="exact"/>
              <w:ind w:firstLine="0" w:firstLineChars="0"/>
              <w:jc w:val="center"/>
              <w:rPr>
                <w:rFonts w:cs="宋体"/>
                <w:kern w:val="0"/>
                <w:highlight w:val="none"/>
              </w:rPr>
            </w:pPr>
            <w:r>
              <w:rPr>
                <w:rFonts w:cs="宋体"/>
                <w:highlight w:val="none"/>
              </w:rPr>
              <w:t>类似业绩</w:t>
            </w:r>
          </w:p>
        </w:tc>
        <w:tc>
          <w:tcPr>
            <w:tcW w:w="7692" w:type="dxa"/>
            <w:shd w:val="clear" w:color="auto" w:fill="auto"/>
            <w:noWrap/>
            <w:vAlign w:val="center"/>
          </w:tcPr>
          <w:p w14:paraId="1583CDF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投标人自2022年1月1日以来（以合同签订时间为准）承接过的类似项目业绩，每提供一个有效业绩得1分，最高得3分。</w:t>
            </w:r>
          </w:p>
          <w:p w14:paraId="5C9EE45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shd w:val="clear" w:color="auto" w:fill="auto"/>
            <w:noWrap/>
            <w:vAlign w:val="center"/>
          </w:tcPr>
          <w:p w14:paraId="5184675D">
            <w:pPr>
              <w:spacing w:line="360" w:lineRule="exact"/>
              <w:ind w:firstLine="0" w:firstLineChars="0"/>
              <w:jc w:val="center"/>
              <w:rPr>
                <w:rFonts w:cs="宋体"/>
                <w:b/>
                <w:kern w:val="0"/>
                <w:highlight w:val="none"/>
              </w:rPr>
            </w:pPr>
            <w:r>
              <w:rPr>
                <w:rFonts w:cs="宋体"/>
                <w:highlight w:val="none"/>
              </w:rPr>
              <w:t>3分</w:t>
            </w:r>
          </w:p>
        </w:tc>
      </w:tr>
    </w:tbl>
    <w:p w14:paraId="36B2CC7A">
      <w:pPr>
        <w:ind w:firstLine="480"/>
        <w:jc w:val="left"/>
        <w:rPr>
          <w:highlight w:val="none"/>
        </w:rPr>
      </w:pPr>
    </w:p>
    <w:p w14:paraId="71BE0DE8">
      <w:pPr>
        <w:ind w:firstLine="480"/>
        <w:jc w:val="left"/>
        <w:rPr>
          <w:highlight w:val="none"/>
        </w:rPr>
      </w:pPr>
    </w:p>
    <w:p w14:paraId="6669FF1C">
      <w:pPr>
        <w:ind w:firstLine="480"/>
        <w:jc w:val="left"/>
        <w:rPr>
          <w:highlight w:val="none"/>
        </w:rPr>
        <w:sectPr>
          <w:pgSz w:w="11907" w:h="16840"/>
          <w:pgMar w:top="1247" w:right="1304" w:bottom="1021" w:left="1304" w:header="720" w:footer="720" w:gutter="0"/>
          <w:cols w:space="720" w:num="1"/>
          <w:docGrid w:linePitch="286" w:charSpace="0"/>
        </w:sectPr>
      </w:pPr>
    </w:p>
    <w:p w14:paraId="354D6EF9">
      <w:pPr>
        <w:pStyle w:val="3"/>
        <w:rPr>
          <w:rFonts w:asciiTheme="minorEastAsia" w:hAnsiTheme="minorEastAsia" w:eastAsiaTheme="minorEastAsia" w:cstheme="minorEastAsia"/>
          <w:highlight w:val="none"/>
        </w:rPr>
      </w:pPr>
      <w:r>
        <w:rPr>
          <w:rFonts w:hint="eastAsia" w:asciiTheme="minorEastAsia" w:hAnsiTheme="minorEastAsia" w:eastAsiaTheme="minorEastAsia" w:cstheme="minorEastAsia"/>
          <w:sz w:val="36"/>
          <w:szCs w:val="36"/>
          <w:highlight w:val="none"/>
        </w:rPr>
        <w:t xml:space="preserve">第五章  </w:t>
      </w:r>
      <w:r>
        <w:rPr>
          <w:rStyle w:val="60"/>
          <w:rFonts w:hint="eastAsia" w:asciiTheme="minorEastAsia" w:hAnsiTheme="minorEastAsia" w:eastAsiaTheme="minorEastAsia" w:cstheme="minorEastAsia"/>
          <w:b/>
          <w:bCs/>
          <w:sz w:val="36"/>
          <w:szCs w:val="36"/>
          <w:highlight w:val="none"/>
        </w:rPr>
        <w:t>合同主要格式及条款</w:t>
      </w:r>
    </w:p>
    <w:p w14:paraId="684AE46C">
      <w:pPr>
        <w:ind w:right="-211" w:rightChars="-88" w:firstLine="482"/>
        <w:rPr>
          <w:rFonts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w:t>
      </w:r>
      <w:r>
        <w:rPr>
          <w:rFonts w:hint="eastAsia" w:cs="宋体"/>
          <w:b/>
          <w:bCs/>
          <w:highlight w:val="none"/>
        </w:rPr>
        <w:t>本合同条款仅供参考，供需双方在签订合同时，应在不违背本项目招标文件实质性条款的基础上，视具体情况进行补充或删减</w:t>
      </w:r>
      <w:r>
        <w:rPr>
          <w:rFonts w:hint="eastAsia" w:asciiTheme="minorEastAsia" w:hAnsiTheme="minorEastAsia" w:eastAsiaTheme="minorEastAsia" w:cstheme="minorEastAsia"/>
          <w:b/>
          <w:highlight w:val="none"/>
        </w:rPr>
        <w:t>）</w:t>
      </w:r>
    </w:p>
    <w:p w14:paraId="7335EF69">
      <w:pPr>
        <w:adjustRightInd w:val="0"/>
        <w:snapToGrid w:val="0"/>
        <w:spacing w:before="40" w:after="40" w:line="500" w:lineRule="exact"/>
        <w:ind w:left="0" w:leftChars="0" w:firstLine="0" w:firstLineChars="0"/>
        <w:jc w:val="center"/>
        <w:rPr>
          <w:rFonts w:asciiTheme="minorEastAsia" w:hAnsiTheme="minorEastAsia" w:eastAsiaTheme="minorEastAsia" w:cstheme="minorEastAsia"/>
          <w:kern w:val="0"/>
          <w:highlight w:val="none"/>
        </w:rPr>
      </w:pPr>
      <w:r>
        <w:rPr>
          <w:rFonts w:hint="eastAsia" w:cs="宋体"/>
          <w:b/>
          <w:kern w:val="0"/>
          <w:highlight w:val="none"/>
        </w:rPr>
        <w:t>湖州学院图书馆书架、桌椅采购项目</w:t>
      </w:r>
    </w:p>
    <w:p w14:paraId="379933C7">
      <w:pPr>
        <w:adjustRightInd w:val="0"/>
        <w:snapToGrid w:val="0"/>
        <w:ind w:firstLine="0" w:firstLineChars="0"/>
        <w:rPr>
          <w:rFonts w:cs="宋体"/>
          <w:highlight w:val="none"/>
        </w:rPr>
      </w:pPr>
      <w:bookmarkStart w:id="80" w:name="bodyStart"/>
      <w:bookmarkEnd w:id="80"/>
    </w:p>
    <w:p w14:paraId="50703EA6">
      <w:pPr>
        <w:adjustRightInd w:val="0"/>
        <w:snapToGrid w:val="0"/>
        <w:ind w:firstLine="0" w:firstLineChars="0"/>
        <w:rPr>
          <w:rFonts w:cs="宋体"/>
          <w:highlight w:val="none"/>
        </w:rPr>
      </w:pPr>
      <w:r>
        <w:rPr>
          <w:rFonts w:hint="eastAsia" w:cs="宋体"/>
          <w:highlight w:val="none"/>
        </w:rPr>
        <w:t>甲方：</w:t>
      </w:r>
      <w:r>
        <w:rPr>
          <w:rFonts w:hint="eastAsia" w:cs="宋体"/>
          <w:highlight w:val="none"/>
          <w:u w:val="single"/>
        </w:rPr>
        <w:t xml:space="preserve">   </w:t>
      </w:r>
      <w:r>
        <w:rPr>
          <w:rFonts w:hint="eastAsia" w:asciiTheme="minorEastAsia" w:hAnsiTheme="minorEastAsia" w:eastAsiaTheme="minorEastAsia" w:cstheme="minorEastAsia"/>
          <w:highlight w:val="none"/>
          <w:u w:val="single"/>
        </w:rPr>
        <w:t xml:space="preserve">湖州学院   </w:t>
      </w:r>
      <w:r>
        <w:rPr>
          <w:rFonts w:hint="eastAsia" w:cs="宋体"/>
          <w:highlight w:val="none"/>
        </w:rPr>
        <w:t>（以下简称甲方）</w:t>
      </w:r>
    </w:p>
    <w:p w14:paraId="462D5576">
      <w:pPr>
        <w:adjustRightInd w:val="0"/>
        <w:snapToGrid w:val="0"/>
        <w:ind w:firstLine="0" w:firstLineChars="0"/>
        <w:jc w:val="left"/>
        <w:rPr>
          <w:rFonts w:cs="宋体"/>
          <w:highlight w:val="none"/>
        </w:rPr>
      </w:pPr>
      <w:r>
        <w:rPr>
          <w:rFonts w:hint="eastAsia" w:cs="宋体"/>
          <w:highlight w:val="none"/>
        </w:rPr>
        <w:t>乙方：</w:t>
      </w:r>
      <w:r>
        <w:rPr>
          <w:rFonts w:hint="eastAsia" w:cs="宋体"/>
          <w:highlight w:val="none"/>
          <w:u w:val="single"/>
        </w:rPr>
        <w:t xml:space="preserve">               </w:t>
      </w:r>
      <w:r>
        <w:rPr>
          <w:rFonts w:hint="eastAsia" w:cs="宋体"/>
          <w:highlight w:val="none"/>
        </w:rPr>
        <w:t>(以下简称乙方）</w:t>
      </w:r>
    </w:p>
    <w:p w14:paraId="665FC8E6">
      <w:pPr>
        <w:adjustRightInd w:val="0"/>
        <w:snapToGrid w:val="0"/>
        <w:spacing w:before="40" w:after="40"/>
        <w:ind w:firstLine="480"/>
        <w:rPr>
          <w:rFonts w:cs="宋体"/>
          <w:highlight w:val="none"/>
          <w:u w:val="single"/>
        </w:rPr>
      </w:pPr>
      <w:r>
        <w:rPr>
          <w:rFonts w:hint="eastAsia" w:cs="宋体"/>
          <w:highlight w:val="none"/>
        </w:rPr>
        <w:t>甲、乙双方根据项目名称：</w:t>
      </w:r>
      <w:r>
        <w:rPr>
          <w:rFonts w:hint="eastAsia" w:cs="宋体"/>
          <w:highlight w:val="none"/>
          <w:u w:val="single"/>
        </w:rPr>
        <w:t>湖州学院图书馆书架、桌椅采购项目</w:t>
      </w:r>
      <w:r>
        <w:rPr>
          <w:rFonts w:hint="eastAsia" w:cs="宋体"/>
          <w:bCs/>
          <w:kern w:val="0"/>
          <w:highlight w:val="none"/>
        </w:rPr>
        <w:t>；项目</w:t>
      </w:r>
      <w:r>
        <w:rPr>
          <w:rFonts w:hint="eastAsia" w:cs="宋体"/>
          <w:highlight w:val="none"/>
        </w:rPr>
        <w:t>编号：</w:t>
      </w:r>
      <w:r>
        <w:rPr>
          <w:rFonts w:hint="eastAsia" w:cs="宋体"/>
          <w:highlight w:val="none"/>
          <w:u w:val="single"/>
        </w:rPr>
        <w:t>ZJZX-HZXY-2024003</w:t>
      </w:r>
      <w:r>
        <w:rPr>
          <w:rFonts w:hint="eastAsia" w:cs="宋体"/>
          <w:highlight w:val="none"/>
        </w:rPr>
        <w:t>公开招标结果和招标文件的要求，经双方平等协商，在真实、充分地表达各自意愿的基础上，根据《中华人民共和国政府采购法》、《中华人民共和国民法典》的规定，达成如下协议，并由双方共同遵守执行。</w:t>
      </w:r>
    </w:p>
    <w:p w14:paraId="5659F570">
      <w:pPr>
        <w:pStyle w:val="206"/>
        <w:adjustRightInd w:val="0"/>
        <w:snapToGrid w:val="0"/>
        <w:ind w:firstLine="0" w:firstLineChars="0"/>
        <w:rPr>
          <w:rFonts w:cs="宋体"/>
          <w:highlight w:val="none"/>
        </w:rPr>
      </w:pPr>
      <w:r>
        <w:rPr>
          <w:rFonts w:hint="eastAsia" w:cs="宋体"/>
          <w:b/>
          <w:highlight w:val="none"/>
        </w:rPr>
        <w:t>一、合同金额</w:t>
      </w:r>
    </w:p>
    <w:p w14:paraId="634728B4">
      <w:pPr>
        <w:ind w:firstLine="480"/>
        <w:rPr>
          <w:rFonts w:cs="宋体"/>
          <w:highlight w:val="none"/>
          <w:lang w:val="zh-TW" w:eastAsia="zh-TW"/>
        </w:rPr>
      </w:pPr>
      <w:r>
        <w:rPr>
          <w:rFonts w:hint="eastAsia" w:cs="宋体"/>
          <w:highlight w:val="none"/>
        </w:rPr>
        <w:t>1.</w:t>
      </w:r>
      <w:r>
        <w:rPr>
          <w:rFonts w:hint="eastAsia" w:cs="宋体"/>
          <w:highlight w:val="none"/>
          <w:lang w:val="zh-TW" w:eastAsia="zh-TW"/>
        </w:rPr>
        <w:t>本合同金额为人民币（大写）</w:t>
      </w:r>
      <w:r>
        <w:rPr>
          <w:rFonts w:hint="eastAsia" w:cs="宋体"/>
          <w:highlight w:val="none"/>
          <w:u w:val="single"/>
          <w:lang w:val="zh-TW" w:eastAsia="zh-TW"/>
        </w:rPr>
        <w:t>      </w:t>
      </w:r>
      <w:r>
        <w:rPr>
          <w:rFonts w:hint="eastAsia" w:cs="宋体"/>
          <w:highlight w:val="none"/>
          <w:lang w:val="zh-TW" w:eastAsia="zh-TW"/>
        </w:rPr>
        <w:t>（￥____________元）（含税）。</w:t>
      </w:r>
    </w:p>
    <w:p w14:paraId="50BFA1CE">
      <w:pPr>
        <w:ind w:firstLine="480"/>
        <w:rPr>
          <w:rFonts w:cs="宋体"/>
          <w:highlight w:val="none"/>
        </w:rPr>
      </w:pPr>
      <w:r>
        <w:rPr>
          <w:rFonts w:hint="eastAsia" w:cs="宋体"/>
          <w:highlight w:val="none"/>
        </w:rPr>
        <w:t>2.</w:t>
      </w:r>
      <w:r>
        <w:rPr>
          <w:rFonts w:hint="eastAsia" w:cs="宋体"/>
          <w:highlight w:val="none"/>
          <w:lang w:val="zh-TW" w:eastAsia="zh-TW"/>
        </w:rPr>
        <w:t>合同暂定不含税金额为人民币（大写）</w:t>
      </w:r>
      <w:r>
        <w:rPr>
          <w:rFonts w:hint="eastAsia" w:cs="宋体"/>
          <w:highlight w:val="none"/>
          <w:u w:val="single"/>
          <w:lang w:val="zh-TW" w:eastAsia="zh-TW"/>
        </w:rPr>
        <w:t>   </w:t>
      </w:r>
      <w:r>
        <w:rPr>
          <w:rFonts w:hint="eastAsia" w:cs="宋体"/>
          <w:highlight w:val="none"/>
          <w:u w:val="single"/>
        </w:rPr>
        <w:t xml:space="preserve">       </w:t>
      </w:r>
      <w:r>
        <w:rPr>
          <w:rFonts w:hint="eastAsia" w:cs="宋体"/>
          <w:highlight w:val="none"/>
          <w:lang w:val="zh-TW" w:eastAsia="zh-TW"/>
        </w:rPr>
        <w:t>（￥</w:t>
      </w:r>
      <w:r>
        <w:rPr>
          <w:rFonts w:hint="eastAsia" w:cs="宋体"/>
          <w:highlight w:val="none"/>
          <w:u w:val="single"/>
          <w:lang w:val="zh-TW" w:eastAsia="zh-TW"/>
        </w:rPr>
        <w:t>      </w:t>
      </w:r>
      <w:r>
        <w:rPr>
          <w:rFonts w:hint="eastAsia" w:cs="宋体"/>
          <w:highlight w:val="none"/>
          <w:lang w:val="zh-TW" w:eastAsia="zh-TW"/>
        </w:rPr>
        <w:t>元）</w:t>
      </w:r>
      <w:r>
        <w:rPr>
          <w:rFonts w:hint="eastAsia" w:cs="宋体"/>
          <w:highlight w:val="none"/>
          <w:lang w:val="zh-TW"/>
        </w:rPr>
        <w:t>。</w:t>
      </w:r>
    </w:p>
    <w:p w14:paraId="42F3166A">
      <w:pPr>
        <w:ind w:firstLine="480"/>
        <w:rPr>
          <w:rFonts w:cs="宋体"/>
          <w:highlight w:val="none"/>
        </w:rPr>
      </w:pPr>
      <w:r>
        <w:rPr>
          <w:rFonts w:hint="eastAsia" w:cs="宋体"/>
          <w:highlight w:val="none"/>
        </w:rPr>
        <w:t>3.</w:t>
      </w:r>
      <w:r>
        <w:rPr>
          <w:rFonts w:hint="eastAsia" w:cs="宋体"/>
          <w:highlight w:val="none"/>
          <w:lang w:val="zh-TW" w:eastAsia="zh-TW"/>
        </w:rPr>
        <w:t>增值税税率为</w:t>
      </w:r>
      <w:r>
        <w:rPr>
          <w:rFonts w:hint="eastAsia" w:cs="宋体"/>
          <w:highlight w:val="none"/>
          <w:u w:val="single"/>
          <w:lang w:val="zh-TW" w:eastAsia="zh-TW"/>
        </w:rPr>
        <w:t>   </w:t>
      </w:r>
      <w:r>
        <w:rPr>
          <w:rFonts w:hint="eastAsia" w:cs="宋体"/>
          <w:highlight w:val="none"/>
          <w:lang w:val="zh-TW" w:eastAsia="zh-TW"/>
        </w:rPr>
        <w:t>%，税额为人民币（大写）</w:t>
      </w:r>
      <w:r>
        <w:rPr>
          <w:rFonts w:hint="eastAsia" w:cs="宋体"/>
          <w:highlight w:val="none"/>
          <w:u w:val="single"/>
          <w:lang w:val="zh-TW" w:eastAsia="zh-TW"/>
        </w:rPr>
        <w:t>    </w:t>
      </w:r>
      <w:r>
        <w:rPr>
          <w:rFonts w:hint="eastAsia" w:cs="宋体"/>
          <w:highlight w:val="none"/>
          <w:u w:val="single"/>
        </w:rPr>
        <w:t xml:space="preserve"> </w:t>
      </w:r>
      <w:r>
        <w:rPr>
          <w:rFonts w:hint="eastAsia" w:cs="宋体"/>
          <w:highlight w:val="none"/>
          <w:u w:val="single"/>
          <w:lang w:val="zh-TW" w:eastAsia="zh-TW"/>
        </w:rPr>
        <w:t> </w:t>
      </w:r>
      <w:r>
        <w:rPr>
          <w:rFonts w:hint="eastAsia" w:cs="宋体"/>
          <w:highlight w:val="none"/>
          <w:lang w:val="zh-TW" w:eastAsia="zh-TW"/>
        </w:rPr>
        <w:t>（￥</w:t>
      </w:r>
      <w:r>
        <w:rPr>
          <w:rFonts w:hint="eastAsia" w:cs="宋体"/>
          <w:highlight w:val="none"/>
          <w:u w:val="single"/>
          <w:lang w:val="zh-TW" w:eastAsia="zh-TW"/>
        </w:rPr>
        <w:t>        </w:t>
      </w:r>
      <w:r>
        <w:rPr>
          <w:rFonts w:hint="eastAsia" w:cs="宋体"/>
          <w:highlight w:val="none"/>
          <w:lang w:val="zh-TW" w:eastAsia="zh-TW"/>
        </w:rPr>
        <w:t>）。</w:t>
      </w:r>
    </w:p>
    <w:p w14:paraId="7ACF74D8">
      <w:pPr>
        <w:spacing w:before="40" w:after="40"/>
        <w:ind w:firstLine="480"/>
        <w:rPr>
          <w:rFonts w:cs="宋体"/>
          <w:b/>
          <w:highlight w:val="none"/>
        </w:rPr>
      </w:pPr>
      <w:r>
        <w:rPr>
          <w:rFonts w:hint="eastAsia" w:cs="宋体"/>
          <w:highlight w:val="none"/>
        </w:rPr>
        <w:t>4.</w:t>
      </w:r>
      <w:r>
        <w:rPr>
          <w:rFonts w:hint="eastAsia" w:cs="宋体"/>
          <w:highlight w:val="none"/>
          <w:lang w:val="zh-TW" w:eastAsia="zh-TW"/>
        </w:rPr>
        <w:t>若国家出台新的税收政策，则按新政策执行。</w:t>
      </w:r>
    </w:p>
    <w:p w14:paraId="6483AF41">
      <w:pPr>
        <w:spacing w:before="40" w:after="40"/>
        <w:ind w:firstLine="0" w:firstLineChars="0"/>
        <w:rPr>
          <w:rFonts w:cs="宋体"/>
          <w:b/>
          <w:color w:val="000000" w:themeColor="text1"/>
          <w:highlight w:val="none"/>
          <w14:textFill>
            <w14:solidFill>
              <w14:schemeClr w14:val="tx1"/>
            </w14:solidFill>
          </w14:textFill>
        </w:rPr>
      </w:pPr>
      <w:r>
        <w:rPr>
          <w:rFonts w:hint="eastAsia" w:cs="宋体"/>
          <w:b/>
          <w:highlight w:val="none"/>
        </w:rPr>
        <w:t>二、交货时间、地点</w:t>
      </w:r>
    </w:p>
    <w:p w14:paraId="59562044">
      <w:pPr>
        <w:ind w:firstLine="480"/>
        <w:rPr>
          <w:rFonts w:cs="宋体"/>
          <w:highlight w:val="none"/>
        </w:rPr>
      </w:pPr>
      <w:r>
        <w:rPr>
          <w:rFonts w:hint="eastAsia"/>
          <w:highlight w:val="none"/>
        </w:rPr>
        <w:t>1.交货时间：2025年5月30日之前完成供货、安装、调试。</w:t>
      </w:r>
    </w:p>
    <w:p w14:paraId="647C4637">
      <w:pPr>
        <w:spacing w:before="40" w:after="40"/>
        <w:ind w:firstLine="480"/>
        <w:rPr>
          <w:highlight w:val="none"/>
        </w:rPr>
      </w:pPr>
      <w:r>
        <w:rPr>
          <w:rFonts w:hint="eastAsia"/>
          <w:highlight w:val="none"/>
        </w:rPr>
        <w:t>2.交货地点：甲方指定地点。</w:t>
      </w:r>
    </w:p>
    <w:p w14:paraId="60A16199">
      <w:pPr>
        <w:spacing w:before="40" w:after="40"/>
        <w:ind w:firstLine="0" w:firstLineChars="0"/>
        <w:rPr>
          <w:rFonts w:cs="宋体"/>
          <w:highlight w:val="none"/>
        </w:rPr>
      </w:pPr>
      <w:r>
        <w:rPr>
          <w:rFonts w:hint="eastAsia" w:cs="宋体"/>
          <w:b/>
          <w:bCs/>
          <w:highlight w:val="none"/>
        </w:rPr>
        <w:t>三、设备及服务要求</w:t>
      </w:r>
    </w:p>
    <w:p w14:paraId="662A2755">
      <w:pPr>
        <w:pStyle w:val="5"/>
        <w:rPr>
          <w:rFonts w:cs="宋体"/>
          <w:highlight w:val="none"/>
        </w:rPr>
      </w:pPr>
      <w:r>
        <w:rPr>
          <w:rFonts w:hint="eastAsia" w:cs="宋体"/>
          <w:highlight w:val="none"/>
        </w:rPr>
        <w:t>（一）设备要求</w:t>
      </w:r>
    </w:p>
    <w:p w14:paraId="7130D6DC">
      <w:pPr>
        <w:ind w:firstLine="480"/>
        <w:jc w:val="left"/>
        <w:rPr>
          <w:rFonts w:cs="宋体"/>
          <w:highlight w:val="none"/>
        </w:rPr>
      </w:pPr>
      <w:r>
        <w:rPr>
          <w:rFonts w:hint="eastAsia" w:cs="宋体"/>
          <w:highlight w:val="none"/>
        </w:rPr>
        <w:t>1.乙方提供的软件/设备必须是全新的优质产品，符合相应的国家标准的，并须提供相关产品的产品合格证、产品说明书和安装说明等资料，乙方所提供的产品在安装调试完成后，应构成一个完整的系统，能按照技术要求连续运行。</w:t>
      </w:r>
    </w:p>
    <w:p w14:paraId="4B19BE8C">
      <w:pPr>
        <w:ind w:firstLine="480"/>
        <w:jc w:val="left"/>
        <w:rPr>
          <w:rFonts w:cs="宋体"/>
          <w:highlight w:val="none"/>
        </w:rPr>
      </w:pPr>
      <w:r>
        <w:rPr>
          <w:rFonts w:hint="eastAsia" w:cs="宋体"/>
          <w:highlight w:val="none"/>
        </w:rPr>
        <w:t>2.乙方应列出详细的产品配置清单（包括各主要零部件的厂家或品牌、型号和规格、数量等），作为技术评价依据之一。</w:t>
      </w:r>
    </w:p>
    <w:p w14:paraId="65CEB08C">
      <w:pPr>
        <w:pStyle w:val="5"/>
        <w:rPr>
          <w:rFonts w:cs="宋体"/>
          <w:highlight w:val="none"/>
        </w:rPr>
      </w:pPr>
      <w:r>
        <w:rPr>
          <w:rFonts w:hint="eastAsia" w:cs="宋体"/>
          <w:highlight w:val="none"/>
        </w:rPr>
        <w:t>（二）质保期要求</w:t>
      </w:r>
    </w:p>
    <w:p w14:paraId="621BDED7">
      <w:pPr>
        <w:autoSpaceDE w:val="0"/>
        <w:autoSpaceDN w:val="0"/>
        <w:ind w:firstLine="480"/>
        <w:jc w:val="left"/>
        <w:rPr>
          <w:rFonts w:cs="宋体"/>
          <w:kern w:val="0"/>
          <w:highlight w:val="none"/>
        </w:rPr>
      </w:pPr>
      <w:r>
        <w:rPr>
          <w:rFonts w:hint="eastAsia" w:cs="宋体"/>
          <w:kern w:val="0"/>
          <w:highlight w:val="none"/>
        </w:rPr>
        <w:t>1.质保期：本项目质保期不少于3年（若设备原厂商提供更长质保期，则按承诺的质保期执行）。质保期从验收合格之日起算。在质保期间，除人为损坏的问题，均由乙方负责维修和更换，所有费用由乙方自行承担。所有包含软件的设备需免费终生使用并提供更新服务。</w:t>
      </w:r>
    </w:p>
    <w:p w14:paraId="7E46F3A4">
      <w:pPr>
        <w:autoSpaceDE w:val="0"/>
        <w:autoSpaceDN w:val="0"/>
        <w:ind w:firstLine="480"/>
        <w:jc w:val="left"/>
        <w:rPr>
          <w:rFonts w:cs="宋体"/>
          <w:kern w:val="0"/>
          <w:highlight w:val="none"/>
        </w:rPr>
      </w:pPr>
      <w:r>
        <w:rPr>
          <w:rFonts w:hint="eastAsia" w:cs="宋体"/>
          <w:kern w:val="0"/>
          <w:highlight w:val="none"/>
        </w:rPr>
        <w:t>2.在质保期内，乙方应对货物出现的质量及安全问题负责处理解决并承担一切费用。乙方负责免费提供设备运行所需全部备件，并提供免费维修、保养服务。</w:t>
      </w:r>
    </w:p>
    <w:p w14:paraId="2EB0FE2A">
      <w:pPr>
        <w:autoSpaceDE w:val="0"/>
        <w:autoSpaceDN w:val="0"/>
        <w:ind w:firstLine="480"/>
        <w:jc w:val="left"/>
        <w:rPr>
          <w:rFonts w:cs="宋体"/>
          <w:kern w:val="0"/>
          <w:highlight w:val="none"/>
        </w:rPr>
      </w:pPr>
      <w:r>
        <w:rPr>
          <w:rFonts w:hint="eastAsia" w:cs="宋体"/>
          <w:kern w:val="0"/>
          <w:highlight w:val="none"/>
        </w:rPr>
        <w:t>3.质保期内，非因甲方人为原因而出现设备质量问题的，由乙方负责包修、包换或包退并承担修理、调换或退货而产生的实际费用。如因甲方使用不当造成故障的，乙方应负责修理、调换，费用另行协商。</w:t>
      </w:r>
    </w:p>
    <w:p w14:paraId="700A04E3">
      <w:pPr>
        <w:autoSpaceDE w:val="0"/>
        <w:autoSpaceDN w:val="0"/>
        <w:ind w:firstLine="480"/>
        <w:jc w:val="left"/>
        <w:rPr>
          <w:rFonts w:cs="宋体"/>
          <w:kern w:val="0"/>
          <w:highlight w:val="none"/>
        </w:rPr>
      </w:pPr>
      <w:r>
        <w:rPr>
          <w:rFonts w:hint="eastAsia" w:cs="宋体"/>
          <w:kern w:val="0"/>
          <w:highlight w:val="none"/>
        </w:rPr>
        <w:t>4.质保期内，如故障在乙方检修3个工作日后仍无法排除的，甲方有权要求乙方在甲方指定期限内免费提供不低于故障设备规格型号档次的备用设备供甲方使用，直至故障排除。</w:t>
      </w:r>
    </w:p>
    <w:p w14:paraId="0CB971C1">
      <w:pPr>
        <w:autoSpaceDE w:val="0"/>
        <w:autoSpaceDN w:val="0"/>
        <w:ind w:firstLine="480"/>
        <w:jc w:val="left"/>
        <w:rPr>
          <w:rFonts w:cs="宋体"/>
          <w:kern w:val="0"/>
          <w:highlight w:val="none"/>
        </w:rPr>
      </w:pPr>
      <w:r>
        <w:rPr>
          <w:rFonts w:hint="eastAsia" w:cs="宋体"/>
          <w:kern w:val="0"/>
          <w:highlight w:val="none"/>
        </w:rPr>
        <w:t>5.质保期内，如乙方未按照约定履行义务的，甲方有权自行委托第三人维修，维修费用由乙方承担。如因此造成甲方损失的，乙方应当赔偿甲方的全部损失。</w:t>
      </w:r>
    </w:p>
    <w:p w14:paraId="2DD72593">
      <w:pPr>
        <w:autoSpaceDE w:val="0"/>
        <w:autoSpaceDN w:val="0"/>
        <w:ind w:firstLine="480"/>
        <w:jc w:val="left"/>
        <w:rPr>
          <w:rFonts w:cs="宋体"/>
          <w:kern w:val="0"/>
          <w:highlight w:val="none"/>
        </w:rPr>
      </w:pPr>
      <w:r>
        <w:rPr>
          <w:rFonts w:hint="eastAsia" w:cs="宋体"/>
          <w:kern w:val="0"/>
          <w:highlight w:val="none"/>
        </w:rPr>
        <w:t>6.质保期内出现无法排除的故障，乙方需无条件更换同型号或高于技术要求参数的产品。质保期内因不能排除的故障而影响工作的情况每发生一次，其质保期相应延长60天。</w:t>
      </w:r>
    </w:p>
    <w:p w14:paraId="555902A2">
      <w:pPr>
        <w:pStyle w:val="5"/>
        <w:ind w:firstLine="480" w:firstLineChars="200"/>
        <w:rPr>
          <w:rFonts w:cs="宋体"/>
          <w:kern w:val="0"/>
          <w:highlight w:val="none"/>
        </w:rPr>
      </w:pPr>
      <w:r>
        <w:rPr>
          <w:rFonts w:hint="eastAsia" w:cs="宋体"/>
          <w:b w:val="0"/>
          <w:bCs w:val="0"/>
          <w:kern w:val="0"/>
          <w:highlight w:val="none"/>
        </w:rPr>
        <w:t>7.质保期满后，乙方继续为甲方服务，仅收取零配件成本费，所涉及软件终身免费升级。</w:t>
      </w:r>
    </w:p>
    <w:p w14:paraId="456AE907">
      <w:pPr>
        <w:pStyle w:val="5"/>
        <w:rPr>
          <w:rFonts w:cs="宋体"/>
          <w:highlight w:val="none"/>
        </w:rPr>
      </w:pPr>
      <w:r>
        <w:rPr>
          <w:rFonts w:hint="eastAsia" w:cs="宋体"/>
          <w:highlight w:val="none"/>
        </w:rPr>
        <w:t>（三）验收要求</w:t>
      </w:r>
    </w:p>
    <w:p w14:paraId="48FC76FE">
      <w:pPr>
        <w:autoSpaceDE w:val="0"/>
        <w:autoSpaceDN w:val="0"/>
        <w:ind w:firstLine="480"/>
        <w:jc w:val="left"/>
        <w:rPr>
          <w:rFonts w:cs="宋体"/>
          <w:kern w:val="0"/>
          <w:highlight w:val="none"/>
        </w:rPr>
      </w:pPr>
      <w:r>
        <w:rPr>
          <w:rFonts w:hint="eastAsia" w:cs="宋体"/>
          <w:kern w:val="0"/>
          <w:highlight w:val="none"/>
        </w:rPr>
        <w:t>1.验收时间：乙方在设备送达指定地点并安装调试完毕后，书面通知甲方报验。</w:t>
      </w:r>
    </w:p>
    <w:p w14:paraId="6BCB611F">
      <w:pPr>
        <w:autoSpaceDE w:val="0"/>
        <w:autoSpaceDN w:val="0"/>
        <w:ind w:firstLine="480"/>
        <w:jc w:val="left"/>
        <w:rPr>
          <w:rFonts w:cs="宋体"/>
          <w:kern w:val="0"/>
          <w:highlight w:val="none"/>
        </w:rPr>
      </w:pPr>
      <w:r>
        <w:rPr>
          <w:rFonts w:hint="eastAsia" w:cs="宋体"/>
          <w:kern w:val="0"/>
          <w:highlight w:val="none"/>
        </w:rPr>
        <w:t>2.验收：根据行业相关标准及招标文件、投标文件相应技术要求，由甲方组织验收。</w:t>
      </w:r>
    </w:p>
    <w:p w14:paraId="18A69434">
      <w:pPr>
        <w:pStyle w:val="5"/>
        <w:rPr>
          <w:rFonts w:cs="宋体"/>
          <w:highlight w:val="none"/>
        </w:rPr>
      </w:pPr>
      <w:r>
        <w:rPr>
          <w:rFonts w:hint="eastAsia" w:cs="宋体"/>
          <w:highlight w:val="none"/>
        </w:rPr>
        <w:t>（四）</w:t>
      </w:r>
      <w:r>
        <w:rPr>
          <w:rFonts w:hint="eastAsia"/>
          <w:highlight w:val="none"/>
        </w:rPr>
        <w:t>送货调试安装</w:t>
      </w:r>
    </w:p>
    <w:p w14:paraId="02B566B9">
      <w:pPr>
        <w:ind w:firstLine="480"/>
        <w:rPr>
          <w:highlight w:val="none"/>
        </w:rPr>
      </w:pPr>
      <w:r>
        <w:rPr>
          <w:rFonts w:hint="eastAsia"/>
          <w:highlight w:val="none"/>
        </w:rPr>
        <w:t>1.乙方应按招标文件规定的货物性能、技术要求、质量标准向甲方提供未经使用的全新产品，符合国家法律法规规定和技术规格、质量标准的出厂原装合格产品。乙方应派甲方认可的有经验和能力、具有相应资质的技术人员，负责系统设备安装工作，在设备安装期间应充分了解设备安装进度要求，解决安装中出现的技术问题。</w:t>
      </w:r>
    </w:p>
    <w:p w14:paraId="07870044">
      <w:pPr>
        <w:ind w:firstLine="480"/>
        <w:rPr>
          <w:highlight w:val="none"/>
        </w:rPr>
      </w:pPr>
      <w:r>
        <w:rPr>
          <w:rFonts w:hint="eastAsia"/>
          <w:highlight w:val="none"/>
        </w:rPr>
        <w:t>2.调试所需专用工具设施物料由乙方自备、自费运到现场，完工后自费搬走。送货、调试过程中发生的费用由乙方负责。</w:t>
      </w:r>
    </w:p>
    <w:p w14:paraId="6E8E0C4F">
      <w:pPr>
        <w:pStyle w:val="5"/>
        <w:ind w:firstLine="480" w:firstLineChars="200"/>
        <w:rPr>
          <w:b w:val="0"/>
          <w:bCs w:val="0"/>
          <w:highlight w:val="none"/>
        </w:rPr>
      </w:pPr>
      <w:r>
        <w:rPr>
          <w:rFonts w:hint="eastAsia"/>
          <w:b w:val="0"/>
          <w:bCs w:val="0"/>
          <w:highlight w:val="none"/>
        </w:rPr>
        <w:t>3.设备的拆箱、通电、调试等各项工作由乙方负责，但必须在甲方指定人员的参与下进行。在实际实施前必须先经甲方同意方可进行。调试的原始记录须经各方签字后作为验收的文件之一。</w:t>
      </w:r>
    </w:p>
    <w:p w14:paraId="289BAC4E">
      <w:pPr>
        <w:pStyle w:val="5"/>
        <w:rPr>
          <w:rFonts w:cs="宋体"/>
          <w:highlight w:val="none"/>
        </w:rPr>
      </w:pPr>
      <w:r>
        <w:rPr>
          <w:rFonts w:hint="eastAsia" w:cs="宋体"/>
          <w:highlight w:val="none"/>
        </w:rPr>
        <w:t>（五）售后服务要求</w:t>
      </w:r>
    </w:p>
    <w:p w14:paraId="1BDE16AA">
      <w:pPr>
        <w:ind w:firstLine="480"/>
        <w:rPr>
          <w:rFonts w:cs="宋体"/>
          <w:highlight w:val="none"/>
        </w:rPr>
      </w:pPr>
      <w:r>
        <w:rPr>
          <w:rFonts w:hint="eastAsia" w:cs="宋体"/>
          <w:highlight w:val="none"/>
        </w:rPr>
        <w:t>1.质保期内出现的质量问题，中标</w:t>
      </w:r>
      <w:r>
        <w:rPr>
          <w:rFonts w:hint="eastAsia" w:cs="宋体"/>
          <w:highlight w:val="none"/>
          <w:lang w:val="en-US" w:eastAsia="zh-CN"/>
        </w:rPr>
        <w:t>人需在现场响应后</w:t>
      </w:r>
      <w:r>
        <w:rPr>
          <w:rFonts w:hint="eastAsia" w:cs="宋体"/>
          <w:highlight w:val="none"/>
        </w:rPr>
        <w:t>24小时内解决问题；如在24小时之内仍不能排除故障的，中标人应提供与原产品相同或不低于原产品档次的备用产品。故障排除后中标人应出具书面故障诊断报告备案。</w:t>
      </w:r>
    </w:p>
    <w:p w14:paraId="009E0346">
      <w:pPr>
        <w:ind w:firstLine="480"/>
        <w:rPr>
          <w:rFonts w:cs="宋体"/>
          <w:highlight w:val="none"/>
        </w:rPr>
      </w:pPr>
      <w:r>
        <w:rPr>
          <w:rFonts w:hint="eastAsia" w:cs="宋体"/>
          <w:highlight w:val="none"/>
        </w:rPr>
        <w:t>2.出现故障后，乙方如未按上述要求进行响应，甲方可以采取必要的补救措施，由此产生的风险和费用全部由乙方承担。</w:t>
      </w:r>
    </w:p>
    <w:p w14:paraId="6F3A9072">
      <w:pPr>
        <w:ind w:firstLine="480"/>
        <w:rPr>
          <w:rFonts w:cs="宋体"/>
          <w:highlight w:val="none"/>
        </w:rPr>
      </w:pPr>
      <w:r>
        <w:rPr>
          <w:rFonts w:hint="eastAsia" w:cs="宋体"/>
          <w:highlight w:val="none"/>
        </w:rPr>
        <w:t>3.质保期内，除人为损坏和不可抗力外，期间所产生的任何维护或维修及更换配件的费用均由乙方承担。</w:t>
      </w:r>
    </w:p>
    <w:p w14:paraId="24E53D02">
      <w:pPr>
        <w:ind w:firstLine="480"/>
        <w:rPr>
          <w:rFonts w:cs="宋体"/>
          <w:highlight w:val="none"/>
        </w:rPr>
      </w:pPr>
      <w:r>
        <w:rPr>
          <w:rFonts w:hint="eastAsia" w:cs="宋体"/>
          <w:highlight w:val="none"/>
        </w:rPr>
        <w:t>4.质保期外，乙方仍应提供不低于质保期内水平的质量保障，相关维护费用不得超过项目采购价的5%。</w:t>
      </w:r>
    </w:p>
    <w:p w14:paraId="6B7470F2">
      <w:pPr>
        <w:pStyle w:val="5"/>
        <w:rPr>
          <w:rFonts w:cs="宋体"/>
          <w:highlight w:val="none"/>
        </w:rPr>
      </w:pPr>
      <w:r>
        <w:rPr>
          <w:rFonts w:hint="eastAsia" w:cs="宋体"/>
          <w:highlight w:val="none"/>
        </w:rPr>
        <w:t>（六）培训要求</w:t>
      </w:r>
    </w:p>
    <w:p w14:paraId="6D265348">
      <w:pPr>
        <w:ind w:firstLine="480"/>
        <w:rPr>
          <w:b/>
          <w:bCs/>
          <w:highlight w:val="none"/>
        </w:rPr>
      </w:pPr>
      <w:r>
        <w:rPr>
          <w:rFonts w:hint="eastAsia" w:cs="宋体"/>
          <w:highlight w:val="none"/>
        </w:rPr>
        <w:t>乙方负责对中标产品的操作培训、应用等与产品使用、维护等相关的技术问题，对甲方的操作人员、维修人员进行用户现场培训，培训内容包括硬件和软件使用；培训地点用户指定，不限制人数，可根据需要延长培训时间。培训后要求甲方相关人员达到能熟练掌握产品操作与设置等的基本原理与应用技术。投标文件中提供详细培训方案。</w:t>
      </w:r>
    </w:p>
    <w:p w14:paraId="5B28E2F9">
      <w:pPr>
        <w:ind w:firstLine="0" w:firstLineChars="0"/>
        <w:rPr>
          <w:rFonts w:cs="宋体"/>
          <w:b/>
          <w:bCs/>
          <w:highlight w:val="none"/>
        </w:rPr>
      </w:pPr>
      <w:r>
        <w:rPr>
          <w:rFonts w:hint="eastAsia" w:cs="宋体"/>
          <w:b/>
          <w:bCs/>
          <w:highlight w:val="none"/>
        </w:rPr>
        <w:t>四、付款方式</w:t>
      </w:r>
    </w:p>
    <w:p w14:paraId="0ECAB69F">
      <w:pPr>
        <w:ind w:firstLine="480"/>
        <w:rPr>
          <w:rFonts w:hint="eastAsia" w:cs="宋体"/>
          <w:highlight w:val="none"/>
        </w:rPr>
      </w:pPr>
      <w:r>
        <w:rPr>
          <w:rFonts w:hint="eastAsia" w:cs="宋体"/>
          <w:highlight w:val="none"/>
        </w:rPr>
        <w:t>根据《保障中小企业款项支付条例》、省财政厅《浙江省财政厅关于进一步发挥政府采购政策功能全力推动经济稳进提质的通知》（浙财采监【2022】3号）要求，制定如下付款方式：</w:t>
      </w:r>
    </w:p>
    <w:p w14:paraId="681E3797">
      <w:pPr>
        <w:ind w:firstLine="480"/>
        <w:rPr>
          <w:rFonts w:hint="eastAsia" w:cs="宋体"/>
          <w:highlight w:val="none"/>
        </w:rPr>
      </w:pPr>
      <w:r>
        <w:rPr>
          <w:rFonts w:hint="eastAsia" w:cs="宋体"/>
          <w:highlight w:val="none"/>
        </w:rPr>
        <w:t>1.采购人自采购合同生效及具备实施条件后7个工作日内支付预付款，也即合同金额的40%；（注：若中标供应商明确表示无需预付款或者主动要求降低预付款比例的，采购人可不适用前述规定。）</w:t>
      </w:r>
    </w:p>
    <w:p w14:paraId="216659AA">
      <w:pPr>
        <w:ind w:firstLine="480"/>
        <w:rPr>
          <w:rFonts w:hint="eastAsia" w:cs="宋体"/>
          <w:highlight w:val="none"/>
        </w:rPr>
      </w:pPr>
      <w:r>
        <w:rPr>
          <w:rFonts w:hint="eastAsia" w:cs="宋体"/>
          <w:highlight w:val="none"/>
        </w:rPr>
        <w:t>2.全部货物安装、组装、调试完成后进行初验，初验合格后支付</w:t>
      </w:r>
      <w:r>
        <w:rPr>
          <w:rFonts w:hint="eastAsia" w:cs="宋体"/>
          <w:highlight w:val="none"/>
          <w:lang w:val="en-US" w:eastAsia="zh-CN"/>
        </w:rPr>
        <w:t>至</w:t>
      </w:r>
      <w:r>
        <w:rPr>
          <w:rFonts w:hint="eastAsia" w:cs="宋体"/>
          <w:highlight w:val="none"/>
        </w:rPr>
        <w:t>合同金额的</w:t>
      </w:r>
      <w:r>
        <w:rPr>
          <w:rFonts w:hint="eastAsia" w:cs="宋体"/>
          <w:highlight w:val="none"/>
          <w:lang w:val="en-US" w:eastAsia="zh-CN"/>
        </w:rPr>
        <w:t>9</w:t>
      </w:r>
      <w:r>
        <w:rPr>
          <w:rFonts w:hint="eastAsia" w:cs="宋体"/>
          <w:highlight w:val="none"/>
        </w:rPr>
        <w:t>0%，终验合格后支付剩余款项10%。（按实际数量结算，最高不超过合同金额）。</w:t>
      </w:r>
    </w:p>
    <w:p w14:paraId="004CE567">
      <w:pPr>
        <w:ind w:firstLine="480"/>
        <w:rPr>
          <w:rFonts w:asciiTheme="minorEastAsia" w:hAnsiTheme="minorEastAsia" w:eastAsiaTheme="minorEastAsia" w:cstheme="minorEastAsia"/>
          <w:highlight w:val="none"/>
        </w:rPr>
      </w:pPr>
      <w:r>
        <w:rPr>
          <w:rFonts w:hint="eastAsia" w:cs="宋体"/>
          <w:highlight w:val="none"/>
        </w:rPr>
        <w:t>如遇合同期内未完成验收，中标供应商必须出具与付款金额相对应的担保措施，担保措施可以是银行、保险公司等金融机构出具的预付款保函或其他担保措施。在出具保函证明后完成余款支付。采购人在收到货物，拆包验收完毕，并出具验收报告后，办理解除担保的相关材料。</w:t>
      </w:r>
    </w:p>
    <w:p w14:paraId="3EA8A070">
      <w:pPr>
        <w:ind w:firstLine="0" w:firstLineChars="0"/>
        <w:rPr>
          <w:rFonts w:cs="宋体"/>
          <w:b/>
          <w:bCs/>
          <w:color w:val="000000" w:themeColor="text1"/>
          <w:highlight w:val="none"/>
          <w14:textFill>
            <w14:solidFill>
              <w14:schemeClr w14:val="tx1"/>
            </w14:solidFill>
          </w14:textFill>
        </w:rPr>
      </w:pPr>
      <w:r>
        <w:rPr>
          <w:rFonts w:hint="eastAsia" w:cs="宋体"/>
          <w:b/>
          <w:bCs/>
          <w:highlight w:val="none"/>
        </w:rPr>
        <w:t>五、履约保证</w:t>
      </w:r>
      <w:r>
        <w:rPr>
          <w:rFonts w:hint="eastAsia" w:cs="宋体"/>
          <w:b/>
          <w:bCs/>
          <w:color w:val="000000" w:themeColor="text1"/>
          <w:highlight w:val="none"/>
          <w14:textFill>
            <w14:solidFill>
              <w14:schemeClr w14:val="tx1"/>
            </w14:solidFill>
          </w14:textFill>
        </w:rPr>
        <w:t>金</w:t>
      </w:r>
    </w:p>
    <w:p w14:paraId="429CCE9B">
      <w:pPr>
        <w:adjustRightInd w:val="0"/>
        <w:snapToGrid w:val="0"/>
        <w:spacing w:before="40" w:after="40"/>
        <w:ind w:firstLine="48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auto"/>
          <w:kern w:val="2"/>
          <w:sz w:val="24"/>
          <w:szCs w:val="24"/>
          <w:highlight w:val="none"/>
          <w:lang w:val="en-US" w:eastAsia="zh-CN" w:bidi="ar-SA"/>
        </w:rPr>
        <w:t>履约保证金为合同金额的1%；履约保证金形式为：中标</w:t>
      </w:r>
      <w:r>
        <w:rPr>
          <w:rFonts w:hint="eastAsia" w:ascii="宋体" w:hAnsi="宋体" w:cs="宋体"/>
          <w:b w:val="0"/>
          <w:bCs/>
          <w:color w:val="auto"/>
          <w:sz w:val="24"/>
          <w:highlight w:val="none"/>
        </w:rPr>
        <w:t>人应当以支票、汇票、本票或者金融机构、担保机构出具的保函等非现金形式提交。鼓励和支持</w:t>
      </w:r>
      <w:r>
        <w:rPr>
          <w:rFonts w:hint="eastAsia" w:asciiTheme="minorEastAsia" w:hAnsiTheme="minorEastAsia" w:eastAsiaTheme="minorEastAsia" w:cstheme="minorEastAsia"/>
          <w:color w:val="auto"/>
          <w:kern w:val="2"/>
          <w:sz w:val="24"/>
          <w:szCs w:val="24"/>
          <w:highlight w:val="none"/>
          <w:lang w:val="en-US" w:eastAsia="zh-CN" w:bidi="ar-SA"/>
        </w:rPr>
        <w:t>中标</w:t>
      </w:r>
      <w:r>
        <w:rPr>
          <w:rFonts w:hint="eastAsia" w:ascii="宋体" w:hAnsi="宋体" w:cs="宋体"/>
          <w:b w:val="0"/>
          <w:bCs/>
          <w:color w:val="auto"/>
          <w:sz w:val="24"/>
          <w:highlight w:val="none"/>
        </w:rPr>
        <w:t>人以银行、保险公司出具的保函形式提供履约保证金</w:t>
      </w:r>
      <w:r>
        <w:rPr>
          <w:rFonts w:hint="eastAsia" w:asciiTheme="minorEastAsia" w:hAnsiTheme="minorEastAsia" w:eastAsiaTheme="minorEastAsia" w:cstheme="minorEastAsia"/>
          <w:color w:val="auto"/>
          <w:kern w:val="2"/>
          <w:sz w:val="24"/>
          <w:szCs w:val="24"/>
          <w:highlight w:val="none"/>
          <w:lang w:val="en-US" w:eastAsia="zh-CN" w:bidi="ar-SA"/>
        </w:rPr>
        <w:t>；中标人应根据采购人要求汇入采购人指定账号或提供保函。合同履约完毕，履约保证金无息退还。</w:t>
      </w:r>
    </w:p>
    <w:p w14:paraId="3ACB549D">
      <w:pPr>
        <w:adjustRightInd w:val="0"/>
        <w:snapToGrid w:val="0"/>
        <w:spacing w:before="40" w:after="40"/>
        <w:ind w:left="0" w:leftChars="0" w:firstLine="0" w:firstLineChars="0"/>
        <w:jc w:val="left"/>
        <w:rPr>
          <w:rFonts w:hint="eastAsia" w:cs="宋体"/>
          <w:b/>
          <w:highlight w:val="none"/>
        </w:rPr>
      </w:pPr>
    </w:p>
    <w:p w14:paraId="7CF51D7A">
      <w:pPr>
        <w:adjustRightInd w:val="0"/>
        <w:snapToGrid w:val="0"/>
        <w:spacing w:before="40" w:after="40"/>
        <w:ind w:left="0" w:leftChars="0" w:firstLine="0" w:firstLineChars="0"/>
        <w:jc w:val="left"/>
        <w:rPr>
          <w:rFonts w:cs="宋体"/>
          <w:b/>
          <w:highlight w:val="none"/>
        </w:rPr>
      </w:pPr>
      <w:r>
        <w:rPr>
          <w:rFonts w:hint="eastAsia" w:cs="宋体"/>
          <w:b/>
          <w:highlight w:val="none"/>
        </w:rPr>
        <w:t>六、违约责任</w:t>
      </w:r>
    </w:p>
    <w:p w14:paraId="128C0651">
      <w:pPr>
        <w:pStyle w:val="14"/>
        <w:widowControl w:val="0"/>
        <w:autoSpaceDE/>
        <w:autoSpaceDN/>
        <w:spacing w:before="40" w:after="40" w:line="360" w:lineRule="auto"/>
        <w:ind w:firstLine="480" w:firstLineChars="200"/>
        <w:rPr>
          <w:rFonts w:hAnsi="宋体" w:cs="宋体"/>
          <w:szCs w:val="24"/>
          <w:highlight w:val="none"/>
        </w:rPr>
      </w:pPr>
      <w:r>
        <w:rPr>
          <w:rFonts w:hint="eastAsia" w:hAnsi="宋体" w:cs="宋体"/>
          <w:szCs w:val="24"/>
          <w:highlight w:val="none"/>
        </w:rPr>
        <w:t>服务期间，乙方不履行甲方保密要求或不履行本合同其他约定内容，或从事其他有损甲方利益行为的，甲方有权视情节轻重相应扣除乙方履约保证金；造成严重后果的，甲方有权终止本合同并追究乙方相关法律责任。</w:t>
      </w:r>
    </w:p>
    <w:p w14:paraId="019419BF">
      <w:pPr>
        <w:tabs>
          <w:tab w:val="left" w:pos="3420"/>
          <w:tab w:val="left" w:pos="9180"/>
        </w:tabs>
        <w:adjustRightInd w:val="0"/>
        <w:snapToGrid w:val="0"/>
        <w:spacing w:before="40" w:after="40"/>
        <w:ind w:firstLine="0" w:firstLineChars="0"/>
        <w:rPr>
          <w:rFonts w:cs="宋体"/>
          <w:b/>
          <w:highlight w:val="none"/>
        </w:rPr>
      </w:pPr>
      <w:r>
        <w:rPr>
          <w:rFonts w:hint="eastAsia" w:cs="宋体"/>
          <w:b/>
          <w:highlight w:val="none"/>
        </w:rPr>
        <w:t>七、争议的解决方式</w:t>
      </w:r>
    </w:p>
    <w:p w14:paraId="012B796D">
      <w:pPr>
        <w:pStyle w:val="206"/>
        <w:adjustRightInd w:val="0"/>
        <w:snapToGrid w:val="0"/>
        <w:spacing w:before="40" w:after="40"/>
        <w:ind w:firstLine="470" w:firstLineChars="196"/>
        <w:rPr>
          <w:rFonts w:cs="宋体"/>
          <w:bCs/>
          <w:highlight w:val="none"/>
        </w:rPr>
      </w:pPr>
      <w:r>
        <w:rPr>
          <w:rFonts w:hint="eastAsia" w:cs="宋体"/>
          <w:bCs/>
          <w:highlight w:val="none"/>
        </w:rPr>
        <w:t>甲乙双方应通过友好协商，解决在执行合同中所发生的或与本合同有关的一切争端。如从协商开始十五天内仍不能解决，双方可向甲方所在地的人民法院提起诉讼。</w:t>
      </w:r>
    </w:p>
    <w:p w14:paraId="3631C85A">
      <w:pPr>
        <w:pStyle w:val="206"/>
        <w:adjustRightInd w:val="0"/>
        <w:snapToGrid w:val="0"/>
        <w:spacing w:before="40" w:after="40"/>
        <w:ind w:firstLine="0" w:firstLineChars="0"/>
        <w:rPr>
          <w:rFonts w:cs="宋体"/>
          <w:bCs/>
          <w:highlight w:val="none"/>
        </w:rPr>
      </w:pPr>
      <w:r>
        <w:rPr>
          <w:rFonts w:hint="eastAsia" w:cs="宋体"/>
          <w:b/>
          <w:highlight w:val="none"/>
        </w:rPr>
        <w:t>八、转让和分包</w:t>
      </w:r>
    </w:p>
    <w:p w14:paraId="167CF8B3">
      <w:pPr>
        <w:pStyle w:val="206"/>
        <w:adjustRightInd w:val="0"/>
        <w:snapToGrid w:val="0"/>
        <w:spacing w:before="40" w:after="40"/>
        <w:ind w:firstLine="480"/>
        <w:rPr>
          <w:rFonts w:cs="宋体"/>
          <w:bCs/>
          <w:highlight w:val="none"/>
        </w:rPr>
      </w:pPr>
      <w:r>
        <w:rPr>
          <w:rFonts w:hint="eastAsia" w:cs="宋体"/>
          <w:bCs/>
          <w:highlight w:val="none"/>
        </w:rPr>
        <w:t>乙方不得部分转让或全部转让其应履行的合同义务。如有转让和未经甲方同意的分包行为，甲方有权解除合同，没收履约保证金并追究乙方的违约责任。</w:t>
      </w:r>
    </w:p>
    <w:p w14:paraId="5B1D652C">
      <w:pPr>
        <w:pStyle w:val="206"/>
        <w:adjustRightInd w:val="0"/>
        <w:snapToGrid w:val="0"/>
        <w:spacing w:before="40" w:after="40"/>
        <w:ind w:firstLine="0" w:firstLineChars="0"/>
        <w:rPr>
          <w:rFonts w:cs="宋体"/>
          <w:b/>
          <w:highlight w:val="none"/>
        </w:rPr>
      </w:pPr>
      <w:r>
        <w:rPr>
          <w:rFonts w:hint="eastAsia" w:cs="宋体"/>
          <w:b/>
          <w:highlight w:val="none"/>
        </w:rPr>
        <w:t>九、其它</w:t>
      </w:r>
    </w:p>
    <w:p w14:paraId="66DB01DA">
      <w:pPr>
        <w:pStyle w:val="206"/>
        <w:adjustRightInd w:val="0"/>
        <w:snapToGrid w:val="0"/>
        <w:spacing w:before="40" w:after="40"/>
        <w:ind w:firstLine="470" w:firstLineChars="196"/>
        <w:rPr>
          <w:rFonts w:cs="宋体"/>
          <w:bCs/>
          <w:highlight w:val="none"/>
        </w:rPr>
      </w:pPr>
      <w:r>
        <w:rPr>
          <w:rFonts w:hint="eastAsia" w:cs="宋体"/>
          <w:bCs/>
          <w:highlight w:val="none"/>
        </w:rPr>
        <w:t>1.乙方应保证所提供的服务不会侵犯任何第三方的知识产权。</w:t>
      </w:r>
    </w:p>
    <w:p w14:paraId="359102D2">
      <w:pPr>
        <w:pStyle w:val="206"/>
        <w:adjustRightInd w:val="0"/>
        <w:snapToGrid w:val="0"/>
        <w:spacing w:before="40" w:after="40"/>
        <w:ind w:firstLine="470" w:firstLineChars="196"/>
        <w:rPr>
          <w:rFonts w:cs="宋体"/>
          <w:bCs/>
          <w:highlight w:val="none"/>
        </w:rPr>
      </w:pPr>
      <w:r>
        <w:rPr>
          <w:rFonts w:hint="eastAsia" w:cs="宋体"/>
          <w:bCs/>
          <w:highlight w:val="none"/>
        </w:rPr>
        <w:t>2.招标文件、响应文件、补充协议、询标答复纪要及合同谈判纪要作为本合同的附件，与本合同具有同等法律效力。</w:t>
      </w:r>
    </w:p>
    <w:p w14:paraId="6C44B229">
      <w:pPr>
        <w:pStyle w:val="206"/>
        <w:adjustRightInd w:val="0"/>
        <w:snapToGrid w:val="0"/>
        <w:spacing w:before="40" w:after="40"/>
        <w:ind w:firstLine="470" w:firstLineChars="196"/>
        <w:rPr>
          <w:rFonts w:cs="宋体"/>
          <w:bCs/>
          <w:highlight w:val="none"/>
        </w:rPr>
      </w:pPr>
      <w:r>
        <w:rPr>
          <w:rFonts w:hint="eastAsia" w:cs="宋体"/>
          <w:bCs/>
          <w:highlight w:val="none"/>
        </w:rPr>
        <w:t>3.本合同未尽事宜，遵照《民法典》有关条文执行。</w:t>
      </w:r>
    </w:p>
    <w:p w14:paraId="093235C7">
      <w:pPr>
        <w:pStyle w:val="206"/>
        <w:adjustRightInd w:val="0"/>
        <w:snapToGrid w:val="0"/>
        <w:spacing w:before="40" w:after="40"/>
        <w:ind w:firstLine="0" w:firstLineChars="0"/>
        <w:rPr>
          <w:rFonts w:cs="宋体"/>
          <w:b/>
          <w:highlight w:val="none"/>
        </w:rPr>
      </w:pPr>
      <w:r>
        <w:rPr>
          <w:rFonts w:hint="eastAsia" w:cs="宋体"/>
          <w:b/>
          <w:highlight w:val="none"/>
        </w:rPr>
        <w:t>十、合同份数：</w:t>
      </w:r>
    </w:p>
    <w:p w14:paraId="181031E1">
      <w:pPr>
        <w:pStyle w:val="206"/>
        <w:adjustRightInd w:val="0"/>
        <w:snapToGrid w:val="0"/>
        <w:spacing w:before="40" w:after="40"/>
        <w:ind w:firstLine="480"/>
        <w:rPr>
          <w:rFonts w:cs="宋体"/>
          <w:highlight w:val="none"/>
        </w:rPr>
      </w:pPr>
      <w:r>
        <w:rPr>
          <w:rFonts w:hint="eastAsia" w:cs="宋体"/>
          <w:color w:val="000000" w:themeColor="text1"/>
          <w:highlight w:val="none"/>
          <w14:textFill>
            <w14:solidFill>
              <w14:schemeClr w14:val="tx1"/>
            </w14:solidFill>
          </w14:textFill>
        </w:rPr>
        <w:t>本合同一式陆份，甲方执肆份，乙方执两份。具有同等法律效力。双方签字盖</w:t>
      </w:r>
      <w:r>
        <w:rPr>
          <w:rFonts w:hint="eastAsia" w:cs="宋体"/>
          <w:highlight w:val="none"/>
        </w:rPr>
        <w:t>章生效。</w:t>
      </w:r>
    </w:p>
    <w:p w14:paraId="165F171B">
      <w:pPr>
        <w:pStyle w:val="206"/>
        <w:adjustRightInd w:val="0"/>
        <w:snapToGrid w:val="0"/>
        <w:ind w:firstLine="470" w:firstLineChars="196"/>
        <w:rPr>
          <w:rFonts w:asciiTheme="minorEastAsia" w:hAnsiTheme="minorEastAsia" w:eastAsiaTheme="minorEastAsia" w:cstheme="minorEastAsia"/>
          <w:bCs/>
          <w:highlight w:val="none"/>
        </w:rPr>
      </w:pPr>
    </w:p>
    <w:p w14:paraId="10BD639B">
      <w:pPr>
        <w:pStyle w:val="206"/>
        <w:adjustRightInd w:val="0"/>
        <w:snapToGrid w:val="0"/>
        <w:ind w:firstLine="470" w:firstLineChars="196"/>
        <w:rPr>
          <w:rFonts w:asciiTheme="minorEastAsia" w:hAnsiTheme="minorEastAsia" w:eastAsiaTheme="minorEastAsia" w:cstheme="minorEastAsia"/>
          <w:bCs/>
          <w:highlight w:val="none"/>
        </w:rPr>
      </w:pPr>
    </w:p>
    <w:p w14:paraId="64DE9D0B">
      <w:pPr>
        <w:pStyle w:val="206"/>
        <w:adjustRightInd w:val="0"/>
        <w:snapToGrid w:val="0"/>
        <w:ind w:firstLine="470" w:firstLineChars="196"/>
        <w:rPr>
          <w:rFonts w:asciiTheme="minorEastAsia" w:hAnsiTheme="minorEastAsia" w:eastAsiaTheme="minorEastAsia" w:cstheme="minorEastAsia"/>
          <w:bCs/>
          <w:highlight w:val="none"/>
        </w:rPr>
      </w:pPr>
    </w:p>
    <w:p w14:paraId="10A99C8C">
      <w:pPr>
        <w:pStyle w:val="206"/>
        <w:adjustRightInd w:val="0"/>
        <w:snapToGrid w:val="0"/>
        <w:ind w:firstLine="470" w:firstLineChars="196"/>
        <w:rPr>
          <w:rFonts w:asciiTheme="minorEastAsia" w:hAnsiTheme="minorEastAsia" w:eastAsiaTheme="minorEastAsia" w:cstheme="minorEastAsia"/>
          <w:bCs/>
          <w:highlight w:val="none"/>
        </w:rPr>
      </w:pPr>
      <w:r>
        <w:rPr>
          <w:rFonts w:hint="eastAsia" w:asciiTheme="minorEastAsia" w:hAnsiTheme="minorEastAsia" w:eastAsiaTheme="minorEastAsia" w:cstheme="minorEastAsia"/>
          <w:bCs/>
          <w:highlight w:val="none"/>
        </w:rPr>
        <w:t>甲方（盖章）：                             乙方（盖章）：</w:t>
      </w:r>
    </w:p>
    <w:p w14:paraId="5806A1A9">
      <w:pPr>
        <w:pStyle w:val="206"/>
        <w:adjustRightInd w:val="0"/>
        <w:snapToGrid w:val="0"/>
        <w:ind w:firstLine="470" w:firstLineChars="196"/>
        <w:rPr>
          <w:rFonts w:asciiTheme="minorEastAsia" w:hAnsiTheme="minorEastAsia" w:eastAsiaTheme="minorEastAsia" w:cstheme="minorEastAsia"/>
          <w:bCs/>
          <w:highlight w:val="none"/>
        </w:rPr>
      </w:pPr>
      <w:r>
        <w:rPr>
          <w:rFonts w:hint="eastAsia" w:asciiTheme="minorEastAsia" w:hAnsiTheme="minorEastAsia" w:eastAsiaTheme="minorEastAsia" w:cstheme="minorEastAsia"/>
          <w:bCs/>
          <w:highlight w:val="none"/>
        </w:rPr>
        <w:t xml:space="preserve">法定代表人或委托代理人（签字）：           法定代表人或委托代理人（签字）：                                </w:t>
      </w:r>
    </w:p>
    <w:p w14:paraId="087E8173">
      <w:pPr>
        <w:pStyle w:val="206"/>
        <w:adjustRightInd w:val="0"/>
        <w:snapToGrid w:val="0"/>
        <w:ind w:firstLine="470" w:firstLineChars="196"/>
        <w:rPr>
          <w:rFonts w:asciiTheme="minorEastAsia" w:hAnsiTheme="minorEastAsia" w:eastAsiaTheme="minorEastAsia" w:cstheme="minorEastAsia"/>
          <w:bCs/>
          <w:highlight w:val="none"/>
        </w:rPr>
      </w:pPr>
      <w:r>
        <w:rPr>
          <w:rFonts w:hint="eastAsia" w:asciiTheme="minorEastAsia" w:hAnsiTheme="minorEastAsia" w:eastAsiaTheme="minorEastAsia" w:cstheme="minorEastAsia"/>
          <w:bCs/>
          <w:highlight w:val="none"/>
        </w:rPr>
        <w:t>电话：                                     电话：</w:t>
      </w:r>
    </w:p>
    <w:p w14:paraId="65B11F8F">
      <w:pPr>
        <w:pStyle w:val="206"/>
        <w:adjustRightInd w:val="0"/>
        <w:snapToGrid w:val="0"/>
        <w:ind w:firstLine="470" w:firstLineChars="196"/>
        <w:rPr>
          <w:rFonts w:asciiTheme="minorEastAsia" w:hAnsiTheme="minorEastAsia" w:eastAsiaTheme="minorEastAsia" w:cstheme="minorEastAsia"/>
          <w:bCs/>
          <w:highlight w:val="none"/>
        </w:rPr>
      </w:pPr>
      <w:r>
        <w:rPr>
          <w:rFonts w:hint="eastAsia" w:asciiTheme="minorEastAsia" w:hAnsiTheme="minorEastAsia" w:eastAsiaTheme="minorEastAsia" w:cstheme="minorEastAsia"/>
          <w:bCs/>
          <w:highlight w:val="none"/>
        </w:rPr>
        <w:t>日期：   年  月   日                       日期：   年  月  日</w:t>
      </w:r>
    </w:p>
    <w:p w14:paraId="172D389F">
      <w:pPr>
        <w:ind w:firstLine="0" w:firstLineChars="0"/>
        <w:rPr>
          <w:rFonts w:cs="宋体"/>
          <w:b/>
          <w:bCs/>
          <w:highlight w:val="none"/>
        </w:rPr>
      </w:pPr>
    </w:p>
    <w:p w14:paraId="56891520">
      <w:pPr>
        <w:ind w:firstLine="0" w:firstLineChars="0"/>
        <w:jc w:val="center"/>
        <w:rPr>
          <w:rFonts w:cs="宋体"/>
          <w:highlight w:val="none"/>
        </w:rPr>
      </w:pPr>
      <w:r>
        <w:rPr>
          <w:rFonts w:hint="eastAsia" w:cs="宋体"/>
          <w:b/>
          <w:bCs/>
          <w:highlight w:val="none"/>
        </w:rPr>
        <w:t>附件（请严格按照招投标文件和询标纪要填写配置清单和服务承诺）</w:t>
      </w:r>
      <w:r>
        <w:rPr>
          <w:rFonts w:hint="eastAsia" w:cs="宋体"/>
          <w:highlight w:val="none"/>
        </w:rPr>
        <w:t>（如有）</w:t>
      </w:r>
    </w:p>
    <w:p w14:paraId="5CA97807">
      <w:pPr>
        <w:pStyle w:val="80"/>
        <w:rPr>
          <w:rFonts w:ascii="宋体" w:hAnsi="宋体" w:eastAsia="宋体" w:cs="宋体"/>
          <w:color w:val="auto"/>
          <w:highlight w:val="none"/>
        </w:rPr>
        <w:sectPr>
          <w:pgSz w:w="11907" w:h="16840"/>
          <w:pgMar w:top="1247" w:right="1304" w:bottom="1021" w:left="1304" w:header="720" w:footer="720" w:gutter="0"/>
          <w:cols w:space="720" w:num="1"/>
          <w:docGrid w:linePitch="286" w:charSpace="0"/>
        </w:sectPr>
      </w:pPr>
    </w:p>
    <w:p w14:paraId="52AA21FB">
      <w:pPr>
        <w:pStyle w:val="3"/>
        <w:rPr>
          <w:rFonts w:cs="宋体"/>
          <w:szCs w:val="32"/>
          <w:highlight w:val="none"/>
        </w:rPr>
      </w:pPr>
      <w:bookmarkStart w:id="81" w:name="_Toc27145"/>
      <w:bookmarkStart w:id="82" w:name="_Toc450840088"/>
      <w:r>
        <w:rPr>
          <w:rFonts w:hint="eastAsia" w:cs="宋体"/>
          <w:sz w:val="36"/>
          <w:szCs w:val="36"/>
          <w:highlight w:val="none"/>
        </w:rPr>
        <w:t>第六章  投标文件格式</w:t>
      </w:r>
      <w:bookmarkEnd w:id="81"/>
      <w:bookmarkEnd w:id="82"/>
    </w:p>
    <w:p w14:paraId="1C82636C">
      <w:pPr>
        <w:pStyle w:val="20"/>
        <w:spacing w:line="360" w:lineRule="auto"/>
        <w:jc w:val="center"/>
        <w:rPr>
          <w:rFonts w:hAnsi="宋体" w:cs="宋体"/>
          <w:sz w:val="24"/>
          <w:szCs w:val="24"/>
          <w:highlight w:val="none"/>
        </w:rPr>
      </w:pPr>
      <w:r>
        <w:rPr>
          <w:rFonts w:hint="eastAsia" w:hAnsi="宋体" w:cs="宋体"/>
          <w:b/>
          <w:bCs/>
          <w:sz w:val="24"/>
          <w:szCs w:val="24"/>
          <w:highlight w:val="none"/>
        </w:rPr>
        <w:t>（要求提供但未提供附件的文件由投标人自拟格式）</w:t>
      </w:r>
    </w:p>
    <w:p w14:paraId="5810A1B1">
      <w:pPr>
        <w:pStyle w:val="20"/>
        <w:spacing w:line="360" w:lineRule="auto"/>
        <w:rPr>
          <w:rFonts w:hAnsi="宋体" w:cs="宋体"/>
          <w:b/>
          <w:bCs/>
          <w:sz w:val="24"/>
          <w:szCs w:val="24"/>
          <w:highlight w:val="none"/>
        </w:rPr>
      </w:pPr>
    </w:p>
    <w:p w14:paraId="09EBE790">
      <w:pPr>
        <w:pStyle w:val="20"/>
        <w:spacing w:line="360" w:lineRule="auto"/>
        <w:rPr>
          <w:rFonts w:hAnsi="宋体" w:cs="宋体"/>
          <w:sz w:val="28"/>
          <w:szCs w:val="28"/>
          <w:highlight w:val="none"/>
        </w:rPr>
      </w:pPr>
      <w:r>
        <w:rPr>
          <w:rFonts w:hint="eastAsia" w:hAnsi="宋体" w:cs="宋体"/>
          <w:b/>
          <w:bCs/>
          <w:sz w:val="24"/>
          <w:szCs w:val="24"/>
          <w:highlight w:val="none"/>
        </w:rPr>
        <w:t>资格文件封面                                                  正本（副本）</w:t>
      </w:r>
    </w:p>
    <w:p w14:paraId="1287A45F">
      <w:pPr>
        <w:ind w:firstLine="480"/>
        <w:rPr>
          <w:rFonts w:cs="宋体"/>
          <w:highlight w:val="none"/>
        </w:rPr>
      </w:pPr>
    </w:p>
    <w:p w14:paraId="4FCE2A27">
      <w:pPr>
        <w:ind w:firstLine="0" w:firstLineChars="0"/>
        <w:jc w:val="center"/>
        <w:rPr>
          <w:rFonts w:cs="宋体"/>
          <w:b/>
          <w:bCs/>
          <w:sz w:val="32"/>
          <w:szCs w:val="32"/>
          <w:highlight w:val="none"/>
        </w:rPr>
      </w:pPr>
      <w:r>
        <w:rPr>
          <w:rFonts w:hint="eastAsia" w:cs="宋体"/>
          <w:b/>
          <w:bCs/>
          <w:sz w:val="32"/>
          <w:szCs w:val="32"/>
          <w:highlight w:val="none"/>
        </w:rPr>
        <w:t>资格文件</w:t>
      </w:r>
    </w:p>
    <w:p w14:paraId="19329FDF">
      <w:pPr>
        <w:pStyle w:val="14"/>
        <w:rPr>
          <w:rFonts w:hAnsi="宋体" w:cs="宋体"/>
          <w:b/>
          <w:bCs/>
          <w:szCs w:val="24"/>
          <w:highlight w:val="none"/>
        </w:rPr>
      </w:pPr>
    </w:p>
    <w:p w14:paraId="42ABC78F">
      <w:pPr>
        <w:ind w:firstLine="482"/>
        <w:rPr>
          <w:rFonts w:cs="宋体"/>
          <w:b/>
          <w:bCs/>
          <w:highlight w:val="none"/>
        </w:rPr>
      </w:pPr>
    </w:p>
    <w:p w14:paraId="1E837130">
      <w:pPr>
        <w:pStyle w:val="14"/>
        <w:rPr>
          <w:rFonts w:hAnsi="宋体" w:cs="宋体"/>
          <w:b/>
          <w:bCs/>
          <w:szCs w:val="24"/>
          <w:highlight w:val="none"/>
        </w:rPr>
      </w:pPr>
    </w:p>
    <w:p w14:paraId="6E6769BD">
      <w:pPr>
        <w:spacing w:line="480" w:lineRule="auto"/>
        <w:ind w:firstLine="576"/>
        <w:rPr>
          <w:rFonts w:cs="宋体"/>
          <w:bCs/>
          <w:spacing w:val="-6"/>
          <w:sz w:val="30"/>
          <w:szCs w:val="30"/>
          <w:highlight w:val="none"/>
        </w:rPr>
      </w:pPr>
      <w:r>
        <w:rPr>
          <w:rFonts w:hint="eastAsia" w:cs="宋体"/>
          <w:bCs/>
          <w:spacing w:val="-6"/>
          <w:sz w:val="30"/>
          <w:szCs w:val="30"/>
          <w:highlight w:val="none"/>
        </w:rPr>
        <w:t>招 标 人：</w:t>
      </w:r>
    </w:p>
    <w:p w14:paraId="40EEC41D">
      <w:pPr>
        <w:spacing w:line="480" w:lineRule="auto"/>
        <w:ind w:firstLine="576"/>
        <w:rPr>
          <w:rFonts w:cs="宋体"/>
          <w:bCs/>
          <w:spacing w:val="-6"/>
          <w:sz w:val="30"/>
          <w:szCs w:val="30"/>
          <w:highlight w:val="none"/>
        </w:rPr>
      </w:pPr>
      <w:r>
        <w:rPr>
          <w:rFonts w:hint="eastAsia" w:cs="宋体"/>
          <w:bCs/>
          <w:spacing w:val="-6"/>
          <w:sz w:val="30"/>
          <w:szCs w:val="30"/>
          <w:highlight w:val="none"/>
        </w:rPr>
        <w:t>项目名称：</w:t>
      </w:r>
    </w:p>
    <w:p w14:paraId="7EB6F796">
      <w:pPr>
        <w:spacing w:line="480" w:lineRule="auto"/>
        <w:ind w:firstLine="576"/>
        <w:rPr>
          <w:rFonts w:cs="宋体"/>
          <w:bCs/>
          <w:spacing w:val="-6"/>
          <w:sz w:val="30"/>
          <w:szCs w:val="30"/>
          <w:highlight w:val="none"/>
        </w:rPr>
      </w:pPr>
      <w:r>
        <w:rPr>
          <w:rFonts w:hint="eastAsia" w:cs="宋体"/>
          <w:bCs/>
          <w:spacing w:val="-6"/>
          <w:sz w:val="30"/>
          <w:szCs w:val="30"/>
          <w:highlight w:val="none"/>
        </w:rPr>
        <w:t>项目编号：</w:t>
      </w:r>
    </w:p>
    <w:p w14:paraId="0B4483A5">
      <w:pPr>
        <w:spacing w:line="480" w:lineRule="auto"/>
        <w:ind w:firstLine="576"/>
        <w:rPr>
          <w:rFonts w:cs="宋体"/>
          <w:bCs/>
          <w:spacing w:val="-6"/>
          <w:sz w:val="30"/>
          <w:szCs w:val="30"/>
          <w:highlight w:val="none"/>
        </w:rPr>
      </w:pPr>
      <w:r>
        <w:rPr>
          <w:rFonts w:hint="eastAsia" w:cs="宋体"/>
          <w:bCs/>
          <w:spacing w:val="-6"/>
          <w:sz w:val="30"/>
          <w:szCs w:val="30"/>
          <w:highlight w:val="none"/>
        </w:rPr>
        <w:t>投标人名称（盖章）：</w:t>
      </w:r>
    </w:p>
    <w:p w14:paraId="2E838E40">
      <w:pPr>
        <w:spacing w:line="480" w:lineRule="auto"/>
        <w:ind w:firstLine="576"/>
        <w:rPr>
          <w:rFonts w:cs="宋体"/>
          <w:bCs/>
          <w:spacing w:val="-6"/>
          <w:sz w:val="30"/>
          <w:szCs w:val="30"/>
          <w:highlight w:val="none"/>
        </w:rPr>
      </w:pPr>
      <w:r>
        <w:rPr>
          <w:rFonts w:hint="eastAsia" w:cs="宋体"/>
          <w:bCs/>
          <w:spacing w:val="-6"/>
          <w:sz w:val="30"/>
          <w:szCs w:val="30"/>
          <w:highlight w:val="none"/>
        </w:rPr>
        <w:t>投标人地址：</w:t>
      </w:r>
    </w:p>
    <w:p w14:paraId="22917220">
      <w:pPr>
        <w:ind w:firstLine="576"/>
        <w:rPr>
          <w:rFonts w:cs="宋体"/>
          <w:bCs/>
          <w:spacing w:val="-6"/>
          <w:sz w:val="30"/>
          <w:szCs w:val="30"/>
          <w:highlight w:val="none"/>
        </w:rPr>
      </w:pPr>
    </w:p>
    <w:p w14:paraId="09914F3D">
      <w:pPr>
        <w:spacing w:line="480" w:lineRule="auto"/>
        <w:ind w:firstLine="576"/>
        <w:rPr>
          <w:rFonts w:cs="宋体"/>
          <w:bCs/>
          <w:spacing w:val="-6"/>
          <w:sz w:val="30"/>
          <w:szCs w:val="30"/>
          <w:highlight w:val="none"/>
        </w:rPr>
      </w:pPr>
      <w:r>
        <w:rPr>
          <w:rFonts w:hint="eastAsia" w:cs="宋体"/>
          <w:spacing w:val="-6"/>
          <w:sz w:val="30"/>
          <w:szCs w:val="30"/>
          <w:highlight w:val="none"/>
        </w:rPr>
        <w:t>法定代表人或其授权代表（签字）</w:t>
      </w:r>
      <w:r>
        <w:rPr>
          <w:rFonts w:hint="eastAsia" w:cs="宋体"/>
          <w:bCs/>
          <w:spacing w:val="-6"/>
          <w:sz w:val="30"/>
          <w:szCs w:val="30"/>
          <w:highlight w:val="none"/>
        </w:rPr>
        <w:t>：</w:t>
      </w:r>
    </w:p>
    <w:p w14:paraId="447C8A33">
      <w:pPr>
        <w:spacing w:line="480" w:lineRule="auto"/>
        <w:ind w:firstLine="576"/>
        <w:rPr>
          <w:rFonts w:cs="宋体"/>
          <w:highlight w:val="none"/>
        </w:rPr>
      </w:pPr>
      <w:r>
        <w:rPr>
          <w:rFonts w:hint="eastAsia" w:cs="宋体"/>
          <w:bCs/>
          <w:spacing w:val="-6"/>
          <w:sz w:val="30"/>
          <w:szCs w:val="30"/>
          <w:highlight w:val="none"/>
        </w:rPr>
        <w:t>日期：    年  月  日</w:t>
      </w:r>
    </w:p>
    <w:p w14:paraId="6FBE4086">
      <w:pPr>
        <w:pStyle w:val="80"/>
        <w:rPr>
          <w:rFonts w:ascii="宋体" w:hAnsi="宋体" w:eastAsia="宋体" w:cs="宋体"/>
          <w:color w:val="auto"/>
          <w:highlight w:val="none"/>
        </w:rPr>
      </w:pPr>
    </w:p>
    <w:p w14:paraId="78FF4CE4">
      <w:pPr>
        <w:pStyle w:val="80"/>
        <w:rPr>
          <w:rFonts w:ascii="宋体" w:hAnsi="宋体" w:eastAsia="宋体" w:cs="宋体"/>
          <w:color w:val="auto"/>
          <w:highlight w:val="none"/>
        </w:rPr>
      </w:pPr>
    </w:p>
    <w:p w14:paraId="4F5758C5">
      <w:pPr>
        <w:pStyle w:val="80"/>
        <w:rPr>
          <w:rFonts w:ascii="宋体" w:hAnsi="宋体" w:eastAsia="宋体" w:cs="宋体"/>
          <w:color w:val="auto"/>
          <w:highlight w:val="none"/>
        </w:rPr>
      </w:pPr>
    </w:p>
    <w:p w14:paraId="2D4BE8DE">
      <w:pPr>
        <w:pStyle w:val="80"/>
        <w:rPr>
          <w:rFonts w:ascii="宋体" w:hAnsi="宋体" w:eastAsia="宋体" w:cs="宋体"/>
          <w:color w:val="auto"/>
          <w:highlight w:val="none"/>
        </w:rPr>
      </w:pPr>
    </w:p>
    <w:p w14:paraId="68E0BBA7">
      <w:pPr>
        <w:pStyle w:val="80"/>
        <w:rPr>
          <w:rFonts w:ascii="宋体" w:hAnsi="宋体" w:eastAsia="宋体" w:cs="宋体"/>
          <w:color w:val="auto"/>
          <w:highlight w:val="none"/>
        </w:rPr>
      </w:pPr>
    </w:p>
    <w:p w14:paraId="3F449C5A">
      <w:pPr>
        <w:pStyle w:val="80"/>
        <w:rPr>
          <w:rFonts w:ascii="宋体" w:hAnsi="宋体" w:eastAsia="宋体" w:cs="宋体"/>
          <w:color w:val="auto"/>
          <w:highlight w:val="none"/>
        </w:rPr>
      </w:pPr>
    </w:p>
    <w:p w14:paraId="39378F25">
      <w:pPr>
        <w:pStyle w:val="80"/>
        <w:rPr>
          <w:rFonts w:ascii="宋体" w:hAnsi="宋体" w:eastAsia="宋体" w:cs="宋体"/>
          <w:color w:val="auto"/>
          <w:highlight w:val="none"/>
        </w:rPr>
      </w:pPr>
    </w:p>
    <w:p w14:paraId="50F395EF">
      <w:pPr>
        <w:pStyle w:val="80"/>
        <w:rPr>
          <w:rFonts w:ascii="宋体" w:hAnsi="宋体" w:eastAsia="宋体" w:cs="宋体"/>
          <w:color w:val="auto"/>
          <w:highlight w:val="none"/>
        </w:rPr>
      </w:pPr>
    </w:p>
    <w:p w14:paraId="35DAB46E">
      <w:pPr>
        <w:pStyle w:val="80"/>
        <w:rPr>
          <w:rFonts w:ascii="宋体" w:hAnsi="宋体" w:eastAsia="宋体" w:cs="宋体"/>
          <w:color w:val="auto"/>
          <w:highlight w:val="none"/>
        </w:rPr>
      </w:pPr>
    </w:p>
    <w:p w14:paraId="63A6CB72">
      <w:pPr>
        <w:pStyle w:val="80"/>
        <w:rPr>
          <w:rFonts w:ascii="宋体" w:hAnsi="宋体" w:eastAsia="宋体" w:cs="宋体"/>
          <w:color w:val="auto"/>
          <w:highlight w:val="none"/>
        </w:rPr>
      </w:pPr>
    </w:p>
    <w:p w14:paraId="6A4843E8">
      <w:pPr>
        <w:pStyle w:val="80"/>
        <w:rPr>
          <w:rFonts w:ascii="宋体" w:hAnsi="宋体" w:eastAsia="宋体" w:cs="宋体"/>
          <w:color w:val="auto"/>
          <w:highlight w:val="none"/>
        </w:rPr>
      </w:pPr>
    </w:p>
    <w:p w14:paraId="055FB9F3">
      <w:pPr>
        <w:pStyle w:val="80"/>
        <w:rPr>
          <w:rFonts w:ascii="宋体" w:hAnsi="宋体" w:eastAsia="宋体" w:cs="宋体"/>
          <w:color w:val="auto"/>
          <w:highlight w:val="none"/>
        </w:rPr>
      </w:pPr>
    </w:p>
    <w:p w14:paraId="6E81B4B1">
      <w:pPr>
        <w:spacing w:line="480" w:lineRule="auto"/>
        <w:ind w:firstLine="0" w:firstLineChars="0"/>
        <w:jc w:val="center"/>
        <w:outlineLvl w:val="0"/>
        <w:rPr>
          <w:rFonts w:cs="宋体"/>
          <w:b/>
          <w:kern w:val="0"/>
          <w:highlight w:val="none"/>
        </w:rPr>
      </w:pPr>
      <w:r>
        <w:rPr>
          <w:rFonts w:hint="eastAsia" w:cs="宋体"/>
          <w:highlight w:val="none"/>
        </w:rPr>
        <w:br w:type="page"/>
      </w:r>
      <w:r>
        <w:rPr>
          <w:rFonts w:hint="eastAsia" w:cs="宋体"/>
          <w:b/>
          <w:kern w:val="0"/>
          <w:sz w:val="32"/>
          <w:szCs w:val="32"/>
          <w:highlight w:val="none"/>
        </w:rPr>
        <w:t>资格文件目录</w:t>
      </w:r>
    </w:p>
    <w:p w14:paraId="134D8DB0">
      <w:pPr>
        <w:spacing w:line="480" w:lineRule="auto"/>
        <w:ind w:firstLine="480"/>
        <w:rPr>
          <w:rFonts w:cs="宋体"/>
          <w:highlight w:val="none"/>
        </w:rPr>
      </w:pPr>
      <w:r>
        <w:rPr>
          <w:rFonts w:hint="eastAsia" w:cs="宋体"/>
          <w:highlight w:val="none"/>
        </w:rPr>
        <w:t>1.投标声明书；（附件一）</w:t>
      </w:r>
    </w:p>
    <w:p w14:paraId="02381974">
      <w:pPr>
        <w:spacing w:line="480" w:lineRule="auto"/>
        <w:ind w:firstLine="480"/>
        <w:rPr>
          <w:rFonts w:cs="宋体"/>
          <w:highlight w:val="none"/>
        </w:rPr>
      </w:pPr>
      <w:r>
        <w:rPr>
          <w:rFonts w:hint="eastAsia" w:cs="宋体"/>
          <w:highlight w:val="none"/>
        </w:rPr>
        <w:t>2.有效的营业执照副本；（扫描件一份）</w:t>
      </w:r>
    </w:p>
    <w:p w14:paraId="35322BB5">
      <w:pPr>
        <w:spacing w:line="480" w:lineRule="auto"/>
        <w:ind w:firstLine="480"/>
        <w:rPr>
          <w:rFonts w:cs="宋体"/>
          <w:highlight w:val="none"/>
        </w:rPr>
      </w:pPr>
      <w:r>
        <w:rPr>
          <w:rFonts w:hint="eastAsia" w:cs="宋体"/>
          <w:highlight w:val="none"/>
        </w:rPr>
        <w:t>3.符合参加政府采购活动应当具备的一般条件的承诺函；（附件二）</w:t>
      </w:r>
    </w:p>
    <w:p w14:paraId="3A19A90A">
      <w:pPr>
        <w:spacing w:line="480" w:lineRule="auto"/>
        <w:ind w:firstLine="480"/>
        <w:rPr>
          <w:rFonts w:cs="宋体"/>
          <w:highlight w:val="none"/>
        </w:rPr>
      </w:pPr>
      <w:r>
        <w:rPr>
          <w:rFonts w:hint="eastAsia" w:cs="宋体"/>
          <w:highlight w:val="none"/>
        </w:rPr>
        <w:t>4.</w:t>
      </w:r>
      <w:r>
        <w:rPr>
          <w:rFonts w:hint="eastAsia"/>
          <w:highlight w:val="none"/>
        </w:rPr>
        <w:t>投标人股权信息表；（附件三）</w:t>
      </w:r>
    </w:p>
    <w:p w14:paraId="3BFD0B92">
      <w:pPr>
        <w:spacing w:line="480" w:lineRule="auto"/>
        <w:ind w:firstLine="480"/>
        <w:rPr>
          <w:highlight w:val="none"/>
        </w:rPr>
      </w:pPr>
      <w:r>
        <w:rPr>
          <w:rFonts w:hint="eastAsia"/>
          <w:highlight w:val="none"/>
        </w:rPr>
        <w:t>5.</w:t>
      </w:r>
      <w:r>
        <w:rPr>
          <w:rFonts w:hint="eastAsia" w:cs="宋体"/>
          <w:highlight w:val="none"/>
        </w:rPr>
        <w:t>法定代表人有效身份证明书和法定代表人授权委托书（投标人的代表若为非法定代表人的，必须提交法定代表人授权委托书、授权代表身份证复印件、授权代表社保证明（提供近三个月任意一个月的社保缴纳证明）；（附件四）</w:t>
      </w:r>
    </w:p>
    <w:p w14:paraId="68E678D8">
      <w:pPr>
        <w:spacing w:line="480" w:lineRule="auto"/>
        <w:ind w:firstLine="480"/>
        <w:rPr>
          <w:highlight w:val="none"/>
        </w:rPr>
      </w:pPr>
      <w:r>
        <w:rPr>
          <w:rFonts w:hint="eastAsia"/>
          <w:highlight w:val="none"/>
        </w:rPr>
        <w:t>6.廉政承诺书；（附件五）</w:t>
      </w:r>
    </w:p>
    <w:p w14:paraId="0BFFC09C">
      <w:pPr>
        <w:spacing w:line="480" w:lineRule="auto"/>
        <w:ind w:firstLine="480"/>
        <w:rPr>
          <w:highlight w:val="none"/>
        </w:rPr>
      </w:pPr>
      <w:r>
        <w:rPr>
          <w:rFonts w:hint="eastAsia"/>
          <w:highlight w:val="none"/>
        </w:rPr>
        <w:t>7.中小企业声明函或监狱企业、</w:t>
      </w:r>
      <w:r>
        <w:rPr>
          <w:rFonts w:hint="eastAsia" w:cs="宋体"/>
          <w:highlight w:val="none"/>
        </w:rPr>
        <w:t>残疾人福利性单位声明函。（附件六）</w:t>
      </w:r>
    </w:p>
    <w:p w14:paraId="0CB86FDD">
      <w:pPr>
        <w:pStyle w:val="80"/>
        <w:spacing w:line="480" w:lineRule="auto"/>
        <w:rPr>
          <w:rFonts w:ascii="宋体" w:hAnsi="宋体" w:eastAsia="宋体" w:cs="宋体"/>
          <w:highlight w:val="none"/>
        </w:rPr>
      </w:pPr>
      <w:r>
        <w:rPr>
          <w:rFonts w:hint="eastAsia" w:ascii="宋体" w:hAnsi="宋体" w:eastAsia="宋体" w:cs="宋体"/>
          <w:highlight w:val="none"/>
        </w:rPr>
        <w:t xml:space="preserve">    </w:t>
      </w:r>
    </w:p>
    <w:p w14:paraId="4BAD0323">
      <w:pPr>
        <w:pStyle w:val="82"/>
        <w:spacing w:line="480" w:lineRule="auto"/>
        <w:rPr>
          <w:rFonts w:ascii="宋体" w:hAnsi="宋体" w:cs="宋体"/>
          <w:sz w:val="24"/>
          <w:szCs w:val="24"/>
          <w:highlight w:val="none"/>
        </w:rPr>
        <w:sectPr>
          <w:headerReference r:id="rId14" w:type="default"/>
          <w:pgSz w:w="11907" w:h="16840"/>
          <w:pgMar w:top="1247" w:right="1304" w:bottom="1021" w:left="1304" w:header="720" w:footer="720" w:gutter="0"/>
          <w:cols w:space="720" w:num="1"/>
          <w:docGrid w:linePitch="286" w:charSpace="0"/>
        </w:sectPr>
      </w:pPr>
    </w:p>
    <w:p w14:paraId="54477095">
      <w:pPr>
        <w:snapToGrid w:val="0"/>
        <w:ind w:right="480" w:firstLine="0" w:firstLineChars="0"/>
        <w:jc w:val="left"/>
        <w:rPr>
          <w:rStyle w:val="60"/>
          <w:sz w:val="24"/>
          <w:szCs w:val="24"/>
          <w:highlight w:val="none"/>
        </w:rPr>
      </w:pPr>
      <w:r>
        <w:rPr>
          <w:rStyle w:val="60"/>
          <w:rFonts w:hint="eastAsia"/>
          <w:sz w:val="24"/>
          <w:szCs w:val="24"/>
          <w:highlight w:val="none"/>
        </w:rPr>
        <w:t>附件一</w:t>
      </w:r>
    </w:p>
    <w:p w14:paraId="24B9105E">
      <w:pPr>
        <w:spacing w:line="480" w:lineRule="auto"/>
        <w:ind w:firstLine="0" w:firstLineChars="0"/>
        <w:jc w:val="center"/>
        <w:rPr>
          <w:highlight w:val="none"/>
        </w:rPr>
      </w:pPr>
      <w:r>
        <w:rPr>
          <w:rFonts w:hint="eastAsia"/>
          <w:b/>
          <w:bCs/>
          <w:sz w:val="28"/>
          <w:szCs w:val="28"/>
          <w:highlight w:val="none"/>
        </w:rPr>
        <w:t>投标声明书</w:t>
      </w:r>
    </w:p>
    <w:p w14:paraId="76826F01">
      <w:pPr>
        <w:snapToGrid w:val="0"/>
        <w:spacing w:line="480" w:lineRule="auto"/>
        <w:ind w:firstLine="0" w:firstLineChars="0"/>
        <w:rPr>
          <w:rFonts w:cs="宋体"/>
          <w:highlight w:val="none"/>
        </w:rPr>
      </w:pPr>
      <w:r>
        <w:rPr>
          <w:rFonts w:hint="eastAsia" w:cs="宋体"/>
          <w:highlight w:val="none"/>
          <w:u w:val="single"/>
        </w:rPr>
        <w:t>（招标人）（代理机构）</w:t>
      </w:r>
      <w:r>
        <w:rPr>
          <w:rFonts w:hint="eastAsia" w:cs="宋体"/>
          <w:highlight w:val="none"/>
        </w:rPr>
        <w:t>：</w:t>
      </w:r>
    </w:p>
    <w:p w14:paraId="67FBBDFB">
      <w:pPr>
        <w:spacing w:line="480" w:lineRule="auto"/>
        <w:ind w:firstLine="480"/>
        <w:rPr>
          <w:rFonts w:cs="宋体"/>
          <w:highlight w:val="none"/>
        </w:rPr>
      </w:pPr>
      <w:r>
        <w:rPr>
          <w:rFonts w:hint="eastAsia" w:cs="宋体"/>
          <w:kern w:val="0"/>
          <w:highlight w:val="none"/>
          <w:lang w:val="zh-CN"/>
        </w:rPr>
        <w:t>我公司</w:t>
      </w:r>
      <w:r>
        <w:rPr>
          <w:rFonts w:hint="eastAsia" w:cs="宋体"/>
          <w:highlight w:val="none"/>
        </w:rPr>
        <w:t>声明截止投标时间近三年以来，在招标</w:t>
      </w:r>
      <w:r>
        <w:rPr>
          <w:rFonts w:hint="eastAsia" w:cs="宋体"/>
          <w:kern w:val="0"/>
          <w:highlight w:val="none"/>
        </w:rPr>
        <w:t>领域中</w:t>
      </w:r>
      <w:r>
        <w:rPr>
          <w:rFonts w:hint="eastAsia" w:cs="宋体"/>
          <w:highlight w:val="none"/>
        </w:rPr>
        <w:t>，在项目招标、投标和合同履约期间无任何不良行为记录和违法、违规行为</w:t>
      </w:r>
      <w:r>
        <w:rPr>
          <w:rFonts w:hint="eastAsia" w:cs="宋体"/>
          <w:kern w:val="0"/>
          <w:highlight w:val="none"/>
          <w:lang w:val="zh-CN"/>
        </w:rPr>
        <w:t>。</w:t>
      </w:r>
    </w:p>
    <w:p w14:paraId="24E3552F">
      <w:pPr>
        <w:spacing w:line="480" w:lineRule="auto"/>
        <w:ind w:firstLine="480"/>
        <w:rPr>
          <w:rFonts w:cs="宋体"/>
          <w:highlight w:val="none"/>
        </w:rPr>
      </w:pPr>
      <w:r>
        <w:rPr>
          <w:rFonts w:hint="eastAsia" w:cs="宋体"/>
          <w:highlight w:val="none"/>
        </w:rPr>
        <w:t xml:space="preserve">我公司自愿参加 </w:t>
      </w:r>
      <w:r>
        <w:rPr>
          <w:rFonts w:hint="eastAsia" w:cs="宋体"/>
          <w:highlight w:val="none"/>
          <w:u w:val="single"/>
        </w:rPr>
        <w:t xml:space="preserve">       </w:t>
      </w:r>
      <w:r>
        <w:rPr>
          <w:rFonts w:hint="eastAsia" w:cs="宋体"/>
          <w:highlight w:val="none"/>
        </w:rPr>
        <w:t>项目[招标编号：</w:t>
      </w:r>
      <w:r>
        <w:rPr>
          <w:rFonts w:hint="eastAsia" w:cs="宋体"/>
          <w:highlight w:val="none"/>
          <w:u w:val="single"/>
        </w:rPr>
        <w:t xml:space="preserve">              </w:t>
      </w:r>
      <w:r>
        <w:rPr>
          <w:rFonts w:hint="eastAsia" w:cs="宋体"/>
          <w:highlight w:val="none"/>
        </w:rPr>
        <w:t>]的投标，并保证投标文件中所列举的投标报价文件及相关资料和公司基本情况资料是真实的、合法的。</w:t>
      </w:r>
    </w:p>
    <w:p w14:paraId="76C7306A">
      <w:pPr>
        <w:spacing w:line="480" w:lineRule="auto"/>
        <w:ind w:firstLine="480"/>
        <w:rPr>
          <w:rFonts w:cs="宋体"/>
          <w:kern w:val="0"/>
          <w:highlight w:val="none"/>
          <w:lang w:val="zh-CN"/>
        </w:rPr>
      </w:pPr>
      <w:r>
        <w:rPr>
          <w:rFonts w:hint="eastAsia" w:cs="宋体"/>
          <w:kern w:val="0"/>
          <w:highlight w:val="none"/>
          <w:lang w:val="zh-CN"/>
        </w:rPr>
        <w:t>我公司已详细阅读全部“招标文件”，包括修改文件（如果有）以及全部招标资料和相关附件，并已了解我公司在招投标过程中的权利和义务。</w:t>
      </w:r>
    </w:p>
    <w:p w14:paraId="7BF718F2">
      <w:pPr>
        <w:spacing w:line="480" w:lineRule="auto"/>
        <w:ind w:firstLine="480"/>
        <w:rPr>
          <w:rFonts w:cs="宋体"/>
          <w:highlight w:val="none"/>
        </w:rPr>
      </w:pPr>
      <w:r>
        <w:rPr>
          <w:rFonts w:hint="eastAsia" w:cs="宋体"/>
          <w:kern w:val="0"/>
          <w:highlight w:val="none"/>
          <w:lang w:val="zh-CN"/>
        </w:rPr>
        <w:t>我公司理解并接受招标文件的各项规定和要求，同意此次招标文件中的各项内容，</w:t>
      </w:r>
      <w:r>
        <w:rPr>
          <w:rFonts w:hint="eastAsia" w:cs="宋体"/>
          <w:kern w:val="0"/>
          <w:highlight w:val="none"/>
        </w:rPr>
        <w:t>并</w:t>
      </w:r>
      <w:r>
        <w:rPr>
          <w:rFonts w:hint="eastAsia" w:cs="宋体"/>
          <w:kern w:val="0"/>
          <w:highlight w:val="none"/>
          <w:lang w:val="zh-CN"/>
        </w:rPr>
        <w:t>同意提供按照贵方可能要求的与投标有关的一切数据或资料等。</w:t>
      </w:r>
    </w:p>
    <w:p w14:paraId="1D796FEF">
      <w:pPr>
        <w:spacing w:line="480" w:lineRule="auto"/>
        <w:ind w:firstLine="480"/>
        <w:rPr>
          <w:rFonts w:cs="宋体"/>
          <w:kern w:val="0"/>
          <w:highlight w:val="none"/>
          <w:lang w:val="zh-CN"/>
        </w:rPr>
      </w:pPr>
      <w:r>
        <w:rPr>
          <w:rFonts w:hint="eastAsia" w:cs="宋体"/>
          <w:kern w:val="0"/>
          <w:highlight w:val="none"/>
          <w:lang w:val="zh-CN"/>
        </w:rPr>
        <w:t>本公司如中标，保证按照投标文件的承诺与贵方签订合同，保证履行合同条款并缴纳履约保证金。</w:t>
      </w:r>
    </w:p>
    <w:p w14:paraId="61C51018">
      <w:pPr>
        <w:pStyle w:val="80"/>
        <w:rPr>
          <w:rFonts w:ascii="宋体" w:hAnsi="宋体" w:eastAsia="宋体" w:cs="宋体"/>
          <w:color w:val="auto"/>
          <w:highlight w:val="none"/>
          <w:lang w:val="zh-CN"/>
        </w:rPr>
      </w:pPr>
    </w:p>
    <w:p w14:paraId="0E90A226">
      <w:pPr>
        <w:pStyle w:val="80"/>
        <w:rPr>
          <w:rFonts w:ascii="宋体" w:hAnsi="宋体" w:eastAsia="宋体" w:cs="宋体"/>
          <w:color w:val="auto"/>
          <w:highlight w:val="none"/>
          <w:lang w:val="zh-CN"/>
        </w:rPr>
      </w:pPr>
    </w:p>
    <w:p w14:paraId="6F549CAC">
      <w:pPr>
        <w:pStyle w:val="83"/>
        <w:rPr>
          <w:rFonts w:ascii="宋体" w:hAnsi="宋体" w:cs="宋体"/>
          <w:sz w:val="24"/>
          <w:szCs w:val="24"/>
          <w:highlight w:val="none"/>
          <w:lang w:val="zh-CN"/>
        </w:rPr>
      </w:pPr>
    </w:p>
    <w:p w14:paraId="39963ACF">
      <w:pPr>
        <w:ind w:firstLine="480"/>
        <w:rPr>
          <w:rFonts w:cs="宋体"/>
          <w:highlight w:val="none"/>
          <w:lang w:val="zh-CN"/>
        </w:rPr>
      </w:pPr>
    </w:p>
    <w:p w14:paraId="0956226B">
      <w:pPr>
        <w:pStyle w:val="80"/>
        <w:rPr>
          <w:rFonts w:ascii="宋体" w:hAnsi="宋体" w:eastAsia="宋体" w:cs="宋体"/>
          <w:color w:val="auto"/>
          <w:highlight w:val="none"/>
          <w:lang w:val="zh-CN"/>
        </w:rPr>
      </w:pPr>
    </w:p>
    <w:p w14:paraId="68FCA84D">
      <w:pPr>
        <w:spacing w:line="480" w:lineRule="auto"/>
        <w:ind w:firstLine="480"/>
        <w:rPr>
          <w:rFonts w:cs="宋体"/>
          <w:highlight w:val="none"/>
        </w:rPr>
      </w:pPr>
      <w:r>
        <w:rPr>
          <w:rFonts w:hint="eastAsia" w:cs="宋体"/>
          <w:highlight w:val="none"/>
        </w:rPr>
        <w:t>投标人名称（公章）：</w:t>
      </w:r>
    </w:p>
    <w:p w14:paraId="2907A77A">
      <w:pPr>
        <w:spacing w:line="480" w:lineRule="auto"/>
        <w:ind w:firstLine="480"/>
        <w:rPr>
          <w:rFonts w:cs="宋体"/>
          <w:highlight w:val="none"/>
        </w:rPr>
      </w:pPr>
      <w:r>
        <w:rPr>
          <w:rFonts w:hint="eastAsia" w:cs="宋体"/>
          <w:highlight w:val="none"/>
        </w:rPr>
        <w:t>法定代表人或其授权代表（签字）：</w:t>
      </w:r>
    </w:p>
    <w:p w14:paraId="3F15A5AB">
      <w:pPr>
        <w:ind w:firstLine="480"/>
        <w:jc w:val="left"/>
        <w:rPr>
          <w:highlight w:val="none"/>
        </w:rPr>
        <w:sectPr>
          <w:pgSz w:w="11907" w:h="16840"/>
          <w:pgMar w:top="1247" w:right="1304" w:bottom="1021" w:left="1304" w:header="720" w:footer="720" w:gutter="0"/>
          <w:cols w:space="720" w:num="1"/>
          <w:rtlGutter w:val="1"/>
          <w:docGrid w:linePitch="286" w:charSpace="0"/>
        </w:sectPr>
      </w:pPr>
      <w:r>
        <w:rPr>
          <w:rFonts w:hint="eastAsia" w:cs="宋体"/>
          <w:highlight w:val="none"/>
        </w:rPr>
        <w:t>日期：  年   月   日</w:t>
      </w:r>
    </w:p>
    <w:p w14:paraId="00C05D3D">
      <w:pPr>
        <w:snapToGrid w:val="0"/>
        <w:ind w:right="480" w:firstLine="0" w:firstLineChars="0"/>
        <w:jc w:val="left"/>
        <w:rPr>
          <w:rStyle w:val="60"/>
          <w:sz w:val="24"/>
          <w:szCs w:val="24"/>
          <w:highlight w:val="none"/>
        </w:rPr>
      </w:pPr>
      <w:r>
        <w:rPr>
          <w:rStyle w:val="60"/>
          <w:rFonts w:hint="eastAsia"/>
          <w:sz w:val="24"/>
          <w:szCs w:val="24"/>
          <w:highlight w:val="none"/>
        </w:rPr>
        <w:t>附件二</w:t>
      </w:r>
    </w:p>
    <w:p w14:paraId="1C5F7886">
      <w:pPr>
        <w:snapToGrid w:val="0"/>
        <w:spacing w:line="480" w:lineRule="auto"/>
        <w:ind w:right="480" w:firstLine="562"/>
        <w:jc w:val="center"/>
        <w:rPr>
          <w:rFonts w:cs="宋体"/>
          <w:b/>
          <w:kern w:val="0"/>
          <w:sz w:val="28"/>
          <w:szCs w:val="28"/>
          <w:highlight w:val="none"/>
        </w:rPr>
      </w:pPr>
      <w:r>
        <w:rPr>
          <w:rFonts w:hint="eastAsia" w:cs="宋体"/>
          <w:b/>
          <w:kern w:val="0"/>
          <w:sz w:val="28"/>
          <w:szCs w:val="28"/>
          <w:highlight w:val="none"/>
        </w:rPr>
        <w:t>符合参加政府采购活动应当具备的一般条件的承诺函</w:t>
      </w:r>
    </w:p>
    <w:p w14:paraId="06A834B5">
      <w:pPr>
        <w:snapToGrid w:val="0"/>
        <w:spacing w:line="480" w:lineRule="auto"/>
        <w:ind w:firstLine="0" w:firstLineChars="0"/>
        <w:rPr>
          <w:rFonts w:cs="宋体"/>
          <w:highlight w:val="none"/>
        </w:rPr>
      </w:pPr>
      <w:r>
        <w:rPr>
          <w:rFonts w:hint="eastAsia" w:cs="宋体"/>
          <w:highlight w:val="none"/>
          <w:u w:val="single"/>
        </w:rPr>
        <w:t>（招标人）、（招标代理机构）</w:t>
      </w:r>
      <w:r>
        <w:rPr>
          <w:rFonts w:hint="eastAsia" w:cs="宋体"/>
          <w:highlight w:val="none"/>
        </w:rPr>
        <w:t>：</w:t>
      </w:r>
    </w:p>
    <w:p w14:paraId="6F5E7E9D">
      <w:pPr>
        <w:snapToGrid w:val="0"/>
        <w:spacing w:line="480" w:lineRule="auto"/>
        <w:ind w:firstLine="480"/>
        <w:rPr>
          <w:rFonts w:cs="宋体"/>
          <w:highlight w:val="none"/>
        </w:rPr>
      </w:pPr>
      <w:r>
        <w:rPr>
          <w:rFonts w:hint="eastAsia" w:cs="宋体"/>
          <w:highlight w:val="none"/>
        </w:rPr>
        <w:t>我方参与</w:t>
      </w:r>
      <w:r>
        <w:rPr>
          <w:rFonts w:hint="eastAsia" w:cs="宋体"/>
          <w:highlight w:val="none"/>
          <w:u w:val="single"/>
        </w:rPr>
        <w:t>（项目名称）（项目编号：）</w:t>
      </w:r>
      <w:r>
        <w:rPr>
          <w:rFonts w:hint="eastAsia" w:cs="宋体"/>
          <w:highlight w:val="none"/>
        </w:rPr>
        <w:t>的招标活动，郑重承诺：</w:t>
      </w:r>
    </w:p>
    <w:p w14:paraId="2634DE07">
      <w:pPr>
        <w:snapToGrid w:val="0"/>
        <w:spacing w:line="480" w:lineRule="auto"/>
        <w:ind w:firstLine="0" w:firstLineChars="0"/>
        <w:rPr>
          <w:rFonts w:cs="宋体"/>
          <w:highlight w:val="none"/>
        </w:rPr>
      </w:pPr>
      <w:r>
        <w:rPr>
          <w:rFonts w:hint="eastAsia" w:cs="宋体"/>
          <w:highlight w:val="none"/>
        </w:rPr>
        <w:t>（一）具备《中华人民共和国政府采购法》第二十二条第一款规定的条件：</w:t>
      </w:r>
    </w:p>
    <w:p w14:paraId="4B3384E9">
      <w:pPr>
        <w:snapToGrid w:val="0"/>
        <w:spacing w:line="480" w:lineRule="auto"/>
        <w:ind w:firstLine="480"/>
        <w:rPr>
          <w:rFonts w:cs="宋体"/>
          <w:highlight w:val="none"/>
        </w:rPr>
      </w:pPr>
      <w:r>
        <w:rPr>
          <w:rFonts w:hint="eastAsia" w:cs="宋体"/>
          <w:highlight w:val="none"/>
        </w:rPr>
        <w:t>1.具有独立承担民事责任的能力；</w:t>
      </w:r>
    </w:p>
    <w:p w14:paraId="13785472">
      <w:pPr>
        <w:snapToGrid w:val="0"/>
        <w:spacing w:line="480" w:lineRule="auto"/>
        <w:ind w:firstLine="480"/>
        <w:rPr>
          <w:rFonts w:cs="宋体"/>
          <w:highlight w:val="none"/>
        </w:rPr>
      </w:pPr>
      <w:r>
        <w:rPr>
          <w:rFonts w:hint="eastAsia" w:cs="宋体"/>
          <w:highlight w:val="none"/>
        </w:rPr>
        <w:t xml:space="preserve">2.具有良好的商业信誉和健全的财务会计制度； </w:t>
      </w:r>
    </w:p>
    <w:p w14:paraId="05F511DD">
      <w:pPr>
        <w:snapToGrid w:val="0"/>
        <w:spacing w:line="480" w:lineRule="auto"/>
        <w:ind w:firstLine="480"/>
        <w:rPr>
          <w:rFonts w:cs="宋体"/>
          <w:highlight w:val="none"/>
        </w:rPr>
      </w:pPr>
      <w:r>
        <w:rPr>
          <w:rFonts w:hint="eastAsia" w:cs="宋体"/>
          <w:highlight w:val="none"/>
        </w:rPr>
        <w:t>3.具有履行合同所必需的设备和专业技术能力；</w:t>
      </w:r>
    </w:p>
    <w:p w14:paraId="281D975A">
      <w:pPr>
        <w:snapToGrid w:val="0"/>
        <w:spacing w:line="480" w:lineRule="auto"/>
        <w:ind w:firstLine="480"/>
        <w:rPr>
          <w:rFonts w:cs="宋体"/>
          <w:highlight w:val="none"/>
        </w:rPr>
      </w:pPr>
      <w:r>
        <w:rPr>
          <w:rFonts w:hint="eastAsia" w:cs="宋体"/>
          <w:highlight w:val="none"/>
        </w:rPr>
        <w:t>4.有依法缴纳税收和社会保障资金的良好记录；</w:t>
      </w:r>
    </w:p>
    <w:p w14:paraId="165ADCAF">
      <w:pPr>
        <w:snapToGrid w:val="0"/>
        <w:spacing w:line="480" w:lineRule="auto"/>
        <w:ind w:firstLine="480"/>
        <w:rPr>
          <w:rFonts w:cs="宋体"/>
          <w:highlight w:val="none"/>
        </w:rPr>
      </w:pPr>
      <w:r>
        <w:rPr>
          <w:rFonts w:hint="eastAsia" w:cs="宋体"/>
          <w:highlight w:val="none"/>
        </w:rPr>
        <w:t>5.参加招标活动前三年内，在经营活动中没有重大违法记录；</w:t>
      </w:r>
    </w:p>
    <w:p w14:paraId="574AEB4C">
      <w:pPr>
        <w:snapToGrid w:val="0"/>
        <w:spacing w:line="480" w:lineRule="auto"/>
        <w:ind w:firstLine="480"/>
        <w:rPr>
          <w:rFonts w:cs="宋体"/>
          <w:highlight w:val="none"/>
        </w:rPr>
      </w:pPr>
      <w:r>
        <w:rPr>
          <w:rFonts w:hint="eastAsia" w:cs="宋体"/>
          <w:highlight w:val="none"/>
        </w:rPr>
        <w:t>6.具有法律、行政法规规定的其他条件。</w:t>
      </w:r>
    </w:p>
    <w:p w14:paraId="11219236">
      <w:pPr>
        <w:snapToGrid w:val="0"/>
        <w:spacing w:line="480" w:lineRule="auto"/>
        <w:ind w:firstLine="0" w:firstLineChars="0"/>
        <w:rPr>
          <w:rFonts w:cs="宋体"/>
          <w:highlight w:val="none"/>
        </w:rPr>
      </w:pPr>
      <w:r>
        <w:rPr>
          <w:rFonts w:hint="eastAsia" w:cs="宋体"/>
          <w:highlight w:val="none"/>
        </w:rPr>
        <w:t>（二）未被信用中国（www.creditchina.gov.cn)、中国政府采购网（www.ccgp.gov.cn）列入失信被执行人、重大税收违法案件当事人名单、政府采购严重违法失信行为记录名单。</w:t>
      </w:r>
    </w:p>
    <w:p w14:paraId="7408F5A4">
      <w:pPr>
        <w:snapToGrid w:val="0"/>
        <w:spacing w:line="480" w:lineRule="auto"/>
        <w:ind w:firstLine="0" w:firstLineChars="0"/>
        <w:rPr>
          <w:rFonts w:cs="宋体"/>
          <w:highlight w:val="none"/>
        </w:rPr>
      </w:pPr>
      <w:r>
        <w:rPr>
          <w:rFonts w:hint="eastAsia" w:cs="宋体"/>
          <w:highlight w:val="none"/>
        </w:rPr>
        <w:t>（三）不存在以下情况：</w:t>
      </w:r>
    </w:p>
    <w:p w14:paraId="7B75E57F">
      <w:pPr>
        <w:snapToGrid w:val="0"/>
        <w:spacing w:line="480" w:lineRule="auto"/>
        <w:ind w:firstLine="480"/>
        <w:rPr>
          <w:rFonts w:cs="宋体"/>
          <w:highlight w:val="none"/>
        </w:rPr>
      </w:pPr>
      <w:r>
        <w:rPr>
          <w:rFonts w:hint="eastAsia" w:cs="宋体"/>
          <w:highlight w:val="none"/>
        </w:rPr>
        <w:t>1.单位负责人为同一人或者存在直接控股、管理关系的不同投标人参加同一合同项下的招标活动的；</w:t>
      </w:r>
    </w:p>
    <w:p w14:paraId="16B3A48F">
      <w:pPr>
        <w:snapToGrid w:val="0"/>
        <w:spacing w:line="480" w:lineRule="auto"/>
        <w:ind w:firstLine="480"/>
        <w:rPr>
          <w:rFonts w:cs="宋体"/>
          <w:highlight w:val="none"/>
        </w:rPr>
      </w:pPr>
      <w:r>
        <w:rPr>
          <w:rFonts w:hint="eastAsia" w:cs="宋体"/>
          <w:highlight w:val="none"/>
        </w:rPr>
        <w:t>2.为招标项目提供整体设计、规范编制或者项目管理、监理、检测等服务后再参加该招标项目的其他招标活动的。</w:t>
      </w:r>
    </w:p>
    <w:p w14:paraId="37E317F3">
      <w:pPr>
        <w:ind w:firstLine="480"/>
        <w:rPr>
          <w:highlight w:val="none"/>
        </w:rPr>
      </w:pPr>
    </w:p>
    <w:p w14:paraId="438E9CD0">
      <w:pPr>
        <w:spacing w:line="480" w:lineRule="auto"/>
        <w:ind w:firstLine="0" w:firstLineChars="0"/>
        <w:rPr>
          <w:rFonts w:cs="宋体"/>
          <w:highlight w:val="none"/>
        </w:rPr>
      </w:pPr>
      <w:r>
        <w:rPr>
          <w:rFonts w:hint="eastAsia" w:cs="宋体"/>
          <w:highlight w:val="none"/>
        </w:rPr>
        <w:t>投标人名称（公章）：</w:t>
      </w:r>
    </w:p>
    <w:p w14:paraId="674BF9A7">
      <w:pPr>
        <w:spacing w:line="480" w:lineRule="auto"/>
        <w:ind w:firstLine="0" w:firstLineChars="0"/>
        <w:rPr>
          <w:rFonts w:cs="宋体"/>
          <w:highlight w:val="none"/>
        </w:rPr>
      </w:pPr>
      <w:r>
        <w:rPr>
          <w:rFonts w:hint="eastAsia" w:cs="宋体"/>
          <w:highlight w:val="none"/>
        </w:rPr>
        <w:t>法定代表人或其授权代表（签字）：</w:t>
      </w:r>
    </w:p>
    <w:p w14:paraId="5B166DCD">
      <w:pPr>
        <w:spacing w:line="480" w:lineRule="auto"/>
        <w:ind w:firstLine="0" w:firstLineChars="0"/>
        <w:jc w:val="left"/>
        <w:rPr>
          <w:rFonts w:cs="宋体"/>
          <w:highlight w:val="none"/>
        </w:rPr>
      </w:pPr>
      <w:r>
        <w:rPr>
          <w:rFonts w:hint="eastAsia" w:cs="宋体"/>
          <w:highlight w:val="none"/>
        </w:rPr>
        <w:t>日期：  年   月   日</w:t>
      </w:r>
    </w:p>
    <w:p w14:paraId="358F32CA">
      <w:pPr>
        <w:pStyle w:val="80"/>
        <w:rPr>
          <w:rFonts w:ascii="宋体" w:hAnsi="宋体" w:eastAsia="宋体" w:cs="宋体"/>
          <w:highlight w:val="none"/>
        </w:rPr>
      </w:pPr>
    </w:p>
    <w:p w14:paraId="592B8212">
      <w:pPr>
        <w:pStyle w:val="80"/>
        <w:rPr>
          <w:rFonts w:ascii="宋体" w:hAnsi="宋体" w:eastAsia="宋体" w:cs="宋体"/>
          <w:color w:val="auto"/>
          <w:highlight w:val="none"/>
        </w:rPr>
      </w:pPr>
    </w:p>
    <w:p w14:paraId="3B026486">
      <w:pPr>
        <w:pStyle w:val="80"/>
        <w:rPr>
          <w:rFonts w:ascii="宋体" w:hAnsi="宋体" w:eastAsia="宋体" w:cs="宋体"/>
          <w:color w:val="auto"/>
          <w:highlight w:val="none"/>
        </w:rPr>
      </w:pPr>
    </w:p>
    <w:p w14:paraId="02330E97">
      <w:pPr>
        <w:pStyle w:val="3"/>
        <w:jc w:val="left"/>
        <w:rPr>
          <w:rFonts w:cs="宋体"/>
          <w:sz w:val="24"/>
          <w:szCs w:val="24"/>
          <w:highlight w:val="none"/>
        </w:rPr>
        <w:sectPr>
          <w:pgSz w:w="11907" w:h="16840"/>
          <w:pgMar w:top="1247" w:right="1304" w:bottom="1021" w:left="1304" w:header="720" w:footer="720" w:gutter="0"/>
          <w:cols w:space="720" w:num="1"/>
          <w:rtlGutter w:val="1"/>
          <w:docGrid w:linePitch="286" w:charSpace="0"/>
        </w:sectPr>
      </w:pPr>
    </w:p>
    <w:p w14:paraId="5BCE170B">
      <w:pPr>
        <w:ind w:firstLine="0" w:firstLineChars="0"/>
        <w:rPr>
          <w:b/>
          <w:bCs/>
          <w:highlight w:val="none"/>
        </w:rPr>
      </w:pPr>
      <w:r>
        <w:rPr>
          <w:rFonts w:hint="eastAsia"/>
          <w:b/>
          <w:bCs/>
          <w:highlight w:val="none"/>
        </w:rPr>
        <w:t>附件三</w:t>
      </w:r>
    </w:p>
    <w:p w14:paraId="36A54EB1">
      <w:pPr>
        <w:ind w:firstLine="0" w:firstLineChars="0"/>
        <w:jc w:val="center"/>
        <w:rPr>
          <w:highlight w:val="none"/>
        </w:rPr>
      </w:pPr>
      <w:r>
        <w:rPr>
          <w:rFonts w:hint="eastAsia"/>
          <w:b/>
          <w:bCs/>
          <w:sz w:val="28"/>
          <w:szCs w:val="28"/>
          <w:highlight w:val="none"/>
        </w:rPr>
        <w:t>投标人股权信息表</w:t>
      </w:r>
    </w:p>
    <w:tbl>
      <w:tblPr>
        <w:tblStyle w:val="44"/>
        <w:tblW w:w="9532" w:type="dxa"/>
        <w:tblInd w:w="93" w:type="dxa"/>
        <w:tblLayout w:type="fixed"/>
        <w:tblCellMar>
          <w:top w:w="0" w:type="dxa"/>
          <w:left w:w="108" w:type="dxa"/>
          <w:bottom w:w="0" w:type="dxa"/>
          <w:right w:w="108" w:type="dxa"/>
        </w:tblCellMar>
      </w:tblPr>
      <w:tblGrid>
        <w:gridCol w:w="711"/>
        <w:gridCol w:w="1541"/>
        <w:gridCol w:w="1514"/>
        <w:gridCol w:w="2018"/>
        <w:gridCol w:w="1171"/>
        <w:gridCol w:w="1227"/>
        <w:gridCol w:w="1350"/>
      </w:tblGrid>
      <w:tr w14:paraId="43601983">
        <w:tblPrEx>
          <w:tblCellMar>
            <w:top w:w="0" w:type="dxa"/>
            <w:left w:w="108" w:type="dxa"/>
            <w:bottom w:w="0" w:type="dxa"/>
            <w:right w:w="108" w:type="dxa"/>
          </w:tblCellMar>
        </w:tblPrEx>
        <w:trPr>
          <w:trHeight w:val="495"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9F2820">
            <w:pPr>
              <w:widowControl/>
              <w:adjustRightInd w:val="0"/>
              <w:snapToGrid w:val="0"/>
              <w:spacing w:line="440" w:lineRule="exact"/>
              <w:ind w:firstLine="0" w:firstLineChars="0"/>
              <w:jc w:val="center"/>
              <w:textAlignment w:val="center"/>
              <w:rPr>
                <w:rFonts w:cs="宋体"/>
                <w:b/>
                <w:bCs/>
                <w:color w:val="000000"/>
                <w:highlight w:val="none"/>
              </w:rPr>
            </w:pPr>
            <w:r>
              <w:rPr>
                <w:rFonts w:hint="eastAsia" w:cs="宋体"/>
                <w:b/>
                <w:bCs/>
                <w:color w:val="000000"/>
                <w:kern w:val="0"/>
                <w:highlight w:val="none"/>
                <w:lang w:bidi="ar"/>
              </w:rPr>
              <w:t>投标人股权信息表</w:t>
            </w:r>
          </w:p>
        </w:tc>
      </w:tr>
      <w:tr w14:paraId="76D8C81F">
        <w:tblPrEx>
          <w:tblCellMar>
            <w:top w:w="0" w:type="dxa"/>
            <w:left w:w="108" w:type="dxa"/>
            <w:bottom w:w="0" w:type="dxa"/>
            <w:right w:w="108" w:type="dxa"/>
          </w:tblCellMar>
        </w:tblPrEx>
        <w:trPr>
          <w:trHeight w:val="48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905C62">
            <w:pPr>
              <w:widowControl/>
              <w:adjustRightInd w:val="0"/>
              <w:snapToGrid w:val="0"/>
              <w:spacing w:line="440" w:lineRule="exact"/>
              <w:ind w:firstLine="0" w:firstLineChars="0"/>
              <w:jc w:val="left"/>
              <w:textAlignment w:val="center"/>
              <w:rPr>
                <w:rFonts w:cs="宋体"/>
                <w:color w:val="000000"/>
                <w:highlight w:val="none"/>
              </w:rPr>
            </w:pPr>
            <w:r>
              <w:rPr>
                <w:rFonts w:hint="eastAsia" w:cs="宋体"/>
                <w:color w:val="000000"/>
                <w:kern w:val="0"/>
                <w:highlight w:val="none"/>
                <w:lang w:bidi="ar"/>
              </w:rPr>
              <w:t>项目编号：</w:t>
            </w:r>
          </w:p>
        </w:tc>
      </w:tr>
      <w:tr w14:paraId="15AF54EB">
        <w:tblPrEx>
          <w:tblCellMar>
            <w:top w:w="0" w:type="dxa"/>
            <w:left w:w="108" w:type="dxa"/>
            <w:bottom w:w="0" w:type="dxa"/>
            <w:right w:w="108" w:type="dxa"/>
          </w:tblCellMar>
        </w:tblPrEx>
        <w:trPr>
          <w:trHeight w:val="52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7FA1D0">
            <w:pPr>
              <w:adjustRightInd w:val="0"/>
              <w:snapToGrid w:val="0"/>
              <w:spacing w:line="440" w:lineRule="exact"/>
              <w:ind w:firstLine="0" w:firstLineChars="0"/>
              <w:jc w:val="left"/>
              <w:rPr>
                <w:rFonts w:cs="宋体"/>
                <w:color w:val="000000"/>
                <w:highlight w:val="none"/>
              </w:rPr>
            </w:pPr>
            <w:r>
              <w:rPr>
                <w:rFonts w:hint="eastAsia" w:cs="宋体"/>
                <w:color w:val="000000"/>
                <w:kern w:val="0"/>
                <w:highlight w:val="none"/>
                <w:lang w:bidi="ar"/>
              </w:rPr>
              <w:t>项目名称：</w:t>
            </w:r>
          </w:p>
        </w:tc>
      </w:tr>
      <w:tr w14:paraId="14627A21">
        <w:tblPrEx>
          <w:tblCellMar>
            <w:top w:w="0" w:type="dxa"/>
            <w:left w:w="108" w:type="dxa"/>
            <w:bottom w:w="0" w:type="dxa"/>
            <w:right w:w="108" w:type="dxa"/>
          </w:tblCellMar>
        </w:tblPrEx>
        <w:trPr>
          <w:trHeight w:val="566"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6992">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序号</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B126">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投标人名称</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9361">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法定代表人</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06A8">
            <w:pPr>
              <w:widowControl/>
              <w:adjustRightInd w:val="0"/>
              <w:snapToGrid w:val="0"/>
              <w:spacing w:line="440" w:lineRule="exact"/>
              <w:ind w:firstLine="0" w:firstLineChars="0"/>
              <w:textAlignment w:val="center"/>
              <w:rPr>
                <w:rFonts w:cs="宋体"/>
                <w:color w:val="000000"/>
                <w:highlight w:val="none"/>
              </w:rPr>
            </w:pPr>
            <w:r>
              <w:rPr>
                <w:rFonts w:hint="eastAsia" w:cs="宋体"/>
                <w:color w:val="000000"/>
                <w:kern w:val="0"/>
                <w:highlight w:val="none"/>
                <w:lang w:bidi="ar"/>
              </w:rPr>
              <w:t>股东（股权比例）</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ED82">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董事</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6C72">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监事</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BE43">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授权代表</w:t>
            </w:r>
          </w:p>
        </w:tc>
      </w:tr>
      <w:tr w14:paraId="3A16FA53">
        <w:tblPrEx>
          <w:tblCellMar>
            <w:top w:w="0" w:type="dxa"/>
            <w:left w:w="108" w:type="dxa"/>
            <w:bottom w:w="0" w:type="dxa"/>
            <w:right w:w="108" w:type="dxa"/>
          </w:tblCellMar>
        </w:tblPrEx>
        <w:trPr>
          <w:trHeight w:val="531"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D7B">
            <w:pPr>
              <w:widowControl/>
              <w:adjustRightInd w:val="0"/>
              <w:snapToGrid w:val="0"/>
              <w:spacing w:line="440" w:lineRule="exact"/>
              <w:ind w:firstLine="0" w:firstLineChars="0"/>
              <w:jc w:val="center"/>
              <w:textAlignment w:val="center"/>
              <w:rPr>
                <w:rFonts w:cs="宋体"/>
                <w:color w:val="000000"/>
                <w:highlight w:val="none"/>
              </w:rPr>
            </w:pPr>
            <w:r>
              <w:rPr>
                <w:rFonts w:hint="eastAsia" w:cs="宋体"/>
                <w:color w:val="000000"/>
                <w:kern w:val="0"/>
                <w:highlight w:val="none"/>
                <w:lang w:bidi="ar"/>
              </w:rPr>
              <w:t>1</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410F">
            <w:pPr>
              <w:adjustRightInd w:val="0"/>
              <w:snapToGrid w:val="0"/>
              <w:spacing w:line="440" w:lineRule="exact"/>
              <w:ind w:firstLine="480"/>
              <w:jc w:val="center"/>
              <w:rPr>
                <w:rFonts w:cs="宋体"/>
                <w:color w:val="000000"/>
                <w:highlight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AED">
            <w:pPr>
              <w:adjustRightInd w:val="0"/>
              <w:snapToGrid w:val="0"/>
              <w:spacing w:line="440" w:lineRule="exact"/>
              <w:ind w:firstLine="480"/>
              <w:jc w:val="center"/>
              <w:rPr>
                <w:rFonts w:cs="宋体"/>
                <w:color w:val="000000"/>
                <w:highlight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8873">
            <w:pPr>
              <w:adjustRightInd w:val="0"/>
              <w:snapToGrid w:val="0"/>
              <w:spacing w:line="440" w:lineRule="exact"/>
              <w:ind w:firstLine="480"/>
              <w:jc w:val="center"/>
              <w:rPr>
                <w:rFonts w:cs="宋体"/>
                <w:color w:val="000000"/>
                <w:highlight w:val="none"/>
              </w:rPr>
            </w:pP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4584">
            <w:pPr>
              <w:adjustRightInd w:val="0"/>
              <w:snapToGrid w:val="0"/>
              <w:spacing w:line="440" w:lineRule="exact"/>
              <w:ind w:firstLine="480"/>
              <w:jc w:val="center"/>
              <w:rPr>
                <w:rFonts w:cs="宋体"/>
                <w:color w:val="000000"/>
                <w:highlight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9B35">
            <w:pPr>
              <w:adjustRightInd w:val="0"/>
              <w:snapToGrid w:val="0"/>
              <w:spacing w:line="440" w:lineRule="exact"/>
              <w:ind w:firstLine="480"/>
              <w:jc w:val="center"/>
              <w:rPr>
                <w:rFonts w:cs="宋体"/>
                <w:color w:val="000000"/>
                <w:highlight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9DE">
            <w:pPr>
              <w:adjustRightInd w:val="0"/>
              <w:snapToGrid w:val="0"/>
              <w:spacing w:line="440" w:lineRule="exact"/>
              <w:ind w:firstLine="480"/>
              <w:jc w:val="center"/>
              <w:rPr>
                <w:rFonts w:cs="宋体"/>
                <w:color w:val="000000"/>
                <w:highlight w:val="none"/>
              </w:rPr>
            </w:pPr>
          </w:p>
        </w:tc>
      </w:tr>
      <w:tr w14:paraId="071F015B">
        <w:tblPrEx>
          <w:tblCellMar>
            <w:top w:w="0" w:type="dxa"/>
            <w:left w:w="108" w:type="dxa"/>
            <w:bottom w:w="0" w:type="dxa"/>
            <w:right w:w="108" w:type="dxa"/>
          </w:tblCellMar>
        </w:tblPrEx>
        <w:trPr>
          <w:trHeight w:val="117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3C3B61">
            <w:pPr>
              <w:widowControl/>
              <w:adjustRightInd w:val="0"/>
              <w:snapToGrid w:val="0"/>
              <w:spacing w:line="440" w:lineRule="exact"/>
              <w:ind w:firstLine="0" w:firstLineChars="0"/>
              <w:jc w:val="left"/>
              <w:textAlignment w:val="center"/>
              <w:rPr>
                <w:rFonts w:cs="宋体"/>
                <w:color w:val="000000"/>
                <w:highlight w:val="none"/>
              </w:rPr>
            </w:pPr>
            <w:r>
              <w:rPr>
                <w:rFonts w:hint="eastAsia" w:cs="宋体"/>
                <w:color w:val="000000"/>
                <w:kern w:val="0"/>
                <w:highlight w:val="none"/>
                <w:lang w:bidi="ar"/>
              </w:rPr>
              <w:t>投标人全称（盖章）：</w:t>
            </w:r>
          </w:p>
        </w:tc>
      </w:tr>
      <w:tr w14:paraId="63B9C7D3">
        <w:tblPrEx>
          <w:tblCellMar>
            <w:top w:w="0" w:type="dxa"/>
            <w:left w:w="108" w:type="dxa"/>
            <w:bottom w:w="0" w:type="dxa"/>
            <w:right w:w="108" w:type="dxa"/>
          </w:tblCellMar>
        </w:tblPrEx>
        <w:trPr>
          <w:trHeight w:val="1238"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4ADDED">
            <w:pPr>
              <w:widowControl/>
              <w:adjustRightInd w:val="0"/>
              <w:snapToGrid w:val="0"/>
              <w:spacing w:line="440" w:lineRule="exact"/>
              <w:ind w:firstLine="0" w:firstLineChars="0"/>
              <w:jc w:val="left"/>
              <w:textAlignment w:val="center"/>
              <w:rPr>
                <w:rFonts w:cs="宋体"/>
                <w:color w:val="000000"/>
                <w:highlight w:val="none"/>
              </w:rPr>
            </w:pPr>
            <w:r>
              <w:rPr>
                <w:rFonts w:hint="eastAsia" w:cs="宋体"/>
                <w:color w:val="000000"/>
                <w:kern w:val="0"/>
                <w:highlight w:val="none"/>
                <w:lang w:bidi="ar"/>
              </w:rPr>
              <w:t xml:space="preserve">法定代表人或其授权代表（签字）：                                            </w:t>
            </w:r>
          </w:p>
        </w:tc>
      </w:tr>
    </w:tbl>
    <w:p w14:paraId="0AB277A0">
      <w:pPr>
        <w:ind w:firstLine="480"/>
        <w:jc w:val="left"/>
        <w:rPr>
          <w:highlight w:val="none"/>
        </w:rPr>
        <w:sectPr>
          <w:pgSz w:w="11907" w:h="16840"/>
          <w:pgMar w:top="1247" w:right="1304" w:bottom="1021" w:left="1304" w:header="720" w:footer="720" w:gutter="0"/>
          <w:cols w:space="720" w:num="1"/>
          <w:rtlGutter w:val="1"/>
          <w:docGrid w:linePitch="286" w:charSpace="0"/>
        </w:sectPr>
      </w:pPr>
    </w:p>
    <w:p w14:paraId="2C793F21">
      <w:pPr>
        <w:pStyle w:val="28"/>
        <w:rPr>
          <w:rFonts w:cs="宋体"/>
          <w:b/>
          <w:bCs/>
          <w:highlight w:val="none"/>
        </w:rPr>
      </w:pPr>
      <w:r>
        <w:rPr>
          <w:rFonts w:hint="eastAsia"/>
          <w:b/>
          <w:bCs/>
          <w:highlight w:val="none"/>
        </w:rPr>
        <w:t>附件四、</w:t>
      </w:r>
      <w:r>
        <w:rPr>
          <w:rFonts w:hint="eastAsia" w:cs="宋体"/>
          <w:b/>
          <w:bCs/>
          <w:highlight w:val="none"/>
        </w:rPr>
        <w:t>法定代表人有效身份证明书和法定代表人授权委托书</w:t>
      </w:r>
    </w:p>
    <w:p w14:paraId="7931FE82">
      <w:pPr>
        <w:spacing w:line="480" w:lineRule="auto"/>
        <w:ind w:firstLine="0" w:firstLineChars="0"/>
        <w:jc w:val="center"/>
        <w:rPr>
          <w:highlight w:val="none"/>
        </w:rPr>
      </w:pPr>
      <w:r>
        <w:rPr>
          <w:rFonts w:hint="eastAsia" w:cs="宋体"/>
          <w:b/>
          <w:bCs/>
          <w:sz w:val="28"/>
          <w:szCs w:val="28"/>
          <w:highlight w:val="none"/>
        </w:rPr>
        <w:t>法定代表人有效身份证明书</w:t>
      </w:r>
    </w:p>
    <w:p w14:paraId="340F0D91">
      <w:pPr>
        <w:spacing w:line="480" w:lineRule="auto"/>
        <w:ind w:firstLine="0" w:firstLineChars="0"/>
        <w:rPr>
          <w:rFonts w:cs="宋体"/>
          <w:bCs/>
          <w:spacing w:val="-6"/>
          <w:highlight w:val="none"/>
        </w:rPr>
      </w:pPr>
      <w:r>
        <w:rPr>
          <w:rFonts w:hint="eastAsia" w:cs="宋体"/>
          <w:bCs/>
          <w:spacing w:val="-6"/>
          <w:highlight w:val="none"/>
        </w:rPr>
        <w:t>致：</w:t>
      </w:r>
      <w:r>
        <w:rPr>
          <w:rFonts w:hint="eastAsia" w:cs="宋体"/>
          <w:bCs/>
          <w:spacing w:val="-6"/>
          <w:highlight w:val="none"/>
          <w:u w:val="single"/>
        </w:rPr>
        <w:t>（招标人）（代理机构）</w:t>
      </w:r>
    </w:p>
    <w:p w14:paraId="57693CB8">
      <w:pPr>
        <w:spacing w:line="480" w:lineRule="auto"/>
        <w:ind w:firstLine="456"/>
        <w:rPr>
          <w:rFonts w:cs="宋体"/>
          <w:bCs/>
          <w:spacing w:val="-6"/>
          <w:highlight w:val="none"/>
        </w:rPr>
      </w:pPr>
      <w:r>
        <w:rPr>
          <w:rFonts w:hint="eastAsia" w:cs="宋体"/>
          <w:bCs/>
          <w:spacing w:val="-6"/>
          <w:highlight w:val="none"/>
        </w:rPr>
        <w:t>我</w:t>
      </w:r>
      <w:r>
        <w:rPr>
          <w:rFonts w:hint="eastAsia" w:cs="宋体"/>
          <w:spacing w:val="-6"/>
          <w:highlight w:val="none"/>
        </w:rPr>
        <w:t>____________</w:t>
      </w:r>
      <w:r>
        <w:rPr>
          <w:rFonts w:hint="eastAsia" w:cs="宋体"/>
          <w:bCs/>
          <w:spacing w:val="-6"/>
          <w:highlight w:val="none"/>
        </w:rPr>
        <w:t>（姓名）系_______________________（单位名称）的法定代表人，身份证号码：_________________________________。</w:t>
      </w:r>
    </w:p>
    <w:p w14:paraId="7CA95B2E">
      <w:pPr>
        <w:spacing w:line="480" w:lineRule="auto"/>
        <w:ind w:firstLine="456"/>
        <w:rPr>
          <w:rFonts w:cs="宋体"/>
          <w:bCs/>
          <w:spacing w:val="-6"/>
          <w:highlight w:val="none"/>
        </w:rPr>
      </w:pPr>
      <w:r>
        <w:rPr>
          <w:rFonts w:hint="eastAsia" w:cs="宋体"/>
          <w:bCs/>
          <w:spacing w:val="-6"/>
          <w:highlight w:val="none"/>
        </w:rPr>
        <w:t>特此证明。</w:t>
      </w:r>
    </w:p>
    <w:p w14:paraId="13DCB308">
      <w:pPr>
        <w:ind w:firstLine="456"/>
        <w:rPr>
          <w:rFonts w:cs="宋体"/>
          <w:bCs/>
          <w:spacing w:val="-6"/>
          <w:highlight w:val="none"/>
        </w:rPr>
      </w:pPr>
    </w:p>
    <w:tbl>
      <w:tblPr>
        <w:tblStyle w:val="44"/>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14:paraId="362D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9498" w:type="dxa"/>
          </w:tcPr>
          <w:p w14:paraId="11960E0B">
            <w:pPr>
              <w:ind w:firstLine="480"/>
              <w:rPr>
                <w:rFonts w:cs="宋体"/>
                <w:highlight w:val="none"/>
              </w:rPr>
            </w:pPr>
          </w:p>
          <w:p w14:paraId="5EE6E502">
            <w:pPr>
              <w:ind w:firstLine="480"/>
              <w:rPr>
                <w:rFonts w:cs="宋体"/>
                <w:highlight w:val="none"/>
              </w:rPr>
            </w:pPr>
          </w:p>
          <w:p w14:paraId="0934278F">
            <w:pPr>
              <w:ind w:firstLine="480"/>
              <w:rPr>
                <w:rFonts w:cs="宋体"/>
                <w:highlight w:val="none"/>
              </w:rPr>
            </w:pPr>
          </w:p>
          <w:p w14:paraId="5EC9172F">
            <w:pPr>
              <w:ind w:firstLine="2409" w:firstLineChars="1000"/>
              <w:rPr>
                <w:rFonts w:cs="宋体"/>
                <w:b/>
                <w:bCs/>
                <w:highlight w:val="none"/>
              </w:rPr>
            </w:pPr>
            <w:r>
              <w:rPr>
                <w:rFonts w:hint="eastAsia" w:cs="宋体"/>
                <w:b/>
                <w:bCs/>
                <w:highlight w:val="none"/>
              </w:rPr>
              <w:t>法定代表人有效身份证明复印件粘贴处</w:t>
            </w:r>
          </w:p>
          <w:p w14:paraId="1390CFA2">
            <w:pPr>
              <w:ind w:firstLine="480"/>
              <w:rPr>
                <w:rFonts w:cs="宋体"/>
                <w:highlight w:val="none"/>
              </w:rPr>
            </w:pPr>
          </w:p>
          <w:p w14:paraId="0AB1E2CA">
            <w:pPr>
              <w:ind w:firstLine="480"/>
              <w:rPr>
                <w:rFonts w:cs="宋体"/>
                <w:highlight w:val="none"/>
              </w:rPr>
            </w:pPr>
          </w:p>
          <w:p w14:paraId="7D3577D9">
            <w:pPr>
              <w:ind w:firstLine="456"/>
              <w:rPr>
                <w:rFonts w:cs="宋体"/>
                <w:bCs/>
                <w:spacing w:val="-6"/>
                <w:highlight w:val="none"/>
              </w:rPr>
            </w:pPr>
          </w:p>
        </w:tc>
      </w:tr>
    </w:tbl>
    <w:p w14:paraId="2AF77B0D">
      <w:pPr>
        <w:ind w:firstLine="456"/>
        <w:rPr>
          <w:rFonts w:cs="宋体"/>
          <w:bCs/>
          <w:spacing w:val="-6"/>
          <w:highlight w:val="none"/>
        </w:rPr>
      </w:pPr>
    </w:p>
    <w:p w14:paraId="689523AD">
      <w:pPr>
        <w:ind w:right="456" w:firstLine="458"/>
        <w:rPr>
          <w:rFonts w:cs="宋体"/>
          <w:b/>
          <w:bCs/>
          <w:spacing w:val="-6"/>
          <w:highlight w:val="none"/>
        </w:rPr>
      </w:pPr>
    </w:p>
    <w:p w14:paraId="72CAE9E1">
      <w:pPr>
        <w:ind w:right="456" w:firstLine="458"/>
        <w:rPr>
          <w:rFonts w:cs="宋体"/>
          <w:b/>
          <w:bCs/>
          <w:spacing w:val="-6"/>
          <w:highlight w:val="none"/>
        </w:rPr>
      </w:pPr>
    </w:p>
    <w:p w14:paraId="691DB171">
      <w:pPr>
        <w:ind w:right="456" w:firstLine="458"/>
        <w:rPr>
          <w:rFonts w:cs="宋体"/>
          <w:b/>
          <w:bCs/>
          <w:spacing w:val="-6"/>
          <w:highlight w:val="none"/>
        </w:rPr>
      </w:pPr>
    </w:p>
    <w:p w14:paraId="1C79005D">
      <w:pPr>
        <w:spacing w:line="480" w:lineRule="auto"/>
        <w:ind w:firstLine="480"/>
        <w:rPr>
          <w:rFonts w:cs="宋体"/>
          <w:highlight w:val="none"/>
        </w:rPr>
      </w:pPr>
      <w:r>
        <w:rPr>
          <w:rFonts w:hint="eastAsia" w:cs="宋体"/>
          <w:highlight w:val="none"/>
        </w:rPr>
        <w:t>投标人名称（公章）：</w:t>
      </w:r>
    </w:p>
    <w:p w14:paraId="2B4D9DF2">
      <w:pPr>
        <w:spacing w:line="480" w:lineRule="auto"/>
        <w:ind w:firstLine="480"/>
        <w:rPr>
          <w:rFonts w:cs="宋体"/>
          <w:highlight w:val="none"/>
        </w:rPr>
      </w:pPr>
      <w:r>
        <w:rPr>
          <w:rFonts w:hint="eastAsia" w:cs="宋体"/>
          <w:highlight w:val="none"/>
        </w:rPr>
        <w:t>法定代表人或其授权代表（签字）：</w:t>
      </w:r>
    </w:p>
    <w:p w14:paraId="3DE6E663">
      <w:pPr>
        <w:spacing w:line="480" w:lineRule="auto"/>
        <w:ind w:firstLine="480"/>
        <w:rPr>
          <w:rFonts w:cs="宋体"/>
          <w:highlight w:val="none"/>
        </w:rPr>
      </w:pPr>
      <w:r>
        <w:rPr>
          <w:rFonts w:hint="eastAsia" w:cs="宋体"/>
          <w:highlight w:val="none"/>
        </w:rPr>
        <w:t>日期：  年   月   日</w:t>
      </w:r>
    </w:p>
    <w:p w14:paraId="2F229D3C">
      <w:pPr>
        <w:tabs>
          <w:tab w:val="left" w:pos="326"/>
        </w:tabs>
        <w:ind w:firstLine="480"/>
        <w:jc w:val="left"/>
        <w:rPr>
          <w:highlight w:val="none"/>
        </w:rPr>
        <w:sectPr>
          <w:pgSz w:w="11907" w:h="16840"/>
          <w:pgMar w:top="1247" w:right="1304" w:bottom="1021" w:left="1304" w:header="720" w:footer="720" w:gutter="0"/>
          <w:cols w:space="720" w:num="1"/>
          <w:rtlGutter w:val="1"/>
          <w:docGrid w:linePitch="286" w:charSpace="0"/>
        </w:sectPr>
      </w:pPr>
    </w:p>
    <w:p w14:paraId="6AB9A7B4">
      <w:pPr>
        <w:spacing w:line="480" w:lineRule="auto"/>
        <w:ind w:firstLine="0" w:firstLineChars="0"/>
        <w:jc w:val="center"/>
        <w:rPr>
          <w:highlight w:val="none"/>
        </w:rPr>
      </w:pPr>
      <w:r>
        <w:rPr>
          <w:rFonts w:hint="eastAsia" w:cs="宋体"/>
          <w:b/>
          <w:bCs/>
          <w:sz w:val="28"/>
          <w:szCs w:val="28"/>
          <w:highlight w:val="none"/>
        </w:rPr>
        <w:t>法定代表人授权委托书</w:t>
      </w:r>
    </w:p>
    <w:p w14:paraId="413954DF">
      <w:pPr>
        <w:spacing w:line="480" w:lineRule="auto"/>
        <w:ind w:firstLine="480"/>
        <w:rPr>
          <w:rFonts w:cs="宋体"/>
          <w:highlight w:val="none"/>
        </w:rPr>
      </w:pPr>
      <w:r>
        <w:rPr>
          <w:rFonts w:hint="eastAsia" w:cs="宋体"/>
          <w:highlight w:val="none"/>
        </w:rPr>
        <w:t>本授权委托书声明，我</w:t>
      </w:r>
      <w:r>
        <w:rPr>
          <w:rFonts w:hint="eastAsia" w:cs="宋体"/>
          <w:highlight w:val="none"/>
          <w:u w:val="single"/>
        </w:rPr>
        <w:t xml:space="preserve">        </w:t>
      </w:r>
      <w:r>
        <w:rPr>
          <w:rFonts w:hint="eastAsia" w:cs="宋体"/>
          <w:highlight w:val="none"/>
        </w:rPr>
        <w:t>（姓名）系</w:t>
      </w:r>
      <w:r>
        <w:rPr>
          <w:rFonts w:hint="eastAsia" w:cs="宋体"/>
          <w:highlight w:val="none"/>
          <w:u w:val="single"/>
        </w:rPr>
        <w:t xml:space="preserve">        </w:t>
      </w:r>
      <w:r>
        <w:rPr>
          <w:rFonts w:hint="eastAsia" w:cs="宋体"/>
          <w:highlight w:val="none"/>
        </w:rPr>
        <w:t>（投标人名称）的法定代表人，现授权委托</w:t>
      </w:r>
      <w:r>
        <w:rPr>
          <w:rFonts w:hint="eastAsia" w:cs="宋体"/>
          <w:highlight w:val="none"/>
          <w:u w:val="single"/>
        </w:rPr>
        <w:t xml:space="preserve">        </w:t>
      </w:r>
      <w:r>
        <w:rPr>
          <w:rFonts w:hint="eastAsia" w:cs="宋体"/>
          <w:highlight w:val="none"/>
        </w:rPr>
        <w:t>（姓名）为我单位授权代表，以本单位的名义参加</w:t>
      </w:r>
      <w:r>
        <w:rPr>
          <w:rFonts w:hint="eastAsia" w:cs="宋体"/>
          <w:highlight w:val="none"/>
          <w:u w:val="single"/>
        </w:rPr>
        <w:t xml:space="preserve">           </w:t>
      </w:r>
      <w:r>
        <w:rPr>
          <w:rFonts w:hint="eastAsia" w:cs="宋体"/>
          <w:highlight w:val="none"/>
        </w:rPr>
        <w:t>（招标人）的</w:t>
      </w:r>
      <w:r>
        <w:rPr>
          <w:rFonts w:hint="eastAsia" w:cs="宋体"/>
          <w:highlight w:val="none"/>
          <w:u w:val="single"/>
        </w:rPr>
        <w:t xml:space="preserve">                        </w:t>
      </w:r>
      <w:r>
        <w:rPr>
          <w:rFonts w:hint="eastAsia" w:cs="宋体"/>
          <w:highlight w:val="none"/>
        </w:rPr>
        <w:t>项目的投标活动。授权代表在投标、开标、评标、合同谈判过程中所签署的一切文件和处理与之有关的一切事务，我均予以承认。</w:t>
      </w:r>
    </w:p>
    <w:p w14:paraId="7D9F67EA">
      <w:pPr>
        <w:spacing w:line="480" w:lineRule="auto"/>
        <w:ind w:firstLine="480"/>
        <w:rPr>
          <w:rFonts w:cs="宋体"/>
          <w:highlight w:val="none"/>
        </w:rPr>
      </w:pPr>
      <w:r>
        <w:rPr>
          <w:rFonts w:hint="eastAsia" w:cs="宋体"/>
          <w:highlight w:val="none"/>
        </w:rPr>
        <w:t>被授权人无转委托权，特此委托。</w:t>
      </w:r>
    </w:p>
    <w:p w14:paraId="6C0F3C88">
      <w:pPr>
        <w:spacing w:after="156" w:line="480" w:lineRule="auto"/>
        <w:ind w:firstLine="482"/>
        <w:rPr>
          <w:rFonts w:cs="宋体"/>
          <w:b/>
          <w:highlight w:val="none"/>
        </w:rPr>
      </w:pPr>
    </w:p>
    <w:p w14:paraId="779CC659">
      <w:pPr>
        <w:spacing w:line="480" w:lineRule="auto"/>
        <w:ind w:firstLine="480"/>
        <w:rPr>
          <w:rFonts w:cs="宋体"/>
          <w:highlight w:val="none"/>
          <w:u w:val="single"/>
        </w:rPr>
      </w:pPr>
      <w:r>
        <w:rPr>
          <w:rFonts w:hint="eastAsia" w:cs="宋体"/>
          <w:highlight w:val="none"/>
        </w:rPr>
        <w:t>授权代表：</w:t>
      </w:r>
      <w:r>
        <w:rPr>
          <w:rFonts w:hint="eastAsia" w:cs="宋体"/>
          <w:highlight w:val="none"/>
          <w:u w:val="single"/>
        </w:rPr>
        <w:t xml:space="preserve">   （签字）    </w:t>
      </w:r>
    </w:p>
    <w:p w14:paraId="63080DCE">
      <w:pPr>
        <w:spacing w:line="480" w:lineRule="auto"/>
        <w:ind w:firstLine="480"/>
        <w:rPr>
          <w:highlight w:val="none"/>
        </w:rPr>
      </w:pPr>
      <w:r>
        <w:rPr>
          <w:rFonts w:hint="eastAsia"/>
          <w:highlight w:val="none"/>
        </w:rPr>
        <w:t>身份证号码：</w:t>
      </w:r>
      <w:r>
        <w:rPr>
          <w:rFonts w:hint="eastAsia"/>
          <w:highlight w:val="none"/>
          <w:u w:val="single"/>
        </w:rPr>
        <w:t xml:space="preserve">      </w:t>
      </w:r>
      <w:r>
        <w:rPr>
          <w:rFonts w:hint="eastAsia"/>
          <w:highlight w:val="none"/>
        </w:rPr>
        <w:t xml:space="preserve">                                        </w:t>
      </w:r>
    </w:p>
    <w:p w14:paraId="1DE16B0E">
      <w:pPr>
        <w:spacing w:line="480" w:lineRule="auto"/>
        <w:ind w:firstLine="480"/>
        <w:rPr>
          <w:rFonts w:cs="宋体"/>
          <w:highlight w:val="none"/>
          <w:u w:val="single"/>
        </w:rPr>
      </w:pPr>
      <w:r>
        <w:rPr>
          <w:rFonts w:hint="eastAsia" w:cs="宋体"/>
          <w:highlight w:val="none"/>
        </w:rPr>
        <w:t>职务：</w:t>
      </w:r>
      <w:r>
        <w:rPr>
          <w:rFonts w:hint="eastAsia" w:cs="宋体"/>
          <w:highlight w:val="none"/>
          <w:u w:val="single"/>
        </w:rPr>
        <w:t xml:space="preserve">                    </w:t>
      </w:r>
    </w:p>
    <w:p w14:paraId="1B5DA475">
      <w:pPr>
        <w:spacing w:line="480" w:lineRule="auto"/>
        <w:ind w:firstLine="480"/>
        <w:rPr>
          <w:rFonts w:cs="宋体"/>
          <w:highlight w:val="none"/>
        </w:rPr>
      </w:pPr>
      <w:r>
        <w:rPr>
          <w:rFonts w:hint="eastAsia" w:cs="宋体"/>
          <w:highlight w:val="none"/>
        </w:rPr>
        <w:t>投标人名称：</w:t>
      </w:r>
      <w:r>
        <w:rPr>
          <w:rFonts w:hint="eastAsia" w:cs="宋体"/>
          <w:highlight w:val="none"/>
          <w:u w:val="single"/>
        </w:rPr>
        <w:t xml:space="preserve">                 （盖章）</w:t>
      </w:r>
    </w:p>
    <w:p w14:paraId="196165D4">
      <w:pPr>
        <w:spacing w:line="480" w:lineRule="auto"/>
        <w:ind w:firstLine="480"/>
        <w:rPr>
          <w:rFonts w:cs="宋体"/>
          <w:highlight w:val="none"/>
        </w:rPr>
      </w:pPr>
      <w:r>
        <w:rPr>
          <w:rFonts w:hint="eastAsia" w:cs="宋体"/>
          <w:highlight w:val="none"/>
        </w:rPr>
        <w:t>法定代表人：</w:t>
      </w:r>
      <w:r>
        <w:rPr>
          <w:rFonts w:hint="eastAsia" w:cs="宋体"/>
          <w:highlight w:val="none"/>
          <w:u w:val="single"/>
        </w:rPr>
        <w:t xml:space="preserve">                （签名或盖章）</w:t>
      </w:r>
    </w:p>
    <w:p w14:paraId="69989672">
      <w:pPr>
        <w:pStyle w:val="8"/>
        <w:spacing w:after="156" w:line="480" w:lineRule="auto"/>
        <w:ind w:firstLine="480" w:firstLineChars="200"/>
        <w:rPr>
          <w:rFonts w:cs="宋体"/>
          <w:sz w:val="24"/>
          <w:highlight w:val="none"/>
        </w:rPr>
      </w:pPr>
      <w:r>
        <w:rPr>
          <w:rFonts w:hint="eastAsia" w:cs="宋体"/>
          <w:sz w:val="24"/>
          <w:highlight w:val="none"/>
        </w:rPr>
        <w:t>日期：    年   月   日</w:t>
      </w:r>
    </w:p>
    <w:p w14:paraId="03113216">
      <w:pPr>
        <w:pStyle w:val="8"/>
        <w:spacing w:after="156" w:line="480" w:lineRule="exact"/>
        <w:ind w:firstLine="0"/>
        <w:rPr>
          <w:rFonts w:cs="宋体"/>
          <w:sz w:val="24"/>
          <w:highlight w:val="none"/>
        </w:rPr>
      </w:pPr>
    </w:p>
    <w:p w14:paraId="149A75FA">
      <w:pPr>
        <w:pStyle w:val="8"/>
        <w:spacing w:after="156" w:line="480" w:lineRule="exact"/>
        <w:ind w:firstLine="0"/>
        <w:rPr>
          <w:rFonts w:cs="宋体"/>
          <w:sz w:val="24"/>
          <w:highlight w:val="none"/>
        </w:rPr>
      </w:pPr>
      <w:r>
        <w:rPr>
          <w:rFonts w:hint="eastAsia" w:cs="宋体"/>
          <w:sz w:val="24"/>
          <w:highlight w:val="none"/>
        </w:rPr>
        <w:t>—————————————————————————————————————</w:t>
      </w:r>
    </w:p>
    <w:p w14:paraId="6B15C69D">
      <w:pPr>
        <w:pStyle w:val="8"/>
        <w:spacing w:after="156" w:line="480" w:lineRule="exact"/>
        <w:ind w:firstLine="0"/>
        <w:rPr>
          <w:rFonts w:cs="宋体"/>
          <w:sz w:val="24"/>
          <w:highlight w:val="none"/>
        </w:rPr>
      </w:pPr>
    </w:p>
    <w:p w14:paraId="70F940BE">
      <w:pPr>
        <w:pStyle w:val="8"/>
        <w:spacing w:after="156" w:line="480" w:lineRule="exact"/>
        <w:ind w:firstLine="0"/>
        <w:jc w:val="center"/>
        <w:rPr>
          <w:rFonts w:cs="宋体"/>
          <w:b/>
          <w:bCs/>
          <w:sz w:val="24"/>
          <w:highlight w:val="none"/>
        </w:rPr>
      </w:pPr>
    </w:p>
    <w:p w14:paraId="679DFA4A">
      <w:pPr>
        <w:pStyle w:val="8"/>
        <w:spacing w:after="156" w:line="480" w:lineRule="exact"/>
        <w:ind w:firstLine="0"/>
        <w:jc w:val="center"/>
        <w:rPr>
          <w:rFonts w:cs="宋体"/>
          <w:b/>
          <w:bCs/>
          <w:sz w:val="24"/>
          <w:highlight w:val="none"/>
        </w:rPr>
      </w:pPr>
      <w:r>
        <w:rPr>
          <w:rFonts w:hint="eastAsia" w:cs="宋体"/>
          <w:b/>
          <w:bCs/>
          <w:sz w:val="24"/>
          <w:highlight w:val="none"/>
        </w:rPr>
        <w:t>授权代表有效身份证明复印件粘贴处</w:t>
      </w:r>
    </w:p>
    <w:p w14:paraId="03FFFB55">
      <w:pPr>
        <w:ind w:firstLine="480"/>
        <w:rPr>
          <w:highlight w:val="none"/>
        </w:rPr>
      </w:pPr>
    </w:p>
    <w:p w14:paraId="6144A9A9">
      <w:pPr>
        <w:pStyle w:val="14"/>
        <w:rPr>
          <w:highlight w:val="none"/>
        </w:rPr>
      </w:pPr>
    </w:p>
    <w:p w14:paraId="62472A74">
      <w:pPr>
        <w:ind w:firstLine="482"/>
        <w:jc w:val="center"/>
        <w:rPr>
          <w:highlight w:val="none"/>
        </w:rPr>
        <w:sectPr>
          <w:pgSz w:w="11907" w:h="16840"/>
          <w:pgMar w:top="1247" w:right="1304" w:bottom="1021" w:left="1304" w:header="720" w:footer="720" w:gutter="0"/>
          <w:cols w:space="720" w:num="1"/>
          <w:rtlGutter w:val="1"/>
          <w:docGrid w:linePitch="286" w:charSpace="0"/>
        </w:sectPr>
      </w:pPr>
      <w:bookmarkStart w:id="83" w:name="_Toc23078"/>
      <w:r>
        <w:rPr>
          <w:rFonts w:hint="eastAsia"/>
          <w:b/>
          <w:bCs/>
          <w:highlight w:val="none"/>
        </w:rPr>
        <w:t>（提供授权代表近三个月任意一个月的社保缴纳证明）</w:t>
      </w:r>
      <w:bookmarkEnd w:id="83"/>
    </w:p>
    <w:p w14:paraId="2D4BAD08">
      <w:pPr>
        <w:pStyle w:val="3"/>
        <w:jc w:val="left"/>
        <w:rPr>
          <w:rFonts w:cs="宋体"/>
          <w:sz w:val="24"/>
          <w:szCs w:val="24"/>
          <w:highlight w:val="none"/>
        </w:rPr>
      </w:pPr>
      <w:r>
        <w:rPr>
          <w:rFonts w:hint="eastAsia" w:cs="宋体"/>
          <w:sz w:val="24"/>
          <w:szCs w:val="24"/>
          <w:highlight w:val="none"/>
        </w:rPr>
        <w:t>附件五</w:t>
      </w:r>
    </w:p>
    <w:p w14:paraId="3815D4E8">
      <w:pPr>
        <w:pStyle w:val="3"/>
        <w:spacing w:line="480" w:lineRule="auto"/>
        <w:rPr>
          <w:rFonts w:cs="宋体"/>
          <w:sz w:val="24"/>
          <w:szCs w:val="24"/>
          <w:highlight w:val="none"/>
        </w:rPr>
      </w:pPr>
      <w:r>
        <w:rPr>
          <w:rFonts w:hint="eastAsia" w:cs="宋体"/>
          <w:sz w:val="28"/>
          <w:szCs w:val="28"/>
          <w:highlight w:val="none"/>
        </w:rPr>
        <w:t>廉政承诺书</w:t>
      </w:r>
    </w:p>
    <w:p w14:paraId="46C22FE9">
      <w:pPr>
        <w:spacing w:line="240" w:lineRule="auto"/>
        <w:ind w:firstLine="0" w:firstLineChars="0"/>
        <w:rPr>
          <w:rFonts w:cs="宋体"/>
          <w:highlight w:val="none"/>
        </w:rPr>
      </w:pPr>
      <w:r>
        <w:rPr>
          <w:rFonts w:hint="eastAsia" w:cs="宋体"/>
          <w:highlight w:val="none"/>
          <w:u w:val="single"/>
        </w:rPr>
        <w:t>（招标人）</w:t>
      </w:r>
      <w:r>
        <w:rPr>
          <w:rFonts w:hint="eastAsia" w:cs="宋体"/>
          <w:highlight w:val="none"/>
        </w:rPr>
        <w:t>：</w:t>
      </w:r>
    </w:p>
    <w:p w14:paraId="0576B908">
      <w:pPr>
        <w:pStyle w:val="80"/>
        <w:rPr>
          <w:rFonts w:ascii="宋体" w:hAnsi="宋体" w:eastAsia="宋体" w:cs="宋体"/>
          <w:color w:val="auto"/>
          <w:highlight w:val="none"/>
        </w:rPr>
      </w:pPr>
    </w:p>
    <w:p w14:paraId="241703F1">
      <w:pPr>
        <w:spacing w:line="480" w:lineRule="auto"/>
        <w:ind w:firstLine="480"/>
        <w:rPr>
          <w:rFonts w:cs="宋体"/>
          <w:highlight w:val="none"/>
        </w:rPr>
      </w:pPr>
      <w:r>
        <w:rPr>
          <w:rFonts w:hint="eastAsia" w:cs="宋体"/>
          <w:highlight w:val="none"/>
        </w:rPr>
        <w:t xml:space="preserve">我单位响应你单位项目招标要求参加投标。在这次投标过程中和中标后，我们将严格遵守国家法律法规要求，并郑重承诺： </w:t>
      </w:r>
    </w:p>
    <w:p w14:paraId="61FADBF6">
      <w:pPr>
        <w:spacing w:line="480" w:lineRule="auto"/>
        <w:ind w:firstLine="480"/>
        <w:rPr>
          <w:rFonts w:cs="宋体"/>
          <w:highlight w:val="none"/>
        </w:rPr>
      </w:pPr>
      <w:r>
        <w:rPr>
          <w:rFonts w:hint="eastAsia" w:cs="宋体"/>
          <w:highlight w:val="none"/>
        </w:rPr>
        <w:t>一、不向项目有关人员及部门赠送礼金礼物、有价证券、回扣以及中介费、介绍费、咨询费等好处费；</w:t>
      </w:r>
    </w:p>
    <w:p w14:paraId="20223D5F">
      <w:pPr>
        <w:spacing w:line="480" w:lineRule="auto"/>
        <w:ind w:firstLine="480"/>
        <w:rPr>
          <w:rFonts w:cs="宋体"/>
          <w:highlight w:val="none"/>
        </w:rPr>
      </w:pPr>
      <w:r>
        <w:rPr>
          <w:rFonts w:hint="eastAsia" w:cs="宋体"/>
          <w:highlight w:val="none"/>
        </w:rPr>
        <w:t>二、不为项目有关人员及部门报销应由你方单位或个人支付的费用；</w:t>
      </w:r>
    </w:p>
    <w:p w14:paraId="59DF7837">
      <w:pPr>
        <w:spacing w:line="480" w:lineRule="auto"/>
        <w:ind w:firstLine="480"/>
        <w:rPr>
          <w:rFonts w:cs="宋体"/>
          <w:highlight w:val="none"/>
        </w:rPr>
      </w:pPr>
      <w:r>
        <w:rPr>
          <w:rFonts w:hint="eastAsia" w:cs="宋体"/>
          <w:highlight w:val="none"/>
        </w:rPr>
        <w:t>三、不向项目有关人员及部门提供有可能影响公正的宴请和健身娱乐等活动；</w:t>
      </w:r>
    </w:p>
    <w:p w14:paraId="4B1D0B1B">
      <w:pPr>
        <w:spacing w:line="480" w:lineRule="auto"/>
        <w:ind w:firstLine="480"/>
        <w:rPr>
          <w:rFonts w:cs="宋体"/>
          <w:highlight w:val="none"/>
        </w:rPr>
      </w:pPr>
      <w:r>
        <w:rPr>
          <w:rFonts w:hint="eastAsia" w:cs="宋体"/>
          <w:highlight w:val="none"/>
        </w:rPr>
        <w:t>四、不为项目有关人员及部门出国（境）、旅游等提供方便；</w:t>
      </w:r>
    </w:p>
    <w:p w14:paraId="0C027CAA">
      <w:pPr>
        <w:spacing w:line="480" w:lineRule="auto"/>
        <w:ind w:firstLine="480"/>
        <w:rPr>
          <w:rFonts w:cs="宋体"/>
          <w:highlight w:val="none"/>
        </w:rPr>
      </w:pPr>
      <w:r>
        <w:rPr>
          <w:rFonts w:hint="eastAsia" w:cs="宋体"/>
          <w:highlight w:val="none"/>
        </w:rPr>
        <w:t>五、不为项目有关人员个人装修住房、婚丧嫁娶、配偶子女工作安排等提供好处；</w:t>
      </w:r>
    </w:p>
    <w:p w14:paraId="7EF03F1F">
      <w:pPr>
        <w:spacing w:line="480" w:lineRule="auto"/>
        <w:ind w:firstLine="480"/>
        <w:rPr>
          <w:rFonts w:cs="宋体"/>
          <w:highlight w:val="none"/>
        </w:rPr>
      </w:pPr>
      <w:r>
        <w:rPr>
          <w:rFonts w:hint="eastAsia" w:cs="宋体"/>
          <w:highlight w:val="none"/>
        </w:rPr>
        <w:t>六、严格遵守招标投标法、合同法等法律，诚实守信，合法经营，坚决抵制各种违法违纪行为。</w:t>
      </w:r>
    </w:p>
    <w:p w14:paraId="69457D7D">
      <w:pPr>
        <w:spacing w:line="480" w:lineRule="auto"/>
        <w:ind w:firstLine="480"/>
        <w:rPr>
          <w:rFonts w:cs="宋体"/>
          <w:highlight w:val="none"/>
        </w:rPr>
      </w:pPr>
      <w:r>
        <w:rPr>
          <w:rFonts w:hint="eastAsia" w:cs="宋体"/>
          <w:highlight w:val="none"/>
        </w:rPr>
        <w:t>如违反上述承诺，你单位有权立即取消我单位投标、中标或在建项目的建设资格，有权拒绝我单位在一定时期内进入你单位进行工程建设或其他经营活动，并通报省招标监管处。由此引起的相应损失均由我单位承担。</w:t>
      </w:r>
    </w:p>
    <w:p w14:paraId="2FEED0F4">
      <w:pPr>
        <w:ind w:firstLine="0" w:firstLineChars="0"/>
        <w:rPr>
          <w:rFonts w:cs="宋体"/>
          <w:highlight w:val="none"/>
        </w:rPr>
      </w:pPr>
    </w:p>
    <w:p w14:paraId="6D71C6E8">
      <w:pPr>
        <w:ind w:firstLine="0" w:firstLineChars="0"/>
        <w:jc w:val="left"/>
        <w:rPr>
          <w:rFonts w:cs="宋体"/>
          <w:highlight w:val="none"/>
        </w:rPr>
      </w:pPr>
    </w:p>
    <w:p w14:paraId="46A8716E">
      <w:pPr>
        <w:spacing w:line="480" w:lineRule="auto"/>
        <w:ind w:firstLine="480"/>
        <w:rPr>
          <w:rFonts w:cs="宋体"/>
          <w:highlight w:val="none"/>
        </w:rPr>
      </w:pPr>
      <w:r>
        <w:rPr>
          <w:rFonts w:hint="eastAsia" w:cs="宋体"/>
          <w:highlight w:val="none"/>
        </w:rPr>
        <w:t>投标人名称（公章）：</w:t>
      </w:r>
    </w:p>
    <w:p w14:paraId="2D50C0C9">
      <w:pPr>
        <w:spacing w:line="480" w:lineRule="auto"/>
        <w:ind w:firstLine="480"/>
        <w:rPr>
          <w:rFonts w:cs="宋体"/>
          <w:highlight w:val="none"/>
        </w:rPr>
      </w:pPr>
      <w:r>
        <w:rPr>
          <w:rFonts w:hint="eastAsia" w:cs="宋体"/>
          <w:highlight w:val="none"/>
        </w:rPr>
        <w:t>法定代表人或其授权代表（签字）：</w:t>
      </w:r>
    </w:p>
    <w:p w14:paraId="2A78E9F0">
      <w:pPr>
        <w:spacing w:line="480" w:lineRule="auto"/>
        <w:ind w:firstLine="480"/>
        <w:rPr>
          <w:rFonts w:cs="宋体"/>
          <w:highlight w:val="none"/>
        </w:rPr>
      </w:pPr>
      <w:r>
        <w:rPr>
          <w:rFonts w:hint="eastAsia" w:cs="宋体"/>
          <w:highlight w:val="none"/>
        </w:rPr>
        <w:t>日期：  年   月   日</w:t>
      </w:r>
    </w:p>
    <w:p w14:paraId="51099158">
      <w:pPr>
        <w:pStyle w:val="3"/>
        <w:jc w:val="left"/>
        <w:rPr>
          <w:rFonts w:cs="宋体"/>
          <w:sz w:val="24"/>
          <w:szCs w:val="24"/>
          <w:highlight w:val="none"/>
        </w:rPr>
        <w:sectPr>
          <w:pgSz w:w="11907" w:h="16840"/>
          <w:pgMar w:top="1247" w:right="1304" w:bottom="1021" w:left="1304" w:header="720" w:footer="720" w:gutter="0"/>
          <w:cols w:space="720" w:num="1"/>
          <w:rtlGutter w:val="1"/>
          <w:docGrid w:linePitch="286" w:charSpace="0"/>
        </w:sectPr>
      </w:pPr>
    </w:p>
    <w:p w14:paraId="0F64680C">
      <w:pPr>
        <w:pStyle w:val="3"/>
        <w:jc w:val="left"/>
        <w:rPr>
          <w:rFonts w:cs="宋体"/>
          <w:sz w:val="24"/>
          <w:szCs w:val="24"/>
          <w:highlight w:val="none"/>
        </w:rPr>
      </w:pPr>
      <w:r>
        <w:rPr>
          <w:rFonts w:hint="eastAsia" w:cs="宋体"/>
          <w:sz w:val="24"/>
          <w:szCs w:val="24"/>
          <w:highlight w:val="none"/>
        </w:rPr>
        <w:t>附件六</w:t>
      </w:r>
    </w:p>
    <w:p w14:paraId="7F582046">
      <w:pPr>
        <w:pStyle w:val="5"/>
        <w:spacing w:line="480" w:lineRule="auto"/>
        <w:jc w:val="center"/>
        <w:rPr>
          <w:rFonts w:cs="宋体"/>
          <w:color w:val="000000"/>
          <w:spacing w:val="-6"/>
          <w:sz w:val="32"/>
          <w:highlight w:val="none"/>
        </w:rPr>
      </w:pPr>
      <w:r>
        <w:rPr>
          <w:rFonts w:hint="eastAsia" w:cs="宋体"/>
          <w:color w:val="000000"/>
          <w:spacing w:val="-6"/>
          <w:sz w:val="28"/>
          <w:szCs w:val="28"/>
          <w:highlight w:val="none"/>
        </w:rPr>
        <w:t xml:space="preserve"> 中小企业声明函（货物）</w:t>
      </w:r>
    </w:p>
    <w:p w14:paraId="7F28AFC6">
      <w:pPr>
        <w:ind w:firstLine="480"/>
        <w:rPr>
          <w:rFonts w:cs="宋体"/>
          <w:highlight w:val="none"/>
        </w:rPr>
      </w:pPr>
      <w:r>
        <w:rPr>
          <w:rFonts w:hint="eastAsia" w:cs="宋体"/>
          <w:highlight w:val="none"/>
        </w:rPr>
        <w:t>本公司（联合体）郑重声明，根据《政府采购促进中小企业发展管理办法》（财库﹝2020﹞46 号）的规定，本公司（联合体）参加</w:t>
      </w:r>
      <w:r>
        <w:rPr>
          <w:rFonts w:hint="eastAsia" w:cs="宋体"/>
          <w:highlight w:val="none"/>
          <w:u w:val="single"/>
        </w:rPr>
        <w:t>（招标人名称）</w:t>
      </w:r>
      <w:r>
        <w:rPr>
          <w:rFonts w:hint="eastAsia" w:cs="宋体"/>
          <w:highlight w:val="none"/>
        </w:rPr>
        <w:t>的</w:t>
      </w:r>
      <w:r>
        <w:rPr>
          <w:rFonts w:hint="eastAsia" w:cs="宋体"/>
          <w:highlight w:val="none"/>
          <w:u w:val="single"/>
        </w:rPr>
        <w:t>（项目名称）</w:t>
      </w:r>
      <w:r>
        <w:rPr>
          <w:rFonts w:hint="eastAsia" w:cs="宋体"/>
          <w:highlight w:val="none"/>
        </w:rPr>
        <w:t>采购活动，提供的货物全部由符合政策要求的中小企业制造。相关企业（含联合体中的中小企业、签订分包意向协议的中小企业）的具体情况如下：</w:t>
      </w:r>
    </w:p>
    <w:p w14:paraId="65861159">
      <w:pPr>
        <w:ind w:firstLine="480"/>
        <w:rPr>
          <w:rFonts w:cs="宋体"/>
          <w:highlight w:val="none"/>
        </w:rPr>
      </w:pPr>
      <w:r>
        <w:rPr>
          <w:rFonts w:hint="eastAsia" w:cs="宋体"/>
          <w:highlight w:val="none"/>
        </w:rPr>
        <w:t xml:space="preserve">1. </w:t>
      </w:r>
      <w:r>
        <w:rPr>
          <w:rFonts w:hint="eastAsia" w:cs="宋体"/>
          <w:highlight w:val="none"/>
          <w:u w:val="single"/>
        </w:rPr>
        <w:t>（标的名称）</w:t>
      </w:r>
      <w:r>
        <w:rPr>
          <w:rFonts w:hint="eastAsia" w:cs="宋体"/>
          <w:highlight w:val="none"/>
        </w:rPr>
        <w:t xml:space="preserve"> ，属于 </w:t>
      </w:r>
      <w:r>
        <w:rPr>
          <w:rFonts w:hint="eastAsia" w:cs="宋体"/>
          <w:highlight w:val="none"/>
          <w:u w:val="single"/>
        </w:rPr>
        <w:t>（招标文件中明确的所属行业）</w:t>
      </w:r>
      <w:r>
        <w:rPr>
          <w:rFonts w:hint="eastAsia" w:cs="宋体"/>
          <w:highlight w:val="none"/>
        </w:rPr>
        <w:t>行业 ；制造商为</w:t>
      </w:r>
      <w:r>
        <w:rPr>
          <w:rFonts w:hint="eastAsia" w:cs="宋体"/>
          <w:highlight w:val="none"/>
          <w:u w:val="single"/>
        </w:rPr>
        <w:t>（企业名称）</w:t>
      </w:r>
      <w:r>
        <w:rPr>
          <w:rFonts w:hint="eastAsia" w:cs="宋体"/>
          <w:highlight w:val="none"/>
        </w:rPr>
        <w:t xml:space="preserve"> ，从业人员</w:t>
      </w:r>
      <w:r>
        <w:rPr>
          <w:rFonts w:hint="eastAsia" w:cs="宋体"/>
          <w:highlight w:val="none"/>
          <w:u w:val="single"/>
        </w:rPr>
        <w:t xml:space="preserve">   </w:t>
      </w:r>
      <w:r>
        <w:rPr>
          <w:rFonts w:hint="eastAsia" w:cs="宋体"/>
          <w:highlight w:val="none"/>
        </w:rPr>
        <w:t>人，营业收入为</w:t>
      </w:r>
      <w:r>
        <w:rPr>
          <w:rFonts w:hint="eastAsia" w:cs="宋体"/>
          <w:highlight w:val="none"/>
          <w:u w:val="single"/>
        </w:rPr>
        <w:t xml:space="preserve">   </w:t>
      </w:r>
      <w:r>
        <w:rPr>
          <w:rFonts w:hint="eastAsia" w:cs="宋体"/>
          <w:highlight w:val="none"/>
        </w:rPr>
        <w:t>万元，资产总额为</w:t>
      </w:r>
      <w:r>
        <w:rPr>
          <w:rFonts w:hint="eastAsia" w:cs="宋体"/>
          <w:highlight w:val="none"/>
          <w:u w:val="single"/>
        </w:rPr>
        <w:t xml:space="preserve">   </w:t>
      </w:r>
      <w:r>
        <w:rPr>
          <w:rFonts w:hint="eastAsia" w:cs="宋体"/>
          <w:highlight w:val="none"/>
        </w:rPr>
        <w:t>万元，属于</w:t>
      </w:r>
      <w:r>
        <w:rPr>
          <w:rFonts w:hint="eastAsia" w:cs="宋体"/>
          <w:highlight w:val="none"/>
          <w:u w:val="single"/>
        </w:rPr>
        <w:t>（中型企业、小型企业、微型企业）</w:t>
      </w:r>
      <w:r>
        <w:rPr>
          <w:rFonts w:hint="eastAsia" w:cs="宋体"/>
          <w:highlight w:val="none"/>
        </w:rPr>
        <w:t xml:space="preserve"> ；</w:t>
      </w:r>
    </w:p>
    <w:p w14:paraId="6D8AB049">
      <w:pPr>
        <w:ind w:firstLine="480"/>
        <w:rPr>
          <w:rFonts w:cs="宋体"/>
          <w:highlight w:val="none"/>
        </w:rPr>
      </w:pPr>
      <w:r>
        <w:rPr>
          <w:rFonts w:hint="eastAsia" w:cs="宋体"/>
          <w:highlight w:val="none"/>
        </w:rPr>
        <w:t xml:space="preserve">2. </w:t>
      </w:r>
      <w:r>
        <w:rPr>
          <w:rFonts w:hint="eastAsia" w:cs="宋体"/>
          <w:highlight w:val="none"/>
          <w:u w:val="single"/>
        </w:rPr>
        <w:t>（标的名称）</w:t>
      </w:r>
      <w:r>
        <w:rPr>
          <w:rFonts w:hint="eastAsia" w:cs="宋体"/>
          <w:highlight w:val="none"/>
        </w:rPr>
        <w:t xml:space="preserve"> ，属于 </w:t>
      </w:r>
      <w:r>
        <w:rPr>
          <w:rFonts w:hint="eastAsia" w:cs="宋体"/>
          <w:highlight w:val="none"/>
          <w:u w:val="single"/>
        </w:rPr>
        <w:t>（招标文件中明确的所属行业）</w:t>
      </w:r>
      <w:r>
        <w:rPr>
          <w:rFonts w:hint="eastAsia" w:cs="宋体"/>
          <w:highlight w:val="none"/>
        </w:rPr>
        <w:t>行业 ；制造商为</w:t>
      </w:r>
      <w:r>
        <w:rPr>
          <w:rFonts w:hint="eastAsia" w:cs="宋体"/>
          <w:highlight w:val="none"/>
          <w:u w:val="single"/>
        </w:rPr>
        <w:t>（企业名称）</w:t>
      </w:r>
      <w:r>
        <w:rPr>
          <w:rFonts w:hint="eastAsia" w:cs="宋体"/>
          <w:highlight w:val="none"/>
        </w:rPr>
        <w:t xml:space="preserve"> ，从业人员</w:t>
      </w:r>
      <w:r>
        <w:rPr>
          <w:rFonts w:hint="eastAsia" w:cs="宋体"/>
          <w:highlight w:val="none"/>
          <w:u w:val="single"/>
        </w:rPr>
        <w:t xml:space="preserve">   </w:t>
      </w:r>
      <w:r>
        <w:rPr>
          <w:rFonts w:hint="eastAsia" w:cs="宋体"/>
          <w:highlight w:val="none"/>
        </w:rPr>
        <w:t>人，营业收入为</w:t>
      </w:r>
      <w:r>
        <w:rPr>
          <w:rFonts w:hint="eastAsia" w:cs="宋体"/>
          <w:highlight w:val="none"/>
          <w:u w:val="single"/>
        </w:rPr>
        <w:t xml:space="preserve">   </w:t>
      </w:r>
      <w:r>
        <w:rPr>
          <w:rFonts w:hint="eastAsia" w:cs="宋体"/>
          <w:highlight w:val="none"/>
        </w:rPr>
        <w:t>万元，资产总额为</w:t>
      </w:r>
      <w:r>
        <w:rPr>
          <w:rFonts w:hint="eastAsia" w:cs="宋体"/>
          <w:highlight w:val="none"/>
          <w:u w:val="single"/>
        </w:rPr>
        <w:t xml:space="preserve">   </w:t>
      </w:r>
      <w:r>
        <w:rPr>
          <w:rFonts w:hint="eastAsia" w:cs="宋体"/>
          <w:highlight w:val="none"/>
        </w:rPr>
        <w:t>万元，属于</w:t>
      </w:r>
      <w:r>
        <w:rPr>
          <w:rFonts w:hint="eastAsia" w:cs="宋体"/>
          <w:highlight w:val="none"/>
          <w:u w:val="single"/>
        </w:rPr>
        <w:t>（中型企业、小型企业、微型企业）</w:t>
      </w:r>
      <w:r>
        <w:rPr>
          <w:rFonts w:hint="eastAsia" w:cs="宋体"/>
          <w:highlight w:val="none"/>
        </w:rPr>
        <w:t xml:space="preserve"> ；</w:t>
      </w:r>
    </w:p>
    <w:p w14:paraId="24B593BB">
      <w:pPr>
        <w:ind w:firstLine="480"/>
        <w:rPr>
          <w:rFonts w:cs="宋体"/>
          <w:highlight w:val="none"/>
        </w:rPr>
      </w:pPr>
      <w:r>
        <w:rPr>
          <w:rFonts w:hint="eastAsia" w:cs="宋体"/>
          <w:highlight w:val="none"/>
        </w:rPr>
        <w:t>……</w:t>
      </w:r>
    </w:p>
    <w:p w14:paraId="2546FC86">
      <w:pPr>
        <w:ind w:firstLine="480"/>
        <w:rPr>
          <w:rFonts w:cs="宋体"/>
          <w:highlight w:val="none"/>
        </w:rPr>
      </w:pPr>
      <w:r>
        <w:rPr>
          <w:rFonts w:hint="eastAsia" w:cs="宋体"/>
          <w:highlight w:val="none"/>
        </w:rPr>
        <w:t>以上企业，不属于大企业的分支机构，不存在控股股东为大企业的情形，也不存在与大企业的负责人为同一人的情形。</w:t>
      </w:r>
    </w:p>
    <w:p w14:paraId="630016C2">
      <w:pPr>
        <w:ind w:firstLine="480"/>
        <w:rPr>
          <w:rFonts w:cs="宋体"/>
          <w:color w:val="000000"/>
          <w:highlight w:val="none"/>
        </w:rPr>
      </w:pPr>
      <w:r>
        <w:rPr>
          <w:rFonts w:hint="eastAsia" w:cs="宋体"/>
          <w:highlight w:val="none"/>
        </w:rPr>
        <w:t>本企业对上述声明内容的真实性负责。如有虚假，将依法承担相应责任。</w:t>
      </w:r>
      <w:r>
        <w:rPr>
          <w:rFonts w:hint="eastAsia" w:cs="宋体"/>
          <w:color w:val="000000"/>
          <w:highlight w:val="none"/>
        </w:rPr>
        <w:t xml:space="preserve"> </w:t>
      </w:r>
    </w:p>
    <w:p w14:paraId="1EEDFA3A">
      <w:pPr>
        <w:pStyle w:val="14"/>
        <w:spacing w:line="360" w:lineRule="auto"/>
        <w:rPr>
          <w:rFonts w:hAnsi="宋体" w:cs="宋体"/>
          <w:color w:val="000000"/>
          <w:highlight w:val="none"/>
        </w:rPr>
      </w:pPr>
    </w:p>
    <w:p w14:paraId="1949D9B5">
      <w:pPr>
        <w:ind w:firstLine="480"/>
        <w:rPr>
          <w:rFonts w:cs="宋体"/>
          <w:color w:val="000000"/>
          <w:highlight w:val="none"/>
        </w:rPr>
      </w:pPr>
    </w:p>
    <w:p w14:paraId="6BEAB8F6">
      <w:pPr>
        <w:ind w:firstLine="480"/>
        <w:jc w:val="center"/>
        <w:rPr>
          <w:rFonts w:cs="宋体"/>
          <w:color w:val="000000"/>
          <w:highlight w:val="none"/>
        </w:rPr>
      </w:pPr>
      <w:r>
        <w:rPr>
          <w:rFonts w:hint="eastAsia" w:cs="宋体"/>
          <w:color w:val="000000"/>
          <w:highlight w:val="none"/>
        </w:rPr>
        <w:t xml:space="preserve">                                         投标人名称（盖章）：</w:t>
      </w:r>
    </w:p>
    <w:p w14:paraId="3AD2B292">
      <w:pPr>
        <w:ind w:firstLine="480"/>
        <w:jc w:val="center"/>
        <w:rPr>
          <w:rFonts w:cs="宋体"/>
          <w:color w:val="000000"/>
          <w:highlight w:val="none"/>
        </w:rPr>
      </w:pPr>
      <w:r>
        <w:rPr>
          <w:rFonts w:hint="eastAsia" w:cs="宋体"/>
          <w:color w:val="000000"/>
          <w:highlight w:val="none"/>
        </w:rPr>
        <w:t xml:space="preserve">                                          日期：   年   月   日 </w:t>
      </w:r>
    </w:p>
    <w:p w14:paraId="5C2771AE">
      <w:pPr>
        <w:pStyle w:val="14"/>
        <w:rPr>
          <w:rFonts w:hAnsi="宋体" w:cs="宋体"/>
          <w:color w:val="000000"/>
          <w:szCs w:val="24"/>
          <w:highlight w:val="none"/>
        </w:rPr>
      </w:pPr>
    </w:p>
    <w:p w14:paraId="769F0CDF">
      <w:pPr>
        <w:ind w:firstLine="422"/>
        <w:rPr>
          <w:rFonts w:cs="宋体"/>
          <w:b/>
          <w:bCs/>
          <w:color w:val="000000"/>
          <w:sz w:val="21"/>
          <w:szCs w:val="21"/>
          <w:highlight w:val="none"/>
        </w:rPr>
      </w:pPr>
    </w:p>
    <w:p w14:paraId="109B4F98">
      <w:pPr>
        <w:ind w:firstLine="422"/>
        <w:rPr>
          <w:rFonts w:cs="宋体"/>
          <w:b/>
          <w:bCs/>
          <w:color w:val="000000"/>
          <w:sz w:val="21"/>
          <w:szCs w:val="21"/>
          <w:highlight w:val="none"/>
        </w:rPr>
      </w:pPr>
      <w:r>
        <w:rPr>
          <w:rFonts w:hint="eastAsia" w:cs="宋体"/>
          <w:b/>
          <w:bCs/>
          <w:color w:val="000000"/>
          <w:sz w:val="21"/>
          <w:szCs w:val="21"/>
          <w:highlight w:val="none"/>
        </w:rPr>
        <w:t>说明：</w:t>
      </w:r>
    </w:p>
    <w:p w14:paraId="788B374B">
      <w:pPr>
        <w:ind w:firstLine="422"/>
        <w:jc w:val="left"/>
        <w:rPr>
          <w:rFonts w:cs="宋体"/>
          <w:b/>
          <w:color w:val="000000"/>
          <w:sz w:val="21"/>
          <w:szCs w:val="21"/>
          <w:highlight w:val="none"/>
        </w:rPr>
      </w:pPr>
      <w:r>
        <w:rPr>
          <w:rFonts w:hint="eastAsia" w:cs="宋体"/>
          <w:b/>
          <w:color w:val="000000"/>
          <w:sz w:val="21"/>
          <w:szCs w:val="21"/>
          <w:highlight w:val="none"/>
        </w:rPr>
        <w:t>1.从业人员、营业收入、资产总额填报上一年度数据，数据未填写的视为未提供《中小企业声明函》。</w:t>
      </w:r>
    </w:p>
    <w:p w14:paraId="75D7E66C">
      <w:pPr>
        <w:ind w:firstLine="480"/>
        <w:rPr>
          <w:rFonts w:cs="宋体"/>
          <w:color w:val="000000"/>
          <w:highlight w:val="none"/>
        </w:rPr>
      </w:pPr>
    </w:p>
    <w:p w14:paraId="6FD59035">
      <w:pPr>
        <w:pStyle w:val="14"/>
        <w:rPr>
          <w:rFonts w:hAnsi="宋体" w:cs="宋体"/>
          <w:color w:val="000000"/>
          <w:highlight w:val="none"/>
        </w:rPr>
      </w:pPr>
    </w:p>
    <w:p w14:paraId="27433C53">
      <w:pPr>
        <w:ind w:firstLine="480"/>
        <w:jc w:val="right"/>
        <w:rPr>
          <w:rFonts w:cs="宋体"/>
          <w:color w:val="000000"/>
          <w:highlight w:val="none"/>
        </w:rPr>
        <w:sectPr>
          <w:pgSz w:w="11907" w:h="16840"/>
          <w:pgMar w:top="1247" w:right="1304" w:bottom="1021" w:left="1304" w:header="720" w:footer="720" w:gutter="0"/>
          <w:cols w:space="720" w:num="1"/>
          <w:rtlGutter w:val="1"/>
          <w:docGrid w:linePitch="286" w:charSpace="0"/>
        </w:sectPr>
      </w:pPr>
    </w:p>
    <w:tbl>
      <w:tblPr>
        <w:tblStyle w:val="44"/>
        <w:tblW w:w="14720" w:type="dxa"/>
        <w:tblInd w:w="0" w:type="dxa"/>
        <w:tblLayout w:type="fixed"/>
        <w:tblCellMar>
          <w:top w:w="0" w:type="dxa"/>
          <w:left w:w="108" w:type="dxa"/>
          <w:bottom w:w="0" w:type="dxa"/>
          <w:right w:w="108" w:type="dxa"/>
        </w:tblCellMar>
      </w:tblPr>
      <w:tblGrid>
        <w:gridCol w:w="1912"/>
        <w:gridCol w:w="1440"/>
        <w:gridCol w:w="1696"/>
        <w:gridCol w:w="1609"/>
        <w:gridCol w:w="1193"/>
        <w:gridCol w:w="1501"/>
        <w:gridCol w:w="1539"/>
        <w:gridCol w:w="1268"/>
        <w:gridCol w:w="1259"/>
        <w:gridCol w:w="1165"/>
        <w:gridCol w:w="138"/>
      </w:tblGrid>
      <w:tr w14:paraId="25598E6F">
        <w:tblPrEx>
          <w:tblCellMar>
            <w:top w:w="0" w:type="dxa"/>
            <w:left w:w="108" w:type="dxa"/>
            <w:bottom w:w="0" w:type="dxa"/>
            <w:right w:w="108" w:type="dxa"/>
          </w:tblCellMar>
        </w:tblPrEx>
        <w:trPr>
          <w:gridAfter w:val="1"/>
          <w:wAfter w:w="138" w:type="dxa"/>
          <w:trHeight w:val="430" w:hRule="atLeast"/>
        </w:trPr>
        <w:tc>
          <w:tcPr>
            <w:tcW w:w="14582" w:type="dxa"/>
            <w:gridSpan w:val="10"/>
            <w:tcBorders>
              <w:top w:val="nil"/>
              <w:left w:val="nil"/>
              <w:bottom w:val="nil"/>
              <w:right w:val="nil"/>
            </w:tcBorders>
            <w:vAlign w:val="bottom"/>
          </w:tcPr>
          <w:p w14:paraId="475FA8AE">
            <w:pPr>
              <w:ind w:firstLine="0" w:firstLineChars="0"/>
              <w:jc w:val="center"/>
              <w:rPr>
                <w:rFonts w:cs="宋体"/>
                <w:b/>
                <w:bCs/>
                <w:color w:val="000000"/>
                <w:sz w:val="15"/>
                <w:szCs w:val="15"/>
                <w:highlight w:val="none"/>
              </w:rPr>
            </w:pPr>
            <w:r>
              <w:rPr>
                <w:rFonts w:hint="eastAsia" w:cs="宋体"/>
                <w:b/>
                <w:bCs/>
                <w:color w:val="000000"/>
                <w:sz w:val="15"/>
                <w:szCs w:val="15"/>
                <w:highlight w:val="none"/>
              </w:rPr>
              <w:t>中小微行业划型标准规定（根据工信部联企业〔2011〕300号制定）</w:t>
            </w:r>
          </w:p>
        </w:tc>
      </w:tr>
      <w:tr w14:paraId="77DA1E74">
        <w:tblPrEx>
          <w:tblCellMar>
            <w:top w:w="0" w:type="dxa"/>
            <w:left w:w="108" w:type="dxa"/>
            <w:bottom w:w="0" w:type="dxa"/>
            <w:right w:w="108" w:type="dxa"/>
          </w:tblCellMar>
        </w:tblPrEx>
        <w:trPr>
          <w:trHeight w:val="497" w:hRule="atLeast"/>
        </w:trPr>
        <w:tc>
          <w:tcPr>
            <w:tcW w:w="1912" w:type="dxa"/>
            <w:vMerge w:val="restart"/>
            <w:tcBorders>
              <w:top w:val="single" w:color="auto" w:sz="8" w:space="0"/>
              <w:left w:val="single" w:color="auto" w:sz="8" w:space="0"/>
              <w:bottom w:val="single" w:color="000000" w:sz="4" w:space="0"/>
              <w:right w:val="single" w:color="auto" w:sz="8" w:space="0"/>
            </w:tcBorders>
            <w:vAlign w:val="center"/>
          </w:tcPr>
          <w:p w14:paraId="2F70F892">
            <w:pPr>
              <w:spacing w:line="240" w:lineRule="auto"/>
              <w:ind w:firstLine="301"/>
              <w:jc w:val="center"/>
              <w:rPr>
                <w:rFonts w:cs="宋体"/>
                <w:b/>
                <w:bCs/>
                <w:color w:val="000000"/>
                <w:sz w:val="15"/>
                <w:szCs w:val="15"/>
                <w:highlight w:val="none"/>
              </w:rPr>
            </w:pPr>
            <w:r>
              <w:rPr>
                <w:rFonts w:hint="eastAsia" w:cs="宋体"/>
                <w:b/>
                <w:bCs/>
                <w:color w:val="000000"/>
                <w:sz w:val="15"/>
                <w:szCs w:val="15"/>
                <w:highlight w:val="none"/>
              </w:rPr>
              <w:t>行业</w:t>
            </w:r>
          </w:p>
        </w:tc>
        <w:tc>
          <w:tcPr>
            <w:tcW w:w="4745" w:type="dxa"/>
            <w:gridSpan w:val="3"/>
            <w:tcBorders>
              <w:top w:val="single" w:color="auto" w:sz="8" w:space="0"/>
              <w:left w:val="nil"/>
              <w:bottom w:val="single" w:color="auto" w:sz="4" w:space="0"/>
              <w:right w:val="single" w:color="000000" w:sz="8" w:space="0"/>
            </w:tcBorders>
            <w:vAlign w:val="bottom"/>
          </w:tcPr>
          <w:p w14:paraId="217FCA86">
            <w:pPr>
              <w:spacing w:line="240" w:lineRule="auto"/>
              <w:ind w:firstLine="301"/>
              <w:jc w:val="center"/>
              <w:rPr>
                <w:rFonts w:cs="宋体"/>
                <w:b/>
                <w:bCs/>
                <w:color w:val="000000"/>
                <w:sz w:val="15"/>
                <w:szCs w:val="15"/>
                <w:highlight w:val="none"/>
              </w:rPr>
            </w:pPr>
            <w:r>
              <w:rPr>
                <w:rFonts w:hint="eastAsia" w:cs="宋体"/>
                <w:b/>
                <w:bCs/>
                <w:color w:val="000000"/>
                <w:sz w:val="15"/>
                <w:szCs w:val="15"/>
                <w:highlight w:val="none"/>
              </w:rPr>
              <w:t>中型企业</w:t>
            </w:r>
          </w:p>
        </w:tc>
        <w:tc>
          <w:tcPr>
            <w:tcW w:w="4233" w:type="dxa"/>
            <w:gridSpan w:val="3"/>
            <w:tcBorders>
              <w:top w:val="single" w:color="auto" w:sz="8" w:space="0"/>
              <w:left w:val="nil"/>
              <w:bottom w:val="single" w:color="auto" w:sz="4" w:space="0"/>
              <w:right w:val="single" w:color="000000" w:sz="8" w:space="0"/>
            </w:tcBorders>
            <w:vAlign w:val="bottom"/>
          </w:tcPr>
          <w:p w14:paraId="5564B297">
            <w:pPr>
              <w:spacing w:line="240" w:lineRule="auto"/>
              <w:ind w:firstLine="301"/>
              <w:jc w:val="center"/>
              <w:rPr>
                <w:rFonts w:cs="宋体"/>
                <w:b/>
                <w:bCs/>
                <w:color w:val="000000"/>
                <w:sz w:val="15"/>
                <w:szCs w:val="15"/>
                <w:highlight w:val="none"/>
              </w:rPr>
            </w:pPr>
            <w:r>
              <w:rPr>
                <w:rFonts w:hint="eastAsia" w:cs="宋体"/>
                <w:b/>
                <w:bCs/>
                <w:color w:val="000000"/>
                <w:sz w:val="15"/>
                <w:szCs w:val="15"/>
                <w:highlight w:val="none"/>
              </w:rPr>
              <w:t>小型企业</w:t>
            </w:r>
          </w:p>
        </w:tc>
        <w:tc>
          <w:tcPr>
            <w:tcW w:w="3830" w:type="dxa"/>
            <w:gridSpan w:val="4"/>
            <w:tcBorders>
              <w:top w:val="single" w:color="auto" w:sz="8" w:space="0"/>
              <w:left w:val="nil"/>
              <w:bottom w:val="single" w:color="auto" w:sz="4" w:space="0"/>
              <w:right w:val="single" w:color="000000" w:sz="8" w:space="0"/>
            </w:tcBorders>
            <w:vAlign w:val="bottom"/>
          </w:tcPr>
          <w:p w14:paraId="366FD3CB">
            <w:pPr>
              <w:spacing w:line="240" w:lineRule="auto"/>
              <w:ind w:firstLine="301"/>
              <w:jc w:val="center"/>
              <w:rPr>
                <w:rFonts w:cs="宋体"/>
                <w:b/>
                <w:bCs/>
                <w:color w:val="000000"/>
                <w:sz w:val="15"/>
                <w:szCs w:val="15"/>
                <w:highlight w:val="none"/>
              </w:rPr>
            </w:pPr>
            <w:r>
              <w:rPr>
                <w:rFonts w:hint="eastAsia" w:cs="宋体"/>
                <w:b/>
                <w:bCs/>
                <w:color w:val="000000"/>
                <w:sz w:val="15"/>
                <w:szCs w:val="15"/>
                <w:highlight w:val="none"/>
              </w:rPr>
              <w:t>微型企业</w:t>
            </w:r>
          </w:p>
        </w:tc>
      </w:tr>
      <w:tr w14:paraId="7CE9CC2A">
        <w:tblPrEx>
          <w:tblCellMar>
            <w:top w:w="0" w:type="dxa"/>
            <w:left w:w="108" w:type="dxa"/>
            <w:bottom w:w="0" w:type="dxa"/>
            <w:right w:w="108" w:type="dxa"/>
          </w:tblCellMar>
        </w:tblPrEx>
        <w:trPr>
          <w:trHeight w:val="558" w:hRule="atLeast"/>
        </w:trPr>
        <w:tc>
          <w:tcPr>
            <w:tcW w:w="1912" w:type="dxa"/>
            <w:vMerge w:val="continue"/>
            <w:tcBorders>
              <w:top w:val="single" w:color="auto" w:sz="8" w:space="0"/>
              <w:left w:val="single" w:color="auto" w:sz="8" w:space="0"/>
              <w:bottom w:val="single" w:color="000000" w:sz="4" w:space="0"/>
              <w:right w:val="single" w:color="auto" w:sz="8" w:space="0"/>
            </w:tcBorders>
            <w:vAlign w:val="center"/>
          </w:tcPr>
          <w:p w14:paraId="58A085D6">
            <w:pPr>
              <w:spacing w:line="240" w:lineRule="auto"/>
              <w:ind w:firstLine="301"/>
              <w:rPr>
                <w:rFonts w:cs="宋体"/>
                <w:b/>
                <w:bCs/>
                <w:color w:val="000000"/>
                <w:sz w:val="15"/>
                <w:szCs w:val="15"/>
                <w:highlight w:val="none"/>
              </w:rPr>
            </w:pPr>
          </w:p>
        </w:tc>
        <w:tc>
          <w:tcPr>
            <w:tcW w:w="1440" w:type="dxa"/>
            <w:tcBorders>
              <w:top w:val="nil"/>
              <w:left w:val="nil"/>
              <w:bottom w:val="single" w:color="auto" w:sz="4" w:space="0"/>
              <w:right w:val="single" w:color="auto" w:sz="4" w:space="0"/>
            </w:tcBorders>
            <w:vAlign w:val="bottom"/>
          </w:tcPr>
          <w:p w14:paraId="7ACC67FA">
            <w:pPr>
              <w:spacing w:line="240" w:lineRule="auto"/>
              <w:ind w:firstLine="300"/>
              <w:jc w:val="center"/>
              <w:rPr>
                <w:rFonts w:cs="宋体"/>
                <w:color w:val="000000"/>
                <w:sz w:val="15"/>
                <w:szCs w:val="15"/>
                <w:highlight w:val="none"/>
              </w:rPr>
            </w:pPr>
            <w:r>
              <w:rPr>
                <w:rFonts w:hint="eastAsia" w:cs="宋体"/>
                <w:color w:val="000000"/>
                <w:sz w:val="15"/>
                <w:szCs w:val="15"/>
                <w:highlight w:val="none"/>
              </w:rPr>
              <w:t>从业人员X（人）</w:t>
            </w:r>
          </w:p>
        </w:tc>
        <w:tc>
          <w:tcPr>
            <w:tcW w:w="1696" w:type="dxa"/>
            <w:tcBorders>
              <w:top w:val="nil"/>
              <w:left w:val="nil"/>
              <w:bottom w:val="single" w:color="auto" w:sz="4" w:space="0"/>
              <w:right w:val="single" w:color="auto" w:sz="4" w:space="0"/>
            </w:tcBorders>
            <w:vAlign w:val="bottom"/>
          </w:tcPr>
          <w:p w14:paraId="75B851FD">
            <w:pPr>
              <w:spacing w:line="240" w:lineRule="auto"/>
              <w:ind w:firstLine="300"/>
              <w:jc w:val="center"/>
              <w:rPr>
                <w:rFonts w:cs="宋体"/>
                <w:color w:val="000000"/>
                <w:sz w:val="15"/>
                <w:szCs w:val="15"/>
                <w:highlight w:val="none"/>
              </w:rPr>
            </w:pPr>
            <w:r>
              <w:rPr>
                <w:rFonts w:hint="eastAsia" w:cs="宋体"/>
                <w:color w:val="000000"/>
                <w:sz w:val="15"/>
                <w:szCs w:val="15"/>
                <w:highlight w:val="none"/>
              </w:rPr>
              <w:t>营业收入Y</w:t>
            </w:r>
          </w:p>
          <w:p w14:paraId="293A64D2">
            <w:pPr>
              <w:spacing w:line="240" w:lineRule="auto"/>
              <w:ind w:firstLine="300"/>
              <w:jc w:val="center"/>
              <w:rPr>
                <w:rFonts w:cs="宋体"/>
                <w:color w:val="000000"/>
                <w:sz w:val="15"/>
                <w:szCs w:val="15"/>
                <w:highlight w:val="none"/>
              </w:rPr>
            </w:pPr>
            <w:r>
              <w:rPr>
                <w:rFonts w:hint="eastAsia" w:cs="宋体"/>
                <w:color w:val="000000"/>
                <w:sz w:val="15"/>
                <w:szCs w:val="15"/>
                <w:highlight w:val="none"/>
              </w:rPr>
              <w:t>（万元）</w:t>
            </w:r>
          </w:p>
        </w:tc>
        <w:tc>
          <w:tcPr>
            <w:tcW w:w="1609" w:type="dxa"/>
            <w:tcBorders>
              <w:top w:val="nil"/>
              <w:left w:val="nil"/>
              <w:bottom w:val="single" w:color="auto" w:sz="4" w:space="0"/>
              <w:right w:val="single" w:color="auto" w:sz="8" w:space="0"/>
            </w:tcBorders>
            <w:vAlign w:val="bottom"/>
          </w:tcPr>
          <w:p w14:paraId="2E3503E5">
            <w:pPr>
              <w:spacing w:line="240" w:lineRule="auto"/>
              <w:ind w:firstLine="300"/>
              <w:jc w:val="center"/>
              <w:rPr>
                <w:rFonts w:cs="宋体"/>
                <w:color w:val="000000"/>
                <w:sz w:val="15"/>
                <w:szCs w:val="15"/>
                <w:highlight w:val="none"/>
              </w:rPr>
            </w:pPr>
            <w:r>
              <w:rPr>
                <w:rFonts w:hint="eastAsia" w:cs="宋体"/>
                <w:color w:val="000000"/>
                <w:sz w:val="15"/>
                <w:szCs w:val="15"/>
                <w:highlight w:val="none"/>
              </w:rPr>
              <w:t>资产总额Z</w:t>
            </w:r>
          </w:p>
          <w:p w14:paraId="03D0EC78">
            <w:pPr>
              <w:spacing w:line="240" w:lineRule="auto"/>
              <w:ind w:firstLine="300"/>
              <w:jc w:val="center"/>
              <w:rPr>
                <w:rFonts w:cs="宋体"/>
                <w:color w:val="000000"/>
                <w:sz w:val="15"/>
                <w:szCs w:val="15"/>
                <w:highlight w:val="none"/>
              </w:rPr>
            </w:pPr>
            <w:r>
              <w:rPr>
                <w:rFonts w:hint="eastAsia" w:cs="宋体"/>
                <w:color w:val="000000"/>
                <w:sz w:val="15"/>
                <w:szCs w:val="15"/>
                <w:highlight w:val="none"/>
              </w:rPr>
              <w:t>（万元）</w:t>
            </w:r>
          </w:p>
        </w:tc>
        <w:tc>
          <w:tcPr>
            <w:tcW w:w="1193" w:type="dxa"/>
            <w:tcBorders>
              <w:top w:val="nil"/>
              <w:left w:val="nil"/>
              <w:bottom w:val="single" w:color="auto" w:sz="4" w:space="0"/>
              <w:right w:val="single" w:color="auto" w:sz="4" w:space="0"/>
            </w:tcBorders>
            <w:vAlign w:val="bottom"/>
          </w:tcPr>
          <w:p w14:paraId="73E68274">
            <w:pPr>
              <w:spacing w:line="240" w:lineRule="auto"/>
              <w:ind w:firstLine="300"/>
              <w:jc w:val="center"/>
              <w:rPr>
                <w:rFonts w:cs="宋体"/>
                <w:color w:val="000000"/>
                <w:sz w:val="15"/>
                <w:szCs w:val="15"/>
                <w:highlight w:val="none"/>
              </w:rPr>
            </w:pPr>
            <w:r>
              <w:rPr>
                <w:rFonts w:hint="eastAsia" w:cs="宋体"/>
                <w:color w:val="000000"/>
                <w:sz w:val="15"/>
                <w:szCs w:val="15"/>
                <w:highlight w:val="none"/>
              </w:rPr>
              <w:t>从业人员X（人）</w:t>
            </w:r>
          </w:p>
        </w:tc>
        <w:tc>
          <w:tcPr>
            <w:tcW w:w="1501" w:type="dxa"/>
            <w:tcBorders>
              <w:top w:val="nil"/>
              <w:left w:val="nil"/>
              <w:bottom w:val="single" w:color="auto" w:sz="4" w:space="0"/>
              <w:right w:val="single" w:color="auto" w:sz="4" w:space="0"/>
            </w:tcBorders>
            <w:vAlign w:val="bottom"/>
          </w:tcPr>
          <w:p w14:paraId="07AB9951">
            <w:pPr>
              <w:spacing w:line="240" w:lineRule="auto"/>
              <w:ind w:firstLine="300"/>
              <w:jc w:val="center"/>
              <w:rPr>
                <w:rFonts w:cs="宋体"/>
                <w:color w:val="000000"/>
                <w:sz w:val="15"/>
                <w:szCs w:val="15"/>
                <w:highlight w:val="none"/>
              </w:rPr>
            </w:pPr>
            <w:r>
              <w:rPr>
                <w:rFonts w:hint="eastAsia" w:cs="宋体"/>
                <w:color w:val="000000"/>
                <w:sz w:val="15"/>
                <w:szCs w:val="15"/>
                <w:highlight w:val="none"/>
              </w:rPr>
              <w:t>营业收入Y</w:t>
            </w:r>
          </w:p>
          <w:p w14:paraId="01C0D431">
            <w:pPr>
              <w:spacing w:line="240" w:lineRule="auto"/>
              <w:ind w:firstLine="300"/>
              <w:jc w:val="center"/>
              <w:rPr>
                <w:rFonts w:cs="宋体"/>
                <w:color w:val="000000"/>
                <w:sz w:val="15"/>
                <w:szCs w:val="15"/>
                <w:highlight w:val="none"/>
              </w:rPr>
            </w:pPr>
            <w:r>
              <w:rPr>
                <w:rFonts w:hint="eastAsia" w:cs="宋体"/>
                <w:color w:val="000000"/>
                <w:sz w:val="15"/>
                <w:szCs w:val="15"/>
                <w:highlight w:val="none"/>
              </w:rPr>
              <w:t>（万元）</w:t>
            </w:r>
          </w:p>
        </w:tc>
        <w:tc>
          <w:tcPr>
            <w:tcW w:w="1539" w:type="dxa"/>
            <w:tcBorders>
              <w:top w:val="nil"/>
              <w:left w:val="nil"/>
              <w:bottom w:val="single" w:color="auto" w:sz="4" w:space="0"/>
              <w:right w:val="single" w:color="auto" w:sz="8" w:space="0"/>
            </w:tcBorders>
            <w:vAlign w:val="bottom"/>
          </w:tcPr>
          <w:p w14:paraId="0EDFE054">
            <w:pPr>
              <w:spacing w:line="240" w:lineRule="auto"/>
              <w:ind w:firstLine="300"/>
              <w:jc w:val="center"/>
              <w:rPr>
                <w:rFonts w:cs="宋体"/>
                <w:color w:val="000000"/>
                <w:sz w:val="15"/>
                <w:szCs w:val="15"/>
                <w:highlight w:val="none"/>
              </w:rPr>
            </w:pPr>
            <w:r>
              <w:rPr>
                <w:rFonts w:hint="eastAsia" w:cs="宋体"/>
                <w:color w:val="000000"/>
                <w:sz w:val="15"/>
                <w:szCs w:val="15"/>
                <w:highlight w:val="none"/>
              </w:rPr>
              <w:t>资产总额Z</w:t>
            </w:r>
          </w:p>
          <w:p w14:paraId="04593F1A">
            <w:pPr>
              <w:spacing w:line="240" w:lineRule="auto"/>
              <w:ind w:firstLine="300"/>
              <w:jc w:val="center"/>
              <w:rPr>
                <w:rFonts w:cs="宋体"/>
                <w:color w:val="000000"/>
                <w:sz w:val="15"/>
                <w:szCs w:val="15"/>
                <w:highlight w:val="none"/>
              </w:rPr>
            </w:pPr>
            <w:r>
              <w:rPr>
                <w:rFonts w:hint="eastAsia" w:cs="宋体"/>
                <w:color w:val="000000"/>
                <w:sz w:val="15"/>
                <w:szCs w:val="15"/>
                <w:highlight w:val="none"/>
              </w:rPr>
              <w:t>（万元）</w:t>
            </w:r>
          </w:p>
        </w:tc>
        <w:tc>
          <w:tcPr>
            <w:tcW w:w="1268" w:type="dxa"/>
            <w:tcBorders>
              <w:top w:val="nil"/>
              <w:left w:val="nil"/>
              <w:bottom w:val="single" w:color="auto" w:sz="4" w:space="0"/>
              <w:right w:val="single" w:color="auto" w:sz="4" w:space="0"/>
            </w:tcBorders>
            <w:vAlign w:val="bottom"/>
          </w:tcPr>
          <w:p w14:paraId="2B6464E3">
            <w:pPr>
              <w:spacing w:line="240" w:lineRule="auto"/>
              <w:ind w:firstLine="300"/>
              <w:jc w:val="center"/>
              <w:rPr>
                <w:rFonts w:cs="宋体"/>
                <w:color w:val="000000"/>
                <w:sz w:val="15"/>
                <w:szCs w:val="15"/>
                <w:highlight w:val="none"/>
              </w:rPr>
            </w:pPr>
            <w:r>
              <w:rPr>
                <w:rFonts w:hint="eastAsia" w:cs="宋体"/>
                <w:color w:val="000000"/>
                <w:sz w:val="15"/>
                <w:szCs w:val="15"/>
                <w:highlight w:val="none"/>
              </w:rPr>
              <w:t>从业人员X（人）</w:t>
            </w:r>
          </w:p>
        </w:tc>
        <w:tc>
          <w:tcPr>
            <w:tcW w:w="1259" w:type="dxa"/>
            <w:tcBorders>
              <w:top w:val="nil"/>
              <w:left w:val="nil"/>
              <w:bottom w:val="single" w:color="auto" w:sz="4" w:space="0"/>
              <w:right w:val="single" w:color="auto" w:sz="4" w:space="0"/>
            </w:tcBorders>
            <w:vAlign w:val="bottom"/>
          </w:tcPr>
          <w:p w14:paraId="55741ED5">
            <w:pPr>
              <w:spacing w:line="240" w:lineRule="auto"/>
              <w:ind w:firstLine="300"/>
              <w:jc w:val="center"/>
              <w:rPr>
                <w:rFonts w:cs="宋体"/>
                <w:color w:val="000000"/>
                <w:sz w:val="15"/>
                <w:szCs w:val="15"/>
                <w:highlight w:val="none"/>
              </w:rPr>
            </w:pPr>
            <w:r>
              <w:rPr>
                <w:rFonts w:hint="eastAsia" w:cs="宋体"/>
                <w:color w:val="000000"/>
                <w:sz w:val="15"/>
                <w:szCs w:val="15"/>
                <w:highlight w:val="none"/>
              </w:rPr>
              <w:t>营业收入Y（万元）</w:t>
            </w:r>
          </w:p>
        </w:tc>
        <w:tc>
          <w:tcPr>
            <w:tcW w:w="1303" w:type="dxa"/>
            <w:gridSpan w:val="2"/>
            <w:tcBorders>
              <w:top w:val="nil"/>
              <w:left w:val="nil"/>
              <w:bottom w:val="single" w:color="auto" w:sz="4" w:space="0"/>
              <w:right w:val="single" w:color="auto" w:sz="8" w:space="0"/>
            </w:tcBorders>
            <w:vAlign w:val="bottom"/>
          </w:tcPr>
          <w:p w14:paraId="62EE88E9">
            <w:pPr>
              <w:spacing w:line="240" w:lineRule="auto"/>
              <w:ind w:firstLine="300"/>
              <w:jc w:val="center"/>
              <w:rPr>
                <w:rFonts w:cs="宋体"/>
                <w:color w:val="000000"/>
                <w:sz w:val="15"/>
                <w:szCs w:val="15"/>
                <w:highlight w:val="none"/>
              </w:rPr>
            </w:pPr>
            <w:r>
              <w:rPr>
                <w:rFonts w:hint="eastAsia" w:cs="宋体"/>
                <w:color w:val="000000"/>
                <w:sz w:val="15"/>
                <w:szCs w:val="15"/>
                <w:highlight w:val="none"/>
              </w:rPr>
              <w:t>资产总额Z（万元）</w:t>
            </w:r>
          </w:p>
        </w:tc>
      </w:tr>
      <w:tr w14:paraId="0AE7645E">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67519592">
            <w:pPr>
              <w:spacing w:line="240" w:lineRule="auto"/>
              <w:ind w:firstLine="300"/>
              <w:rPr>
                <w:rFonts w:cs="宋体"/>
                <w:color w:val="000000"/>
                <w:sz w:val="15"/>
                <w:szCs w:val="15"/>
                <w:highlight w:val="none"/>
              </w:rPr>
            </w:pPr>
            <w:r>
              <w:rPr>
                <w:rFonts w:hint="eastAsia" w:cs="宋体"/>
                <w:color w:val="000000"/>
                <w:sz w:val="15"/>
                <w:szCs w:val="15"/>
                <w:highlight w:val="none"/>
              </w:rPr>
              <w:t xml:space="preserve"> 1、农林牧渔业</w:t>
            </w:r>
          </w:p>
        </w:tc>
        <w:tc>
          <w:tcPr>
            <w:tcW w:w="1440" w:type="dxa"/>
            <w:tcBorders>
              <w:top w:val="nil"/>
              <w:left w:val="nil"/>
              <w:bottom w:val="single" w:color="auto" w:sz="4" w:space="0"/>
              <w:right w:val="single" w:color="auto" w:sz="4" w:space="0"/>
            </w:tcBorders>
            <w:vAlign w:val="bottom"/>
          </w:tcPr>
          <w:p w14:paraId="54DDDB96">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696" w:type="dxa"/>
            <w:tcBorders>
              <w:top w:val="nil"/>
              <w:left w:val="nil"/>
              <w:bottom w:val="single" w:color="auto" w:sz="4" w:space="0"/>
              <w:right w:val="single" w:color="auto" w:sz="4" w:space="0"/>
            </w:tcBorders>
            <w:vAlign w:val="bottom"/>
          </w:tcPr>
          <w:p w14:paraId="34298A90">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500≤Y＜20000</w:t>
            </w:r>
          </w:p>
        </w:tc>
        <w:tc>
          <w:tcPr>
            <w:tcW w:w="1609" w:type="dxa"/>
            <w:tcBorders>
              <w:top w:val="nil"/>
              <w:left w:val="nil"/>
              <w:bottom w:val="single" w:color="auto" w:sz="4" w:space="0"/>
              <w:right w:val="single" w:color="auto" w:sz="8" w:space="0"/>
            </w:tcBorders>
            <w:vAlign w:val="bottom"/>
          </w:tcPr>
          <w:p w14:paraId="32BE9B89">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67F0BC30">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501" w:type="dxa"/>
            <w:tcBorders>
              <w:top w:val="nil"/>
              <w:left w:val="nil"/>
              <w:bottom w:val="single" w:color="auto" w:sz="4" w:space="0"/>
              <w:right w:val="single" w:color="auto" w:sz="4" w:space="0"/>
            </w:tcBorders>
            <w:vAlign w:val="bottom"/>
          </w:tcPr>
          <w:p w14:paraId="2CAD71A6">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50≤Y＜500</w:t>
            </w:r>
          </w:p>
        </w:tc>
        <w:tc>
          <w:tcPr>
            <w:tcW w:w="1539" w:type="dxa"/>
            <w:tcBorders>
              <w:top w:val="nil"/>
              <w:left w:val="nil"/>
              <w:bottom w:val="single" w:color="auto" w:sz="4" w:space="0"/>
              <w:right w:val="single" w:color="auto" w:sz="8" w:space="0"/>
            </w:tcBorders>
            <w:vAlign w:val="bottom"/>
          </w:tcPr>
          <w:p w14:paraId="0446D908">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594F7FF1">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59" w:type="dxa"/>
            <w:tcBorders>
              <w:top w:val="nil"/>
              <w:left w:val="nil"/>
              <w:bottom w:val="single" w:color="auto" w:sz="4" w:space="0"/>
              <w:right w:val="single" w:color="auto" w:sz="4" w:space="0"/>
            </w:tcBorders>
            <w:vAlign w:val="bottom"/>
          </w:tcPr>
          <w:p w14:paraId="2DDDC848">
            <w:pPr>
              <w:spacing w:line="240" w:lineRule="auto"/>
              <w:ind w:firstLine="300"/>
              <w:rPr>
                <w:rFonts w:cs="宋体"/>
                <w:color w:val="000000"/>
                <w:sz w:val="15"/>
                <w:szCs w:val="15"/>
                <w:highlight w:val="none"/>
              </w:rPr>
            </w:pPr>
            <w:r>
              <w:rPr>
                <w:rFonts w:hint="eastAsia" w:cs="宋体"/>
                <w:color w:val="000000"/>
                <w:sz w:val="15"/>
                <w:szCs w:val="15"/>
                <w:highlight w:val="none"/>
              </w:rPr>
              <w:t>Y＜50</w:t>
            </w:r>
          </w:p>
        </w:tc>
        <w:tc>
          <w:tcPr>
            <w:tcW w:w="1303" w:type="dxa"/>
            <w:gridSpan w:val="2"/>
            <w:tcBorders>
              <w:top w:val="nil"/>
              <w:left w:val="nil"/>
              <w:bottom w:val="single" w:color="auto" w:sz="4" w:space="0"/>
              <w:right w:val="single" w:color="auto" w:sz="8" w:space="0"/>
            </w:tcBorders>
            <w:vAlign w:val="bottom"/>
          </w:tcPr>
          <w:p w14:paraId="556397F5">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1D46962D">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871167A">
            <w:pPr>
              <w:spacing w:line="240" w:lineRule="auto"/>
              <w:ind w:firstLine="300"/>
              <w:rPr>
                <w:rFonts w:cs="宋体"/>
                <w:color w:val="000000"/>
                <w:sz w:val="15"/>
                <w:szCs w:val="15"/>
                <w:highlight w:val="none"/>
              </w:rPr>
            </w:pPr>
            <w:r>
              <w:rPr>
                <w:rFonts w:hint="eastAsia" w:cs="宋体"/>
                <w:color w:val="000000"/>
                <w:sz w:val="15"/>
                <w:szCs w:val="15"/>
                <w:highlight w:val="none"/>
              </w:rPr>
              <w:t xml:space="preserve"> 2、工业</w:t>
            </w:r>
          </w:p>
        </w:tc>
        <w:tc>
          <w:tcPr>
            <w:tcW w:w="1440" w:type="dxa"/>
            <w:tcBorders>
              <w:top w:val="nil"/>
              <w:left w:val="nil"/>
              <w:bottom w:val="single" w:color="auto" w:sz="4" w:space="0"/>
              <w:right w:val="single" w:color="auto" w:sz="4" w:space="0"/>
            </w:tcBorders>
            <w:vAlign w:val="bottom"/>
          </w:tcPr>
          <w:p w14:paraId="7199335E">
            <w:pPr>
              <w:spacing w:line="240" w:lineRule="auto"/>
              <w:ind w:firstLine="300"/>
              <w:rPr>
                <w:rFonts w:cs="宋体"/>
                <w:color w:val="000000"/>
                <w:sz w:val="15"/>
                <w:szCs w:val="15"/>
                <w:highlight w:val="none"/>
              </w:rPr>
            </w:pPr>
            <w:r>
              <w:rPr>
                <w:rFonts w:hint="eastAsia" w:cs="宋体"/>
                <w:color w:val="000000"/>
                <w:sz w:val="15"/>
                <w:szCs w:val="15"/>
                <w:highlight w:val="none"/>
              </w:rPr>
              <w:t>300≤X＜1000</w:t>
            </w:r>
          </w:p>
        </w:tc>
        <w:tc>
          <w:tcPr>
            <w:tcW w:w="1696" w:type="dxa"/>
            <w:tcBorders>
              <w:top w:val="nil"/>
              <w:left w:val="nil"/>
              <w:bottom w:val="single" w:color="auto" w:sz="4" w:space="0"/>
              <w:right w:val="single" w:color="auto" w:sz="4" w:space="0"/>
            </w:tcBorders>
            <w:vAlign w:val="bottom"/>
          </w:tcPr>
          <w:p w14:paraId="4CB40040">
            <w:pPr>
              <w:spacing w:line="240" w:lineRule="auto"/>
              <w:ind w:firstLine="300"/>
              <w:rPr>
                <w:rFonts w:cs="宋体"/>
                <w:color w:val="000000"/>
                <w:sz w:val="15"/>
                <w:szCs w:val="15"/>
                <w:highlight w:val="none"/>
              </w:rPr>
            </w:pPr>
            <w:r>
              <w:rPr>
                <w:rFonts w:hint="eastAsia" w:cs="宋体"/>
                <w:color w:val="000000"/>
                <w:sz w:val="15"/>
                <w:szCs w:val="15"/>
                <w:highlight w:val="none"/>
              </w:rPr>
              <w:t>2000≤Y＜40000</w:t>
            </w:r>
          </w:p>
        </w:tc>
        <w:tc>
          <w:tcPr>
            <w:tcW w:w="1609" w:type="dxa"/>
            <w:tcBorders>
              <w:top w:val="nil"/>
              <w:left w:val="nil"/>
              <w:bottom w:val="single" w:color="auto" w:sz="4" w:space="0"/>
              <w:right w:val="single" w:color="auto" w:sz="8" w:space="0"/>
            </w:tcBorders>
            <w:vAlign w:val="bottom"/>
          </w:tcPr>
          <w:p w14:paraId="04F527D0">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2541941A">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20≤X＜300</w:t>
            </w:r>
          </w:p>
        </w:tc>
        <w:tc>
          <w:tcPr>
            <w:tcW w:w="1501" w:type="dxa"/>
            <w:tcBorders>
              <w:top w:val="nil"/>
              <w:left w:val="nil"/>
              <w:bottom w:val="single" w:color="auto" w:sz="4" w:space="0"/>
              <w:right w:val="single" w:color="auto" w:sz="4" w:space="0"/>
            </w:tcBorders>
            <w:vAlign w:val="bottom"/>
          </w:tcPr>
          <w:p w14:paraId="7BD2DCC8">
            <w:pPr>
              <w:spacing w:line="240" w:lineRule="auto"/>
              <w:ind w:firstLine="300"/>
              <w:rPr>
                <w:rFonts w:cs="宋体"/>
                <w:color w:val="000000"/>
                <w:sz w:val="15"/>
                <w:szCs w:val="15"/>
                <w:highlight w:val="none"/>
              </w:rPr>
            </w:pPr>
            <w:r>
              <w:rPr>
                <w:rFonts w:hint="eastAsia" w:cs="宋体"/>
                <w:color w:val="000000"/>
                <w:sz w:val="15"/>
                <w:szCs w:val="15"/>
                <w:highlight w:val="none"/>
              </w:rPr>
              <w:t>300≤Y＜2000</w:t>
            </w:r>
          </w:p>
        </w:tc>
        <w:tc>
          <w:tcPr>
            <w:tcW w:w="1539" w:type="dxa"/>
            <w:tcBorders>
              <w:top w:val="nil"/>
              <w:left w:val="nil"/>
              <w:bottom w:val="single" w:color="auto" w:sz="4" w:space="0"/>
              <w:right w:val="single" w:color="auto" w:sz="8" w:space="0"/>
            </w:tcBorders>
            <w:vAlign w:val="bottom"/>
          </w:tcPr>
          <w:p w14:paraId="6B1DCB84">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69A2B319">
            <w:pPr>
              <w:spacing w:line="240" w:lineRule="auto"/>
              <w:ind w:firstLine="300"/>
              <w:rPr>
                <w:rFonts w:cs="宋体"/>
                <w:color w:val="000000"/>
                <w:sz w:val="15"/>
                <w:szCs w:val="15"/>
                <w:highlight w:val="none"/>
              </w:rPr>
            </w:pPr>
            <w:r>
              <w:rPr>
                <w:rFonts w:hint="eastAsia" w:cs="宋体"/>
                <w:color w:val="000000"/>
                <w:sz w:val="15"/>
                <w:szCs w:val="15"/>
                <w:highlight w:val="none"/>
              </w:rPr>
              <w:t>X＜20</w:t>
            </w:r>
          </w:p>
        </w:tc>
        <w:tc>
          <w:tcPr>
            <w:tcW w:w="1259" w:type="dxa"/>
            <w:tcBorders>
              <w:top w:val="nil"/>
              <w:left w:val="nil"/>
              <w:bottom w:val="single" w:color="auto" w:sz="4" w:space="0"/>
              <w:right w:val="single" w:color="auto" w:sz="4" w:space="0"/>
            </w:tcBorders>
            <w:vAlign w:val="bottom"/>
          </w:tcPr>
          <w:p w14:paraId="05E5CDE6">
            <w:pPr>
              <w:spacing w:line="240" w:lineRule="auto"/>
              <w:ind w:firstLine="300"/>
              <w:rPr>
                <w:rFonts w:cs="宋体"/>
                <w:color w:val="000000"/>
                <w:sz w:val="15"/>
                <w:szCs w:val="15"/>
                <w:highlight w:val="none"/>
              </w:rPr>
            </w:pPr>
            <w:r>
              <w:rPr>
                <w:rFonts w:hint="eastAsia" w:cs="宋体"/>
                <w:color w:val="000000"/>
                <w:sz w:val="15"/>
                <w:szCs w:val="15"/>
                <w:highlight w:val="none"/>
              </w:rPr>
              <w:t>Y＜300</w:t>
            </w:r>
          </w:p>
        </w:tc>
        <w:tc>
          <w:tcPr>
            <w:tcW w:w="1303" w:type="dxa"/>
            <w:gridSpan w:val="2"/>
            <w:tcBorders>
              <w:top w:val="nil"/>
              <w:left w:val="nil"/>
              <w:bottom w:val="single" w:color="auto" w:sz="4" w:space="0"/>
              <w:right w:val="single" w:color="auto" w:sz="8" w:space="0"/>
            </w:tcBorders>
            <w:vAlign w:val="bottom"/>
          </w:tcPr>
          <w:p w14:paraId="7A8DF16C">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297F54D0">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8958184">
            <w:pPr>
              <w:spacing w:line="240" w:lineRule="auto"/>
              <w:ind w:firstLine="300"/>
              <w:rPr>
                <w:rFonts w:cs="宋体"/>
                <w:color w:val="000000"/>
                <w:sz w:val="15"/>
                <w:szCs w:val="15"/>
                <w:highlight w:val="none"/>
              </w:rPr>
            </w:pPr>
            <w:r>
              <w:rPr>
                <w:rFonts w:hint="eastAsia" w:cs="宋体"/>
                <w:color w:val="000000"/>
                <w:sz w:val="15"/>
                <w:szCs w:val="15"/>
                <w:highlight w:val="none"/>
              </w:rPr>
              <w:t xml:space="preserve"> 3、建筑业</w:t>
            </w:r>
          </w:p>
        </w:tc>
        <w:tc>
          <w:tcPr>
            <w:tcW w:w="1440" w:type="dxa"/>
            <w:tcBorders>
              <w:top w:val="nil"/>
              <w:left w:val="nil"/>
              <w:bottom w:val="single" w:color="auto" w:sz="4" w:space="0"/>
              <w:right w:val="single" w:color="auto" w:sz="4" w:space="0"/>
            </w:tcBorders>
            <w:vAlign w:val="bottom"/>
          </w:tcPr>
          <w:p w14:paraId="7D4FE188">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696" w:type="dxa"/>
            <w:tcBorders>
              <w:top w:val="nil"/>
              <w:left w:val="nil"/>
              <w:bottom w:val="single" w:color="auto" w:sz="4" w:space="0"/>
              <w:right w:val="single" w:color="auto" w:sz="4" w:space="0"/>
            </w:tcBorders>
            <w:vAlign w:val="bottom"/>
          </w:tcPr>
          <w:p w14:paraId="6DA3FFE8">
            <w:pPr>
              <w:spacing w:line="240" w:lineRule="auto"/>
              <w:ind w:firstLine="300"/>
              <w:rPr>
                <w:rFonts w:cs="宋体"/>
                <w:color w:val="000000"/>
                <w:sz w:val="15"/>
                <w:szCs w:val="15"/>
                <w:highlight w:val="none"/>
              </w:rPr>
            </w:pPr>
            <w:r>
              <w:rPr>
                <w:rFonts w:hint="eastAsia" w:cs="宋体"/>
                <w:color w:val="000000"/>
                <w:sz w:val="15"/>
                <w:szCs w:val="15"/>
                <w:highlight w:val="none"/>
              </w:rPr>
              <w:t>6000≤Y＜80000</w:t>
            </w:r>
          </w:p>
        </w:tc>
        <w:tc>
          <w:tcPr>
            <w:tcW w:w="1609" w:type="dxa"/>
            <w:tcBorders>
              <w:top w:val="nil"/>
              <w:left w:val="nil"/>
              <w:bottom w:val="single" w:color="auto" w:sz="4" w:space="0"/>
              <w:right w:val="single" w:color="auto" w:sz="8" w:space="0"/>
            </w:tcBorders>
            <w:vAlign w:val="bottom"/>
          </w:tcPr>
          <w:p w14:paraId="235A3A89">
            <w:pPr>
              <w:spacing w:line="240" w:lineRule="auto"/>
              <w:ind w:firstLine="300"/>
              <w:rPr>
                <w:rFonts w:cs="宋体"/>
                <w:color w:val="000000"/>
                <w:sz w:val="15"/>
                <w:szCs w:val="15"/>
                <w:highlight w:val="none"/>
              </w:rPr>
            </w:pPr>
            <w:r>
              <w:rPr>
                <w:rFonts w:hint="eastAsia" w:cs="宋体"/>
                <w:color w:val="000000"/>
                <w:sz w:val="15"/>
                <w:szCs w:val="15"/>
                <w:highlight w:val="none"/>
              </w:rPr>
              <w:t>5000≤Z＜80000</w:t>
            </w:r>
          </w:p>
        </w:tc>
        <w:tc>
          <w:tcPr>
            <w:tcW w:w="1193" w:type="dxa"/>
            <w:tcBorders>
              <w:top w:val="nil"/>
              <w:left w:val="nil"/>
              <w:bottom w:val="single" w:color="auto" w:sz="4" w:space="0"/>
              <w:right w:val="single" w:color="auto" w:sz="4" w:space="0"/>
            </w:tcBorders>
            <w:vAlign w:val="bottom"/>
          </w:tcPr>
          <w:p w14:paraId="2C4BB923">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501" w:type="dxa"/>
            <w:tcBorders>
              <w:top w:val="nil"/>
              <w:left w:val="nil"/>
              <w:bottom w:val="single" w:color="auto" w:sz="4" w:space="0"/>
              <w:right w:val="single" w:color="auto" w:sz="4" w:space="0"/>
            </w:tcBorders>
            <w:vAlign w:val="bottom"/>
          </w:tcPr>
          <w:p w14:paraId="6AEC9288">
            <w:pPr>
              <w:spacing w:line="240" w:lineRule="auto"/>
              <w:ind w:firstLine="300"/>
              <w:rPr>
                <w:rFonts w:cs="宋体"/>
                <w:color w:val="000000"/>
                <w:sz w:val="15"/>
                <w:szCs w:val="15"/>
                <w:highlight w:val="none"/>
              </w:rPr>
            </w:pPr>
            <w:r>
              <w:rPr>
                <w:rFonts w:hint="eastAsia" w:cs="宋体"/>
                <w:color w:val="000000"/>
                <w:sz w:val="15"/>
                <w:szCs w:val="15"/>
                <w:highlight w:val="none"/>
              </w:rPr>
              <w:t>300≤Y＜6000</w:t>
            </w:r>
          </w:p>
        </w:tc>
        <w:tc>
          <w:tcPr>
            <w:tcW w:w="1539" w:type="dxa"/>
            <w:tcBorders>
              <w:top w:val="nil"/>
              <w:left w:val="nil"/>
              <w:bottom w:val="single" w:color="auto" w:sz="4" w:space="0"/>
              <w:right w:val="single" w:color="auto" w:sz="8" w:space="0"/>
            </w:tcBorders>
            <w:vAlign w:val="bottom"/>
          </w:tcPr>
          <w:p w14:paraId="05BC0669">
            <w:pPr>
              <w:spacing w:line="240" w:lineRule="auto"/>
              <w:ind w:firstLine="300"/>
              <w:rPr>
                <w:rFonts w:cs="宋体"/>
                <w:color w:val="000000"/>
                <w:sz w:val="15"/>
                <w:szCs w:val="15"/>
                <w:highlight w:val="none"/>
              </w:rPr>
            </w:pPr>
            <w:r>
              <w:rPr>
                <w:rFonts w:hint="eastAsia" w:cs="宋体"/>
                <w:color w:val="000000"/>
                <w:sz w:val="15"/>
                <w:szCs w:val="15"/>
                <w:highlight w:val="none"/>
              </w:rPr>
              <w:t xml:space="preserve"> 300≤Z＜5000</w:t>
            </w:r>
          </w:p>
        </w:tc>
        <w:tc>
          <w:tcPr>
            <w:tcW w:w="1268" w:type="dxa"/>
            <w:tcBorders>
              <w:top w:val="nil"/>
              <w:left w:val="nil"/>
              <w:bottom w:val="single" w:color="auto" w:sz="4" w:space="0"/>
              <w:right w:val="single" w:color="auto" w:sz="4" w:space="0"/>
            </w:tcBorders>
            <w:vAlign w:val="bottom"/>
          </w:tcPr>
          <w:p w14:paraId="1E900371">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59" w:type="dxa"/>
            <w:tcBorders>
              <w:top w:val="nil"/>
              <w:left w:val="nil"/>
              <w:bottom w:val="single" w:color="auto" w:sz="4" w:space="0"/>
              <w:right w:val="single" w:color="auto" w:sz="4" w:space="0"/>
            </w:tcBorders>
            <w:vAlign w:val="bottom"/>
          </w:tcPr>
          <w:p w14:paraId="5E13C10F">
            <w:pPr>
              <w:spacing w:line="240" w:lineRule="auto"/>
              <w:ind w:firstLine="300"/>
              <w:rPr>
                <w:rFonts w:cs="宋体"/>
                <w:color w:val="000000"/>
                <w:sz w:val="15"/>
                <w:szCs w:val="15"/>
                <w:highlight w:val="none"/>
              </w:rPr>
            </w:pPr>
            <w:r>
              <w:rPr>
                <w:rFonts w:hint="eastAsia" w:cs="宋体"/>
                <w:color w:val="000000"/>
                <w:sz w:val="15"/>
                <w:szCs w:val="15"/>
                <w:highlight w:val="none"/>
              </w:rPr>
              <w:t>Y＜300</w:t>
            </w:r>
          </w:p>
        </w:tc>
        <w:tc>
          <w:tcPr>
            <w:tcW w:w="1303" w:type="dxa"/>
            <w:gridSpan w:val="2"/>
            <w:tcBorders>
              <w:top w:val="nil"/>
              <w:left w:val="nil"/>
              <w:bottom w:val="single" w:color="auto" w:sz="4" w:space="0"/>
              <w:right w:val="single" w:color="auto" w:sz="8" w:space="0"/>
            </w:tcBorders>
            <w:vAlign w:val="bottom"/>
          </w:tcPr>
          <w:p w14:paraId="27BE8C6D">
            <w:pPr>
              <w:spacing w:line="240" w:lineRule="auto"/>
              <w:ind w:firstLine="300"/>
              <w:rPr>
                <w:rFonts w:cs="宋体"/>
                <w:color w:val="000000"/>
                <w:sz w:val="15"/>
                <w:szCs w:val="15"/>
                <w:highlight w:val="none"/>
              </w:rPr>
            </w:pPr>
            <w:r>
              <w:rPr>
                <w:rFonts w:hint="eastAsia" w:cs="宋体"/>
                <w:color w:val="000000"/>
                <w:sz w:val="15"/>
                <w:szCs w:val="15"/>
                <w:highlight w:val="none"/>
              </w:rPr>
              <w:t>Z＜300</w:t>
            </w:r>
          </w:p>
        </w:tc>
      </w:tr>
      <w:tr w14:paraId="43AE68D5">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8FC2222">
            <w:pPr>
              <w:spacing w:line="240" w:lineRule="auto"/>
              <w:ind w:firstLine="300"/>
              <w:rPr>
                <w:rFonts w:cs="宋体"/>
                <w:color w:val="000000"/>
                <w:sz w:val="15"/>
                <w:szCs w:val="15"/>
                <w:highlight w:val="none"/>
              </w:rPr>
            </w:pPr>
            <w:r>
              <w:rPr>
                <w:rFonts w:hint="eastAsia" w:cs="宋体"/>
                <w:color w:val="000000"/>
                <w:sz w:val="15"/>
                <w:szCs w:val="15"/>
                <w:highlight w:val="none"/>
              </w:rPr>
              <w:t xml:space="preserve"> 4、批发业</w:t>
            </w:r>
          </w:p>
        </w:tc>
        <w:tc>
          <w:tcPr>
            <w:tcW w:w="1440" w:type="dxa"/>
            <w:tcBorders>
              <w:top w:val="nil"/>
              <w:left w:val="nil"/>
              <w:bottom w:val="single" w:color="auto" w:sz="4" w:space="0"/>
              <w:right w:val="single" w:color="auto" w:sz="4" w:space="0"/>
            </w:tcBorders>
            <w:vAlign w:val="bottom"/>
          </w:tcPr>
          <w:p w14:paraId="2B0009F9">
            <w:pPr>
              <w:spacing w:line="240" w:lineRule="auto"/>
              <w:ind w:firstLine="300"/>
              <w:rPr>
                <w:rFonts w:cs="宋体"/>
                <w:color w:val="000000"/>
                <w:sz w:val="15"/>
                <w:szCs w:val="15"/>
                <w:highlight w:val="none"/>
              </w:rPr>
            </w:pPr>
            <w:r>
              <w:rPr>
                <w:rFonts w:hint="eastAsia" w:cs="宋体"/>
                <w:color w:val="000000"/>
                <w:sz w:val="15"/>
                <w:szCs w:val="15"/>
                <w:highlight w:val="none"/>
              </w:rPr>
              <w:t xml:space="preserve"> 20≤X＜200</w:t>
            </w:r>
          </w:p>
        </w:tc>
        <w:tc>
          <w:tcPr>
            <w:tcW w:w="1696" w:type="dxa"/>
            <w:tcBorders>
              <w:top w:val="nil"/>
              <w:left w:val="nil"/>
              <w:bottom w:val="single" w:color="auto" w:sz="4" w:space="0"/>
              <w:right w:val="single" w:color="auto" w:sz="4" w:space="0"/>
            </w:tcBorders>
            <w:vAlign w:val="bottom"/>
          </w:tcPr>
          <w:p w14:paraId="682AB3B7">
            <w:pPr>
              <w:spacing w:line="240" w:lineRule="auto"/>
              <w:ind w:firstLine="300"/>
              <w:rPr>
                <w:rFonts w:cs="宋体"/>
                <w:color w:val="000000"/>
                <w:sz w:val="15"/>
                <w:szCs w:val="15"/>
                <w:highlight w:val="none"/>
              </w:rPr>
            </w:pPr>
            <w:r>
              <w:rPr>
                <w:rFonts w:hint="eastAsia" w:cs="宋体"/>
                <w:color w:val="000000"/>
                <w:sz w:val="15"/>
                <w:szCs w:val="15"/>
                <w:highlight w:val="none"/>
              </w:rPr>
              <w:t>5000≤Y＜40000</w:t>
            </w:r>
          </w:p>
        </w:tc>
        <w:tc>
          <w:tcPr>
            <w:tcW w:w="1609" w:type="dxa"/>
            <w:tcBorders>
              <w:top w:val="nil"/>
              <w:left w:val="nil"/>
              <w:bottom w:val="single" w:color="auto" w:sz="4" w:space="0"/>
              <w:right w:val="single" w:color="auto" w:sz="8" w:space="0"/>
            </w:tcBorders>
            <w:vAlign w:val="bottom"/>
          </w:tcPr>
          <w:p w14:paraId="1E6B4DE0">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2FE7BD6A">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5≤X＜20</w:t>
            </w:r>
          </w:p>
        </w:tc>
        <w:tc>
          <w:tcPr>
            <w:tcW w:w="1501" w:type="dxa"/>
            <w:tcBorders>
              <w:top w:val="nil"/>
              <w:left w:val="nil"/>
              <w:bottom w:val="single" w:color="auto" w:sz="4" w:space="0"/>
              <w:right w:val="single" w:color="auto" w:sz="4" w:space="0"/>
            </w:tcBorders>
            <w:vAlign w:val="bottom"/>
          </w:tcPr>
          <w:p w14:paraId="4A818E3A">
            <w:pPr>
              <w:spacing w:line="240" w:lineRule="auto"/>
              <w:ind w:firstLine="300"/>
              <w:rPr>
                <w:rFonts w:cs="宋体"/>
                <w:color w:val="000000"/>
                <w:sz w:val="15"/>
                <w:szCs w:val="15"/>
                <w:highlight w:val="none"/>
              </w:rPr>
            </w:pPr>
            <w:r>
              <w:rPr>
                <w:rFonts w:hint="eastAsia" w:cs="宋体"/>
                <w:color w:val="000000"/>
                <w:sz w:val="15"/>
                <w:szCs w:val="15"/>
                <w:highlight w:val="none"/>
              </w:rPr>
              <w:t>1000≤Y＜5000</w:t>
            </w:r>
          </w:p>
        </w:tc>
        <w:tc>
          <w:tcPr>
            <w:tcW w:w="1539" w:type="dxa"/>
            <w:tcBorders>
              <w:top w:val="nil"/>
              <w:left w:val="nil"/>
              <w:bottom w:val="single" w:color="auto" w:sz="4" w:space="0"/>
              <w:right w:val="single" w:color="auto" w:sz="8" w:space="0"/>
            </w:tcBorders>
            <w:vAlign w:val="bottom"/>
          </w:tcPr>
          <w:p w14:paraId="47CC737D">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4820F129">
            <w:pPr>
              <w:spacing w:line="240" w:lineRule="auto"/>
              <w:ind w:firstLine="300"/>
              <w:rPr>
                <w:rFonts w:cs="宋体"/>
                <w:color w:val="000000"/>
                <w:sz w:val="15"/>
                <w:szCs w:val="15"/>
                <w:highlight w:val="none"/>
              </w:rPr>
            </w:pPr>
            <w:r>
              <w:rPr>
                <w:rFonts w:hint="eastAsia" w:cs="宋体"/>
                <w:color w:val="000000"/>
                <w:sz w:val="15"/>
                <w:szCs w:val="15"/>
                <w:highlight w:val="none"/>
              </w:rPr>
              <w:t>X＜5</w:t>
            </w:r>
          </w:p>
        </w:tc>
        <w:tc>
          <w:tcPr>
            <w:tcW w:w="1259" w:type="dxa"/>
            <w:tcBorders>
              <w:top w:val="nil"/>
              <w:left w:val="nil"/>
              <w:bottom w:val="single" w:color="auto" w:sz="4" w:space="0"/>
              <w:right w:val="single" w:color="auto" w:sz="4" w:space="0"/>
            </w:tcBorders>
            <w:vAlign w:val="bottom"/>
          </w:tcPr>
          <w:p w14:paraId="15F2DC3A">
            <w:pPr>
              <w:spacing w:line="240" w:lineRule="auto"/>
              <w:ind w:firstLine="300"/>
              <w:rPr>
                <w:rFonts w:cs="宋体"/>
                <w:color w:val="000000"/>
                <w:sz w:val="15"/>
                <w:szCs w:val="15"/>
                <w:highlight w:val="none"/>
              </w:rPr>
            </w:pPr>
            <w:r>
              <w:rPr>
                <w:rFonts w:hint="eastAsia" w:cs="宋体"/>
                <w:color w:val="000000"/>
                <w:sz w:val="15"/>
                <w:szCs w:val="15"/>
                <w:highlight w:val="none"/>
              </w:rPr>
              <w:t>Y＜1000</w:t>
            </w:r>
          </w:p>
        </w:tc>
        <w:tc>
          <w:tcPr>
            <w:tcW w:w="1303" w:type="dxa"/>
            <w:gridSpan w:val="2"/>
            <w:tcBorders>
              <w:top w:val="nil"/>
              <w:left w:val="nil"/>
              <w:bottom w:val="single" w:color="auto" w:sz="4" w:space="0"/>
              <w:right w:val="single" w:color="auto" w:sz="8" w:space="0"/>
            </w:tcBorders>
            <w:vAlign w:val="bottom"/>
          </w:tcPr>
          <w:p w14:paraId="0BF567A8">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35E0F2CB">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5E6384C">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5、零售业</w:t>
            </w:r>
          </w:p>
        </w:tc>
        <w:tc>
          <w:tcPr>
            <w:tcW w:w="1440" w:type="dxa"/>
            <w:tcBorders>
              <w:top w:val="nil"/>
              <w:left w:val="nil"/>
              <w:bottom w:val="single" w:color="auto" w:sz="4" w:space="0"/>
              <w:right w:val="single" w:color="auto" w:sz="4" w:space="0"/>
            </w:tcBorders>
            <w:vAlign w:val="bottom"/>
          </w:tcPr>
          <w:p w14:paraId="37DEAE8E">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50≤X＜300</w:t>
            </w:r>
          </w:p>
        </w:tc>
        <w:tc>
          <w:tcPr>
            <w:tcW w:w="1696" w:type="dxa"/>
            <w:tcBorders>
              <w:top w:val="nil"/>
              <w:left w:val="nil"/>
              <w:bottom w:val="single" w:color="auto" w:sz="4" w:space="0"/>
              <w:right w:val="single" w:color="auto" w:sz="4" w:space="0"/>
            </w:tcBorders>
            <w:vAlign w:val="bottom"/>
          </w:tcPr>
          <w:p w14:paraId="4A66468D">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500≤Y＜20000</w:t>
            </w:r>
          </w:p>
        </w:tc>
        <w:tc>
          <w:tcPr>
            <w:tcW w:w="1609" w:type="dxa"/>
            <w:tcBorders>
              <w:top w:val="nil"/>
              <w:left w:val="nil"/>
              <w:bottom w:val="single" w:color="auto" w:sz="4" w:space="0"/>
              <w:right w:val="single" w:color="auto" w:sz="8" w:space="0"/>
            </w:tcBorders>
            <w:vAlign w:val="bottom"/>
          </w:tcPr>
          <w:p w14:paraId="66F10C3B">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32238E3B">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10≤X＜50</w:t>
            </w:r>
          </w:p>
        </w:tc>
        <w:tc>
          <w:tcPr>
            <w:tcW w:w="1501" w:type="dxa"/>
            <w:tcBorders>
              <w:top w:val="nil"/>
              <w:left w:val="nil"/>
              <w:bottom w:val="single" w:color="auto" w:sz="4" w:space="0"/>
              <w:right w:val="single" w:color="auto" w:sz="4" w:space="0"/>
            </w:tcBorders>
            <w:vAlign w:val="bottom"/>
          </w:tcPr>
          <w:p w14:paraId="03511FCD">
            <w:pPr>
              <w:spacing w:line="240" w:lineRule="auto"/>
              <w:ind w:firstLine="300"/>
              <w:rPr>
                <w:rFonts w:cs="宋体"/>
                <w:color w:val="000000"/>
                <w:sz w:val="15"/>
                <w:szCs w:val="15"/>
                <w:highlight w:val="none"/>
              </w:rPr>
            </w:pPr>
            <w:r>
              <w:rPr>
                <w:rFonts w:hint="eastAsia" w:cs="宋体"/>
                <w:color w:val="000000"/>
                <w:sz w:val="15"/>
                <w:szCs w:val="15"/>
                <w:highlight w:val="none"/>
              </w:rPr>
              <w:t>100≤Y＜500</w:t>
            </w:r>
          </w:p>
        </w:tc>
        <w:tc>
          <w:tcPr>
            <w:tcW w:w="1539" w:type="dxa"/>
            <w:tcBorders>
              <w:top w:val="nil"/>
              <w:left w:val="nil"/>
              <w:bottom w:val="single" w:color="auto" w:sz="4" w:space="0"/>
              <w:right w:val="single" w:color="auto" w:sz="8" w:space="0"/>
            </w:tcBorders>
            <w:vAlign w:val="bottom"/>
          </w:tcPr>
          <w:p w14:paraId="6AC47223">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186A3E97">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44B03D55">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40B5C6CA">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229212C3">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22B71453">
            <w:pPr>
              <w:spacing w:line="240" w:lineRule="auto"/>
              <w:ind w:firstLine="300"/>
              <w:rPr>
                <w:rFonts w:cs="宋体"/>
                <w:color w:val="000000"/>
                <w:sz w:val="15"/>
                <w:szCs w:val="15"/>
                <w:highlight w:val="none"/>
              </w:rPr>
            </w:pPr>
            <w:r>
              <w:rPr>
                <w:rFonts w:hint="eastAsia" w:cs="宋体"/>
                <w:color w:val="000000"/>
                <w:sz w:val="15"/>
                <w:szCs w:val="15"/>
                <w:highlight w:val="none"/>
              </w:rPr>
              <w:t xml:space="preserve"> 6、交通运输业</w:t>
            </w:r>
          </w:p>
        </w:tc>
        <w:tc>
          <w:tcPr>
            <w:tcW w:w="1440" w:type="dxa"/>
            <w:tcBorders>
              <w:top w:val="nil"/>
              <w:left w:val="nil"/>
              <w:bottom w:val="single" w:color="auto" w:sz="4" w:space="0"/>
              <w:right w:val="single" w:color="auto" w:sz="4" w:space="0"/>
            </w:tcBorders>
            <w:vAlign w:val="bottom"/>
          </w:tcPr>
          <w:p w14:paraId="7AE3D6BA">
            <w:pPr>
              <w:spacing w:line="240" w:lineRule="auto"/>
              <w:ind w:firstLine="300"/>
              <w:rPr>
                <w:rFonts w:cs="宋体"/>
                <w:color w:val="000000"/>
                <w:sz w:val="15"/>
                <w:szCs w:val="15"/>
                <w:highlight w:val="none"/>
              </w:rPr>
            </w:pPr>
            <w:r>
              <w:rPr>
                <w:rFonts w:hint="eastAsia" w:cs="宋体"/>
                <w:color w:val="000000"/>
                <w:sz w:val="15"/>
                <w:szCs w:val="15"/>
                <w:highlight w:val="none"/>
              </w:rPr>
              <w:t>300≤X＜1000</w:t>
            </w:r>
          </w:p>
        </w:tc>
        <w:tc>
          <w:tcPr>
            <w:tcW w:w="1696" w:type="dxa"/>
            <w:tcBorders>
              <w:top w:val="nil"/>
              <w:left w:val="nil"/>
              <w:bottom w:val="single" w:color="auto" w:sz="4" w:space="0"/>
              <w:right w:val="single" w:color="auto" w:sz="4" w:space="0"/>
            </w:tcBorders>
            <w:vAlign w:val="bottom"/>
          </w:tcPr>
          <w:p w14:paraId="08870BD1">
            <w:pPr>
              <w:spacing w:line="240" w:lineRule="auto"/>
              <w:ind w:firstLine="300"/>
              <w:rPr>
                <w:rFonts w:cs="宋体"/>
                <w:color w:val="000000"/>
                <w:sz w:val="15"/>
                <w:szCs w:val="15"/>
                <w:highlight w:val="none"/>
              </w:rPr>
            </w:pPr>
            <w:r>
              <w:rPr>
                <w:rFonts w:hint="eastAsia" w:cs="宋体"/>
                <w:color w:val="000000"/>
                <w:sz w:val="15"/>
                <w:szCs w:val="15"/>
                <w:highlight w:val="none"/>
              </w:rPr>
              <w:t>3000≤Y＜30000</w:t>
            </w:r>
          </w:p>
        </w:tc>
        <w:tc>
          <w:tcPr>
            <w:tcW w:w="1609" w:type="dxa"/>
            <w:tcBorders>
              <w:top w:val="nil"/>
              <w:left w:val="nil"/>
              <w:bottom w:val="single" w:color="auto" w:sz="4" w:space="0"/>
              <w:right w:val="single" w:color="auto" w:sz="8" w:space="0"/>
            </w:tcBorders>
            <w:vAlign w:val="bottom"/>
          </w:tcPr>
          <w:p w14:paraId="0BF3ECB7">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5EECF099">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20≤X＜300</w:t>
            </w:r>
          </w:p>
        </w:tc>
        <w:tc>
          <w:tcPr>
            <w:tcW w:w="1501" w:type="dxa"/>
            <w:tcBorders>
              <w:top w:val="nil"/>
              <w:left w:val="nil"/>
              <w:bottom w:val="single" w:color="auto" w:sz="4" w:space="0"/>
              <w:right w:val="single" w:color="auto" w:sz="4" w:space="0"/>
            </w:tcBorders>
            <w:vAlign w:val="bottom"/>
          </w:tcPr>
          <w:p w14:paraId="1D552702">
            <w:pPr>
              <w:spacing w:line="240" w:lineRule="auto"/>
              <w:ind w:firstLine="300"/>
              <w:rPr>
                <w:rFonts w:cs="宋体"/>
                <w:color w:val="000000"/>
                <w:sz w:val="15"/>
                <w:szCs w:val="15"/>
                <w:highlight w:val="none"/>
              </w:rPr>
            </w:pPr>
            <w:r>
              <w:rPr>
                <w:rFonts w:hint="eastAsia" w:cs="宋体"/>
                <w:color w:val="000000"/>
                <w:sz w:val="15"/>
                <w:szCs w:val="15"/>
                <w:highlight w:val="none"/>
              </w:rPr>
              <w:t>200≤Y＜3000</w:t>
            </w:r>
          </w:p>
        </w:tc>
        <w:tc>
          <w:tcPr>
            <w:tcW w:w="1539" w:type="dxa"/>
            <w:tcBorders>
              <w:top w:val="nil"/>
              <w:left w:val="nil"/>
              <w:bottom w:val="single" w:color="auto" w:sz="4" w:space="0"/>
              <w:right w:val="single" w:color="auto" w:sz="8" w:space="0"/>
            </w:tcBorders>
            <w:vAlign w:val="bottom"/>
          </w:tcPr>
          <w:p w14:paraId="6FBB2457">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062EAD87">
            <w:pPr>
              <w:spacing w:line="240" w:lineRule="auto"/>
              <w:ind w:firstLine="300"/>
              <w:rPr>
                <w:rFonts w:cs="宋体"/>
                <w:color w:val="000000"/>
                <w:sz w:val="15"/>
                <w:szCs w:val="15"/>
                <w:highlight w:val="none"/>
              </w:rPr>
            </w:pPr>
            <w:r>
              <w:rPr>
                <w:rFonts w:hint="eastAsia" w:cs="宋体"/>
                <w:color w:val="000000"/>
                <w:sz w:val="15"/>
                <w:szCs w:val="15"/>
                <w:highlight w:val="none"/>
              </w:rPr>
              <w:t>X＜20</w:t>
            </w:r>
          </w:p>
        </w:tc>
        <w:tc>
          <w:tcPr>
            <w:tcW w:w="1259" w:type="dxa"/>
            <w:tcBorders>
              <w:top w:val="nil"/>
              <w:left w:val="nil"/>
              <w:bottom w:val="single" w:color="auto" w:sz="4" w:space="0"/>
              <w:right w:val="single" w:color="auto" w:sz="4" w:space="0"/>
            </w:tcBorders>
            <w:vAlign w:val="bottom"/>
          </w:tcPr>
          <w:p w14:paraId="66CB1A5F">
            <w:pPr>
              <w:spacing w:line="240" w:lineRule="auto"/>
              <w:ind w:firstLine="300"/>
              <w:rPr>
                <w:rFonts w:cs="宋体"/>
                <w:color w:val="000000"/>
                <w:sz w:val="15"/>
                <w:szCs w:val="15"/>
                <w:highlight w:val="none"/>
              </w:rPr>
            </w:pPr>
            <w:r>
              <w:rPr>
                <w:rFonts w:hint="eastAsia" w:cs="宋体"/>
                <w:color w:val="000000"/>
                <w:sz w:val="15"/>
                <w:szCs w:val="15"/>
                <w:highlight w:val="none"/>
              </w:rPr>
              <w:t>V＜200</w:t>
            </w:r>
          </w:p>
        </w:tc>
        <w:tc>
          <w:tcPr>
            <w:tcW w:w="1303" w:type="dxa"/>
            <w:gridSpan w:val="2"/>
            <w:tcBorders>
              <w:top w:val="nil"/>
              <w:left w:val="nil"/>
              <w:bottom w:val="single" w:color="auto" w:sz="4" w:space="0"/>
              <w:right w:val="single" w:color="auto" w:sz="8" w:space="0"/>
            </w:tcBorders>
            <w:vAlign w:val="bottom"/>
          </w:tcPr>
          <w:p w14:paraId="653CA538">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6FDA055F">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FB1307F">
            <w:pPr>
              <w:spacing w:line="240" w:lineRule="auto"/>
              <w:ind w:firstLine="300"/>
              <w:rPr>
                <w:rFonts w:cs="宋体"/>
                <w:color w:val="000000"/>
                <w:sz w:val="15"/>
                <w:szCs w:val="15"/>
                <w:highlight w:val="none"/>
              </w:rPr>
            </w:pPr>
            <w:r>
              <w:rPr>
                <w:rFonts w:hint="eastAsia" w:cs="宋体"/>
                <w:color w:val="000000"/>
                <w:sz w:val="15"/>
                <w:szCs w:val="15"/>
                <w:highlight w:val="none"/>
              </w:rPr>
              <w:t xml:space="preserve"> 7、仓储业</w:t>
            </w:r>
          </w:p>
        </w:tc>
        <w:tc>
          <w:tcPr>
            <w:tcW w:w="1440" w:type="dxa"/>
            <w:tcBorders>
              <w:top w:val="nil"/>
              <w:left w:val="nil"/>
              <w:bottom w:val="single" w:color="auto" w:sz="4" w:space="0"/>
              <w:right w:val="single" w:color="auto" w:sz="4" w:space="0"/>
            </w:tcBorders>
            <w:vAlign w:val="bottom"/>
          </w:tcPr>
          <w:p w14:paraId="32174DD8">
            <w:pPr>
              <w:spacing w:line="240" w:lineRule="auto"/>
              <w:ind w:firstLine="300"/>
              <w:rPr>
                <w:rFonts w:cs="宋体"/>
                <w:color w:val="000000"/>
                <w:sz w:val="15"/>
                <w:szCs w:val="15"/>
                <w:highlight w:val="none"/>
              </w:rPr>
            </w:pPr>
            <w:r>
              <w:rPr>
                <w:rFonts w:hint="eastAsia" w:cs="宋体"/>
                <w:color w:val="000000"/>
                <w:sz w:val="15"/>
                <w:szCs w:val="15"/>
                <w:highlight w:val="none"/>
              </w:rPr>
              <w:t>100≤X＜200</w:t>
            </w:r>
          </w:p>
        </w:tc>
        <w:tc>
          <w:tcPr>
            <w:tcW w:w="1696" w:type="dxa"/>
            <w:tcBorders>
              <w:top w:val="nil"/>
              <w:left w:val="nil"/>
              <w:bottom w:val="single" w:color="auto" w:sz="4" w:space="0"/>
              <w:right w:val="single" w:color="auto" w:sz="4" w:space="0"/>
            </w:tcBorders>
            <w:vAlign w:val="bottom"/>
          </w:tcPr>
          <w:p w14:paraId="7AB49593">
            <w:pPr>
              <w:spacing w:line="240" w:lineRule="auto"/>
              <w:ind w:firstLine="300"/>
              <w:rPr>
                <w:rFonts w:cs="宋体"/>
                <w:color w:val="000000"/>
                <w:sz w:val="15"/>
                <w:szCs w:val="15"/>
                <w:highlight w:val="none"/>
              </w:rPr>
            </w:pPr>
            <w:r>
              <w:rPr>
                <w:rFonts w:hint="eastAsia" w:cs="宋体"/>
                <w:color w:val="000000"/>
                <w:sz w:val="15"/>
                <w:szCs w:val="15"/>
                <w:highlight w:val="none"/>
              </w:rPr>
              <w:t>1000≤Y＜30000</w:t>
            </w:r>
          </w:p>
        </w:tc>
        <w:tc>
          <w:tcPr>
            <w:tcW w:w="1609" w:type="dxa"/>
            <w:tcBorders>
              <w:top w:val="nil"/>
              <w:left w:val="nil"/>
              <w:bottom w:val="single" w:color="auto" w:sz="4" w:space="0"/>
              <w:right w:val="single" w:color="auto" w:sz="8" w:space="0"/>
            </w:tcBorders>
            <w:vAlign w:val="bottom"/>
          </w:tcPr>
          <w:p w14:paraId="7D3559B9">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72FAF2EC">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20≤X＜100</w:t>
            </w:r>
          </w:p>
        </w:tc>
        <w:tc>
          <w:tcPr>
            <w:tcW w:w="1501" w:type="dxa"/>
            <w:tcBorders>
              <w:top w:val="nil"/>
              <w:left w:val="nil"/>
              <w:bottom w:val="single" w:color="auto" w:sz="4" w:space="0"/>
              <w:right w:val="single" w:color="auto" w:sz="4" w:space="0"/>
            </w:tcBorders>
            <w:vAlign w:val="bottom"/>
          </w:tcPr>
          <w:p w14:paraId="7A9FC618">
            <w:pPr>
              <w:spacing w:line="240" w:lineRule="auto"/>
              <w:ind w:firstLine="300"/>
              <w:rPr>
                <w:rFonts w:cs="宋体"/>
                <w:color w:val="000000"/>
                <w:sz w:val="15"/>
                <w:szCs w:val="15"/>
                <w:highlight w:val="none"/>
              </w:rPr>
            </w:pPr>
            <w:r>
              <w:rPr>
                <w:rFonts w:hint="eastAsia" w:cs="宋体"/>
                <w:color w:val="000000"/>
                <w:sz w:val="15"/>
                <w:szCs w:val="15"/>
                <w:highlight w:val="none"/>
              </w:rPr>
              <w:t>100≤Y＜1000</w:t>
            </w:r>
          </w:p>
        </w:tc>
        <w:tc>
          <w:tcPr>
            <w:tcW w:w="1539" w:type="dxa"/>
            <w:tcBorders>
              <w:top w:val="nil"/>
              <w:left w:val="nil"/>
              <w:bottom w:val="single" w:color="auto" w:sz="4" w:space="0"/>
              <w:right w:val="single" w:color="auto" w:sz="8" w:space="0"/>
            </w:tcBorders>
            <w:vAlign w:val="bottom"/>
          </w:tcPr>
          <w:p w14:paraId="68B1074A">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43F0CA14">
            <w:pPr>
              <w:spacing w:line="240" w:lineRule="auto"/>
              <w:ind w:firstLine="300"/>
              <w:rPr>
                <w:rFonts w:cs="宋体"/>
                <w:color w:val="000000"/>
                <w:sz w:val="15"/>
                <w:szCs w:val="15"/>
                <w:highlight w:val="none"/>
              </w:rPr>
            </w:pPr>
            <w:r>
              <w:rPr>
                <w:rFonts w:hint="eastAsia" w:cs="宋体"/>
                <w:color w:val="000000"/>
                <w:sz w:val="15"/>
                <w:szCs w:val="15"/>
                <w:highlight w:val="none"/>
              </w:rPr>
              <w:t>X＜20</w:t>
            </w:r>
          </w:p>
        </w:tc>
        <w:tc>
          <w:tcPr>
            <w:tcW w:w="1259" w:type="dxa"/>
            <w:tcBorders>
              <w:top w:val="nil"/>
              <w:left w:val="nil"/>
              <w:bottom w:val="single" w:color="auto" w:sz="4" w:space="0"/>
              <w:right w:val="single" w:color="auto" w:sz="4" w:space="0"/>
            </w:tcBorders>
            <w:vAlign w:val="bottom"/>
          </w:tcPr>
          <w:p w14:paraId="53040B6A">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638C5DA9">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4F9BC33A">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717F4547">
            <w:pPr>
              <w:spacing w:line="240" w:lineRule="auto"/>
              <w:ind w:firstLine="300"/>
              <w:rPr>
                <w:rFonts w:cs="宋体"/>
                <w:color w:val="000000"/>
                <w:sz w:val="15"/>
                <w:szCs w:val="15"/>
                <w:highlight w:val="none"/>
              </w:rPr>
            </w:pPr>
            <w:r>
              <w:rPr>
                <w:rFonts w:hint="eastAsia" w:cs="宋体"/>
                <w:color w:val="000000"/>
                <w:sz w:val="15"/>
                <w:szCs w:val="15"/>
                <w:highlight w:val="none"/>
              </w:rPr>
              <w:t xml:space="preserve"> 8、邮政业</w:t>
            </w:r>
          </w:p>
        </w:tc>
        <w:tc>
          <w:tcPr>
            <w:tcW w:w="1440" w:type="dxa"/>
            <w:tcBorders>
              <w:top w:val="nil"/>
              <w:left w:val="nil"/>
              <w:bottom w:val="single" w:color="auto" w:sz="4" w:space="0"/>
              <w:right w:val="single" w:color="auto" w:sz="4" w:space="0"/>
            </w:tcBorders>
            <w:vAlign w:val="bottom"/>
          </w:tcPr>
          <w:p w14:paraId="076DDAD7">
            <w:pPr>
              <w:spacing w:line="240" w:lineRule="auto"/>
              <w:ind w:firstLine="300"/>
              <w:rPr>
                <w:rFonts w:cs="宋体"/>
                <w:color w:val="000000"/>
                <w:sz w:val="15"/>
                <w:szCs w:val="15"/>
                <w:highlight w:val="none"/>
              </w:rPr>
            </w:pPr>
            <w:r>
              <w:rPr>
                <w:rFonts w:hint="eastAsia" w:cs="宋体"/>
                <w:color w:val="000000"/>
                <w:sz w:val="15"/>
                <w:szCs w:val="15"/>
                <w:highlight w:val="none"/>
              </w:rPr>
              <w:t>300≤X＜1000</w:t>
            </w:r>
          </w:p>
        </w:tc>
        <w:tc>
          <w:tcPr>
            <w:tcW w:w="1696" w:type="dxa"/>
            <w:tcBorders>
              <w:top w:val="nil"/>
              <w:left w:val="nil"/>
              <w:bottom w:val="single" w:color="auto" w:sz="4" w:space="0"/>
              <w:right w:val="single" w:color="auto" w:sz="4" w:space="0"/>
            </w:tcBorders>
            <w:vAlign w:val="bottom"/>
          </w:tcPr>
          <w:p w14:paraId="710AC592">
            <w:pPr>
              <w:spacing w:line="240" w:lineRule="auto"/>
              <w:ind w:firstLine="300"/>
              <w:rPr>
                <w:rFonts w:cs="宋体"/>
                <w:color w:val="000000"/>
                <w:sz w:val="15"/>
                <w:szCs w:val="15"/>
                <w:highlight w:val="none"/>
              </w:rPr>
            </w:pPr>
            <w:r>
              <w:rPr>
                <w:rFonts w:hint="eastAsia" w:cs="宋体"/>
                <w:color w:val="000000"/>
                <w:sz w:val="15"/>
                <w:szCs w:val="15"/>
                <w:highlight w:val="none"/>
              </w:rPr>
              <w:t>2000≤Y＜30000</w:t>
            </w:r>
          </w:p>
        </w:tc>
        <w:tc>
          <w:tcPr>
            <w:tcW w:w="1609" w:type="dxa"/>
            <w:tcBorders>
              <w:top w:val="nil"/>
              <w:left w:val="nil"/>
              <w:bottom w:val="single" w:color="auto" w:sz="4" w:space="0"/>
              <w:right w:val="single" w:color="auto" w:sz="8" w:space="0"/>
            </w:tcBorders>
            <w:vAlign w:val="bottom"/>
          </w:tcPr>
          <w:p w14:paraId="1AA9FE9B">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1B7248A8">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20≤X＜300</w:t>
            </w:r>
          </w:p>
        </w:tc>
        <w:tc>
          <w:tcPr>
            <w:tcW w:w="1501" w:type="dxa"/>
            <w:tcBorders>
              <w:top w:val="nil"/>
              <w:left w:val="nil"/>
              <w:bottom w:val="single" w:color="auto" w:sz="4" w:space="0"/>
              <w:right w:val="single" w:color="auto" w:sz="4" w:space="0"/>
            </w:tcBorders>
            <w:vAlign w:val="bottom"/>
          </w:tcPr>
          <w:p w14:paraId="3CEBA643">
            <w:pPr>
              <w:spacing w:line="240" w:lineRule="auto"/>
              <w:ind w:firstLine="300"/>
              <w:rPr>
                <w:rFonts w:cs="宋体"/>
                <w:color w:val="000000"/>
                <w:sz w:val="15"/>
                <w:szCs w:val="15"/>
                <w:highlight w:val="none"/>
              </w:rPr>
            </w:pPr>
            <w:r>
              <w:rPr>
                <w:rFonts w:hint="eastAsia" w:cs="宋体"/>
                <w:color w:val="000000"/>
                <w:sz w:val="15"/>
                <w:szCs w:val="15"/>
                <w:highlight w:val="none"/>
              </w:rPr>
              <w:t>100≤Y＜2000</w:t>
            </w:r>
          </w:p>
        </w:tc>
        <w:tc>
          <w:tcPr>
            <w:tcW w:w="1539" w:type="dxa"/>
            <w:tcBorders>
              <w:top w:val="nil"/>
              <w:left w:val="nil"/>
              <w:bottom w:val="single" w:color="auto" w:sz="4" w:space="0"/>
              <w:right w:val="single" w:color="auto" w:sz="8" w:space="0"/>
            </w:tcBorders>
            <w:vAlign w:val="bottom"/>
          </w:tcPr>
          <w:p w14:paraId="313C5200">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64DB9931">
            <w:pPr>
              <w:spacing w:line="240" w:lineRule="auto"/>
              <w:ind w:firstLine="300"/>
              <w:rPr>
                <w:rFonts w:cs="宋体"/>
                <w:color w:val="000000"/>
                <w:sz w:val="15"/>
                <w:szCs w:val="15"/>
                <w:highlight w:val="none"/>
              </w:rPr>
            </w:pPr>
            <w:r>
              <w:rPr>
                <w:rFonts w:hint="eastAsia" w:cs="宋体"/>
                <w:color w:val="000000"/>
                <w:sz w:val="15"/>
                <w:szCs w:val="15"/>
                <w:highlight w:val="none"/>
              </w:rPr>
              <w:t>X＜20</w:t>
            </w:r>
          </w:p>
        </w:tc>
        <w:tc>
          <w:tcPr>
            <w:tcW w:w="1259" w:type="dxa"/>
            <w:tcBorders>
              <w:top w:val="nil"/>
              <w:left w:val="nil"/>
              <w:bottom w:val="single" w:color="auto" w:sz="4" w:space="0"/>
              <w:right w:val="single" w:color="auto" w:sz="4" w:space="0"/>
            </w:tcBorders>
            <w:vAlign w:val="bottom"/>
          </w:tcPr>
          <w:p w14:paraId="1BD0F7B6">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2A57025D">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6CB0F903">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503E9E5A">
            <w:pPr>
              <w:spacing w:line="240" w:lineRule="auto"/>
              <w:ind w:firstLine="300"/>
              <w:rPr>
                <w:rFonts w:cs="宋体"/>
                <w:color w:val="000000"/>
                <w:sz w:val="15"/>
                <w:szCs w:val="15"/>
                <w:highlight w:val="none"/>
              </w:rPr>
            </w:pPr>
            <w:r>
              <w:rPr>
                <w:rFonts w:hint="eastAsia" w:cs="宋体"/>
                <w:color w:val="000000"/>
                <w:sz w:val="15"/>
                <w:szCs w:val="15"/>
                <w:highlight w:val="none"/>
              </w:rPr>
              <w:t xml:space="preserve"> 9、住宿业</w:t>
            </w:r>
          </w:p>
        </w:tc>
        <w:tc>
          <w:tcPr>
            <w:tcW w:w="1440" w:type="dxa"/>
            <w:tcBorders>
              <w:top w:val="nil"/>
              <w:left w:val="nil"/>
              <w:bottom w:val="single" w:color="auto" w:sz="4" w:space="0"/>
              <w:right w:val="single" w:color="auto" w:sz="4" w:space="0"/>
            </w:tcBorders>
            <w:vAlign w:val="bottom"/>
          </w:tcPr>
          <w:p w14:paraId="33B4981B">
            <w:pPr>
              <w:spacing w:line="240" w:lineRule="auto"/>
              <w:ind w:firstLine="300"/>
              <w:rPr>
                <w:rFonts w:cs="宋体"/>
                <w:color w:val="000000"/>
                <w:sz w:val="15"/>
                <w:szCs w:val="15"/>
                <w:highlight w:val="none"/>
              </w:rPr>
            </w:pPr>
            <w:r>
              <w:rPr>
                <w:rFonts w:hint="eastAsia" w:cs="宋体"/>
                <w:color w:val="000000"/>
                <w:sz w:val="15"/>
                <w:szCs w:val="15"/>
                <w:highlight w:val="none"/>
              </w:rPr>
              <w:t>100≤X＜300</w:t>
            </w:r>
          </w:p>
        </w:tc>
        <w:tc>
          <w:tcPr>
            <w:tcW w:w="1696" w:type="dxa"/>
            <w:tcBorders>
              <w:top w:val="nil"/>
              <w:left w:val="nil"/>
              <w:bottom w:val="single" w:color="auto" w:sz="4" w:space="0"/>
              <w:right w:val="single" w:color="auto" w:sz="4" w:space="0"/>
            </w:tcBorders>
            <w:vAlign w:val="bottom"/>
          </w:tcPr>
          <w:p w14:paraId="14DB6740">
            <w:pPr>
              <w:spacing w:line="240" w:lineRule="auto"/>
              <w:ind w:firstLine="300"/>
              <w:rPr>
                <w:rFonts w:cs="宋体"/>
                <w:color w:val="000000"/>
                <w:sz w:val="15"/>
                <w:szCs w:val="15"/>
                <w:highlight w:val="none"/>
              </w:rPr>
            </w:pPr>
            <w:r>
              <w:rPr>
                <w:rFonts w:hint="eastAsia" w:cs="宋体"/>
                <w:color w:val="000000"/>
                <w:sz w:val="15"/>
                <w:szCs w:val="15"/>
                <w:highlight w:val="none"/>
              </w:rPr>
              <w:t>2000≤Y＜10000</w:t>
            </w:r>
          </w:p>
        </w:tc>
        <w:tc>
          <w:tcPr>
            <w:tcW w:w="1609" w:type="dxa"/>
            <w:tcBorders>
              <w:top w:val="nil"/>
              <w:left w:val="nil"/>
              <w:bottom w:val="single" w:color="auto" w:sz="4" w:space="0"/>
              <w:right w:val="single" w:color="auto" w:sz="8" w:space="0"/>
            </w:tcBorders>
            <w:vAlign w:val="bottom"/>
          </w:tcPr>
          <w:p w14:paraId="6DADD523">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39D2BA18">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4" w:space="0"/>
              <w:right w:val="single" w:color="auto" w:sz="4" w:space="0"/>
            </w:tcBorders>
            <w:vAlign w:val="bottom"/>
          </w:tcPr>
          <w:p w14:paraId="6DBB7650">
            <w:pPr>
              <w:spacing w:line="240" w:lineRule="auto"/>
              <w:ind w:firstLine="300"/>
              <w:rPr>
                <w:rFonts w:cs="宋体"/>
                <w:color w:val="000000"/>
                <w:sz w:val="15"/>
                <w:szCs w:val="15"/>
                <w:highlight w:val="none"/>
              </w:rPr>
            </w:pPr>
            <w:r>
              <w:rPr>
                <w:rFonts w:hint="eastAsia" w:cs="宋体"/>
                <w:color w:val="000000"/>
                <w:sz w:val="15"/>
                <w:szCs w:val="15"/>
                <w:highlight w:val="none"/>
              </w:rPr>
              <w:t>100≤Y＜2000</w:t>
            </w:r>
          </w:p>
        </w:tc>
        <w:tc>
          <w:tcPr>
            <w:tcW w:w="1539" w:type="dxa"/>
            <w:tcBorders>
              <w:top w:val="nil"/>
              <w:left w:val="nil"/>
              <w:bottom w:val="single" w:color="auto" w:sz="4" w:space="0"/>
              <w:right w:val="single" w:color="auto" w:sz="8" w:space="0"/>
            </w:tcBorders>
            <w:vAlign w:val="bottom"/>
          </w:tcPr>
          <w:p w14:paraId="45A8DC82">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6A849FB0">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461E7797">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5359AAB8">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64A5AD92">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44A247F1">
            <w:pPr>
              <w:spacing w:line="240" w:lineRule="auto"/>
              <w:ind w:firstLine="300"/>
              <w:rPr>
                <w:rFonts w:cs="宋体"/>
                <w:color w:val="000000"/>
                <w:sz w:val="15"/>
                <w:szCs w:val="15"/>
                <w:highlight w:val="none"/>
              </w:rPr>
            </w:pPr>
            <w:r>
              <w:rPr>
                <w:rFonts w:hint="eastAsia" w:cs="宋体"/>
                <w:color w:val="000000"/>
                <w:sz w:val="15"/>
                <w:szCs w:val="15"/>
                <w:highlight w:val="none"/>
              </w:rPr>
              <w:t>10、餐饮业</w:t>
            </w:r>
          </w:p>
        </w:tc>
        <w:tc>
          <w:tcPr>
            <w:tcW w:w="1440" w:type="dxa"/>
            <w:tcBorders>
              <w:top w:val="nil"/>
              <w:left w:val="nil"/>
              <w:bottom w:val="single" w:color="auto" w:sz="4" w:space="0"/>
              <w:right w:val="single" w:color="auto" w:sz="4" w:space="0"/>
            </w:tcBorders>
            <w:vAlign w:val="bottom"/>
          </w:tcPr>
          <w:p w14:paraId="6FA62D3E">
            <w:pPr>
              <w:spacing w:line="240" w:lineRule="auto"/>
              <w:ind w:firstLine="300"/>
              <w:rPr>
                <w:rFonts w:cs="宋体"/>
                <w:color w:val="000000"/>
                <w:sz w:val="15"/>
                <w:szCs w:val="15"/>
                <w:highlight w:val="none"/>
              </w:rPr>
            </w:pPr>
            <w:r>
              <w:rPr>
                <w:rFonts w:hint="eastAsia" w:cs="宋体"/>
                <w:color w:val="000000"/>
                <w:sz w:val="15"/>
                <w:szCs w:val="15"/>
                <w:highlight w:val="none"/>
              </w:rPr>
              <w:t>100≤X＜300</w:t>
            </w:r>
          </w:p>
        </w:tc>
        <w:tc>
          <w:tcPr>
            <w:tcW w:w="1696" w:type="dxa"/>
            <w:tcBorders>
              <w:top w:val="nil"/>
              <w:left w:val="nil"/>
              <w:bottom w:val="single" w:color="auto" w:sz="4" w:space="0"/>
              <w:right w:val="single" w:color="auto" w:sz="4" w:space="0"/>
            </w:tcBorders>
            <w:vAlign w:val="bottom"/>
          </w:tcPr>
          <w:p w14:paraId="41A920BF">
            <w:pPr>
              <w:spacing w:line="240" w:lineRule="auto"/>
              <w:ind w:firstLine="300"/>
              <w:rPr>
                <w:rFonts w:cs="宋体"/>
                <w:color w:val="000000"/>
                <w:sz w:val="15"/>
                <w:szCs w:val="15"/>
                <w:highlight w:val="none"/>
              </w:rPr>
            </w:pPr>
            <w:r>
              <w:rPr>
                <w:rFonts w:hint="eastAsia" w:cs="宋体"/>
                <w:color w:val="000000"/>
                <w:sz w:val="15"/>
                <w:szCs w:val="15"/>
                <w:highlight w:val="none"/>
              </w:rPr>
              <w:t>2000≤Y＜10000</w:t>
            </w:r>
          </w:p>
        </w:tc>
        <w:tc>
          <w:tcPr>
            <w:tcW w:w="1609" w:type="dxa"/>
            <w:tcBorders>
              <w:top w:val="nil"/>
              <w:left w:val="nil"/>
              <w:bottom w:val="single" w:color="auto" w:sz="4" w:space="0"/>
              <w:right w:val="single" w:color="auto" w:sz="8" w:space="0"/>
            </w:tcBorders>
            <w:vAlign w:val="bottom"/>
          </w:tcPr>
          <w:p w14:paraId="60D15C6F">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02D8C593">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4" w:space="0"/>
              <w:right w:val="single" w:color="auto" w:sz="4" w:space="0"/>
            </w:tcBorders>
            <w:vAlign w:val="bottom"/>
          </w:tcPr>
          <w:p w14:paraId="4068D135">
            <w:pPr>
              <w:spacing w:line="240" w:lineRule="auto"/>
              <w:ind w:firstLine="300"/>
              <w:rPr>
                <w:rFonts w:cs="宋体"/>
                <w:color w:val="000000"/>
                <w:sz w:val="15"/>
                <w:szCs w:val="15"/>
                <w:highlight w:val="none"/>
              </w:rPr>
            </w:pPr>
            <w:r>
              <w:rPr>
                <w:rFonts w:hint="eastAsia" w:cs="宋体"/>
                <w:color w:val="000000"/>
                <w:sz w:val="15"/>
                <w:szCs w:val="15"/>
                <w:highlight w:val="none"/>
              </w:rPr>
              <w:t>100≤Y＜2000</w:t>
            </w:r>
          </w:p>
        </w:tc>
        <w:tc>
          <w:tcPr>
            <w:tcW w:w="1539" w:type="dxa"/>
            <w:tcBorders>
              <w:top w:val="nil"/>
              <w:left w:val="nil"/>
              <w:bottom w:val="single" w:color="auto" w:sz="4" w:space="0"/>
              <w:right w:val="single" w:color="auto" w:sz="8" w:space="0"/>
            </w:tcBorders>
            <w:vAlign w:val="bottom"/>
          </w:tcPr>
          <w:p w14:paraId="5E5D60AB">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4C27CA0B">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11E4F663">
            <w:pPr>
              <w:spacing w:line="240" w:lineRule="auto"/>
              <w:ind w:firstLine="300"/>
              <w:rPr>
                <w:rFonts w:cs="宋体"/>
                <w:color w:val="000000"/>
                <w:sz w:val="15"/>
                <w:szCs w:val="15"/>
                <w:highlight w:val="none"/>
              </w:rPr>
            </w:pPr>
            <w:r>
              <w:rPr>
                <w:rFonts w:hint="eastAsia" w:cs="宋体"/>
                <w:color w:val="000000"/>
                <w:sz w:val="15"/>
                <w:szCs w:val="15"/>
                <w:highlight w:val="none"/>
              </w:rPr>
              <w:t>V＜100</w:t>
            </w:r>
          </w:p>
        </w:tc>
        <w:tc>
          <w:tcPr>
            <w:tcW w:w="1303" w:type="dxa"/>
            <w:gridSpan w:val="2"/>
            <w:tcBorders>
              <w:top w:val="nil"/>
              <w:left w:val="nil"/>
              <w:bottom w:val="single" w:color="auto" w:sz="4" w:space="0"/>
              <w:right w:val="single" w:color="auto" w:sz="8" w:space="0"/>
            </w:tcBorders>
            <w:vAlign w:val="bottom"/>
          </w:tcPr>
          <w:p w14:paraId="301D0664">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4BABEC01">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759D7023">
            <w:pPr>
              <w:spacing w:line="240" w:lineRule="auto"/>
              <w:ind w:firstLine="300"/>
              <w:rPr>
                <w:rFonts w:cs="宋体"/>
                <w:color w:val="000000"/>
                <w:sz w:val="15"/>
                <w:szCs w:val="15"/>
                <w:highlight w:val="none"/>
              </w:rPr>
            </w:pPr>
            <w:r>
              <w:rPr>
                <w:rFonts w:hint="eastAsia" w:cs="宋体"/>
                <w:color w:val="000000"/>
                <w:sz w:val="15"/>
                <w:szCs w:val="15"/>
                <w:highlight w:val="none"/>
              </w:rPr>
              <w:t>11、信息传输业</w:t>
            </w:r>
          </w:p>
        </w:tc>
        <w:tc>
          <w:tcPr>
            <w:tcW w:w="1440" w:type="dxa"/>
            <w:tcBorders>
              <w:top w:val="nil"/>
              <w:left w:val="nil"/>
              <w:bottom w:val="single" w:color="auto" w:sz="4" w:space="0"/>
              <w:right w:val="single" w:color="auto" w:sz="4" w:space="0"/>
            </w:tcBorders>
            <w:vAlign w:val="bottom"/>
          </w:tcPr>
          <w:p w14:paraId="56F9738F">
            <w:pPr>
              <w:spacing w:line="240" w:lineRule="auto"/>
              <w:ind w:firstLine="300"/>
              <w:rPr>
                <w:rFonts w:cs="宋体"/>
                <w:color w:val="000000"/>
                <w:sz w:val="15"/>
                <w:szCs w:val="15"/>
                <w:highlight w:val="none"/>
              </w:rPr>
            </w:pPr>
            <w:r>
              <w:rPr>
                <w:rFonts w:hint="eastAsia" w:cs="宋体"/>
                <w:color w:val="000000"/>
                <w:sz w:val="15"/>
                <w:szCs w:val="15"/>
                <w:highlight w:val="none"/>
              </w:rPr>
              <w:t>100≤X＜2000</w:t>
            </w:r>
          </w:p>
        </w:tc>
        <w:tc>
          <w:tcPr>
            <w:tcW w:w="1696" w:type="dxa"/>
            <w:tcBorders>
              <w:top w:val="nil"/>
              <w:left w:val="nil"/>
              <w:bottom w:val="single" w:color="auto" w:sz="4" w:space="0"/>
              <w:right w:val="single" w:color="auto" w:sz="4" w:space="0"/>
            </w:tcBorders>
            <w:vAlign w:val="bottom"/>
          </w:tcPr>
          <w:p w14:paraId="59D31AAB">
            <w:pPr>
              <w:spacing w:line="240" w:lineRule="auto"/>
              <w:ind w:firstLine="300"/>
              <w:rPr>
                <w:rFonts w:cs="宋体"/>
                <w:color w:val="000000"/>
                <w:sz w:val="15"/>
                <w:szCs w:val="15"/>
                <w:highlight w:val="none"/>
              </w:rPr>
            </w:pPr>
            <w:r>
              <w:rPr>
                <w:rFonts w:hint="eastAsia" w:cs="宋体"/>
                <w:color w:val="000000"/>
                <w:sz w:val="15"/>
                <w:szCs w:val="15"/>
                <w:highlight w:val="none"/>
              </w:rPr>
              <w:t>1000≤Y＜100000</w:t>
            </w:r>
          </w:p>
        </w:tc>
        <w:tc>
          <w:tcPr>
            <w:tcW w:w="1609" w:type="dxa"/>
            <w:tcBorders>
              <w:top w:val="nil"/>
              <w:left w:val="nil"/>
              <w:bottom w:val="single" w:color="auto" w:sz="4" w:space="0"/>
              <w:right w:val="single" w:color="auto" w:sz="8" w:space="0"/>
            </w:tcBorders>
            <w:vAlign w:val="bottom"/>
          </w:tcPr>
          <w:p w14:paraId="0902DE4E">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618DC9B5">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4" w:space="0"/>
              <w:right w:val="single" w:color="auto" w:sz="4" w:space="0"/>
            </w:tcBorders>
            <w:vAlign w:val="bottom"/>
          </w:tcPr>
          <w:p w14:paraId="0035A00C">
            <w:pPr>
              <w:spacing w:line="240" w:lineRule="auto"/>
              <w:ind w:firstLine="300"/>
              <w:rPr>
                <w:rFonts w:cs="宋体"/>
                <w:color w:val="000000"/>
                <w:sz w:val="15"/>
                <w:szCs w:val="15"/>
                <w:highlight w:val="none"/>
              </w:rPr>
            </w:pPr>
            <w:r>
              <w:rPr>
                <w:rFonts w:hint="eastAsia" w:cs="宋体"/>
                <w:color w:val="000000"/>
                <w:sz w:val="15"/>
                <w:szCs w:val="15"/>
                <w:highlight w:val="none"/>
              </w:rPr>
              <w:t>100≤Y＜1000</w:t>
            </w:r>
          </w:p>
        </w:tc>
        <w:tc>
          <w:tcPr>
            <w:tcW w:w="1539" w:type="dxa"/>
            <w:tcBorders>
              <w:top w:val="nil"/>
              <w:left w:val="nil"/>
              <w:bottom w:val="single" w:color="auto" w:sz="4" w:space="0"/>
              <w:right w:val="single" w:color="auto" w:sz="8" w:space="0"/>
            </w:tcBorders>
            <w:vAlign w:val="bottom"/>
          </w:tcPr>
          <w:p w14:paraId="650B3CEE">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5DE1C6EA">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559289C7">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36E8ADBC">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23994E8A">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0C5590F">
            <w:pPr>
              <w:spacing w:line="240" w:lineRule="auto"/>
              <w:ind w:firstLine="300"/>
              <w:rPr>
                <w:rFonts w:cs="宋体"/>
                <w:color w:val="000000"/>
                <w:sz w:val="15"/>
                <w:szCs w:val="15"/>
                <w:highlight w:val="none"/>
              </w:rPr>
            </w:pPr>
            <w:r>
              <w:rPr>
                <w:rFonts w:hint="eastAsia" w:cs="宋体"/>
                <w:color w:val="000000"/>
                <w:sz w:val="15"/>
                <w:szCs w:val="15"/>
                <w:highlight w:val="none"/>
              </w:rPr>
              <w:t>12、软件和信息技术服务业</w:t>
            </w:r>
          </w:p>
        </w:tc>
        <w:tc>
          <w:tcPr>
            <w:tcW w:w="1440" w:type="dxa"/>
            <w:tcBorders>
              <w:top w:val="nil"/>
              <w:left w:val="nil"/>
              <w:bottom w:val="single" w:color="auto" w:sz="4" w:space="0"/>
              <w:right w:val="single" w:color="auto" w:sz="4" w:space="0"/>
            </w:tcBorders>
            <w:vAlign w:val="bottom"/>
          </w:tcPr>
          <w:p w14:paraId="1788D3CF">
            <w:pPr>
              <w:spacing w:line="240" w:lineRule="auto"/>
              <w:ind w:firstLine="300"/>
              <w:rPr>
                <w:rFonts w:cs="宋体"/>
                <w:color w:val="000000"/>
                <w:sz w:val="15"/>
                <w:szCs w:val="15"/>
                <w:highlight w:val="none"/>
              </w:rPr>
            </w:pPr>
            <w:r>
              <w:rPr>
                <w:rFonts w:hint="eastAsia" w:cs="宋体"/>
                <w:color w:val="000000"/>
                <w:sz w:val="15"/>
                <w:szCs w:val="15"/>
                <w:highlight w:val="none"/>
              </w:rPr>
              <w:t>100≤X＜300</w:t>
            </w:r>
          </w:p>
        </w:tc>
        <w:tc>
          <w:tcPr>
            <w:tcW w:w="1696" w:type="dxa"/>
            <w:tcBorders>
              <w:top w:val="nil"/>
              <w:left w:val="nil"/>
              <w:bottom w:val="single" w:color="auto" w:sz="4" w:space="0"/>
              <w:right w:val="single" w:color="auto" w:sz="4" w:space="0"/>
            </w:tcBorders>
            <w:vAlign w:val="bottom"/>
          </w:tcPr>
          <w:p w14:paraId="7D0CB906">
            <w:pPr>
              <w:spacing w:line="240" w:lineRule="auto"/>
              <w:ind w:firstLine="300"/>
              <w:rPr>
                <w:rFonts w:cs="宋体"/>
                <w:color w:val="000000"/>
                <w:sz w:val="15"/>
                <w:szCs w:val="15"/>
                <w:highlight w:val="none"/>
              </w:rPr>
            </w:pPr>
            <w:r>
              <w:rPr>
                <w:rFonts w:hint="eastAsia" w:cs="宋体"/>
                <w:color w:val="000000"/>
                <w:sz w:val="15"/>
                <w:szCs w:val="15"/>
                <w:highlight w:val="none"/>
              </w:rPr>
              <w:t>1000≤Y＜10000</w:t>
            </w:r>
          </w:p>
        </w:tc>
        <w:tc>
          <w:tcPr>
            <w:tcW w:w="1609" w:type="dxa"/>
            <w:tcBorders>
              <w:top w:val="nil"/>
              <w:left w:val="nil"/>
              <w:bottom w:val="single" w:color="auto" w:sz="4" w:space="0"/>
              <w:right w:val="single" w:color="auto" w:sz="8" w:space="0"/>
            </w:tcBorders>
            <w:vAlign w:val="bottom"/>
          </w:tcPr>
          <w:p w14:paraId="7C9F9E3D">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4F06C9C4">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4" w:space="0"/>
              <w:right w:val="single" w:color="auto" w:sz="4" w:space="0"/>
            </w:tcBorders>
            <w:vAlign w:val="bottom"/>
          </w:tcPr>
          <w:p w14:paraId="064E0273">
            <w:pPr>
              <w:spacing w:line="240" w:lineRule="auto"/>
              <w:ind w:firstLine="300"/>
              <w:rPr>
                <w:rFonts w:cs="宋体"/>
                <w:color w:val="000000"/>
                <w:sz w:val="15"/>
                <w:szCs w:val="15"/>
                <w:highlight w:val="none"/>
              </w:rPr>
            </w:pPr>
            <w:r>
              <w:rPr>
                <w:rFonts w:hint="eastAsia" w:cs="宋体"/>
                <w:color w:val="000000"/>
                <w:sz w:val="15"/>
                <w:szCs w:val="15"/>
                <w:highlight w:val="none"/>
              </w:rPr>
              <w:t xml:space="preserve"> 50≤Y＜1000</w:t>
            </w:r>
          </w:p>
        </w:tc>
        <w:tc>
          <w:tcPr>
            <w:tcW w:w="1539" w:type="dxa"/>
            <w:tcBorders>
              <w:top w:val="nil"/>
              <w:left w:val="nil"/>
              <w:bottom w:val="single" w:color="auto" w:sz="4" w:space="0"/>
              <w:right w:val="single" w:color="auto" w:sz="8" w:space="0"/>
            </w:tcBorders>
            <w:vAlign w:val="bottom"/>
          </w:tcPr>
          <w:p w14:paraId="1FD3816C">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224214BE">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539635DB">
            <w:pPr>
              <w:spacing w:line="240" w:lineRule="auto"/>
              <w:ind w:firstLine="300"/>
              <w:rPr>
                <w:rFonts w:cs="宋体"/>
                <w:color w:val="000000"/>
                <w:sz w:val="15"/>
                <w:szCs w:val="15"/>
                <w:highlight w:val="none"/>
              </w:rPr>
            </w:pPr>
            <w:r>
              <w:rPr>
                <w:rFonts w:hint="eastAsia" w:cs="宋体"/>
                <w:color w:val="000000"/>
                <w:sz w:val="15"/>
                <w:szCs w:val="15"/>
                <w:highlight w:val="none"/>
              </w:rPr>
              <w:t>Y＜50</w:t>
            </w:r>
          </w:p>
        </w:tc>
        <w:tc>
          <w:tcPr>
            <w:tcW w:w="1303" w:type="dxa"/>
            <w:gridSpan w:val="2"/>
            <w:tcBorders>
              <w:top w:val="nil"/>
              <w:left w:val="nil"/>
              <w:bottom w:val="single" w:color="auto" w:sz="4" w:space="0"/>
              <w:right w:val="single" w:color="auto" w:sz="8" w:space="0"/>
            </w:tcBorders>
            <w:vAlign w:val="bottom"/>
          </w:tcPr>
          <w:p w14:paraId="196F3EDA">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5CF9AFF4">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2C24EC28">
            <w:pPr>
              <w:spacing w:line="240" w:lineRule="auto"/>
              <w:ind w:firstLine="300"/>
              <w:rPr>
                <w:rFonts w:cs="宋体"/>
                <w:color w:val="000000"/>
                <w:sz w:val="15"/>
                <w:szCs w:val="15"/>
                <w:highlight w:val="none"/>
              </w:rPr>
            </w:pPr>
            <w:r>
              <w:rPr>
                <w:rFonts w:hint="eastAsia" w:cs="宋体"/>
                <w:color w:val="000000"/>
                <w:sz w:val="15"/>
                <w:szCs w:val="15"/>
                <w:highlight w:val="none"/>
              </w:rPr>
              <w:t>13、房地产开发经营</w:t>
            </w:r>
          </w:p>
        </w:tc>
        <w:tc>
          <w:tcPr>
            <w:tcW w:w="1440" w:type="dxa"/>
            <w:tcBorders>
              <w:top w:val="nil"/>
              <w:left w:val="nil"/>
              <w:bottom w:val="single" w:color="auto" w:sz="4" w:space="0"/>
              <w:right w:val="single" w:color="auto" w:sz="4" w:space="0"/>
            </w:tcBorders>
            <w:vAlign w:val="bottom"/>
          </w:tcPr>
          <w:p w14:paraId="268E1CD6">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696" w:type="dxa"/>
            <w:tcBorders>
              <w:top w:val="nil"/>
              <w:left w:val="nil"/>
              <w:bottom w:val="single" w:color="auto" w:sz="4" w:space="0"/>
              <w:right w:val="single" w:color="auto" w:sz="4" w:space="0"/>
            </w:tcBorders>
            <w:vAlign w:val="bottom"/>
          </w:tcPr>
          <w:p w14:paraId="633F09A1">
            <w:pPr>
              <w:spacing w:line="240" w:lineRule="auto"/>
              <w:ind w:firstLine="300"/>
              <w:rPr>
                <w:rFonts w:cs="宋体"/>
                <w:color w:val="000000"/>
                <w:sz w:val="15"/>
                <w:szCs w:val="15"/>
                <w:highlight w:val="none"/>
              </w:rPr>
            </w:pPr>
            <w:r>
              <w:rPr>
                <w:rFonts w:hint="eastAsia" w:cs="宋体"/>
                <w:color w:val="000000"/>
                <w:sz w:val="15"/>
                <w:szCs w:val="15"/>
                <w:highlight w:val="none"/>
              </w:rPr>
              <w:t>1000≤Y＜200000</w:t>
            </w:r>
          </w:p>
        </w:tc>
        <w:tc>
          <w:tcPr>
            <w:tcW w:w="1609" w:type="dxa"/>
            <w:tcBorders>
              <w:top w:val="nil"/>
              <w:left w:val="nil"/>
              <w:bottom w:val="single" w:color="auto" w:sz="4" w:space="0"/>
              <w:right w:val="single" w:color="auto" w:sz="8" w:space="0"/>
            </w:tcBorders>
            <w:vAlign w:val="bottom"/>
          </w:tcPr>
          <w:p w14:paraId="3441AB61">
            <w:pPr>
              <w:spacing w:line="240" w:lineRule="auto"/>
              <w:ind w:firstLine="300"/>
              <w:rPr>
                <w:rFonts w:cs="宋体"/>
                <w:color w:val="000000"/>
                <w:sz w:val="15"/>
                <w:szCs w:val="15"/>
                <w:highlight w:val="none"/>
              </w:rPr>
            </w:pPr>
            <w:r>
              <w:rPr>
                <w:rFonts w:hint="eastAsia" w:cs="宋体"/>
                <w:color w:val="000000"/>
                <w:sz w:val="15"/>
                <w:szCs w:val="15"/>
                <w:highlight w:val="none"/>
              </w:rPr>
              <w:t>5000≤Z＜10000</w:t>
            </w:r>
          </w:p>
        </w:tc>
        <w:tc>
          <w:tcPr>
            <w:tcW w:w="1193" w:type="dxa"/>
            <w:tcBorders>
              <w:top w:val="nil"/>
              <w:left w:val="nil"/>
              <w:bottom w:val="single" w:color="auto" w:sz="4" w:space="0"/>
              <w:right w:val="single" w:color="auto" w:sz="4" w:space="0"/>
            </w:tcBorders>
            <w:vAlign w:val="bottom"/>
          </w:tcPr>
          <w:p w14:paraId="38B76988">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501" w:type="dxa"/>
            <w:tcBorders>
              <w:top w:val="nil"/>
              <w:left w:val="nil"/>
              <w:bottom w:val="single" w:color="auto" w:sz="4" w:space="0"/>
              <w:right w:val="single" w:color="auto" w:sz="4" w:space="0"/>
            </w:tcBorders>
            <w:vAlign w:val="bottom"/>
          </w:tcPr>
          <w:p w14:paraId="6A4E0955">
            <w:pPr>
              <w:spacing w:line="240" w:lineRule="auto"/>
              <w:ind w:firstLine="300"/>
              <w:rPr>
                <w:rFonts w:cs="宋体"/>
                <w:color w:val="000000"/>
                <w:sz w:val="15"/>
                <w:szCs w:val="15"/>
                <w:highlight w:val="none"/>
              </w:rPr>
            </w:pPr>
            <w:r>
              <w:rPr>
                <w:rFonts w:hint="eastAsia" w:cs="宋体"/>
                <w:color w:val="000000"/>
                <w:sz w:val="15"/>
                <w:szCs w:val="15"/>
                <w:highlight w:val="none"/>
              </w:rPr>
              <w:t>100≤Y＜1000</w:t>
            </w:r>
          </w:p>
        </w:tc>
        <w:tc>
          <w:tcPr>
            <w:tcW w:w="1539" w:type="dxa"/>
            <w:tcBorders>
              <w:top w:val="nil"/>
              <w:left w:val="nil"/>
              <w:bottom w:val="single" w:color="auto" w:sz="4" w:space="0"/>
              <w:right w:val="single" w:color="auto" w:sz="8" w:space="0"/>
            </w:tcBorders>
            <w:vAlign w:val="bottom"/>
          </w:tcPr>
          <w:p w14:paraId="7971A5DB">
            <w:pPr>
              <w:spacing w:line="240" w:lineRule="auto"/>
              <w:ind w:firstLine="300"/>
              <w:rPr>
                <w:rFonts w:cs="宋体"/>
                <w:color w:val="000000"/>
                <w:sz w:val="15"/>
                <w:szCs w:val="15"/>
                <w:highlight w:val="none"/>
              </w:rPr>
            </w:pPr>
            <w:r>
              <w:rPr>
                <w:rFonts w:hint="eastAsia" w:cs="宋体"/>
                <w:color w:val="000000"/>
                <w:sz w:val="15"/>
                <w:szCs w:val="15"/>
                <w:highlight w:val="none"/>
              </w:rPr>
              <w:t>2000≤Z＜5000</w:t>
            </w:r>
          </w:p>
        </w:tc>
        <w:tc>
          <w:tcPr>
            <w:tcW w:w="1268" w:type="dxa"/>
            <w:tcBorders>
              <w:top w:val="nil"/>
              <w:left w:val="nil"/>
              <w:bottom w:val="single" w:color="auto" w:sz="4" w:space="0"/>
              <w:right w:val="single" w:color="auto" w:sz="4" w:space="0"/>
            </w:tcBorders>
            <w:vAlign w:val="bottom"/>
          </w:tcPr>
          <w:p w14:paraId="0407F1C4">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59" w:type="dxa"/>
            <w:tcBorders>
              <w:top w:val="nil"/>
              <w:left w:val="nil"/>
              <w:bottom w:val="single" w:color="auto" w:sz="4" w:space="0"/>
              <w:right w:val="single" w:color="auto" w:sz="4" w:space="0"/>
            </w:tcBorders>
            <w:vAlign w:val="bottom"/>
          </w:tcPr>
          <w:p w14:paraId="11EECA8B">
            <w:pPr>
              <w:spacing w:line="240" w:lineRule="auto"/>
              <w:ind w:firstLine="300"/>
              <w:rPr>
                <w:rFonts w:cs="宋体"/>
                <w:color w:val="000000"/>
                <w:sz w:val="15"/>
                <w:szCs w:val="15"/>
                <w:highlight w:val="none"/>
              </w:rPr>
            </w:pPr>
            <w:r>
              <w:rPr>
                <w:rFonts w:hint="eastAsia" w:cs="宋体"/>
                <w:color w:val="000000"/>
                <w:sz w:val="15"/>
                <w:szCs w:val="15"/>
                <w:highlight w:val="none"/>
              </w:rPr>
              <w:t>Y＜100</w:t>
            </w:r>
          </w:p>
        </w:tc>
        <w:tc>
          <w:tcPr>
            <w:tcW w:w="1303" w:type="dxa"/>
            <w:gridSpan w:val="2"/>
            <w:tcBorders>
              <w:top w:val="nil"/>
              <w:left w:val="nil"/>
              <w:bottom w:val="single" w:color="auto" w:sz="4" w:space="0"/>
              <w:right w:val="single" w:color="auto" w:sz="8" w:space="0"/>
            </w:tcBorders>
            <w:vAlign w:val="bottom"/>
          </w:tcPr>
          <w:p w14:paraId="7EB60394">
            <w:pPr>
              <w:spacing w:line="240" w:lineRule="auto"/>
              <w:ind w:firstLine="300"/>
              <w:rPr>
                <w:rFonts w:cs="宋体"/>
                <w:color w:val="000000"/>
                <w:sz w:val="15"/>
                <w:szCs w:val="15"/>
                <w:highlight w:val="none"/>
              </w:rPr>
            </w:pPr>
            <w:r>
              <w:rPr>
                <w:rFonts w:hint="eastAsia" w:cs="宋体"/>
                <w:color w:val="000000"/>
                <w:sz w:val="15"/>
                <w:szCs w:val="15"/>
                <w:highlight w:val="none"/>
              </w:rPr>
              <w:t>Z＜2000</w:t>
            </w:r>
          </w:p>
        </w:tc>
      </w:tr>
      <w:tr w14:paraId="1A5DD4AD">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6C07D23">
            <w:pPr>
              <w:spacing w:line="240" w:lineRule="auto"/>
              <w:ind w:firstLine="300"/>
              <w:rPr>
                <w:rFonts w:cs="宋体"/>
                <w:color w:val="000000"/>
                <w:sz w:val="15"/>
                <w:szCs w:val="15"/>
                <w:highlight w:val="none"/>
              </w:rPr>
            </w:pPr>
            <w:r>
              <w:rPr>
                <w:rFonts w:hint="eastAsia" w:cs="宋体"/>
                <w:color w:val="000000"/>
                <w:sz w:val="15"/>
                <w:szCs w:val="15"/>
                <w:highlight w:val="none"/>
              </w:rPr>
              <w:t>14、物业管理</w:t>
            </w:r>
          </w:p>
        </w:tc>
        <w:tc>
          <w:tcPr>
            <w:tcW w:w="1440" w:type="dxa"/>
            <w:tcBorders>
              <w:top w:val="nil"/>
              <w:left w:val="nil"/>
              <w:bottom w:val="single" w:color="auto" w:sz="4" w:space="0"/>
              <w:right w:val="single" w:color="auto" w:sz="4" w:space="0"/>
            </w:tcBorders>
            <w:vAlign w:val="bottom"/>
          </w:tcPr>
          <w:p w14:paraId="21C047A2">
            <w:pPr>
              <w:spacing w:line="240" w:lineRule="auto"/>
              <w:ind w:firstLine="300"/>
              <w:rPr>
                <w:rFonts w:cs="宋体"/>
                <w:color w:val="000000"/>
                <w:sz w:val="15"/>
                <w:szCs w:val="15"/>
                <w:highlight w:val="none"/>
              </w:rPr>
            </w:pPr>
            <w:r>
              <w:rPr>
                <w:rFonts w:hint="eastAsia" w:cs="宋体"/>
                <w:color w:val="000000"/>
                <w:sz w:val="15"/>
                <w:szCs w:val="15"/>
                <w:highlight w:val="none"/>
              </w:rPr>
              <w:t>300≤X＜1000</w:t>
            </w:r>
          </w:p>
        </w:tc>
        <w:tc>
          <w:tcPr>
            <w:tcW w:w="1696" w:type="dxa"/>
            <w:tcBorders>
              <w:top w:val="nil"/>
              <w:left w:val="nil"/>
              <w:bottom w:val="single" w:color="auto" w:sz="4" w:space="0"/>
              <w:right w:val="single" w:color="auto" w:sz="4" w:space="0"/>
            </w:tcBorders>
            <w:vAlign w:val="bottom"/>
          </w:tcPr>
          <w:p w14:paraId="15FDC7FC">
            <w:pPr>
              <w:spacing w:line="240" w:lineRule="auto"/>
              <w:ind w:firstLine="300"/>
              <w:rPr>
                <w:rFonts w:cs="宋体"/>
                <w:color w:val="000000"/>
                <w:sz w:val="15"/>
                <w:szCs w:val="15"/>
                <w:highlight w:val="none"/>
              </w:rPr>
            </w:pPr>
            <w:r>
              <w:rPr>
                <w:rFonts w:hint="eastAsia" w:cs="宋体"/>
                <w:color w:val="000000"/>
                <w:sz w:val="15"/>
                <w:szCs w:val="15"/>
                <w:highlight w:val="none"/>
              </w:rPr>
              <w:t>1000≤Y＜5000</w:t>
            </w:r>
          </w:p>
        </w:tc>
        <w:tc>
          <w:tcPr>
            <w:tcW w:w="1609" w:type="dxa"/>
            <w:tcBorders>
              <w:top w:val="nil"/>
              <w:left w:val="nil"/>
              <w:bottom w:val="single" w:color="auto" w:sz="4" w:space="0"/>
              <w:right w:val="single" w:color="auto" w:sz="8" w:space="0"/>
            </w:tcBorders>
            <w:vAlign w:val="bottom"/>
          </w:tcPr>
          <w:p w14:paraId="5B5AC536">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4" w:space="0"/>
              <w:right w:val="single" w:color="auto" w:sz="4" w:space="0"/>
            </w:tcBorders>
            <w:vAlign w:val="bottom"/>
          </w:tcPr>
          <w:p w14:paraId="673868BA">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100≤X＜300</w:t>
            </w:r>
          </w:p>
        </w:tc>
        <w:tc>
          <w:tcPr>
            <w:tcW w:w="1501" w:type="dxa"/>
            <w:tcBorders>
              <w:top w:val="nil"/>
              <w:left w:val="nil"/>
              <w:bottom w:val="single" w:color="auto" w:sz="4" w:space="0"/>
              <w:right w:val="single" w:color="auto" w:sz="4" w:space="0"/>
            </w:tcBorders>
            <w:vAlign w:val="bottom"/>
          </w:tcPr>
          <w:p w14:paraId="4AC02395">
            <w:pPr>
              <w:spacing w:line="240" w:lineRule="auto"/>
              <w:ind w:firstLine="300"/>
              <w:rPr>
                <w:rFonts w:cs="宋体"/>
                <w:color w:val="000000"/>
                <w:sz w:val="15"/>
                <w:szCs w:val="15"/>
                <w:highlight w:val="none"/>
              </w:rPr>
            </w:pPr>
            <w:r>
              <w:rPr>
                <w:rFonts w:hint="eastAsia" w:cs="宋体"/>
                <w:color w:val="000000"/>
                <w:sz w:val="15"/>
                <w:szCs w:val="15"/>
                <w:highlight w:val="none"/>
              </w:rPr>
              <w:t>500≤Y＜1000</w:t>
            </w:r>
          </w:p>
        </w:tc>
        <w:tc>
          <w:tcPr>
            <w:tcW w:w="1539" w:type="dxa"/>
            <w:tcBorders>
              <w:top w:val="nil"/>
              <w:left w:val="nil"/>
              <w:bottom w:val="single" w:color="auto" w:sz="4" w:space="0"/>
              <w:right w:val="single" w:color="auto" w:sz="8" w:space="0"/>
            </w:tcBorders>
            <w:vAlign w:val="bottom"/>
          </w:tcPr>
          <w:p w14:paraId="770ACA1F">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4" w:space="0"/>
              <w:right w:val="single" w:color="auto" w:sz="4" w:space="0"/>
            </w:tcBorders>
            <w:vAlign w:val="bottom"/>
          </w:tcPr>
          <w:p w14:paraId="119D2109">
            <w:pPr>
              <w:spacing w:line="240" w:lineRule="auto"/>
              <w:ind w:firstLine="300"/>
              <w:rPr>
                <w:rFonts w:cs="宋体"/>
                <w:color w:val="000000"/>
                <w:sz w:val="15"/>
                <w:szCs w:val="15"/>
                <w:highlight w:val="none"/>
              </w:rPr>
            </w:pPr>
            <w:r>
              <w:rPr>
                <w:rFonts w:hint="eastAsia" w:cs="宋体"/>
                <w:color w:val="000000"/>
                <w:sz w:val="15"/>
                <w:szCs w:val="15"/>
                <w:highlight w:val="none"/>
              </w:rPr>
              <w:t>X＜100</w:t>
            </w:r>
          </w:p>
        </w:tc>
        <w:tc>
          <w:tcPr>
            <w:tcW w:w="1259" w:type="dxa"/>
            <w:tcBorders>
              <w:top w:val="nil"/>
              <w:left w:val="nil"/>
              <w:bottom w:val="single" w:color="auto" w:sz="4" w:space="0"/>
              <w:right w:val="single" w:color="auto" w:sz="4" w:space="0"/>
            </w:tcBorders>
            <w:vAlign w:val="bottom"/>
          </w:tcPr>
          <w:p w14:paraId="7E067497">
            <w:pPr>
              <w:spacing w:line="240" w:lineRule="auto"/>
              <w:ind w:firstLine="300"/>
              <w:rPr>
                <w:rFonts w:cs="宋体"/>
                <w:color w:val="000000"/>
                <w:sz w:val="15"/>
                <w:szCs w:val="15"/>
                <w:highlight w:val="none"/>
              </w:rPr>
            </w:pPr>
            <w:r>
              <w:rPr>
                <w:rFonts w:hint="eastAsia" w:cs="宋体"/>
                <w:color w:val="000000"/>
                <w:sz w:val="15"/>
                <w:szCs w:val="15"/>
                <w:highlight w:val="none"/>
              </w:rPr>
              <w:t>Y＜500</w:t>
            </w:r>
          </w:p>
        </w:tc>
        <w:tc>
          <w:tcPr>
            <w:tcW w:w="1303" w:type="dxa"/>
            <w:gridSpan w:val="2"/>
            <w:tcBorders>
              <w:top w:val="nil"/>
              <w:left w:val="nil"/>
              <w:bottom w:val="single" w:color="auto" w:sz="4" w:space="0"/>
              <w:right w:val="single" w:color="auto" w:sz="8" w:space="0"/>
            </w:tcBorders>
            <w:vAlign w:val="bottom"/>
          </w:tcPr>
          <w:p w14:paraId="60A4EFDB">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1F038130">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3BD5F70">
            <w:pPr>
              <w:spacing w:line="240" w:lineRule="auto"/>
              <w:ind w:firstLine="300"/>
              <w:rPr>
                <w:rFonts w:cs="宋体"/>
                <w:color w:val="000000"/>
                <w:sz w:val="15"/>
                <w:szCs w:val="15"/>
                <w:highlight w:val="none"/>
              </w:rPr>
            </w:pPr>
            <w:r>
              <w:rPr>
                <w:rFonts w:hint="eastAsia" w:cs="宋体"/>
                <w:color w:val="000000"/>
                <w:sz w:val="15"/>
                <w:szCs w:val="15"/>
                <w:highlight w:val="none"/>
              </w:rPr>
              <w:t>15、租赁和商务服务业</w:t>
            </w:r>
          </w:p>
        </w:tc>
        <w:tc>
          <w:tcPr>
            <w:tcW w:w="1440" w:type="dxa"/>
            <w:tcBorders>
              <w:top w:val="nil"/>
              <w:left w:val="nil"/>
              <w:bottom w:val="single" w:color="auto" w:sz="4" w:space="0"/>
              <w:right w:val="single" w:color="auto" w:sz="4" w:space="0"/>
            </w:tcBorders>
            <w:vAlign w:val="bottom"/>
          </w:tcPr>
          <w:p w14:paraId="20650293">
            <w:pPr>
              <w:spacing w:line="240" w:lineRule="auto"/>
              <w:ind w:firstLine="300"/>
              <w:rPr>
                <w:rFonts w:cs="宋体"/>
                <w:color w:val="000000"/>
                <w:sz w:val="15"/>
                <w:szCs w:val="15"/>
                <w:highlight w:val="none"/>
              </w:rPr>
            </w:pPr>
            <w:r>
              <w:rPr>
                <w:rFonts w:hint="eastAsia" w:cs="宋体"/>
                <w:color w:val="000000"/>
                <w:sz w:val="15"/>
                <w:szCs w:val="15"/>
                <w:highlight w:val="none"/>
              </w:rPr>
              <w:t>100≤X＜300</w:t>
            </w:r>
          </w:p>
        </w:tc>
        <w:tc>
          <w:tcPr>
            <w:tcW w:w="1696" w:type="dxa"/>
            <w:tcBorders>
              <w:top w:val="nil"/>
              <w:left w:val="nil"/>
              <w:bottom w:val="single" w:color="auto" w:sz="4" w:space="0"/>
              <w:right w:val="single" w:color="auto" w:sz="4" w:space="0"/>
            </w:tcBorders>
            <w:vAlign w:val="bottom"/>
          </w:tcPr>
          <w:p w14:paraId="2AF5307C">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609" w:type="dxa"/>
            <w:tcBorders>
              <w:top w:val="nil"/>
              <w:left w:val="nil"/>
              <w:bottom w:val="single" w:color="auto" w:sz="4" w:space="0"/>
              <w:right w:val="single" w:color="auto" w:sz="8" w:space="0"/>
            </w:tcBorders>
            <w:vAlign w:val="bottom"/>
          </w:tcPr>
          <w:p w14:paraId="58659696">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8000≤Z＜120000</w:t>
            </w:r>
          </w:p>
        </w:tc>
        <w:tc>
          <w:tcPr>
            <w:tcW w:w="1193" w:type="dxa"/>
            <w:tcBorders>
              <w:top w:val="nil"/>
              <w:left w:val="nil"/>
              <w:bottom w:val="single" w:color="auto" w:sz="4" w:space="0"/>
              <w:right w:val="single" w:color="auto" w:sz="4" w:space="0"/>
            </w:tcBorders>
            <w:vAlign w:val="bottom"/>
          </w:tcPr>
          <w:p w14:paraId="6787A532">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4" w:space="0"/>
              <w:right w:val="single" w:color="auto" w:sz="4" w:space="0"/>
            </w:tcBorders>
            <w:vAlign w:val="bottom"/>
          </w:tcPr>
          <w:p w14:paraId="1B2C1E8F">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539" w:type="dxa"/>
            <w:tcBorders>
              <w:top w:val="nil"/>
              <w:left w:val="nil"/>
              <w:bottom w:val="single" w:color="auto" w:sz="4" w:space="0"/>
              <w:right w:val="single" w:color="auto" w:sz="8" w:space="0"/>
            </w:tcBorders>
            <w:vAlign w:val="bottom"/>
          </w:tcPr>
          <w:p w14:paraId="4C6C47BE">
            <w:pPr>
              <w:spacing w:line="240" w:lineRule="auto"/>
              <w:ind w:firstLine="300"/>
              <w:rPr>
                <w:rFonts w:cs="宋体"/>
                <w:color w:val="000000"/>
                <w:sz w:val="15"/>
                <w:szCs w:val="15"/>
                <w:highlight w:val="none"/>
              </w:rPr>
            </w:pPr>
            <w:r>
              <w:rPr>
                <w:rFonts w:hint="eastAsia" w:cs="宋体"/>
                <w:color w:val="000000"/>
                <w:sz w:val="15"/>
                <w:szCs w:val="15"/>
                <w:highlight w:val="none"/>
              </w:rPr>
              <w:t xml:space="preserve"> 100≤Z＜8000</w:t>
            </w:r>
          </w:p>
        </w:tc>
        <w:tc>
          <w:tcPr>
            <w:tcW w:w="1268" w:type="dxa"/>
            <w:tcBorders>
              <w:top w:val="nil"/>
              <w:left w:val="nil"/>
              <w:bottom w:val="single" w:color="auto" w:sz="4" w:space="0"/>
              <w:right w:val="single" w:color="auto" w:sz="4" w:space="0"/>
            </w:tcBorders>
            <w:vAlign w:val="bottom"/>
          </w:tcPr>
          <w:p w14:paraId="4CF1513D">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4" w:space="0"/>
              <w:right w:val="single" w:color="auto" w:sz="4" w:space="0"/>
            </w:tcBorders>
            <w:vAlign w:val="bottom"/>
          </w:tcPr>
          <w:p w14:paraId="3DF94CEE">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303" w:type="dxa"/>
            <w:gridSpan w:val="2"/>
            <w:tcBorders>
              <w:top w:val="nil"/>
              <w:left w:val="nil"/>
              <w:bottom w:val="single" w:color="auto" w:sz="4" w:space="0"/>
              <w:right w:val="single" w:color="auto" w:sz="8" w:space="0"/>
            </w:tcBorders>
            <w:vAlign w:val="bottom"/>
          </w:tcPr>
          <w:p w14:paraId="4590ADA0">
            <w:pPr>
              <w:spacing w:line="240" w:lineRule="auto"/>
              <w:ind w:firstLine="300"/>
              <w:rPr>
                <w:rFonts w:cs="宋体"/>
                <w:color w:val="000000"/>
                <w:sz w:val="15"/>
                <w:szCs w:val="15"/>
                <w:highlight w:val="none"/>
              </w:rPr>
            </w:pPr>
            <w:r>
              <w:rPr>
                <w:rFonts w:hint="eastAsia" w:cs="宋体"/>
                <w:color w:val="000000"/>
                <w:sz w:val="15"/>
                <w:szCs w:val="15"/>
                <w:highlight w:val="none"/>
              </w:rPr>
              <w:t>Z＜100</w:t>
            </w:r>
          </w:p>
        </w:tc>
      </w:tr>
      <w:tr w14:paraId="7C722CC2">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8" w:space="0"/>
              <w:right w:val="single" w:color="auto" w:sz="8" w:space="0"/>
            </w:tcBorders>
            <w:vAlign w:val="bottom"/>
          </w:tcPr>
          <w:p w14:paraId="512EAB2E">
            <w:pPr>
              <w:spacing w:line="240" w:lineRule="auto"/>
              <w:ind w:firstLine="300"/>
              <w:rPr>
                <w:rFonts w:cs="宋体"/>
                <w:color w:val="000000"/>
                <w:sz w:val="15"/>
                <w:szCs w:val="15"/>
                <w:highlight w:val="none"/>
              </w:rPr>
            </w:pPr>
            <w:r>
              <w:rPr>
                <w:rFonts w:hint="eastAsia" w:cs="宋体"/>
                <w:color w:val="000000"/>
                <w:sz w:val="15"/>
                <w:szCs w:val="15"/>
                <w:highlight w:val="none"/>
              </w:rPr>
              <w:t>16、其他未列明行业</w:t>
            </w:r>
          </w:p>
        </w:tc>
        <w:tc>
          <w:tcPr>
            <w:tcW w:w="1440" w:type="dxa"/>
            <w:tcBorders>
              <w:top w:val="nil"/>
              <w:left w:val="nil"/>
              <w:bottom w:val="single" w:color="auto" w:sz="8" w:space="0"/>
              <w:right w:val="single" w:color="auto" w:sz="4" w:space="0"/>
            </w:tcBorders>
            <w:vAlign w:val="bottom"/>
          </w:tcPr>
          <w:p w14:paraId="3D2BB610">
            <w:pPr>
              <w:spacing w:line="240" w:lineRule="auto"/>
              <w:ind w:firstLine="300"/>
              <w:rPr>
                <w:rFonts w:cs="宋体"/>
                <w:color w:val="000000"/>
                <w:sz w:val="15"/>
                <w:szCs w:val="15"/>
                <w:highlight w:val="none"/>
              </w:rPr>
            </w:pPr>
            <w:r>
              <w:rPr>
                <w:rFonts w:hint="eastAsia" w:cs="宋体"/>
                <w:color w:val="000000"/>
                <w:sz w:val="15"/>
                <w:szCs w:val="15"/>
                <w:highlight w:val="none"/>
              </w:rPr>
              <w:t>100≤X＜300</w:t>
            </w:r>
          </w:p>
        </w:tc>
        <w:tc>
          <w:tcPr>
            <w:tcW w:w="1696" w:type="dxa"/>
            <w:tcBorders>
              <w:top w:val="nil"/>
              <w:left w:val="nil"/>
              <w:bottom w:val="single" w:color="auto" w:sz="8" w:space="0"/>
              <w:right w:val="single" w:color="auto" w:sz="4" w:space="0"/>
            </w:tcBorders>
            <w:vAlign w:val="bottom"/>
          </w:tcPr>
          <w:p w14:paraId="29580D7E">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609" w:type="dxa"/>
            <w:tcBorders>
              <w:top w:val="nil"/>
              <w:left w:val="nil"/>
              <w:bottom w:val="single" w:color="auto" w:sz="8" w:space="0"/>
              <w:right w:val="single" w:color="auto" w:sz="8" w:space="0"/>
            </w:tcBorders>
            <w:vAlign w:val="bottom"/>
          </w:tcPr>
          <w:p w14:paraId="576FD5F3">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193" w:type="dxa"/>
            <w:tcBorders>
              <w:top w:val="nil"/>
              <w:left w:val="nil"/>
              <w:bottom w:val="single" w:color="auto" w:sz="8" w:space="0"/>
              <w:right w:val="single" w:color="auto" w:sz="4" w:space="0"/>
            </w:tcBorders>
            <w:vAlign w:val="bottom"/>
          </w:tcPr>
          <w:p w14:paraId="4F25CD99">
            <w:pPr>
              <w:spacing w:line="240" w:lineRule="auto"/>
              <w:ind w:firstLine="0" w:firstLineChars="0"/>
              <w:jc w:val="center"/>
              <w:rPr>
                <w:rFonts w:cs="宋体"/>
                <w:color w:val="000000"/>
                <w:sz w:val="15"/>
                <w:szCs w:val="15"/>
                <w:highlight w:val="none"/>
              </w:rPr>
            </w:pPr>
            <w:r>
              <w:rPr>
                <w:rFonts w:hint="eastAsia" w:cs="宋体"/>
                <w:color w:val="000000"/>
                <w:sz w:val="15"/>
                <w:szCs w:val="15"/>
                <w:highlight w:val="none"/>
              </w:rPr>
              <w:t>10≤X＜100</w:t>
            </w:r>
          </w:p>
        </w:tc>
        <w:tc>
          <w:tcPr>
            <w:tcW w:w="1501" w:type="dxa"/>
            <w:tcBorders>
              <w:top w:val="nil"/>
              <w:left w:val="nil"/>
              <w:bottom w:val="single" w:color="auto" w:sz="8" w:space="0"/>
              <w:right w:val="single" w:color="auto" w:sz="4" w:space="0"/>
            </w:tcBorders>
            <w:vAlign w:val="bottom"/>
          </w:tcPr>
          <w:p w14:paraId="7E244AE9">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539" w:type="dxa"/>
            <w:tcBorders>
              <w:top w:val="nil"/>
              <w:left w:val="nil"/>
              <w:bottom w:val="single" w:color="auto" w:sz="8" w:space="0"/>
              <w:right w:val="single" w:color="auto" w:sz="8" w:space="0"/>
            </w:tcBorders>
            <w:vAlign w:val="bottom"/>
          </w:tcPr>
          <w:p w14:paraId="555CA716">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268" w:type="dxa"/>
            <w:tcBorders>
              <w:top w:val="nil"/>
              <w:left w:val="nil"/>
              <w:bottom w:val="single" w:color="auto" w:sz="8" w:space="0"/>
              <w:right w:val="single" w:color="auto" w:sz="4" w:space="0"/>
            </w:tcBorders>
            <w:vAlign w:val="bottom"/>
          </w:tcPr>
          <w:p w14:paraId="2CE858F8">
            <w:pPr>
              <w:spacing w:line="240" w:lineRule="auto"/>
              <w:ind w:firstLine="300"/>
              <w:rPr>
                <w:rFonts w:cs="宋体"/>
                <w:color w:val="000000"/>
                <w:sz w:val="15"/>
                <w:szCs w:val="15"/>
                <w:highlight w:val="none"/>
              </w:rPr>
            </w:pPr>
            <w:r>
              <w:rPr>
                <w:rFonts w:hint="eastAsia" w:cs="宋体"/>
                <w:color w:val="000000"/>
                <w:sz w:val="15"/>
                <w:szCs w:val="15"/>
                <w:highlight w:val="none"/>
              </w:rPr>
              <w:t>X＜10</w:t>
            </w:r>
          </w:p>
        </w:tc>
        <w:tc>
          <w:tcPr>
            <w:tcW w:w="1259" w:type="dxa"/>
            <w:tcBorders>
              <w:top w:val="nil"/>
              <w:left w:val="nil"/>
              <w:bottom w:val="single" w:color="auto" w:sz="8" w:space="0"/>
              <w:right w:val="single" w:color="auto" w:sz="4" w:space="0"/>
            </w:tcBorders>
            <w:vAlign w:val="bottom"/>
          </w:tcPr>
          <w:p w14:paraId="260DF376">
            <w:pPr>
              <w:spacing w:line="240" w:lineRule="auto"/>
              <w:ind w:firstLine="300"/>
              <w:rPr>
                <w:rFonts w:cs="宋体"/>
                <w:color w:val="000000"/>
                <w:sz w:val="15"/>
                <w:szCs w:val="15"/>
                <w:highlight w:val="none"/>
              </w:rPr>
            </w:pPr>
            <w:r>
              <w:rPr>
                <w:rFonts w:hint="eastAsia" w:cs="宋体"/>
                <w:color w:val="000000"/>
                <w:sz w:val="15"/>
                <w:szCs w:val="15"/>
                <w:highlight w:val="none"/>
              </w:rPr>
              <w:t>　</w:t>
            </w:r>
          </w:p>
        </w:tc>
        <w:tc>
          <w:tcPr>
            <w:tcW w:w="1303" w:type="dxa"/>
            <w:gridSpan w:val="2"/>
            <w:tcBorders>
              <w:top w:val="nil"/>
              <w:left w:val="nil"/>
              <w:bottom w:val="single" w:color="auto" w:sz="8" w:space="0"/>
              <w:right w:val="single" w:color="auto" w:sz="8" w:space="0"/>
            </w:tcBorders>
            <w:vAlign w:val="bottom"/>
          </w:tcPr>
          <w:p w14:paraId="7D1E70CE">
            <w:pPr>
              <w:spacing w:line="240" w:lineRule="auto"/>
              <w:ind w:firstLine="300"/>
              <w:rPr>
                <w:rFonts w:cs="宋体"/>
                <w:color w:val="000000"/>
                <w:sz w:val="15"/>
                <w:szCs w:val="15"/>
                <w:highlight w:val="none"/>
              </w:rPr>
            </w:pPr>
            <w:r>
              <w:rPr>
                <w:rFonts w:hint="eastAsia" w:cs="宋体"/>
                <w:color w:val="000000"/>
                <w:sz w:val="15"/>
                <w:szCs w:val="15"/>
                <w:highlight w:val="none"/>
              </w:rPr>
              <w:t>　</w:t>
            </w:r>
          </w:p>
        </w:tc>
      </w:tr>
      <w:tr w14:paraId="0D9C5F6F">
        <w:tblPrEx>
          <w:tblCellMar>
            <w:top w:w="0" w:type="dxa"/>
            <w:left w:w="108" w:type="dxa"/>
            <w:bottom w:w="0" w:type="dxa"/>
            <w:right w:w="108" w:type="dxa"/>
          </w:tblCellMar>
        </w:tblPrEx>
        <w:trPr>
          <w:gridAfter w:val="1"/>
          <w:wAfter w:w="138" w:type="dxa"/>
          <w:trHeight w:val="618" w:hRule="atLeast"/>
        </w:trPr>
        <w:tc>
          <w:tcPr>
            <w:tcW w:w="14582" w:type="dxa"/>
            <w:gridSpan w:val="10"/>
            <w:tcBorders>
              <w:top w:val="nil"/>
              <w:left w:val="nil"/>
              <w:bottom w:val="nil"/>
              <w:right w:val="nil"/>
            </w:tcBorders>
            <w:vAlign w:val="bottom"/>
          </w:tcPr>
          <w:p w14:paraId="5B38294D">
            <w:pPr>
              <w:ind w:firstLine="0" w:firstLineChars="0"/>
              <w:rPr>
                <w:rFonts w:cs="宋体"/>
                <w:color w:val="000000"/>
                <w:sz w:val="15"/>
                <w:szCs w:val="15"/>
                <w:highlight w:val="none"/>
              </w:rPr>
            </w:pPr>
            <w:r>
              <w:rPr>
                <w:rFonts w:hint="eastAsia" w:cs="宋体"/>
                <w:color w:val="000000"/>
                <w:sz w:val="15"/>
                <w:szCs w:val="15"/>
                <w:highlight w:val="none"/>
              </w:rPr>
              <w:t>说明：1、企业类型的划分以统计部门的统计数据为依据。</w:t>
            </w:r>
          </w:p>
          <w:p w14:paraId="1390EEC2">
            <w:pPr>
              <w:ind w:firstLine="450" w:firstLineChars="300"/>
              <w:rPr>
                <w:rFonts w:cs="宋体"/>
                <w:color w:val="000000"/>
                <w:sz w:val="15"/>
                <w:szCs w:val="15"/>
                <w:highlight w:val="none"/>
              </w:rPr>
            </w:pPr>
            <w:r>
              <w:rPr>
                <w:rFonts w:hint="eastAsia" w:cs="宋体"/>
                <w:color w:val="000000"/>
                <w:sz w:val="15"/>
                <w:szCs w:val="15"/>
                <w:highlight w:val="none"/>
              </w:rPr>
              <w:t>2、个体工商户和本规定以外的行业，参照本规定进行划型。</w:t>
            </w:r>
          </w:p>
          <w:p w14:paraId="42479544">
            <w:pPr>
              <w:ind w:firstLine="450" w:firstLineChars="300"/>
              <w:rPr>
                <w:rFonts w:cs="宋体"/>
                <w:color w:val="000000"/>
                <w:sz w:val="15"/>
                <w:szCs w:val="15"/>
                <w:highlight w:val="none"/>
              </w:rPr>
            </w:pPr>
            <w:r>
              <w:rPr>
                <w:rFonts w:hint="eastAsia" w:cs="宋体"/>
                <w:color w:val="000000"/>
                <w:sz w:val="15"/>
                <w:szCs w:val="15"/>
                <w:highlight w:val="none"/>
              </w:rPr>
              <w:t>3、本规定的中型企业标准上限即为大型企业标准的下限。</w:t>
            </w:r>
          </w:p>
        </w:tc>
      </w:tr>
    </w:tbl>
    <w:p w14:paraId="05A133A5">
      <w:pPr>
        <w:pStyle w:val="5"/>
        <w:rPr>
          <w:rFonts w:cs="宋体"/>
          <w:highlight w:val="none"/>
        </w:rPr>
        <w:sectPr>
          <w:headerReference r:id="rId15" w:type="default"/>
          <w:footerReference r:id="rId16" w:type="default"/>
          <w:pgSz w:w="16840" w:h="11907" w:orient="landscape"/>
          <w:pgMar w:top="1304" w:right="1247" w:bottom="1304" w:left="1021" w:header="720" w:footer="720" w:gutter="0"/>
          <w:cols w:space="720" w:num="1"/>
          <w:docGrid w:linePitch="286" w:charSpace="0"/>
        </w:sectPr>
      </w:pPr>
    </w:p>
    <w:p w14:paraId="62FBE3C3">
      <w:pPr>
        <w:pStyle w:val="5"/>
        <w:jc w:val="center"/>
        <w:rPr>
          <w:rFonts w:cs="宋体"/>
          <w:sz w:val="28"/>
          <w:szCs w:val="28"/>
          <w:highlight w:val="none"/>
        </w:rPr>
      </w:pPr>
      <w:r>
        <w:rPr>
          <w:rFonts w:hint="eastAsia" w:cs="宋体"/>
          <w:sz w:val="28"/>
          <w:szCs w:val="28"/>
          <w:highlight w:val="none"/>
        </w:rPr>
        <w:t>监狱企业资格证明材料</w:t>
      </w:r>
    </w:p>
    <w:p w14:paraId="50963CBC">
      <w:pPr>
        <w:ind w:firstLine="480"/>
        <w:rPr>
          <w:rFonts w:cs="宋体"/>
          <w:highlight w:val="none"/>
        </w:rPr>
      </w:pPr>
      <w:r>
        <w:rPr>
          <w:rFonts w:hint="eastAsia" w:cs="宋体"/>
          <w:highlight w:val="none"/>
        </w:rPr>
        <w:t>（省级以上监狱管理局、戒毒管理局（含新疆生产建设兵团）出具的属于监狱企业的证明文件）</w:t>
      </w:r>
    </w:p>
    <w:p w14:paraId="00DD2203">
      <w:pPr>
        <w:ind w:firstLine="480"/>
        <w:rPr>
          <w:rFonts w:cs="宋体"/>
          <w:highlight w:val="none"/>
        </w:rPr>
      </w:pPr>
    </w:p>
    <w:p w14:paraId="08F3176B">
      <w:pPr>
        <w:ind w:firstLine="480"/>
        <w:rPr>
          <w:rFonts w:cs="宋体"/>
          <w:highlight w:val="none"/>
        </w:rPr>
      </w:pPr>
      <w:r>
        <w:rPr>
          <w:rFonts w:hint="eastAsia" w:cs="宋体"/>
          <w:highlight w:val="none"/>
        </w:rPr>
        <w:t>说明：监狱企业视同小型、微型企业。</w:t>
      </w:r>
    </w:p>
    <w:p w14:paraId="1B202613">
      <w:pPr>
        <w:pStyle w:val="80"/>
        <w:rPr>
          <w:rFonts w:ascii="宋体" w:hAnsi="宋体" w:eastAsia="宋体" w:cs="宋体"/>
          <w:color w:val="auto"/>
          <w:highlight w:val="none"/>
        </w:rPr>
      </w:pPr>
    </w:p>
    <w:p w14:paraId="5F2BEB9A">
      <w:pPr>
        <w:pStyle w:val="80"/>
        <w:rPr>
          <w:rFonts w:ascii="宋体" w:hAnsi="宋体" w:eastAsia="宋体" w:cs="宋体"/>
          <w:color w:val="auto"/>
          <w:highlight w:val="none"/>
        </w:rPr>
      </w:pPr>
    </w:p>
    <w:p w14:paraId="72A51D94">
      <w:pPr>
        <w:pStyle w:val="80"/>
        <w:rPr>
          <w:rFonts w:ascii="宋体" w:hAnsi="宋体" w:eastAsia="宋体" w:cs="宋体"/>
          <w:color w:val="auto"/>
          <w:highlight w:val="none"/>
        </w:rPr>
      </w:pPr>
    </w:p>
    <w:p w14:paraId="2881437C">
      <w:pPr>
        <w:pStyle w:val="5"/>
        <w:jc w:val="center"/>
        <w:rPr>
          <w:rFonts w:cs="宋体"/>
          <w:highlight w:val="none"/>
        </w:rPr>
      </w:pPr>
      <w:r>
        <w:rPr>
          <w:rFonts w:hint="eastAsia" w:cs="宋体"/>
          <w:highlight w:val="none"/>
        </w:rPr>
        <w:t xml:space="preserve">  </w:t>
      </w:r>
      <w:r>
        <w:rPr>
          <w:rFonts w:hint="eastAsia" w:cs="宋体"/>
          <w:sz w:val="28"/>
          <w:szCs w:val="28"/>
          <w:highlight w:val="none"/>
        </w:rPr>
        <w:t>残疾人福利性单位声明函</w:t>
      </w:r>
    </w:p>
    <w:p w14:paraId="3A37A375">
      <w:pPr>
        <w:ind w:firstLine="506"/>
        <w:jc w:val="center"/>
        <w:rPr>
          <w:rFonts w:cs="宋体"/>
          <w:b/>
          <w:spacing w:val="6"/>
          <w:szCs w:val="21"/>
          <w:highlight w:val="none"/>
        </w:rPr>
      </w:pPr>
      <w:r>
        <w:rPr>
          <w:rFonts w:hint="eastAsia" w:cs="宋体"/>
          <w:b/>
          <w:spacing w:val="6"/>
          <w:szCs w:val="21"/>
          <w:highlight w:val="none"/>
        </w:rPr>
        <w:t>（非残疾人福利性单位可不提供）</w:t>
      </w:r>
    </w:p>
    <w:p w14:paraId="45F45940">
      <w:pPr>
        <w:ind w:firstLine="504"/>
        <w:rPr>
          <w:rFonts w:cs="宋体"/>
          <w:spacing w:val="6"/>
          <w:highlight w:val="none"/>
        </w:rPr>
      </w:pPr>
      <w:r>
        <w:rPr>
          <w:rFonts w:hint="eastAsia" w:cs="宋体"/>
          <w:spacing w:val="6"/>
          <w:highlight w:val="none"/>
        </w:rPr>
        <w:t>本单位郑重声明，根据《财政部 民政部 中国残疾人联合会关于促进残疾人就业政府采购政策的通知》（财库</w:t>
      </w:r>
      <w:r>
        <w:rPr>
          <w:rFonts w:hint="eastAsia" w:cs="宋体"/>
          <w:highlight w:val="none"/>
        </w:rPr>
        <w:t>[2017]141</w:t>
      </w:r>
      <w:r>
        <w:rPr>
          <w:rFonts w:hint="eastAsia" w:cs="宋体"/>
          <w:spacing w:val="6"/>
          <w:highlight w:val="none"/>
        </w:rPr>
        <w:t>号）的规定，本单位为符合条件的残疾人福利性单位，且本单位参加</w:t>
      </w:r>
      <w:r>
        <w:rPr>
          <w:rFonts w:hint="eastAsia" w:cs="宋体"/>
          <w:spacing w:val="6"/>
          <w:highlight w:val="none"/>
          <w:u w:val="single"/>
        </w:rPr>
        <w:t>（招标人名称）</w:t>
      </w:r>
      <w:r>
        <w:rPr>
          <w:rFonts w:hint="eastAsia" w:cs="宋体"/>
          <w:spacing w:val="6"/>
          <w:highlight w:val="none"/>
        </w:rPr>
        <w:t>的</w:t>
      </w:r>
      <w:r>
        <w:rPr>
          <w:rFonts w:hint="eastAsia" w:cs="宋体"/>
          <w:spacing w:val="6"/>
          <w:highlight w:val="none"/>
          <w:u w:val="single"/>
        </w:rPr>
        <w:t>（项目名称）</w:t>
      </w:r>
      <w:r>
        <w:rPr>
          <w:rFonts w:hint="eastAsia" w:cs="宋体"/>
          <w:spacing w:val="6"/>
          <w:highlight w:val="none"/>
        </w:rPr>
        <w:t>，提供本单位承接的服务，或者提供其他残疾人福利性单位制造的货物（不包括使用非残疾人福利性单位注册商标的货物）。</w:t>
      </w:r>
    </w:p>
    <w:p w14:paraId="1B12BE7B">
      <w:pPr>
        <w:ind w:firstLine="504"/>
        <w:rPr>
          <w:rFonts w:cs="宋体"/>
          <w:spacing w:val="6"/>
          <w:highlight w:val="none"/>
        </w:rPr>
      </w:pPr>
      <w:r>
        <w:rPr>
          <w:rFonts w:hint="eastAsia" w:cs="宋体"/>
          <w:spacing w:val="6"/>
          <w:highlight w:val="none"/>
        </w:rPr>
        <w:t>本单位对上述声明的真实性负责。如有虚假，将依法承担相应责任。</w:t>
      </w:r>
    </w:p>
    <w:p w14:paraId="6BB716F3">
      <w:pPr>
        <w:ind w:firstLine="456"/>
        <w:rPr>
          <w:rFonts w:cs="宋体"/>
          <w:spacing w:val="-6"/>
          <w:highlight w:val="none"/>
        </w:rPr>
      </w:pPr>
    </w:p>
    <w:p w14:paraId="49651031">
      <w:pPr>
        <w:spacing w:line="480" w:lineRule="auto"/>
        <w:ind w:firstLine="480"/>
        <w:rPr>
          <w:rFonts w:cs="宋体"/>
          <w:highlight w:val="none"/>
        </w:rPr>
      </w:pPr>
      <w:r>
        <w:rPr>
          <w:rFonts w:hint="eastAsia" w:cs="宋体"/>
          <w:highlight w:val="none"/>
        </w:rPr>
        <w:t>投标人名称（公章）：</w:t>
      </w:r>
    </w:p>
    <w:p w14:paraId="5FCEDAC2">
      <w:pPr>
        <w:spacing w:line="480" w:lineRule="auto"/>
        <w:ind w:firstLine="480"/>
        <w:rPr>
          <w:rFonts w:cs="宋体"/>
          <w:highlight w:val="none"/>
        </w:rPr>
      </w:pPr>
      <w:r>
        <w:rPr>
          <w:rFonts w:hint="eastAsia" w:cs="宋体"/>
          <w:highlight w:val="none"/>
        </w:rPr>
        <w:t>法定代表人或其授权代表（签字或盖章）：</w:t>
      </w:r>
    </w:p>
    <w:p w14:paraId="2A58E9BF">
      <w:pPr>
        <w:spacing w:line="480" w:lineRule="auto"/>
        <w:ind w:firstLine="480"/>
        <w:rPr>
          <w:rFonts w:cs="宋体"/>
          <w:highlight w:val="none"/>
        </w:rPr>
      </w:pPr>
      <w:r>
        <w:rPr>
          <w:rFonts w:hint="eastAsia" w:cs="宋体"/>
          <w:highlight w:val="none"/>
        </w:rPr>
        <w:t>日期：  年   月   日</w:t>
      </w:r>
    </w:p>
    <w:p w14:paraId="0A4A06D7">
      <w:pPr>
        <w:spacing w:line="288" w:lineRule="auto"/>
        <w:ind w:firstLine="506"/>
        <w:jc w:val="left"/>
        <w:rPr>
          <w:rFonts w:cs="宋体"/>
          <w:b/>
          <w:bCs/>
          <w:highlight w:val="none"/>
        </w:rPr>
      </w:pPr>
      <w:r>
        <w:rPr>
          <w:rFonts w:hint="eastAsia" w:cs="宋体"/>
          <w:b/>
          <w:spacing w:val="6"/>
          <w:highlight w:val="none"/>
        </w:rPr>
        <w:t>投标人不属于残疾人福利性单位的，无需提供此声明函，如提供所引起的后果由投标人承担。</w:t>
      </w:r>
    </w:p>
    <w:p w14:paraId="2E93EB21">
      <w:pPr>
        <w:spacing w:line="288" w:lineRule="auto"/>
        <w:ind w:firstLine="456"/>
        <w:rPr>
          <w:rFonts w:cs="宋体"/>
          <w:spacing w:val="-6"/>
          <w:highlight w:val="none"/>
        </w:rPr>
      </w:pPr>
    </w:p>
    <w:p w14:paraId="61321DCA">
      <w:pPr>
        <w:ind w:firstLine="482"/>
        <w:rPr>
          <w:rFonts w:cs="宋体"/>
          <w:b/>
          <w:bCs/>
          <w:szCs w:val="21"/>
          <w:highlight w:val="none"/>
        </w:rPr>
      </w:pPr>
      <w:r>
        <w:rPr>
          <w:rFonts w:hint="eastAsia" w:cs="宋体"/>
          <w:b/>
          <w:bCs/>
          <w:szCs w:val="21"/>
          <w:highlight w:val="none"/>
        </w:rPr>
        <w:t>说明：</w:t>
      </w:r>
    </w:p>
    <w:p w14:paraId="0BA15E18">
      <w:pPr>
        <w:ind w:firstLine="480"/>
        <w:jc w:val="left"/>
        <w:rPr>
          <w:rFonts w:cs="宋体"/>
          <w:spacing w:val="6"/>
          <w:szCs w:val="21"/>
          <w:highlight w:val="none"/>
        </w:rPr>
      </w:pPr>
      <w:r>
        <w:rPr>
          <w:rFonts w:hint="eastAsia" w:cs="宋体"/>
          <w:bCs/>
          <w:szCs w:val="21"/>
          <w:highlight w:val="none"/>
        </w:rPr>
        <w:t>1.</w:t>
      </w:r>
      <w:r>
        <w:rPr>
          <w:rFonts w:hint="eastAsia" w:cs="宋体"/>
          <w:spacing w:val="6"/>
          <w:szCs w:val="21"/>
          <w:highlight w:val="none"/>
        </w:rPr>
        <w:t>若投标人同时满足以下条件，则属于依法享受政府采购支持政策的残疾人福利性单位，可提供《残疾人福利性单位声明函》，并对声明的真实性负责：</w:t>
      </w:r>
    </w:p>
    <w:p w14:paraId="48E4D163">
      <w:pPr>
        <w:ind w:firstLine="504"/>
        <w:jc w:val="left"/>
        <w:rPr>
          <w:rFonts w:cs="宋体"/>
          <w:spacing w:val="6"/>
          <w:szCs w:val="21"/>
          <w:highlight w:val="none"/>
        </w:rPr>
      </w:pPr>
      <w:r>
        <w:rPr>
          <w:rFonts w:hint="eastAsia" w:cs="宋体"/>
          <w:spacing w:val="6"/>
          <w:szCs w:val="21"/>
          <w:highlight w:val="none"/>
        </w:rPr>
        <w:t>（1）安置的残疾人占本单位在职职工人数的比例不低于25%（含25%），并且安置的残疾人人数不少于10人（含10人）；</w:t>
      </w:r>
    </w:p>
    <w:p w14:paraId="38494B49">
      <w:pPr>
        <w:ind w:firstLine="504"/>
        <w:jc w:val="left"/>
        <w:rPr>
          <w:rFonts w:cs="宋体"/>
          <w:spacing w:val="6"/>
          <w:szCs w:val="21"/>
          <w:highlight w:val="none"/>
        </w:rPr>
      </w:pPr>
      <w:r>
        <w:rPr>
          <w:rFonts w:hint="eastAsia" w:cs="宋体"/>
          <w:spacing w:val="6"/>
          <w:szCs w:val="21"/>
          <w:highlight w:val="none"/>
        </w:rPr>
        <w:t>（2）依法与安置的每位残疾人签订了一年以上（含一年）的劳动合同或服务协议；</w:t>
      </w:r>
    </w:p>
    <w:p w14:paraId="402FA17B">
      <w:pPr>
        <w:ind w:firstLine="504"/>
        <w:jc w:val="left"/>
        <w:rPr>
          <w:rFonts w:cs="宋体"/>
          <w:spacing w:val="6"/>
          <w:szCs w:val="21"/>
          <w:highlight w:val="none"/>
        </w:rPr>
      </w:pPr>
      <w:r>
        <w:rPr>
          <w:rFonts w:hint="eastAsia" w:cs="宋体"/>
          <w:spacing w:val="6"/>
          <w:szCs w:val="21"/>
          <w:highlight w:val="none"/>
        </w:rPr>
        <w:t>（3）为安置的每位残疾人按月足额缴纳了基本养老保险、基本医疗保险、失业保险、工伤保险和生育保险等社会保险费；</w:t>
      </w:r>
    </w:p>
    <w:p w14:paraId="6CC3EA6A">
      <w:pPr>
        <w:ind w:firstLine="504"/>
        <w:jc w:val="left"/>
        <w:rPr>
          <w:rFonts w:cs="宋体"/>
          <w:spacing w:val="6"/>
          <w:szCs w:val="21"/>
          <w:highlight w:val="none"/>
        </w:rPr>
      </w:pPr>
      <w:r>
        <w:rPr>
          <w:rFonts w:hint="eastAsia" w:cs="宋体"/>
          <w:spacing w:val="6"/>
          <w:szCs w:val="21"/>
          <w:highlight w:val="none"/>
        </w:rPr>
        <w:t>（4）通过银行等金融机构向安置的每位残疾人，按月支付了不低于单位所在区县适用的经省级人民政府批准的月最低工资标准的工资；</w:t>
      </w:r>
    </w:p>
    <w:p w14:paraId="3DC715AB">
      <w:pPr>
        <w:ind w:firstLine="504"/>
        <w:jc w:val="left"/>
        <w:rPr>
          <w:rFonts w:cs="宋体"/>
          <w:spacing w:val="6"/>
          <w:szCs w:val="21"/>
          <w:highlight w:val="none"/>
        </w:rPr>
      </w:pPr>
      <w:r>
        <w:rPr>
          <w:rFonts w:hint="eastAsia" w:cs="宋体"/>
          <w:spacing w:val="6"/>
          <w:szCs w:val="21"/>
          <w:highlight w:val="none"/>
        </w:rPr>
        <w:t>（5）提供本单位制造的货物、承担的工程或者服务（以下简称产品），或者提供其他残疾人福利性单位制造的货物（不包括使用非残疾人福利性单位注册商标的货物）。</w:t>
      </w:r>
    </w:p>
    <w:p w14:paraId="1FB2D716">
      <w:pPr>
        <w:ind w:firstLine="504"/>
        <w:jc w:val="left"/>
        <w:rPr>
          <w:rFonts w:cs="宋体"/>
          <w:spacing w:val="6"/>
          <w:szCs w:val="21"/>
          <w:highlight w:val="none"/>
        </w:rPr>
      </w:pPr>
      <w:r>
        <w:rPr>
          <w:rFonts w:hint="eastAsia" w:cs="宋体"/>
          <w:spacing w:val="6"/>
          <w:szCs w:val="21"/>
          <w:highlight w:val="none"/>
        </w:rPr>
        <w:t>2.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F169A00">
      <w:pPr>
        <w:ind w:firstLine="504"/>
        <w:jc w:val="left"/>
        <w:rPr>
          <w:rFonts w:cs="宋体"/>
          <w:highlight w:val="none"/>
        </w:rPr>
      </w:pPr>
      <w:r>
        <w:rPr>
          <w:rFonts w:hint="eastAsia" w:cs="宋体"/>
          <w:spacing w:val="6"/>
          <w:szCs w:val="21"/>
          <w:highlight w:val="none"/>
        </w:rPr>
        <w:t>3.中标人为残疾人福利性单位的，《残疾人福利性单位声明函》随中标结果同时公告，接受社会监督。</w:t>
      </w:r>
      <w:r>
        <w:rPr>
          <w:rFonts w:hint="eastAsia" w:cs="宋体"/>
          <w:highlight w:val="none"/>
          <w:lang w:val="zh-CN"/>
        </w:rPr>
        <w:t xml:space="preserve">         </w:t>
      </w:r>
    </w:p>
    <w:p w14:paraId="290B4C00">
      <w:pPr>
        <w:ind w:firstLine="482"/>
        <w:rPr>
          <w:rFonts w:cs="宋体"/>
          <w:b/>
          <w:bCs/>
          <w:highlight w:val="none"/>
          <w:lang w:val="zh-CN"/>
        </w:rPr>
      </w:pPr>
    </w:p>
    <w:p w14:paraId="38FD2511">
      <w:pPr>
        <w:ind w:firstLine="482"/>
        <w:rPr>
          <w:rFonts w:cs="宋体"/>
          <w:b/>
          <w:bCs/>
          <w:highlight w:val="none"/>
          <w:lang w:val="zh-CN"/>
        </w:rPr>
      </w:pPr>
    </w:p>
    <w:p w14:paraId="5B6C376F">
      <w:pPr>
        <w:pStyle w:val="80"/>
        <w:rPr>
          <w:rFonts w:ascii="宋体" w:hAnsi="宋体" w:eastAsia="宋体" w:cs="宋体"/>
          <w:b/>
          <w:color w:val="auto"/>
          <w:highlight w:val="none"/>
          <w:lang w:val="zh-CN"/>
        </w:rPr>
      </w:pPr>
    </w:p>
    <w:p w14:paraId="6292ECFA">
      <w:pPr>
        <w:pStyle w:val="80"/>
        <w:rPr>
          <w:rFonts w:ascii="宋体" w:hAnsi="宋体" w:eastAsia="宋体" w:cs="宋体"/>
          <w:b/>
          <w:color w:val="auto"/>
          <w:highlight w:val="none"/>
          <w:lang w:val="zh-CN"/>
        </w:rPr>
      </w:pPr>
    </w:p>
    <w:p w14:paraId="5D3495C5">
      <w:pPr>
        <w:pStyle w:val="80"/>
        <w:rPr>
          <w:rFonts w:ascii="宋体" w:hAnsi="宋体" w:eastAsia="宋体" w:cs="宋体"/>
          <w:b/>
          <w:color w:val="auto"/>
          <w:highlight w:val="none"/>
          <w:lang w:val="zh-CN"/>
        </w:rPr>
        <w:sectPr>
          <w:headerReference r:id="rId17" w:type="default"/>
          <w:footerReference r:id="rId18" w:type="default"/>
          <w:pgSz w:w="11907" w:h="16840"/>
          <w:pgMar w:top="1247" w:right="1304" w:bottom="1021" w:left="1304" w:header="720" w:footer="720" w:gutter="0"/>
          <w:cols w:space="720" w:num="1"/>
          <w:docGrid w:linePitch="286" w:charSpace="0"/>
        </w:sectPr>
      </w:pPr>
    </w:p>
    <w:p w14:paraId="1B99DC12">
      <w:pPr>
        <w:pStyle w:val="5"/>
        <w:rPr>
          <w:rFonts w:cs="宋体"/>
          <w:szCs w:val="24"/>
          <w:highlight w:val="none"/>
        </w:rPr>
      </w:pPr>
      <w:r>
        <w:rPr>
          <w:rFonts w:hint="eastAsia" w:cs="宋体"/>
          <w:szCs w:val="24"/>
          <w:highlight w:val="none"/>
        </w:rPr>
        <w:t>商务技术文件封面                                                正本（副本）</w:t>
      </w:r>
    </w:p>
    <w:p w14:paraId="032CFAB7">
      <w:pPr>
        <w:ind w:firstLine="482"/>
        <w:jc w:val="center"/>
        <w:rPr>
          <w:rFonts w:cs="宋体"/>
          <w:highlight w:val="none"/>
        </w:rPr>
      </w:pPr>
      <w:r>
        <w:rPr>
          <w:rFonts w:hint="eastAsia" w:cs="宋体"/>
          <w:b/>
          <w:bCs/>
          <w:highlight w:val="none"/>
        </w:rPr>
        <w:t xml:space="preserve"> </w:t>
      </w:r>
    </w:p>
    <w:p w14:paraId="498574C5">
      <w:pPr>
        <w:ind w:firstLine="480"/>
        <w:rPr>
          <w:rFonts w:cs="宋体"/>
          <w:highlight w:val="none"/>
        </w:rPr>
      </w:pPr>
    </w:p>
    <w:p w14:paraId="7C067CBC">
      <w:pPr>
        <w:ind w:firstLine="0" w:firstLineChars="0"/>
        <w:jc w:val="center"/>
        <w:rPr>
          <w:rFonts w:cs="宋体"/>
          <w:sz w:val="32"/>
          <w:szCs w:val="32"/>
          <w:highlight w:val="none"/>
        </w:rPr>
      </w:pPr>
      <w:r>
        <w:rPr>
          <w:rFonts w:hint="eastAsia" w:cs="宋体"/>
          <w:b/>
          <w:bCs/>
          <w:sz w:val="32"/>
          <w:szCs w:val="32"/>
          <w:highlight w:val="none"/>
        </w:rPr>
        <w:t>商务技术文件</w:t>
      </w:r>
    </w:p>
    <w:p w14:paraId="5C0E24D2">
      <w:pPr>
        <w:ind w:firstLine="480"/>
        <w:rPr>
          <w:rFonts w:cs="宋体"/>
          <w:highlight w:val="none"/>
        </w:rPr>
      </w:pPr>
    </w:p>
    <w:p w14:paraId="6FA0DBD6">
      <w:pPr>
        <w:pStyle w:val="80"/>
        <w:rPr>
          <w:rFonts w:ascii="宋体" w:hAnsi="宋体" w:eastAsia="宋体" w:cs="宋体"/>
          <w:color w:val="auto"/>
          <w:highlight w:val="none"/>
        </w:rPr>
      </w:pPr>
    </w:p>
    <w:p w14:paraId="706FE992">
      <w:pPr>
        <w:pStyle w:val="80"/>
        <w:rPr>
          <w:rFonts w:ascii="宋体" w:hAnsi="宋体" w:eastAsia="宋体" w:cs="宋体"/>
          <w:color w:val="auto"/>
          <w:highlight w:val="none"/>
        </w:rPr>
      </w:pPr>
    </w:p>
    <w:p w14:paraId="64533DA6">
      <w:pPr>
        <w:spacing w:line="480" w:lineRule="auto"/>
        <w:ind w:firstLine="576"/>
        <w:rPr>
          <w:rFonts w:cs="宋体"/>
          <w:bCs/>
          <w:spacing w:val="-6"/>
          <w:sz w:val="30"/>
          <w:szCs w:val="30"/>
          <w:highlight w:val="none"/>
        </w:rPr>
      </w:pPr>
      <w:r>
        <w:rPr>
          <w:rFonts w:hint="eastAsia" w:cs="宋体"/>
          <w:bCs/>
          <w:spacing w:val="-6"/>
          <w:sz w:val="30"/>
          <w:szCs w:val="30"/>
          <w:highlight w:val="none"/>
        </w:rPr>
        <w:t>招 标 人：</w:t>
      </w:r>
    </w:p>
    <w:p w14:paraId="053AC87D">
      <w:pPr>
        <w:spacing w:line="480" w:lineRule="auto"/>
        <w:ind w:firstLine="576"/>
        <w:rPr>
          <w:rFonts w:cs="宋体"/>
          <w:bCs/>
          <w:spacing w:val="-6"/>
          <w:sz w:val="30"/>
          <w:szCs w:val="30"/>
          <w:highlight w:val="none"/>
        </w:rPr>
      </w:pPr>
      <w:r>
        <w:rPr>
          <w:rFonts w:hint="eastAsia" w:cs="宋体"/>
          <w:bCs/>
          <w:spacing w:val="-6"/>
          <w:sz w:val="30"/>
          <w:szCs w:val="30"/>
          <w:highlight w:val="none"/>
        </w:rPr>
        <w:t>项目名称：</w:t>
      </w:r>
    </w:p>
    <w:p w14:paraId="63E43469">
      <w:pPr>
        <w:spacing w:line="480" w:lineRule="auto"/>
        <w:ind w:firstLine="576"/>
        <w:rPr>
          <w:rFonts w:cs="宋体"/>
          <w:bCs/>
          <w:spacing w:val="-6"/>
          <w:sz w:val="30"/>
          <w:szCs w:val="30"/>
          <w:highlight w:val="none"/>
        </w:rPr>
      </w:pPr>
      <w:r>
        <w:rPr>
          <w:rFonts w:hint="eastAsia" w:cs="宋体"/>
          <w:bCs/>
          <w:spacing w:val="-6"/>
          <w:sz w:val="30"/>
          <w:szCs w:val="30"/>
          <w:highlight w:val="none"/>
        </w:rPr>
        <w:t>项目编号：</w:t>
      </w:r>
    </w:p>
    <w:p w14:paraId="2A231EDA">
      <w:pPr>
        <w:spacing w:line="480" w:lineRule="auto"/>
        <w:ind w:firstLine="576"/>
        <w:rPr>
          <w:rFonts w:cs="宋体"/>
          <w:bCs/>
          <w:spacing w:val="-6"/>
          <w:sz w:val="30"/>
          <w:szCs w:val="30"/>
          <w:highlight w:val="none"/>
        </w:rPr>
      </w:pPr>
      <w:r>
        <w:rPr>
          <w:rFonts w:hint="eastAsia" w:cs="宋体"/>
          <w:bCs/>
          <w:spacing w:val="-6"/>
          <w:sz w:val="30"/>
          <w:szCs w:val="30"/>
          <w:highlight w:val="none"/>
        </w:rPr>
        <w:t>投标人名称（盖章）：</w:t>
      </w:r>
    </w:p>
    <w:p w14:paraId="102F86BD">
      <w:pPr>
        <w:spacing w:line="480" w:lineRule="auto"/>
        <w:ind w:firstLine="576"/>
        <w:rPr>
          <w:rFonts w:cs="宋体"/>
          <w:bCs/>
          <w:spacing w:val="-6"/>
          <w:sz w:val="30"/>
          <w:szCs w:val="30"/>
          <w:highlight w:val="none"/>
        </w:rPr>
      </w:pPr>
      <w:r>
        <w:rPr>
          <w:rFonts w:hint="eastAsia" w:cs="宋体"/>
          <w:bCs/>
          <w:spacing w:val="-6"/>
          <w:sz w:val="30"/>
          <w:szCs w:val="30"/>
          <w:highlight w:val="none"/>
        </w:rPr>
        <w:t>投标人地址：</w:t>
      </w:r>
    </w:p>
    <w:p w14:paraId="261E45C6">
      <w:pPr>
        <w:ind w:firstLine="576"/>
        <w:rPr>
          <w:rFonts w:cs="宋体"/>
          <w:bCs/>
          <w:spacing w:val="-6"/>
          <w:sz w:val="30"/>
          <w:szCs w:val="30"/>
          <w:highlight w:val="none"/>
        </w:rPr>
      </w:pPr>
    </w:p>
    <w:p w14:paraId="250D2FA0">
      <w:pPr>
        <w:spacing w:line="480" w:lineRule="auto"/>
        <w:ind w:firstLine="576"/>
        <w:rPr>
          <w:rFonts w:cs="宋体"/>
          <w:bCs/>
          <w:spacing w:val="-6"/>
          <w:sz w:val="30"/>
          <w:szCs w:val="30"/>
          <w:highlight w:val="none"/>
        </w:rPr>
      </w:pPr>
      <w:r>
        <w:rPr>
          <w:rFonts w:hint="eastAsia" w:cs="宋体"/>
          <w:spacing w:val="-6"/>
          <w:sz w:val="30"/>
          <w:szCs w:val="30"/>
          <w:highlight w:val="none"/>
        </w:rPr>
        <w:t>法定代表人或其授权代表（签字）</w:t>
      </w:r>
      <w:r>
        <w:rPr>
          <w:rFonts w:hint="eastAsia" w:cs="宋体"/>
          <w:bCs/>
          <w:spacing w:val="-6"/>
          <w:sz w:val="30"/>
          <w:szCs w:val="30"/>
          <w:highlight w:val="none"/>
        </w:rPr>
        <w:t>：</w:t>
      </w:r>
    </w:p>
    <w:p w14:paraId="0127ED4E">
      <w:pPr>
        <w:spacing w:line="480" w:lineRule="auto"/>
        <w:ind w:firstLine="576"/>
        <w:rPr>
          <w:rFonts w:cs="宋体"/>
          <w:highlight w:val="none"/>
        </w:rPr>
        <w:sectPr>
          <w:headerReference r:id="rId19" w:type="default"/>
          <w:pgSz w:w="11907" w:h="16840"/>
          <w:pgMar w:top="1247" w:right="1304" w:bottom="1021" w:left="1304" w:header="720" w:footer="720" w:gutter="0"/>
          <w:cols w:space="720" w:num="1"/>
          <w:docGrid w:linePitch="286" w:charSpace="0"/>
        </w:sectPr>
      </w:pPr>
      <w:r>
        <w:rPr>
          <w:rFonts w:hint="eastAsia" w:cs="宋体"/>
          <w:bCs/>
          <w:spacing w:val="-6"/>
          <w:sz w:val="30"/>
          <w:szCs w:val="30"/>
          <w:highlight w:val="none"/>
        </w:rPr>
        <w:t>日期：    年  月  日</w:t>
      </w:r>
    </w:p>
    <w:p w14:paraId="064EEE32">
      <w:pPr>
        <w:ind w:firstLine="0" w:firstLineChars="0"/>
        <w:rPr>
          <w:rFonts w:cs="宋体"/>
          <w:b/>
          <w:kern w:val="0"/>
          <w:sz w:val="10"/>
          <w:szCs w:val="10"/>
          <w:highlight w:val="none"/>
        </w:rPr>
      </w:pPr>
      <w:bookmarkStart w:id="84" w:name="_Toc7692"/>
    </w:p>
    <w:p w14:paraId="1F6E98CC">
      <w:pPr>
        <w:spacing w:line="480" w:lineRule="auto"/>
        <w:ind w:firstLine="0" w:firstLineChars="0"/>
        <w:jc w:val="center"/>
        <w:outlineLvl w:val="0"/>
        <w:rPr>
          <w:rFonts w:cs="宋体"/>
          <w:b/>
          <w:kern w:val="0"/>
          <w:sz w:val="28"/>
          <w:szCs w:val="28"/>
          <w:highlight w:val="none"/>
        </w:rPr>
      </w:pPr>
      <w:r>
        <w:rPr>
          <w:rFonts w:hint="eastAsia" w:cs="宋体"/>
          <w:b/>
          <w:bCs/>
          <w:sz w:val="32"/>
          <w:szCs w:val="32"/>
          <w:highlight w:val="none"/>
        </w:rPr>
        <w:t>商务技术</w:t>
      </w:r>
      <w:r>
        <w:rPr>
          <w:rFonts w:hint="eastAsia" w:cs="宋体"/>
          <w:b/>
          <w:bCs/>
          <w:kern w:val="0"/>
          <w:sz w:val="32"/>
          <w:szCs w:val="32"/>
          <w:highlight w:val="none"/>
        </w:rPr>
        <w:t>文</w:t>
      </w:r>
      <w:r>
        <w:rPr>
          <w:rFonts w:hint="eastAsia" w:cs="宋体"/>
          <w:b/>
          <w:kern w:val="0"/>
          <w:sz w:val="32"/>
          <w:szCs w:val="32"/>
          <w:highlight w:val="none"/>
        </w:rPr>
        <w:t>件目录</w:t>
      </w:r>
      <w:bookmarkEnd w:id="84"/>
    </w:p>
    <w:p w14:paraId="5ABE3FE4">
      <w:pPr>
        <w:spacing w:line="480" w:lineRule="auto"/>
        <w:ind w:firstLine="480"/>
        <w:rPr>
          <w:rFonts w:cs="宋体"/>
          <w:highlight w:val="none"/>
        </w:rPr>
      </w:pPr>
      <w:r>
        <w:rPr>
          <w:rFonts w:hint="eastAsia" w:cs="宋体"/>
          <w:highlight w:val="none"/>
        </w:rPr>
        <w:t>1.评分索引表；（附件七）</w:t>
      </w:r>
    </w:p>
    <w:p w14:paraId="2D60E34B">
      <w:pPr>
        <w:spacing w:line="480" w:lineRule="auto"/>
        <w:ind w:firstLine="480"/>
        <w:rPr>
          <w:rFonts w:cs="宋体"/>
          <w:highlight w:val="none"/>
        </w:rPr>
      </w:pPr>
      <w:r>
        <w:rPr>
          <w:rFonts w:hint="eastAsia" w:cs="宋体"/>
          <w:highlight w:val="none"/>
        </w:rPr>
        <w:t>2.商务偏离表；（附件八）</w:t>
      </w:r>
    </w:p>
    <w:p w14:paraId="1B6A439E">
      <w:pPr>
        <w:spacing w:line="480" w:lineRule="auto"/>
        <w:ind w:left="480" w:leftChars="200" w:firstLine="0" w:firstLineChars="0"/>
        <w:rPr>
          <w:rFonts w:hint="default" w:eastAsia="宋体" w:cs="宋体"/>
          <w:highlight w:val="none"/>
          <w:lang w:val="en-US" w:eastAsia="zh-CN"/>
        </w:rPr>
      </w:pPr>
      <w:r>
        <w:rPr>
          <w:rFonts w:hint="eastAsia" w:cs="宋体"/>
          <w:highlight w:val="none"/>
        </w:rPr>
        <w:t>3.</w:t>
      </w:r>
      <w:r>
        <w:rPr>
          <w:rFonts w:hint="eastAsia" w:cs="宋体"/>
          <w:highlight w:val="none"/>
          <w:lang w:val="en-US" w:eastAsia="zh-CN"/>
        </w:rPr>
        <w:t>技术指标响应程度</w:t>
      </w:r>
      <w:r>
        <w:rPr>
          <w:rFonts w:hint="eastAsia" w:asciiTheme="minorEastAsia" w:hAnsiTheme="minorEastAsia" w:eastAsiaTheme="minorEastAsia" w:cstheme="minorEastAsia"/>
          <w:kern w:val="0"/>
          <w:highlight w:val="none"/>
        </w:rPr>
        <w:t>（以技术规范偏离表为评审依据）</w:t>
      </w:r>
      <w:r>
        <w:rPr>
          <w:rFonts w:hint="eastAsia" w:cs="宋体"/>
          <w:highlight w:val="none"/>
          <w:lang w:val="en-US" w:eastAsia="zh-CN"/>
        </w:rPr>
        <w:t>；（附件九）</w:t>
      </w:r>
    </w:p>
    <w:p w14:paraId="61AFEFC3">
      <w:pPr>
        <w:spacing w:line="480" w:lineRule="auto"/>
        <w:ind w:firstLine="480"/>
        <w:rPr>
          <w:rFonts w:cs="宋体"/>
          <w:highlight w:val="none"/>
        </w:rPr>
      </w:pPr>
      <w:r>
        <w:rPr>
          <w:rFonts w:hint="eastAsia" w:cs="宋体"/>
          <w:highlight w:val="none"/>
        </w:rPr>
        <w:t>4.</w:t>
      </w:r>
      <w:r>
        <w:rPr>
          <w:rFonts w:hint="eastAsia" w:asciiTheme="minorEastAsia" w:hAnsiTheme="minorEastAsia" w:eastAsiaTheme="minorEastAsia" w:cstheme="minorEastAsia"/>
          <w:highlight w:val="none"/>
          <w:lang w:val="en-US" w:eastAsia="zh-CN"/>
        </w:rPr>
        <w:t>项目实施方案</w:t>
      </w:r>
      <w:r>
        <w:rPr>
          <w:rFonts w:hint="eastAsia" w:cs="宋体"/>
          <w:highlight w:val="none"/>
        </w:rPr>
        <w:t>；</w:t>
      </w:r>
    </w:p>
    <w:p w14:paraId="3138AF85">
      <w:pPr>
        <w:spacing w:line="480" w:lineRule="auto"/>
        <w:ind w:firstLine="480"/>
        <w:rPr>
          <w:rFonts w:cs="宋体"/>
          <w:highlight w:val="none"/>
        </w:rPr>
      </w:pPr>
      <w:r>
        <w:rPr>
          <w:rFonts w:hint="eastAsia" w:cs="宋体"/>
          <w:highlight w:val="none"/>
        </w:rPr>
        <w:t>5.</w:t>
      </w:r>
      <w:r>
        <w:rPr>
          <w:rFonts w:hint="eastAsia" w:cs="宋体"/>
          <w:highlight w:val="none"/>
          <w:lang w:val="en-US" w:eastAsia="zh-CN"/>
        </w:rPr>
        <w:t>质量保证措施</w:t>
      </w:r>
      <w:r>
        <w:rPr>
          <w:rFonts w:hint="eastAsia" w:cs="宋体"/>
          <w:highlight w:val="none"/>
        </w:rPr>
        <w:t>；</w:t>
      </w:r>
    </w:p>
    <w:p w14:paraId="13375258">
      <w:pPr>
        <w:spacing w:line="480" w:lineRule="auto"/>
        <w:ind w:firstLine="480"/>
        <w:rPr>
          <w:rFonts w:cs="宋体"/>
          <w:highlight w:val="none"/>
        </w:rPr>
      </w:pPr>
      <w:r>
        <w:rPr>
          <w:rFonts w:hint="eastAsia" w:cs="宋体"/>
          <w:highlight w:val="none"/>
        </w:rPr>
        <w:t>6.</w:t>
      </w:r>
      <w:r>
        <w:rPr>
          <w:rFonts w:hint="eastAsia" w:cs="宋体"/>
          <w:highlight w:val="none"/>
          <w:lang w:val="en-US" w:eastAsia="zh-CN"/>
        </w:rPr>
        <w:t>安装调试方案</w:t>
      </w:r>
      <w:r>
        <w:rPr>
          <w:rFonts w:hint="eastAsia" w:cs="宋体"/>
          <w:highlight w:val="none"/>
        </w:rPr>
        <w:t>；</w:t>
      </w:r>
    </w:p>
    <w:p w14:paraId="029D3DB1">
      <w:pPr>
        <w:spacing w:line="480" w:lineRule="auto"/>
        <w:ind w:firstLine="480"/>
        <w:rPr>
          <w:rFonts w:cs="宋体"/>
          <w:highlight w:val="none"/>
        </w:rPr>
      </w:pPr>
      <w:r>
        <w:rPr>
          <w:rFonts w:hint="eastAsia" w:cs="宋体"/>
          <w:highlight w:val="none"/>
        </w:rPr>
        <w:t>7.</w:t>
      </w:r>
      <w:r>
        <w:rPr>
          <w:rFonts w:hint="eastAsia" w:cs="宋体"/>
          <w:highlight w:val="none"/>
          <w:lang w:val="en-US" w:eastAsia="zh-CN"/>
        </w:rPr>
        <w:t>项目进度计划及安排</w:t>
      </w:r>
      <w:r>
        <w:rPr>
          <w:rFonts w:hint="eastAsia" w:cs="宋体"/>
          <w:highlight w:val="none"/>
        </w:rPr>
        <w:t>；</w:t>
      </w:r>
    </w:p>
    <w:p w14:paraId="4AC15E5D">
      <w:pPr>
        <w:spacing w:line="480" w:lineRule="auto"/>
        <w:ind w:firstLine="480"/>
        <w:rPr>
          <w:rFonts w:hint="eastAsia" w:eastAsia="宋体" w:cs="宋体"/>
          <w:highlight w:val="none"/>
          <w:lang w:eastAsia="zh-CN"/>
        </w:rPr>
      </w:pPr>
      <w:r>
        <w:rPr>
          <w:rFonts w:hint="eastAsia" w:cs="宋体"/>
          <w:highlight w:val="none"/>
        </w:rPr>
        <w:t>8.</w:t>
      </w:r>
      <w:r>
        <w:rPr>
          <w:rFonts w:hint="eastAsia" w:cs="宋体"/>
          <w:highlight w:val="none"/>
          <w:lang w:val="en-US" w:eastAsia="zh-CN"/>
        </w:rPr>
        <w:t>检测报告</w:t>
      </w:r>
      <w:r>
        <w:rPr>
          <w:rFonts w:hint="eastAsia" w:cs="宋体"/>
          <w:highlight w:val="none"/>
        </w:rPr>
        <w:t>；</w:t>
      </w:r>
      <w:r>
        <w:rPr>
          <w:rFonts w:hint="eastAsia" w:cs="宋体"/>
          <w:highlight w:val="none"/>
          <w:lang w:eastAsia="zh-CN"/>
        </w:rPr>
        <w:t>（</w:t>
      </w:r>
      <w:r>
        <w:rPr>
          <w:rFonts w:hint="eastAsia" w:cs="宋体"/>
          <w:highlight w:val="none"/>
          <w:lang w:val="en-US" w:eastAsia="zh-CN"/>
        </w:rPr>
        <w:t>如有</w:t>
      </w:r>
      <w:r>
        <w:rPr>
          <w:rFonts w:hint="eastAsia" w:cs="宋体"/>
          <w:highlight w:val="none"/>
          <w:lang w:eastAsia="zh-CN"/>
        </w:rPr>
        <w:t>）</w:t>
      </w:r>
    </w:p>
    <w:p w14:paraId="560E1119">
      <w:pPr>
        <w:spacing w:line="480" w:lineRule="auto"/>
        <w:ind w:firstLine="480"/>
        <w:rPr>
          <w:rFonts w:cs="宋体"/>
          <w:highlight w:val="none"/>
        </w:rPr>
      </w:pPr>
      <w:r>
        <w:rPr>
          <w:rFonts w:hint="eastAsia" w:cs="宋体"/>
          <w:highlight w:val="none"/>
        </w:rPr>
        <w:t>9.</w:t>
      </w:r>
      <w:r>
        <w:rPr>
          <w:rFonts w:hint="eastAsia" w:asciiTheme="minorEastAsia" w:hAnsiTheme="minorEastAsia" w:eastAsiaTheme="minorEastAsia" w:cstheme="minorEastAsia"/>
          <w:kern w:val="0"/>
          <w:highlight w:val="none"/>
          <w:lang w:val="en-US" w:eastAsia="zh-CN"/>
        </w:rPr>
        <w:t>生产设备；（如有）</w:t>
      </w:r>
    </w:p>
    <w:p w14:paraId="60A66E92">
      <w:pPr>
        <w:spacing w:line="480" w:lineRule="auto"/>
        <w:ind w:firstLine="480"/>
        <w:rPr>
          <w:rFonts w:hint="eastAsia" w:eastAsia="宋体" w:cs="宋体"/>
          <w:highlight w:val="none"/>
          <w:lang w:eastAsia="zh-CN"/>
        </w:rPr>
      </w:pPr>
      <w:r>
        <w:rPr>
          <w:rFonts w:hint="eastAsia" w:cs="宋体"/>
          <w:highlight w:val="none"/>
        </w:rPr>
        <w:t>10.</w:t>
      </w:r>
      <w:r>
        <w:rPr>
          <w:rFonts w:hint="eastAsia" w:asciiTheme="minorEastAsia" w:hAnsiTheme="minorEastAsia" w:eastAsiaTheme="minorEastAsia" w:cstheme="minorEastAsia"/>
          <w:highlight w:val="none"/>
          <w:lang w:val="en-US" w:eastAsia="zh-CN"/>
        </w:rPr>
        <w:t>样品分</w:t>
      </w:r>
      <w:r>
        <w:rPr>
          <w:rFonts w:hint="eastAsia" w:cs="宋体"/>
          <w:highlight w:val="none"/>
        </w:rPr>
        <w:t>；</w:t>
      </w:r>
      <w:r>
        <w:rPr>
          <w:rFonts w:hint="eastAsia" w:cs="宋体"/>
          <w:highlight w:val="none"/>
          <w:lang w:eastAsia="zh-CN"/>
        </w:rPr>
        <w:t>（如有）</w:t>
      </w:r>
    </w:p>
    <w:p w14:paraId="2A1A2603">
      <w:pPr>
        <w:spacing w:line="480" w:lineRule="auto"/>
        <w:ind w:left="480" w:leftChars="200" w:firstLine="0" w:firstLineChars="0"/>
        <w:rPr>
          <w:rFonts w:cs="宋体"/>
          <w:highlight w:val="none"/>
        </w:rPr>
      </w:pPr>
      <w:r>
        <w:rPr>
          <w:rFonts w:hint="eastAsia" w:cs="宋体"/>
          <w:highlight w:val="none"/>
        </w:rPr>
        <w:t>11.</w:t>
      </w:r>
      <w:r>
        <w:rPr>
          <w:rFonts w:hint="eastAsia" w:cs="宋体"/>
          <w:highlight w:val="none"/>
          <w:lang w:val="en-US" w:eastAsia="zh-CN"/>
        </w:rPr>
        <w:t>售后服务方案</w:t>
      </w:r>
      <w:r>
        <w:rPr>
          <w:rFonts w:hint="eastAsia" w:cs="宋体"/>
          <w:highlight w:val="none"/>
        </w:rPr>
        <w:t>；</w:t>
      </w:r>
    </w:p>
    <w:p w14:paraId="15FA7D13">
      <w:pPr>
        <w:adjustRightInd w:val="0"/>
        <w:snapToGrid w:val="0"/>
        <w:spacing w:line="480" w:lineRule="auto"/>
        <w:ind w:firstLine="480"/>
        <w:rPr>
          <w:rFonts w:cs="宋体"/>
          <w:highlight w:val="none"/>
        </w:rPr>
      </w:pPr>
      <w:r>
        <w:rPr>
          <w:rFonts w:hint="eastAsia" w:cs="宋体"/>
          <w:highlight w:val="none"/>
        </w:rPr>
        <w:t>12.</w:t>
      </w:r>
      <w:r>
        <w:rPr>
          <w:rFonts w:hint="eastAsia" w:cs="宋体"/>
          <w:highlight w:val="none"/>
          <w:lang w:val="en-US" w:eastAsia="zh-CN"/>
        </w:rPr>
        <w:t>质保期</w:t>
      </w:r>
      <w:r>
        <w:rPr>
          <w:rFonts w:hint="eastAsia" w:cs="宋体"/>
          <w:highlight w:val="none"/>
        </w:rPr>
        <w:t>；</w:t>
      </w:r>
    </w:p>
    <w:p w14:paraId="3DB2F505">
      <w:pPr>
        <w:adjustRightInd w:val="0"/>
        <w:snapToGrid w:val="0"/>
        <w:spacing w:line="480" w:lineRule="auto"/>
        <w:ind w:firstLine="480"/>
        <w:rPr>
          <w:rFonts w:cs="宋体"/>
          <w:highlight w:val="none"/>
        </w:rPr>
      </w:pPr>
      <w:r>
        <w:rPr>
          <w:rFonts w:hint="eastAsia" w:cs="宋体"/>
          <w:highlight w:val="none"/>
        </w:rPr>
        <w:t>13.</w:t>
      </w:r>
      <w:r>
        <w:rPr>
          <w:rFonts w:hint="eastAsia" w:cs="宋体"/>
          <w:highlight w:val="none"/>
          <w:lang w:val="en-US" w:eastAsia="zh-CN"/>
        </w:rPr>
        <w:t>优惠承诺</w:t>
      </w:r>
      <w:r>
        <w:rPr>
          <w:rFonts w:hint="eastAsia" w:cs="宋体"/>
          <w:highlight w:val="none"/>
        </w:rPr>
        <w:t>；</w:t>
      </w:r>
    </w:p>
    <w:p w14:paraId="222CD980">
      <w:pPr>
        <w:spacing w:line="480" w:lineRule="auto"/>
        <w:ind w:left="480" w:leftChars="200" w:firstLine="0" w:firstLineChars="0"/>
        <w:rPr>
          <w:rFonts w:hint="eastAsia" w:cs="宋体"/>
          <w:highlight w:val="none"/>
          <w:lang w:val="en-US" w:eastAsia="zh-CN"/>
        </w:rPr>
      </w:pPr>
      <w:r>
        <w:rPr>
          <w:rFonts w:hint="eastAsia" w:cs="宋体"/>
          <w:highlight w:val="none"/>
        </w:rPr>
        <w:t>14.</w:t>
      </w:r>
      <w:r>
        <w:rPr>
          <w:rFonts w:hint="eastAsia" w:cs="宋体"/>
          <w:highlight w:val="none"/>
          <w:lang w:val="en-US" w:eastAsia="zh-CN"/>
        </w:rPr>
        <w:t>企业认证；（如有）</w:t>
      </w:r>
    </w:p>
    <w:p w14:paraId="7CCF0C97">
      <w:pPr>
        <w:spacing w:line="480" w:lineRule="auto"/>
        <w:ind w:left="480" w:leftChars="200" w:firstLine="0" w:firstLineChars="0"/>
        <w:rPr>
          <w:rFonts w:hint="eastAsia" w:eastAsia="宋体" w:cs="宋体"/>
          <w:highlight w:val="none"/>
          <w:lang w:val="en-US" w:eastAsia="zh-CN"/>
        </w:rPr>
      </w:pPr>
      <w:r>
        <w:rPr>
          <w:rFonts w:hint="eastAsia" w:cs="宋体"/>
          <w:highlight w:val="none"/>
          <w:lang w:val="en-US" w:eastAsia="zh-CN"/>
        </w:rPr>
        <w:t>15.类似业绩：</w:t>
      </w:r>
      <w:r>
        <w:rPr>
          <w:rFonts w:hint="eastAsia" w:cs="宋体"/>
          <w:b w:val="0"/>
          <w:bCs w:val="0"/>
          <w:sz w:val="24"/>
          <w:szCs w:val="24"/>
          <w:highlight w:val="none"/>
        </w:rPr>
        <w:t>同类项目实施情况一览表</w:t>
      </w:r>
      <w:r>
        <w:rPr>
          <w:rFonts w:hint="eastAsia" w:cs="宋体"/>
          <w:b w:val="0"/>
          <w:bCs w:val="0"/>
          <w:sz w:val="24"/>
          <w:szCs w:val="24"/>
          <w:highlight w:val="none"/>
          <w:lang w:eastAsia="zh-CN"/>
        </w:rPr>
        <w:t>；（附件十）</w:t>
      </w:r>
    </w:p>
    <w:p w14:paraId="1BADFE76">
      <w:pPr>
        <w:spacing w:line="480" w:lineRule="auto"/>
        <w:ind w:left="480" w:leftChars="200" w:firstLine="0" w:firstLineChars="0"/>
        <w:rPr>
          <w:rFonts w:cs="宋体"/>
          <w:highlight w:val="none"/>
        </w:rPr>
      </w:pPr>
      <w:r>
        <w:rPr>
          <w:rFonts w:hint="eastAsia" w:cs="宋体"/>
          <w:highlight w:val="none"/>
          <w:lang w:val="en-US" w:eastAsia="zh-CN"/>
        </w:rPr>
        <w:t>16.</w:t>
      </w:r>
      <w:r>
        <w:rPr>
          <w:rFonts w:hint="eastAsia" w:cs="宋体"/>
          <w:highlight w:val="none"/>
        </w:rPr>
        <w:t>其它本招标文件评分表要求提供的材料或投标人认为需要补充的其他资料或说明。</w:t>
      </w:r>
    </w:p>
    <w:p w14:paraId="49A7CABA">
      <w:pPr>
        <w:pStyle w:val="80"/>
        <w:rPr>
          <w:rFonts w:hint="eastAsia" w:ascii="宋体" w:hAnsi="宋体" w:eastAsia="宋体" w:cs="宋体"/>
          <w:color w:val="auto"/>
          <w:highlight w:val="none"/>
          <w:lang w:eastAsia="zh-CN"/>
        </w:rPr>
      </w:pPr>
    </w:p>
    <w:p w14:paraId="5DEB9664">
      <w:pPr>
        <w:bidi w:val="0"/>
        <w:rPr>
          <w:rFonts w:hint="eastAsia" w:ascii="宋体" w:hAnsi="宋体" w:eastAsia="宋体" w:cs="宋体"/>
          <w:color w:val="auto"/>
          <w:highlight w:val="none"/>
          <w:lang w:eastAsia="zh-CN"/>
        </w:rPr>
      </w:pPr>
      <w:r>
        <w:rPr>
          <w:rFonts w:hint="eastAsia"/>
          <w:b/>
          <w:bCs/>
          <w:highlight w:val="none"/>
          <w:lang w:eastAsia="zh-CN"/>
        </w:rPr>
        <w:t>注：</w:t>
      </w:r>
      <w:r>
        <w:rPr>
          <w:rFonts w:hint="eastAsia" w:cs="宋体"/>
          <w:b/>
          <w:bCs/>
          <w:highlight w:val="none"/>
          <w:lang w:eastAsia="zh-CN"/>
        </w:rPr>
        <w:t>具体内容按照各标项评分表中的“评审因素”要求提供</w:t>
      </w:r>
    </w:p>
    <w:p w14:paraId="15CB72B7">
      <w:pPr>
        <w:ind w:firstLine="480"/>
        <w:rPr>
          <w:rFonts w:cs="宋体"/>
          <w:iCs/>
          <w:highlight w:val="none"/>
        </w:rPr>
      </w:pPr>
      <w:r>
        <w:rPr>
          <w:rFonts w:hint="eastAsia" w:cs="宋体"/>
          <w:iCs/>
          <w:highlight w:val="none"/>
        </w:rPr>
        <w:br w:type="page"/>
      </w:r>
    </w:p>
    <w:p w14:paraId="143789CF">
      <w:pPr>
        <w:pStyle w:val="14"/>
        <w:spacing w:line="240" w:lineRule="auto"/>
        <w:ind w:firstLine="0"/>
        <w:rPr>
          <w:rFonts w:hAnsi="宋体" w:cs="宋体"/>
          <w:b/>
          <w:bCs/>
          <w:highlight w:val="none"/>
        </w:rPr>
      </w:pPr>
      <w:r>
        <w:rPr>
          <w:rFonts w:hint="eastAsia" w:hAnsi="宋体" w:cs="宋体"/>
          <w:b/>
          <w:bCs/>
          <w:highlight w:val="none"/>
        </w:rPr>
        <w:t>附件七</w:t>
      </w:r>
    </w:p>
    <w:p w14:paraId="1D09DB3C">
      <w:pPr>
        <w:ind w:firstLine="0" w:firstLineChars="0"/>
        <w:jc w:val="center"/>
        <w:rPr>
          <w:rFonts w:cs="宋体"/>
          <w:b/>
          <w:spacing w:val="-6"/>
          <w:sz w:val="28"/>
          <w:szCs w:val="28"/>
          <w:highlight w:val="none"/>
        </w:rPr>
      </w:pPr>
      <w:r>
        <w:rPr>
          <w:rFonts w:hint="eastAsia" w:cs="宋体"/>
          <w:b/>
          <w:spacing w:val="-6"/>
          <w:sz w:val="28"/>
          <w:szCs w:val="28"/>
          <w:highlight w:val="none"/>
        </w:rPr>
        <w:t>评分索引表</w:t>
      </w:r>
    </w:p>
    <w:tbl>
      <w:tblPr>
        <w:tblStyle w:val="45"/>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05"/>
        <w:gridCol w:w="5039"/>
        <w:gridCol w:w="1125"/>
        <w:gridCol w:w="975"/>
      </w:tblGrid>
      <w:tr w14:paraId="2316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89" w:type="dxa"/>
          </w:tcPr>
          <w:p w14:paraId="72FD26A9">
            <w:pPr>
              <w:spacing w:line="460" w:lineRule="exact"/>
              <w:ind w:firstLine="0" w:firstLineChars="0"/>
              <w:jc w:val="center"/>
              <w:rPr>
                <w:rFonts w:cs="宋体"/>
                <w:b/>
                <w:kern w:val="0"/>
                <w:highlight w:val="none"/>
              </w:rPr>
            </w:pPr>
            <w:r>
              <w:rPr>
                <w:rFonts w:hint="eastAsia" w:cs="宋体"/>
                <w:bCs/>
                <w:kern w:val="0"/>
                <w:highlight w:val="none"/>
              </w:rPr>
              <w:t>序号</w:t>
            </w:r>
          </w:p>
        </w:tc>
        <w:tc>
          <w:tcPr>
            <w:tcW w:w="1705" w:type="dxa"/>
          </w:tcPr>
          <w:p w14:paraId="36B3FF87">
            <w:pPr>
              <w:spacing w:line="460" w:lineRule="exact"/>
              <w:ind w:firstLine="0" w:firstLineChars="0"/>
              <w:jc w:val="center"/>
              <w:rPr>
                <w:rFonts w:cs="宋体"/>
                <w:b/>
                <w:kern w:val="0"/>
                <w:highlight w:val="none"/>
              </w:rPr>
            </w:pPr>
            <w:r>
              <w:rPr>
                <w:rFonts w:hint="eastAsia" w:cs="宋体"/>
                <w:bCs/>
                <w:kern w:val="0"/>
                <w:highlight w:val="none"/>
              </w:rPr>
              <w:t>评审因素</w:t>
            </w:r>
          </w:p>
        </w:tc>
        <w:tc>
          <w:tcPr>
            <w:tcW w:w="5039" w:type="dxa"/>
          </w:tcPr>
          <w:p w14:paraId="7F1220C0">
            <w:pPr>
              <w:spacing w:line="460" w:lineRule="exact"/>
              <w:ind w:firstLine="0" w:firstLineChars="0"/>
              <w:jc w:val="center"/>
              <w:rPr>
                <w:rFonts w:cs="宋体"/>
                <w:b/>
                <w:kern w:val="0"/>
                <w:highlight w:val="none"/>
              </w:rPr>
            </w:pPr>
            <w:r>
              <w:rPr>
                <w:rFonts w:hint="eastAsia" w:cs="宋体"/>
                <w:bCs/>
                <w:kern w:val="0"/>
                <w:highlight w:val="none"/>
              </w:rPr>
              <w:t>评分标准</w:t>
            </w:r>
          </w:p>
        </w:tc>
        <w:tc>
          <w:tcPr>
            <w:tcW w:w="1125" w:type="dxa"/>
          </w:tcPr>
          <w:p w14:paraId="3AB2981F">
            <w:pPr>
              <w:spacing w:line="460" w:lineRule="exact"/>
              <w:ind w:firstLine="0" w:firstLineChars="0"/>
              <w:jc w:val="center"/>
              <w:rPr>
                <w:rFonts w:cs="宋体"/>
                <w:b/>
                <w:kern w:val="0"/>
                <w:highlight w:val="none"/>
              </w:rPr>
            </w:pPr>
            <w:r>
              <w:rPr>
                <w:rFonts w:hint="eastAsia" w:cs="宋体"/>
                <w:bCs/>
                <w:kern w:val="0"/>
                <w:highlight w:val="none"/>
              </w:rPr>
              <w:t>自评分</w:t>
            </w:r>
          </w:p>
        </w:tc>
        <w:tc>
          <w:tcPr>
            <w:tcW w:w="975" w:type="dxa"/>
          </w:tcPr>
          <w:p w14:paraId="36B7B853">
            <w:pPr>
              <w:spacing w:line="240" w:lineRule="auto"/>
              <w:ind w:firstLine="0" w:firstLineChars="0"/>
              <w:jc w:val="center"/>
              <w:rPr>
                <w:rFonts w:cs="宋体"/>
                <w:b/>
                <w:kern w:val="0"/>
                <w:highlight w:val="none"/>
              </w:rPr>
            </w:pPr>
            <w:r>
              <w:rPr>
                <w:rFonts w:hint="eastAsia" w:cs="宋体"/>
                <w:bCs/>
                <w:kern w:val="0"/>
                <w:highlight w:val="none"/>
              </w:rPr>
              <w:t>投标文件页码</w:t>
            </w:r>
          </w:p>
        </w:tc>
      </w:tr>
      <w:tr w14:paraId="3A8F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restart"/>
          </w:tcPr>
          <w:p w14:paraId="2EA14194">
            <w:pPr>
              <w:ind w:firstLine="0" w:firstLineChars="0"/>
              <w:jc w:val="center"/>
              <w:rPr>
                <w:rFonts w:cs="宋体"/>
                <w:bCs/>
                <w:kern w:val="0"/>
                <w:highlight w:val="none"/>
              </w:rPr>
            </w:pPr>
          </w:p>
          <w:p w14:paraId="6CD68BCD">
            <w:pPr>
              <w:ind w:firstLine="0" w:firstLineChars="0"/>
              <w:jc w:val="center"/>
              <w:rPr>
                <w:rFonts w:cs="宋体"/>
                <w:bCs/>
                <w:kern w:val="0"/>
                <w:highlight w:val="none"/>
              </w:rPr>
            </w:pPr>
            <w:r>
              <w:rPr>
                <w:rFonts w:hint="eastAsia" w:cs="宋体"/>
                <w:bCs/>
                <w:kern w:val="0"/>
                <w:highlight w:val="none"/>
              </w:rPr>
              <w:t>1</w:t>
            </w:r>
          </w:p>
        </w:tc>
        <w:tc>
          <w:tcPr>
            <w:tcW w:w="1705" w:type="dxa"/>
            <w:vMerge w:val="restart"/>
          </w:tcPr>
          <w:p w14:paraId="75D60CF8">
            <w:pPr>
              <w:ind w:firstLine="480"/>
              <w:rPr>
                <w:highlight w:val="none"/>
              </w:rPr>
            </w:pPr>
          </w:p>
          <w:p w14:paraId="1E786164">
            <w:pPr>
              <w:pStyle w:val="6"/>
              <w:ind w:firstLine="0" w:firstLineChars="0"/>
              <w:jc w:val="center"/>
              <w:rPr>
                <w:rFonts w:cs="宋体"/>
                <w:b w:val="0"/>
                <w:bCs w:val="0"/>
                <w:kern w:val="0"/>
                <w:highlight w:val="none"/>
              </w:rPr>
            </w:pPr>
            <w:r>
              <w:rPr>
                <w:rFonts w:hint="eastAsia" w:cs="宋体"/>
                <w:b w:val="0"/>
                <w:bCs w:val="0"/>
                <w:kern w:val="0"/>
                <w:highlight w:val="none"/>
              </w:rPr>
              <w:t>商务及资信分</w:t>
            </w:r>
          </w:p>
          <w:p w14:paraId="366C39AD">
            <w:pPr>
              <w:pStyle w:val="6"/>
              <w:ind w:firstLine="0" w:firstLineChars="0"/>
              <w:jc w:val="center"/>
              <w:rPr>
                <w:highlight w:val="none"/>
              </w:rPr>
            </w:pPr>
          </w:p>
        </w:tc>
        <w:tc>
          <w:tcPr>
            <w:tcW w:w="5039" w:type="dxa"/>
          </w:tcPr>
          <w:p w14:paraId="4D3861A3">
            <w:pPr>
              <w:ind w:firstLine="482"/>
              <w:rPr>
                <w:rFonts w:cs="宋体"/>
                <w:b/>
                <w:kern w:val="0"/>
                <w:highlight w:val="none"/>
              </w:rPr>
            </w:pPr>
          </w:p>
        </w:tc>
        <w:tc>
          <w:tcPr>
            <w:tcW w:w="1125" w:type="dxa"/>
          </w:tcPr>
          <w:p w14:paraId="0CA97827">
            <w:pPr>
              <w:ind w:firstLine="482"/>
              <w:rPr>
                <w:rFonts w:cs="宋体"/>
                <w:b/>
                <w:kern w:val="0"/>
                <w:highlight w:val="none"/>
              </w:rPr>
            </w:pPr>
          </w:p>
        </w:tc>
        <w:tc>
          <w:tcPr>
            <w:tcW w:w="975" w:type="dxa"/>
          </w:tcPr>
          <w:p w14:paraId="2D98117D">
            <w:pPr>
              <w:ind w:firstLine="482"/>
              <w:rPr>
                <w:rFonts w:cs="宋体"/>
                <w:b/>
                <w:kern w:val="0"/>
                <w:highlight w:val="none"/>
              </w:rPr>
            </w:pPr>
          </w:p>
        </w:tc>
      </w:tr>
      <w:tr w14:paraId="4B7B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46F17C25">
            <w:pPr>
              <w:ind w:firstLine="482"/>
              <w:rPr>
                <w:rFonts w:cs="宋体"/>
                <w:b/>
                <w:kern w:val="0"/>
                <w:highlight w:val="none"/>
              </w:rPr>
            </w:pPr>
          </w:p>
        </w:tc>
        <w:tc>
          <w:tcPr>
            <w:tcW w:w="1705" w:type="dxa"/>
            <w:vMerge w:val="continue"/>
          </w:tcPr>
          <w:p w14:paraId="49947D65">
            <w:pPr>
              <w:ind w:firstLine="482"/>
              <w:rPr>
                <w:rFonts w:cs="宋体"/>
                <w:b/>
                <w:kern w:val="0"/>
                <w:highlight w:val="none"/>
              </w:rPr>
            </w:pPr>
          </w:p>
        </w:tc>
        <w:tc>
          <w:tcPr>
            <w:tcW w:w="5039" w:type="dxa"/>
          </w:tcPr>
          <w:p w14:paraId="42AA8024">
            <w:pPr>
              <w:ind w:firstLine="482"/>
              <w:rPr>
                <w:rFonts w:cs="宋体"/>
                <w:b/>
                <w:kern w:val="0"/>
                <w:highlight w:val="none"/>
              </w:rPr>
            </w:pPr>
          </w:p>
        </w:tc>
        <w:tc>
          <w:tcPr>
            <w:tcW w:w="1125" w:type="dxa"/>
          </w:tcPr>
          <w:p w14:paraId="1B32D305">
            <w:pPr>
              <w:ind w:firstLine="482"/>
              <w:rPr>
                <w:rFonts w:cs="宋体"/>
                <w:b/>
                <w:kern w:val="0"/>
                <w:highlight w:val="none"/>
              </w:rPr>
            </w:pPr>
          </w:p>
        </w:tc>
        <w:tc>
          <w:tcPr>
            <w:tcW w:w="975" w:type="dxa"/>
          </w:tcPr>
          <w:p w14:paraId="5D556EE9">
            <w:pPr>
              <w:ind w:firstLine="482"/>
              <w:rPr>
                <w:rFonts w:cs="宋体"/>
                <w:b/>
                <w:kern w:val="0"/>
                <w:highlight w:val="none"/>
              </w:rPr>
            </w:pPr>
          </w:p>
        </w:tc>
      </w:tr>
      <w:tr w14:paraId="2275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9FBA492">
            <w:pPr>
              <w:ind w:firstLine="482"/>
              <w:rPr>
                <w:rFonts w:cs="宋体"/>
                <w:b/>
                <w:kern w:val="0"/>
                <w:highlight w:val="none"/>
              </w:rPr>
            </w:pPr>
          </w:p>
        </w:tc>
        <w:tc>
          <w:tcPr>
            <w:tcW w:w="1705" w:type="dxa"/>
            <w:vMerge w:val="continue"/>
          </w:tcPr>
          <w:p w14:paraId="5B884A56">
            <w:pPr>
              <w:ind w:firstLine="482"/>
              <w:rPr>
                <w:rFonts w:cs="宋体"/>
                <w:b/>
                <w:kern w:val="0"/>
                <w:highlight w:val="none"/>
              </w:rPr>
            </w:pPr>
          </w:p>
        </w:tc>
        <w:tc>
          <w:tcPr>
            <w:tcW w:w="5039" w:type="dxa"/>
          </w:tcPr>
          <w:p w14:paraId="2B88B0BB">
            <w:pPr>
              <w:ind w:firstLine="482"/>
              <w:rPr>
                <w:rFonts w:cs="宋体"/>
                <w:b/>
                <w:kern w:val="0"/>
                <w:highlight w:val="none"/>
              </w:rPr>
            </w:pPr>
          </w:p>
        </w:tc>
        <w:tc>
          <w:tcPr>
            <w:tcW w:w="1125" w:type="dxa"/>
          </w:tcPr>
          <w:p w14:paraId="13B9E01B">
            <w:pPr>
              <w:ind w:firstLine="482"/>
              <w:rPr>
                <w:rFonts w:cs="宋体"/>
                <w:b/>
                <w:kern w:val="0"/>
                <w:highlight w:val="none"/>
              </w:rPr>
            </w:pPr>
          </w:p>
        </w:tc>
        <w:tc>
          <w:tcPr>
            <w:tcW w:w="975" w:type="dxa"/>
          </w:tcPr>
          <w:p w14:paraId="0798E794">
            <w:pPr>
              <w:ind w:firstLine="482"/>
              <w:rPr>
                <w:rFonts w:cs="宋体"/>
                <w:b/>
                <w:kern w:val="0"/>
                <w:highlight w:val="none"/>
              </w:rPr>
            </w:pPr>
          </w:p>
        </w:tc>
      </w:tr>
      <w:tr w14:paraId="52F9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9" w:type="dxa"/>
            <w:vMerge w:val="restart"/>
          </w:tcPr>
          <w:p w14:paraId="79AF5948">
            <w:pPr>
              <w:ind w:firstLine="0" w:firstLineChars="0"/>
              <w:jc w:val="center"/>
              <w:rPr>
                <w:rFonts w:cs="宋体"/>
                <w:b/>
                <w:kern w:val="0"/>
                <w:highlight w:val="none"/>
              </w:rPr>
            </w:pPr>
          </w:p>
          <w:p w14:paraId="28DE63A6">
            <w:pPr>
              <w:ind w:firstLine="0" w:firstLineChars="0"/>
              <w:jc w:val="center"/>
              <w:rPr>
                <w:rFonts w:cs="宋体"/>
                <w:b/>
                <w:kern w:val="0"/>
                <w:highlight w:val="none"/>
              </w:rPr>
            </w:pPr>
          </w:p>
          <w:p w14:paraId="51A149DA">
            <w:pPr>
              <w:ind w:firstLine="0" w:firstLineChars="0"/>
              <w:jc w:val="center"/>
              <w:rPr>
                <w:rFonts w:cs="宋体"/>
                <w:b/>
                <w:kern w:val="0"/>
                <w:highlight w:val="none"/>
              </w:rPr>
            </w:pPr>
            <w:r>
              <w:rPr>
                <w:rFonts w:hint="eastAsia" w:cs="宋体"/>
                <w:bCs/>
                <w:kern w:val="0"/>
                <w:highlight w:val="none"/>
              </w:rPr>
              <w:t>2</w:t>
            </w:r>
          </w:p>
        </w:tc>
        <w:tc>
          <w:tcPr>
            <w:tcW w:w="1705" w:type="dxa"/>
            <w:vMerge w:val="restart"/>
          </w:tcPr>
          <w:p w14:paraId="2808FDFF">
            <w:pPr>
              <w:ind w:firstLine="0" w:firstLineChars="0"/>
              <w:rPr>
                <w:rFonts w:cs="宋体"/>
                <w:bCs/>
                <w:kern w:val="0"/>
                <w:highlight w:val="none"/>
              </w:rPr>
            </w:pPr>
          </w:p>
          <w:p w14:paraId="39C0331B">
            <w:pPr>
              <w:ind w:firstLine="0" w:firstLineChars="0"/>
              <w:rPr>
                <w:rFonts w:cs="宋体"/>
                <w:bCs/>
                <w:kern w:val="0"/>
                <w:highlight w:val="none"/>
              </w:rPr>
            </w:pPr>
          </w:p>
          <w:p w14:paraId="7D2250AB">
            <w:pPr>
              <w:ind w:firstLine="0" w:firstLineChars="0"/>
              <w:jc w:val="center"/>
              <w:rPr>
                <w:rFonts w:cs="宋体"/>
                <w:bCs/>
                <w:kern w:val="0"/>
                <w:highlight w:val="none"/>
              </w:rPr>
            </w:pPr>
            <w:r>
              <w:rPr>
                <w:rFonts w:hint="eastAsia" w:cs="宋体"/>
                <w:bCs/>
                <w:kern w:val="0"/>
                <w:highlight w:val="none"/>
              </w:rPr>
              <w:t>技术分</w:t>
            </w:r>
          </w:p>
          <w:p w14:paraId="28EC6003">
            <w:pPr>
              <w:ind w:firstLine="0" w:firstLineChars="0"/>
              <w:jc w:val="center"/>
              <w:rPr>
                <w:rFonts w:cs="宋体"/>
                <w:bCs/>
                <w:kern w:val="0"/>
                <w:highlight w:val="none"/>
              </w:rPr>
            </w:pPr>
          </w:p>
        </w:tc>
        <w:tc>
          <w:tcPr>
            <w:tcW w:w="5039" w:type="dxa"/>
          </w:tcPr>
          <w:p w14:paraId="08F33034">
            <w:pPr>
              <w:ind w:firstLine="482"/>
              <w:rPr>
                <w:rFonts w:cs="宋体"/>
                <w:b/>
                <w:kern w:val="0"/>
                <w:highlight w:val="none"/>
              </w:rPr>
            </w:pPr>
          </w:p>
        </w:tc>
        <w:tc>
          <w:tcPr>
            <w:tcW w:w="1125" w:type="dxa"/>
          </w:tcPr>
          <w:p w14:paraId="4779D6D1">
            <w:pPr>
              <w:ind w:firstLine="0" w:firstLineChars="0"/>
              <w:rPr>
                <w:rFonts w:cs="宋体"/>
                <w:bCs/>
                <w:kern w:val="0"/>
                <w:highlight w:val="none"/>
              </w:rPr>
            </w:pPr>
          </w:p>
        </w:tc>
        <w:tc>
          <w:tcPr>
            <w:tcW w:w="975" w:type="dxa"/>
          </w:tcPr>
          <w:p w14:paraId="4DFDF8B7">
            <w:pPr>
              <w:ind w:firstLine="482"/>
              <w:rPr>
                <w:rFonts w:cs="宋体"/>
                <w:b/>
                <w:kern w:val="0"/>
                <w:highlight w:val="none"/>
              </w:rPr>
            </w:pPr>
          </w:p>
        </w:tc>
      </w:tr>
      <w:tr w14:paraId="072B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A7178D2">
            <w:pPr>
              <w:ind w:firstLine="482"/>
              <w:rPr>
                <w:rFonts w:cs="宋体"/>
                <w:b/>
                <w:kern w:val="0"/>
                <w:highlight w:val="none"/>
              </w:rPr>
            </w:pPr>
          </w:p>
        </w:tc>
        <w:tc>
          <w:tcPr>
            <w:tcW w:w="1705" w:type="dxa"/>
            <w:vMerge w:val="continue"/>
          </w:tcPr>
          <w:p w14:paraId="43FB16CA">
            <w:pPr>
              <w:ind w:firstLine="482"/>
              <w:rPr>
                <w:rFonts w:cs="宋体"/>
                <w:b/>
                <w:kern w:val="0"/>
                <w:highlight w:val="none"/>
              </w:rPr>
            </w:pPr>
          </w:p>
        </w:tc>
        <w:tc>
          <w:tcPr>
            <w:tcW w:w="5039" w:type="dxa"/>
          </w:tcPr>
          <w:p w14:paraId="752FD450">
            <w:pPr>
              <w:ind w:firstLine="482"/>
              <w:rPr>
                <w:rFonts w:cs="宋体"/>
                <w:b/>
                <w:kern w:val="0"/>
                <w:highlight w:val="none"/>
              </w:rPr>
            </w:pPr>
          </w:p>
        </w:tc>
        <w:tc>
          <w:tcPr>
            <w:tcW w:w="1125" w:type="dxa"/>
          </w:tcPr>
          <w:p w14:paraId="76351653">
            <w:pPr>
              <w:ind w:firstLine="482"/>
              <w:rPr>
                <w:rFonts w:cs="宋体"/>
                <w:b/>
                <w:kern w:val="0"/>
                <w:highlight w:val="none"/>
              </w:rPr>
            </w:pPr>
          </w:p>
        </w:tc>
        <w:tc>
          <w:tcPr>
            <w:tcW w:w="975" w:type="dxa"/>
          </w:tcPr>
          <w:p w14:paraId="0016AFA4">
            <w:pPr>
              <w:ind w:firstLine="482"/>
              <w:rPr>
                <w:rFonts w:cs="宋体"/>
                <w:b/>
                <w:kern w:val="0"/>
                <w:highlight w:val="none"/>
              </w:rPr>
            </w:pPr>
          </w:p>
        </w:tc>
      </w:tr>
      <w:tr w14:paraId="1606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3739388">
            <w:pPr>
              <w:ind w:firstLine="482"/>
              <w:rPr>
                <w:rFonts w:cs="宋体"/>
                <w:b/>
                <w:kern w:val="0"/>
                <w:highlight w:val="none"/>
              </w:rPr>
            </w:pPr>
          </w:p>
        </w:tc>
        <w:tc>
          <w:tcPr>
            <w:tcW w:w="1705" w:type="dxa"/>
            <w:vMerge w:val="continue"/>
          </w:tcPr>
          <w:p w14:paraId="54307DB8">
            <w:pPr>
              <w:ind w:firstLine="482"/>
              <w:rPr>
                <w:rFonts w:cs="宋体"/>
                <w:b/>
                <w:kern w:val="0"/>
                <w:highlight w:val="none"/>
              </w:rPr>
            </w:pPr>
          </w:p>
        </w:tc>
        <w:tc>
          <w:tcPr>
            <w:tcW w:w="5039" w:type="dxa"/>
          </w:tcPr>
          <w:p w14:paraId="67934998">
            <w:pPr>
              <w:ind w:firstLine="482"/>
              <w:rPr>
                <w:rFonts w:cs="宋体"/>
                <w:b/>
                <w:kern w:val="0"/>
                <w:highlight w:val="none"/>
              </w:rPr>
            </w:pPr>
          </w:p>
        </w:tc>
        <w:tc>
          <w:tcPr>
            <w:tcW w:w="1125" w:type="dxa"/>
          </w:tcPr>
          <w:p w14:paraId="38795D04">
            <w:pPr>
              <w:ind w:firstLine="482"/>
              <w:rPr>
                <w:rFonts w:cs="宋体"/>
                <w:b/>
                <w:kern w:val="0"/>
                <w:highlight w:val="none"/>
              </w:rPr>
            </w:pPr>
          </w:p>
        </w:tc>
        <w:tc>
          <w:tcPr>
            <w:tcW w:w="975" w:type="dxa"/>
          </w:tcPr>
          <w:p w14:paraId="17B48E2A">
            <w:pPr>
              <w:ind w:firstLine="482"/>
              <w:rPr>
                <w:rFonts w:cs="宋体"/>
                <w:b/>
                <w:kern w:val="0"/>
                <w:highlight w:val="none"/>
              </w:rPr>
            </w:pPr>
          </w:p>
        </w:tc>
      </w:tr>
      <w:tr w14:paraId="1EAE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89" w:type="dxa"/>
            <w:vMerge w:val="continue"/>
          </w:tcPr>
          <w:p w14:paraId="1788930B">
            <w:pPr>
              <w:ind w:firstLine="482"/>
              <w:rPr>
                <w:rFonts w:cs="宋体"/>
                <w:b/>
                <w:kern w:val="0"/>
                <w:highlight w:val="none"/>
              </w:rPr>
            </w:pPr>
          </w:p>
        </w:tc>
        <w:tc>
          <w:tcPr>
            <w:tcW w:w="1705" w:type="dxa"/>
            <w:vMerge w:val="continue"/>
          </w:tcPr>
          <w:p w14:paraId="221C5340">
            <w:pPr>
              <w:ind w:firstLine="482"/>
              <w:rPr>
                <w:rFonts w:cs="宋体"/>
                <w:b/>
                <w:kern w:val="0"/>
                <w:highlight w:val="none"/>
              </w:rPr>
            </w:pPr>
          </w:p>
        </w:tc>
        <w:tc>
          <w:tcPr>
            <w:tcW w:w="5039" w:type="dxa"/>
          </w:tcPr>
          <w:p w14:paraId="09934F68">
            <w:pPr>
              <w:ind w:firstLine="482"/>
              <w:rPr>
                <w:rFonts w:cs="宋体"/>
                <w:b/>
                <w:kern w:val="0"/>
                <w:highlight w:val="none"/>
              </w:rPr>
            </w:pPr>
          </w:p>
        </w:tc>
        <w:tc>
          <w:tcPr>
            <w:tcW w:w="1125" w:type="dxa"/>
          </w:tcPr>
          <w:p w14:paraId="0D627F22">
            <w:pPr>
              <w:ind w:firstLine="482"/>
              <w:rPr>
                <w:rFonts w:cs="宋体"/>
                <w:b/>
                <w:kern w:val="0"/>
                <w:highlight w:val="none"/>
              </w:rPr>
            </w:pPr>
          </w:p>
        </w:tc>
        <w:tc>
          <w:tcPr>
            <w:tcW w:w="975" w:type="dxa"/>
          </w:tcPr>
          <w:p w14:paraId="292796FE">
            <w:pPr>
              <w:ind w:firstLine="482"/>
              <w:rPr>
                <w:rFonts w:cs="宋体"/>
                <w:b/>
                <w:kern w:val="0"/>
                <w:highlight w:val="none"/>
              </w:rPr>
            </w:pPr>
          </w:p>
        </w:tc>
      </w:tr>
      <w:tr w14:paraId="4ED6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89" w:type="dxa"/>
            <w:vMerge w:val="continue"/>
          </w:tcPr>
          <w:p w14:paraId="2C36F088">
            <w:pPr>
              <w:ind w:firstLine="482"/>
              <w:rPr>
                <w:rFonts w:cs="宋体"/>
                <w:b/>
                <w:kern w:val="0"/>
                <w:highlight w:val="none"/>
              </w:rPr>
            </w:pPr>
          </w:p>
        </w:tc>
        <w:tc>
          <w:tcPr>
            <w:tcW w:w="1705" w:type="dxa"/>
            <w:vMerge w:val="continue"/>
          </w:tcPr>
          <w:p w14:paraId="03A44943">
            <w:pPr>
              <w:ind w:firstLine="482"/>
              <w:rPr>
                <w:rFonts w:cs="宋体"/>
                <w:b/>
                <w:kern w:val="0"/>
                <w:highlight w:val="none"/>
              </w:rPr>
            </w:pPr>
          </w:p>
        </w:tc>
        <w:tc>
          <w:tcPr>
            <w:tcW w:w="5039" w:type="dxa"/>
          </w:tcPr>
          <w:p w14:paraId="656066B9">
            <w:pPr>
              <w:ind w:firstLine="482"/>
              <w:rPr>
                <w:rFonts w:cs="宋体"/>
                <w:b/>
                <w:kern w:val="0"/>
                <w:highlight w:val="none"/>
              </w:rPr>
            </w:pPr>
          </w:p>
        </w:tc>
        <w:tc>
          <w:tcPr>
            <w:tcW w:w="1125" w:type="dxa"/>
          </w:tcPr>
          <w:p w14:paraId="28E5AB3A">
            <w:pPr>
              <w:ind w:firstLine="482"/>
              <w:rPr>
                <w:rFonts w:cs="宋体"/>
                <w:b/>
                <w:kern w:val="0"/>
                <w:highlight w:val="none"/>
              </w:rPr>
            </w:pPr>
          </w:p>
        </w:tc>
        <w:tc>
          <w:tcPr>
            <w:tcW w:w="975" w:type="dxa"/>
          </w:tcPr>
          <w:p w14:paraId="10E883C8">
            <w:pPr>
              <w:ind w:firstLine="482"/>
              <w:rPr>
                <w:rFonts w:cs="宋体"/>
                <w:b/>
                <w:kern w:val="0"/>
                <w:highlight w:val="none"/>
              </w:rPr>
            </w:pPr>
          </w:p>
        </w:tc>
      </w:tr>
    </w:tbl>
    <w:p w14:paraId="2C9BDFE9">
      <w:pPr>
        <w:ind w:firstLine="0" w:firstLineChars="0"/>
        <w:rPr>
          <w:rFonts w:cs="宋体"/>
          <w:b/>
          <w:kern w:val="0"/>
          <w:sz w:val="10"/>
          <w:szCs w:val="10"/>
          <w:highlight w:val="none"/>
        </w:rPr>
      </w:pPr>
    </w:p>
    <w:p w14:paraId="1733819D">
      <w:pPr>
        <w:ind w:firstLine="0" w:firstLineChars="0"/>
        <w:rPr>
          <w:rFonts w:cs="宋体"/>
          <w:b/>
          <w:spacing w:val="-6"/>
          <w:sz w:val="28"/>
          <w:szCs w:val="28"/>
          <w:highlight w:val="none"/>
        </w:rPr>
      </w:pPr>
      <w:r>
        <w:rPr>
          <w:rFonts w:hint="eastAsia" w:cs="宋体"/>
          <w:b/>
          <w:kern w:val="0"/>
          <w:highlight w:val="none"/>
        </w:rPr>
        <w:t>投标人根据评分标准自行调整。</w:t>
      </w:r>
    </w:p>
    <w:p w14:paraId="176BFE35">
      <w:pPr>
        <w:pStyle w:val="3"/>
        <w:jc w:val="both"/>
        <w:rPr>
          <w:highlight w:val="none"/>
        </w:rPr>
      </w:pPr>
    </w:p>
    <w:p w14:paraId="5B8E1727">
      <w:pPr>
        <w:ind w:firstLine="456"/>
        <w:rPr>
          <w:rFonts w:cs="宋体"/>
          <w:bCs/>
          <w:spacing w:val="-6"/>
          <w:highlight w:val="none"/>
        </w:rPr>
      </w:pPr>
    </w:p>
    <w:p w14:paraId="139E58F8">
      <w:pPr>
        <w:ind w:firstLine="456"/>
        <w:rPr>
          <w:rFonts w:cs="宋体"/>
          <w:bCs/>
          <w:spacing w:val="-6"/>
          <w:highlight w:val="none"/>
        </w:rPr>
      </w:pPr>
    </w:p>
    <w:p w14:paraId="3C8F9F73">
      <w:pPr>
        <w:ind w:right="456" w:firstLine="458"/>
        <w:rPr>
          <w:rFonts w:cs="宋体"/>
          <w:b/>
          <w:bCs/>
          <w:spacing w:val="-6"/>
          <w:highlight w:val="none"/>
        </w:rPr>
      </w:pPr>
    </w:p>
    <w:p w14:paraId="5164AC18">
      <w:pPr>
        <w:ind w:right="456" w:firstLine="458"/>
        <w:rPr>
          <w:rFonts w:cs="宋体"/>
          <w:b/>
          <w:bCs/>
          <w:spacing w:val="-6"/>
          <w:highlight w:val="none"/>
        </w:rPr>
      </w:pPr>
    </w:p>
    <w:p w14:paraId="14C8E859">
      <w:pPr>
        <w:ind w:right="456" w:firstLine="458"/>
        <w:rPr>
          <w:rFonts w:cs="宋体"/>
          <w:b/>
          <w:bCs/>
          <w:spacing w:val="-6"/>
          <w:highlight w:val="none"/>
        </w:rPr>
      </w:pPr>
    </w:p>
    <w:p w14:paraId="4525795D">
      <w:pPr>
        <w:pStyle w:val="80"/>
        <w:rPr>
          <w:rFonts w:ascii="宋体" w:hAnsi="宋体" w:eastAsia="宋体" w:cs="宋体"/>
          <w:color w:val="auto"/>
          <w:highlight w:val="none"/>
        </w:rPr>
      </w:pPr>
    </w:p>
    <w:p w14:paraId="67C6B5BC">
      <w:pPr>
        <w:pStyle w:val="80"/>
        <w:rPr>
          <w:rFonts w:ascii="宋体" w:hAnsi="宋体" w:eastAsia="宋体" w:cs="宋体"/>
          <w:color w:val="auto"/>
          <w:highlight w:val="none"/>
        </w:rPr>
      </w:pPr>
      <w:r>
        <w:rPr>
          <w:rFonts w:hint="eastAsia" w:ascii="宋体" w:hAnsi="宋体" w:eastAsia="宋体" w:cs="宋体"/>
          <w:color w:val="auto"/>
          <w:highlight w:val="none"/>
        </w:rPr>
        <w:br w:type="page"/>
      </w:r>
    </w:p>
    <w:p w14:paraId="3DA30163">
      <w:pPr>
        <w:ind w:firstLine="228" w:firstLineChars="95"/>
        <w:jc w:val="left"/>
        <w:rPr>
          <w:rFonts w:cs="宋体"/>
          <w:highlight w:val="none"/>
        </w:rPr>
        <w:sectPr>
          <w:pgSz w:w="11907" w:h="16840"/>
          <w:pgMar w:top="1247" w:right="1304" w:bottom="1021" w:left="1304" w:header="720" w:footer="720" w:gutter="0"/>
          <w:cols w:space="720" w:num="1"/>
          <w:docGrid w:linePitch="286" w:charSpace="0"/>
        </w:sectPr>
      </w:pPr>
    </w:p>
    <w:p w14:paraId="6C52A258">
      <w:pPr>
        <w:pStyle w:val="5"/>
        <w:rPr>
          <w:rFonts w:cs="宋体"/>
          <w:szCs w:val="24"/>
          <w:highlight w:val="none"/>
        </w:rPr>
      </w:pPr>
      <w:r>
        <w:rPr>
          <w:rFonts w:hint="eastAsia" w:cs="宋体"/>
          <w:szCs w:val="24"/>
          <w:highlight w:val="none"/>
        </w:rPr>
        <w:t xml:space="preserve">附件八 </w:t>
      </w:r>
    </w:p>
    <w:p w14:paraId="15C15AD6">
      <w:pPr>
        <w:spacing w:line="480" w:lineRule="auto"/>
        <w:ind w:firstLine="0" w:firstLineChars="0"/>
        <w:jc w:val="center"/>
        <w:rPr>
          <w:rFonts w:cs="宋体"/>
          <w:highlight w:val="none"/>
        </w:rPr>
      </w:pPr>
      <w:r>
        <w:rPr>
          <w:rFonts w:hint="eastAsia" w:cs="宋体"/>
          <w:b/>
          <w:bCs/>
          <w:sz w:val="28"/>
          <w:szCs w:val="28"/>
          <w:highlight w:val="none"/>
        </w:rPr>
        <w:t>商务偏离表</w:t>
      </w:r>
    </w:p>
    <w:p w14:paraId="6D6F6FFB">
      <w:pPr>
        <w:ind w:firstLine="0" w:firstLineChars="0"/>
        <w:rPr>
          <w:rFonts w:cs="宋体"/>
          <w:highlight w:val="none"/>
        </w:rPr>
      </w:pPr>
      <w:r>
        <w:rPr>
          <w:rFonts w:hint="eastAsia" w:cs="宋体"/>
          <w:highlight w:val="none"/>
        </w:rPr>
        <w:t xml:space="preserve">项目名称：              </w:t>
      </w:r>
    </w:p>
    <w:p w14:paraId="4572B524">
      <w:pPr>
        <w:ind w:firstLine="0" w:firstLineChars="0"/>
        <w:rPr>
          <w:rFonts w:cs="宋体"/>
          <w:highlight w:val="none"/>
        </w:rPr>
      </w:pPr>
      <w:r>
        <w:rPr>
          <w:rFonts w:hint="eastAsia" w:cs="宋体"/>
          <w:highlight w:val="none"/>
        </w:rPr>
        <w:t xml:space="preserve">项目编号：               </w:t>
      </w:r>
    </w:p>
    <w:tbl>
      <w:tblPr>
        <w:tblStyle w:val="44"/>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9"/>
        <w:gridCol w:w="3180"/>
        <w:gridCol w:w="2044"/>
      </w:tblGrid>
      <w:tr w14:paraId="4629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14:paraId="354F47CA">
            <w:pPr>
              <w:spacing w:line="440" w:lineRule="exact"/>
              <w:ind w:firstLine="0" w:firstLineChars="0"/>
              <w:jc w:val="center"/>
              <w:rPr>
                <w:rFonts w:cs="宋体"/>
                <w:b/>
                <w:bCs/>
                <w:highlight w:val="none"/>
              </w:rPr>
            </w:pPr>
            <w:r>
              <w:rPr>
                <w:rFonts w:hint="eastAsia" w:cs="宋体"/>
                <w:b/>
                <w:bCs/>
                <w:highlight w:val="none"/>
              </w:rPr>
              <w:t>序号</w:t>
            </w:r>
          </w:p>
        </w:tc>
        <w:tc>
          <w:tcPr>
            <w:tcW w:w="3379" w:type="dxa"/>
            <w:vAlign w:val="center"/>
          </w:tcPr>
          <w:p w14:paraId="5972B323">
            <w:pPr>
              <w:spacing w:line="440" w:lineRule="exact"/>
              <w:ind w:firstLine="0" w:firstLineChars="0"/>
              <w:jc w:val="center"/>
              <w:rPr>
                <w:rFonts w:cs="宋体"/>
                <w:b/>
                <w:bCs/>
                <w:highlight w:val="none"/>
              </w:rPr>
            </w:pPr>
            <w:r>
              <w:rPr>
                <w:rFonts w:hint="eastAsia" w:cs="宋体"/>
                <w:b/>
                <w:bCs/>
                <w:highlight w:val="none"/>
              </w:rPr>
              <w:t>招标文件要求</w:t>
            </w:r>
          </w:p>
        </w:tc>
        <w:tc>
          <w:tcPr>
            <w:tcW w:w="3180" w:type="dxa"/>
            <w:vAlign w:val="center"/>
          </w:tcPr>
          <w:p w14:paraId="0483181E">
            <w:pPr>
              <w:spacing w:line="440" w:lineRule="exact"/>
              <w:ind w:left="102" w:firstLine="0" w:firstLineChars="0"/>
              <w:jc w:val="center"/>
              <w:rPr>
                <w:rFonts w:cs="宋体"/>
                <w:b/>
                <w:bCs/>
                <w:highlight w:val="none"/>
              </w:rPr>
            </w:pPr>
            <w:r>
              <w:rPr>
                <w:rFonts w:hint="eastAsia" w:cs="宋体"/>
                <w:b/>
                <w:bCs/>
                <w:highlight w:val="none"/>
              </w:rPr>
              <w:t>投标响应情况</w:t>
            </w:r>
          </w:p>
        </w:tc>
        <w:tc>
          <w:tcPr>
            <w:tcW w:w="2044" w:type="dxa"/>
            <w:vAlign w:val="center"/>
          </w:tcPr>
          <w:p w14:paraId="776A3693">
            <w:pPr>
              <w:spacing w:line="440" w:lineRule="exact"/>
              <w:ind w:firstLine="0" w:firstLineChars="0"/>
              <w:jc w:val="center"/>
              <w:rPr>
                <w:rFonts w:cs="宋体"/>
                <w:b/>
                <w:bCs/>
                <w:highlight w:val="none"/>
              </w:rPr>
            </w:pPr>
            <w:r>
              <w:rPr>
                <w:rFonts w:hint="eastAsia" w:cs="宋体"/>
                <w:b/>
                <w:bCs/>
                <w:highlight w:val="none"/>
              </w:rPr>
              <w:t>偏离情况</w:t>
            </w:r>
          </w:p>
        </w:tc>
      </w:tr>
      <w:tr w14:paraId="01D9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B09F715">
            <w:pPr>
              <w:ind w:firstLine="0" w:firstLineChars="0"/>
              <w:rPr>
                <w:rFonts w:cs="宋体"/>
                <w:highlight w:val="none"/>
              </w:rPr>
            </w:pPr>
          </w:p>
        </w:tc>
        <w:tc>
          <w:tcPr>
            <w:tcW w:w="3379" w:type="dxa"/>
          </w:tcPr>
          <w:p w14:paraId="428146C6">
            <w:pPr>
              <w:ind w:firstLine="0" w:firstLineChars="0"/>
              <w:rPr>
                <w:rFonts w:cs="宋体"/>
                <w:highlight w:val="none"/>
              </w:rPr>
            </w:pPr>
          </w:p>
        </w:tc>
        <w:tc>
          <w:tcPr>
            <w:tcW w:w="3180" w:type="dxa"/>
          </w:tcPr>
          <w:p w14:paraId="6BBE863D">
            <w:pPr>
              <w:ind w:firstLine="0" w:firstLineChars="0"/>
              <w:rPr>
                <w:rFonts w:cs="宋体"/>
                <w:highlight w:val="none"/>
              </w:rPr>
            </w:pPr>
          </w:p>
        </w:tc>
        <w:tc>
          <w:tcPr>
            <w:tcW w:w="2044" w:type="dxa"/>
          </w:tcPr>
          <w:p w14:paraId="6DEBF681">
            <w:pPr>
              <w:ind w:firstLine="0" w:firstLineChars="0"/>
              <w:rPr>
                <w:rFonts w:cs="宋体"/>
                <w:highlight w:val="none"/>
              </w:rPr>
            </w:pPr>
          </w:p>
        </w:tc>
      </w:tr>
      <w:tr w14:paraId="4531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4B15C01">
            <w:pPr>
              <w:ind w:firstLine="0" w:firstLineChars="0"/>
              <w:rPr>
                <w:rFonts w:cs="宋体"/>
                <w:highlight w:val="none"/>
              </w:rPr>
            </w:pPr>
          </w:p>
        </w:tc>
        <w:tc>
          <w:tcPr>
            <w:tcW w:w="3379" w:type="dxa"/>
          </w:tcPr>
          <w:p w14:paraId="3C18CDA8">
            <w:pPr>
              <w:ind w:firstLine="0" w:firstLineChars="0"/>
              <w:rPr>
                <w:rFonts w:cs="宋体"/>
                <w:highlight w:val="none"/>
              </w:rPr>
            </w:pPr>
          </w:p>
        </w:tc>
        <w:tc>
          <w:tcPr>
            <w:tcW w:w="3180" w:type="dxa"/>
          </w:tcPr>
          <w:p w14:paraId="27265BD5">
            <w:pPr>
              <w:ind w:firstLine="0" w:firstLineChars="0"/>
              <w:rPr>
                <w:rFonts w:cs="宋体"/>
                <w:highlight w:val="none"/>
              </w:rPr>
            </w:pPr>
          </w:p>
        </w:tc>
        <w:tc>
          <w:tcPr>
            <w:tcW w:w="2044" w:type="dxa"/>
          </w:tcPr>
          <w:p w14:paraId="64B2858D">
            <w:pPr>
              <w:ind w:firstLine="0" w:firstLineChars="0"/>
              <w:rPr>
                <w:rFonts w:cs="宋体"/>
                <w:highlight w:val="none"/>
              </w:rPr>
            </w:pPr>
          </w:p>
        </w:tc>
      </w:tr>
      <w:tr w14:paraId="438D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714D76A0">
            <w:pPr>
              <w:ind w:firstLine="0" w:firstLineChars="0"/>
              <w:rPr>
                <w:rFonts w:cs="宋体"/>
                <w:highlight w:val="none"/>
              </w:rPr>
            </w:pPr>
          </w:p>
        </w:tc>
        <w:tc>
          <w:tcPr>
            <w:tcW w:w="3379" w:type="dxa"/>
          </w:tcPr>
          <w:p w14:paraId="7891B5CF">
            <w:pPr>
              <w:ind w:firstLine="0" w:firstLineChars="0"/>
              <w:rPr>
                <w:rFonts w:cs="宋体"/>
                <w:highlight w:val="none"/>
              </w:rPr>
            </w:pPr>
          </w:p>
        </w:tc>
        <w:tc>
          <w:tcPr>
            <w:tcW w:w="3180" w:type="dxa"/>
          </w:tcPr>
          <w:p w14:paraId="37395749">
            <w:pPr>
              <w:ind w:firstLine="0" w:firstLineChars="0"/>
              <w:rPr>
                <w:rFonts w:cs="宋体"/>
                <w:highlight w:val="none"/>
              </w:rPr>
            </w:pPr>
          </w:p>
        </w:tc>
        <w:tc>
          <w:tcPr>
            <w:tcW w:w="2044" w:type="dxa"/>
          </w:tcPr>
          <w:p w14:paraId="40C9DCA2">
            <w:pPr>
              <w:ind w:firstLine="0" w:firstLineChars="0"/>
              <w:rPr>
                <w:rFonts w:cs="宋体"/>
                <w:highlight w:val="none"/>
              </w:rPr>
            </w:pPr>
          </w:p>
        </w:tc>
      </w:tr>
      <w:tr w14:paraId="2F7A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3742D78">
            <w:pPr>
              <w:ind w:firstLine="0" w:firstLineChars="0"/>
              <w:rPr>
                <w:rFonts w:cs="宋体"/>
                <w:highlight w:val="none"/>
              </w:rPr>
            </w:pPr>
          </w:p>
        </w:tc>
        <w:tc>
          <w:tcPr>
            <w:tcW w:w="3379" w:type="dxa"/>
          </w:tcPr>
          <w:p w14:paraId="46AB2AA3">
            <w:pPr>
              <w:ind w:firstLine="0" w:firstLineChars="0"/>
              <w:rPr>
                <w:rFonts w:cs="宋体"/>
                <w:highlight w:val="none"/>
              </w:rPr>
            </w:pPr>
          </w:p>
        </w:tc>
        <w:tc>
          <w:tcPr>
            <w:tcW w:w="3180" w:type="dxa"/>
          </w:tcPr>
          <w:p w14:paraId="0DF4BAC3">
            <w:pPr>
              <w:ind w:firstLine="0" w:firstLineChars="0"/>
              <w:rPr>
                <w:rFonts w:cs="宋体"/>
                <w:highlight w:val="none"/>
              </w:rPr>
            </w:pPr>
          </w:p>
        </w:tc>
        <w:tc>
          <w:tcPr>
            <w:tcW w:w="2044" w:type="dxa"/>
          </w:tcPr>
          <w:p w14:paraId="364CB7BB">
            <w:pPr>
              <w:ind w:firstLine="0" w:firstLineChars="0"/>
              <w:rPr>
                <w:rFonts w:cs="宋体"/>
                <w:highlight w:val="none"/>
              </w:rPr>
            </w:pPr>
          </w:p>
        </w:tc>
      </w:tr>
      <w:tr w14:paraId="59AB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41DD5729">
            <w:pPr>
              <w:ind w:firstLine="0" w:firstLineChars="0"/>
              <w:rPr>
                <w:rFonts w:cs="宋体"/>
                <w:highlight w:val="none"/>
              </w:rPr>
            </w:pPr>
          </w:p>
        </w:tc>
        <w:tc>
          <w:tcPr>
            <w:tcW w:w="3379" w:type="dxa"/>
          </w:tcPr>
          <w:p w14:paraId="7BE17544">
            <w:pPr>
              <w:ind w:firstLine="0" w:firstLineChars="0"/>
              <w:rPr>
                <w:rFonts w:cs="宋体"/>
                <w:highlight w:val="none"/>
              </w:rPr>
            </w:pPr>
          </w:p>
        </w:tc>
        <w:tc>
          <w:tcPr>
            <w:tcW w:w="3180" w:type="dxa"/>
          </w:tcPr>
          <w:p w14:paraId="7914B122">
            <w:pPr>
              <w:ind w:firstLine="0" w:firstLineChars="0"/>
              <w:rPr>
                <w:rFonts w:cs="宋体"/>
                <w:highlight w:val="none"/>
              </w:rPr>
            </w:pPr>
          </w:p>
        </w:tc>
        <w:tc>
          <w:tcPr>
            <w:tcW w:w="2044" w:type="dxa"/>
          </w:tcPr>
          <w:p w14:paraId="47097DCF">
            <w:pPr>
              <w:ind w:firstLine="0" w:firstLineChars="0"/>
              <w:rPr>
                <w:rFonts w:cs="宋体"/>
                <w:highlight w:val="none"/>
              </w:rPr>
            </w:pPr>
          </w:p>
        </w:tc>
      </w:tr>
      <w:tr w14:paraId="2AE3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0011525F">
            <w:pPr>
              <w:ind w:firstLine="0" w:firstLineChars="0"/>
              <w:rPr>
                <w:rFonts w:cs="宋体"/>
                <w:highlight w:val="none"/>
              </w:rPr>
            </w:pPr>
          </w:p>
        </w:tc>
        <w:tc>
          <w:tcPr>
            <w:tcW w:w="3379" w:type="dxa"/>
          </w:tcPr>
          <w:p w14:paraId="0B09B12C">
            <w:pPr>
              <w:ind w:firstLine="0" w:firstLineChars="0"/>
              <w:rPr>
                <w:rFonts w:cs="宋体"/>
                <w:highlight w:val="none"/>
              </w:rPr>
            </w:pPr>
          </w:p>
        </w:tc>
        <w:tc>
          <w:tcPr>
            <w:tcW w:w="3180" w:type="dxa"/>
          </w:tcPr>
          <w:p w14:paraId="7C98A243">
            <w:pPr>
              <w:ind w:firstLine="0" w:firstLineChars="0"/>
              <w:rPr>
                <w:rFonts w:cs="宋体"/>
                <w:highlight w:val="none"/>
              </w:rPr>
            </w:pPr>
          </w:p>
        </w:tc>
        <w:tc>
          <w:tcPr>
            <w:tcW w:w="2044" w:type="dxa"/>
          </w:tcPr>
          <w:p w14:paraId="586061D7">
            <w:pPr>
              <w:ind w:firstLine="0" w:firstLineChars="0"/>
              <w:rPr>
                <w:rFonts w:cs="宋体"/>
                <w:highlight w:val="none"/>
              </w:rPr>
            </w:pPr>
          </w:p>
        </w:tc>
      </w:tr>
      <w:tr w14:paraId="608A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15D49194">
            <w:pPr>
              <w:ind w:firstLine="0" w:firstLineChars="0"/>
              <w:rPr>
                <w:rFonts w:cs="宋体"/>
                <w:highlight w:val="none"/>
              </w:rPr>
            </w:pPr>
          </w:p>
        </w:tc>
        <w:tc>
          <w:tcPr>
            <w:tcW w:w="3379" w:type="dxa"/>
          </w:tcPr>
          <w:p w14:paraId="5B6E91D5">
            <w:pPr>
              <w:ind w:firstLine="0" w:firstLineChars="0"/>
              <w:rPr>
                <w:rFonts w:cs="宋体"/>
                <w:highlight w:val="none"/>
              </w:rPr>
            </w:pPr>
          </w:p>
        </w:tc>
        <w:tc>
          <w:tcPr>
            <w:tcW w:w="3180" w:type="dxa"/>
          </w:tcPr>
          <w:p w14:paraId="71D8A033">
            <w:pPr>
              <w:ind w:firstLine="0" w:firstLineChars="0"/>
              <w:rPr>
                <w:rFonts w:cs="宋体"/>
                <w:highlight w:val="none"/>
              </w:rPr>
            </w:pPr>
          </w:p>
        </w:tc>
        <w:tc>
          <w:tcPr>
            <w:tcW w:w="2044" w:type="dxa"/>
          </w:tcPr>
          <w:p w14:paraId="68B62EF8">
            <w:pPr>
              <w:ind w:firstLine="0" w:firstLineChars="0"/>
              <w:rPr>
                <w:rFonts w:cs="宋体"/>
                <w:highlight w:val="none"/>
              </w:rPr>
            </w:pPr>
          </w:p>
        </w:tc>
      </w:tr>
      <w:tr w14:paraId="7CEB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FED8A64">
            <w:pPr>
              <w:ind w:firstLine="0" w:firstLineChars="0"/>
              <w:rPr>
                <w:rFonts w:cs="宋体"/>
                <w:highlight w:val="none"/>
              </w:rPr>
            </w:pPr>
          </w:p>
        </w:tc>
        <w:tc>
          <w:tcPr>
            <w:tcW w:w="3379" w:type="dxa"/>
          </w:tcPr>
          <w:p w14:paraId="2901A42A">
            <w:pPr>
              <w:ind w:firstLine="0" w:firstLineChars="0"/>
              <w:rPr>
                <w:rFonts w:cs="宋体"/>
                <w:highlight w:val="none"/>
              </w:rPr>
            </w:pPr>
          </w:p>
        </w:tc>
        <w:tc>
          <w:tcPr>
            <w:tcW w:w="3180" w:type="dxa"/>
          </w:tcPr>
          <w:p w14:paraId="4B2BD0F0">
            <w:pPr>
              <w:ind w:firstLine="0" w:firstLineChars="0"/>
              <w:rPr>
                <w:rFonts w:cs="宋体"/>
                <w:highlight w:val="none"/>
              </w:rPr>
            </w:pPr>
          </w:p>
        </w:tc>
        <w:tc>
          <w:tcPr>
            <w:tcW w:w="2044" w:type="dxa"/>
          </w:tcPr>
          <w:p w14:paraId="4C7EDE87">
            <w:pPr>
              <w:ind w:firstLine="0" w:firstLineChars="0"/>
              <w:rPr>
                <w:rFonts w:cs="宋体"/>
                <w:highlight w:val="none"/>
              </w:rPr>
            </w:pPr>
          </w:p>
        </w:tc>
      </w:tr>
      <w:tr w14:paraId="71F9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E9F7B11">
            <w:pPr>
              <w:ind w:firstLine="0" w:firstLineChars="0"/>
              <w:rPr>
                <w:rFonts w:cs="宋体"/>
                <w:highlight w:val="none"/>
              </w:rPr>
            </w:pPr>
          </w:p>
        </w:tc>
        <w:tc>
          <w:tcPr>
            <w:tcW w:w="3379" w:type="dxa"/>
          </w:tcPr>
          <w:p w14:paraId="5EAA1D94">
            <w:pPr>
              <w:ind w:firstLine="0" w:firstLineChars="0"/>
              <w:rPr>
                <w:rFonts w:cs="宋体"/>
                <w:highlight w:val="none"/>
              </w:rPr>
            </w:pPr>
          </w:p>
        </w:tc>
        <w:tc>
          <w:tcPr>
            <w:tcW w:w="3180" w:type="dxa"/>
          </w:tcPr>
          <w:p w14:paraId="214C9D09">
            <w:pPr>
              <w:ind w:firstLine="0" w:firstLineChars="0"/>
              <w:rPr>
                <w:rFonts w:cs="宋体"/>
                <w:highlight w:val="none"/>
              </w:rPr>
            </w:pPr>
          </w:p>
        </w:tc>
        <w:tc>
          <w:tcPr>
            <w:tcW w:w="2044" w:type="dxa"/>
          </w:tcPr>
          <w:p w14:paraId="0E4CC976">
            <w:pPr>
              <w:ind w:firstLine="0" w:firstLineChars="0"/>
              <w:rPr>
                <w:rFonts w:cs="宋体"/>
                <w:highlight w:val="none"/>
              </w:rPr>
            </w:pPr>
          </w:p>
        </w:tc>
      </w:tr>
      <w:tr w14:paraId="169A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7F967C61">
            <w:pPr>
              <w:ind w:firstLine="0" w:firstLineChars="0"/>
              <w:rPr>
                <w:rFonts w:cs="宋体"/>
                <w:highlight w:val="none"/>
              </w:rPr>
            </w:pPr>
          </w:p>
        </w:tc>
        <w:tc>
          <w:tcPr>
            <w:tcW w:w="3379" w:type="dxa"/>
          </w:tcPr>
          <w:p w14:paraId="48F65CBF">
            <w:pPr>
              <w:ind w:firstLine="0" w:firstLineChars="0"/>
              <w:rPr>
                <w:rFonts w:cs="宋体"/>
                <w:highlight w:val="none"/>
              </w:rPr>
            </w:pPr>
          </w:p>
        </w:tc>
        <w:tc>
          <w:tcPr>
            <w:tcW w:w="3180" w:type="dxa"/>
          </w:tcPr>
          <w:p w14:paraId="5F89A8F5">
            <w:pPr>
              <w:ind w:firstLine="0" w:firstLineChars="0"/>
              <w:rPr>
                <w:rFonts w:cs="宋体"/>
                <w:highlight w:val="none"/>
              </w:rPr>
            </w:pPr>
          </w:p>
        </w:tc>
        <w:tc>
          <w:tcPr>
            <w:tcW w:w="2044" w:type="dxa"/>
          </w:tcPr>
          <w:p w14:paraId="48DA216D">
            <w:pPr>
              <w:ind w:firstLine="0" w:firstLineChars="0"/>
              <w:rPr>
                <w:rFonts w:cs="宋体"/>
                <w:highlight w:val="none"/>
              </w:rPr>
            </w:pPr>
          </w:p>
        </w:tc>
      </w:tr>
    </w:tbl>
    <w:p w14:paraId="00A03C63">
      <w:pPr>
        <w:ind w:firstLine="0" w:firstLineChars="0"/>
        <w:rPr>
          <w:sz w:val="10"/>
          <w:szCs w:val="10"/>
          <w:highlight w:val="none"/>
        </w:rPr>
      </w:pPr>
    </w:p>
    <w:p w14:paraId="2447AD94">
      <w:pPr>
        <w:ind w:firstLine="0" w:firstLineChars="0"/>
        <w:rPr>
          <w:highlight w:val="none"/>
        </w:rPr>
      </w:pPr>
      <w:r>
        <w:rPr>
          <w:rFonts w:hint="eastAsia"/>
          <w:highlight w:val="none"/>
        </w:rPr>
        <w:t>注：1.投标人必须按“第二章-采购需求”的商务要求,如实填写本表，未按要求填写的，有可能作负偏离处理；</w:t>
      </w:r>
    </w:p>
    <w:p w14:paraId="6E6AAB57">
      <w:pPr>
        <w:snapToGrid w:val="0"/>
        <w:ind w:firstLine="480"/>
        <w:jc w:val="left"/>
        <w:rPr>
          <w:highlight w:val="none"/>
        </w:rPr>
      </w:pPr>
      <w:r>
        <w:rPr>
          <w:rFonts w:hint="eastAsia"/>
          <w:highlight w:val="none"/>
        </w:rPr>
        <w:t>2.投标人根据投标响应情况在“偏离情况”栏里填写“正偏离”、“无偏离”、“负偏离”；</w:t>
      </w:r>
    </w:p>
    <w:p w14:paraId="70F08CF6">
      <w:pPr>
        <w:ind w:firstLine="480"/>
        <w:rPr>
          <w:rFonts w:cs="宋体"/>
          <w:highlight w:val="none"/>
        </w:rPr>
      </w:pPr>
      <w:r>
        <w:rPr>
          <w:rFonts w:hint="eastAsia"/>
          <w:highlight w:val="none"/>
        </w:rPr>
        <w:t>3.此表仅提供了表格形式，投标人应根据实际需要准备足够数量的表格来填写。</w:t>
      </w:r>
    </w:p>
    <w:p w14:paraId="6A973C69">
      <w:pPr>
        <w:pStyle w:val="80"/>
        <w:rPr>
          <w:rFonts w:ascii="宋体" w:hAnsi="宋体" w:eastAsia="宋体" w:cs="宋体"/>
          <w:color w:val="auto"/>
          <w:highlight w:val="none"/>
        </w:rPr>
      </w:pPr>
    </w:p>
    <w:p w14:paraId="62FC0A33">
      <w:pPr>
        <w:pStyle w:val="81"/>
        <w:rPr>
          <w:rFonts w:ascii="宋体" w:hAnsi="宋体" w:cs="宋体"/>
          <w:highlight w:val="none"/>
        </w:rPr>
      </w:pPr>
    </w:p>
    <w:p w14:paraId="48CA6D01">
      <w:pPr>
        <w:ind w:firstLine="480"/>
        <w:rPr>
          <w:highlight w:val="none"/>
        </w:rPr>
      </w:pPr>
    </w:p>
    <w:p w14:paraId="03174B37">
      <w:pPr>
        <w:pStyle w:val="80"/>
        <w:rPr>
          <w:rFonts w:ascii="宋体" w:hAnsi="宋体" w:eastAsia="宋体" w:cs="宋体"/>
          <w:color w:val="auto"/>
          <w:highlight w:val="none"/>
        </w:rPr>
      </w:pPr>
    </w:p>
    <w:p w14:paraId="00BAD935">
      <w:pPr>
        <w:spacing w:line="480" w:lineRule="auto"/>
        <w:ind w:firstLine="0" w:firstLineChars="0"/>
        <w:rPr>
          <w:rFonts w:cs="宋体"/>
          <w:highlight w:val="none"/>
        </w:rPr>
      </w:pPr>
      <w:r>
        <w:rPr>
          <w:rFonts w:hint="eastAsia" w:cs="宋体"/>
          <w:highlight w:val="none"/>
        </w:rPr>
        <w:t>投标人名称（公章）：</w:t>
      </w:r>
    </w:p>
    <w:p w14:paraId="10BA9B05">
      <w:pPr>
        <w:spacing w:line="480" w:lineRule="auto"/>
        <w:ind w:firstLine="0" w:firstLineChars="0"/>
        <w:rPr>
          <w:rFonts w:cs="宋体"/>
          <w:highlight w:val="none"/>
        </w:rPr>
      </w:pPr>
      <w:r>
        <w:rPr>
          <w:rFonts w:hint="eastAsia" w:cs="宋体"/>
          <w:highlight w:val="none"/>
        </w:rPr>
        <w:t>法定代表人或其授权代表（签字或盖章）：</w:t>
      </w:r>
    </w:p>
    <w:p w14:paraId="5DF1647A">
      <w:pPr>
        <w:spacing w:line="480" w:lineRule="auto"/>
        <w:ind w:firstLine="0" w:firstLineChars="0"/>
        <w:rPr>
          <w:rFonts w:cs="宋体"/>
          <w:highlight w:val="none"/>
        </w:rPr>
      </w:pPr>
      <w:r>
        <w:rPr>
          <w:rFonts w:hint="eastAsia" w:cs="宋体"/>
          <w:highlight w:val="none"/>
        </w:rPr>
        <w:t>日期：  年   月   日</w:t>
      </w:r>
    </w:p>
    <w:p w14:paraId="2BF1429B">
      <w:pPr>
        <w:spacing w:line="500" w:lineRule="exact"/>
        <w:ind w:firstLine="480"/>
        <w:rPr>
          <w:rFonts w:cs="宋体"/>
          <w:highlight w:val="none"/>
        </w:rPr>
      </w:pPr>
    </w:p>
    <w:p w14:paraId="68CDC571">
      <w:pPr>
        <w:ind w:firstLine="480"/>
        <w:rPr>
          <w:rFonts w:cs="宋体"/>
          <w:highlight w:val="none"/>
        </w:rPr>
      </w:pPr>
    </w:p>
    <w:p w14:paraId="3F03684A">
      <w:pPr>
        <w:ind w:firstLine="0" w:firstLineChars="0"/>
        <w:rPr>
          <w:rFonts w:cs="宋体"/>
          <w:highlight w:val="none"/>
        </w:rPr>
        <w:sectPr>
          <w:pgSz w:w="11907" w:h="16840"/>
          <w:pgMar w:top="1247" w:right="1304" w:bottom="1021" w:left="1304" w:header="720" w:footer="720" w:gutter="0"/>
          <w:cols w:space="720" w:num="1"/>
          <w:docGrid w:linePitch="286" w:charSpace="0"/>
        </w:sectPr>
      </w:pPr>
    </w:p>
    <w:p w14:paraId="3A84015A">
      <w:pPr>
        <w:pStyle w:val="5"/>
        <w:rPr>
          <w:rFonts w:hint="eastAsia"/>
          <w:highlight w:val="none"/>
          <w:lang w:eastAsia="zh-CN"/>
        </w:rPr>
      </w:pPr>
      <w:r>
        <w:rPr>
          <w:rFonts w:hint="eastAsia" w:cs="宋体"/>
          <w:szCs w:val="24"/>
          <w:highlight w:val="none"/>
          <w:lang w:eastAsia="zh-CN"/>
        </w:rPr>
        <w:t>附件九</w:t>
      </w:r>
    </w:p>
    <w:p w14:paraId="0A2D033C">
      <w:pPr>
        <w:ind w:firstLine="0" w:firstLineChars="0"/>
        <w:jc w:val="center"/>
        <w:rPr>
          <w:b/>
          <w:bCs/>
          <w:sz w:val="28"/>
          <w:szCs w:val="28"/>
          <w:highlight w:val="none"/>
        </w:rPr>
      </w:pPr>
      <w:r>
        <w:rPr>
          <w:rFonts w:hint="eastAsia"/>
          <w:highlight w:val="none"/>
          <w:lang w:eastAsia="zh-CN"/>
        </w:rPr>
        <w:tab/>
      </w:r>
      <w:r>
        <w:rPr>
          <w:rFonts w:hint="eastAsia"/>
          <w:b/>
          <w:bCs/>
          <w:sz w:val="28"/>
          <w:szCs w:val="28"/>
          <w:highlight w:val="none"/>
        </w:rPr>
        <w:t>技术规范偏离表</w:t>
      </w:r>
    </w:p>
    <w:p w14:paraId="443730FB">
      <w:pPr>
        <w:ind w:firstLine="0" w:firstLineChars="0"/>
        <w:rPr>
          <w:highlight w:val="none"/>
        </w:rPr>
      </w:pPr>
      <w:r>
        <w:rPr>
          <w:rFonts w:hint="eastAsia"/>
          <w:highlight w:val="none"/>
        </w:rPr>
        <w:t>项目名称：</w:t>
      </w:r>
    </w:p>
    <w:p w14:paraId="5D318DFE">
      <w:pPr>
        <w:ind w:firstLine="0" w:firstLineChars="0"/>
        <w:rPr>
          <w:highlight w:val="none"/>
        </w:rPr>
      </w:pPr>
      <w:r>
        <w:rPr>
          <w:rFonts w:hint="eastAsia"/>
          <w:highlight w:val="none"/>
        </w:rPr>
        <w:t>项目编号：</w:t>
      </w:r>
    </w:p>
    <w:tbl>
      <w:tblPr>
        <w:tblStyle w:val="44"/>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08"/>
        <w:gridCol w:w="1980"/>
        <w:gridCol w:w="1957"/>
        <w:gridCol w:w="1680"/>
        <w:gridCol w:w="1797"/>
      </w:tblGrid>
      <w:tr w14:paraId="53D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60" w:type="dxa"/>
            <w:vAlign w:val="center"/>
          </w:tcPr>
          <w:p w14:paraId="10CE8FE4">
            <w:pPr>
              <w:spacing w:line="320" w:lineRule="exact"/>
              <w:ind w:firstLine="0" w:firstLineChars="0"/>
              <w:jc w:val="center"/>
              <w:rPr>
                <w:rFonts w:cs="宋体"/>
                <w:b/>
                <w:bCs/>
                <w:highlight w:val="none"/>
              </w:rPr>
            </w:pPr>
            <w:r>
              <w:rPr>
                <w:rFonts w:hint="eastAsia" w:cs="宋体"/>
                <w:b/>
                <w:bCs/>
                <w:highlight w:val="none"/>
              </w:rPr>
              <w:t>序号</w:t>
            </w:r>
          </w:p>
        </w:tc>
        <w:tc>
          <w:tcPr>
            <w:tcW w:w="1308" w:type="dxa"/>
            <w:vAlign w:val="center"/>
          </w:tcPr>
          <w:p w14:paraId="170C2BFB">
            <w:pPr>
              <w:spacing w:line="320" w:lineRule="exact"/>
              <w:ind w:firstLine="0" w:firstLineChars="0"/>
              <w:jc w:val="center"/>
              <w:rPr>
                <w:rFonts w:cs="宋体"/>
                <w:b/>
                <w:bCs/>
                <w:highlight w:val="none"/>
              </w:rPr>
            </w:pPr>
            <w:r>
              <w:rPr>
                <w:rFonts w:hint="eastAsia" w:cs="宋体"/>
                <w:b/>
                <w:bCs/>
                <w:highlight w:val="none"/>
              </w:rPr>
              <w:t>产品名称</w:t>
            </w:r>
          </w:p>
        </w:tc>
        <w:tc>
          <w:tcPr>
            <w:tcW w:w="1980" w:type="dxa"/>
            <w:vAlign w:val="center"/>
          </w:tcPr>
          <w:p w14:paraId="6FFBFB49">
            <w:pPr>
              <w:spacing w:line="320" w:lineRule="exact"/>
              <w:ind w:firstLine="0" w:firstLineChars="0"/>
              <w:jc w:val="center"/>
              <w:rPr>
                <w:rFonts w:cs="宋体"/>
                <w:b/>
                <w:bCs/>
                <w:highlight w:val="none"/>
              </w:rPr>
            </w:pPr>
            <w:r>
              <w:rPr>
                <w:rFonts w:hint="eastAsia" w:cs="宋体"/>
                <w:b/>
                <w:bCs/>
                <w:highlight w:val="none"/>
              </w:rPr>
              <w:t>技术参数要求</w:t>
            </w:r>
          </w:p>
        </w:tc>
        <w:tc>
          <w:tcPr>
            <w:tcW w:w="1957" w:type="dxa"/>
            <w:vAlign w:val="center"/>
          </w:tcPr>
          <w:p w14:paraId="15BD8034">
            <w:pPr>
              <w:spacing w:line="320" w:lineRule="exact"/>
              <w:ind w:left="102" w:firstLine="0" w:firstLineChars="0"/>
              <w:jc w:val="center"/>
              <w:rPr>
                <w:rFonts w:cs="宋体"/>
                <w:b/>
                <w:bCs/>
                <w:highlight w:val="none"/>
              </w:rPr>
            </w:pPr>
            <w:r>
              <w:rPr>
                <w:rFonts w:hint="eastAsia" w:cs="宋体"/>
                <w:b/>
                <w:bCs/>
                <w:highlight w:val="none"/>
              </w:rPr>
              <w:t>投标响应情况</w:t>
            </w:r>
          </w:p>
        </w:tc>
        <w:tc>
          <w:tcPr>
            <w:tcW w:w="1680" w:type="dxa"/>
            <w:vAlign w:val="center"/>
          </w:tcPr>
          <w:p w14:paraId="64FE26B3">
            <w:pPr>
              <w:spacing w:line="320" w:lineRule="exact"/>
              <w:ind w:firstLine="0" w:firstLineChars="0"/>
              <w:jc w:val="center"/>
              <w:rPr>
                <w:rFonts w:cs="宋体"/>
                <w:b/>
                <w:bCs/>
                <w:highlight w:val="none"/>
              </w:rPr>
            </w:pPr>
            <w:r>
              <w:rPr>
                <w:rFonts w:hint="eastAsia" w:cs="宋体"/>
                <w:b/>
                <w:bCs/>
                <w:highlight w:val="none"/>
              </w:rPr>
              <w:t>偏离情况</w:t>
            </w:r>
          </w:p>
        </w:tc>
        <w:tc>
          <w:tcPr>
            <w:tcW w:w="1797" w:type="dxa"/>
            <w:vAlign w:val="center"/>
          </w:tcPr>
          <w:p w14:paraId="40487870">
            <w:pPr>
              <w:spacing w:line="320" w:lineRule="exact"/>
              <w:ind w:firstLine="0" w:firstLineChars="0"/>
              <w:jc w:val="center"/>
              <w:rPr>
                <w:rFonts w:cs="宋体"/>
                <w:b/>
                <w:bCs/>
                <w:highlight w:val="none"/>
              </w:rPr>
            </w:pPr>
            <w:r>
              <w:rPr>
                <w:rFonts w:hint="eastAsia" w:cs="宋体"/>
                <w:b/>
                <w:bCs/>
                <w:highlight w:val="none"/>
              </w:rPr>
              <w:t>技术支持资料（页码）</w:t>
            </w:r>
          </w:p>
        </w:tc>
      </w:tr>
      <w:tr w14:paraId="44C5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4D1877A">
            <w:pPr>
              <w:ind w:firstLine="0" w:firstLineChars="0"/>
              <w:rPr>
                <w:rFonts w:cs="宋体"/>
                <w:highlight w:val="none"/>
              </w:rPr>
            </w:pPr>
          </w:p>
        </w:tc>
        <w:tc>
          <w:tcPr>
            <w:tcW w:w="1308" w:type="dxa"/>
          </w:tcPr>
          <w:p w14:paraId="1A5E3F90">
            <w:pPr>
              <w:ind w:firstLine="0" w:firstLineChars="0"/>
              <w:rPr>
                <w:rFonts w:cs="宋体"/>
                <w:highlight w:val="none"/>
              </w:rPr>
            </w:pPr>
          </w:p>
        </w:tc>
        <w:tc>
          <w:tcPr>
            <w:tcW w:w="1980" w:type="dxa"/>
          </w:tcPr>
          <w:p w14:paraId="273E6D46">
            <w:pPr>
              <w:ind w:firstLine="0" w:firstLineChars="0"/>
              <w:rPr>
                <w:rFonts w:cs="宋体"/>
                <w:highlight w:val="none"/>
              </w:rPr>
            </w:pPr>
          </w:p>
        </w:tc>
        <w:tc>
          <w:tcPr>
            <w:tcW w:w="1957" w:type="dxa"/>
          </w:tcPr>
          <w:p w14:paraId="2E2E426B">
            <w:pPr>
              <w:ind w:firstLine="0" w:firstLineChars="0"/>
              <w:rPr>
                <w:rFonts w:cs="宋体"/>
                <w:highlight w:val="none"/>
              </w:rPr>
            </w:pPr>
          </w:p>
        </w:tc>
        <w:tc>
          <w:tcPr>
            <w:tcW w:w="1680" w:type="dxa"/>
          </w:tcPr>
          <w:p w14:paraId="01F3B49A">
            <w:pPr>
              <w:ind w:firstLine="0" w:firstLineChars="0"/>
              <w:rPr>
                <w:rFonts w:cs="宋体"/>
                <w:highlight w:val="none"/>
              </w:rPr>
            </w:pPr>
          </w:p>
        </w:tc>
        <w:tc>
          <w:tcPr>
            <w:tcW w:w="1797" w:type="dxa"/>
          </w:tcPr>
          <w:p w14:paraId="4DD91C42">
            <w:pPr>
              <w:ind w:firstLine="0" w:firstLineChars="0"/>
              <w:rPr>
                <w:rFonts w:cs="宋体"/>
                <w:highlight w:val="none"/>
              </w:rPr>
            </w:pPr>
          </w:p>
        </w:tc>
      </w:tr>
      <w:tr w14:paraId="6F79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67118FC5">
            <w:pPr>
              <w:ind w:firstLine="0" w:firstLineChars="0"/>
              <w:rPr>
                <w:rFonts w:cs="宋体"/>
                <w:highlight w:val="none"/>
              </w:rPr>
            </w:pPr>
          </w:p>
        </w:tc>
        <w:tc>
          <w:tcPr>
            <w:tcW w:w="1308" w:type="dxa"/>
          </w:tcPr>
          <w:p w14:paraId="72D94204">
            <w:pPr>
              <w:ind w:firstLine="0" w:firstLineChars="0"/>
              <w:rPr>
                <w:rFonts w:cs="宋体"/>
                <w:highlight w:val="none"/>
              </w:rPr>
            </w:pPr>
          </w:p>
        </w:tc>
        <w:tc>
          <w:tcPr>
            <w:tcW w:w="1980" w:type="dxa"/>
          </w:tcPr>
          <w:p w14:paraId="2A7ABD5D">
            <w:pPr>
              <w:ind w:firstLine="0" w:firstLineChars="0"/>
              <w:rPr>
                <w:rFonts w:cs="宋体"/>
                <w:highlight w:val="none"/>
              </w:rPr>
            </w:pPr>
          </w:p>
        </w:tc>
        <w:tc>
          <w:tcPr>
            <w:tcW w:w="1957" w:type="dxa"/>
          </w:tcPr>
          <w:p w14:paraId="4568ABBD">
            <w:pPr>
              <w:ind w:firstLine="0" w:firstLineChars="0"/>
              <w:rPr>
                <w:rFonts w:cs="宋体"/>
                <w:highlight w:val="none"/>
              </w:rPr>
            </w:pPr>
          </w:p>
        </w:tc>
        <w:tc>
          <w:tcPr>
            <w:tcW w:w="1680" w:type="dxa"/>
          </w:tcPr>
          <w:p w14:paraId="755822D2">
            <w:pPr>
              <w:ind w:firstLine="0" w:firstLineChars="0"/>
              <w:rPr>
                <w:rFonts w:cs="宋体"/>
                <w:highlight w:val="none"/>
              </w:rPr>
            </w:pPr>
          </w:p>
        </w:tc>
        <w:tc>
          <w:tcPr>
            <w:tcW w:w="1797" w:type="dxa"/>
          </w:tcPr>
          <w:p w14:paraId="1FA9829E">
            <w:pPr>
              <w:ind w:firstLine="0" w:firstLineChars="0"/>
              <w:rPr>
                <w:rFonts w:cs="宋体"/>
                <w:highlight w:val="none"/>
              </w:rPr>
            </w:pPr>
          </w:p>
        </w:tc>
      </w:tr>
      <w:tr w14:paraId="63BF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7906A7F5">
            <w:pPr>
              <w:ind w:firstLine="0" w:firstLineChars="0"/>
              <w:rPr>
                <w:rFonts w:cs="宋体"/>
                <w:highlight w:val="none"/>
              </w:rPr>
            </w:pPr>
          </w:p>
        </w:tc>
        <w:tc>
          <w:tcPr>
            <w:tcW w:w="1308" w:type="dxa"/>
          </w:tcPr>
          <w:p w14:paraId="39731AFD">
            <w:pPr>
              <w:ind w:firstLine="0" w:firstLineChars="0"/>
              <w:rPr>
                <w:rFonts w:cs="宋体"/>
                <w:highlight w:val="none"/>
              </w:rPr>
            </w:pPr>
          </w:p>
        </w:tc>
        <w:tc>
          <w:tcPr>
            <w:tcW w:w="1980" w:type="dxa"/>
          </w:tcPr>
          <w:p w14:paraId="52F46F7E">
            <w:pPr>
              <w:ind w:firstLine="0" w:firstLineChars="0"/>
              <w:rPr>
                <w:rFonts w:cs="宋体"/>
                <w:highlight w:val="none"/>
              </w:rPr>
            </w:pPr>
          </w:p>
        </w:tc>
        <w:tc>
          <w:tcPr>
            <w:tcW w:w="1957" w:type="dxa"/>
          </w:tcPr>
          <w:p w14:paraId="46BBF02F">
            <w:pPr>
              <w:ind w:firstLine="0" w:firstLineChars="0"/>
              <w:rPr>
                <w:rFonts w:cs="宋体"/>
                <w:highlight w:val="none"/>
              </w:rPr>
            </w:pPr>
          </w:p>
        </w:tc>
        <w:tc>
          <w:tcPr>
            <w:tcW w:w="1680" w:type="dxa"/>
          </w:tcPr>
          <w:p w14:paraId="206ADEF1">
            <w:pPr>
              <w:ind w:firstLine="0" w:firstLineChars="0"/>
              <w:rPr>
                <w:rFonts w:cs="宋体"/>
                <w:highlight w:val="none"/>
              </w:rPr>
            </w:pPr>
          </w:p>
        </w:tc>
        <w:tc>
          <w:tcPr>
            <w:tcW w:w="1797" w:type="dxa"/>
          </w:tcPr>
          <w:p w14:paraId="139723D6">
            <w:pPr>
              <w:ind w:firstLine="0" w:firstLineChars="0"/>
              <w:rPr>
                <w:rFonts w:cs="宋体"/>
                <w:highlight w:val="none"/>
              </w:rPr>
            </w:pPr>
          </w:p>
        </w:tc>
      </w:tr>
      <w:tr w14:paraId="33BB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38A70AE0">
            <w:pPr>
              <w:ind w:firstLine="0" w:firstLineChars="0"/>
              <w:rPr>
                <w:rFonts w:cs="宋体"/>
                <w:highlight w:val="none"/>
              </w:rPr>
            </w:pPr>
          </w:p>
        </w:tc>
        <w:tc>
          <w:tcPr>
            <w:tcW w:w="1308" w:type="dxa"/>
          </w:tcPr>
          <w:p w14:paraId="38ADE83C">
            <w:pPr>
              <w:ind w:firstLine="0" w:firstLineChars="0"/>
              <w:rPr>
                <w:rFonts w:cs="宋体"/>
                <w:highlight w:val="none"/>
              </w:rPr>
            </w:pPr>
          </w:p>
        </w:tc>
        <w:tc>
          <w:tcPr>
            <w:tcW w:w="1980" w:type="dxa"/>
          </w:tcPr>
          <w:p w14:paraId="2D390D71">
            <w:pPr>
              <w:ind w:firstLine="0" w:firstLineChars="0"/>
              <w:rPr>
                <w:rFonts w:cs="宋体"/>
                <w:highlight w:val="none"/>
              </w:rPr>
            </w:pPr>
          </w:p>
        </w:tc>
        <w:tc>
          <w:tcPr>
            <w:tcW w:w="1957" w:type="dxa"/>
          </w:tcPr>
          <w:p w14:paraId="127A8764">
            <w:pPr>
              <w:ind w:firstLine="0" w:firstLineChars="0"/>
              <w:rPr>
                <w:rFonts w:cs="宋体"/>
                <w:highlight w:val="none"/>
              </w:rPr>
            </w:pPr>
          </w:p>
        </w:tc>
        <w:tc>
          <w:tcPr>
            <w:tcW w:w="1680" w:type="dxa"/>
          </w:tcPr>
          <w:p w14:paraId="301487D3">
            <w:pPr>
              <w:ind w:firstLine="0" w:firstLineChars="0"/>
              <w:rPr>
                <w:rFonts w:cs="宋体"/>
                <w:highlight w:val="none"/>
              </w:rPr>
            </w:pPr>
          </w:p>
        </w:tc>
        <w:tc>
          <w:tcPr>
            <w:tcW w:w="1797" w:type="dxa"/>
          </w:tcPr>
          <w:p w14:paraId="3A4B6974">
            <w:pPr>
              <w:ind w:firstLine="0" w:firstLineChars="0"/>
              <w:rPr>
                <w:rFonts w:cs="宋体"/>
                <w:highlight w:val="none"/>
              </w:rPr>
            </w:pPr>
          </w:p>
        </w:tc>
      </w:tr>
      <w:tr w14:paraId="63B7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4A3AF8B5">
            <w:pPr>
              <w:ind w:firstLine="0" w:firstLineChars="0"/>
              <w:rPr>
                <w:rFonts w:cs="宋体"/>
                <w:highlight w:val="none"/>
              </w:rPr>
            </w:pPr>
          </w:p>
        </w:tc>
        <w:tc>
          <w:tcPr>
            <w:tcW w:w="1308" w:type="dxa"/>
          </w:tcPr>
          <w:p w14:paraId="3D4386C9">
            <w:pPr>
              <w:ind w:firstLine="0" w:firstLineChars="0"/>
              <w:rPr>
                <w:rFonts w:cs="宋体"/>
                <w:highlight w:val="none"/>
              </w:rPr>
            </w:pPr>
          </w:p>
        </w:tc>
        <w:tc>
          <w:tcPr>
            <w:tcW w:w="1980" w:type="dxa"/>
          </w:tcPr>
          <w:p w14:paraId="0E360FA2">
            <w:pPr>
              <w:ind w:firstLine="0" w:firstLineChars="0"/>
              <w:rPr>
                <w:rFonts w:cs="宋体"/>
                <w:highlight w:val="none"/>
              </w:rPr>
            </w:pPr>
          </w:p>
        </w:tc>
        <w:tc>
          <w:tcPr>
            <w:tcW w:w="1957" w:type="dxa"/>
          </w:tcPr>
          <w:p w14:paraId="5FB522E3">
            <w:pPr>
              <w:ind w:firstLine="0" w:firstLineChars="0"/>
              <w:rPr>
                <w:rFonts w:cs="宋体"/>
                <w:highlight w:val="none"/>
              </w:rPr>
            </w:pPr>
          </w:p>
        </w:tc>
        <w:tc>
          <w:tcPr>
            <w:tcW w:w="1680" w:type="dxa"/>
          </w:tcPr>
          <w:p w14:paraId="7811C6F4">
            <w:pPr>
              <w:ind w:firstLine="0" w:firstLineChars="0"/>
              <w:rPr>
                <w:rFonts w:cs="宋体"/>
                <w:highlight w:val="none"/>
              </w:rPr>
            </w:pPr>
          </w:p>
        </w:tc>
        <w:tc>
          <w:tcPr>
            <w:tcW w:w="1797" w:type="dxa"/>
          </w:tcPr>
          <w:p w14:paraId="29BAEB20">
            <w:pPr>
              <w:ind w:firstLine="0" w:firstLineChars="0"/>
              <w:rPr>
                <w:rFonts w:cs="宋体"/>
                <w:highlight w:val="none"/>
              </w:rPr>
            </w:pPr>
          </w:p>
        </w:tc>
      </w:tr>
      <w:tr w14:paraId="5056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38B2866C">
            <w:pPr>
              <w:ind w:firstLine="0" w:firstLineChars="0"/>
              <w:rPr>
                <w:rFonts w:cs="宋体"/>
                <w:highlight w:val="none"/>
              </w:rPr>
            </w:pPr>
          </w:p>
        </w:tc>
        <w:tc>
          <w:tcPr>
            <w:tcW w:w="1308" w:type="dxa"/>
          </w:tcPr>
          <w:p w14:paraId="0E11A154">
            <w:pPr>
              <w:ind w:firstLine="0" w:firstLineChars="0"/>
              <w:rPr>
                <w:rFonts w:cs="宋体"/>
                <w:highlight w:val="none"/>
              </w:rPr>
            </w:pPr>
          </w:p>
        </w:tc>
        <w:tc>
          <w:tcPr>
            <w:tcW w:w="1980" w:type="dxa"/>
          </w:tcPr>
          <w:p w14:paraId="54D1D436">
            <w:pPr>
              <w:ind w:firstLine="0" w:firstLineChars="0"/>
              <w:rPr>
                <w:rFonts w:cs="宋体"/>
                <w:highlight w:val="none"/>
              </w:rPr>
            </w:pPr>
          </w:p>
        </w:tc>
        <w:tc>
          <w:tcPr>
            <w:tcW w:w="1957" w:type="dxa"/>
          </w:tcPr>
          <w:p w14:paraId="33E9D714">
            <w:pPr>
              <w:ind w:firstLine="0" w:firstLineChars="0"/>
              <w:rPr>
                <w:rFonts w:cs="宋体"/>
                <w:highlight w:val="none"/>
              </w:rPr>
            </w:pPr>
          </w:p>
        </w:tc>
        <w:tc>
          <w:tcPr>
            <w:tcW w:w="1680" w:type="dxa"/>
          </w:tcPr>
          <w:p w14:paraId="7C6BFDB9">
            <w:pPr>
              <w:ind w:firstLine="0" w:firstLineChars="0"/>
              <w:rPr>
                <w:rFonts w:cs="宋体"/>
                <w:highlight w:val="none"/>
              </w:rPr>
            </w:pPr>
          </w:p>
        </w:tc>
        <w:tc>
          <w:tcPr>
            <w:tcW w:w="1797" w:type="dxa"/>
          </w:tcPr>
          <w:p w14:paraId="62A11DA4">
            <w:pPr>
              <w:ind w:firstLine="0" w:firstLineChars="0"/>
              <w:rPr>
                <w:rFonts w:cs="宋体"/>
                <w:highlight w:val="none"/>
              </w:rPr>
            </w:pPr>
          </w:p>
        </w:tc>
      </w:tr>
      <w:tr w14:paraId="2BA3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06CB852">
            <w:pPr>
              <w:ind w:firstLine="0" w:firstLineChars="0"/>
              <w:rPr>
                <w:rFonts w:cs="宋体"/>
                <w:highlight w:val="none"/>
              </w:rPr>
            </w:pPr>
          </w:p>
        </w:tc>
        <w:tc>
          <w:tcPr>
            <w:tcW w:w="1308" w:type="dxa"/>
          </w:tcPr>
          <w:p w14:paraId="36F7AA7B">
            <w:pPr>
              <w:ind w:firstLine="0" w:firstLineChars="0"/>
              <w:rPr>
                <w:rFonts w:cs="宋体"/>
                <w:highlight w:val="none"/>
              </w:rPr>
            </w:pPr>
          </w:p>
        </w:tc>
        <w:tc>
          <w:tcPr>
            <w:tcW w:w="1980" w:type="dxa"/>
          </w:tcPr>
          <w:p w14:paraId="01F6E044">
            <w:pPr>
              <w:ind w:firstLine="0" w:firstLineChars="0"/>
              <w:rPr>
                <w:rFonts w:cs="宋体"/>
                <w:highlight w:val="none"/>
              </w:rPr>
            </w:pPr>
          </w:p>
        </w:tc>
        <w:tc>
          <w:tcPr>
            <w:tcW w:w="1957" w:type="dxa"/>
          </w:tcPr>
          <w:p w14:paraId="553B6977">
            <w:pPr>
              <w:ind w:firstLine="0" w:firstLineChars="0"/>
              <w:rPr>
                <w:rFonts w:cs="宋体"/>
                <w:highlight w:val="none"/>
              </w:rPr>
            </w:pPr>
          </w:p>
        </w:tc>
        <w:tc>
          <w:tcPr>
            <w:tcW w:w="1680" w:type="dxa"/>
          </w:tcPr>
          <w:p w14:paraId="0B21EFBA">
            <w:pPr>
              <w:ind w:firstLine="0" w:firstLineChars="0"/>
              <w:rPr>
                <w:rFonts w:cs="宋体"/>
                <w:highlight w:val="none"/>
              </w:rPr>
            </w:pPr>
          </w:p>
        </w:tc>
        <w:tc>
          <w:tcPr>
            <w:tcW w:w="1797" w:type="dxa"/>
          </w:tcPr>
          <w:p w14:paraId="75577AD4">
            <w:pPr>
              <w:ind w:firstLine="0" w:firstLineChars="0"/>
              <w:rPr>
                <w:rFonts w:cs="宋体"/>
                <w:highlight w:val="none"/>
              </w:rPr>
            </w:pPr>
          </w:p>
        </w:tc>
      </w:tr>
      <w:tr w14:paraId="3AEA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486BC1A">
            <w:pPr>
              <w:ind w:firstLine="0" w:firstLineChars="0"/>
              <w:rPr>
                <w:rFonts w:cs="宋体"/>
                <w:highlight w:val="none"/>
              </w:rPr>
            </w:pPr>
          </w:p>
        </w:tc>
        <w:tc>
          <w:tcPr>
            <w:tcW w:w="1308" w:type="dxa"/>
          </w:tcPr>
          <w:p w14:paraId="345F0EAC">
            <w:pPr>
              <w:ind w:firstLine="0" w:firstLineChars="0"/>
              <w:rPr>
                <w:rFonts w:cs="宋体"/>
                <w:highlight w:val="none"/>
              </w:rPr>
            </w:pPr>
          </w:p>
        </w:tc>
        <w:tc>
          <w:tcPr>
            <w:tcW w:w="1980" w:type="dxa"/>
          </w:tcPr>
          <w:p w14:paraId="4115AEA2">
            <w:pPr>
              <w:ind w:firstLine="0" w:firstLineChars="0"/>
              <w:rPr>
                <w:rFonts w:cs="宋体"/>
                <w:highlight w:val="none"/>
              </w:rPr>
            </w:pPr>
          </w:p>
        </w:tc>
        <w:tc>
          <w:tcPr>
            <w:tcW w:w="1957" w:type="dxa"/>
          </w:tcPr>
          <w:p w14:paraId="4579ED6B">
            <w:pPr>
              <w:ind w:firstLine="0" w:firstLineChars="0"/>
              <w:rPr>
                <w:rFonts w:cs="宋体"/>
                <w:highlight w:val="none"/>
              </w:rPr>
            </w:pPr>
          </w:p>
        </w:tc>
        <w:tc>
          <w:tcPr>
            <w:tcW w:w="1680" w:type="dxa"/>
          </w:tcPr>
          <w:p w14:paraId="54CC2AA9">
            <w:pPr>
              <w:ind w:firstLine="0" w:firstLineChars="0"/>
              <w:rPr>
                <w:rFonts w:cs="宋体"/>
                <w:highlight w:val="none"/>
              </w:rPr>
            </w:pPr>
          </w:p>
        </w:tc>
        <w:tc>
          <w:tcPr>
            <w:tcW w:w="1797" w:type="dxa"/>
          </w:tcPr>
          <w:p w14:paraId="6F816E85">
            <w:pPr>
              <w:ind w:firstLine="0" w:firstLineChars="0"/>
              <w:rPr>
                <w:rFonts w:cs="宋体"/>
                <w:highlight w:val="none"/>
              </w:rPr>
            </w:pPr>
          </w:p>
        </w:tc>
      </w:tr>
      <w:tr w14:paraId="6334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4A878041">
            <w:pPr>
              <w:ind w:firstLine="0" w:firstLineChars="0"/>
              <w:rPr>
                <w:rFonts w:cs="宋体"/>
                <w:highlight w:val="none"/>
              </w:rPr>
            </w:pPr>
          </w:p>
        </w:tc>
        <w:tc>
          <w:tcPr>
            <w:tcW w:w="1308" w:type="dxa"/>
          </w:tcPr>
          <w:p w14:paraId="09E4ECBC">
            <w:pPr>
              <w:ind w:firstLine="0" w:firstLineChars="0"/>
              <w:rPr>
                <w:rFonts w:cs="宋体"/>
                <w:highlight w:val="none"/>
              </w:rPr>
            </w:pPr>
          </w:p>
        </w:tc>
        <w:tc>
          <w:tcPr>
            <w:tcW w:w="1980" w:type="dxa"/>
          </w:tcPr>
          <w:p w14:paraId="3798BF47">
            <w:pPr>
              <w:ind w:firstLine="0" w:firstLineChars="0"/>
              <w:rPr>
                <w:rFonts w:cs="宋体"/>
                <w:highlight w:val="none"/>
              </w:rPr>
            </w:pPr>
          </w:p>
        </w:tc>
        <w:tc>
          <w:tcPr>
            <w:tcW w:w="1957" w:type="dxa"/>
          </w:tcPr>
          <w:p w14:paraId="18121943">
            <w:pPr>
              <w:ind w:firstLine="0" w:firstLineChars="0"/>
              <w:rPr>
                <w:rFonts w:cs="宋体"/>
                <w:highlight w:val="none"/>
              </w:rPr>
            </w:pPr>
          </w:p>
        </w:tc>
        <w:tc>
          <w:tcPr>
            <w:tcW w:w="1680" w:type="dxa"/>
          </w:tcPr>
          <w:p w14:paraId="2563191E">
            <w:pPr>
              <w:ind w:firstLine="0" w:firstLineChars="0"/>
              <w:rPr>
                <w:rFonts w:cs="宋体"/>
                <w:highlight w:val="none"/>
              </w:rPr>
            </w:pPr>
          </w:p>
        </w:tc>
        <w:tc>
          <w:tcPr>
            <w:tcW w:w="1797" w:type="dxa"/>
          </w:tcPr>
          <w:p w14:paraId="3D6B7499">
            <w:pPr>
              <w:ind w:firstLine="0" w:firstLineChars="0"/>
              <w:rPr>
                <w:rFonts w:cs="宋体"/>
                <w:highlight w:val="none"/>
              </w:rPr>
            </w:pPr>
          </w:p>
        </w:tc>
      </w:tr>
      <w:tr w14:paraId="12E1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EECD921">
            <w:pPr>
              <w:ind w:firstLine="0" w:firstLineChars="0"/>
              <w:rPr>
                <w:rFonts w:cs="宋体"/>
                <w:highlight w:val="none"/>
              </w:rPr>
            </w:pPr>
          </w:p>
        </w:tc>
        <w:tc>
          <w:tcPr>
            <w:tcW w:w="1308" w:type="dxa"/>
          </w:tcPr>
          <w:p w14:paraId="2C1A55CB">
            <w:pPr>
              <w:ind w:firstLine="0" w:firstLineChars="0"/>
              <w:rPr>
                <w:rFonts w:cs="宋体"/>
                <w:highlight w:val="none"/>
              </w:rPr>
            </w:pPr>
          </w:p>
        </w:tc>
        <w:tc>
          <w:tcPr>
            <w:tcW w:w="1980" w:type="dxa"/>
          </w:tcPr>
          <w:p w14:paraId="3DF26EFE">
            <w:pPr>
              <w:ind w:firstLine="0" w:firstLineChars="0"/>
              <w:rPr>
                <w:rFonts w:cs="宋体"/>
                <w:highlight w:val="none"/>
              </w:rPr>
            </w:pPr>
          </w:p>
        </w:tc>
        <w:tc>
          <w:tcPr>
            <w:tcW w:w="1957" w:type="dxa"/>
          </w:tcPr>
          <w:p w14:paraId="7BECCFFC">
            <w:pPr>
              <w:ind w:firstLine="0" w:firstLineChars="0"/>
              <w:rPr>
                <w:rFonts w:cs="宋体"/>
                <w:highlight w:val="none"/>
              </w:rPr>
            </w:pPr>
          </w:p>
        </w:tc>
        <w:tc>
          <w:tcPr>
            <w:tcW w:w="1680" w:type="dxa"/>
          </w:tcPr>
          <w:p w14:paraId="496115E6">
            <w:pPr>
              <w:ind w:firstLine="0" w:firstLineChars="0"/>
              <w:rPr>
                <w:rFonts w:cs="宋体"/>
                <w:highlight w:val="none"/>
              </w:rPr>
            </w:pPr>
          </w:p>
        </w:tc>
        <w:tc>
          <w:tcPr>
            <w:tcW w:w="1797" w:type="dxa"/>
          </w:tcPr>
          <w:p w14:paraId="5E59DA8F">
            <w:pPr>
              <w:ind w:firstLine="0" w:firstLineChars="0"/>
              <w:rPr>
                <w:rFonts w:cs="宋体"/>
                <w:highlight w:val="none"/>
              </w:rPr>
            </w:pPr>
          </w:p>
        </w:tc>
      </w:tr>
    </w:tbl>
    <w:p w14:paraId="469ED8BD">
      <w:pPr>
        <w:ind w:firstLine="260"/>
        <w:jc w:val="left"/>
        <w:rPr>
          <w:sz w:val="13"/>
          <w:szCs w:val="13"/>
          <w:highlight w:val="none"/>
        </w:rPr>
      </w:pPr>
    </w:p>
    <w:p w14:paraId="1E36EB7E">
      <w:pPr>
        <w:adjustRightInd w:val="0"/>
        <w:snapToGrid w:val="0"/>
        <w:ind w:firstLine="0" w:firstLineChars="0"/>
        <w:rPr>
          <w:rFonts w:cs="宋体"/>
          <w:highlight w:val="none"/>
        </w:rPr>
      </w:pPr>
      <w:r>
        <w:rPr>
          <w:rFonts w:hint="eastAsia" w:cs="宋体"/>
          <w:highlight w:val="none"/>
        </w:rPr>
        <w:t>注：1.逐项按照招标文件要求填写响应规格；</w:t>
      </w:r>
    </w:p>
    <w:p w14:paraId="216201E1">
      <w:pPr>
        <w:adjustRightInd w:val="0"/>
        <w:snapToGrid w:val="0"/>
        <w:ind w:firstLine="480"/>
        <w:rPr>
          <w:rFonts w:cs="宋体"/>
          <w:highlight w:val="none"/>
        </w:rPr>
      </w:pPr>
      <w:r>
        <w:rPr>
          <w:rFonts w:hint="eastAsia" w:cs="宋体"/>
          <w:highlight w:val="none"/>
        </w:rPr>
        <w:t>2.表后需提供技术支持资料以证明其对技术指标的应答。若对技术指标的应答无技术支持资料证明，评标委员会可不予承认，并可认为该应答不符合招标文件要求，将作出不利于投标人的技术评审，其后果将由投标人自行承担；</w:t>
      </w:r>
    </w:p>
    <w:p w14:paraId="6DD7BE37">
      <w:pPr>
        <w:adjustRightInd w:val="0"/>
        <w:snapToGrid w:val="0"/>
        <w:ind w:firstLine="480"/>
        <w:rPr>
          <w:rFonts w:cs="宋体"/>
          <w:highlight w:val="none"/>
        </w:rPr>
      </w:pPr>
      <w:r>
        <w:rPr>
          <w:rFonts w:hint="eastAsia" w:cs="宋体"/>
          <w:highlight w:val="none"/>
        </w:rPr>
        <w:t>3.投标人可提供同等于或优于招标文件要求的设备和服务。</w:t>
      </w:r>
    </w:p>
    <w:p w14:paraId="2E58C522">
      <w:pPr>
        <w:tabs>
          <w:tab w:val="left" w:pos="1247"/>
        </w:tabs>
        <w:ind w:firstLine="480"/>
        <w:jc w:val="left"/>
        <w:rPr>
          <w:highlight w:val="none"/>
        </w:rPr>
      </w:pPr>
    </w:p>
    <w:p w14:paraId="0FB274A5">
      <w:pPr>
        <w:ind w:firstLine="480"/>
        <w:rPr>
          <w:highlight w:val="none"/>
        </w:rPr>
      </w:pPr>
    </w:p>
    <w:p w14:paraId="1AC2DBBD">
      <w:pPr>
        <w:ind w:firstLine="480"/>
        <w:rPr>
          <w:highlight w:val="none"/>
        </w:rPr>
      </w:pPr>
    </w:p>
    <w:p w14:paraId="00081440">
      <w:pPr>
        <w:spacing w:line="480" w:lineRule="auto"/>
        <w:ind w:firstLine="0" w:firstLineChars="0"/>
        <w:rPr>
          <w:rFonts w:cs="宋体"/>
          <w:highlight w:val="none"/>
        </w:rPr>
      </w:pPr>
      <w:r>
        <w:rPr>
          <w:rFonts w:hint="eastAsia" w:cs="宋体"/>
          <w:highlight w:val="none"/>
        </w:rPr>
        <w:t>投标人名称（公章）：</w:t>
      </w:r>
    </w:p>
    <w:p w14:paraId="3880E23A">
      <w:pPr>
        <w:spacing w:line="480" w:lineRule="auto"/>
        <w:ind w:firstLine="0" w:firstLineChars="0"/>
        <w:rPr>
          <w:rFonts w:cs="宋体"/>
          <w:highlight w:val="none"/>
        </w:rPr>
      </w:pPr>
      <w:r>
        <w:rPr>
          <w:rFonts w:hint="eastAsia" w:cs="宋体"/>
          <w:highlight w:val="none"/>
        </w:rPr>
        <w:t>法定代表人或其授权代表（签字或盖章）：</w:t>
      </w:r>
    </w:p>
    <w:p w14:paraId="48870D19">
      <w:pPr>
        <w:tabs>
          <w:tab w:val="left" w:pos="538"/>
        </w:tabs>
        <w:bidi w:val="0"/>
        <w:ind w:left="0" w:leftChars="0" w:firstLine="0" w:firstLineChars="0"/>
        <w:jc w:val="left"/>
        <w:rPr>
          <w:rFonts w:hint="eastAsia"/>
          <w:highlight w:val="none"/>
          <w:lang w:eastAsia="zh-CN"/>
        </w:rPr>
        <w:sectPr>
          <w:pgSz w:w="11907" w:h="16840"/>
          <w:pgMar w:top="1247" w:right="1304" w:bottom="1021" w:left="1304" w:header="720" w:footer="720" w:gutter="0"/>
          <w:cols w:space="720" w:num="1"/>
          <w:docGrid w:linePitch="286" w:charSpace="0"/>
        </w:sectPr>
      </w:pPr>
      <w:r>
        <w:rPr>
          <w:rFonts w:hint="eastAsia" w:cs="宋体"/>
          <w:highlight w:val="none"/>
        </w:rPr>
        <w:t>日期：  年   月   日</w:t>
      </w:r>
    </w:p>
    <w:p w14:paraId="0BC4CC58">
      <w:pPr>
        <w:pStyle w:val="5"/>
        <w:rPr>
          <w:rFonts w:cs="宋体"/>
          <w:szCs w:val="24"/>
          <w:highlight w:val="none"/>
        </w:rPr>
      </w:pPr>
      <w:r>
        <w:rPr>
          <w:rFonts w:hint="eastAsia" w:cs="宋体"/>
          <w:szCs w:val="24"/>
          <w:highlight w:val="none"/>
        </w:rPr>
        <w:t>附件</w:t>
      </w:r>
      <w:r>
        <w:rPr>
          <w:rFonts w:hint="eastAsia" w:cs="宋体"/>
          <w:szCs w:val="24"/>
          <w:highlight w:val="none"/>
          <w:lang w:eastAsia="zh-CN"/>
        </w:rPr>
        <w:t>十</w:t>
      </w:r>
      <w:r>
        <w:rPr>
          <w:rFonts w:hint="eastAsia" w:cs="宋体"/>
          <w:szCs w:val="24"/>
          <w:highlight w:val="none"/>
        </w:rPr>
        <w:t>、类似业绩</w:t>
      </w:r>
    </w:p>
    <w:p w14:paraId="6C3F7C57">
      <w:pPr>
        <w:ind w:firstLine="0" w:firstLineChars="0"/>
        <w:jc w:val="center"/>
        <w:rPr>
          <w:rFonts w:cs="宋体"/>
          <w:b/>
          <w:bCs/>
          <w:sz w:val="28"/>
          <w:szCs w:val="28"/>
          <w:highlight w:val="none"/>
        </w:rPr>
      </w:pPr>
      <w:r>
        <w:rPr>
          <w:rFonts w:hint="eastAsia" w:cs="宋体"/>
          <w:b/>
          <w:bCs/>
          <w:sz w:val="28"/>
          <w:szCs w:val="28"/>
          <w:highlight w:val="none"/>
        </w:rPr>
        <w:t>同类项目实施情况一览表</w:t>
      </w:r>
    </w:p>
    <w:p w14:paraId="6AAE37A2">
      <w:pPr>
        <w:ind w:firstLine="0" w:firstLineChars="0"/>
        <w:rPr>
          <w:rFonts w:cs="宋体"/>
          <w:highlight w:val="none"/>
        </w:rPr>
      </w:pPr>
      <w:r>
        <w:rPr>
          <w:rFonts w:hint="eastAsia" w:cs="宋体"/>
          <w:highlight w:val="none"/>
        </w:rPr>
        <w:t xml:space="preserve">项目名称：            </w:t>
      </w:r>
    </w:p>
    <w:p w14:paraId="279A0B20">
      <w:pPr>
        <w:ind w:firstLine="0" w:firstLineChars="0"/>
        <w:rPr>
          <w:rFonts w:cs="宋体"/>
          <w:highlight w:val="none"/>
        </w:rPr>
      </w:pPr>
      <w:r>
        <w:rPr>
          <w:rFonts w:hint="eastAsia" w:cs="宋体"/>
          <w:highlight w:val="none"/>
        </w:rPr>
        <w:t xml:space="preserve">项目编号：               </w:t>
      </w:r>
    </w:p>
    <w:tbl>
      <w:tblPr>
        <w:tblStyle w:val="44"/>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997"/>
        <w:gridCol w:w="1603"/>
        <w:gridCol w:w="2340"/>
        <w:gridCol w:w="1676"/>
        <w:gridCol w:w="1024"/>
      </w:tblGrid>
      <w:tr w14:paraId="34506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14:paraId="634419E2">
            <w:pPr>
              <w:spacing w:line="340" w:lineRule="exact"/>
              <w:ind w:firstLine="0" w:firstLineChars="0"/>
              <w:jc w:val="center"/>
              <w:rPr>
                <w:rFonts w:cs="宋体"/>
                <w:highlight w:val="none"/>
              </w:rPr>
            </w:pPr>
            <w:r>
              <w:rPr>
                <w:rFonts w:hint="eastAsia" w:cs="宋体"/>
                <w:highlight w:val="none"/>
                <w:lang w:val="zh-CN"/>
              </w:rPr>
              <w:t>序号</w:t>
            </w:r>
          </w:p>
        </w:tc>
        <w:tc>
          <w:tcPr>
            <w:tcW w:w="1997" w:type="dxa"/>
            <w:tcBorders>
              <w:top w:val="single" w:color="auto" w:sz="4" w:space="0"/>
              <w:left w:val="single" w:color="auto" w:sz="4" w:space="0"/>
              <w:bottom w:val="single" w:color="auto" w:sz="4" w:space="0"/>
              <w:right w:val="single" w:color="auto" w:sz="4" w:space="0"/>
            </w:tcBorders>
            <w:vAlign w:val="center"/>
          </w:tcPr>
          <w:p w14:paraId="6C86632C">
            <w:pPr>
              <w:spacing w:line="340" w:lineRule="exact"/>
              <w:ind w:firstLine="0" w:firstLineChars="0"/>
              <w:jc w:val="center"/>
              <w:rPr>
                <w:rFonts w:cs="宋体"/>
                <w:highlight w:val="none"/>
              </w:rPr>
            </w:pPr>
            <w:r>
              <w:rPr>
                <w:rFonts w:hint="eastAsia" w:cs="宋体"/>
                <w:highlight w:val="none"/>
                <w:lang w:val="zh-CN"/>
              </w:rPr>
              <w:t>项目名称</w:t>
            </w:r>
          </w:p>
        </w:tc>
        <w:tc>
          <w:tcPr>
            <w:tcW w:w="1603" w:type="dxa"/>
            <w:tcBorders>
              <w:top w:val="single" w:color="auto" w:sz="4" w:space="0"/>
              <w:left w:val="single" w:color="auto" w:sz="4" w:space="0"/>
              <w:bottom w:val="single" w:color="auto" w:sz="4" w:space="0"/>
              <w:right w:val="single" w:color="auto" w:sz="4" w:space="0"/>
            </w:tcBorders>
            <w:vAlign w:val="center"/>
          </w:tcPr>
          <w:p w14:paraId="58D33693">
            <w:pPr>
              <w:spacing w:line="340" w:lineRule="exact"/>
              <w:ind w:firstLine="0" w:firstLineChars="0"/>
              <w:jc w:val="center"/>
              <w:rPr>
                <w:rFonts w:cs="宋体"/>
                <w:highlight w:val="none"/>
              </w:rPr>
            </w:pPr>
            <w:r>
              <w:rPr>
                <w:rFonts w:hint="eastAsia" w:cs="宋体"/>
                <w:highlight w:val="none"/>
                <w:lang w:val="zh-CN"/>
              </w:rPr>
              <w:t>项目时间</w:t>
            </w:r>
          </w:p>
          <w:p w14:paraId="0D89B457">
            <w:pPr>
              <w:spacing w:line="340" w:lineRule="exact"/>
              <w:ind w:firstLine="0" w:firstLineChars="0"/>
              <w:jc w:val="center"/>
              <w:rPr>
                <w:rFonts w:cs="宋体"/>
                <w:highlight w:val="none"/>
              </w:rPr>
            </w:pPr>
            <w:r>
              <w:rPr>
                <w:rFonts w:hint="eastAsia" w:cs="宋体"/>
                <w:highlight w:val="none"/>
                <w:lang w:val="zh-CN"/>
              </w:rPr>
              <w:t>年/月</w:t>
            </w:r>
          </w:p>
        </w:tc>
        <w:tc>
          <w:tcPr>
            <w:tcW w:w="2340" w:type="dxa"/>
            <w:tcBorders>
              <w:top w:val="single" w:color="auto" w:sz="4" w:space="0"/>
              <w:left w:val="single" w:color="auto" w:sz="4" w:space="0"/>
              <w:bottom w:val="single" w:color="auto" w:sz="4" w:space="0"/>
              <w:right w:val="single" w:color="auto" w:sz="4" w:space="0"/>
            </w:tcBorders>
            <w:vAlign w:val="center"/>
          </w:tcPr>
          <w:p w14:paraId="573BA363">
            <w:pPr>
              <w:spacing w:line="340" w:lineRule="exact"/>
              <w:ind w:firstLine="0" w:firstLineChars="0"/>
              <w:jc w:val="center"/>
              <w:rPr>
                <w:rFonts w:cs="宋体"/>
                <w:highlight w:val="none"/>
                <w:lang w:val="zh-CN"/>
              </w:rPr>
            </w:pPr>
            <w:r>
              <w:rPr>
                <w:rFonts w:hint="eastAsia" w:cs="宋体"/>
                <w:highlight w:val="none"/>
                <w:lang w:val="zh-CN"/>
              </w:rPr>
              <w:t>采购单位名称及</w:t>
            </w:r>
          </w:p>
          <w:p w14:paraId="648C696B">
            <w:pPr>
              <w:spacing w:line="340" w:lineRule="exact"/>
              <w:ind w:firstLine="0" w:firstLineChars="0"/>
              <w:jc w:val="center"/>
              <w:rPr>
                <w:rFonts w:cs="宋体"/>
                <w:highlight w:val="none"/>
              </w:rPr>
            </w:pPr>
            <w:r>
              <w:rPr>
                <w:rFonts w:hint="eastAsia" w:cs="宋体"/>
                <w:highlight w:val="none"/>
                <w:lang w:val="zh-CN"/>
              </w:rPr>
              <w:t>联系方式</w:t>
            </w:r>
          </w:p>
        </w:tc>
        <w:tc>
          <w:tcPr>
            <w:tcW w:w="1676" w:type="dxa"/>
            <w:tcBorders>
              <w:top w:val="single" w:color="auto" w:sz="4" w:space="0"/>
              <w:left w:val="single" w:color="auto" w:sz="4" w:space="0"/>
              <w:bottom w:val="single" w:color="auto" w:sz="4" w:space="0"/>
              <w:right w:val="single" w:color="auto" w:sz="4" w:space="0"/>
            </w:tcBorders>
            <w:vAlign w:val="center"/>
          </w:tcPr>
          <w:p w14:paraId="2647E56D">
            <w:pPr>
              <w:spacing w:line="340" w:lineRule="exact"/>
              <w:ind w:firstLine="0" w:firstLineChars="0"/>
              <w:jc w:val="center"/>
              <w:rPr>
                <w:rFonts w:cs="宋体"/>
                <w:highlight w:val="none"/>
              </w:rPr>
            </w:pPr>
            <w:r>
              <w:rPr>
                <w:rFonts w:hint="eastAsia" w:cs="宋体"/>
                <w:highlight w:val="none"/>
                <w:lang w:val="zh-CN"/>
              </w:rPr>
              <w:t>项目合同金额（单位：万元）</w:t>
            </w:r>
          </w:p>
        </w:tc>
        <w:tc>
          <w:tcPr>
            <w:tcW w:w="1024" w:type="dxa"/>
            <w:tcBorders>
              <w:top w:val="single" w:color="auto" w:sz="4" w:space="0"/>
              <w:left w:val="single" w:color="auto" w:sz="4" w:space="0"/>
              <w:bottom w:val="single" w:color="auto" w:sz="4" w:space="0"/>
              <w:right w:val="single" w:color="auto" w:sz="4" w:space="0"/>
            </w:tcBorders>
            <w:vAlign w:val="center"/>
          </w:tcPr>
          <w:p w14:paraId="2C6CFE08">
            <w:pPr>
              <w:spacing w:line="340" w:lineRule="exact"/>
              <w:ind w:firstLine="0" w:firstLineChars="0"/>
              <w:jc w:val="center"/>
              <w:rPr>
                <w:rFonts w:cs="宋体"/>
                <w:highlight w:val="none"/>
              </w:rPr>
            </w:pPr>
            <w:r>
              <w:rPr>
                <w:rFonts w:hint="eastAsia" w:cs="宋体"/>
                <w:highlight w:val="none"/>
                <w:lang w:val="zh-CN"/>
              </w:rPr>
              <w:t>备 注</w:t>
            </w:r>
          </w:p>
        </w:tc>
      </w:tr>
      <w:tr w14:paraId="2BB47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2CC9687A">
            <w:pPr>
              <w:spacing w:line="440" w:lineRule="exact"/>
              <w:ind w:firstLine="0" w:firstLineChars="0"/>
              <w:jc w:val="center"/>
              <w:rPr>
                <w:rFonts w:cs="宋体"/>
                <w:highlight w:val="none"/>
              </w:rPr>
            </w:pPr>
            <w:r>
              <w:rPr>
                <w:rFonts w:hint="eastAsia" w:cs="宋体"/>
                <w:highlight w:val="none"/>
              </w:rPr>
              <w:t>1</w:t>
            </w:r>
          </w:p>
        </w:tc>
        <w:tc>
          <w:tcPr>
            <w:tcW w:w="1997" w:type="dxa"/>
            <w:tcBorders>
              <w:top w:val="single" w:color="auto" w:sz="4" w:space="0"/>
              <w:left w:val="single" w:color="auto" w:sz="4" w:space="0"/>
              <w:bottom w:val="single" w:color="auto" w:sz="4" w:space="0"/>
              <w:right w:val="single" w:color="auto" w:sz="4" w:space="0"/>
            </w:tcBorders>
          </w:tcPr>
          <w:p w14:paraId="12371B0D">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1E34AE52">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0DD4E0BE">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08DBA311">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2E84F3DF">
            <w:pPr>
              <w:spacing w:line="440" w:lineRule="exact"/>
              <w:ind w:firstLine="0" w:firstLineChars="0"/>
              <w:rPr>
                <w:rFonts w:cs="宋体"/>
                <w:highlight w:val="none"/>
              </w:rPr>
            </w:pPr>
          </w:p>
        </w:tc>
      </w:tr>
      <w:tr w14:paraId="5CE50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0538583">
            <w:pPr>
              <w:spacing w:line="440" w:lineRule="exact"/>
              <w:ind w:firstLine="0" w:firstLineChars="0"/>
              <w:jc w:val="center"/>
              <w:rPr>
                <w:rFonts w:cs="宋体"/>
                <w:highlight w:val="none"/>
              </w:rPr>
            </w:pPr>
            <w:r>
              <w:rPr>
                <w:rFonts w:hint="eastAsia" w:cs="宋体"/>
                <w:highlight w:val="none"/>
              </w:rPr>
              <w:t>2</w:t>
            </w:r>
          </w:p>
        </w:tc>
        <w:tc>
          <w:tcPr>
            <w:tcW w:w="1997" w:type="dxa"/>
            <w:tcBorders>
              <w:top w:val="single" w:color="auto" w:sz="4" w:space="0"/>
              <w:left w:val="single" w:color="auto" w:sz="4" w:space="0"/>
              <w:bottom w:val="single" w:color="auto" w:sz="4" w:space="0"/>
              <w:right w:val="single" w:color="auto" w:sz="4" w:space="0"/>
            </w:tcBorders>
          </w:tcPr>
          <w:p w14:paraId="0343F767">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4CE2EF44">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40508F47">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6F597F93">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38459B3D">
            <w:pPr>
              <w:spacing w:line="440" w:lineRule="exact"/>
              <w:ind w:firstLine="0" w:firstLineChars="0"/>
              <w:rPr>
                <w:rFonts w:cs="宋体"/>
                <w:highlight w:val="none"/>
              </w:rPr>
            </w:pPr>
          </w:p>
        </w:tc>
      </w:tr>
      <w:tr w14:paraId="07CD7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6F4FD3C6">
            <w:pPr>
              <w:spacing w:line="440" w:lineRule="exact"/>
              <w:ind w:firstLine="0" w:firstLineChars="0"/>
              <w:jc w:val="center"/>
              <w:rPr>
                <w:rFonts w:cs="宋体"/>
                <w:highlight w:val="none"/>
              </w:rPr>
            </w:pPr>
            <w:r>
              <w:rPr>
                <w:rFonts w:hint="eastAsia" w:cs="宋体"/>
                <w:highlight w:val="none"/>
              </w:rPr>
              <w:t>3</w:t>
            </w:r>
          </w:p>
        </w:tc>
        <w:tc>
          <w:tcPr>
            <w:tcW w:w="1997" w:type="dxa"/>
            <w:tcBorders>
              <w:top w:val="single" w:color="auto" w:sz="4" w:space="0"/>
              <w:left w:val="single" w:color="auto" w:sz="4" w:space="0"/>
              <w:bottom w:val="single" w:color="auto" w:sz="4" w:space="0"/>
              <w:right w:val="single" w:color="auto" w:sz="4" w:space="0"/>
            </w:tcBorders>
          </w:tcPr>
          <w:p w14:paraId="5F37E3BB">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356552D1">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6041BB75">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3693813B">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2799BE65">
            <w:pPr>
              <w:spacing w:line="440" w:lineRule="exact"/>
              <w:ind w:firstLine="0" w:firstLineChars="0"/>
              <w:rPr>
                <w:rFonts w:cs="宋体"/>
                <w:highlight w:val="none"/>
              </w:rPr>
            </w:pPr>
          </w:p>
        </w:tc>
      </w:tr>
      <w:tr w14:paraId="3D3BB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9ECEBA2">
            <w:pPr>
              <w:spacing w:line="440" w:lineRule="exact"/>
              <w:ind w:firstLine="0" w:firstLineChars="0"/>
              <w:jc w:val="center"/>
              <w:rPr>
                <w:rFonts w:cs="宋体"/>
                <w:highlight w:val="none"/>
              </w:rPr>
            </w:pPr>
            <w:r>
              <w:rPr>
                <w:rFonts w:hint="eastAsia" w:cs="宋体"/>
                <w:highlight w:val="none"/>
              </w:rPr>
              <w:t>4</w:t>
            </w:r>
          </w:p>
        </w:tc>
        <w:tc>
          <w:tcPr>
            <w:tcW w:w="1997" w:type="dxa"/>
            <w:tcBorders>
              <w:top w:val="single" w:color="auto" w:sz="4" w:space="0"/>
              <w:left w:val="single" w:color="auto" w:sz="4" w:space="0"/>
              <w:bottom w:val="single" w:color="auto" w:sz="4" w:space="0"/>
              <w:right w:val="single" w:color="auto" w:sz="4" w:space="0"/>
            </w:tcBorders>
          </w:tcPr>
          <w:p w14:paraId="1BE3E3DD">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3117BB05">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3AE1D44E">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6EB1571E">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7C3500B0">
            <w:pPr>
              <w:spacing w:line="440" w:lineRule="exact"/>
              <w:ind w:firstLine="0" w:firstLineChars="0"/>
              <w:rPr>
                <w:rFonts w:cs="宋体"/>
                <w:highlight w:val="none"/>
              </w:rPr>
            </w:pPr>
          </w:p>
        </w:tc>
      </w:tr>
      <w:tr w14:paraId="22836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1C744B7E">
            <w:pPr>
              <w:spacing w:line="440" w:lineRule="exact"/>
              <w:ind w:firstLine="0" w:firstLineChars="0"/>
              <w:jc w:val="center"/>
              <w:rPr>
                <w:rFonts w:cs="宋体"/>
                <w:highlight w:val="none"/>
              </w:rPr>
            </w:pPr>
            <w:r>
              <w:rPr>
                <w:rFonts w:hint="eastAsia" w:cs="宋体"/>
                <w:highlight w:val="none"/>
              </w:rPr>
              <w:t>5</w:t>
            </w:r>
          </w:p>
        </w:tc>
        <w:tc>
          <w:tcPr>
            <w:tcW w:w="1997" w:type="dxa"/>
            <w:tcBorders>
              <w:top w:val="single" w:color="auto" w:sz="4" w:space="0"/>
              <w:left w:val="single" w:color="auto" w:sz="4" w:space="0"/>
              <w:bottom w:val="single" w:color="auto" w:sz="4" w:space="0"/>
              <w:right w:val="single" w:color="auto" w:sz="4" w:space="0"/>
            </w:tcBorders>
          </w:tcPr>
          <w:p w14:paraId="242594AF">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677E9032">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633C5E74">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42498EDE">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08680CBA">
            <w:pPr>
              <w:spacing w:line="440" w:lineRule="exact"/>
              <w:ind w:firstLine="0" w:firstLineChars="0"/>
              <w:rPr>
                <w:rFonts w:cs="宋体"/>
                <w:highlight w:val="none"/>
              </w:rPr>
            </w:pPr>
          </w:p>
        </w:tc>
      </w:tr>
      <w:tr w14:paraId="497420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11EF9948">
            <w:pPr>
              <w:spacing w:line="440" w:lineRule="exact"/>
              <w:ind w:firstLine="0" w:firstLineChars="0"/>
              <w:jc w:val="center"/>
              <w:rPr>
                <w:rFonts w:cs="宋体"/>
                <w:highlight w:val="none"/>
              </w:rPr>
            </w:pPr>
            <w:r>
              <w:rPr>
                <w:rFonts w:hint="eastAsia" w:cs="宋体"/>
                <w:highlight w:val="none"/>
              </w:rPr>
              <w:t>6</w:t>
            </w:r>
          </w:p>
        </w:tc>
        <w:tc>
          <w:tcPr>
            <w:tcW w:w="1997" w:type="dxa"/>
            <w:tcBorders>
              <w:top w:val="single" w:color="auto" w:sz="4" w:space="0"/>
              <w:left w:val="single" w:color="auto" w:sz="4" w:space="0"/>
              <w:bottom w:val="single" w:color="auto" w:sz="4" w:space="0"/>
              <w:right w:val="single" w:color="auto" w:sz="4" w:space="0"/>
            </w:tcBorders>
          </w:tcPr>
          <w:p w14:paraId="134A3FE6">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63C6CF22">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438D2B3C">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172666DD">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25DCB8C2">
            <w:pPr>
              <w:spacing w:line="440" w:lineRule="exact"/>
              <w:ind w:firstLine="0" w:firstLineChars="0"/>
              <w:rPr>
                <w:rFonts w:cs="宋体"/>
                <w:highlight w:val="none"/>
              </w:rPr>
            </w:pPr>
          </w:p>
        </w:tc>
      </w:tr>
      <w:tr w14:paraId="63C0BF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4667CD87">
            <w:pPr>
              <w:spacing w:line="440" w:lineRule="exact"/>
              <w:ind w:firstLine="0" w:firstLineChars="0"/>
              <w:jc w:val="center"/>
              <w:rPr>
                <w:rFonts w:cs="宋体"/>
                <w:highlight w:val="none"/>
              </w:rPr>
            </w:pPr>
            <w:r>
              <w:rPr>
                <w:rFonts w:hint="eastAsia" w:cs="宋体"/>
                <w:highlight w:val="none"/>
              </w:rPr>
              <w:t>7</w:t>
            </w:r>
          </w:p>
        </w:tc>
        <w:tc>
          <w:tcPr>
            <w:tcW w:w="1997" w:type="dxa"/>
            <w:tcBorders>
              <w:top w:val="single" w:color="auto" w:sz="4" w:space="0"/>
              <w:left w:val="single" w:color="auto" w:sz="4" w:space="0"/>
              <w:bottom w:val="single" w:color="auto" w:sz="4" w:space="0"/>
              <w:right w:val="single" w:color="auto" w:sz="4" w:space="0"/>
            </w:tcBorders>
          </w:tcPr>
          <w:p w14:paraId="62CF8BAC">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784B6470">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10885C57">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135B4374">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084D5D8B">
            <w:pPr>
              <w:spacing w:line="440" w:lineRule="exact"/>
              <w:ind w:firstLine="0" w:firstLineChars="0"/>
              <w:rPr>
                <w:rFonts w:cs="宋体"/>
                <w:highlight w:val="none"/>
              </w:rPr>
            </w:pPr>
          </w:p>
        </w:tc>
      </w:tr>
      <w:tr w14:paraId="7E6EA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DDF141C">
            <w:pPr>
              <w:spacing w:line="440" w:lineRule="exact"/>
              <w:ind w:firstLine="0" w:firstLineChars="0"/>
              <w:jc w:val="center"/>
              <w:rPr>
                <w:rFonts w:cs="宋体"/>
                <w:highlight w:val="none"/>
              </w:rPr>
            </w:pPr>
            <w:r>
              <w:rPr>
                <w:rFonts w:hint="eastAsia" w:cs="宋体"/>
                <w:highlight w:val="none"/>
              </w:rPr>
              <w:t>8</w:t>
            </w:r>
          </w:p>
        </w:tc>
        <w:tc>
          <w:tcPr>
            <w:tcW w:w="1997" w:type="dxa"/>
            <w:tcBorders>
              <w:top w:val="single" w:color="auto" w:sz="4" w:space="0"/>
              <w:left w:val="single" w:color="auto" w:sz="4" w:space="0"/>
              <w:bottom w:val="single" w:color="auto" w:sz="4" w:space="0"/>
              <w:right w:val="single" w:color="auto" w:sz="4" w:space="0"/>
            </w:tcBorders>
          </w:tcPr>
          <w:p w14:paraId="43BBB8A2">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0C67828D">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47F555E1">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27DE1993">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01D6103E">
            <w:pPr>
              <w:spacing w:line="440" w:lineRule="exact"/>
              <w:ind w:firstLine="0" w:firstLineChars="0"/>
              <w:rPr>
                <w:rFonts w:cs="宋体"/>
                <w:highlight w:val="none"/>
              </w:rPr>
            </w:pPr>
          </w:p>
        </w:tc>
      </w:tr>
      <w:tr w14:paraId="2E6B3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5A21A2A6">
            <w:pPr>
              <w:spacing w:line="440" w:lineRule="exact"/>
              <w:ind w:firstLine="0" w:firstLineChars="0"/>
              <w:jc w:val="center"/>
              <w:rPr>
                <w:rFonts w:cs="宋体"/>
                <w:highlight w:val="none"/>
              </w:rPr>
            </w:pPr>
            <w:r>
              <w:rPr>
                <w:rFonts w:hint="eastAsia" w:cs="宋体"/>
                <w:highlight w:val="none"/>
              </w:rPr>
              <w:t>...</w:t>
            </w:r>
          </w:p>
        </w:tc>
        <w:tc>
          <w:tcPr>
            <w:tcW w:w="1997" w:type="dxa"/>
            <w:tcBorders>
              <w:top w:val="single" w:color="auto" w:sz="4" w:space="0"/>
              <w:left w:val="single" w:color="auto" w:sz="4" w:space="0"/>
              <w:bottom w:val="single" w:color="auto" w:sz="4" w:space="0"/>
              <w:right w:val="single" w:color="auto" w:sz="4" w:space="0"/>
            </w:tcBorders>
          </w:tcPr>
          <w:p w14:paraId="65E12AC2">
            <w:pPr>
              <w:spacing w:line="440" w:lineRule="exact"/>
              <w:ind w:firstLine="0" w:firstLineChars="0"/>
              <w:rPr>
                <w:rFonts w:cs="宋体"/>
                <w:highlight w:val="none"/>
              </w:rPr>
            </w:pPr>
          </w:p>
        </w:tc>
        <w:tc>
          <w:tcPr>
            <w:tcW w:w="1603" w:type="dxa"/>
            <w:tcBorders>
              <w:top w:val="single" w:color="auto" w:sz="4" w:space="0"/>
              <w:left w:val="single" w:color="auto" w:sz="4" w:space="0"/>
              <w:bottom w:val="single" w:color="auto" w:sz="4" w:space="0"/>
              <w:right w:val="single" w:color="auto" w:sz="4" w:space="0"/>
            </w:tcBorders>
          </w:tcPr>
          <w:p w14:paraId="3E3A8F8C">
            <w:pPr>
              <w:spacing w:line="440" w:lineRule="exact"/>
              <w:ind w:firstLine="0" w:firstLineChars="0"/>
              <w:rPr>
                <w:rFonts w:cs="宋体"/>
                <w:highlight w:val="none"/>
              </w:rPr>
            </w:pPr>
          </w:p>
        </w:tc>
        <w:tc>
          <w:tcPr>
            <w:tcW w:w="2340" w:type="dxa"/>
            <w:tcBorders>
              <w:top w:val="single" w:color="auto" w:sz="4" w:space="0"/>
              <w:left w:val="single" w:color="auto" w:sz="4" w:space="0"/>
              <w:bottom w:val="single" w:color="auto" w:sz="4" w:space="0"/>
              <w:right w:val="single" w:color="auto" w:sz="4" w:space="0"/>
            </w:tcBorders>
          </w:tcPr>
          <w:p w14:paraId="1ED6FDD5">
            <w:pPr>
              <w:spacing w:line="440" w:lineRule="exact"/>
              <w:ind w:firstLine="0" w:firstLineChars="0"/>
              <w:rPr>
                <w:rFonts w:cs="宋体"/>
                <w:highlight w:val="none"/>
              </w:rPr>
            </w:pPr>
          </w:p>
        </w:tc>
        <w:tc>
          <w:tcPr>
            <w:tcW w:w="1676" w:type="dxa"/>
            <w:tcBorders>
              <w:top w:val="single" w:color="auto" w:sz="4" w:space="0"/>
              <w:left w:val="single" w:color="auto" w:sz="4" w:space="0"/>
              <w:bottom w:val="single" w:color="auto" w:sz="4" w:space="0"/>
              <w:right w:val="single" w:color="auto" w:sz="4" w:space="0"/>
            </w:tcBorders>
          </w:tcPr>
          <w:p w14:paraId="2F8F448D">
            <w:pPr>
              <w:spacing w:line="440" w:lineRule="exact"/>
              <w:ind w:firstLine="0" w:firstLineChars="0"/>
              <w:rPr>
                <w:rFonts w:cs="宋体"/>
                <w:highlight w:val="none"/>
              </w:rPr>
            </w:pPr>
          </w:p>
        </w:tc>
        <w:tc>
          <w:tcPr>
            <w:tcW w:w="1024" w:type="dxa"/>
            <w:tcBorders>
              <w:top w:val="single" w:color="auto" w:sz="4" w:space="0"/>
              <w:left w:val="single" w:color="auto" w:sz="4" w:space="0"/>
              <w:bottom w:val="single" w:color="auto" w:sz="4" w:space="0"/>
              <w:right w:val="single" w:color="auto" w:sz="4" w:space="0"/>
            </w:tcBorders>
          </w:tcPr>
          <w:p w14:paraId="32831A91">
            <w:pPr>
              <w:spacing w:line="440" w:lineRule="exact"/>
              <w:ind w:firstLine="0" w:firstLineChars="0"/>
              <w:rPr>
                <w:rFonts w:cs="宋体"/>
                <w:highlight w:val="none"/>
              </w:rPr>
            </w:pPr>
          </w:p>
        </w:tc>
      </w:tr>
    </w:tbl>
    <w:p w14:paraId="63709AC3">
      <w:pPr>
        <w:ind w:firstLine="0" w:firstLineChars="0"/>
        <w:rPr>
          <w:rFonts w:cs="宋体"/>
          <w:sz w:val="10"/>
          <w:szCs w:val="10"/>
          <w:highlight w:val="none"/>
        </w:rPr>
      </w:pPr>
    </w:p>
    <w:p w14:paraId="05074258">
      <w:pPr>
        <w:ind w:firstLine="0" w:firstLineChars="0"/>
        <w:rPr>
          <w:rFonts w:cs="宋体"/>
          <w:b/>
          <w:spacing w:val="-6"/>
          <w:highlight w:val="none"/>
        </w:rPr>
      </w:pPr>
      <w:r>
        <w:rPr>
          <w:rFonts w:hint="eastAsia" w:cs="宋体"/>
          <w:b/>
          <w:spacing w:val="-6"/>
          <w:highlight w:val="none"/>
        </w:rPr>
        <w:t>注：1.投标人须按照评分标准要求提交相应证明材料；</w:t>
      </w:r>
    </w:p>
    <w:p w14:paraId="42A86A21">
      <w:pPr>
        <w:ind w:firstLine="458"/>
        <w:rPr>
          <w:rFonts w:cs="宋体"/>
          <w:b/>
          <w:spacing w:val="-6"/>
          <w:highlight w:val="none"/>
        </w:rPr>
      </w:pPr>
      <w:r>
        <w:rPr>
          <w:rFonts w:hint="eastAsia" w:cs="宋体"/>
          <w:b/>
          <w:spacing w:val="-6"/>
          <w:highlight w:val="none"/>
        </w:rPr>
        <w:t>2.所有证明材料复印件应清晰，应能体现签订时间、双方签字盖章等内容；</w:t>
      </w:r>
    </w:p>
    <w:p w14:paraId="57E8B8FC">
      <w:pPr>
        <w:pStyle w:val="80"/>
        <w:ind w:firstLine="458" w:firstLineChars="200"/>
        <w:rPr>
          <w:rFonts w:ascii="宋体" w:hAnsi="宋体" w:eastAsia="宋体" w:cs="宋体"/>
          <w:color w:val="auto"/>
          <w:highlight w:val="none"/>
        </w:rPr>
      </w:pPr>
      <w:r>
        <w:rPr>
          <w:rFonts w:hint="eastAsia" w:ascii="宋体" w:hAnsi="宋体" w:eastAsia="宋体" w:cs="宋体"/>
          <w:b/>
          <w:spacing w:val="-6"/>
          <w:highlight w:val="none"/>
        </w:rPr>
        <w:t>3.投标人应在不涉及商业秘密的前提下尽可能提供详细的复印件内容。</w:t>
      </w:r>
    </w:p>
    <w:p w14:paraId="43C6EB9A">
      <w:pPr>
        <w:pStyle w:val="80"/>
        <w:rPr>
          <w:rFonts w:ascii="宋体" w:hAnsi="宋体" w:eastAsia="宋体" w:cs="宋体"/>
          <w:color w:val="auto"/>
          <w:highlight w:val="none"/>
        </w:rPr>
      </w:pPr>
    </w:p>
    <w:p w14:paraId="6FD46084">
      <w:pPr>
        <w:pStyle w:val="80"/>
        <w:rPr>
          <w:rFonts w:ascii="宋体" w:hAnsi="宋体" w:eastAsia="宋体" w:cs="宋体"/>
          <w:color w:val="auto"/>
          <w:highlight w:val="none"/>
        </w:rPr>
      </w:pPr>
    </w:p>
    <w:p w14:paraId="0C6843D5">
      <w:pPr>
        <w:spacing w:line="480" w:lineRule="auto"/>
        <w:ind w:firstLine="0" w:firstLineChars="0"/>
        <w:rPr>
          <w:rFonts w:cs="宋体"/>
          <w:highlight w:val="none"/>
        </w:rPr>
      </w:pPr>
    </w:p>
    <w:p w14:paraId="0A4C7328">
      <w:pPr>
        <w:spacing w:line="480" w:lineRule="auto"/>
        <w:ind w:firstLine="0" w:firstLineChars="0"/>
        <w:rPr>
          <w:rFonts w:cs="宋体"/>
          <w:highlight w:val="none"/>
        </w:rPr>
      </w:pPr>
      <w:r>
        <w:rPr>
          <w:rFonts w:hint="eastAsia" w:cs="宋体"/>
          <w:highlight w:val="none"/>
        </w:rPr>
        <w:t>投标人名称（公章）：</w:t>
      </w:r>
    </w:p>
    <w:p w14:paraId="7472DD0C">
      <w:pPr>
        <w:spacing w:line="480" w:lineRule="auto"/>
        <w:ind w:firstLine="0" w:firstLineChars="0"/>
        <w:rPr>
          <w:rFonts w:cs="宋体"/>
          <w:highlight w:val="none"/>
        </w:rPr>
      </w:pPr>
      <w:r>
        <w:rPr>
          <w:rFonts w:hint="eastAsia" w:cs="宋体"/>
          <w:highlight w:val="none"/>
        </w:rPr>
        <w:t>法定代表人或其授权代表（签字或盖章）：</w:t>
      </w:r>
    </w:p>
    <w:p w14:paraId="0D3E7FCA">
      <w:pPr>
        <w:spacing w:line="480" w:lineRule="auto"/>
        <w:ind w:firstLine="0" w:firstLineChars="0"/>
        <w:rPr>
          <w:rFonts w:cs="宋体"/>
          <w:highlight w:val="none"/>
        </w:rPr>
        <w:sectPr>
          <w:pgSz w:w="11907" w:h="16840"/>
          <w:pgMar w:top="1247" w:right="1304" w:bottom="1021" w:left="1304" w:header="720" w:footer="720" w:gutter="0"/>
          <w:cols w:space="720" w:num="1"/>
          <w:docGrid w:linePitch="286" w:charSpace="0"/>
        </w:sectPr>
      </w:pPr>
      <w:r>
        <w:rPr>
          <w:rFonts w:hint="eastAsia" w:cs="宋体"/>
          <w:highlight w:val="none"/>
        </w:rPr>
        <w:t xml:space="preserve">日期：  年   月   </w:t>
      </w:r>
    </w:p>
    <w:p w14:paraId="4585E5E7">
      <w:pPr>
        <w:ind w:firstLine="260"/>
        <w:jc w:val="left"/>
        <w:rPr>
          <w:sz w:val="13"/>
          <w:szCs w:val="13"/>
          <w:highlight w:val="none"/>
        </w:rPr>
      </w:pPr>
    </w:p>
    <w:p w14:paraId="302BB06E">
      <w:pPr>
        <w:spacing w:line="480" w:lineRule="auto"/>
        <w:ind w:left="0" w:leftChars="0" w:firstLine="0" w:firstLineChars="0"/>
        <w:jc w:val="center"/>
        <w:rPr>
          <w:rFonts w:cs="宋体"/>
          <w:b/>
          <w:bCs/>
          <w:highlight w:val="none"/>
        </w:rPr>
      </w:pPr>
      <w:r>
        <w:rPr>
          <w:rFonts w:hint="eastAsia" w:cs="宋体"/>
          <w:b/>
          <w:bCs/>
          <w:highlight w:val="none"/>
        </w:rPr>
        <w:t>4.</w:t>
      </w:r>
      <w:r>
        <w:rPr>
          <w:rFonts w:hint="eastAsia" w:asciiTheme="minorEastAsia" w:hAnsiTheme="minorEastAsia" w:eastAsiaTheme="minorEastAsia" w:cstheme="minorEastAsia"/>
          <w:b/>
          <w:bCs/>
          <w:highlight w:val="none"/>
          <w:lang w:val="en-US" w:eastAsia="zh-CN"/>
        </w:rPr>
        <w:t>项目实施方案</w:t>
      </w:r>
      <w:r>
        <w:rPr>
          <w:rFonts w:hint="eastAsia" w:cs="宋体"/>
          <w:b/>
          <w:bCs/>
          <w:highlight w:val="none"/>
        </w:rPr>
        <w:t>；</w:t>
      </w:r>
    </w:p>
    <w:p w14:paraId="35597DE7">
      <w:pPr>
        <w:spacing w:line="480" w:lineRule="auto"/>
        <w:ind w:left="0" w:leftChars="0" w:firstLine="0" w:firstLineChars="0"/>
        <w:jc w:val="center"/>
        <w:rPr>
          <w:rFonts w:cs="宋体"/>
          <w:b/>
          <w:bCs/>
          <w:highlight w:val="none"/>
        </w:rPr>
      </w:pPr>
      <w:r>
        <w:rPr>
          <w:rFonts w:hint="eastAsia" w:cs="宋体"/>
          <w:b/>
          <w:bCs/>
          <w:highlight w:val="none"/>
        </w:rPr>
        <w:t>5.</w:t>
      </w:r>
      <w:r>
        <w:rPr>
          <w:rFonts w:hint="eastAsia" w:cs="宋体"/>
          <w:b/>
          <w:bCs/>
          <w:highlight w:val="none"/>
          <w:lang w:val="en-US" w:eastAsia="zh-CN"/>
        </w:rPr>
        <w:t>质量保证措施</w:t>
      </w:r>
      <w:r>
        <w:rPr>
          <w:rFonts w:hint="eastAsia" w:cs="宋体"/>
          <w:b/>
          <w:bCs/>
          <w:highlight w:val="none"/>
        </w:rPr>
        <w:t>；</w:t>
      </w:r>
    </w:p>
    <w:p w14:paraId="3F982E5E">
      <w:pPr>
        <w:spacing w:line="480" w:lineRule="auto"/>
        <w:ind w:left="0" w:leftChars="0" w:firstLine="0" w:firstLineChars="0"/>
        <w:jc w:val="center"/>
        <w:rPr>
          <w:rFonts w:cs="宋体"/>
          <w:b/>
          <w:bCs/>
          <w:highlight w:val="none"/>
        </w:rPr>
      </w:pPr>
      <w:r>
        <w:rPr>
          <w:rFonts w:hint="eastAsia" w:cs="宋体"/>
          <w:b/>
          <w:bCs/>
          <w:highlight w:val="none"/>
        </w:rPr>
        <w:t>6.</w:t>
      </w:r>
      <w:r>
        <w:rPr>
          <w:rFonts w:hint="eastAsia" w:cs="宋体"/>
          <w:b/>
          <w:bCs/>
          <w:highlight w:val="none"/>
          <w:lang w:val="en-US" w:eastAsia="zh-CN"/>
        </w:rPr>
        <w:t>安装调试方案</w:t>
      </w:r>
      <w:r>
        <w:rPr>
          <w:rFonts w:hint="eastAsia" w:cs="宋体"/>
          <w:b/>
          <w:bCs/>
          <w:highlight w:val="none"/>
        </w:rPr>
        <w:t>；</w:t>
      </w:r>
    </w:p>
    <w:p w14:paraId="5182DE10">
      <w:pPr>
        <w:spacing w:line="480" w:lineRule="auto"/>
        <w:ind w:left="0" w:leftChars="0" w:firstLine="0" w:firstLineChars="0"/>
        <w:jc w:val="center"/>
        <w:rPr>
          <w:rFonts w:cs="宋体"/>
          <w:b/>
          <w:bCs/>
          <w:highlight w:val="none"/>
        </w:rPr>
      </w:pPr>
      <w:r>
        <w:rPr>
          <w:rFonts w:hint="eastAsia" w:cs="宋体"/>
          <w:b/>
          <w:bCs/>
          <w:highlight w:val="none"/>
        </w:rPr>
        <w:t>7.</w:t>
      </w:r>
      <w:r>
        <w:rPr>
          <w:rFonts w:hint="eastAsia" w:cs="宋体"/>
          <w:b/>
          <w:bCs/>
          <w:highlight w:val="none"/>
          <w:lang w:val="en-US" w:eastAsia="zh-CN"/>
        </w:rPr>
        <w:t>项目进度计划及安排</w:t>
      </w:r>
      <w:r>
        <w:rPr>
          <w:rFonts w:hint="eastAsia" w:cs="宋体"/>
          <w:b/>
          <w:bCs/>
          <w:highlight w:val="none"/>
        </w:rPr>
        <w:t>；</w:t>
      </w:r>
    </w:p>
    <w:p w14:paraId="7364748F">
      <w:pPr>
        <w:spacing w:line="480" w:lineRule="auto"/>
        <w:ind w:left="0" w:leftChars="0" w:firstLine="0" w:firstLineChars="0"/>
        <w:jc w:val="center"/>
        <w:rPr>
          <w:rFonts w:cs="宋体"/>
          <w:b/>
          <w:bCs/>
          <w:highlight w:val="none"/>
        </w:rPr>
      </w:pPr>
      <w:r>
        <w:rPr>
          <w:rFonts w:hint="eastAsia" w:cs="宋体"/>
          <w:b/>
          <w:bCs/>
          <w:highlight w:val="none"/>
        </w:rPr>
        <w:t>8.</w:t>
      </w:r>
      <w:r>
        <w:rPr>
          <w:rFonts w:hint="eastAsia" w:cs="宋体"/>
          <w:b/>
          <w:bCs/>
          <w:highlight w:val="none"/>
          <w:lang w:val="en-US" w:eastAsia="zh-CN"/>
        </w:rPr>
        <w:t>检测报告</w:t>
      </w:r>
      <w:r>
        <w:rPr>
          <w:rFonts w:hint="eastAsia" w:cs="宋体"/>
          <w:b/>
          <w:bCs/>
          <w:highlight w:val="none"/>
        </w:rPr>
        <w:t>；</w:t>
      </w:r>
    </w:p>
    <w:p w14:paraId="73A608E4">
      <w:pPr>
        <w:spacing w:line="480" w:lineRule="auto"/>
        <w:ind w:left="0" w:leftChars="0" w:firstLine="0" w:firstLineChars="0"/>
        <w:jc w:val="center"/>
        <w:rPr>
          <w:rFonts w:cs="宋体"/>
          <w:b/>
          <w:bCs/>
          <w:highlight w:val="none"/>
        </w:rPr>
      </w:pPr>
      <w:r>
        <w:rPr>
          <w:rFonts w:hint="eastAsia" w:cs="宋体"/>
          <w:b/>
          <w:bCs/>
          <w:highlight w:val="none"/>
        </w:rPr>
        <w:t>9.</w:t>
      </w:r>
      <w:r>
        <w:rPr>
          <w:rFonts w:hint="eastAsia" w:asciiTheme="minorEastAsia" w:hAnsiTheme="minorEastAsia" w:eastAsiaTheme="minorEastAsia" w:cstheme="minorEastAsia"/>
          <w:b/>
          <w:bCs/>
          <w:kern w:val="0"/>
          <w:highlight w:val="none"/>
          <w:lang w:val="en-US" w:eastAsia="zh-CN"/>
        </w:rPr>
        <w:t>生产设备；</w:t>
      </w:r>
    </w:p>
    <w:p w14:paraId="39E876C4">
      <w:pPr>
        <w:spacing w:line="480" w:lineRule="auto"/>
        <w:ind w:left="0" w:leftChars="0" w:firstLine="0" w:firstLineChars="0"/>
        <w:jc w:val="center"/>
        <w:rPr>
          <w:rFonts w:cs="宋体"/>
          <w:b/>
          <w:bCs/>
          <w:highlight w:val="none"/>
        </w:rPr>
      </w:pPr>
      <w:r>
        <w:rPr>
          <w:rFonts w:hint="eastAsia" w:cs="宋体"/>
          <w:b/>
          <w:bCs/>
          <w:highlight w:val="none"/>
        </w:rPr>
        <w:t>10.</w:t>
      </w:r>
      <w:r>
        <w:rPr>
          <w:rFonts w:hint="eastAsia" w:asciiTheme="minorEastAsia" w:hAnsiTheme="minorEastAsia" w:eastAsiaTheme="minorEastAsia" w:cstheme="minorEastAsia"/>
          <w:b/>
          <w:bCs/>
          <w:highlight w:val="none"/>
          <w:lang w:val="en-US" w:eastAsia="zh-CN"/>
        </w:rPr>
        <w:t>样品分</w:t>
      </w:r>
      <w:r>
        <w:rPr>
          <w:rFonts w:hint="eastAsia" w:cs="宋体"/>
          <w:b/>
          <w:bCs/>
          <w:highlight w:val="none"/>
        </w:rPr>
        <w:t>；</w:t>
      </w:r>
    </w:p>
    <w:p w14:paraId="361758F9">
      <w:pPr>
        <w:spacing w:line="480" w:lineRule="auto"/>
        <w:ind w:left="0" w:leftChars="0" w:firstLine="0" w:firstLineChars="0"/>
        <w:jc w:val="center"/>
        <w:rPr>
          <w:rFonts w:cs="宋体"/>
          <w:b/>
          <w:bCs/>
          <w:highlight w:val="none"/>
        </w:rPr>
      </w:pPr>
      <w:r>
        <w:rPr>
          <w:rFonts w:hint="eastAsia" w:cs="宋体"/>
          <w:b/>
          <w:bCs/>
          <w:highlight w:val="none"/>
        </w:rPr>
        <w:t>11.</w:t>
      </w:r>
      <w:r>
        <w:rPr>
          <w:rFonts w:hint="eastAsia" w:cs="宋体"/>
          <w:b/>
          <w:bCs/>
          <w:highlight w:val="none"/>
          <w:lang w:val="en-US" w:eastAsia="zh-CN"/>
        </w:rPr>
        <w:t>售后服务方案</w:t>
      </w:r>
      <w:r>
        <w:rPr>
          <w:rFonts w:hint="eastAsia" w:cs="宋体"/>
          <w:b/>
          <w:bCs/>
          <w:highlight w:val="none"/>
        </w:rPr>
        <w:t>；</w:t>
      </w:r>
    </w:p>
    <w:p w14:paraId="1A1BC1AC">
      <w:pPr>
        <w:adjustRightInd w:val="0"/>
        <w:snapToGrid w:val="0"/>
        <w:spacing w:line="480" w:lineRule="auto"/>
        <w:ind w:left="0" w:leftChars="0" w:firstLine="0" w:firstLineChars="0"/>
        <w:jc w:val="center"/>
        <w:rPr>
          <w:rFonts w:cs="宋体"/>
          <w:b/>
          <w:bCs/>
          <w:highlight w:val="none"/>
        </w:rPr>
      </w:pPr>
      <w:r>
        <w:rPr>
          <w:rFonts w:hint="eastAsia" w:cs="宋体"/>
          <w:b/>
          <w:bCs/>
          <w:highlight w:val="none"/>
        </w:rPr>
        <w:t>12.</w:t>
      </w:r>
      <w:r>
        <w:rPr>
          <w:rFonts w:hint="eastAsia" w:cs="宋体"/>
          <w:b/>
          <w:bCs/>
          <w:highlight w:val="none"/>
          <w:lang w:val="en-US" w:eastAsia="zh-CN"/>
        </w:rPr>
        <w:t>质保期</w:t>
      </w:r>
      <w:r>
        <w:rPr>
          <w:rFonts w:hint="eastAsia" w:cs="宋体"/>
          <w:b/>
          <w:bCs/>
          <w:highlight w:val="none"/>
        </w:rPr>
        <w:t>；</w:t>
      </w:r>
    </w:p>
    <w:p w14:paraId="4E87C5BD">
      <w:pPr>
        <w:adjustRightInd w:val="0"/>
        <w:snapToGrid w:val="0"/>
        <w:spacing w:line="480" w:lineRule="auto"/>
        <w:ind w:left="0" w:leftChars="0" w:firstLine="0" w:firstLineChars="0"/>
        <w:jc w:val="center"/>
        <w:rPr>
          <w:rFonts w:cs="宋体"/>
          <w:b/>
          <w:bCs/>
          <w:highlight w:val="none"/>
        </w:rPr>
      </w:pPr>
      <w:r>
        <w:rPr>
          <w:rFonts w:hint="eastAsia" w:cs="宋体"/>
          <w:b/>
          <w:bCs/>
          <w:highlight w:val="none"/>
        </w:rPr>
        <w:t>13.</w:t>
      </w:r>
      <w:r>
        <w:rPr>
          <w:rFonts w:hint="eastAsia" w:cs="宋体"/>
          <w:b/>
          <w:bCs/>
          <w:highlight w:val="none"/>
          <w:lang w:val="en-US" w:eastAsia="zh-CN"/>
        </w:rPr>
        <w:t>优惠承诺</w:t>
      </w:r>
      <w:r>
        <w:rPr>
          <w:rFonts w:hint="eastAsia" w:cs="宋体"/>
          <w:b/>
          <w:bCs/>
          <w:highlight w:val="none"/>
        </w:rPr>
        <w:t>；</w:t>
      </w:r>
    </w:p>
    <w:p w14:paraId="3A587E84">
      <w:pPr>
        <w:spacing w:line="480" w:lineRule="auto"/>
        <w:ind w:left="0" w:leftChars="0" w:firstLine="0" w:firstLineChars="0"/>
        <w:jc w:val="center"/>
        <w:rPr>
          <w:rFonts w:hint="eastAsia" w:cs="宋体"/>
          <w:b/>
          <w:bCs/>
          <w:highlight w:val="none"/>
          <w:lang w:val="en-US" w:eastAsia="zh-CN"/>
        </w:rPr>
      </w:pPr>
      <w:r>
        <w:rPr>
          <w:rFonts w:hint="eastAsia" w:cs="宋体"/>
          <w:b/>
          <w:bCs/>
          <w:highlight w:val="none"/>
        </w:rPr>
        <w:t>14.</w:t>
      </w:r>
      <w:r>
        <w:rPr>
          <w:rFonts w:hint="eastAsia" w:cs="宋体"/>
          <w:b/>
          <w:bCs/>
          <w:highlight w:val="none"/>
          <w:lang w:val="en-US" w:eastAsia="zh-CN"/>
        </w:rPr>
        <w:t>企业认证；</w:t>
      </w:r>
    </w:p>
    <w:p w14:paraId="0CFEAD9F">
      <w:pPr>
        <w:ind w:left="0" w:leftChars="0" w:right="-965" w:firstLine="0" w:firstLineChars="0"/>
        <w:jc w:val="center"/>
        <w:rPr>
          <w:rFonts w:cs="宋体"/>
          <w:b/>
          <w:bCs/>
          <w:spacing w:val="30"/>
          <w:highlight w:val="none"/>
        </w:rPr>
      </w:pPr>
      <w:r>
        <w:rPr>
          <w:rFonts w:hint="eastAsia" w:cs="宋体"/>
          <w:b/>
          <w:bCs/>
          <w:highlight w:val="none"/>
          <w:lang w:val="en-US" w:eastAsia="zh-CN"/>
        </w:rPr>
        <w:t>16.</w:t>
      </w:r>
      <w:r>
        <w:rPr>
          <w:rFonts w:hint="eastAsia" w:cs="宋体"/>
          <w:b/>
          <w:bCs/>
          <w:highlight w:val="none"/>
        </w:rPr>
        <w:t>其它本招标文件评分表要求提供的材料或投标人认为需要补充的其他资料或说明。</w:t>
      </w:r>
    </w:p>
    <w:p w14:paraId="56D5F21A">
      <w:pPr>
        <w:ind w:left="-720" w:right="-965" w:firstLine="0" w:firstLineChars="0"/>
        <w:jc w:val="center"/>
        <w:rPr>
          <w:rFonts w:cs="宋体"/>
          <w:b/>
          <w:bCs/>
          <w:spacing w:val="30"/>
          <w:sz w:val="28"/>
          <w:szCs w:val="28"/>
          <w:highlight w:val="none"/>
        </w:rPr>
      </w:pPr>
    </w:p>
    <w:p w14:paraId="0AEA4750">
      <w:pPr>
        <w:ind w:firstLine="0" w:firstLineChars="0"/>
        <w:jc w:val="center"/>
        <w:rPr>
          <w:rFonts w:hint="eastAsia" w:eastAsia="宋体" w:cs="宋体"/>
          <w:highlight w:val="none"/>
          <w:lang w:eastAsia="zh-CN"/>
        </w:rPr>
      </w:pPr>
      <w:r>
        <w:rPr>
          <w:rFonts w:hint="eastAsia" w:cs="宋体"/>
          <w:b/>
          <w:bCs/>
          <w:highlight w:val="none"/>
          <w:lang w:eastAsia="zh-CN"/>
        </w:rPr>
        <w:t>注：具体内容按照各标项评分表中的“评审因素”要求提供。</w:t>
      </w:r>
    </w:p>
    <w:p w14:paraId="44DD6643">
      <w:pPr>
        <w:ind w:firstLine="0" w:firstLineChars="0"/>
        <w:rPr>
          <w:rFonts w:cs="宋体"/>
          <w:highlight w:val="none"/>
        </w:rPr>
      </w:pPr>
      <w:r>
        <w:rPr>
          <w:rFonts w:hint="eastAsia" w:cs="宋体"/>
          <w:highlight w:val="none"/>
        </w:rPr>
        <w:t xml:space="preserve">              </w:t>
      </w:r>
    </w:p>
    <w:p w14:paraId="79DEBB7B">
      <w:pPr>
        <w:ind w:firstLine="0" w:firstLineChars="0"/>
        <w:rPr>
          <w:rFonts w:cs="宋体"/>
          <w:highlight w:val="none"/>
        </w:rPr>
      </w:pPr>
    </w:p>
    <w:p w14:paraId="7CCFE023">
      <w:pPr>
        <w:pStyle w:val="80"/>
        <w:rPr>
          <w:rFonts w:ascii="宋体" w:hAnsi="宋体" w:eastAsia="宋体" w:cs="宋体"/>
          <w:color w:val="auto"/>
          <w:highlight w:val="none"/>
        </w:rPr>
      </w:pPr>
    </w:p>
    <w:p w14:paraId="05A418E0">
      <w:pPr>
        <w:ind w:left="-720" w:right="-958" w:firstLine="0" w:firstLineChars="0"/>
        <w:rPr>
          <w:rFonts w:cs="宋体"/>
          <w:highlight w:val="none"/>
        </w:rPr>
      </w:pPr>
      <w:r>
        <w:rPr>
          <w:rFonts w:hint="eastAsia" w:cs="宋体"/>
          <w:highlight w:val="none"/>
        </w:rPr>
        <w:t xml:space="preserve"> </w:t>
      </w:r>
    </w:p>
    <w:p w14:paraId="241265B5">
      <w:pPr>
        <w:pStyle w:val="5"/>
        <w:rPr>
          <w:rFonts w:cs="宋体"/>
          <w:szCs w:val="24"/>
          <w:highlight w:val="none"/>
        </w:rPr>
        <w:sectPr>
          <w:pgSz w:w="11907" w:h="16840"/>
          <w:pgMar w:top="1247" w:right="1304" w:bottom="1021" w:left="1304" w:header="720" w:footer="720" w:gutter="0"/>
          <w:cols w:space="720" w:num="1"/>
          <w:docGrid w:linePitch="286" w:charSpace="0"/>
        </w:sectPr>
      </w:pPr>
    </w:p>
    <w:p w14:paraId="78AC1771">
      <w:pPr>
        <w:pStyle w:val="5"/>
        <w:spacing w:line="240" w:lineRule="auto"/>
        <w:rPr>
          <w:rFonts w:cs="宋体"/>
          <w:szCs w:val="24"/>
          <w:highlight w:val="none"/>
        </w:rPr>
      </w:pPr>
      <w:r>
        <w:rPr>
          <w:rFonts w:hint="eastAsia" w:cs="宋体"/>
          <w:szCs w:val="24"/>
          <w:highlight w:val="none"/>
        </w:rPr>
        <w:t>报价文件封面                                                    正本（副本）</w:t>
      </w:r>
    </w:p>
    <w:p w14:paraId="1FF975AA">
      <w:pPr>
        <w:ind w:firstLine="482"/>
        <w:jc w:val="center"/>
        <w:rPr>
          <w:rFonts w:cs="宋体"/>
          <w:highlight w:val="none"/>
        </w:rPr>
      </w:pPr>
      <w:r>
        <w:rPr>
          <w:rFonts w:hint="eastAsia" w:cs="宋体"/>
          <w:b/>
          <w:bCs/>
          <w:highlight w:val="none"/>
        </w:rPr>
        <w:t xml:space="preserve"> </w:t>
      </w:r>
    </w:p>
    <w:p w14:paraId="4906F2EC">
      <w:pPr>
        <w:ind w:firstLine="480"/>
        <w:rPr>
          <w:rFonts w:cs="宋体"/>
          <w:highlight w:val="none"/>
        </w:rPr>
      </w:pPr>
    </w:p>
    <w:p w14:paraId="18CDC112">
      <w:pPr>
        <w:ind w:firstLine="0" w:firstLineChars="0"/>
        <w:jc w:val="center"/>
        <w:rPr>
          <w:rFonts w:cs="宋体"/>
          <w:b/>
          <w:bCs/>
          <w:highlight w:val="none"/>
        </w:rPr>
      </w:pPr>
      <w:r>
        <w:rPr>
          <w:rFonts w:hint="eastAsia" w:cs="宋体"/>
          <w:b/>
          <w:bCs/>
          <w:sz w:val="32"/>
          <w:szCs w:val="32"/>
          <w:highlight w:val="none"/>
        </w:rPr>
        <w:t>报价文件</w:t>
      </w:r>
    </w:p>
    <w:p w14:paraId="585B7368">
      <w:pPr>
        <w:pStyle w:val="14"/>
        <w:rPr>
          <w:rFonts w:hAnsi="宋体" w:cs="宋体"/>
          <w:b/>
          <w:bCs/>
          <w:szCs w:val="24"/>
          <w:highlight w:val="none"/>
        </w:rPr>
      </w:pPr>
    </w:p>
    <w:p w14:paraId="58642F26">
      <w:pPr>
        <w:ind w:firstLine="480"/>
        <w:rPr>
          <w:rFonts w:cs="宋体"/>
          <w:highlight w:val="none"/>
        </w:rPr>
      </w:pPr>
    </w:p>
    <w:p w14:paraId="0A974AC2">
      <w:pPr>
        <w:spacing w:line="600" w:lineRule="auto"/>
        <w:ind w:firstLine="576"/>
        <w:rPr>
          <w:rFonts w:cs="宋体"/>
          <w:bCs/>
          <w:spacing w:val="-6"/>
          <w:sz w:val="30"/>
          <w:szCs w:val="30"/>
          <w:highlight w:val="none"/>
        </w:rPr>
      </w:pPr>
      <w:r>
        <w:rPr>
          <w:rFonts w:hint="eastAsia" w:cs="宋体"/>
          <w:bCs/>
          <w:spacing w:val="-6"/>
          <w:sz w:val="30"/>
          <w:szCs w:val="30"/>
          <w:highlight w:val="none"/>
        </w:rPr>
        <w:t>招 标 人：</w:t>
      </w:r>
    </w:p>
    <w:p w14:paraId="210D2107">
      <w:pPr>
        <w:spacing w:line="600" w:lineRule="auto"/>
        <w:ind w:firstLine="576"/>
        <w:rPr>
          <w:rFonts w:cs="宋体"/>
          <w:bCs/>
          <w:spacing w:val="-6"/>
          <w:sz w:val="30"/>
          <w:szCs w:val="30"/>
          <w:highlight w:val="none"/>
        </w:rPr>
      </w:pPr>
      <w:r>
        <w:rPr>
          <w:rFonts w:hint="eastAsia" w:cs="宋体"/>
          <w:bCs/>
          <w:spacing w:val="-6"/>
          <w:sz w:val="30"/>
          <w:szCs w:val="30"/>
          <w:highlight w:val="none"/>
        </w:rPr>
        <w:t>项目名称：</w:t>
      </w:r>
    </w:p>
    <w:p w14:paraId="35140FAA">
      <w:pPr>
        <w:spacing w:line="600" w:lineRule="auto"/>
        <w:ind w:firstLine="576"/>
        <w:rPr>
          <w:rFonts w:cs="宋体"/>
          <w:bCs/>
          <w:spacing w:val="-6"/>
          <w:sz w:val="30"/>
          <w:szCs w:val="30"/>
          <w:highlight w:val="none"/>
        </w:rPr>
      </w:pPr>
      <w:r>
        <w:rPr>
          <w:rFonts w:hint="eastAsia" w:cs="宋体"/>
          <w:bCs/>
          <w:spacing w:val="-6"/>
          <w:sz w:val="30"/>
          <w:szCs w:val="30"/>
          <w:highlight w:val="none"/>
        </w:rPr>
        <w:t>项目编号：</w:t>
      </w:r>
    </w:p>
    <w:p w14:paraId="3CAA6111">
      <w:pPr>
        <w:spacing w:line="600" w:lineRule="auto"/>
        <w:ind w:firstLine="576"/>
        <w:rPr>
          <w:rFonts w:cs="宋体"/>
          <w:bCs/>
          <w:spacing w:val="-6"/>
          <w:sz w:val="30"/>
          <w:szCs w:val="30"/>
          <w:highlight w:val="none"/>
        </w:rPr>
      </w:pPr>
      <w:r>
        <w:rPr>
          <w:rFonts w:hint="eastAsia" w:cs="宋体"/>
          <w:bCs/>
          <w:spacing w:val="-6"/>
          <w:sz w:val="30"/>
          <w:szCs w:val="30"/>
          <w:highlight w:val="none"/>
        </w:rPr>
        <w:t>投标人名称（盖章）：</w:t>
      </w:r>
    </w:p>
    <w:p w14:paraId="48C2184C">
      <w:pPr>
        <w:spacing w:line="600" w:lineRule="auto"/>
        <w:ind w:firstLine="576"/>
        <w:rPr>
          <w:rFonts w:cs="宋体"/>
          <w:bCs/>
          <w:spacing w:val="-6"/>
          <w:sz w:val="30"/>
          <w:szCs w:val="30"/>
          <w:highlight w:val="none"/>
        </w:rPr>
      </w:pPr>
      <w:r>
        <w:rPr>
          <w:rFonts w:hint="eastAsia" w:cs="宋体"/>
          <w:bCs/>
          <w:spacing w:val="-6"/>
          <w:sz w:val="30"/>
          <w:szCs w:val="30"/>
          <w:highlight w:val="none"/>
        </w:rPr>
        <w:t>投标人地址：</w:t>
      </w:r>
    </w:p>
    <w:p w14:paraId="0F20CDA6">
      <w:pPr>
        <w:ind w:firstLine="576"/>
        <w:rPr>
          <w:rFonts w:cs="宋体"/>
          <w:bCs/>
          <w:spacing w:val="-6"/>
          <w:sz w:val="30"/>
          <w:szCs w:val="30"/>
          <w:highlight w:val="none"/>
        </w:rPr>
      </w:pPr>
    </w:p>
    <w:p w14:paraId="046759A0">
      <w:pPr>
        <w:spacing w:line="600" w:lineRule="auto"/>
        <w:ind w:firstLine="576"/>
        <w:rPr>
          <w:rFonts w:cs="宋体"/>
          <w:bCs/>
          <w:spacing w:val="-6"/>
          <w:sz w:val="30"/>
          <w:szCs w:val="30"/>
          <w:highlight w:val="none"/>
        </w:rPr>
      </w:pPr>
      <w:r>
        <w:rPr>
          <w:rFonts w:hint="eastAsia" w:cs="宋体"/>
          <w:spacing w:val="-6"/>
          <w:sz w:val="30"/>
          <w:szCs w:val="30"/>
          <w:highlight w:val="none"/>
        </w:rPr>
        <w:t>法定代表人或其授权代表（签字）</w:t>
      </w:r>
      <w:r>
        <w:rPr>
          <w:rFonts w:hint="eastAsia" w:cs="宋体"/>
          <w:bCs/>
          <w:spacing w:val="-6"/>
          <w:sz w:val="30"/>
          <w:szCs w:val="30"/>
          <w:highlight w:val="none"/>
        </w:rPr>
        <w:t>：</w:t>
      </w:r>
    </w:p>
    <w:p w14:paraId="5AA2375A">
      <w:pPr>
        <w:pStyle w:val="81"/>
        <w:spacing w:line="600" w:lineRule="auto"/>
        <w:ind w:left="0" w:firstLine="576" w:firstLineChars="200"/>
        <w:rPr>
          <w:highlight w:val="none"/>
        </w:rPr>
      </w:pPr>
      <w:r>
        <w:rPr>
          <w:rFonts w:hint="eastAsia" w:ascii="宋体" w:hAnsi="宋体" w:cs="宋体"/>
          <w:bCs/>
          <w:spacing w:val="-6"/>
          <w:sz w:val="30"/>
          <w:szCs w:val="30"/>
          <w:highlight w:val="none"/>
        </w:rPr>
        <w:t>日期：    年  月  日</w:t>
      </w:r>
    </w:p>
    <w:p w14:paraId="66A402B7">
      <w:pPr>
        <w:pStyle w:val="80"/>
        <w:rPr>
          <w:rFonts w:ascii="宋体" w:hAnsi="宋体" w:eastAsia="宋体" w:cs="宋体"/>
          <w:color w:val="auto"/>
          <w:highlight w:val="none"/>
        </w:rPr>
      </w:pPr>
    </w:p>
    <w:p w14:paraId="52EE590F">
      <w:pPr>
        <w:pStyle w:val="5"/>
        <w:rPr>
          <w:rFonts w:cs="宋体"/>
          <w:szCs w:val="24"/>
          <w:highlight w:val="none"/>
        </w:rPr>
        <w:sectPr>
          <w:pgSz w:w="11906" w:h="16838"/>
          <w:pgMar w:top="1440" w:right="1304" w:bottom="1020" w:left="1304" w:header="851" w:footer="992" w:gutter="0"/>
          <w:cols w:space="720" w:num="1"/>
          <w:docGrid w:type="lines" w:linePitch="312" w:charSpace="0"/>
        </w:sectPr>
      </w:pPr>
    </w:p>
    <w:p w14:paraId="15BC668D">
      <w:pPr>
        <w:spacing w:line="600" w:lineRule="auto"/>
        <w:ind w:firstLine="643"/>
        <w:jc w:val="center"/>
        <w:rPr>
          <w:rFonts w:cs="宋体"/>
          <w:b/>
          <w:kern w:val="0"/>
          <w:szCs w:val="28"/>
          <w:highlight w:val="none"/>
        </w:rPr>
      </w:pPr>
      <w:r>
        <w:rPr>
          <w:rFonts w:hint="eastAsia"/>
          <w:b/>
          <w:bCs/>
          <w:sz w:val="32"/>
          <w:szCs w:val="32"/>
          <w:highlight w:val="none"/>
        </w:rPr>
        <w:t>报价文件目录</w:t>
      </w:r>
    </w:p>
    <w:p w14:paraId="1DF88638">
      <w:pPr>
        <w:spacing w:line="480" w:lineRule="auto"/>
        <w:ind w:firstLine="480"/>
        <w:rPr>
          <w:rFonts w:cs="宋体"/>
          <w:highlight w:val="none"/>
        </w:rPr>
      </w:pPr>
      <w:r>
        <w:rPr>
          <w:rFonts w:hint="eastAsia" w:cs="宋体"/>
          <w:highlight w:val="none"/>
        </w:rPr>
        <w:t>1.投标响应函；（附件十一）</w:t>
      </w:r>
    </w:p>
    <w:p w14:paraId="4E17449D">
      <w:pPr>
        <w:spacing w:line="480" w:lineRule="auto"/>
        <w:ind w:firstLine="480"/>
        <w:jc w:val="left"/>
        <w:rPr>
          <w:rFonts w:cs="宋体"/>
          <w:highlight w:val="none"/>
        </w:rPr>
      </w:pPr>
      <w:r>
        <w:rPr>
          <w:rFonts w:hint="eastAsia" w:cs="宋体"/>
          <w:highlight w:val="none"/>
        </w:rPr>
        <w:t>2.开标一览表；（附件十二）</w:t>
      </w:r>
    </w:p>
    <w:p w14:paraId="61D8405C">
      <w:pPr>
        <w:spacing w:line="480" w:lineRule="auto"/>
        <w:ind w:firstLine="480"/>
        <w:rPr>
          <w:rFonts w:cs="宋体"/>
          <w:highlight w:val="none"/>
        </w:rPr>
      </w:pPr>
      <w:r>
        <w:rPr>
          <w:rFonts w:hint="eastAsia" w:cs="宋体"/>
          <w:highlight w:val="none"/>
        </w:rPr>
        <w:t>3.报价明细表；（附件十三）</w:t>
      </w:r>
    </w:p>
    <w:p w14:paraId="55B51664">
      <w:pPr>
        <w:spacing w:line="480" w:lineRule="auto"/>
        <w:ind w:firstLine="480"/>
        <w:rPr>
          <w:rFonts w:cs="宋体"/>
          <w:highlight w:val="none"/>
        </w:rPr>
      </w:pPr>
      <w:r>
        <w:rPr>
          <w:rFonts w:hint="eastAsia" w:cs="宋体"/>
          <w:highlight w:val="none"/>
        </w:rPr>
        <w:t>4.</w:t>
      </w:r>
      <w:r>
        <w:rPr>
          <w:rFonts w:hint="eastAsia"/>
          <w:highlight w:val="none"/>
        </w:rPr>
        <w:t>缴纳采购代理服务费承诺函；（附件十四）</w:t>
      </w:r>
    </w:p>
    <w:p w14:paraId="6EF8DBD3">
      <w:pPr>
        <w:tabs>
          <w:tab w:val="left" w:pos="504"/>
        </w:tabs>
        <w:spacing w:line="480" w:lineRule="auto"/>
        <w:ind w:firstLine="480"/>
        <w:jc w:val="left"/>
        <w:rPr>
          <w:highlight w:val="none"/>
        </w:rPr>
        <w:sectPr>
          <w:pgSz w:w="11906" w:h="16838"/>
          <w:pgMar w:top="1440" w:right="1304" w:bottom="1020" w:left="1304" w:header="851" w:footer="992" w:gutter="0"/>
          <w:cols w:space="720" w:num="1"/>
          <w:docGrid w:type="lines" w:linePitch="312" w:charSpace="0"/>
        </w:sectPr>
      </w:pPr>
      <w:r>
        <w:rPr>
          <w:rFonts w:hint="eastAsia" w:cs="宋体"/>
          <w:highlight w:val="none"/>
        </w:rPr>
        <w:t>5.</w:t>
      </w:r>
      <w:r>
        <w:rPr>
          <w:rFonts w:hint="eastAsia" w:cs="宋体"/>
          <w:bCs/>
          <w:highlight w:val="none"/>
        </w:rPr>
        <w:t>投标人针对投标报价需要补充的其他文件和说明</w:t>
      </w:r>
      <w:r>
        <w:rPr>
          <w:rFonts w:hint="eastAsia"/>
          <w:highlight w:val="none"/>
        </w:rPr>
        <w:t>。</w:t>
      </w:r>
    </w:p>
    <w:p w14:paraId="19AE94D1">
      <w:pPr>
        <w:pStyle w:val="5"/>
        <w:spacing w:line="240" w:lineRule="auto"/>
        <w:rPr>
          <w:rFonts w:cs="宋体"/>
          <w:szCs w:val="24"/>
          <w:highlight w:val="none"/>
        </w:rPr>
      </w:pPr>
      <w:r>
        <w:rPr>
          <w:rFonts w:hint="eastAsia" w:cs="宋体"/>
          <w:szCs w:val="24"/>
          <w:highlight w:val="none"/>
        </w:rPr>
        <w:t xml:space="preserve">附件十一    </w:t>
      </w:r>
    </w:p>
    <w:p w14:paraId="183A7219">
      <w:pPr>
        <w:snapToGrid w:val="0"/>
        <w:ind w:firstLine="3935" w:firstLineChars="1400"/>
        <w:rPr>
          <w:rFonts w:cs="宋体"/>
          <w:sz w:val="28"/>
          <w:szCs w:val="28"/>
          <w:highlight w:val="none"/>
        </w:rPr>
      </w:pPr>
      <w:r>
        <w:rPr>
          <w:rFonts w:hint="eastAsia" w:cs="宋体"/>
          <w:b/>
          <w:kern w:val="0"/>
          <w:sz w:val="28"/>
          <w:szCs w:val="28"/>
          <w:highlight w:val="none"/>
        </w:rPr>
        <w:t>投标响应</w:t>
      </w:r>
      <w:r>
        <w:rPr>
          <w:rFonts w:hint="eastAsia" w:cs="宋体"/>
          <w:b/>
          <w:sz w:val="28"/>
          <w:szCs w:val="28"/>
          <w:highlight w:val="none"/>
        </w:rPr>
        <w:t>函</w:t>
      </w:r>
    </w:p>
    <w:p w14:paraId="058A3B91">
      <w:pPr>
        <w:ind w:firstLine="0" w:firstLineChars="0"/>
        <w:rPr>
          <w:rFonts w:cs="宋体"/>
          <w:highlight w:val="none"/>
        </w:rPr>
      </w:pPr>
      <w:r>
        <w:rPr>
          <w:rFonts w:hint="eastAsia" w:cs="宋体"/>
          <w:highlight w:val="none"/>
        </w:rPr>
        <w:t>致：</w:t>
      </w:r>
      <w:r>
        <w:rPr>
          <w:rFonts w:hint="eastAsia" w:cs="宋体"/>
          <w:highlight w:val="none"/>
          <w:u w:val="single"/>
        </w:rPr>
        <w:t>（招标人）（代理机构）</w:t>
      </w:r>
      <w:r>
        <w:rPr>
          <w:rFonts w:hint="eastAsia" w:cs="宋体"/>
          <w:highlight w:val="none"/>
        </w:rPr>
        <w:t xml:space="preserve"> </w:t>
      </w:r>
    </w:p>
    <w:p w14:paraId="17127C08">
      <w:pPr>
        <w:snapToGrid w:val="0"/>
        <w:ind w:firstLine="480"/>
        <w:rPr>
          <w:rFonts w:cs="宋体"/>
          <w:highlight w:val="none"/>
        </w:rPr>
      </w:pPr>
      <w:r>
        <w:rPr>
          <w:rFonts w:hint="eastAsia" w:cs="宋体"/>
          <w:kern w:val="0"/>
          <w:highlight w:val="none"/>
          <w:u w:val="single"/>
          <w:lang w:val="zh-CN"/>
        </w:rPr>
        <w:t xml:space="preserve">                         </w:t>
      </w:r>
      <w:r>
        <w:rPr>
          <w:rFonts w:hint="eastAsia" w:cs="宋体"/>
          <w:highlight w:val="none"/>
        </w:rPr>
        <w:t>(投标人全称)授权</w:t>
      </w:r>
      <w:r>
        <w:rPr>
          <w:rFonts w:hint="eastAsia" w:cs="宋体"/>
          <w:kern w:val="0"/>
          <w:highlight w:val="none"/>
          <w:u w:val="single"/>
          <w:lang w:val="zh-CN"/>
        </w:rPr>
        <w:t xml:space="preserve">                    </w:t>
      </w:r>
      <w:r>
        <w:rPr>
          <w:rFonts w:hint="eastAsia" w:cs="宋体"/>
          <w:highlight w:val="none"/>
        </w:rPr>
        <w:t>(授权代表姓名)</w:t>
      </w:r>
      <w:r>
        <w:rPr>
          <w:rFonts w:hint="eastAsia" w:cs="宋体"/>
          <w:kern w:val="0"/>
          <w:highlight w:val="none"/>
          <w:u w:val="single"/>
          <w:lang w:val="zh-CN"/>
        </w:rPr>
        <w:t xml:space="preserve">              </w:t>
      </w:r>
      <w:r>
        <w:rPr>
          <w:rFonts w:hint="eastAsia" w:cs="宋体"/>
          <w:highlight w:val="none"/>
        </w:rPr>
        <w:t>(职务、职称)为授权代表，参加贵方组织的</w:t>
      </w:r>
      <w:r>
        <w:rPr>
          <w:rFonts w:hint="eastAsia" w:cs="宋体"/>
          <w:highlight w:val="none"/>
          <w:u w:val="single"/>
        </w:rPr>
        <w:t>（项目名称）（项目编号）</w:t>
      </w:r>
      <w:r>
        <w:rPr>
          <w:rFonts w:hint="eastAsia" w:cs="宋体"/>
          <w:highlight w:val="none"/>
        </w:rPr>
        <w:t>招标的有关活动，并对此项目进行投标。为此：</w:t>
      </w:r>
    </w:p>
    <w:p w14:paraId="6D15AB3C">
      <w:pPr>
        <w:snapToGrid w:val="0"/>
        <w:ind w:firstLine="480"/>
        <w:rPr>
          <w:rFonts w:cs="宋体"/>
          <w:highlight w:val="none"/>
        </w:rPr>
      </w:pPr>
      <w:r>
        <w:rPr>
          <w:rFonts w:hint="eastAsia" w:cs="宋体"/>
          <w:highlight w:val="none"/>
        </w:rPr>
        <w:t>1.我方同意在投标人</w:t>
      </w:r>
      <w:r>
        <w:rPr>
          <w:rFonts w:hint="eastAsia" w:cs="宋体"/>
          <w:kern w:val="44"/>
          <w:highlight w:val="none"/>
        </w:rPr>
        <w:t>编制和提交</w:t>
      </w:r>
      <w:r>
        <w:rPr>
          <w:rFonts w:hint="eastAsia" w:cs="宋体"/>
          <w:highlight w:val="none"/>
        </w:rPr>
        <w:t>招标</w:t>
      </w:r>
      <w:r>
        <w:rPr>
          <w:rFonts w:hint="eastAsia" w:cs="宋体"/>
          <w:kern w:val="44"/>
          <w:highlight w:val="none"/>
        </w:rPr>
        <w:t>投标文件须知</w:t>
      </w:r>
      <w:r>
        <w:rPr>
          <w:rFonts w:hint="eastAsia" w:cs="宋体"/>
          <w:highlight w:val="none"/>
        </w:rPr>
        <w:t>规定的开标日期起遵守本投标文件中的承诺且在投标有效期满之前均具有约束力。</w:t>
      </w:r>
    </w:p>
    <w:p w14:paraId="5B98267C">
      <w:pPr>
        <w:snapToGrid w:val="0"/>
        <w:ind w:firstLine="480"/>
        <w:rPr>
          <w:rFonts w:cs="宋体"/>
          <w:highlight w:val="none"/>
        </w:rPr>
      </w:pPr>
      <w:r>
        <w:rPr>
          <w:rFonts w:hint="eastAsia" w:cs="宋体"/>
          <w:highlight w:val="none"/>
        </w:rPr>
        <w:t>2.我方承诺已经具备相关法律规定的参加招标活动的投标人应当具备的条件：</w:t>
      </w:r>
    </w:p>
    <w:p w14:paraId="46BF4814">
      <w:pPr>
        <w:snapToGrid w:val="0"/>
        <w:ind w:firstLine="480"/>
        <w:rPr>
          <w:rFonts w:cs="宋体"/>
          <w:highlight w:val="none"/>
        </w:rPr>
      </w:pPr>
      <w:r>
        <w:rPr>
          <w:rFonts w:hint="eastAsia" w:cs="宋体"/>
          <w:highlight w:val="none"/>
        </w:rPr>
        <w:t>（1）具有独立承担民事责任的能力；</w:t>
      </w:r>
    </w:p>
    <w:p w14:paraId="56A5D871">
      <w:pPr>
        <w:snapToGrid w:val="0"/>
        <w:ind w:firstLine="480"/>
        <w:rPr>
          <w:rFonts w:cs="宋体"/>
          <w:highlight w:val="none"/>
        </w:rPr>
      </w:pPr>
      <w:r>
        <w:rPr>
          <w:rFonts w:hint="eastAsia" w:cs="宋体"/>
          <w:highlight w:val="none"/>
        </w:rPr>
        <w:t>（2）遵守国家法律、行政法规，具有良好的信誉和商业道德；</w:t>
      </w:r>
    </w:p>
    <w:p w14:paraId="0504D645">
      <w:pPr>
        <w:snapToGrid w:val="0"/>
        <w:ind w:firstLine="480"/>
        <w:rPr>
          <w:rFonts w:cs="宋体"/>
          <w:highlight w:val="none"/>
        </w:rPr>
      </w:pPr>
      <w:r>
        <w:rPr>
          <w:rFonts w:hint="eastAsia" w:cs="宋体"/>
          <w:highlight w:val="none"/>
        </w:rPr>
        <w:t>（3）具有履行合同的能力和良好的履行合同记录；</w:t>
      </w:r>
    </w:p>
    <w:p w14:paraId="7AF2DC78">
      <w:pPr>
        <w:snapToGrid w:val="0"/>
        <w:ind w:firstLine="480"/>
        <w:rPr>
          <w:rFonts w:cs="宋体"/>
          <w:highlight w:val="none"/>
        </w:rPr>
      </w:pPr>
      <w:r>
        <w:rPr>
          <w:rFonts w:hint="eastAsia" w:cs="宋体"/>
          <w:highlight w:val="none"/>
        </w:rPr>
        <w:t>（4）良好的资金、财务状况；</w:t>
      </w:r>
    </w:p>
    <w:p w14:paraId="49C14DCB">
      <w:pPr>
        <w:snapToGrid w:val="0"/>
        <w:ind w:firstLine="480"/>
        <w:rPr>
          <w:rFonts w:cs="宋体"/>
          <w:highlight w:val="none"/>
        </w:rPr>
      </w:pPr>
      <w:r>
        <w:rPr>
          <w:rFonts w:hint="eastAsia" w:cs="宋体"/>
          <w:highlight w:val="none"/>
        </w:rPr>
        <w:t>（5）产品及生产所需装备符合中国规定的相应技术标准和环保标准；</w:t>
      </w:r>
    </w:p>
    <w:p w14:paraId="6E3A6448">
      <w:pPr>
        <w:snapToGrid w:val="0"/>
        <w:ind w:firstLine="480"/>
        <w:rPr>
          <w:rFonts w:cs="宋体"/>
          <w:highlight w:val="none"/>
        </w:rPr>
      </w:pPr>
      <w:r>
        <w:rPr>
          <w:rFonts w:hint="eastAsia" w:cs="宋体"/>
          <w:highlight w:val="none"/>
        </w:rPr>
        <w:t>（6）没有违反招标法规、政策的记录；</w:t>
      </w:r>
    </w:p>
    <w:p w14:paraId="0F455285">
      <w:pPr>
        <w:snapToGrid w:val="0"/>
        <w:ind w:firstLine="480"/>
        <w:rPr>
          <w:rFonts w:cs="宋体"/>
          <w:highlight w:val="none"/>
        </w:rPr>
      </w:pPr>
      <w:r>
        <w:rPr>
          <w:rFonts w:hint="eastAsia" w:cs="宋体"/>
          <w:highlight w:val="none"/>
        </w:rPr>
        <w:t>（7）没有发生重大经济纠纷和走私犯罪记录。</w:t>
      </w:r>
    </w:p>
    <w:p w14:paraId="0A40A338">
      <w:pPr>
        <w:pStyle w:val="20"/>
        <w:snapToGrid w:val="0"/>
        <w:spacing w:line="360" w:lineRule="auto"/>
        <w:ind w:firstLine="480" w:firstLineChars="200"/>
        <w:rPr>
          <w:rFonts w:hAnsi="宋体" w:cs="宋体"/>
          <w:sz w:val="24"/>
          <w:szCs w:val="24"/>
          <w:highlight w:val="none"/>
        </w:rPr>
      </w:pPr>
      <w:r>
        <w:rPr>
          <w:rFonts w:hint="eastAsia" w:hAnsi="宋体" w:cs="宋体"/>
          <w:sz w:val="24"/>
          <w:szCs w:val="24"/>
          <w:highlight w:val="none"/>
        </w:rPr>
        <w:t>3.提供</w:t>
      </w:r>
      <w:r>
        <w:rPr>
          <w:rFonts w:hint="eastAsia" w:hAnsi="宋体" w:cs="宋体"/>
          <w:kern w:val="44"/>
          <w:sz w:val="24"/>
          <w:szCs w:val="24"/>
          <w:highlight w:val="none"/>
        </w:rPr>
        <w:t>编制和提交</w:t>
      </w:r>
      <w:r>
        <w:rPr>
          <w:rFonts w:hint="eastAsia" w:hAnsi="宋体" w:cs="宋体"/>
          <w:sz w:val="24"/>
          <w:szCs w:val="24"/>
          <w:highlight w:val="none"/>
        </w:rPr>
        <w:t>招标</w:t>
      </w:r>
      <w:r>
        <w:rPr>
          <w:rFonts w:hint="eastAsia" w:hAnsi="宋体" w:cs="宋体"/>
          <w:kern w:val="44"/>
          <w:sz w:val="24"/>
          <w:szCs w:val="24"/>
          <w:highlight w:val="none"/>
        </w:rPr>
        <w:t>投标文件须知</w:t>
      </w:r>
      <w:r>
        <w:rPr>
          <w:rFonts w:hint="eastAsia" w:hAnsi="宋体" w:cs="宋体"/>
          <w:sz w:val="24"/>
          <w:szCs w:val="24"/>
          <w:highlight w:val="none"/>
        </w:rPr>
        <w:t>规定的全部投标文件，包括</w:t>
      </w:r>
      <w:r>
        <w:rPr>
          <w:rFonts w:hint="eastAsia" w:hAnsi="宋体" w:cs="宋体"/>
          <w:b/>
          <w:bCs/>
          <w:sz w:val="24"/>
          <w:szCs w:val="24"/>
          <w:highlight w:val="none"/>
        </w:rPr>
        <w:t>《资格文件》、《</w:t>
      </w:r>
      <w:r>
        <w:rPr>
          <w:rFonts w:hint="eastAsia" w:hAnsi="宋体" w:cs="宋体"/>
          <w:b/>
          <w:sz w:val="24"/>
          <w:szCs w:val="24"/>
          <w:highlight w:val="none"/>
        </w:rPr>
        <w:t>报价文件</w:t>
      </w:r>
      <w:r>
        <w:rPr>
          <w:rFonts w:hint="eastAsia" w:hAnsi="宋体" w:cs="宋体"/>
          <w:b/>
          <w:bCs/>
          <w:sz w:val="24"/>
          <w:szCs w:val="24"/>
          <w:highlight w:val="none"/>
        </w:rPr>
        <w:t>》、《</w:t>
      </w:r>
      <w:r>
        <w:rPr>
          <w:rFonts w:hint="eastAsia" w:hAnsi="宋体" w:cs="宋体"/>
          <w:b/>
          <w:sz w:val="24"/>
          <w:szCs w:val="24"/>
          <w:highlight w:val="none"/>
        </w:rPr>
        <w:t>商务技术文件</w:t>
      </w:r>
      <w:r>
        <w:rPr>
          <w:rFonts w:hint="eastAsia" w:hAnsi="宋体" w:cs="宋体"/>
          <w:b/>
          <w:bCs/>
          <w:sz w:val="24"/>
          <w:szCs w:val="24"/>
          <w:highlight w:val="none"/>
        </w:rPr>
        <w:t>》</w:t>
      </w:r>
      <w:r>
        <w:rPr>
          <w:rFonts w:hint="eastAsia" w:hAnsi="宋体" w:cs="宋体"/>
          <w:b/>
          <w:sz w:val="24"/>
          <w:szCs w:val="24"/>
          <w:highlight w:val="none"/>
        </w:rPr>
        <w:t>。</w:t>
      </w:r>
      <w:r>
        <w:rPr>
          <w:rFonts w:hint="eastAsia" w:hAnsi="宋体" w:cs="宋体"/>
          <w:sz w:val="24"/>
          <w:szCs w:val="24"/>
          <w:highlight w:val="none"/>
        </w:rPr>
        <w:t>具体内容为：</w:t>
      </w:r>
    </w:p>
    <w:p w14:paraId="685D6696">
      <w:pPr>
        <w:snapToGrid w:val="0"/>
        <w:ind w:firstLine="480"/>
        <w:rPr>
          <w:rFonts w:cs="宋体"/>
          <w:highlight w:val="none"/>
        </w:rPr>
      </w:pPr>
      <w:r>
        <w:rPr>
          <w:rFonts w:hint="eastAsia" w:cs="宋体"/>
          <w:highlight w:val="none"/>
        </w:rPr>
        <w:t>（1）开标一览表及投标报价明细清单；</w:t>
      </w:r>
    </w:p>
    <w:p w14:paraId="052C6F30">
      <w:pPr>
        <w:snapToGrid w:val="0"/>
        <w:ind w:firstLine="480"/>
        <w:rPr>
          <w:rFonts w:cs="宋体"/>
          <w:highlight w:val="none"/>
        </w:rPr>
      </w:pPr>
      <w:r>
        <w:rPr>
          <w:rFonts w:hint="eastAsia" w:cs="宋体"/>
          <w:highlight w:val="none"/>
        </w:rPr>
        <w:t>（2）投标商务技术</w:t>
      </w:r>
      <w:r>
        <w:rPr>
          <w:rFonts w:hint="eastAsia" w:cs="宋体"/>
          <w:kern w:val="0"/>
          <w:highlight w:val="none"/>
          <w:lang w:val="zh-CN"/>
        </w:rPr>
        <w:t>文件和</w:t>
      </w:r>
      <w:r>
        <w:rPr>
          <w:rFonts w:hint="eastAsia" w:cs="宋体"/>
          <w:highlight w:val="none"/>
          <w:lang w:val="zh-CN"/>
        </w:rPr>
        <w:t>资格</w:t>
      </w:r>
      <w:r>
        <w:rPr>
          <w:rFonts w:hint="eastAsia" w:cs="宋体"/>
          <w:highlight w:val="none"/>
        </w:rPr>
        <w:t>证明</w:t>
      </w:r>
      <w:r>
        <w:rPr>
          <w:rFonts w:hint="eastAsia" w:cs="宋体"/>
          <w:highlight w:val="none"/>
          <w:lang w:val="zh-CN"/>
        </w:rPr>
        <w:t>文件</w:t>
      </w:r>
      <w:r>
        <w:rPr>
          <w:rFonts w:hint="eastAsia" w:cs="宋体"/>
          <w:highlight w:val="none"/>
        </w:rPr>
        <w:t>；</w:t>
      </w:r>
    </w:p>
    <w:p w14:paraId="4C319EDE">
      <w:pPr>
        <w:snapToGrid w:val="0"/>
        <w:ind w:firstLine="480"/>
        <w:rPr>
          <w:rFonts w:cs="宋体"/>
          <w:highlight w:val="none"/>
        </w:rPr>
      </w:pPr>
      <w:r>
        <w:rPr>
          <w:rFonts w:hint="eastAsia" w:cs="宋体"/>
          <w:kern w:val="44"/>
          <w:highlight w:val="none"/>
        </w:rPr>
        <w:t>（3）编制和提交</w:t>
      </w:r>
      <w:r>
        <w:rPr>
          <w:rFonts w:hint="eastAsia" w:cs="宋体"/>
          <w:highlight w:val="none"/>
        </w:rPr>
        <w:t>招标</w:t>
      </w:r>
      <w:r>
        <w:rPr>
          <w:rFonts w:hint="eastAsia" w:cs="宋体"/>
          <w:kern w:val="44"/>
          <w:highlight w:val="none"/>
        </w:rPr>
        <w:t>投标文件须知</w:t>
      </w:r>
      <w:r>
        <w:rPr>
          <w:rFonts w:hint="eastAsia" w:cs="宋体"/>
          <w:highlight w:val="none"/>
        </w:rPr>
        <w:t>要求投标人提交的全部文件；</w:t>
      </w:r>
    </w:p>
    <w:p w14:paraId="10EFE4D6">
      <w:pPr>
        <w:snapToGrid w:val="0"/>
        <w:ind w:firstLine="480"/>
        <w:rPr>
          <w:rFonts w:cs="宋体"/>
          <w:highlight w:val="none"/>
        </w:rPr>
      </w:pPr>
      <w:r>
        <w:rPr>
          <w:rFonts w:hint="eastAsia" w:cs="宋体"/>
          <w:highlight w:val="none"/>
        </w:rPr>
        <w:t>（4）按招标文件要求提供和交付的货物和服务的投标报价详见投标(开标)一览表；</w:t>
      </w:r>
    </w:p>
    <w:p w14:paraId="5E9A57A7">
      <w:pPr>
        <w:snapToGrid w:val="0"/>
        <w:ind w:firstLine="480"/>
        <w:rPr>
          <w:rFonts w:cs="宋体"/>
          <w:highlight w:val="none"/>
        </w:rPr>
      </w:pPr>
      <w:r>
        <w:rPr>
          <w:rFonts w:hint="eastAsia" w:cs="宋体"/>
          <w:highlight w:val="none"/>
        </w:rPr>
        <w:t>（5）保证忠实地执行双方所签订的合同，并承担合同规定的责任和义务；</w:t>
      </w:r>
    </w:p>
    <w:p w14:paraId="407F25B8">
      <w:pPr>
        <w:snapToGrid w:val="0"/>
        <w:ind w:firstLine="480"/>
        <w:rPr>
          <w:rFonts w:cs="宋体"/>
          <w:highlight w:val="none"/>
        </w:rPr>
      </w:pPr>
      <w:r>
        <w:rPr>
          <w:rFonts w:hint="eastAsia" w:cs="宋体"/>
          <w:highlight w:val="none"/>
        </w:rPr>
        <w:t>（6）保证遵守招标文件中的其他有关规定。</w:t>
      </w:r>
    </w:p>
    <w:p w14:paraId="2E55AF0C">
      <w:pPr>
        <w:snapToGrid w:val="0"/>
        <w:ind w:firstLine="480"/>
        <w:rPr>
          <w:rFonts w:cs="宋体"/>
          <w:highlight w:val="none"/>
        </w:rPr>
      </w:pPr>
      <w:r>
        <w:rPr>
          <w:rFonts w:hint="eastAsia" w:cs="宋体"/>
          <w:highlight w:val="none"/>
        </w:rPr>
        <w:t>4.我方承诺投标有效期从提交投标文件的截止之日起</w:t>
      </w:r>
      <w:r>
        <w:rPr>
          <w:rFonts w:hint="eastAsia" w:cs="宋体"/>
          <w:highlight w:val="none"/>
          <w:u w:val="single"/>
        </w:rPr>
        <w:t xml:space="preserve"> 90</w:t>
      </w:r>
      <w:r>
        <w:rPr>
          <w:rFonts w:hint="eastAsia" w:cs="宋体"/>
          <w:highlight w:val="none"/>
        </w:rPr>
        <w:t>天，不少于招标文件中载明的投标有效期（从提交投标文件的截止之日起90天）。</w:t>
      </w:r>
    </w:p>
    <w:p w14:paraId="63CD04E7">
      <w:pPr>
        <w:snapToGrid w:val="0"/>
        <w:ind w:firstLine="480"/>
        <w:rPr>
          <w:rFonts w:cs="宋体"/>
          <w:highlight w:val="none"/>
        </w:rPr>
      </w:pPr>
      <w:r>
        <w:rPr>
          <w:rFonts w:hint="eastAsia" w:cs="宋体"/>
          <w:highlight w:val="none"/>
        </w:rPr>
        <w:t>5.我方完全理解贵方不一定要接受最低价的投标。</w:t>
      </w:r>
    </w:p>
    <w:p w14:paraId="4095553E">
      <w:pPr>
        <w:snapToGrid w:val="0"/>
        <w:ind w:firstLine="480"/>
        <w:rPr>
          <w:rFonts w:cs="宋体"/>
          <w:highlight w:val="none"/>
        </w:rPr>
      </w:pPr>
      <w:r>
        <w:rPr>
          <w:rFonts w:hint="eastAsia" w:cs="宋体"/>
          <w:highlight w:val="none"/>
        </w:rPr>
        <w:t>6.我方愿意向贵方提供任何与该项投标有关的数据、情况和技术资料。若贵方需要，我方愿意提供我方作出的一切承诺的证明材料。</w:t>
      </w:r>
    </w:p>
    <w:p w14:paraId="0B5B60EE">
      <w:pPr>
        <w:snapToGrid w:val="0"/>
        <w:ind w:firstLine="480"/>
        <w:rPr>
          <w:rFonts w:cs="宋体"/>
          <w:highlight w:val="none"/>
        </w:rPr>
      </w:pPr>
      <w:r>
        <w:rPr>
          <w:rFonts w:hint="eastAsia" w:cs="宋体"/>
          <w:highlight w:val="none"/>
        </w:rPr>
        <w:t>7.我方已详细审核全部招标文件，包括招标文件修改书(如果有)、参考资料及有关附件，确认无误。</w:t>
      </w:r>
    </w:p>
    <w:p w14:paraId="09BBD21C">
      <w:pPr>
        <w:snapToGrid w:val="0"/>
        <w:ind w:firstLine="480"/>
        <w:rPr>
          <w:rFonts w:cs="宋体"/>
          <w:highlight w:val="none"/>
        </w:rPr>
      </w:pPr>
      <w:r>
        <w:rPr>
          <w:rFonts w:hint="eastAsia" w:cs="宋体"/>
          <w:highlight w:val="none"/>
        </w:rPr>
        <w:t>8.我方将严格遵守相关法律规定，投标人有下列情形之一的，处以招标金额5‰以上10‰以下的罚款，列入不良行为记录名单，在一至三年内禁止参加招标活动；有违法所得的，并处没收违法所得；情节严重的，由工商行政管理机关吊销营业执照；构成犯罪的，依法追究刑事责任：</w:t>
      </w:r>
    </w:p>
    <w:p w14:paraId="39B10D16">
      <w:pPr>
        <w:snapToGrid w:val="0"/>
        <w:ind w:firstLine="480"/>
        <w:rPr>
          <w:rFonts w:cs="宋体"/>
          <w:highlight w:val="none"/>
        </w:rPr>
      </w:pPr>
      <w:r>
        <w:rPr>
          <w:rFonts w:hint="eastAsia" w:cs="宋体"/>
          <w:highlight w:val="none"/>
        </w:rPr>
        <w:t>a）提供虚假材料谋取中标、成交的；</w:t>
      </w:r>
    </w:p>
    <w:p w14:paraId="6580DEE5">
      <w:pPr>
        <w:snapToGrid w:val="0"/>
        <w:ind w:firstLine="480"/>
        <w:rPr>
          <w:rFonts w:cs="宋体"/>
          <w:highlight w:val="none"/>
        </w:rPr>
      </w:pPr>
      <w:r>
        <w:rPr>
          <w:rFonts w:hint="eastAsia" w:cs="宋体"/>
          <w:highlight w:val="none"/>
        </w:rPr>
        <w:t>b）采取不正当手段诋毁、排挤其他投标人的；</w:t>
      </w:r>
    </w:p>
    <w:p w14:paraId="387FEC53">
      <w:pPr>
        <w:snapToGrid w:val="0"/>
        <w:ind w:firstLine="480"/>
        <w:rPr>
          <w:rFonts w:cs="宋体"/>
          <w:highlight w:val="none"/>
        </w:rPr>
      </w:pPr>
      <w:r>
        <w:rPr>
          <w:rFonts w:hint="eastAsia" w:cs="宋体"/>
          <w:highlight w:val="none"/>
        </w:rPr>
        <w:t>c）与招标人、其它投标人或者招标代理机构恶意串通的；</w:t>
      </w:r>
    </w:p>
    <w:p w14:paraId="65B4CBC5">
      <w:pPr>
        <w:snapToGrid w:val="0"/>
        <w:ind w:firstLine="480"/>
        <w:rPr>
          <w:rFonts w:cs="宋体"/>
          <w:highlight w:val="none"/>
        </w:rPr>
      </w:pPr>
      <w:r>
        <w:rPr>
          <w:rFonts w:hint="eastAsia" w:cs="宋体"/>
          <w:highlight w:val="none"/>
        </w:rPr>
        <w:t>d）向招标人、招标代理机构行贿或者提供其他不正当利益的；</w:t>
      </w:r>
    </w:p>
    <w:p w14:paraId="63053793">
      <w:pPr>
        <w:snapToGrid w:val="0"/>
        <w:ind w:firstLine="480"/>
        <w:rPr>
          <w:rFonts w:cs="宋体"/>
          <w:highlight w:val="none"/>
        </w:rPr>
      </w:pPr>
      <w:r>
        <w:rPr>
          <w:rFonts w:hint="eastAsia" w:cs="宋体"/>
          <w:highlight w:val="none"/>
        </w:rPr>
        <w:t>e）在招标过程中与招标人进行协商谈判的；</w:t>
      </w:r>
    </w:p>
    <w:p w14:paraId="05543010">
      <w:pPr>
        <w:snapToGrid w:val="0"/>
        <w:ind w:firstLine="480"/>
        <w:rPr>
          <w:rFonts w:cs="宋体"/>
          <w:highlight w:val="none"/>
        </w:rPr>
      </w:pPr>
      <w:r>
        <w:rPr>
          <w:rFonts w:hint="eastAsia" w:cs="宋体"/>
          <w:highlight w:val="none"/>
        </w:rPr>
        <w:t>f）拒绝有关部门监督检查或提供虚假情况的。</w:t>
      </w:r>
    </w:p>
    <w:p w14:paraId="5675C373">
      <w:pPr>
        <w:snapToGrid w:val="0"/>
        <w:ind w:firstLine="480"/>
        <w:rPr>
          <w:rFonts w:cs="宋体"/>
          <w:highlight w:val="none"/>
        </w:rPr>
      </w:pPr>
      <w:r>
        <w:rPr>
          <w:rFonts w:hint="eastAsia" w:cs="宋体"/>
          <w:highlight w:val="none"/>
        </w:rPr>
        <w:t>投标人有前款第a）至f）项情形之一的，中标、成交无效。</w:t>
      </w:r>
    </w:p>
    <w:p w14:paraId="7460373A">
      <w:pPr>
        <w:ind w:firstLine="3600" w:firstLineChars="1500"/>
        <w:rPr>
          <w:rFonts w:cs="宋体"/>
          <w:highlight w:val="none"/>
        </w:rPr>
      </w:pPr>
    </w:p>
    <w:p w14:paraId="787E946F">
      <w:pPr>
        <w:pStyle w:val="80"/>
        <w:rPr>
          <w:rFonts w:ascii="宋体" w:hAnsi="宋体" w:eastAsia="宋体" w:cs="宋体"/>
          <w:color w:val="auto"/>
          <w:highlight w:val="none"/>
        </w:rPr>
      </w:pPr>
    </w:p>
    <w:p w14:paraId="2C6EA053">
      <w:pPr>
        <w:spacing w:line="480" w:lineRule="auto"/>
        <w:ind w:firstLine="480"/>
        <w:rPr>
          <w:rFonts w:cs="宋体"/>
          <w:highlight w:val="none"/>
        </w:rPr>
      </w:pPr>
      <w:r>
        <w:rPr>
          <w:rFonts w:hint="eastAsia" w:cs="宋体"/>
          <w:highlight w:val="none"/>
        </w:rPr>
        <w:t>投标人名称（公章）：</w:t>
      </w:r>
    </w:p>
    <w:p w14:paraId="653CB097">
      <w:pPr>
        <w:spacing w:line="480" w:lineRule="auto"/>
        <w:ind w:firstLine="480"/>
        <w:rPr>
          <w:rFonts w:cs="宋体"/>
          <w:highlight w:val="none"/>
        </w:rPr>
      </w:pPr>
      <w:r>
        <w:rPr>
          <w:rFonts w:hint="eastAsia" w:cs="宋体"/>
          <w:highlight w:val="none"/>
        </w:rPr>
        <w:t>法定代表人或其授权代表（签字或盖章）：</w:t>
      </w:r>
    </w:p>
    <w:p w14:paraId="34B4B09B">
      <w:pPr>
        <w:spacing w:line="480" w:lineRule="auto"/>
        <w:ind w:firstLine="480"/>
        <w:rPr>
          <w:rFonts w:cs="宋体"/>
          <w:highlight w:val="none"/>
        </w:rPr>
      </w:pPr>
      <w:r>
        <w:rPr>
          <w:rFonts w:hint="eastAsia" w:cs="宋体"/>
          <w:highlight w:val="none"/>
        </w:rPr>
        <w:t>日期：  年   月   日</w:t>
      </w:r>
    </w:p>
    <w:p w14:paraId="2255F9B3">
      <w:pPr>
        <w:pStyle w:val="5"/>
        <w:rPr>
          <w:rFonts w:cs="宋体"/>
          <w:szCs w:val="24"/>
          <w:highlight w:val="none"/>
        </w:rPr>
      </w:pPr>
    </w:p>
    <w:p w14:paraId="3A780814">
      <w:pPr>
        <w:ind w:firstLine="480"/>
        <w:rPr>
          <w:highlight w:val="none"/>
        </w:rPr>
      </w:pPr>
    </w:p>
    <w:p w14:paraId="485288A7">
      <w:pPr>
        <w:ind w:firstLine="480"/>
        <w:rPr>
          <w:highlight w:val="none"/>
        </w:rPr>
      </w:pPr>
    </w:p>
    <w:p w14:paraId="611BB2AD">
      <w:pPr>
        <w:ind w:firstLine="482"/>
        <w:rPr>
          <w:highlight w:val="none"/>
        </w:rPr>
      </w:pPr>
      <w:r>
        <w:rPr>
          <w:rFonts w:hint="eastAsia" w:cs="宋体"/>
          <w:b/>
          <w:bCs/>
          <w:highlight w:val="none"/>
          <w:lang w:val="zh-CN"/>
        </w:rPr>
        <w:t>注：未按照本投标响应函要求填报的将被视为非实质性响应投标，从而可能导致该投标被拒绝。</w:t>
      </w:r>
    </w:p>
    <w:p w14:paraId="4A945BA9">
      <w:pPr>
        <w:tabs>
          <w:tab w:val="left" w:pos="545"/>
        </w:tabs>
        <w:ind w:firstLine="480"/>
        <w:jc w:val="left"/>
        <w:rPr>
          <w:highlight w:val="none"/>
        </w:rPr>
        <w:sectPr>
          <w:pgSz w:w="11906" w:h="16838"/>
          <w:pgMar w:top="1440" w:right="1304" w:bottom="1020" w:left="1304" w:header="851" w:footer="992" w:gutter="0"/>
          <w:cols w:space="720" w:num="1"/>
          <w:docGrid w:type="lines" w:linePitch="312" w:charSpace="0"/>
        </w:sectPr>
      </w:pPr>
    </w:p>
    <w:bookmarkEnd w:id="41"/>
    <w:bookmarkEnd w:id="42"/>
    <w:bookmarkEnd w:id="43"/>
    <w:bookmarkEnd w:id="44"/>
    <w:bookmarkEnd w:id="45"/>
    <w:bookmarkEnd w:id="46"/>
    <w:bookmarkEnd w:id="47"/>
    <w:bookmarkEnd w:id="48"/>
    <w:p w14:paraId="293C717E">
      <w:pPr>
        <w:spacing w:line="240" w:lineRule="auto"/>
        <w:ind w:firstLine="0" w:firstLineChars="0"/>
        <w:jc w:val="left"/>
        <w:rPr>
          <w:rFonts w:cs="宋体"/>
          <w:b/>
          <w:bCs/>
          <w:highlight w:val="none"/>
        </w:rPr>
      </w:pPr>
      <w:r>
        <w:rPr>
          <w:rFonts w:hint="eastAsia" w:cs="宋体"/>
          <w:b/>
          <w:bCs/>
          <w:highlight w:val="none"/>
        </w:rPr>
        <w:t>附件十二</w:t>
      </w:r>
    </w:p>
    <w:p w14:paraId="0697F542">
      <w:pPr>
        <w:pStyle w:val="181"/>
        <w:keepNext w:val="0"/>
        <w:pageBreakBefore w:val="0"/>
        <w:tabs>
          <w:tab w:val="clear" w:pos="720"/>
        </w:tabs>
        <w:spacing w:line="460" w:lineRule="exact"/>
        <w:ind w:firstLine="0" w:firstLineChars="0"/>
        <w:outlineLvl w:val="9"/>
        <w:rPr>
          <w:rFonts w:ascii="宋体" w:hAnsi="宋体" w:eastAsia="宋体" w:cs="宋体"/>
          <w:bCs/>
          <w:kern w:val="2"/>
          <w:sz w:val="28"/>
          <w:szCs w:val="28"/>
          <w:highlight w:val="none"/>
        </w:rPr>
      </w:pPr>
      <w:r>
        <w:rPr>
          <w:rFonts w:hint="eastAsia" w:ascii="宋体" w:hAnsi="宋体" w:eastAsia="宋体" w:cs="宋体"/>
          <w:bCs/>
          <w:kern w:val="2"/>
          <w:sz w:val="28"/>
          <w:szCs w:val="28"/>
          <w:highlight w:val="none"/>
        </w:rPr>
        <w:t>开标一览表</w:t>
      </w:r>
    </w:p>
    <w:p w14:paraId="14F3B91C">
      <w:pPr>
        <w:spacing w:line="480" w:lineRule="auto"/>
        <w:ind w:firstLine="0" w:firstLineChars="0"/>
        <w:rPr>
          <w:rFonts w:cs="宋体"/>
          <w:highlight w:val="none"/>
        </w:rPr>
      </w:pPr>
      <w:r>
        <w:rPr>
          <w:rFonts w:hint="eastAsia" w:cs="宋体"/>
          <w:highlight w:val="none"/>
        </w:rPr>
        <w:t>致：</w:t>
      </w:r>
      <w:r>
        <w:rPr>
          <w:rFonts w:hint="eastAsia" w:cs="宋体"/>
          <w:highlight w:val="none"/>
          <w:u w:val="single"/>
        </w:rPr>
        <w:t>（招标人）（代理机构）</w:t>
      </w:r>
      <w:r>
        <w:rPr>
          <w:rFonts w:hint="eastAsia" w:cs="宋体"/>
          <w:highlight w:val="none"/>
        </w:rPr>
        <w:t xml:space="preserve"> </w:t>
      </w:r>
    </w:p>
    <w:p w14:paraId="569DDC57">
      <w:pPr>
        <w:tabs>
          <w:tab w:val="left" w:pos="1342"/>
        </w:tabs>
        <w:spacing w:line="480" w:lineRule="auto"/>
        <w:ind w:firstLine="480"/>
        <w:jc w:val="left"/>
        <w:rPr>
          <w:rFonts w:cs="宋体"/>
          <w:kern w:val="0"/>
          <w:highlight w:val="none"/>
          <w:lang w:val="zh-CN"/>
        </w:rPr>
      </w:pPr>
      <w:r>
        <w:rPr>
          <w:rFonts w:hint="eastAsia" w:cs="宋体"/>
          <w:kern w:val="0"/>
          <w:highlight w:val="none"/>
          <w:lang w:val="zh-CN"/>
        </w:rPr>
        <w:t>按招标文件要求，我方（</w:t>
      </w:r>
      <w:r>
        <w:rPr>
          <w:rFonts w:hint="eastAsia" w:cs="宋体"/>
          <w:kern w:val="0"/>
          <w:highlight w:val="none"/>
        </w:rPr>
        <w:t>投标人</w:t>
      </w:r>
      <w:r>
        <w:rPr>
          <w:rFonts w:hint="eastAsia" w:cs="宋体"/>
          <w:kern w:val="0"/>
          <w:highlight w:val="none"/>
          <w:lang w:val="zh-CN"/>
        </w:rPr>
        <w:t>）承诺按照如下开标一览表的价格完成[</w:t>
      </w:r>
      <w:r>
        <w:rPr>
          <w:rFonts w:hint="eastAsia" w:cs="宋体"/>
          <w:kern w:val="0"/>
          <w:highlight w:val="none"/>
        </w:rPr>
        <w:t>项目</w:t>
      </w:r>
      <w:r>
        <w:rPr>
          <w:rFonts w:hint="eastAsia" w:cs="宋体"/>
          <w:kern w:val="0"/>
          <w:highlight w:val="none"/>
          <w:lang w:val="zh-CN"/>
        </w:rPr>
        <w:t>编号：</w:t>
      </w:r>
      <w:r>
        <w:rPr>
          <w:rFonts w:hint="eastAsia" w:cs="宋体"/>
          <w:kern w:val="0"/>
          <w:highlight w:val="none"/>
          <w:u w:val="single"/>
        </w:rPr>
        <w:t xml:space="preserve">       </w:t>
      </w:r>
      <w:r>
        <w:rPr>
          <w:rFonts w:hint="eastAsia" w:cs="宋体"/>
          <w:kern w:val="0"/>
          <w:highlight w:val="none"/>
          <w:lang w:val="zh-CN"/>
        </w:rPr>
        <w:t>][项目名称：</w:t>
      </w:r>
      <w:r>
        <w:rPr>
          <w:rFonts w:hint="eastAsia" w:cs="宋体"/>
          <w:highlight w:val="none"/>
          <w:u w:val="single"/>
        </w:rPr>
        <w:t xml:space="preserve">      </w:t>
      </w:r>
      <w:r>
        <w:rPr>
          <w:rFonts w:hint="eastAsia" w:cs="宋体"/>
          <w:kern w:val="0"/>
          <w:highlight w:val="none"/>
          <w:lang w:val="zh-CN"/>
        </w:rPr>
        <w:t>]的</w:t>
      </w:r>
      <w:r>
        <w:rPr>
          <w:rFonts w:hint="eastAsia" w:cs="宋体"/>
          <w:kern w:val="0"/>
          <w:highlight w:val="none"/>
        </w:rPr>
        <w:t>内容</w:t>
      </w:r>
      <w:r>
        <w:rPr>
          <w:rFonts w:hint="eastAsia" w:cs="宋体"/>
          <w:kern w:val="0"/>
          <w:highlight w:val="none"/>
          <w:lang w:val="zh-CN"/>
        </w:rPr>
        <w:t>实施。</w:t>
      </w:r>
    </w:p>
    <w:p w14:paraId="1ED38B1C">
      <w:pPr>
        <w:ind w:firstLine="480"/>
        <w:rPr>
          <w:highlight w:val="none"/>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25880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61F7CF3E">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307AD3E9">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1AC88BCD">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投标总报价</w:t>
            </w:r>
          </w:p>
        </w:tc>
      </w:tr>
      <w:tr w14:paraId="65B1C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298153C5">
            <w:pPr>
              <w:adjustRightInd w:val="0"/>
              <w:snapToGrid w:val="0"/>
              <w:spacing w:line="500" w:lineRule="exact"/>
              <w:ind w:firstLine="0" w:firstLineChars="0"/>
              <w:jc w:val="center"/>
              <w:rPr>
                <w:rFonts w:cs="宋体"/>
                <w:b/>
                <w:spacing w:val="-6"/>
                <w:highlight w:val="none"/>
              </w:rPr>
            </w:pPr>
            <w:r>
              <w:rPr>
                <w:rFonts w:hint="eastAsia" w:cs="宋体"/>
                <w:bCs/>
                <w:spacing w:val="-6"/>
                <w:highlight w:val="none"/>
              </w:rPr>
              <w:t>标项一</w:t>
            </w:r>
          </w:p>
        </w:tc>
        <w:tc>
          <w:tcPr>
            <w:tcW w:w="4152" w:type="dxa"/>
            <w:tcBorders>
              <w:top w:val="single" w:color="auto" w:sz="4" w:space="0"/>
              <w:left w:val="single" w:color="auto" w:sz="4" w:space="0"/>
              <w:bottom w:val="single" w:color="auto" w:sz="4" w:space="0"/>
              <w:right w:val="single" w:color="auto" w:sz="4" w:space="0"/>
            </w:tcBorders>
            <w:vAlign w:val="center"/>
          </w:tcPr>
          <w:p w14:paraId="5E66941C">
            <w:pPr>
              <w:adjustRightInd w:val="0"/>
              <w:snapToGrid w:val="0"/>
              <w:spacing w:line="500" w:lineRule="exact"/>
              <w:ind w:firstLine="0" w:firstLineChars="0"/>
              <w:jc w:val="center"/>
              <w:rPr>
                <w:rFonts w:cs="宋体"/>
                <w:b/>
                <w:spacing w:val="-6"/>
                <w:highlight w:val="none"/>
              </w:rPr>
            </w:pPr>
            <w:r>
              <w:rPr>
                <w:rFonts w:hint="eastAsia" w:cs="宋体"/>
                <w:bCs/>
                <w:kern w:val="0"/>
                <w:highlight w:val="none"/>
              </w:rPr>
              <w:t>图书馆书架</w:t>
            </w:r>
          </w:p>
        </w:tc>
        <w:tc>
          <w:tcPr>
            <w:tcW w:w="4458" w:type="dxa"/>
            <w:tcBorders>
              <w:top w:val="single" w:color="auto" w:sz="4" w:space="0"/>
              <w:left w:val="single" w:color="auto" w:sz="4" w:space="0"/>
              <w:bottom w:val="single" w:color="auto" w:sz="4" w:space="0"/>
              <w:right w:val="single" w:color="auto" w:sz="4" w:space="0"/>
            </w:tcBorders>
            <w:vAlign w:val="center"/>
          </w:tcPr>
          <w:p w14:paraId="2ADB5F11">
            <w:pPr>
              <w:spacing w:line="500" w:lineRule="exact"/>
              <w:ind w:firstLine="0" w:firstLineChars="0"/>
              <w:rPr>
                <w:highlight w:val="none"/>
              </w:rPr>
            </w:pPr>
            <w:r>
              <w:rPr>
                <w:rFonts w:hint="eastAsia"/>
                <w:highlight w:val="none"/>
              </w:rPr>
              <w:t>金额（小写）：</w:t>
            </w:r>
          </w:p>
          <w:p w14:paraId="243A375D">
            <w:pPr>
              <w:spacing w:line="500" w:lineRule="exact"/>
              <w:ind w:firstLine="480"/>
              <w:rPr>
                <w:highlight w:val="none"/>
              </w:rPr>
            </w:pPr>
            <w:r>
              <w:rPr>
                <w:rFonts w:hint="eastAsia"/>
                <w:highlight w:val="none"/>
              </w:rPr>
              <w:t>（大写）：</w:t>
            </w:r>
          </w:p>
        </w:tc>
      </w:tr>
      <w:tr w14:paraId="4300E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04F88D62">
            <w:pPr>
              <w:adjustRightInd w:val="0"/>
              <w:snapToGrid w:val="0"/>
              <w:spacing w:line="440" w:lineRule="exact"/>
              <w:ind w:firstLine="0" w:firstLineChars="0"/>
              <w:rPr>
                <w:highlight w:val="none"/>
              </w:rPr>
            </w:pPr>
            <w:r>
              <w:rPr>
                <w:rFonts w:hint="eastAsia"/>
                <w:highlight w:val="none"/>
              </w:rPr>
              <w:t>交货期限：</w:t>
            </w:r>
          </w:p>
        </w:tc>
      </w:tr>
    </w:tbl>
    <w:p w14:paraId="58EB0533">
      <w:pPr>
        <w:ind w:firstLine="0" w:firstLineChars="0"/>
        <w:rPr>
          <w:highlight w:val="none"/>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3728D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716F4719">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27D863EE">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176D902F">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投标总报价</w:t>
            </w:r>
          </w:p>
        </w:tc>
      </w:tr>
      <w:tr w14:paraId="0A602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7B20B2BB">
            <w:pPr>
              <w:adjustRightInd w:val="0"/>
              <w:snapToGrid w:val="0"/>
              <w:spacing w:line="500" w:lineRule="exact"/>
              <w:ind w:firstLine="0" w:firstLineChars="0"/>
              <w:jc w:val="center"/>
              <w:rPr>
                <w:rFonts w:cs="宋体"/>
                <w:b/>
                <w:spacing w:val="-6"/>
                <w:highlight w:val="none"/>
              </w:rPr>
            </w:pPr>
            <w:r>
              <w:rPr>
                <w:rFonts w:hint="eastAsia" w:cs="宋体"/>
                <w:bCs/>
                <w:spacing w:val="-6"/>
                <w:highlight w:val="none"/>
              </w:rPr>
              <w:t>标项二</w:t>
            </w:r>
          </w:p>
        </w:tc>
        <w:tc>
          <w:tcPr>
            <w:tcW w:w="4152" w:type="dxa"/>
            <w:tcBorders>
              <w:top w:val="single" w:color="auto" w:sz="4" w:space="0"/>
              <w:left w:val="single" w:color="auto" w:sz="4" w:space="0"/>
              <w:bottom w:val="single" w:color="auto" w:sz="4" w:space="0"/>
              <w:right w:val="single" w:color="auto" w:sz="4" w:space="0"/>
            </w:tcBorders>
            <w:vAlign w:val="center"/>
          </w:tcPr>
          <w:p w14:paraId="5A083BB0">
            <w:pPr>
              <w:adjustRightInd w:val="0"/>
              <w:snapToGrid w:val="0"/>
              <w:spacing w:line="500" w:lineRule="exact"/>
              <w:ind w:firstLine="0" w:firstLineChars="0"/>
              <w:jc w:val="center"/>
              <w:rPr>
                <w:rFonts w:cs="宋体"/>
                <w:b/>
                <w:spacing w:val="-6"/>
                <w:highlight w:val="none"/>
              </w:rPr>
            </w:pPr>
            <w:r>
              <w:rPr>
                <w:rFonts w:hint="eastAsia" w:cs="宋体"/>
                <w:bCs/>
                <w:highlight w:val="none"/>
              </w:rPr>
              <w:t>图书馆功能服务区家具</w:t>
            </w:r>
          </w:p>
        </w:tc>
        <w:tc>
          <w:tcPr>
            <w:tcW w:w="4458" w:type="dxa"/>
            <w:tcBorders>
              <w:top w:val="single" w:color="auto" w:sz="4" w:space="0"/>
              <w:left w:val="single" w:color="auto" w:sz="4" w:space="0"/>
              <w:bottom w:val="single" w:color="auto" w:sz="4" w:space="0"/>
              <w:right w:val="single" w:color="auto" w:sz="4" w:space="0"/>
            </w:tcBorders>
            <w:vAlign w:val="center"/>
          </w:tcPr>
          <w:p w14:paraId="3E983AF6">
            <w:pPr>
              <w:spacing w:line="500" w:lineRule="exact"/>
              <w:ind w:firstLine="0" w:firstLineChars="0"/>
              <w:rPr>
                <w:highlight w:val="none"/>
              </w:rPr>
            </w:pPr>
            <w:r>
              <w:rPr>
                <w:rFonts w:hint="eastAsia"/>
                <w:highlight w:val="none"/>
              </w:rPr>
              <w:t>金额（小写）：</w:t>
            </w:r>
          </w:p>
          <w:p w14:paraId="20B2E6B6">
            <w:pPr>
              <w:spacing w:line="500" w:lineRule="exact"/>
              <w:ind w:firstLine="480"/>
              <w:rPr>
                <w:highlight w:val="none"/>
              </w:rPr>
            </w:pPr>
            <w:r>
              <w:rPr>
                <w:rFonts w:hint="eastAsia"/>
                <w:highlight w:val="none"/>
              </w:rPr>
              <w:t>（大写）：</w:t>
            </w:r>
          </w:p>
        </w:tc>
      </w:tr>
      <w:tr w14:paraId="66C389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3218282E">
            <w:pPr>
              <w:adjustRightInd w:val="0"/>
              <w:snapToGrid w:val="0"/>
              <w:spacing w:line="440" w:lineRule="exact"/>
              <w:ind w:firstLine="0" w:firstLineChars="0"/>
              <w:rPr>
                <w:highlight w:val="none"/>
              </w:rPr>
            </w:pPr>
            <w:r>
              <w:rPr>
                <w:rFonts w:hint="eastAsia"/>
                <w:highlight w:val="none"/>
              </w:rPr>
              <w:t>交货期限：</w:t>
            </w:r>
          </w:p>
        </w:tc>
      </w:tr>
    </w:tbl>
    <w:p w14:paraId="4414A50C">
      <w:pPr>
        <w:snapToGrid w:val="0"/>
        <w:ind w:firstLine="0" w:firstLineChars="0"/>
        <w:rPr>
          <w:rFonts w:cs="宋体"/>
          <w:b/>
          <w:highlight w:val="none"/>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53577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7584E84A">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4FF0E6DB">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43B0CDD3">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投标总报价</w:t>
            </w:r>
          </w:p>
        </w:tc>
      </w:tr>
      <w:tr w14:paraId="6086B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2B137AED">
            <w:pPr>
              <w:adjustRightInd w:val="0"/>
              <w:snapToGrid w:val="0"/>
              <w:spacing w:line="500" w:lineRule="exact"/>
              <w:ind w:firstLine="0" w:firstLineChars="0"/>
              <w:jc w:val="center"/>
              <w:rPr>
                <w:rFonts w:cs="宋体"/>
                <w:b/>
                <w:spacing w:val="-6"/>
                <w:highlight w:val="none"/>
              </w:rPr>
            </w:pPr>
            <w:r>
              <w:rPr>
                <w:rFonts w:hint="eastAsia" w:cs="宋体"/>
                <w:bCs/>
                <w:spacing w:val="-6"/>
                <w:highlight w:val="none"/>
              </w:rPr>
              <w:t>标项三</w:t>
            </w:r>
          </w:p>
        </w:tc>
        <w:tc>
          <w:tcPr>
            <w:tcW w:w="4152" w:type="dxa"/>
            <w:tcBorders>
              <w:top w:val="single" w:color="auto" w:sz="4" w:space="0"/>
              <w:left w:val="single" w:color="auto" w:sz="4" w:space="0"/>
              <w:bottom w:val="single" w:color="auto" w:sz="4" w:space="0"/>
              <w:right w:val="single" w:color="auto" w:sz="4" w:space="0"/>
            </w:tcBorders>
            <w:vAlign w:val="center"/>
          </w:tcPr>
          <w:p w14:paraId="104646BF">
            <w:pPr>
              <w:adjustRightInd w:val="0"/>
              <w:snapToGrid w:val="0"/>
              <w:spacing w:line="500" w:lineRule="exact"/>
              <w:ind w:firstLine="0" w:firstLineChars="0"/>
              <w:jc w:val="center"/>
              <w:rPr>
                <w:rFonts w:cs="宋体"/>
                <w:b/>
                <w:spacing w:val="-6"/>
                <w:highlight w:val="none"/>
              </w:rPr>
            </w:pPr>
            <w:r>
              <w:rPr>
                <w:rFonts w:hint="eastAsia" w:cs="宋体"/>
                <w:bCs/>
                <w:highlight w:val="none"/>
              </w:rPr>
              <w:t>图书馆开放服务椅</w:t>
            </w:r>
          </w:p>
        </w:tc>
        <w:tc>
          <w:tcPr>
            <w:tcW w:w="4458" w:type="dxa"/>
            <w:tcBorders>
              <w:top w:val="single" w:color="auto" w:sz="4" w:space="0"/>
              <w:left w:val="single" w:color="auto" w:sz="4" w:space="0"/>
              <w:bottom w:val="single" w:color="auto" w:sz="4" w:space="0"/>
              <w:right w:val="single" w:color="auto" w:sz="4" w:space="0"/>
            </w:tcBorders>
            <w:vAlign w:val="center"/>
          </w:tcPr>
          <w:p w14:paraId="2315AD34">
            <w:pPr>
              <w:spacing w:line="500" w:lineRule="exact"/>
              <w:ind w:firstLine="0" w:firstLineChars="0"/>
              <w:rPr>
                <w:highlight w:val="none"/>
              </w:rPr>
            </w:pPr>
            <w:r>
              <w:rPr>
                <w:rFonts w:hint="eastAsia"/>
                <w:highlight w:val="none"/>
              </w:rPr>
              <w:t>金额（小写）：</w:t>
            </w:r>
          </w:p>
          <w:p w14:paraId="6F6233C9">
            <w:pPr>
              <w:spacing w:line="500" w:lineRule="exact"/>
              <w:ind w:firstLine="480"/>
              <w:rPr>
                <w:highlight w:val="none"/>
              </w:rPr>
            </w:pPr>
            <w:r>
              <w:rPr>
                <w:rFonts w:hint="eastAsia"/>
                <w:highlight w:val="none"/>
              </w:rPr>
              <w:t>（大写）：</w:t>
            </w:r>
          </w:p>
        </w:tc>
      </w:tr>
      <w:tr w14:paraId="6DF04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1149A7A4">
            <w:pPr>
              <w:adjustRightInd w:val="0"/>
              <w:snapToGrid w:val="0"/>
              <w:spacing w:line="440" w:lineRule="exact"/>
              <w:ind w:firstLine="0" w:firstLineChars="0"/>
              <w:rPr>
                <w:highlight w:val="none"/>
              </w:rPr>
            </w:pPr>
            <w:r>
              <w:rPr>
                <w:rFonts w:hint="eastAsia"/>
                <w:highlight w:val="none"/>
              </w:rPr>
              <w:t>交货期限：</w:t>
            </w:r>
          </w:p>
        </w:tc>
      </w:tr>
    </w:tbl>
    <w:p w14:paraId="4C763854">
      <w:pPr>
        <w:snapToGrid w:val="0"/>
        <w:ind w:firstLine="0" w:firstLineChars="0"/>
        <w:rPr>
          <w:rFonts w:cs="宋体"/>
          <w:b/>
          <w:highlight w:val="none"/>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39435C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1DF21131">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2D9CF525">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220D4C1F">
            <w:pPr>
              <w:adjustRightInd w:val="0"/>
              <w:snapToGrid w:val="0"/>
              <w:spacing w:line="480" w:lineRule="exact"/>
              <w:ind w:firstLine="0" w:firstLineChars="0"/>
              <w:jc w:val="center"/>
              <w:rPr>
                <w:rFonts w:cs="宋体"/>
                <w:b/>
                <w:bCs/>
                <w:spacing w:val="-6"/>
                <w:highlight w:val="none"/>
                <w:u w:val="single"/>
              </w:rPr>
            </w:pPr>
            <w:r>
              <w:rPr>
                <w:rFonts w:hint="eastAsia" w:cs="宋体"/>
                <w:b/>
                <w:bCs/>
                <w:spacing w:val="-6"/>
                <w:highlight w:val="none"/>
              </w:rPr>
              <w:t>投标总报价</w:t>
            </w:r>
          </w:p>
        </w:tc>
      </w:tr>
      <w:tr w14:paraId="148B9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329E587C">
            <w:pPr>
              <w:adjustRightInd w:val="0"/>
              <w:snapToGrid w:val="0"/>
              <w:spacing w:line="500" w:lineRule="exact"/>
              <w:ind w:firstLine="0" w:firstLineChars="0"/>
              <w:jc w:val="center"/>
              <w:rPr>
                <w:rFonts w:cs="宋体"/>
                <w:b/>
                <w:spacing w:val="-6"/>
                <w:highlight w:val="none"/>
              </w:rPr>
            </w:pPr>
            <w:r>
              <w:rPr>
                <w:rFonts w:hint="eastAsia" w:cs="宋体"/>
                <w:bCs/>
                <w:spacing w:val="-6"/>
                <w:highlight w:val="none"/>
              </w:rPr>
              <w:t>标项四</w:t>
            </w:r>
          </w:p>
        </w:tc>
        <w:tc>
          <w:tcPr>
            <w:tcW w:w="4152" w:type="dxa"/>
            <w:tcBorders>
              <w:top w:val="single" w:color="auto" w:sz="4" w:space="0"/>
              <w:left w:val="single" w:color="auto" w:sz="4" w:space="0"/>
              <w:bottom w:val="single" w:color="auto" w:sz="4" w:space="0"/>
              <w:right w:val="single" w:color="auto" w:sz="4" w:space="0"/>
            </w:tcBorders>
            <w:vAlign w:val="center"/>
          </w:tcPr>
          <w:p w14:paraId="07CD5353">
            <w:pPr>
              <w:adjustRightInd w:val="0"/>
              <w:snapToGrid w:val="0"/>
              <w:spacing w:line="500" w:lineRule="exact"/>
              <w:ind w:firstLine="0" w:firstLineChars="0"/>
              <w:jc w:val="center"/>
              <w:rPr>
                <w:rFonts w:cs="宋体"/>
                <w:b/>
                <w:spacing w:val="-6"/>
                <w:highlight w:val="none"/>
              </w:rPr>
            </w:pPr>
            <w:r>
              <w:rPr>
                <w:rFonts w:hint="eastAsia" w:cs="宋体"/>
                <w:bCs/>
                <w:highlight w:val="none"/>
              </w:rPr>
              <w:t>图书馆1F-心理咨询中心家具</w:t>
            </w:r>
          </w:p>
        </w:tc>
        <w:tc>
          <w:tcPr>
            <w:tcW w:w="4458" w:type="dxa"/>
            <w:tcBorders>
              <w:top w:val="single" w:color="auto" w:sz="4" w:space="0"/>
              <w:left w:val="single" w:color="auto" w:sz="4" w:space="0"/>
              <w:bottom w:val="single" w:color="auto" w:sz="4" w:space="0"/>
              <w:right w:val="single" w:color="auto" w:sz="4" w:space="0"/>
            </w:tcBorders>
            <w:vAlign w:val="center"/>
          </w:tcPr>
          <w:p w14:paraId="32D02BB8">
            <w:pPr>
              <w:spacing w:line="500" w:lineRule="exact"/>
              <w:ind w:firstLine="0" w:firstLineChars="0"/>
              <w:rPr>
                <w:highlight w:val="none"/>
              </w:rPr>
            </w:pPr>
            <w:r>
              <w:rPr>
                <w:rFonts w:hint="eastAsia"/>
                <w:highlight w:val="none"/>
              </w:rPr>
              <w:t>金额（小写）：</w:t>
            </w:r>
          </w:p>
          <w:p w14:paraId="62F92C72">
            <w:pPr>
              <w:spacing w:line="500" w:lineRule="exact"/>
              <w:ind w:firstLine="480"/>
              <w:rPr>
                <w:highlight w:val="none"/>
              </w:rPr>
            </w:pPr>
            <w:r>
              <w:rPr>
                <w:rFonts w:hint="eastAsia"/>
                <w:highlight w:val="none"/>
              </w:rPr>
              <w:t>（大写）：</w:t>
            </w:r>
          </w:p>
        </w:tc>
      </w:tr>
      <w:tr w14:paraId="0DBDE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07C234AF">
            <w:pPr>
              <w:adjustRightInd w:val="0"/>
              <w:snapToGrid w:val="0"/>
              <w:spacing w:line="440" w:lineRule="exact"/>
              <w:ind w:firstLine="0" w:firstLineChars="0"/>
              <w:rPr>
                <w:highlight w:val="none"/>
              </w:rPr>
            </w:pPr>
            <w:r>
              <w:rPr>
                <w:rFonts w:hint="eastAsia"/>
                <w:highlight w:val="none"/>
              </w:rPr>
              <w:t>交货期限：</w:t>
            </w:r>
          </w:p>
        </w:tc>
      </w:tr>
    </w:tbl>
    <w:p w14:paraId="3A5F15B1">
      <w:pPr>
        <w:snapToGrid w:val="0"/>
        <w:ind w:firstLine="0" w:firstLineChars="0"/>
        <w:rPr>
          <w:rFonts w:cs="宋体"/>
          <w:b/>
          <w:highlight w:val="none"/>
        </w:rPr>
      </w:pPr>
    </w:p>
    <w:p w14:paraId="745652E6">
      <w:pPr>
        <w:snapToGrid w:val="0"/>
        <w:ind w:firstLine="0" w:firstLineChars="0"/>
        <w:rPr>
          <w:rFonts w:cs="宋体"/>
          <w:b/>
          <w:kern w:val="0"/>
          <w:highlight w:val="none"/>
          <w:lang w:val="zh-CN"/>
        </w:rPr>
      </w:pPr>
      <w:r>
        <w:rPr>
          <w:rFonts w:hint="eastAsia" w:cs="宋体"/>
          <w:b/>
          <w:highlight w:val="none"/>
        </w:rPr>
        <w:t>▲</w:t>
      </w:r>
      <w:r>
        <w:rPr>
          <w:rFonts w:hint="eastAsia" w:cs="宋体"/>
          <w:b/>
          <w:kern w:val="0"/>
          <w:highlight w:val="none"/>
          <w:lang w:val="zh-CN"/>
        </w:rPr>
        <w:t>报价要求：</w:t>
      </w:r>
    </w:p>
    <w:p w14:paraId="6FFA008E">
      <w:pPr>
        <w:ind w:firstLine="480"/>
        <w:rPr>
          <w:highlight w:val="none"/>
        </w:rPr>
      </w:pPr>
      <w:r>
        <w:rPr>
          <w:rFonts w:hint="eastAsia"/>
          <w:highlight w:val="none"/>
          <w:lang w:val="zh-CN"/>
        </w:rPr>
        <w:t>1</w:t>
      </w:r>
      <w:r>
        <w:rPr>
          <w:rFonts w:hint="eastAsia"/>
          <w:highlight w:val="none"/>
        </w:rPr>
        <w:t>.本项目以人民币进行报价；投标总报价不得超过相应标项的最高限价，否则按无效报价处理。</w:t>
      </w:r>
    </w:p>
    <w:p w14:paraId="30F93703">
      <w:pPr>
        <w:ind w:firstLine="480"/>
        <w:rPr>
          <w:highlight w:val="none"/>
          <w:lang w:val="zh-CN"/>
        </w:rPr>
      </w:pPr>
      <w:r>
        <w:rPr>
          <w:rFonts w:hint="eastAsia"/>
          <w:highlight w:val="none"/>
        </w:rPr>
        <w:t>2.</w:t>
      </w:r>
      <w:r>
        <w:rPr>
          <w:rFonts w:hint="eastAsia"/>
          <w:highlight w:val="none"/>
          <w:lang w:val="zh-CN"/>
        </w:rPr>
        <w:t>投标人需按本表格式填写，不得自行更改。</w:t>
      </w:r>
    </w:p>
    <w:p w14:paraId="61DAD2F7">
      <w:pPr>
        <w:ind w:firstLine="480"/>
        <w:rPr>
          <w:highlight w:val="none"/>
        </w:rPr>
      </w:pPr>
      <w:r>
        <w:rPr>
          <w:rFonts w:hint="eastAsia"/>
          <w:highlight w:val="none"/>
        </w:rPr>
        <w:t>3.</w:t>
      </w:r>
      <w:r>
        <w:rPr>
          <w:rFonts w:hint="eastAsia"/>
          <w:highlight w:val="none"/>
          <w:lang w:val="zh-CN"/>
        </w:rPr>
        <w:t>有关本项目实施所涉及的一切费用（详见前附表）均计入报价。</w:t>
      </w:r>
    </w:p>
    <w:p w14:paraId="729C4FA6">
      <w:pPr>
        <w:ind w:firstLine="480"/>
        <w:rPr>
          <w:highlight w:val="none"/>
        </w:rPr>
      </w:pPr>
      <w:r>
        <w:rPr>
          <w:rFonts w:hint="eastAsia"/>
          <w:highlight w:val="none"/>
        </w:rPr>
        <w:t>4.投标人只有一次报价的机会。投标报价不得有选择性报价和附有条件的报价。</w:t>
      </w:r>
    </w:p>
    <w:p w14:paraId="3966684B">
      <w:pPr>
        <w:ind w:firstLine="480"/>
        <w:rPr>
          <w:highlight w:val="none"/>
        </w:rPr>
      </w:pPr>
    </w:p>
    <w:p w14:paraId="0617DA47">
      <w:pPr>
        <w:spacing w:line="480" w:lineRule="auto"/>
        <w:ind w:firstLine="480"/>
        <w:rPr>
          <w:rFonts w:cs="宋体"/>
          <w:highlight w:val="none"/>
        </w:rPr>
      </w:pPr>
      <w:r>
        <w:rPr>
          <w:rFonts w:hint="eastAsia" w:cs="宋体"/>
          <w:highlight w:val="none"/>
        </w:rPr>
        <w:t>投标人名称（公章）：</w:t>
      </w:r>
    </w:p>
    <w:p w14:paraId="0E8009D0">
      <w:pPr>
        <w:spacing w:line="480" w:lineRule="auto"/>
        <w:ind w:firstLine="480"/>
        <w:rPr>
          <w:rFonts w:cs="宋体"/>
          <w:highlight w:val="none"/>
        </w:rPr>
      </w:pPr>
      <w:r>
        <w:rPr>
          <w:rFonts w:hint="eastAsia" w:cs="宋体"/>
          <w:highlight w:val="none"/>
        </w:rPr>
        <w:t>法定代表人或其授权代表（签字）：</w:t>
      </w:r>
    </w:p>
    <w:p w14:paraId="71FA06C6">
      <w:pPr>
        <w:tabs>
          <w:tab w:val="left" w:pos="524"/>
        </w:tabs>
        <w:ind w:firstLine="480"/>
        <w:jc w:val="left"/>
        <w:rPr>
          <w:highlight w:val="none"/>
        </w:rPr>
        <w:sectPr>
          <w:pgSz w:w="11906" w:h="16838"/>
          <w:pgMar w:top="1440" w:right="1304" w:bottom="1020" w:left="1304" w:header="851" w:footer="992" w:gutter="0"/>
          <w:cols w:space="720" w:num="1"/>
          <w:docGrid w:type="lines" w:linePitch="312" w:charSpace="0"/>
        </w:sectPr>
      </w:pPr>
      <w:r>
        <w:rPr>
          <w:rFonts w:hint="eastAsia" w:cs="宋体"/>
          <w:highlight w:val="none"/>
        </w:rPr>
        <w:t>日期：  年   月   日</w:t>
      </w:r>
    </w:p>
    <w:p w14:paraId="75394F8F">
      <w:pPr>
        <w:spacing w:line="240" w:lineRule="auto"/>
        <w:ind w:firstLine="0" w:firstLineChars="0"/>
        <w:jc w:val="left"/>
        <w:rPr>
          <w:rFonts w:cs="宋体"/>
          <w:b/>
          <w:bCs/>
          <w:highlight w:val="none"/>
        </w:rPr>
      </w:pPr>
      <w:r>
        <w:rPr>
          <w:rFonts w:hint="eastAsia" w:cs="宋体"/>
          <w:b/>
          <w:bCs/>
          <w:highlight w:val="none"/>
        </w:rPr>
        <w:t>附件十三</w:t>
      </w:r>
    </w:p>
    <w:p w14:paraId="5771549B">
      <w:pPr>
        <w:tabs>
          <w:tab w:val="left" w:pos="1233"/>
        </w:tabs>
        <w:ind w:firstLine="0" w:firstLineChars="0"/>
        <w:jc w:val="center"/>
        <w:rPr>
          <w:b/>
          <w:bCs/>
          <w:sz w:val="28"/>
          <w:szCs w:val="28"/>
          <w:highlight w:val="none"/>
        </w:rPr>
      </w:pPr>
      <w:r>
        <w:rPr>
          <w:rFonts w:hint="eastAsia"/>
          <w:b/>
          <w:bCs/>
          <w:sz w:val="28"/>
          <w:szCs w:val="28"/>
          <w:highlight w:val="none"/>
        </w:rPr>
        <w:t>报价明细表</w:t>
      </w:r>
    </w:p>
    <w:p w14:paraId="106F0F28">
      <w:pPr>
        <w:ind w:firstLine="0" w:firstLineChars="0"/>
        <w:rPr>
          <w:highlight w:val="none"/>
        </w:rPr>
      </w:pPr>
      <w:r>
        <w:rPr>
          <w:rFonts w:hint="eastAsia"/>
          <w:b/>
          <w:bCs/>
          <w:highlight w:val="none"/>
        </w:rPr>
        <w:t>标项一：图书馆书架</w:t>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7733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7D124671">
            <w:pPr>
              <w:spacing w:line="340" w:lineRule="exact"/>
              <w:ind w:firstLine="0" w:firstLineChars="0"/>
              <w:jc w:val="center"/>
              <w:rPr>
                <w:rFonts w:cs="宋体"/>
                <w:bCs/>
                <w:highlight w:val="none"/>
              </w:rPr>
            </w:pPr>
            <w:r>
              <w:rPr>
                <w:rFonts w:hint="eastAsia" w:cs="宋体"/>
                <w:highlight w:val="none"/>
              </w:rPr>
              <w:t>序号</w:t>
            </w:r>
          </w:p>
        </w:tc>
        <w:tc>
          <w:tcPr>
            <w:tcW w:w="1530" w:type="dxa"/>
            <w:vAlign w:val="center"/>
          </w:tcPr>
          <w:p w14:paraId="753FBACF">
            <w:pPr>
              <w:spacing w:line="340" w:lineRule="exact"/>
              <w:ind w:firstLine="0" w:firstLineChars="0"/>
              <w:jc w:val="center"/>
              <w:rPr>
                <w:rFonts w:cs="宋体"/>
                <w:bCs/>
                <w:highlight w:val="none"/>
              </w:rPr>
            </w:pPr>
            <w:r>
              <w:rPr>
                <w:rFonts w:hint="eastAsia" w:cs="宋体"/>
                <w:bCs/>
                <w:highlight w:val="none"/>
              </w:rPr>
              <w:t>设备名称</w:t>
            </w:r>
          </w:p>
        </w:tc>
        <w:tc>
          <w:tcPr>
            <w:tcW w:w="802" w:type="dxa"/>
            <w:vAlign w:val="center"/>
          </w:tcPr>
          <w:p w14:paraId="4E69D88F">
            <w:pPr>
              <w:spacing w:line="340" w:lineRule="exact"/>
              <w:ind w:firstLine="0" w:firstLineChars="0"/>
              <w:jc w:val="center"/>
              <w:rPr>
                <w:rFonts w:cs="宋体"/>
                <w:bCs/>
                <w:highlight w:val="none"/>
              </w:rPr>
            </w:pPr>
            <w:r>
              <w:rPr>
                <w:rFonts w:hint="eastAsia" w:cs="宋体"/>
                <w:bCs/>
                <w:highlight w:val="none"/>
              </w:rPr>
              <w:t>单位</w:t>
            </w:r>
          </w:p>
        </w:tc>
        <w:tc>
          <w:tcPr>
            <w:tcW w:w="918" w:type="dxa"/>
            <w:vAlign w:val="center"/>
          </w:tcPr>
          <w:p w14:paraId="64BEB979">
            <w:pPr>
              <w:spacing w:line="340" w:lineRule="exact"/>
              <w:ind w:firstLine="0" w:firstLineChars="0"/>
              <w:jc w:val="center"/>
              <w:rPr>
                <w:rFonts w:cs="宋体"/>
                <w:bCs/>
                <w:highlight w:val="none"/>
              </w:rPr>
            </w:pPr>
            <w:r>
              <w:rPr>
                <w:rFonts w:hint="eastAsia" w:cs="宋体"/>
                <w:bCs/>
                <w:highlight w:val="none"/>
              </w:rPr>
              <w:t>数量</w:t>
            </w:r>
          </w:p>
        </w:tc>
        <w:tc>
          <w:tcPr>
            <w:tcW w:w="1567" w:type="dxa"/>
            <w:vAlign w:val="center"/>
          </w:tcPr>
          <w:p w14:paraId="0B081DD2">
            <w:pPr>
              <w:spacing w:line="340" w:lineRule="exact"/>
              <w:ind w:firstLine="0" w:firstLineChars="0"/>
              <w:jc w:val="center"/>
              <w:rPr>
                <w:rFonts w:cs="宋体"/>
                <w:bCs/>
                <w:highlight w:val="none"/>
              </w:rPr>
            </w:pPr>
            <w:r>
              <w:rPr>
                <w:rFonts w:hint="eastAsia" w:cs="宋体"/>
                <w:bCs/>
                <w:highlight w:val="none"/>
              </w:rPr>
              <w:t>技术参数</w:t>
            </w:r>
          </w:p>
        </w:tc>
        <w:tc>
          <w:tcPr>
            <w:tcW w:w="1183" w:type="dxa"/>
            <w:vAlign w:val="center"/>
          </w:tcPr>
          <w:p w14:paraId="57ED1A73">
            <w:pPr>
              <w:spacing w:line="340" w:lineRule="exact"/>
              <w:ind w:firstLine="0" w:firstLineChars="0"/>
              <w:jc w:val="center"/>
              <w:rPr>
                <w:rFonts w:cs="宋体"/>
                <w:bCs/>
                <w:highlight w:val="none"/>
              </w:rPr>
            </w:pPr>
            <w:r>
              <w:rPr>
                <w:rFonts w:hint="eastAsia" w:cs="宋体"/>
                <w:bCs/>
                <w:highlight w:val="none"/>
              </w:rPr>
              <w:t>品牌</w:t>
            </w:r>
          </w:p>
        </w:tc>
        <w:tc>
          <w:tcPr>
            <w:tcW w:w="1309" w:type="dxa"/>
            <w:vAlign w:val="center"/>
          </w:tcPr>
          <w:p w14:paraId="28CA2F4E">
            <w:pPr>
              <w:spacing w:line="340" w:lineRule="exact"/>
              <w:ind w:firstLine="0" w:firstLineChars="0"/>
              <w:jc w:val="center"/>
              <w:rPr>
                <w:rFonts w:cs="宋体"/>
                <w:bCs/>
                <w:highlight w:val="none"/>
              </w:rPr>
            </w:pPr>
            <w:r>
              <w:rPr>
                <w:rFonts w:hint="eastAsia" w:cs="宋体"/>
                <w:bCs/>
                <w:highlight w:val="none"/>
              </w:rPr>
              <w:t>单价（元）</w:t>
            </w:r>
          </w:p>
        </w:tc>
        <w:tc>
          <w:tcPr>
            <w:tcW w:w="1418" w:type="dxa"/>
            <w:vAlign w:val="center"/>
          </w:tcPr>
          <w:p w14:paraId="3A85B1FE">
            <w:pPr>
              <w:spacing w:line="340" w:lineRule="exact"/>
              <w:ind w:firstLine="0" w:firstLineChars="0"/>
              <w:jc w:val="center"/>
              <w:rPr>
                <w:rFonts w:cs="宋体"/>
                <w:bCs/>
                <w:highlight w:val="none"/>
              </w:rPr>
            </w:pPr>
            <w:r>
              <w:rPr>
                <w:rFonts w:hint="eastAsia" w:cs="宋体"/>
                <w:bCs/>
                <w:highlight w:val="none"/>
              </w:rPr>
              <w:t>合计（元）</w:t>
            </w:r>
          </w:p>
        </w:tc>
      </w:tr>
      <w:tr w14:paraId="662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09C975B7">
            <w:pPr>
              <w:spacing w:line="440" w:lineRule="exact"/>
              <w:ind w:firstLine="0" w:firstLineChars="0"/>
              <w:jc w:val="center"/>
              <w:rPr>
                <w:rFonts w:cs="宋体"/>
                <w:bCs/>
                <w:highlight w:val="none"/>
              </w:rPr>
            </w:pPr>
            <w:r>
              <w:rPr>
                <w:rFonts w:hint="eastAsia" w:cs="宋体"/>
                <w:bCs/>
                <w:highlight w:val="none"/>
              </w:rPr>
              <w:t>1</w:t>
            </w:r>
          </w:p>
        </w:tc>
        <w:tc>
          <w:tcPr>
            <w:tcW w:w="1530" w:type="dxa"/>
            <w:vAlign w:val="center"/>
          </w:tcPr>
          <w:p w14:paraId="659FBDF2">
            <w:pPr>
              <w:widowControl/>
              <w:spacing w:line="440" w:lineRule="exact"/>
              <w:ind w:firstLine="480"/>
              <w:jc w:val="center"/>
              <w:rPr>
                <w:rFonts w:cs="宋体"/>
                <w:kern w:val="0"/>
                <w:highlight w:val="none"/>
              </w:rPr>
            </w:pPr>
          </w:p>
        </w:tc>
        <w:tc>
          <w:tcPr>
            <w:tcW w:w="802" w:type="dxa"/>
            <w:vAlign w:val="center"/>
          </w:tcPr>
          <w:p w14:paraId="0363615E">
            <w:pPr>
              <w:spacing w:line="440" w:lineRule="exact"/>
              <w:ind w:firstLine="480"/>
              <w:jc w:val="center"/>
              <w:rPr>
                <w:rFonts w:cs="宋体"/>
                <w:bCs/>
                <w:highlight w:val="none"/>
              </w:rPr>
            </w:pPr>
          </w:p>
        </w:tc>
        <w:tc>
          <w:tcPr>
            <w:tcW w:w="918" w:type="dxa"/>
            <w:vAlign w:val="center"/>
          </w:tcPr>
          <w:p w14:paraId="34C1B79B">
            <w:pPr>
              <w:spacing w:line="440" w:lineRule="exact"/>
              <w:ind w:firstLine="480"/>
              <w:jc w:val="center"/>
              <w:rPr>
                <w:rFonts w:cs="宋体"/>
                <w:bCs/>
                <w:highlight w:val="none"/>
              </w:rPr>
            </w:pPr>
          </w:p>
        </w:tc>
        <w:tc>
          <w:tcPr>
            <w:tcW w:w="1567" w:type="dxa"/>
            <w:vAlign w:val="center"/>
          </w:tcPr>
          <w:p w14:paraId="33AD26CD">
            <w:pPr>
              <w:spacing w:line="440" w:lineRule="exact"/>
              <w:ind w:firstLine="480"/>
              <w:jc w:val="center"/>
              <w:rPr>
                <w:rFonts w:cs="宋体"/>
                <w:bCs/>
                <w:highlight w:val="none"/>
              </w:rPr>
            </w:pPr>
          </w:p>
        </w:tc>
        <w:tc>
          <w:tcPr>
            <w:tcW w:w="1183" w:type="dxa"/>
            <w:vAlign w:val="center"/>
          </w:tcPr>
          <w:p w14:paraId="52D22BA9">
            <w:pPr>
              <w:spacing w:line="440" w:lineRule="exact"/>
              <w:ind w:firstLine="480"/>
              <w:jc w:val="center"/>
              <w:rPr>
                <w:rFonts w:cs="宋体"/>
                <w:bCs/>
                <w:highlight w:val="none"/>
              </w:rPr>
            </w:pPr>
          </w:p>
        </w:tc>
        <w:tc>
          <w:tcPr>
            <w:tcW w:w="1309" w:type="dxa"/>
            <w:vAlign w:val="center"/>
          </w:tcPr>
          <w:p w14:paraId="779649DC">
            <w:pPr>
              <w:spacing w:line="440" w:lineRule="exact"/>
              <w:ind w:firstLine="480"/>
              <w:jc w:val="center"/>
              <w:rPr>
                <w:rFonts w:cs="宋体"/>
                <w:bCs/>
                <w:highlight w:val="none"/>
              </w:rPr>
            </w:pPr>
          </w:p>
        </w:tc>
        <w:tc>
          <w:tcPr>
            <w:tcW w:w="1418" w:type="dxa"/>
            <w:vAlign w:val="center"/>
          </w:tcPr>
          <w:p w14:paraId="436C21B2">
            <w:pPr>
              <w:spacing w:line="440" w:lineRule="exact"/>
              <w:ind w:firstLine="480"/>
              <w:jc w:val="center"/>
              <w:rPr>
                <w:rFonts w:cs="宋体"/>
                <w:bCs/>
                <w:highlight w:val="none"/>
              </w:rPr>
            </w:pPr>
          </w:p>
        </w:tc>
      </w:tr>
      <w:tr w14:paraId="6C53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5F76DDFF">
            <w:pPr>
              <w:spacing w:line="440" w:lineRule="exact"/>
              <w:ind w:firstLine="0" w:firstLineChars="0"/>
              <w:jc w:val="center"/>
              <w:rPr>
                <w:rFonts w:cs="宋体"/>
                <w:bCs/>
                <w:highlight w:val="none"/>
              </w:rPr>
            </w:pPr>
            <w:r>
              <w:rPr>
                <w:rFonts w:hint="eastAsia" w:cs="宋体"/>
                <w:bCs/>
                <w:highlight w:val="none"/>
              </w:rPr>
              <w:t>2</w:t>
            </w:r>
          </w:p>
        </w:tc>
        <w:tc>
          <w:tcPr>
            <w:tcW w:w="1530" w:type="dxa"/>
            <w:vAlign w:val="center"/>
          </w:tcPr>
          <w:p w14:paraId="38072541">
            <w:pPr>
              <w:widowControl/>
              <w:spacing w:line="440" w:lineRule="exact"/>
              <w:ind w:firstLine="480"/>
              <w:jc w:val="center"/>
              <w:rPr>
                <w:rFonts w:cs="宋体"/>
                <w:kern w:val="0"/>
                <w:highlight w:val="none"/>
              </w:rPr>
            </w:pPr>
          </w:p>
        </w:tc>
        <w:tc>
          <w:tcPr>
            <w:tcW w:w="802" w:type="dxa"/>
            <w:vAlign w:val="center"/>
          </w:tcPr>
          <w:p w14:paraId="47E694CF">
            <w:pPr>
              <w:spacing w:line="440" w:lineRule="exact"/>
              <w:ind w:firstLine="480"/>
              <w:jc w:val="center"/>
              <w:rPr>
                <w:rFonts w:cs="宋体"/>
                <w:bCs/>
                <w:highlight w:val="none"/>
              </w:rPr>
            </w:pPr>
          </w:p>
        </w:tc>
        <w:tc>
          <w:tcPr>
            <w:tcW w:w="918" w:type="dxa"/>
            <w:vAlign w:val="center"/>
          </w:tcPr>
          <w:p w14:paraId="605B1018">
            <w:pPr>
              <w:spacing w:line="440" w:lineRule="exact"/>
              <w:ind w:firstLine="480"/>
              <w:jc w:val="center"/>
              <w:rPr>
                <w:rFonts w:cs="宋体"/>
                <w:bCs/>
                <w:highlight w:val="none"/>
              </w:rPr>
            </w:pPr>
          </w:p>
        </w:tc>
        <w:tc>
          <w:tcPr>
            <w:tcW w:w="1567" w:type="dxa"/>
            <w:vAlign w:val="center"/>
          </w:tcPr>
          <w:p w14:paraId="0237D2D8">
            <w:pPr>
              <w:spacing w:line="440" w:lineRule="exact"/>
              <w:ind w:firstLine="480"/>
              <w:jc w:val="center"/>
              <w:rPr>
                <w:rFonts w:cs="宋体"/>
                <w:bCs/>
                <w:highlight w:val="none"/>
              </w:rPr>
            </w:pPr>
          </w:p>
        </w:tc>
        <w:tc>
          <w:tcPr>
            <w:tcW w:w="1183" w:type="dxa"/>
            <w:vAlign w:val="center"/>
          </w:tcPr>
          <w:p w14:paraId="13845660">
            <w:pPr>
              <w:spacing w:line="440" w:lineRule="exact"/>
              <w:ind w:firstLine="480"/>
              <w:jc w:val="center"/>
              <w:rPr>
                <w:rFonts w:cs="宋体"/>
                <w:bCs/>
                <w:highlight w:val="none"/>
              </w:rPr>
            </w:pPr>
          </w:p>
        </w:tc>
        <w:tc>
          <w:tcPr>
            <w:tcW w:w="1309" w:type="dxa"/>
            <w:vAlign w:val="center"/>
          </w:tcPr>
          <w:p w14:paraId="4A068C19">
            <w:pPr>
              <w:spacing w:line="440" w:lineRule="exact"/>
              <w:ind w:firstLine="480"/>
              <w:jc w:val="center"/>
              <w:rPr>
                <w:rFonts w:cs="宋体"/>
                <w:bCs/>
                <w:highlight w:val="none"/>
              </w:rPr>
            </w:pPr>
          </w:p>
        </w:tc>
        <w:tc>
          <w:tcPr>
            <w:tcW w:w="1418" w:type="dxa"/>
            <w:vAlign w:val="center"/>
          </w:tcPr>
          <w:p w14:paraId="18F5794C">
            <w:pPr>
              <w:spacing w:line="440" w:lineRule="exact"/>
              <w:ind w:firstLine="480"/>
              <w:jc w:val="center"/>
              <w:rPr>
                <w:rFonts w:cs="宋体"/>
                <w:bCs/>
                <w:highlight w:val="none"/>
              </w:rPr>
            </w:pPr>
          </w:p>
        </w:tc>
      </w:tr>
      <w:tr w14:paraId="0655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2B223386">
            <w:pPr>
              <w:spacing w:line="440" w:lineRule="exact"/>
              <w:ind w:firstLine="0" w:firstLineChars="0"/>
              <w:jc w:val="center"/>
              <w:rPr>
                <w:rFonts w:cs="宋体"/>
                <w:bCs/>
                <w:highlight w:val="none"/>
              </w:rPr>
            </w:pPr>
            <w:r>
              <w:rPr>
                <w:rFonts w:hint="eastAsia" w:cs="宋体"/>
                <w:bCs/>
                <w:highlight w:val="none"/>
              </w:rPr>
              <w:t>3</w:t>
            </w:r>
          </w:p>
        </w:tc>
        <w:tc>
          <w:tcPr>
            <w:tcW w:w="1530" w:type="dxa"/>
            <w:vAlign w:val="center"/>
          </w:tcPr>
          <w:p w14:paraId="33F420DF">
            <w:pPr>
              <w:spacing w:line="440" w:lineRule="exact"/>
              <w:ind w:firstLine="480"/>
              <w:jc w:val="center"/>
              <w:rPr>
                <w:rFonts w:cs="宋体"/>
                <w:bCs/>
                <w:highlight w:val="none"/>
              </w:rPr>
            </w:pPr>
          </w:p>
        </w:tc>
        <w:tc>
          <w:tcPr>
            <w:tcW w:w="802" w:type="dxa"/>
            <w:vAlign w:val="center"/>
          </w:tcPr>
          <w:p w14:paraId="276FE953">
            <w:pPr>
              <w:spacing w:line="440" w:lineRule="exact"/>
              <w:ind w:firstLine="480"/>
              <w:jc w:val="center"/>
              <w:rPr>
                <w:rFonts w:cs="宋体"/>
                <w:bCs/>
                <w:highlight w:val="none"/>
              </w:rPr>
            </w:pPr>
          </w:p>
        </w:tc>
        <w:tc>
          <w:tcPr>
            <w:tcW w:w="918" w:type="dxa"/>
            <w:vAlign w:val="center"/>
          </w:tcPr>
          <w:p w14:paraId="771C47BD">
            <w:pPr>
              <w:spacing w:line="440" w:lineRule="exact"/>
              <w:ind w:firstLine="480"/>
              <w:jc w:val="center"/>
              <w:rPr>
                <w:rFonts w:cs="宋体"/>
                <w:bCs/>
                <w:highlight w:val="none"/>
              </w:rPr>
            </w:pPr>
          </w:p>
        </w:tc>
        <w:tc>
          <w:tcPr>
            <w:tcW w:w="1567" w:type="dxa"/>
            <w:vAlign w:val="center"/>
          </w:tcPr>
          <w:p w14:paraId="02D27E22">
            <w:pPr>
              <w:spacing w:line="440" w:lineRule="exact"/>
              <w:ind w:firstLine="480"/>
              <w:jc w:val="center"/>
              <w:rPr>
                <w:rFonts w:cs="宋体"/>
                <w:bCs/>
                <w:highlight w:val="none"/>
              </w:rPr>
            </w:pPr>
          </w:p>
        </w:tc>
        <w:tc>
          <w:tcPr>
            <w:tcW w:w="1183" w:type="dxa"/>
            <w:vAlign w:val="center"/>
          </w:tcPr>
          <w:p w14:paraId="7F7F0549">
            <w:pPr>
              <w:spacing w:line="440" w:lineRule="exact"/>
              <w:ind w:firstLine="480"/>
              <w:jc w:val="center"/>
              <w:rPr>
                <w:rFonts w:cs="宋体"/>
                <w:bCs/>
                <w:highlight w:val="none"/>
              </w:rPr>
            </w:pPr>
          </w:p>
        </w:tc>
        <w:tc>
          <w:tcPr>
            <w:tcW w:w="1309" w:type="dxa"/>
            <w:vAlign w:val="center"/>
          </w:tcPr>
          <w:p w14:paraId="579845C3">
            <w:pPr>
              <w:spacing w:line="440" w:lineRule="exact"/>
              <w:ind w:firstLine="480"/>
              <w:jc w:val="center"/>
              <w:rPr>
                <w:rFonts w:cs="宋体"/>
                <w:bCs/>
                <w:highlight w:val="none"/>
              </w:rPr>
            </w:pPr>
          </w:p>
        </w:tc>
        <w:tc>
          <w:tcPr>
            <w:tcW w:w="1418" w:type="dxa"/>
            <w:vAlign w:val="center"/>
          </w:tcPr>
          <w:p w14:paraId="2B579E87">
            <w:pPr>
              <w:spacing w:line="440" w:lineRule="exact"/>
              <w:ind w:firstLine="480"/>
              <w:jc w:val="center"/>
              <w:rPr>
                <w:rFonts w:cs="宋体"/>
                <w:bCs/>
                <w:highlight w:val="none"/>
              </w:rPr>
            </w:pPr>
          </w:p>
        </w:tc>
      </w:tr>
      <w:tr w14:paraId="1C47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07B04B63">
            <w:pPr>
              <w:spacing w:line="440" w:lineRule="exact"/>
              <w:ind w:firstLine="0" w:firstLineChars="0"/>
              <w:jc w:val="center"/>
              <w:rPr>
                <w:rFonts w:cs="宋体"/>
                <w:bCs/>
                <w:highlight w:val="none"/>
              </w:rPr>
            </w:pPr>
            <w:r>
              <w:rPr>
                <w:rFonts w:hint="eastAsia" w:cs="宋体"/>
                <w:bCs/>
                <w:highlight w:val="none"/>
              </w:rPr>
              <w:t>4</w:t>
            </w:r>
          </w:p>
        </w:tc>
        <w:tc>
          <w:tcPr>
            <w:tcW w:w="1530" w:type="dxa"/>
            <w:vAlign w:val="center"/>
          </w:tcPr>
          <w:p w14:paraId="0DFF1900">
            <w:pPr>
              <w:spacing w:line="440" w:lineRule="exact"/>
              <w:ind w:firstLine="480"/>
              <w:jc w:val="center"/>
              <w:rPr>
                <w:rFonts w:cs="宋体"/>
                <w:bCs/>
                <w:highlight w:val="none"/>
              </w:rPr>
            </w:pPr>
          </w:p>
        </w:tc>
        <w:tc>
          <w:tcPr>
            <w:tcW w:w="802" w:type="dxa"/>
            <w:vAlign w:val="center"/>
          </w:tcPr>
          <w:p w14:paraId="1519572C">
            <w:pPr>
              <w:spacing w:line="440" w:lineRule="exact"/>
              <w:ind w:firstLine="480"/>
              <w:jc w:val="center"/>
              <w:rPr>
                <w:rFonts w:cs="宋体"/>
                <w:bCs/>
                <w:highlight w:val="none"/>
              </w:rPr>
            </w:pPr>
          </w:p>
        </w:tc>
        <w:tc>
          <w:tcPr>
            <w:tcW w:w="918" w:type="dxa"/>
            <w:vAlign w:val="center"/>
          </w:tcPr>
          <w:p w14:paraId="55686555">
            <w:pPr>
              <w:spacing w:line="440" w:lineRule="exact"/>
              <w:ind w:firstLine="480"/>
              <w:jc w:val="center"/>
              <w:rPr>
                <w:rFonts w:cs="宋体"/>
                <w:bCs/>
                <w:highlight w:val="none"/>
              </w:rPr>
            </w:pPr>
          </w:p>
        </w:tc>
        <w:tc>
          <w:tcPr>
            <w:tcW w:w="1567" w:type="dxa"/>
            <w:vAlign w:val="center"/>
          </w:tcPr>
          <w:p w14:paraId="619F6FFD">
            <w:pPr>
              <w:spacing w:line="440" w:lineRule="exact"/>
              <w:ind w:firstLine="480"/>
              <w:jc w:val="center"/>
              <w:rPr>
                <w:rFonts w:cs="宋体"/>
                <w:bCs/>
                <w:highlight w:val="none"/>
              </w:rPr>
            </w:pPr>
          </w:p>
        </w:tc>
        <w:tc>
          <w:tcPr>
            <w:tcW w:w="1183" w:type="dxa"/>
            <w:vAlign w:val="center"/>
          </w:tcPr>
          <w:p w14:paraId="59C5CAC2">
            <w:pPr>
              <w:spacing w:line="440" w:lineRule="exact"/>
              <w:ind w:firstLine="480"/>
              <w:jc w:val="center"/>
              <w:rPr>
                <w:rFonts w:cs="宋体"/>
                <w:bCs/>
                <w:highlight w:val="none"/>
              </w:rPr>
            </w:pPr>
          </w:p>
        </w:tc>
        <w:tc>
          <w:tcPr>
            <w:tcW w:w="1309" w:type="dxa"/>
            <w:vAlign w:val="center"/>
          </w:tcPr>
          <w:p w14:paraId="14988324">
            <w:pPr>
              <w:spacing w:line="440" w:lineRule="exact"/>
              <w:ind w:firstLine="480"/>
              <w:jc w:val="center"/>
              <w:rPr>
                <w:rFonts w:cs="宋体"/>
                <w:bCs/>
                <w:highlight w:val="none"/>
              </w:rPr>
            </w:pPr>
          </w:p>
        </w:tc>
        <w:tc>
          <w:tcPr>
            <w:tcW w:w="1418" w:type="dxa"/>
            <w:vAlign w:val="center"/>
          </w:tcPr>
          <w:p w14:paraId="290DD892">
            <w:pPr>
              <w:spacing w:line="440" w:lineRule="exact"/>
              <w:ind w:firstLine="480"/>
              <w:jc w:val="center"/>
              <w:rPr>
                <w:rFonts w:cs="宋体"/>
                <w:bCs/>
                <w:highlight w:val="none"/>
              </w:rPr>
            </w:pPr>
          </w:p>
        </w:tc>
      </w:tr>
      <w:tr w14:paraId="214B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412349C3">
            <w:pPr>
              <w:spacing w:line="440" w:lineRule="exact"/>
              <w:ind w:firstLine="0" w:firstLineChars="0"/>
              <w:jc w:val="center"/>
              <w:rPr>
                <w:rFonts w:cs="宋体"/>
                <w:bCs/>
                <w:highlight w:val="none"/>
              </w:rPr>
            </w:pPr>
            <w:r>
              <w:rPr>
                <w:rFonts w:hint="eastAsia" w:cs="宋体"/>
                <w:bCs/>
                <w:highlight w:val="none"/>
              </w:rPr>
              <w:t>5</w:t>
            </w:r>
          </w:p>
        </w:tc>
        <w:tc>
          <w:tcPr>
            <w:tcW w:w="1530" w:type="dxa"/>
            <w:vAlign w:val="center"/>
          </w:tcPr>
          <w:p w14:paraId="4172642F">
            <w:pPr>
              <w:spacing w:line="440" w:lineRule="exact"/>
              <w:ind w:firstLine="480"/>
              <w:jc w:val="center"/>
              <w:rPr>
                <w:rFonts w:cs="宋体"/>
                <w:bCs/>
                <w:highlight w:val="none"/>
              </w:rPr>
            </w:pPr>
          </w:p>
        </w:tc>
        <w:tc>
          <w:tcPr>
            <w:tcW w:w="802" w:type="dxa"/>
            <w:vAlign w:val="center"/>
          </w:tcPr>
          <w:p w14:paraId="3D834F91">
            <w:pPr>
              <w:spacing w:line="440" w:lineRule="exact"/>
              <w:ind w:firstLine="480"/>
              <w:jc w:val="center"/>
              <w:rPr>
                <w:rFonts w:cs="宋体"/>
                <w:bCs/>
                <w:highlight w:val="none"/>
              </w:rPr>
            </w:pPr>
          </w:p>
        </w:tc>
        <w:tc>
          <w:tcPr>
            <w:tcW w:w="918" w:type="dxa"/>
            <w:vAlign w:val="center"/>
          </w:tcPr>
          <w:p w14:paraId="7453141E">
            <w:pPr>
              <w:spacing w:line="440" w:lineRule="exact"/>
              <w:ind w:firstLine="480"/>
              <w:jc w:val="center"/>
              <w:rPr>
                <w:rFonts w:cs="宋体"/>
                <w:bCs/>
                <w:highlight w:val="none"/>
              </w:rPr>
            </w:pPr>
          </w:p>
        </w:tc>
        <w:tc>
          <w:tcPr>
            <w:tcW w:w="1567" w:type="dxa"/>
            <w:vAlign w:val="center"/>
          </w:tcPr>
          <w:p w14:paraId="265164C2">
            <w:pPr>
              <w:spacing w:line="440" w:lineRule="exact"/>
              <w:ind w:firstLine="480"/>
              <w:jc w:val="center"/>
              <w:rPr>
                <w:rFonts w:cs="宋体"/>
                <w:bCs/>
                <w:highlight w:val="none"/>
              </w:rPr>
            </w:pPr>
          </w:p>
        </w:tc>
        <w:tc>
          <w:tcPr>
            <w:tcW w:w="1183" w:type="dxa"/>
            <w:vAlign w:val="center"/>
          </w:tcPr>
          <w:p w14:paraId="5509BF35">
            <w:pPr>
              <w:spacing w:line="440" w:lineRule="exact"/>
              <w:ind w:firstLine="480"/>
              <w:jc w:val="center"/>
              <w:rPr>
                <w:rFonts w:cs="宋体"/>
                <w:bCs/>
                <w:highlight w:val="none"/>
              </w:rPr>
            </w:pPr>
          </w:p>
        </w:tc>
        <w:tc>
          <w:tcPr>
            <w:tcW w:w="1309" w:type="dxa"/>
            <w:vAlign w:val="center"/>
          </w:tcPr>
          <w:p w14:paraId="329A9F91">
            <w:pPr>
              <w:spacing w:line="440" w:lineRule="exact"/>
              <w:ind w:firstLine="480"/>
              <w:jc w:val="center"/>
              <w:rPr>
                <w:rFonts w:cs="宋体"/>
                <w:bCs/>
                <w:highlight w:val="none"/>
              </w:rPr>
            </w:pPr>
          </w:p>
        </w:tc>
        <w:tc>
          <w:tcPr>
            <w:tcW w:w="1418" w:type="dxa"/>
            <w:vAlign w:val="center"/>
          </w:tcPr>
          <w:p w14:paraId="0396B4E9">
            <w:pPr>
              <w:spacing w:line="440" w:lineRule="exact"/>
              <w:ind w:firstLine="480"/>
              <w:jc w:val="center"/>
              <w:rPr>
                <w:rFonts w:cs="宋体"/>
                <w:bCs/>
                <w:highlight w:val="none"/>
              </w:rPr>
            </w:pPr>
          </w:p>
        </w:tc>
      </w:tr>
      <w:tr w14:paraId="21F4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38BD157F">
            <w:pPr>
              <w:spacing w:line="440" w:lineRule="exact"/>
              <w:ind w:firstLine="0" w:firstLineChars="0"/>
              <w:jc w:val="center"/>
              <w:rPr>
                <w:rFonts w:cs="宋体"/>
                <w:bCs/>
                <w:highlight w:val="none"/>
              </w:rPr>
            </w:pPr>
            <w:r>
              <w:rPr>
                <w:rFonts w:hint="eastAsia" w:cs="宋体"/>
                <w:bCs/>
                <w:highlight w:val="none"/>
              </w:rPr>
              <w:t>……</w:t>
            </w:r>
          </w:p>
        </w:tc>
        <w:tc>
          <w:tcPr>
            <w:tcW w:w="1530" w:type="dxa"/>
            <w:vAlign w:val="center"/>
          </w:tcPr>
          <w:p w14:paraId="380AF1E3">
            <w:pPr>
              <w:spacing w:line="440" w:lineRule="exact"/>
              <w:ind w:firstLine="480"/>
              <w:jc w:val="center"/>
              <w:rPr>
                <w:rFonts w:cs="宋体"/>
                <w:bCs/>
                <w:highlight w:val="none"/>
              </w:rPr>
            </w:pPr>
          </w:p>
        </w:tc>
        <w:tc>
          <w:tcPr>
            <w:tcW w:w="802" w:type="dxa"/>
            <w:vAlign w:val="center"/>
          </w:tcPr>
          <w:p w14:paraId="78E715AF">
            <w:pPr>
              <w:spacing w:line="440" w:lineRule="exact"/>
              <w:ind w:firstLine="480"/>
              <w:jc w:val="center"/>
              <w:rPr>
                <w:rFonts w:cs="宋体"/>
                <w:bCs/>
                <w:highlight w:val="none"/>
              </w:rPr>
            </w:pPr>
          </w:p>
        </w:tc>
        <w:tc>
          <w:tcPr>
            <w:tcW w:w="918" w:type="dxa"/>
            <w:vAlign w:val="center"/>
          </w:tcPr>
          <w:p w14:paraId="1B0F6C3F">
            <w:pPr>
              <w:spacing w:line="440" w:lineRule="exact"/>
              <w:ind w:firstLine="480"/>
              <w:jc w:val="center"/>
              <w:rPr>
                <w:rFonts w:cs="宋体"/>
                <w:bCs/>
                <w:highlight w:val="none"/>
              </w:rPr>
            </w:pPr>
          </w:p>
        </w:tc>
        <w:tc>
          <w:tcPr>
            <w:tcW w:w="1567" w:type="dxa"/>
            <w:vAlign w:val="center"/>
          </w:tcPr>
          <w:p w14:paraId="1B39E329">
            <w:pPr>
              <w:spacing w:line="440" w:lineRule="exact"/>
              <w:ind w:firstLine="480"/>
              <w:jc w:val="center"/>
              <w:rPr>
                <w:rFonts w:cs="宋体"/>
                <w:bCs/>
                <w:highlight w:val="none"/>
              </w:rPr>
            </w:pPr>
          </w:p>
        </w:tc>
        <w:tc>
          <w:tcPr>
            <w:tcW w:w="1183" w:type="dxa"/>
            <w:vAlign w:val="center"/>
          </w:tcPr>
          <w:p w14:paraId="7AB51563">
            <w:pPr>
              <w:spacing w:line="440" w:lineRule="exact"/>
              <w:ind w:firstLine="480"/>
              <w:jc w:val="center"/>
              <w:rPr>
                <w:rFonts w:cs="宋体"/>
                <w:bCs/>
                <w:highlight w:val="none"/>
              </w:rPr>
            </w:pPr>
          </w:p>
        </w:tc>
        <w:tc>
          <w:tcPr>
            <w:tcW w:w="1309" w:type="dxa"/>
            <w:vAlign w:val="center"/>
          </w:tcPr>
          <w:p w14:paraId="43F23F87">
            <w:pPr>
              <w:spacing w:line="440" w:lineRule="exact"/>
              <w:ind w:firstLine="480"/>
              <w:jc w:val="center"/>
              <w:rPr>
                <w:rFonts w:cs="宋体"/>
                <w:bCs/>
                <w:highlight w:val="none"/>
              </w:rPr>
            </w:pPr>
          </w:p>
        </w:tc>
        <w:tc>
          <w:tcPr>
            <w:tcW w:w="1418" w:type="dxa"/>
            <w:vAlign w:val="center"/>
          </w:tcPr>
          <w:p w14:paraId="5D477D44">
            <w:pPr>
              <w:spacing w:line="440" w:lineRule="exact"/>
              <w:ind w:firstLine="480"/>
              <w:jc w:val="center"/>
              <w:rPr>
                <w:rFonts w:cs="宋体"/>
                <w:bCs/>
                <w:highlight w:val="none"/>
              </w:rPr>
            </w:pPr>
          </w:p>
        </w:tc>
      </w:tr>
      <w:tr w14:paraId="51B2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4727665B">
            <w:pPr>
              <w:spacing w:line="440" w:lineRule="exact"/>
              <w:ind w:firstLine="0" w:firstLineChars="0"/>
              <w:jc w:val="left"/>
              <w:rPr>
                <w:rFonts w:cs="宋体"/>
                <w:bCs/>
                <w:highlight w:val="none"/>
              </w:rPr>
            </w:pPr>
            <w:r>
              <w:rPr>
                <w:rFonts w:hint="eastAsia" w:cs="宋体"/>
                <w:bCs/>
                <w:highlight w:val="none"/>
              </w:rPr>
              <w:t>总报价：（大写）</w:t>
            </w:r>
            <w:r>
              <w:rPr>
                <w:rFonts w:hint="eastAsia" w:cs="宋体"/>
                <w:bCs/>
                <w:highlight w:val="none"/>
                <w:u w:val="single"/>
              </w:rPr>
              <w:t xml:space="preserve">       </w:t>
            </w:r>
            <w:r>
              <w:rPr>
                <w:rFonts w:hint="eastAsia" w:cs="宋体"/>
                <w:bCs/>
                <w:highlight w:val="none"/>
              </w:rPr>
              <w:t>元；（小写）：</w:t>
            </w:r>
            <w:r>
              <w:rPr>
                <w:rFonts w:hint="eastAsia" w:cs="宋体"/>
                <w:bCs/>
                <w:highlight w:val="none"/>
                <w:u w:val="single"/>
              </w:rPr>
              <w:t xml:space="preserve">       </w:t>
            </w:r>
            <w:r>
              <w:rPr>
                <w:rFonts w:hint="eastAsia" w:cs="宋体"/>
                <w:bCs/>
                <w:highlight w:val="none"/>
              </w:rPr>
              <w:t>元</w:t>
            </w:r>
          </w:p>
        </w:tc>
      </w:tr>
    </w:tbl>
    <w:p w14:paraId="7B48CC03">
      <w:pPr>
        <w:ind w:firstLine="480"/>
        <w:jc w:val="left"/>
        <w:rPr>
          <w:highlight w:val="none"/>
        </w:rPr>
      </w:pPr>
    </w:p>
    <w:p w14:paraId="02567576">
      <w:pPr>
        <w:tabs>
          <w:tab w:val="left" w:pos="524"/>
        </w:tabs>
        <w:ind w:firstLine="0" w:firstLineChars="0"/>
        <w:jc w:val="left"/>
        <w:rPr>
          <w:highlight w:val="none"/>
        </w:rPr>
      </w:pPr>
      <w:r>
        <w:rPr>
          <w:rFonts w:hint="eastAsia"/>
          <w:b/>
          <w:bCs/>
          <w:highlight w:val="none"/>
        </w:rPr>
        <w:t>标项二：</w:t>
      </w:r>
      <w:r>
        <w:rPr>
          <w:rFonts w:hint="eastAsia" w:cs="宋体"/>
          <w:b/>
          <w:highlight w:val="none"/>
        </w:rPr>
        <w:t>图书馆功能服务区家具</w:t>
      </w:r>
      <w:r>
        <w:rPr>
          <w:rFonts w:hint="eastAsia"/>
          <w:highlight w:val="none"/>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055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436FBF8C">
            <w:pPr>
              <w:spacing w:line="340" w:lineRule="exact"/>
              <w:ind w:firstLine="0" w:firstLineChars="0"/>
              <w:jc w:val="center"/>
              <w:rPr>
                <w:rFonts w:cs="宋体"/>
                <w:bCs/>
                <w:highlight w:val="none"/>
              </w:rPr>
            </w:pPr>
            <w:r>
              <w:rPr>
                <w:rFonts w:hint="eastAsia" w:cs="宋体"/>
                <w:highlight w:val="none"/>
              </w:rPr>
              <w:t>序号</w:t>
            </w:r>
          </w:p>
        </w:tc>
        <w:tc>
          <w:tcPr>
            <w:tcW w:w="1530" w:type="dxa"/>
            <w:vAlign w:val="center"/>
          </w:tcPr>
          <w:p w14:paraId="6959A58A">
            <w:pPr>
              <w:spacing w:line="340" w:lineRule="exact"/>
              <w:ind w:firstLine="0" w:firstLineChars="0"/>
              <w:jc w:val="center"/>
              <w:rPr>
                <w:rFonts w:cs="宋体"/>
                <w:bCs/>
                <w:highlight w:val="none"/>
              </w:rPr>
            </w:pPr>
            <w:r>
              <w:rPr>
                <w:rFonts w:hint="eastAsia" w:cs="宋体"/>
                <w:bCs/>
                <w:highlight w:val="none"/>
              </w:rPr>
              <w:t>设备名称</w:t>
            </w:r>
          </w:p>
        </w:tc>
        <w:tc>
          <w:tcPr>
            <w:tcW w:w="802" w:type="dxa"/>
            <w:vAlign w:val="center"/>
          </w:tcPr>
          <w:p w14:paraId="6712FECD">
            <w:pPr>
              <w:spacing w:line="340" w:lineRule="exact"/>
              <w:ind w:firstLine="0" w:firstLineChars="0"/>
              <w:jc w:val="center"/>
              <w:rPr>
                <w:rFonts w:cs="宋体"/>
                <w:bCs/>
                <w:highlight w:val="none"/>
              </w:rPr>
            </w:pPr>
            <w:r>
              <w:rPr>
                <w:rFonts w:hint="eastAsia" w:cs="宋体"/>
                <w:bCs/>
                <w:highlight w:val="none"/>
              </w:rPr>
              <w:t>单位</w:t>
            </w:r>
          </w:p>
        </w:tc>
        <w:tc>
          <w:tcPr>
            <w:tcW w:w="918" w:type="dxa"/>
            <w:vAlign w:val="center"/>
          </w:tcPr>
          <w:p w14:paraId="7C69A3B4">
            <w:pPr>
              <w:spacing w:line="340" w:lineRule="exact"/>
              <w:ind w:firstLine="0" w:firstLineChars="0"/>
              <w:jc w:val="center"/>
              <w:rPr>
                <w:rFonts w:cs="宋体"/>
                <w:bCs/>
                <w:highlight w:val="none"/>
              </w:rPr>
            </w:pPr>
            <w:r>
              <w:rPr>
                <w:rFonts w:hint="eastAsia" w:cs="宋体"/>
                <w:bCs/>
                <w:highlight w:val="none"/>
              </w:rPr>
              <w:t>数量</w:t>
            </w:r>
          </w:p>
        </w:tc>
        <w:tc>
          <w:tcPr>
            <w:tcW w:w="1567" w:type="dxa"/>
            <w:vAlign w:val="center"/>
          </w:tcPr>
          <w:p w14:paraId="09C5EC6A">
            <w:pPr>
              <w:spacing w:line="340" w:lineRule="exact"/>
              <w:ind w:firstLine="0" w:firstLineChars="0"/>
              <w:jc w:val="center"/>
              <w:rPr>
                <w:rFonts w:cs="宋体"/>
                <w:bCs/>
                <w:highlight w:val="none"/>
              </w:rPr>
            </w:pPr>
            <w:r>
              <w:rPr>
                <w:rFonts w:hint="eastAsia" w:cs="宋体"/>
                <w:bCs/>
                <w:highlight w:val="none"/>
              </w:rPr>
              <w:t>技术参数</w:t>
            </w:r>
          </w:p>
        </w:tc>
        <w:tc>
          <w:tcPr>
            <w:tcW w:w="1183" w:type="dxa"/>
            <w:vAlign w:val="center"/>
          </w:tcPr>
          <w:p w14:paraId="482E69DC">
            <w:pPr>
              <w:spacing w:line="340" w:lineRule="exact"/>
              <w:ind w:firstLine="0" w:firstLineChars="0"/>
              <w:jc w:val="center"/>
              <w:rPr>
                <w:rFonts w:cs="宋体"/>
                <w:bCs/>
                <w:highlight w:val="none"/>
              </w:rPr>
            </w:pPr>
            <w:r>
              <w:rPr>
                <w:rFonts w:hint="eastAsia" w:cs="宋体"/>
                <w:bCs/>
                <w:highlight w:val="none"/>
              </w:rPr>
              <w:t>品牌</w:t>
            </w:r>
          </w:p>
        </w:tc>
        <w:tc>
          <w:tcPr>
            <w:tcW w:w="1309" w:type="dxa"/>
            <w:vAlign w:val="center"/>
          </w:tcPr>
          <w:p w14:paraId="4170DDE1">
            <w:pPr>
              <w:spacing w:line="340" w:lineRule="exact"/>
              <w:ind w:firstLine="0" w:firstLineChars="0"/>
              <w:jc w:val="center"/>
              <w:rPr>
                <w:rFonts w:cs="宋体"/>
                <w:bCs/>
                <w:highlight w:val="none"/>
              </w:rPr>
            </w:pPr>
            <w:r>
              <w:rPr>
                <w:rFonts w:hint="eastAsia" w:cs="宋体"/>
                <w:bCs/>
                <w:highlight w:val="none"/>
              </w:rPr>
              <w:t>单价（元）</w:t>
            </w:r>
          </w:p>
        </w:tc>
        <w:tc>
          <w:tcPr>
            <w:tcW w:w="1418" w:type="dxa"/>
            <w:vAlign w:val="center"/>
          </w:tcPr>
          <w:p w14:paraId="37BA7E6A">
            <w:pPr>
              <w:spacing w:line="340" w:lineRule="exact"/>
              <w:ind w:firstLine="0" w:firstLineChars="0"/>
              <w:jc w:val="center"/>
              <w:rPr>
                <w:rFonts w:cs="宋体"/>
                <w:bCs/>
                <w:highlight w:val="none"/>
              </w:rPr>
            </w:pPr>
            <w:r>
              <w:rPr>
                <w:rFonts w:hint="eastAsia" w:cs="宋体"/>
                <w:bCs/>
                <w:highlight w:val="none"/>
              </w:rPr>
              <w:t>合计（元）</w:t>
            </w:r>
          </w:p>
        </w:tc>
      </w:tr>
      <w:tr w14:paraId="0266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1B86FC0E">
            <w:pPr>
              <w:spacing w:line="440" w:lineRule="exact"/>
              <w:ind w:firstLine="0" w:firstLineChars="0"/>
              <w:jc w:val="center"/>
              <w:rPr>
                <w:rFonts w:cs="宋体"/>
                <w:bCs/>
                <w:highlight w:val="none"/>
              </w:rPr>
            </w:pPr>
            <w:r>
              <w:rPr>
                <w:rFonts w:hint="eastAsia" w:cs="宋体"/>
                <w:bCs/>
                <w:highlight w:val="none"/>
              </w:rPr>
              <w:t>1</w:t>
            </w:r>
          </w:p>
        </w:tc>
        <w:tc>
          <w:tcPr>
            <w:tcW w:w="1530" w:type="dxa"/>
            <w:vAlign w:val="center"/>
          </w:tcPr>
          <w:p w14:paraId="528F60C3">
            <w:pPr>
              <w:widowControl/>
              <w:spacing w:line="440" w:lineRule="exact"/>
              <w:ind w:firstLine="480"/>
              <w:jc w:val="center"/>
              <w:rPr>
                <w:rFonts w:cs="宋体"/>
                <w:kern w:val="0"/>
                <w:highlight w:val="none"/>
              </w:rPr>
            </w:pPr>
          </w:p>
        </w:tc>
        <w:tc>
          <w:tcPr>
            <w:tcW w:w="802" w:type="dxa"/>
            <w:vAlign w:val="center"/>
          </w:tcPr>
          <w:p w14:paraId="4A7823F7">
            <w:pPr>
              <w:spacing w:line="440" w:lineRule="exact"/>
              <w:ind w:firstLine="480"/>
              <w:jc w:val="center"/>
              <w:rPr>
                <w:rFonts w:cs="宋体"/>
                <w:bCs/>
                <w:highlight w:val="none"/>
              </w:rPr>
            </w:pPr>
          </w:p>
        </w:tc>
        <w:tc>
          <w:tcPr>
            <w:tcW w:w="918" w:type="dxa"/>
            <w:vAlign w:val="center"/>
          </w:tcPr>
          <w:p w14:paraId="61066563">
            <w:pPr>
              <w:spacing w:line="440" w:lineRule="exact"/>
              <w:ind w:firstLine="480"/>
              <w:jc w:val="center"/>
              <w:rPr>
                <w:rFonts w:cs="宋体"/>
                <w:bCs/>
                <w:highlight w:val="none"/>
              </w:rPr>
            </w:pPr>
          </w:p>
        </w:tc>
        <w:tc>
          <w:tcPr>
            <w:tcW w:w="1567" w:type="dxa"/>
            <w:vAlign w:val="center"/>
          </w:tcPr>
          <w:p w14:paraId="2BC3D54D">
            <w:pPr>
              <w:spacing w:line="440" w:lineRule="exact"/>
              <w:ind w:firstLine="480"/>
              <w:jc w:val="center"/>
              <w:rPr>
                <w:rFonts w:cs="宋体"/>
                <w:bCs/>
                <w:highlight w:val="none"/>
              </w:rPr>
            </w:pPr>
          </w:p>
        </w:tc>
        <w:tc>
          <w:tcPr>
            <w:tcW w:w="1183" w:type="dxa"/>
            <w:vAlign w:val="center"/>
          </w:tcPr>
          <w:p w14:paraId="6271CA23">
            <w:pPr>
              <w:spacing w:line="440" w:lineRule="exact"/>
              <w:ind w:firstLine="480"/>
              <w:jc w:val="center"/>
              <w:rPr>
                <w:rFonts w:cs="宋体"/>
                <w:bCs/>
                <w:highlight w:val="none"/>
              </w:rPr>
            </w:pPr>
          </w:p>
        </w:tc>
        <w:tc>
          <w:tcPr>
            <w:tcW w:w="1309" w:type="dxa"/>
            <w:vAlign w:val="center"/>
          </w:tcPr>
          <w:p w14:paraId="25432143">
            <w:pPr>
              <w:spacing w:line="440" w:lineRule="exact"/>
              <w:ind w:firstLine="480"/>
              <w:jc w:val="center"/>
              <w:rPr>
                <w:rFonts w:cs="宋体"/>
                <w:bCs/>
                <w:highlight w:val="none"/>
              </w:rPr>
            </w:pPr>
          </w:p>
        </w:tc>
        <w:tc>
          <w:tcPr>
            <w:tcW w:w="1418" w:type="dxa"/>
            <w:vAlign w:val="center"/>
          </w:tcPr>
          <w:p w14:paraId="0EE6A2D9">
            <w:pPr>
              <w:spacing w:line="440" w:lineRule="exact"/>
              <w:ind w:firstLine="480"/>
              <w:jc w:val="center"/>
              <w:rPr>
                <w:rFonts w:cs="宋体"/>
                <w:bCs/>
                <w:highlight w:val="none"/>
              </w:rPr>
            </w:pPr>
          </w:p>
        </w:tc>
      </w:tr>
      <w:tr w14:paraId="6807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02428EB6">
            <w:pPr>
              <w:spacing w:line="440" w:lineRule="exact"/>
              <w:ind w:firstLine="0" w:firstLineChars="0"/>
              <w:jc w:val="center"/>
              <w:rPr>
                <w:rFonts w:cs="宋体"/>
                <w:bCs/>
                <w:highlight w:val="none"/>
              </w:rPr>
            </w:pPr>
            <w:r>
              <w:rPr>
                <w:rFonts w:hint="eastAsia" w:cs="宋体"/>
                <w:bCs/>
                <w:highlight w:val="none"/>
              </w:rPr>
              <w:t>2</w:t>
            </w:r>
          </w:p>
        </w:tc>
        <w:tc>
          <w:tcPr>
            <w:tcW w:w="1530" w:type="dxa"/>
            <w:vAlign w:val="center"/>
          </w:tcPr>
          <w:p w14:paraId="5C4ACC8F">
            <w:pPr>
              <w:widowControl/>
              <w:spacing w:line="440" w:lineRule="exact"/>
              <w:ind w:firstLine="480"/>
              <w:jc w:val="center"/>
              <w:rPr>
                <w:rFonts w:cs="宋体"/>
                <w:kern w:val="0"/>
                <w:highlight w:val="none"/>
              </w:rPr>
            </w:pPr>
          </w:p>
        </w:tc>
        <w:tc>
          <w:tcPr>
            <w:tcW w:w="802" w:type="dxa"/>
            <w:vAlign w:val="center"/>
          </w:tcPr>
          <w:p w14:paraId="4561DC07">
            <w:pPr>
              <w:spacing w:line="440" w:lineRule="exact"/>
              <w:ind w:firstLine="480"/>
              <w:jc w:val="center"/>
              <w:rPr>
                <w:rFonts w:cs="宋体"/>
                <w:bCs/>
                <w:highlight w:val="none"/>
              </w:rPr>
            </w:pPr>
          </w:p>
        </w:tc>
        <w:tc>
          <w:tcPr>
            <w:tcW w:w="918" w:type="dxa"/>
            <w:vAlign w:val="center"/>
          </w:tcPr>
          <w:p w14:paraId="3238B99D">
            <w:pPr>
              <w:spacing w:line="440" w:lineRule="exact"/>
              <w:ind w:firstLine="480"/>
              <w:jc w:val="center"/>
              <w:rPr>
                <w:rFonts w:cs="宋体"/>
                <w:bCs/>
                <w:highlight w:val="none"/>
              </w:rPr>
            </w:pPr>
          </w:p>
        </w:tc>
        <w:tc>
          <w:tcPr>
            <w:tcW w:w="1567" w:type="dxa"/>
            <w:vAlign w:val="center"/>
          </w:tcPr>
          <w:p w14:paraId="5E85CD32">
            <w:pPr>
              <w:spacing w:line="440" w:lineRule="exact"/>
              <w:ind w:firstLine="480"/>
              <w:jc w:val="center"/>
              <w:rPr>
                <w:rFonts w:cs="宋体"/>
                <w:bCs/>
                <w:highlight w:val="none"/>
              </w:rPr>
            </w:pPr>
          </w:p>
        </w:tc>
        <w:tc>
          <w:tcPr>
            <w:tcW w:w="1183" w:type="dxa"/>
            <w:vAlign w:val="center"/>
          </w:tcPr>
          <w:p w14:paraId="5D548013">
            <w:pPr>
              <w:spacing w:line="440" w:lineRule="exact"/>
              <w:ind w:firstLine="480"/>
              <w:jc w:val="center"/>
              <w:rPr>
                <w:rFonts w:cs="宋体"/>
                <w:bCs/>
                <w:highlight w:val="none"/>
              </w:rPr>
            </w:pPr>
          </w:p>
        </w:tc>
        <w:tc>
          <w:tcPr>
            <w:tcW w:w="1309" w:type="dxa"/>
            <w:vAlign w:val="center"/>
          </w:tcPr>
          <w:p w14:paraId="20430638">
            <w:pPr>
              <w:spacing w:line="440" w:lineRule="exact"/>
              <w:ind w:firstLine="480"/>
              <w:jc w:val="center"/>
              <w:rPr>
                <w:rFonts w:cs="宋体"/>
                <w:bCs/>
                <w:highlight w:val="none"/>
              </w:rPr>
            </w:pPr>
          </w:p>
        </w:tc>
        <w:tc>
          <w:tcPr>
            <w:tcW w:w="1418" w:type="dxa"/>
            <w:vAlign w:val="center"/>
          </w:tcPr>
          <w:p w14:paraId="2D37F5C1">
            <w:pPr>
              <w:spacing w:line="440" w:lineRule="exact"/>
              <w:ind w:firstLine="480"/>
              <w:jc w:val="center"/>
              <w:rPr>
                <w:rFonts w:cs="宋体"/>
                <w:bCs/>
                <w:highlight w:val="none"/>
              </w:rPr>
            </w:pPr>
          </w:p>
        </w:tc>
      </w:tr>
      <w:tr w14:paraId="6294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6910B6D7">
            <w:pPr>
              <w:spacing w:line="440" w:lineRule="exact"/>
              <w:ind w:firstLine="0" w:firstLineChars="0"/>
              <w:jc w:val="center"/>
              <w:rPr>
                <w:rFonts w:cs="宋体"/>
                <w:bCs/>
                <w:highlight w:val="none"/>
              </w:rPr>
            </w:pPr>
            <w:r>
              <w:rPr>
                <w:rFonts w:hint="eastAsia" w:cs="宋体"/>
                <w:bCs/>
                <w:highlight w:val="none"/>
              </w:rPr>
              <w:t>3</w:t>
            </w:r>
          </w:p>
        </w:tc>
        <w:tc>
          <w:tcPr>
            <w:tcW w:w="1530" w:type="dxa"/>
            <w:vAlign w:val="center"/>
          </w:tcPr>
          <w:p w14:paraId="22603DA8">
            <w:pPr>
              <w:spacing w:line="440" w:lineRule="exact"/>
              <w:ind w:firstLine="480"/>
              <w:jc w:val="center"/>
              <w:rPr>
                <w:rFonts w:cs="宋体"/>
                <w:bCs/>
                <w:highlight w:val="none"/>
              </w:rPr>
            </w:pPr>
          </w:p>
        </w:tc>
        <w:tc>
          <w:tcPr>
            <w:tcW w:w="802" w:type="dxa"/>
            <w:vAlign w:val="center"/>
          </w:tcPr>
          <w:p w14:paraId="0979A5A6">
            <w:pPr>
              <w:spacing w:line="440" w:lineRule="exact"/>
              <w:ind w:firstLine="480"/>
              <w:jc w:val="center"/>
              <w:rPr>
                <w:rFonts w:cs="宋体"/>
                <w:bCs/>
                <w:highlight w:val="none"/>
              </w:rPr>
            </w:pPr>
          </w:p>
        </w:tc>
        <w:tc>
          <w:tcPr>
            <w:tcW w:w="918" w:type="dxa"/>
            <w:vAlign w:val="center"/>
          </w:tcPr>
          <w:p w14:paraId="66426C61">
            <w:pPr>
              <w:spacing w:line="440" w:lineRule="exact"/>
              <w:ind w:firstLine="480"/>
              <w:jc w:val="center"/>
              <w:rPr>
                <w:rFonts w:cs="宋体"/>
                <w:bCs/>
                <w:highlight w:val="none"/>
              </w:rPr>
            </w:pPr>
          </w:p>
        </w:tc>
        <w:tc>
          <w:tcPr>
            <w:tcW w:w="1567" w:type="dxa"/>
            <w:vAlign w:val="center"/>
          </w:tcPr>
          <w:p w14:paraId="2320A8D9">
            <w:pPr>
              <w:spacing w:line="440" w:lineRule="exact"/>
              <w:ind w:firstLine="480"/>
              <w:jc w:val="center"/>
              <w:rPr>
                <w:rFonts w:cs="宋体"/>
                <w:bCs/>
                <w:highlight w:val="none"/>
              </w:rPr>
            </w:pPr>
          </w:p>
        </w:tc>
        <w:tc>
          <w:tcPr>
            <w:tcW w:w="1183" w:type="dxa"/>
            <w:vAlign w:val="center"/>
          </w:tcPr>
          <w:p w14:paraId="1F9B7F72">
            <w:pPr>
              <w:spacing w:line="440" w:lineRule="exact"/>
              <w:ind w:firstLine="480"/>
              <w:jc w:val="center"/>
              <w:rPr>
                <w:rFonts w:cs="宋体"/>
                <w:bCs/>
                <w:highlight w:val="none"/>
              </w:rPr>
            </w:pPr>
          </w:p>
        </w:tc>
        <w:tc>
          <w:tcPr>
            <w:tcW w:w="1309" w:type="dxa"/>
            <w:vAlign w:val="center"/>
          </w:tcPr>
          <w:p w14:paraId="7EF849EF">
            <w:pPr>
              <w:spacing w:line="440" w:lineRule="exact"/>
              <w:ind w:firstLine="480"/>
              <w:jc w:val="center"/>
              <w:rPr>
                <w:rFonts w:cs="宋体"/>
                <w:bCs/>
                <w:highlight w:val="none"/>
              </w:rPr>
            </w:pPr>
          </w:p>
        </w:tc>
        <w:tc>
          <w:tcPr>
            <w:tcW w:w="1418" w:type="dxa"/>
            <w:vAlign w:val="center"/>
          </w:tcPr>
          <w:p w14:paraId="041BDBB7">
            <w:pPr>
              <w:spacing w:line="440" w:lineRule="exact"/>
              <w:ind w:firstLine="480"/>
              <w:jc w:val="center"/>
              <w:rPr>
                <w:rFonts w:cs="宋体"/>
                <w:bCs/>
                <w:highlight w:val="none"/>
              </w:rPr>
            </w:pPr>
          </w:p>
        </w:tc>
      </w:tr>
      <w:tr w14:paraId="18F2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784CA6E8">
            <w:pPr>
              <w:spacing w:line="440" w:lineRule="exact"/>
              <w:ind w:firstLine="0" w:firstLineChars="0"/>
              <w:jc w:val="center"/>
              <w:rPr>
                <w:rFonts w:cs="宋体"/>
                <w:bCs/>
                <w:highlight w:val="none"/>
              </w:rPr>
            </w:pPr>
            <w:r>
              <w:rPr>
                <w:rFonts w:hint="eastAsia" w:cs="宋体"/>
                <w:bCs/>
                <w:highlight w:val="none"/>
              </w:rPr>
              <w:t>4</w:t>
            </w:r>
          </w:p>
        </w:tc>
        <w:tc>
          <w:tcPr>
            <w:tcW w:w="1530" w:type="dxa"/>
            <w:vAlign w:val="center"/>
          </w:tcPr>
          <w:p w14:paraId="5D6F62F1">
            <w:pPr>
              <w:spacing w:line="440" w:lineRule="exact"/>
              <w:ind w:firstLine="480"/>
              <w:jc w:val="center"/>
              <w:rPr>
                <w:rFonts w:cs="宋体"/>
                <w:bCs/>
                <w:highlight w:val="none"/>
              </w:rPr>
            </w:pPr>
          </w:p>
        </w:tc>
        <w:tc>
          <w:tcPr>
            <w:tcW w:w="802" w:type="dxa"/>
            <w:vAlign w:val="center"/>
          </w:tcPr>
          <w:p w14:paraId="4AE28F89">
            <w:pPr>
              <w:spacing w:line="440" w:lineRule="exact"/>
              <w:ind w:firstLine="480"/>
              <w:jc w:val="center"/>
              <w:rPr>
                <w:rFonts w:cs="宋体"/>
                <w:bCs/>
                <w:highlight w:val="none"/>
              </w:rPr>
            </w:pPr>
          </w:p>
        </w:tc>
        <w:tc>
          <w:tcPr>
            <w:tcW w:w="918" w:type="dxa"/>
            <w:vAlign w:val="center"/>
          </w:tcPr>
          <w:p w14:paraId="15A269B6">
            <w:pPr>
              <w:spacing w:line="440" w:lineRule="exact"/>
              <w:ind w:firstLine="480"/>
              <w:jc w:val="center"/>
              <w:rPr>
                <w:rFonts w:cs="宋体"/>
                <w:bCs/>
                <w:highlight w:val="none"/>
              </w:rPr>
            </w:pPr>
          </w:p>
        </w:tc>
        <w:tc>
          <w:tcPr>
            <w:tcW w:w="1567" w:type="dxa"/>
            <w:vAlign w:val="center"/>
          </w:tcPr>
          <w:p w14:paraId="6E91C5A3">
            <w:pPr>
              <w:spacing w:line="440" w:lineRule="exact"/>
              <w:ind w:firstLine="480"/>
              <w:jc w:val="center"/>
              <w:rPr>
                <w:rFonts w:cs="宋体"/>
                <w:bCs/>
                <w:highlight w:val="none"/>
              </w:rPr>
            </w:pPr>
          </w:p>
        </w:tc>
        <w:tc>
          <w:tcPr>
            <w:tcW w:w="1183" w:type="dxa"/>
            <w:vAlign w:val="center"/>
          </w:tcPr>
          <w:p w14:paraId="296EA915">
            <w:pPr>
              <w:spacing w:line="440" w:lineRule="exact"/>
              <w:ind w:firstLine="480"/>
              <w:jc w:val="center"/>
              <w:rPr>
                <w:rFonts w:cs="宋体"/>
                <w:bCs/>
                <w:highlight w:val="none"/>
              </w:rPr>
            </w:pPr>
          </w:p>
        </w:tc>
        <w:tc>
          <w:tcPr>
            <w:tcW w:w="1309" w:type="dxa"/>
            <w:vAlign w:val="center"/>
          </w:tcPr>
          <w:p w14:paraId="303DC28E">
            <w:pPr>
              <w:spacing w:line="440" w:lineRule="exact"/>
              <w:ind w:firstLine="480"/>
              <w:jc w:val="center"/>
              <w:rPr>
                <w:rFonts w:cs="宋体"/>
                <w:bCs/>
                <w:highlight w:val="none"/>
              </w:rPr>
            </w:pPr>
          </w:p>
        </w:tc>
        <w:tc>
          <w:tcPr>
            <w:tcW w:w="1418" w:type="dxa"/>
            <w:vAlign w:val="center"/>
          </w:tcPr>
          <w:p w14:paraId="62BF123B">
            <w:pPr>
              <w:spacing w:line="440" w:lineRule="exact"/>
              <w:ind w:firstLine="480"/>
              <w:jc w:val="center"/>
              <w:rPr>
                <w:rFonts w:cs="宋体"/>
                <w:bCs/>
                <w:highlight w:val="none"/>
              </w:rPr>
            </w:pPr>
          </w:p>
        </w:tc>
      </w:tr>
      <w:tr w14:paraId="4564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34C815EA">
            <w:pPr>
              <w:spacing w:line="440" w:lineRule="exact"/>
              <w:ind w:firstLine="0" w:firstLineChars="0"/>
              <w:jc w:val="center"/>
              <w:rPr>
                <w:rFonts w:cs="宋体"/>
                <w:bCs/>
                <w:highlight w:val="none"/>
              </w:rPr>
            </w:pPr>
            <w:r>
              <w:rPr>
                <w:rFonts w:hint="eastAsia" w:cs="宋体"/>
                <w:bCs/>
                <w:highlight w:val="none"/>
              </w:rPr>
              <w:t>5</w:t>
            </w:r>
          </w:p>
        </w:tc>
        <w:tc>
          <w:tcPr>
            <w:tcW w:w="1530" w:type="dxa"/>
            <w:vAlign w:val="center"/>
          </w:tcPr>
          <w:p w14:paraId="07120E00">
            <w:pPr>
              <w:spacing w:line="440" w:lineRule="exact"/>
              <w:ind w:firstLine="480"/>
              <w:jc w:val="center"/>
              <w:rPr>
                <w:rFonts w:cs="宋体"/>
                <w:bCs/>
                <w:highlight w:val="none"/>
              </w:rPr>
            </w:pPr>
          </w:p>
        </w:tc>
        <w:tc>
          <w:tcPr>
            <w:tcW w:w="802" w:type="dxa"/>
            <w:vAlign w:val="center"/>
          </w:tcPr>
          <w:p w14:paraId="2A869068">
            <w:pPr>
              <w:spacing w:line="440" w:lineRule="exact"/>
              <w:ind w:firstLine="480"/>
              <w:jc w:val="center"/>
              <w:rPr>
                <w:rFonts w:cs="宋体"/>
                <w:bCs/>
                <w:highlight w:val="none"/>
              </w:rPr>
            </w:pPr>
          </w:p>
        </w:tc>
        <w:tc>
          <w:tcPr>
            <w:tcW w:w="918" w:type="dxa"/>
            <w:vAlign w:val="center"/>
          </w:tcPr>
          <w:p w14:paraId="76759223">
            <w:pPr>
              <w:spacing w:line="440" w:lineRule="exact"/>
              <w:ind w:firstLine="480"/>
              <w:jc w:val="center"/>
              <w:rPr>
                <w:rFonts w:cs="宋体"/>
                <w:bCs/>
                <w:highlight w:val="none"/>
              </w:rPr>
            </w:pPr>
          </w:p>
        </w:tc>
        <w:tc>
          <w:tcPr>
            <w:tcW w:w="1567" w:type="dxa"/>
            <w:vAlign w:val="center"/>
          </w:tcPr>
          <w:p w14:paraId="71F10572">
            <w:pPr>
              <w:spacing w:line="440" w:lineRule="exact"/>
              <w:ind w:firstLine="480"/>
              <w:jc w:val="center"/>
              <w:rPr>
                <w:rFonts w:cs="宋体"/>
                <w:bCs/>
                <w:highlight w:val="none"/>
              </w:rPr>
            </w:pPr>
          </w:p>
        </w:tc>
        <w:tc>
          <w:tcPr>
            <w:tcW w:w="1183" w:type="dxa"/>
            <w:vAlign w:val="center"/>
          </w:tcPr>
          <w:p w14:paraId="57265FFD">
            <w:pPr>
              <w:spacing w:line="440" w:lineRule="exact"/>
              <w:ind w:firstLine="480"/>
              <w:jc w:val="center"/>
              <w:rPr>
                <w:rFonts w:cs="宋体"/>
                <w:bCs/>
                <w:highlight w:val="none"/>
              </w:rPr>
            </w:pPr>
          </w:p>
        </w:tc>
        <w:tc>
          <w:tcPr>
            <w:tcW w:w="1309" w:type="dxa"/>
            <w:vAlign w:val="center"/>
          </w:tcPr>
          <w:p w14:paraId="7E3F9FDE">
            <w:pPr>
              <w:spacing w:line="440" w:lineRule="exact"/>
              <w:ind w:firstLine="480"/>
              <w:jc w:val="center"/>
              <w:rPr>
                <w:rFonts w:cs="宋体"/>
                <w:bCs/>
                <w:highlight w:val="none"/>
              </w:rPr>
            </w:pPr>
          </w:p>
        </w:tc>
        <w:tc>
          <w:tcPr>
            <w:tcW w:w="1418" w:type="dxa"/>
            <w:vAlign w:val="center"/>
          </w:tcPr>
          <w:p w14:paraId="4BD146F6">
            <w:pPr>
              <w:spacing w:line="440" w:lineRule="exact"/>
              <w:ind w:firstLine="480"/>
              <w:jc w:val="center"/>
              <w:rPr>
                <w:rFonts w:cs="宋体"/>
                <w:bCs/>
                <w:highlight w:val="none"/>
              </w:rPr>
            </w:pPr>
          </w:p>
        </w:tc>
      </w:tr>
      <w:tr w14:paraId="0F69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33D48B89">
            <w:pPr>
              <w:spacing w:line="440" w:lineRule="exact"/>
              <w:ind w:firstLine="0" w:firstLineChars="0"/>
              <w:jc w:val="center"/>
              <w:rPr>
                <w:rFonts w:cs="宋体"/>
                <w:bCs/>
                <w:highlight w:val="none"/>
              </w:rPr>
            </w:pPr>
            <w:r>
              <w:rPr>
                <w:rFonts w:hint="eastAsia" w:cs="宋体"/>
                <w:bCs/>
                <w:highlight w:val="none"/>
              </w:rPr>
              <w:t>……</w:t>
            </w:r>
          </w:p>
        </w:tc>
        <w:tc>
          <w:tcPr>
            <w:tcW w:w="1530" w:type="dxa"/>
            <w:vAlign w:val="center"/>
          </w:tcPr>
          <w:p w14:paraId="0D16782D">
            <w:pPr>
              <w:spacing w:line="440" w:lineRule="exact"/>
              <w:ind w:firstLine="480"/>
              <w:jc w:val="center"/>
              <w:rPr>
                <w:rFonts w:cs="宋体"/>
                <w:bCs/>
                <w:highlight w:val="none"/>
              </w:rPr>
            </w:pPr>
          </w:p>
        </w:tc>
        <w:tc>
          <w:tcPr>
            <w:tcW w:w="802" w:type="dxa"/>
            <w:vAlign w:val="center"/>
          </w:tcPr>
          <w:p w14:paraId="42616713">
            <w:pPr>
              <w:spacing w:line="440" w:lineRule="exact"/>
              <w:ind w:firstLine="480"/>
              <w:jc w:val="center"/>
              <w:rPr>
                <w:rFonts w:cs="宋体"/>
                <w:bCs/>
                <w:highlight w:val="none"/>
              </w:rPr>
            </w:pPr>
          </w:p>
        </w:tc>
        <w:tc>
          <w:tcPr>
            <w:tcW w:w="918" w:type="dxa"/>
            <w:vAlign w:val="center"/>
          </w:tcPr>
          <w:p w14:paraId="7DEE29A5">
            <w:pPr>
              <w:spacing w:line="440" w:lineRule="exact"/>
              <w:ind w:firstLine="480"/>
              <w:jc w:val="center"/>
              <w:rPr>
                <w:rFonts w:cs="宋体"/>
                <w:bCs/>
                <w:highlight w:val="none"/>
              </w:rPr>
            </w:pPr>
          </w:p>
        </w:tc>
        <w:tc>
          <w:tcPr>
            <w:tcW w:w="1567" w:type="dxa"/>
            <w:vAlign w:val="center"/>
          </w:tcPr>
          <w:p w14:paraId="76C68025">
            <w:pPr>
              <w:spacing w:line="440" w:lineRule="exact"/>
              <w:ind w:firstLine="480"/>
              <w:jc w:val="center"/>
              <w:rPr>
                <w:rFonts w:cs="宋体"/>
                <w:bCs/>
                <w:highlight w:val="none"/>
              </w:rPr>
            </w:pPr>
          </w:p>
        </w:tc>
        <w:tc>
          <w:tcPr>
            <w:tcW w:w="1183" w:type="dxa"/>
            <w:vAlign w:val="center"/>
          </w:tcPr>
          <w:p w14:paraId="3E568735">
            <w:pPr>
              <w:spacing w:line="440" w:lineRule="exact"/>
              <w:ind w:firstLine="480"/>
              <w:jc w:val="center"/>
              <w:rPr>
                <w:rFonts w:cs="宋体"/>
                <w:bCs/>
                <w:highlight w:val="none"/>
              </w:rPr>
            </w:pPr>
          </w:p>
        </w:tc>
        <w:tc>
          <w:tcPr>
            <w:tcW w:w="1309" w:type="dxa"/>
            <w:vAlign w:val="center"/>
          </w:tcPr>
          <w:p w14:paraId="2D01DB85">
            <w:pPr>
              <w:spacing w:line="440" w:lineRule="exact"/>
              <w:ind w:firstLine="480"/>
              <w:jc w:val="center"/>
              <w:rPr>
                <w:rFonts w:cs="宋体"/>
                <w:bCs/>
                <w:highlight w:val="none"/>
              </w:rPr>
            </w:pPr>
          </w:p>
        </w:tc>
        <w:tc>
          <w:tcPr>
            <w:tcW w:w="1418" w:type="dxa"/>
            <w:vAlign w:val="center"/>
          </w:tcPr>
          <w:p w14:paraId="552778BF">
            <w:pPr>
              <w:spacing w:line="440" w:lineRule="exact"/>
              <w:ind w:firstLine="480"/>
              <w:jc w:val="center"/>
              <w:rPr>
                <w:rFonts w:cs="宋体"/>
                <w:bCs/>
                <w:highlight w:val="none"/>
              </w:rPr>
            </w:pPr>
          </w:p>
        </w:tc>
      </w:tr>
      <w:tr w14:paraId="640D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5BDEBD0F">
            <w:pPr>
              <w:spacing w:line="440" w:lineRule="exact"/>
              <w:ind w:firstLine="0" w:firstLineChars="0"/>
              <w:jc w:val="left"/>
              <w:rPr>
                <w:rFonts w:cs="宋体"/>
                <w:bCs/>
                <w:highlight w:val="none"/>
              </w:rPr>
            </w:pPr>
            <w:r>
              <w:rPr>
                <w:rFonts w:hint="eastAsia" w:cs="宋体"/>
                <w:bCs/>
                <w:highlight w:val="none"/>
              </w:rPr>
              <w:t>总报价：（大写）</w:t>
            </w:r>
            <w:r>
              <w:rPr>
                <w:rFonts w:hint="eastAsia" w:cs="宋体"/>
                <w:bCs/>
                <w:highlight w:val="none"/>
                <w:u w:val="single"/>
              </w:rPr>
              <w:t xml:space="preserve">       </w:t>
            </w:r>
            <w:r>
              <w:rPr>
                <w:rFonts w:hint="eastAsia" w:cs="宋体"/>
                <w:bCs/>
                <w:highlight w:val="none"/>
              </w:rPr>
              <w:t>元；（小写）：</w:t>
            </w:r>
            <w:r>
              <w:rPr>
                <w:rFonts w:hint="eastAsia" w:cs="宋体"/>
                <w:bCs/>
                <w:highlight w:val="none"/>
                <w:u w:val="single"/>
              </w:rPr>
              <w:t xml:space="preserve">       </w:t>
            </w:r>
            <w:r>
              <w:rPr>
                <w:rFonts w:hint="eastAsia" w:cs="宋体"/>
                <w:bCs/>
                <w:highlight w:val="none"/>
              </w:rPr>
              <w:t>元</w:t>
            </w:r>
          </w:p>
        </w:tc>
      </w:tr>
    </w:tbl>
    <w:p w14:paraId="488AE090">
      <w:pPr>
        <w:ind w:firstLine="0" w:firstLineChars="0"/>
        <w:rPr>
          <w:highlight w:val="none"/>
        </w:rPr>
      </w:pPr>
    </w:p>
    <w:p w14:paraId="35C5774E">
      <w:pPr>
        <w:tabs>
          <w:tab w:val="left" w:pos="524"/>
        </w:tabs>
        <w:ind w:firstLine="0" w:firstLineChars="0"/>
        <w:jc w:val="left"/>
        <w:rPr>
          <w:highlight w:val="none"/>
        </w:rPr>
      </w:pPr>
      <w:r>
        <w:rPr>
          <w:rFonts w:hint="eastAsia"/>
          <w:b/>
          <w:bCs/>
          <w:highlight w:val="none"/>
        </w:rPr>
        <w:t>标项三：</w:t>
      </w:r>
      <w:r>
        <w:rPr>
          <w:rFonts w:hint="eastAsia" w:cs="宋体"/>
          <w:b/>
          <w:highlight w:val="none"/>
        </w:rPr>
        <w:t>图书馆开放服务椅</w:t>
      </w:r>
      <w:r>
        <w:rPr>
          <w:rFonts w:hint="eastAsia"/>
          <w:b/>
          <w:highlight w:val="none"/>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3D64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117E8791">
            <w:pPr>
              <w:spacing w:line="340" w:lineRule="exact"/>
              <w:ind w:firstLine="0" w:firstLineChars="0"/>
              <w:jc w:val="center"/>
              <w:rPr>
                <w:rFonts w:cs="宋体"/>
                <w:bCs/>
                <w:highlight w:val="none"/>
              </w:rPr>
            </w:pPr>
            <w:r>
              <w:rPr>
                <w:rFonts w:hint="eastAsia" w:cs="宋体"/>
                <w:highlight w:val="none"/>
              </w:rPr>
              <w:t>序号</w:t>
            </w:r>
          </w:p>
        </w:tc>
        <w:tc>
          <w:tcPr>
            <w:tcW w:w="1530" w:type="dxa"/>
            <w:vAlign w:val="center"/>
          </w:tcPr>
          <w:p w14:paraId="2103E386">
            <w:pPr>
              <w:spacing w:line="340" w:lineRule="exact"/>
              <w:ind w:firstLine="0" w:firstLineChars="0"/>
              <w:jc w:val="center"/>
              <w:rPr>
                <w:rFonts w:cs="宋体"/>
                <w:bCs/>
                <w:highlight w:val="none"/>
              </w:rPr>
            </w:pPr>
            <w:r>
              <w:rPr>
                <w:rFonts w:hint="eastAsia" w:cs="宋体"/>
                <w:bCs/>
                <w:highlight w:val="none"/>
              </w:rPr>
              <w:t>设备名称</w:t>
            </w:r>
          </w:p>
        </w:tc>
        <w:tc>
          <w:tcPr>
            <w:tcW w:w="802" w:type="dxa"/>
            <w:vAlign w:val="center"/>
          </w:tcPr>
          <w:p w14:paraId="227D5DF5">
            <w:pPr>
              <w:spacing w:line="340" w:lineRule="exact"/>
              <w:ind w:firstLine="0" w:firstLineChars="0"/>
              <w:jc w:val="center"/>
              <w:rPr>
                <w:rFonts w:cs="宋体"/>
                <w:bCs/>
                <w:highlight w:val="none"/>
              </w:rPr>
            </w:pPr>
            <w:r>
              <w:rPr>
                <w:rFonts w:hint="eastAsia" w:cs="宋体"/>
                <w:bCs/>
                <w:highlight w:val="none"/>
              </w:rPr>
              <w:t>单位</w:t>
            </w:r>
          </w:p>
        </w:tc>
        <w:tc>
          <w:tcPr>
            <w:tcW w:w="918" w:type="dxa"/>
            <w:vAlign w:val="center"/>
          </w:tcPr>
          <w:p w14:paraId="702FA38E">
            <w:pPr>
              <w:spacing w:line="340" w:lineRule="exact"/>
              <w:ind w:firstLine="0" w:firstLineChars="0"/>
              <w:jc w:val="center"/>
              <w:rPr>
                <w:rFonts w:cs="宋体"/>
                <w:bCs/>
                <w:highlight w:val="none"/>
              </w:rPr>
            </w:pPr>
            <w:r>
              <w:rPr>
                <w:rFonts w:hint="eastAsia" w:cs="宋体"/>
                <w:bCs/>
                <w:highlight w:val="none"/>
              </w:rPr>
              <w:t>数量</w:t>
            </w:r>
          </w:p>
        </w:tc>
        <w:tc>
          <w:tcPr>
            <w:tcW w:w="1567" w:type="dxa"/>
            <w:vAlign w:val="center"/>
          </w:tcPr>
          <w:p w14:paraId="42847A37">
            <w:pPr>
              <w:spacing w:line="340" w:lineRule="exact"/>
              <w:ind w:firstLine="0" w:firstLineChars="0"/>
              <w:jc w:val="center"/>
              <w:rPr>
                <w:rFonts w:cs="宋体"/>
                <w:bCs/>
                <w:highlight w:val="none"/>
              </w:rPr>
            </w:pPr>
            <w:r>
              <w:rPr>
                <w:rFonts w:hint="eastAsia" w:cs="宋体"/>
                <w:bCs/>
                <w:highlight w:val="none"/>
              </w:rPr>
              <w:t>技术参数</w:t>
            </w:r>
          </w:p>
        </w:tc>
        <w:tc>
          <w:tcPr>
            <w:tcW w:w="1183" w:type="dxa"/>
            <w:vAlign w:val="center"/>
          </w:tcPr>
          <w:p w14:paraId="3C75D8E2">
            <w:pPr>
              <w:spacing w:line="340" w:lineRule="exact"/>
              <w:ind w:firstLine="0" w:firstLineChars="0"/>
              <w:jc w:val="center"/>
              <w:rPr>
                <w:rFonts w:cs="宋体"/>
                <w:bCs/>
                <w:highlight w:val="none"/>
              </w:rPr>
            </w:pPr>
            <w:r>
              <w:rPr>
                <w:rFonts w:hint="eastAsia" w:cs="宋体"/>
                <w:bCs/>
                <w:highlight w:val="none"/>
              </w:rPr>
              <w:t>品牌</w:t>
            </w:r>
          </w:p>
        </w:tc>
        <w:tc>
          <w:tcPr>
            <w:tcW w:w="1309" w:type="dxa"/>
            <w:vAlign w:val="center"/>
          </w:tcPr>
          <w:p w14:paraId="362CA65A">
            <w:pPr>
              <w:spacing w:line="340" w:lineRule="exact"/>
              <w:ind w:firstLine="0" w:firstLineChars="0"/>
              <w:jc w:val="center"/>
              <w:rPr>
                <w:rFonts w:cs="宋体"/>
                <w:bCs/>
                <w:highlight w:val="none"/>
              </w:rPr>
            </w:pPr>
            <w:r>
              <w:rPr>
                <w:rFonts w:hint="eastAsia" w:cs="宋体"/>
                <w:bCs/>
                <w:highlight w:val="none"/>
              </w:rPr>
              <w:t>单价（元）</w:t>
            </w:r>
          </w:p>
        </w:tc>
        <w:tc>
          <w:tcPr>
            <w:tcW w:w="1418" w:type="dxa"/>
            <w:vAlign w:val="center"/>
          </w:tcPr>
          <w:p w14:paraId="2EC15602">
            <w:pPr>
              <w:spacing w:line="340" w:lineRule="exact"/>
              <w:ind w:firstLine="0" w:firstLineChars="0"/>
              <w:jc w:val="center"/>
              <w:rPr>
                <w:rFonts w:cs="宋体"/>
                <w:bCs/>
                <w:highlight w:val="none"/>
              </w:rPr>
            </w:pPr>
            <w:r>
              <w:rPr>
                <w:rFonts w:hint="eastAsia" w:cs="宋体"/>
                <w:bCs/>
                <w:highlight w:val="none"/>
              </w:rPr>
              <w:t>合计（元）</w:t>
            </w:r>
          </w:p>
        </w:tc>
      </w:tr>
      <w:tr w14:paraId="52A9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5A66A49D">
            <w:pPr>
              <w:spacing w:line="440" w:lineRule="exact"/>
              <w:ind w:firstLine="0" w:firstLineChars="0"/>
              <w:jc w:val="center"/>
              <w:rPr>
                <w:rFonts w:cs="宋体"/>
                <w:bCs/>
                <w:highlight w:val="none"/>
              </w:rPr>
            </w:pPr>
            <w:r>
              <w:rPr>
                <w:rFonts w:hint="eastAsia" w:cs="宋体"/>
                <w:bCs/>
                <w:highlight w:val="none"/>
              </w:rPr>
              <w:t>1</w:t>
            </w:r>
          </w:p>
        </w:tc>
        <w:tc>
          <w:tcPr>
            <w:tcW w:w="1530" w:type="dxa"/>
            <w:vAlign w:val="center"/>
          </w:tcPr>
          <w:p w14:paraId="413DD140">
            <w:pPr>
              <w:widowControl/>
              <w:spacing w:line="440" w:lineRule="exact"/>
              <w:ind w:firstLine="480"/>
              <w:jc w:val="center"/>
              <w:rPr>
                <w:rFonts w:cs="宋体"/>
                <w:kern w:val="0"/>
                <w:highlight w:val="none"/>
              </w:rPr>
            </w:pPr>
          </w:p>
        </w:tc>
        <w:tc>
          <w:tcPr>
            <w:tcW w:w="802" w:type="dxa"/>
            <w:vAlign w:val="center"/>
          </w:tcPr>
          <w:p w14:paraId="76E96403">
            <w:pPr>
              <w:spacing w:line="440" w:lineRule="exact"/>
              <w:ind w:firstLine="480"/>
              <w:jc w:val="center"/>
              <w:rPr>
                <w:rFonts w:cs="宋体"/>
                <w:bCs/>
                <w:highlight w:val="none"/>
              </w:rPr>
            </w:pPr>
          </w:p>
        </w:tc>
        <w:tc>
          <w:tcPr>
            <w:tcW w:w="918" w:type="dxa"/>
            <w:vAlign w:val="center"/>
          </w:tcPr>
          <w:p w14:paraId="44A29A4D">
            <w:pPr>
              <w:spacing w:line="440" w:lineRule="exact"/>
              <w:ind w:firstLine="480"/>
              <w:jc w:val="center"/>
              <w:rPr>
                <w:rFonts w:cs="宋体"/>
                <w:bCs/>
                <w:highlight w:val="none"/>
              </w:rPr>
            </w:pPr>
          </w:p>
        </w:tc>
        <w:tc>
          <w:tcPr>
            <w:tcW w:w="1567" w:type="dxa"/>
            <w:vAlign w:val="center"/>
          </w:tcPr>
          <w:p w14:paraId="3553D6B9">
            <w:pPr>
              <w:spacing w:line="440" w:lineRule="exact"/>
              <w:ind w:firstLine="480"/>
              <w:jc w:val="center"/>
              <w:rPr>
                <w:rFonts w:cs="宋体"/>
                <w:bCs/>
                <w:highlight w:val="none"/>
              </w:rPr>
            </w:pPr>
          </w:p>
        </w:tc>
        <w:tc>
          <w:tcPr>
            <w:tcW w:w="1183" w:type="dxa"/>
            <w:vAlign w:val="center"/>
          </w:tcPr>
          <w:p w14:paraId="3C6F5DFB">
            <w:pPr>
              <w:spacing w:line="440" w:lineRule="exact"/>
              <w:ind w:firstLine="480"/>
              <w:jc w:val="center"/>
              <w:rPr>
                <w:rFonts w:cs="宋体"/>
                <w:bCs/>
                <w:highlight w:val="none"/>
              </w:rPr>
            </w:pPr>
          </w:p>
        </w:tc>
        <w:tc>
          <w:tcPr>
            <w:tcW w:w="1309" w:type="dxa"/>
            <w:vAlign w:val="center"/>
          </w:tcPr>
          <w:p w14:paraId="4927C164">
            <w:pPr>
              <w:spacing w:line="440" w:lineRule="exact"/>
              <w:ind w:firstLine="480"/>
              <w:jc w:val="center"/>
              <w:rPr>
                <w:rFonts w:cs="宋体"/>
                <w:bCs/>
                <w:highlight w:val="none"/>
              </w:rPr>
            </w:pPr>
          </w:p>
        </w:tc>
        <w:tc>
          <w:tcPr>
            <w:tcW w:w="1418" w:type="dxa"/>
            <w:vAlign w:val="center"/>
          </w:tcPr>
          <w:p w14:paraId="344B1888">
            <w:pPr>
              <w:spacing w:line="440" w:lineRule="exact"/>
              <w:ind w:firstLine="480"/>
              <w:jc w:val="center"/>
              <w:rPr>
                <w:rFonts w:cs="宋体"/>
                <w:bCs/>
                <w:highlight w:val="none"/>
              </w:rPr>
            </w:pPr>
          </w:p>
        </w:tc>
      </w:tr>
      <w:tr w14:paraId="379E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1A6508D8">
            <w:pPr>
              <w:spacing w:line="440" w:lineRule="exact"/>
              <w:ind w:firstLine="0" w:firstLineChars="0"/>
              <w:jc w:val="center"/>
              <w:rPr>
                <w:rFonts w:cs="宋体"/>
                <w:bCs/>
                <w:highlight w:val="none"/>
              </w:rPr>
            </w:pPr>
            <w:r>
              <w:rPr>
                <w:rFonts w:hint="eastAsia" w:cs="宋体"/>
                <w:bCs/>
                <w:highlight w:val="none"/>
              </w:rPr>
              <w:t>2</w:t>
            </w:r>
          </w:p>
        </w:tc>
        <w:tc>
          <w:tcPr>
            <w:tcW w:w="1530" w:type="dxa"/>
            <w:vAlign w:val="center"/>
          </w:tcPr>
          <w:p w14:paraId="0064CB10">
            <w:pPr>
              <w:widowControl/>
              <w:spacing w:line="440" w:lineRule="exact"/>
              <w:ind w:firstLine="480"/>
              <w:jc w:val="center"/>
              <w:rPr>
                <w:rFonts w:cs="宋体"/>
                <w:kern w:val="0"/>
                <w:highlight w:val="none"/>
              </w:rPr>
            </w:pPr>
          </w:p>
        </w:tc>
        <w:tc>
          <w:tcPr>
            <w:tcW w:w="802" w:type="dxa"/>
            <w:vAlign w:val="center"/>
          </w:tcPr>
          <w:p w14:paraId="7FA0C436">
            <w:pPr>
              <w:spacing w:line="440" w:lineRule="exact"/>
              <w:ind w:firstLine="480"/>
              <w:jc w:val="center"/>
              <w:rPr>
                <w:rFonts w:cs="宋体"/>
                <w:bCs/>
                <w:highlight w:val="none"/>
              </w:rPr>
            </w:pPr>
          </w:p>
        </w:tc>
        <w:tc>
          <w:tcPr>
            <w:tcW w:w="918" w:type="dxa"/>
            <w:vAlign w:val="center"/>
          </w:tcPr>
          <w:p w14:paraId="000DF73E">
            <w:pPr>
              <w:spacing w:line="440" w:lineRule="exact"/>
              <w:ind w:firstLine="480"/>
              <w:jc w:val="center"/>
              <w:rPr>
                <w:rFonts w:cs="宋体"/>
                <w:bCs/>
                <w:highlight w:val="none"/>
              </w:rPr>
            </w:pPr>
          </w:p>
        </w:tc>
        <w:tc>
          <w:tcPr>
            <w:tcW w:w="1567" w:type="dxa"/>
            <w:vAlign w:val="center"/>
          </w:tcPr>
          <w:p w14:paraId="45E935FA">
            <w:pPr>
              <w:spacing w:line="440" w:lineRule="exact"/>
              <w:ind w:firstLine="480"/>
              <w:jc w:val="center"/>
              <w:rPr>
                <w:rFonts w:cs="宋体"/>
                <w:bCs/>
                <w:highlight w:val="none"/>
              </w:rPr>
            </w:pPr>
          </w:p>
        </w:tc>
        <w:tc>
          <w:tcPr>
            <w:tcW w:w="1183" w:type="dxa"/>
            <w:vAlign w:val="center"/>
          </w:tcPr>
          <w:p w14:paraId="6390FC75">
            <w:pPr>
              <w:spacing w:line="440" w:lineRule="exact"/>
              <w:ind w:firstLine="480"/>
              <w:jc w:val="center"/>
              <w:rPr>
                <w:rFonts w:cs="宋体"/>
                <w:bCs/>
                <w:highlight w:val="none"/>
              </w:rPr>
            </w:pPr>
          </w:p>
        </w:tc>
        <w:tc>
          <w:tcPr>
            <w:tcW w:w="1309" w:type="dxa"/>
            <w:vAlign w:val="center"/>
          </w:tcPr>
          <w:p w14:paraId="16111749">
            <w:pPr>
              <w:spacing w:line="440" w:lineRule="exact"/>
              <w:ind w:firstLine="480"/>
              <w:jc w:val="center"/>
              <w:rPr>
                <w:rFonts w:cs="宋体"/>
                <w:bCs/>
                <w:highlight w:val="none"/>
              </w:rPr>
            </w:pPr>
          </w:p>
        </w:tc>
        <w:tc>
          <w:tcPr>
            <w:tcW w:w="1418" w:type="dxa"/>
            <w:vAlign w:val="center"/>
          </w:tcPr>
          <w:p w14:paraId="600B09FC">
            <w:pPr>
              <w:spacing w:line="440" w:lineRule="exact"/>
              <w:ind w:firstLine="480"/>
              <w:jc w:val="center"/>
              <w:rPr>
                <w:rFonts w:cs="宋体"/>
                <w:bCs/>
                <w:highlight w:val="none"/>
              </w:rPr>
            </w:pPr>
          </w:p>
        </w:tc>
      </w:tr>
      <w:tr w14:paraId="0B58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4D60CEC8">
            <w:pPr>
              <w:spacing w:line="440" w:lineRule="exact"/>
              <w:ind w:firstLine="0" w:firstLineChars="0"/>
              <w:jc w:val="center"/>
              <w:rPr>
                <w:rFonts w:cs="宋体"/>
                <w:bCs/>
                <w:highlight w:val="none"/>
              </w:rPr>
            </w:pPr>
            <w:r>
              <w:rPr>
                <w:rFonts w:hint="eastAsia" w:cs="宋体"/>
                <w:bCs/>
                <w:highlight w:val="none"/>
              </w:rPr>
              <w:t>3</w:t>
            </w:r>
          </w:p>
        </w:tc>
        <w:tc>
          <w:tcPr>
            <w:tcW w:w="1530" w:type="dxa"/>
            <w:vAlign w:val="center"/>
          </w:tcPr>
          <w:p w14:paraId="2C7F870D">
            <w:pPr>
              <w:spacing w:line="440" w:lineRule="exact"/>
              <w:ind w:firstLine="480"/>
              <w:jc w:val="center"/>
              <w:rPr>
                <w:rFonts w:cs="宋体"/>
                <w:bCs/>
                <w:highlight w:val="none"/>
              </w:rPr>
            </w:pPr>
          </w:p>
        </w:tc>
        <w:tc>
          <w:tcPr>
            <w:tcW w:w="802" w:type="dxa"/>
            <w:vAlign w:val="center"/>
          </w:tcPr>
          <w:p w14:paraId="52F31F98">
            <w:pPr>
              <w:spacing w:line="440" w:lineRule="exact"/>
              <w:ind w:firstLine="480"/>
              <w:jc w:val="center"/>
              <w:rPr>
                <w:rFonts w:cs="宋体"/>
                <w:bCs/>
                <w:highlight w:val="none"/>
              </w:rPr>
            </w:pPr>
          </w:p>
        </w:tc>
        <w:tc>
          <w:tcPr>
            <w:tcW w:w="918" w:type="dxa"/>
            <w:vAlign w:val="center"/>
          </w:tcPr>
          <w:p w14:paraId="7EE5B154">
            <w:pPr>
              <w:spacing w:line="440" w:lineRule="exact"/>
              <w:ind w:firstLine="480"/>
              <w:jc w:val="center"/>
              <w:rPr>
                <w:rFonts w:cs="宋体"/>
                <w:bCs/>
                <w:highlight w:val="none"/>
              </w:rPr>
            </w:pPr>
          </w:p>
        </w:tc>
        <w:tc>
          <w:tcPr>
            <w:tcW w:w="1567" w:type="dxa"/>
            <w:vAlign w:val="center"/>
          </w:tcPr>
          <w:p w14:paraId="02A1143E">
            <w:pPr>
              <w:spacing w:line="440" w:lineRule="exact"/>
              <w:ind w:firstLine="480"/>
              <w:jc w:val="center"/>
              <w:rPr>
                <w:rFonts w:cs="宋体"/>
                <w:bCs/>
                <w:highlight w:val="none"/>
              </w:rPr>
            </w:pPr>
          </w:p>
        </w:tc>
        <w:tc>
          <w:tcPr>
            <w:tcW w:w="1183" w:type="dxa"/>
            <w:vAlign w:val="center"/>
          </w:tcPr>
          <w:p w14:paraId="10F32540">
            <w:pPr>
              <w:spacing w:line="440" w:lineRule="exact"/>
              <w:ind w:firstLine="480"/>
              <w:jc w:val="center"/>
              <w:rPr>
                <w:rFonts w:cs="宋体"/>
                <w:bCs/>
                <w:highlight w:val="none"/>
              </w:rPr>
            </w:pPr>
          </w:p>
        </w:tc>
        <w:tc>
          <w:tcPr>
            <w:tcW w:w="1309" w:type="dxa"/>
            <w:vAlign w:val="center"/>
          </w:tcPr>
          <w:p w14:paraId="2466302E">
            <w:pPr>
              <w:spacing w:line="440" w:lineRule="exact"/>
              <w:ind w:firstLine="480"/>
              <w:jc w:val="center"/>
              <w:rPr>
                <w:rFonts w:cs="宋体"/>
                <w:bCs/>
                <w:highlight w:val="none"/>
              </w:rPr>
            </w:pPr>
          </w:p>
        </w:tc>
        <w:tc>
          <w:tcPr>
            <w:tcW w:w="1418" w:type="dxa"/>
            <w:vAlign w:val="center"/>
          </w:tcPr>
          <w:p w14:paraId="37F4D4EE">
            <w:pPr>
              <w:spacing w:line="440" w:lineRule="exact"/>
              <w:ind w:firstLine="480"/>
              <w:jc w:val="center"/>
              <w:rPr>
                <w:rFonts w:cs="宋体"/>
                <w:bCs/>
                <w:highlight w:val="none"/>
              </w:rPr>
            </w:pPr>
          </w:p>
        </w:tc>
      </w:tr>
      <w:tr w14:paraId="1CB5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23C52720">
            <w:pPr>
              <w:spacing w:line="440" w:lineRule="exact"/>
              <w:ind w:firstLine="0" w:firstLineChars="0"/>
              <w:jc w:val="center"/>
              <w:rPr>
                <w:rFonts w:cs="宋体"/>
                <w:bCs/>
                <w:highlight w:val="none"/>
              </w:rPr>
            </w:pPr>
            <w:r>
              <w:rPr>
                <w:rFonts w:hint="eastAsia" w:cs="宋体"/>
                <w:bCs/>
                <w:highlight w:val="none"/>
              </w:rPr>
              <w:t>4</w:t>
            </w:r>
          </w:p>
        </w:tc>
        <w:tc>
          <w:tcPr>
            <w:tcW w:w="1530" w:type="dxa"/>
            <w:vAlign w:val="center"/>
          </w:tcPr>
          <w:p w14:paraId="1CACFA0C">
            <w:pPr>
              <w:spacing w:line="440" w:lineRule="exact"/>
              <w:ind w:firstLine="480"/>
              <w:jc w:val="center"/>
              <w:rPr>
                <w:rFonts w:cs="宋体"/>
                <w:bCs/>
                <w:highlight w:val="none"/>
              </w:rPr>
            </w:pPr>
          </w:p>
        </w:tc>
        <w:tc>
          <w:tcPr>
            <w:tcW w:w="802" w:type="dxa"/>
            <w:vAlign w:val="center"/>
          </w:tcPr>
          <w:p w14:paraId="6839886B">
            <w:pPr>
              <w:spacing w:line="440" w:lineRule="exact"/>
              <w:ind w:firstLine="480"/>
              <w:jc w:val="center"/>
              <w:rPr>
                <w:rFonts w:cs="宋体"/>
                <w:bCs/>
                <w:highlight w:val="none"/>
              </w:rPr>
            </w:pPr>
          </w:p>
        </w:tc>
        <w:tc>
          <w:tcPr>
            <w:tcW w:w="918" w:type="dxa"/>
            <w:vAlign w:val="center"/>
          </w:tcPr>
          <w:p w14:paraId="2F7EDCBC">
            <w:pPr>
              <w:spacing w:line="440" w:lineRule="exact"/>
              <w:ind w:firstLine="480"/>
              <w:jc w:val="center"/>
              <w:rPr>
                <w:rFonts w:cs="宋体"/>
                <w:bCs/>
                <w:highlight w:val="none"/>
              </w:rPr>
            </w:pPr>
          </w:p>
        </w:tc>
        <w:tc>
          <w:tcPr>
            <w:tcW w:w="1567" w:type="dxa"/>
            <w:vAlign w:val="center"/>
          </w:tcPr>
          <w:p w14:paraId="49EE51A1">
            <w:pPr>
              <w:spacing w:line="440" w:lineRule="exact"/>
              <w:ind w:firstLine="480"/>
              <w:jc w:val="center"/>
              <w:rPr>
                <w:rFonts w:cs="宋体"/>
                <w:bCs/>
                <w:highlight w:val="none"/>
              </w:rPr>
            </w:pPr>
          </w:p>
        </w:tc>
        <w:tc>
          <w:tcPr>
            <w:tcW w:w="1183" w:type="dxa"/>
            <w:vAlign w:val="center"/>
          </w:tcPr>
          <w:p w14:paraId="262AB1BE">
            <w:pPr>
              <w:spacing w:line="440" w:lineRule="exact"/>
              <w:ind w:firstLine="480"/>
              <w:jc w:val="center"/>
              <w:rPr>
                <w:rFonts w:cs="宋体"/>
                <w:bCs/>
                <w:highlight w:val="none"/>
              </w:rPr>
            </w:pPr>
          </w:p>
        </w:tc>
        <w:tc>
          <w:tcPr>
            <w:tcW w:w="1309" w:type="dxa"/>
            <w:vAlign w:val="center"/>
          </w:tcPr>
          <w:p w14:paraId="7848FD48">
            <w:pPr>
              <w:spacing w:line="440" w:lineRule="exact"/>
              <w:ind w:firstLine="480"/>
              <w:jc w:val="center"/>
              <w:rPr>
                <w:rFonts w:cs="宋体"/>
                <w:bCs/>
                <w:highlight w:val="none"/>
              </w:rPr>
            </w:pPr>
          </w:p>
        </w:tc>
        <w:tc>
          <w:tcPr>
            <w:tcW w:w="1418" w:type="dxa"/>
            <w:vAlign w:val="center"/>
          </w:tcPr>
          <w:p w14:paraId="6A4B649C">
            <w:pPr>
              <w:spacing w:line="440" w:lineRule="exact"/>
              <w:ind w:firstLine="480"/>
              <w:jc w:val="center"/>
              <w:rPr>
                <w:rFonts w:cs="宋体"/>
                <w:bCs/>
                <w:highlight w:val="none"/>
              </w:rPr>
            </w:pPr>
          </w:p>
        </w:tc>
      </w:tr>
      <w:tr w14:paraId="37B1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63AEDDE3">
            <w:pPr>
              <w:spacing w:line="440" w:lineRule="exact"/>
              <w:ind w:firstLine="0" w:firstLineChars="0"/>
              <w:jc w:val="center"/>
              <w:rPr>
                <w:rFonts w:cs="宋体"/>
                <w:bCs/>
                <w:highlight w:val="none"/>
              </w:rPr>
            </w:pPr>
            <w:r>
              <w:rPr>
                <w:rFonts w:hint="eastAsia" w:cs="宋体"/>
                <w:bCs/>
                <w:highlight w:val="none"/>
              </w:rPr>
              <w:t>5</w:t>
            </w:r>
          </w:p>
        </w:tc>
        <w:tc>
          <w:tcPr>
            <w:tcW w:w="1530" w:type="dxa"/>
            <w:vAlign w:val="center"/>
          </w:tcPr>
          <w:p w14:paraId="6E2BF02B">
            <w:pPr>
              <w:spacing w:line="440" w:lineRule="exact"/>
              <w:ind w:firstLine="480"/>
              <w:jc w:val="center"/>
              <w:rPr>
                <w:rFonts w:cs="宋体"/>
                <w:bCs/>
                <w:highlight w:val="none"/>
              </w:rPr>
            </w:pPr>
          </w:p>
        </w:tc>
        <w:tc>
          <w:tcPr>
            <w:tcW w:w="802" w:type="dxa"/>
            <w:vAlign w:val="center"/>
          </w:tcPr>
          <w:p w14:paraId="44799ED0">
            <w:pPr>
              <w:spacing w:line="440" w:lineRule="exact"/>
              <w:ind w:firstLine="480"/>
              <w:jc w:val="center"/>
              <w:rPr>
                <w:rFonts w:cs="宋体"/>
                <w:bCs/>
                <w:highlight w:val="none"/>
              </w:rPr>
            </w:pPr>
          </w:p>
        </w:tc>
        <w:tc>
          <w:tcPr>
            <w:tcW w:w="918" w:type="dxa"/>
            <w:vAlign w:val="center"/>
          </w:tcPr>
          <w:p w14:paraId="4CBCEAB6">
            <w:pPr>
              <w:spacing w:line="440" w:lineRule="exact"/>
              <w:ind w:firstLine="480"/>
              <w:jc w:val="center"/>
              <w:rPr>
                <w:rFonts w:cs="宋体"/>
                <w:bCs/>
                <w:highlight w:val="none"/>
              </w:rPr>
            </w:pPr>
          </w:p>
        </w:tc>
        <w:tc>
          <w:tcPr>
            <w:tcW w:w="1567" w:type="dxa"/>
            <w:vAlign w:val="center"/>
          </w:tcPr>
          <w:p w14:paraId="53F9094F">
            <w:pPr>
              <w:spacing w:line="440" w:lineRule="exact"/>
              <w:ind w:firstLine="480"/>
              <w:jc w:val="center"/>
              <w:rPr>
                <w:rFonts w:cs="宋体"/>
                <w:bCs/>
                <w:highlight w:val="none"/>
              </w:rPr>
            </w:pPr>
          </w:p>
        </w:tc>
        <w:tc>
          <w:tcPr>
            <w:tcW w:w="1183" w:type="dxa"/>
            <w:vAlign w:val="center"/>
          </w:tcPr>
          <w:p w14:paraId="63A0547E">
            <w:pPr>
              <w:spacing w:line="440" w:lineRule="exact"/>
              <w:ind w:firstLine="480"/>
              <w:jc w:val="center"/>
              <w:rPr>
                <w:rFonts w:cs="宋体"/>
                <w:bCs/>
                <w:highlight w:val="none"/>
              </w:rPr>
            </w:pPr>
          </w:p>
        </w:tc>
        <w:tc>
          <w:tcPr>
            <w:tcW w:w="1309" w:type="dxa"/>
            <w:vAlign w:val="center"/>
          </w:tcPr>
          <w:p w14:paraId="4EA307BC">
            <w:pPr>
              <w:spacing w:line="440" w:lineRule="exact"/>
              <w:ind w:firstLine="480"/>
              <w:jc w:val="center"/>
              <w:rPr>
                <w:rFonts w:cs="宋体"/>
                <w:bCs/>
                <w:highlight w:val="none"/>
              </w:rPr>
            </w:pPr>
          </w:p>
        </w:tc>
        <w:tc>
          <w:tcPr>
            <w:tcW w:w="1418" w:type="dxa"/>
            <w:vAlign w:val="center"/>
          </w:tcPr>
          <w:p w14:paraId="710990AB">
            <w:pPr>
              <w:spacing w:line="440" w:lineRule="exact"/>
              <w:ind w:firstLine="480"/>
              <w:jc w:val="center"/>
              <w:rPr>
                <w:rFonts w:cs="宋体"/>
                <w:bCs/>
                <w:highlight w:val="none"/>
              </w:rPr>
            </w:pPr>
          </w:p>
        </w:tc>
      </w:tr>
      <w:tr w14:paraId="37A4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56A0E75B">
            <w:pPr>
              <w:spacing w:line="440" w:lineRule="exact"/>
              <w:ind w:firstLine="0" w:firstLineChars="0"/>
              <w:jc w:val="center"/>
              <w:rPr>
                <w:rFonts w:cs="宋体"/>
                <w:bCs/>
                <w:highlight w:val="none"/>
              </w:rPr>
            </w:pPr>
            <w:r>
              <w:rPr>
                <w:rFonts w:hint="eastAsia" w:cs="宋体"/>
                <w:bCs/>
                <w:highlight w:val="none"/>
              </w:rPr>
              <w:t>……</w:t>
            </w:r>
          </w:p>
        </w:tc>
        <w:tc>
          <w:tcPr>
            <w:tcW w:w="1530" w:type="dxa"/>
            <w:vAlign w:val="center"/>
          </w:tcPr>
          <w:p w14:paraId="4C8EBE4C">
            <w:pPr>
              <w:spacing w:line="440" w:lineRule="exact"/>
              <w:ind w:firstLine="480"/>
              <w:jc w:val="center"/>
              <w:rPr>
                <w:rFonts w:cs="宋体"/>
                <w:bCs/>
                <w:highlight w:val="none"/>
              </w:rPr>
            </w:pPr>
          </w:p>
        </w:tc>
        <w:tc>
          <w:tcPr>
            <w:tcW w:w="802" w:type="dxa"/>
            <w:vAlign w:val="center"/>
          </w:tcPr>
          <w:p w14:paraId="66295D10">
            <w:pPr>
              <w:spacing w:line="440" w:lineRule="exact"/>
              <w:ind w:firstLine="480"/>
              <w:jc w:val="center"/>
              <w:rPr>
                <w:rFonts w:cs="宋体"/>
                <w:bCs/>
                <w:highlight w:val="none"/>
              </w:rPr>
            </w:pPr>
          </w:p>
        </w:tc>
        <w:tc>
          <w:tcPr>
            <w:tcW w:w="918" w:type="dxa"/>
            <w:vAlign w:val="center"/>
          </w:tcPr>
          <w:p w14:paraId="177272C5">
            <w:pPr>
              <w:spacing w:line="440" w:lineRule="exact"/>
              <w:ind w:firstLine="480"/>
              <w:jc w:val="center"/>
              <w:rPr>
                <w:rFonts w:cs="宋体"/>
                <w:bCs/>
                <w:highlight w:val="none"/>
              </w:rPr>
            </w:pPr>
          </w:p>
        </w:tc>
        <w:tc>
          <w:tcPr>
            <w:tcW w:w="1567" w:type="dxa"/>
            <w:vAlign w:val="center"/>
          </w:tcPr>
          <w:p w14:paraId="75FA0F2D">
            <w:pPr>
              <w:spacing w:line="440" w:lineRule="exact"/>
              <w:ind w:firstLine="480"/>
              <w:jc w:val="center"/>
              <w:rPr>
                <w:rFonts w:cs="宋体"/>
                <w:bCs/>
                <w:highlight w:val="none"/>
              </w:rPr>
            </w:pPr>
          </w:p>
        </w:tc>
        <w:tc>
          <w:tcPr>
            <w:tcW w:w="1183" w:type="dxa"/>
            <w:vAlign w:val="center"/>
          </w:tcPr>
          <w:p w14:paraId="4A53FC83">
            <w:pPr>
              <w:spacing w:line="440" w:lineRule="exact"/>
              <w:ind w:firstLine="480"/>
              <w:jc w:val="center"/>
              <w:rPr>
                <w:rFonts w:cs="宋体"/>
                <w:bCs/>
                <w:highlight w:val="none"/>
              </w:rPr>
            </w:pPr>
          </w:p>
        </w:tc>
        <w:tc>
          <w:tcPr>
            <w:tcW w:w="1309" w:type="dxa"/>
            <w:vAlign w:val="center"/>
          </w:tcPr>
          <w:p w14:paraId="602EEFEF">
            <w:pPr>
              <w:spacing w:line="440" w:lineRule="exact"/>
              <w:ind w:firstLine="480"/>
              <w:jc w:val="center"/>
              <w:rPr>
                <w:rFonts w:cs="宋体"/>
                <w:bCs/>
                <w:highlight w:val="none"/>
              </w:rPr>
            </w:pPr>
          </w:p>
        </w:tc>
        <w:tc>
          <w:tcPr>
            <w:tcW w:w="1418" w:type="dxa"/>
            <w:vAlign w:val="center"/>
          </w:tcPr>
          <w:p w14:paraId="174BB0CD">
            <w:pPr>
              <w:spacing w:line="440" w:lineRule="exact"/>
              <w:ind w:firstLine="480"/>
              <w:jc w:val="center"/>
              <w:rPr>
                <w:rFonts w:cs="宋体"/>
                <w:bCs/>
                <w:highlight w:val="none"/>
              </w:rPr>
            </w:pPr>
          </w:p>
        </w:tc>
      </w:tr>
      <w:tr w14:paraId="6EF8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6F6FCB29">
            <w:pPr>
              <w:spacing w:line="440" w:lineRule="exact"/>
              <w:ind w:firstLine="0" w:firstLineChars="0"/>
              <w:jc w:val="left"/>
              <w:rPr>
                <w:rFonts w:cs="宋体"/>
                <w:bCs/>
                <w:highlight w:val="none"/>
              </w:rPr>
            </w:pPr>
            <w:r>
              <w:rPr>
                <w:rFonts w:hint="eastAsia" w:cs="宋体"/>
                <w:bCs/>
                <w:highlight w:val="none"/>
              </w:rPr>
              <w:t>总报价：（大写）</w:t>
            </w:r>
            <w:r>
              <w:rPr>
                <w:rFonts w:hint="eastAsia" w:cs="宋体"/>
                <w:bCs/>
                <w:highlight w:val="none"/>
                <w:u w:val="single"/>
              </w:rPr>
              <w:t xml:space="preserve">       </w:t>
            </w:r>
            <w:r>
              <w:rPr>
                <w:rFonts w:hint="eastAsia" w:cs="宋体"/>
                <w:bCs/>
                <w:highlight w:val="none"/>
              </w:rPr>
              <w:t>元；（小写）：</w:t>
            </w:r>
            <w:r>
              <w:rPr>
                <w:rFonts w:hint="eastAsia" w:cs="宋体"/>
                <w:bCs/>
                <w:highlight w:val="none"/>
                <w:u w:val="single"/>
              </w:rPr>
              <w:t xml:space="preserve">       </w:t>
            </w:r>
            <w:r>
              <w:rPr>
                <w:rFonts w:hint="eastAsia" w:cs="宋体"/>
                <w:bCs/>
                <w:highlight w:val="none"/>
              </w:rPr>
              <w:t>元</w:t>
            </w:r>
          </w:p>
        </w:tc>
      </w:tr>
    </w:tbl>
    <w:p w14:paraId="1548C2A9">
      <w:pPr>
        <w:ind w:firstLine="0" w:firstLineChars="0"/>
        <w:rPr>
          <w:highlight w:val="none"/>
        </w:rPr>
      </w:pPr>
    </w:p>
    <w:p w14:paraId="6F03F1FC">
      <w:pPr>
        <w:tabs>
          <w:tab w:val="left" w:pos="524"/>
        </w:tabs>
        <w:ind w:firstLine="0" w:firstLineChars="0"/>
        <w:jc w:val="left"/>
        <w:rPr>
          <w:highlight w:val="none"/>
        </w:rPr>
      </w:pPr>
      <w:r>
        <w:rPr>
          <w:rFonts w:hint="eastAsia"/>
          <w:b/>
          <w:bCs/>
          <w:highlight w:val="none"/>
        </w:rPr>
        <w:t>标项四：</w:t>
      </w:r>
      <w:r>
        <w:rPr>
          <w:rFonts w:hint="eastAsia" w:cs="宋体"/>
          <w:b/>
          <w:highlight w:val="none"/>
        </w:rPr>
        <w:t>图书馆1F-心理咨询中心家具</w:t>
      </w:r>
      <w:r>
        <w:rPr>
          <w:rFonts w:hint="eastAsia"/>
          <w:highlight w:val="none"/>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24C7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7361D1F3">
            <w:pPr>
              <w:spacing w:line="340" w:lineRule="exact"/>
              <w:ind w:firstLine="0" w:firstLineChars="0"/>
              <w:jc w:val="center"/>
              <w:rPr>
                <w:rFonts w:cs="宋体"/>
                <w:bCs/>
                <w:highlight w:val="none"/>
              </w:rPr>
            </w:pPr>
            <w:r>
              <w:rPr>
                <w:rFonts w:hint="eastAsia" w:cs="宋体"/>
                <w:highlight w:val="none"/>
              </w:rPr>
              <w:t>序号</w:t>
            </w:r>
          </w:p>
        </w:tc>
        <w:tc>
          <w:tcPr>
            <w:tcW w:w="1530" w:type="dxa"/>
            <w:vAlign w:val="center"/>
          </w:tcPr>
          <w:p w14:paraId="79844B3E">
            <w:pPr>
              <w:spacing w:line="340" w:lineRule="exact"/>
              <w:ind w:firstLine="0" w:firstLineChars="0"/>
              <w:jc w:val="center"/>
              <w:rPr>
                <w:rFonts w:cs="宋体"/>
                <w:bCs/>
                <w:highlight w:val="none"/>
              </w:rPr>
            </w:pPr>
            <w:r>
              <w:rPr>
                <w:rFonts w:hint="eastAsia" w:cs="宋体"/>
                <w:bCs/>
                <w:highlight w:val="none"/>
              </w:rPr>
              <w:t>设备名称</w:t>
            </w:r>
          </w:p>
        </w:tc>
        <w:tc>
          <w:tcPr>
            <w:tcW w:w="802" w:type="dxa"/>
            <w:vAlign w:val="center"/>
          </w:tcPr>
          <w:p w14:paraId="62AB6346">
            <w:pPr>
              <w:spacing w:line="340" w:lineRule="exact"/>
              <w:ind w:firstLine="0" w:firstLineChars="0"/>
              <w:jc w:val="center"/>
              <w:rPr>
                <w:rFonts w:cs="宋体"/>
                <w:bCs/>
                <w:highlight w:val="none"/>
              </w:rPr>
            </w:pPr>
            <w:r>
              <w:rPr>
                <w:rFonts w:hint="eastAsia" w:cs="宋体"/>
                <w:bCs/>
                <w:highlight w:val="none"/>
              </w:rPr>
              <w:t>单位</w:t>
            </w:r>
          </w:p>
        </w:tc>
        <w:tc>
          <w:tcPr>
            <w:tcW w:w="918" w:type="dxa"/>
            <w:vAlign w:val="center"/>
          </w:tcPr>
          <w:p w14:paraId="475E8A77">
            <w:pPr>
              <w:spacing w:line="340" w:lineRule="exact"/>
              <w:ind w:firstLine="0" w:firstLineChars="0"/>
              <w:jc w:val="center"/>
              <w:rPr>
                <w:rFonts w:cs="宋体"/>
                <w:bCs/>
                <w:highlight w:val="none"/>
              </w:rPr>
            </w:pPr>
            <w:r>
              <w:rPr>
                <w:rFonts w:hint="eastAsia" w:cs="宋体"/>
                <w:bCs/>
                <w:highlight w:val="none"/>
              </w:rPr>
              <w:t>数量</w:t>
            </w:r>
          </w:p>
        </w:tc>
        <w:tc>
          <w:tcPr>
            <w:tcW w:w="1567" w:type="dxa"/>
            <w:vAlign w:val="center"/>
          </w:tcPr>
          <w:p w14:paraId="7DB3A1B1">
            <w:pPr>
              <w:spacing w:line="340" w:lineRule="exact"/>
              <w:ind w:firstLine="0" w:firstLineChars="0"/>
              <w:jc w:val="center"/>
              <w:rPr>
                <w:rFonts w:cs="宋体"/>
                <w:bCs/>
                <w:highlight w:val="none"/>
              </w:rPr>
            </w:pPr>
            <w:r>
              <w:rPr>
                <w:rFonts w:hint="eastAsia" w:cs="宋体"/>
                <w:bCs/>
                <w:highlight w:val="none"/>
              </w:rPr>
              <w:t>技术参数</w:t>
            </w:r>
          </w:p>
        </w:tc>
        <w:tc>
          <w:tcPr>
            <w:tcW w:w="1183" w:type="dxa"/>
            <w:vAlign w:val="center"/>
          </w:tcPr>
          <w:p w14:paraId="04CD2862">
            <w:pPr>
              <w:spacing w:line="340" w:lineRule="exact"/>
              <w:ind w:firstLine="0" w:firstLineChars="0"/>
              <w:jc w:val="center"/>
              <w:rPr>
                <w:rFonts w:cs="宋体"/>
                <w:bCs/>
                <w:highlight w:val="none"/>
              </w:rPr>
            </w:pPr>
            <w:r>
              <w:rPr>
                <w:rFonts w:hint="eastAsia" w:cs="宋体"/>
                <w:bCs/>
                <w:highlight w:val="none"/>
              </w:rPr>
              <w:t>品牌</w:t>
            </w:r>
          </w:p>
        </w:tc>
        <w:tc>
          <w:tcPr>
            <w:tcW w:w="1309" w:type="dxa"/>
            <w:vAlign w:val="center"/>
          </w:tcPr>
          <w:p w14:paraId="1F4DCEE1">
            <w:pPr>
              <w:spacing w:line="340" w:lineRule="exact"/>
              <w:ind w:firstLine="0" w:firstLineChars="0"/>
              <w:jc w:val="center"/>
              <w:rPr>
                <w:rFonts w:cs="宋体"/>
                <w:bCs/>
                <w:highlight w:val="none"/>
              </w:rPr>
            </w:pPr>
            <w:r>
              <w:rPr>
                <w:rFonts w:hint="eastAsia" w:cs="宋体"/>
                <w:bCs/>
                <w:highlight w:val="none"/>
              </w:rPr>
              <w:t>单价（元）</w:t>
            </w:r>
          </w:p>
        </w:tc>
        <w:tc>
          <w:tcPr>
            <w:tcW w:w="1418" w:type="dxa"/>
            <w:vAlign w:val="center"/>
          </w:tcPr>
          <w:p w14:paraId="3628BED9">
            <w:pPr>
              <w:spacing w:line="340" w:lineRule="exact"/>
              <w:ind w:firstLine="0" w:firstLineChars="0"/>
              <w:jc w:val="center"/>
              <w:rPr>
                <w:rFonts w:cs="宋体"/>
                <w:bCs/>
                <w:highlight w:val="none"/>
              </w:rPr>
            </w:pPr>
            <w:r>
              <w:rPr>
                <w:rFonts w:hint="eastAsia" w:cs="宋体"/>
                <w:bCs/>
                <w:highlight w:val="none"/>
              </w:rPr>
              <w:t>合计（元）</w:t>
            </w:r>
          </w:p>
        </w:tc>
      </w:tr>
      <w:tr w14:paraId="0622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6C95F350">
            <w:pPr>
              <w:spacing w:line="440" w:lineRule="exact"/>
              <w:ind w:firstLine="0" w:firstLineChars="0"/>
              <w:jc w:val="center"/>
              <w:rPr>
                <w:rFonts w:cs="宋体"/>
                <w:bCs/>
                <w:highlight w:val="none"/>
              </w:rPr>
            </w:pPr>
            <w:r>
              <w:rPr>
                <w:rFonts w:hint="eastAsia" w:cs="宋体"/>
                <w:bCs/>
                <w:highlight w:val="none"/>
              </w:rPr>
              <w:t>1</w:t>
            </w:r>
          </w:p>
        </w:tc>
        <w:tc>
          <w:tcPr>
            <w:tcW w:w="1530" w:type="dxa"/>
            <w:vAlign w:val="center"/>
          </w:tcPr>
          <w:p w14:paraId="26BBD99A">
            <w:pPr>
              <w:widowControl/>
              <w:spacing w:line="440" w:lineRule="exact"/>
              <w:ind w:firstLine="480"/>
              <w:jc w:val="center"/>
              <w:rPr>
                <w:rFonts w:cs="宋体"/>
                <w:kern w:val="0"/>
                <w:highlight w:val="none"/>
              </w:rPr>
            </w:pPr>
          </w:p>
        </w:tc>
        <w:tc>
          <w:tcPr>
            <w:tcW w:w="802" w:type="dxa"/>
            <w:vAlign w:val="center"/>
          </w:tcPr>
          <w:p w14:paraId="6383085C">
            <w:pPr>
              <w:spacing w:line="440" w:lineRule="exact"/>
              <w:ind w:firstLine="480"/>
              <w:jc w:val="center"/>
              <w:rPr>
                <w:rFonts w:cs="宋体"/>
                <w:bCs/>
                <w:highlight w:val="none"/>
              </w:rPr>
            </w:pPr>
          </w:p>
        </w:tc>
        <w:tc>
          <w:tcPr>
            <w:tcW w:w="918" w:type="dxa"/>
            <w:vAlign w:val="center"/>
          </w:tcPr>
          <w:p w14:paraId="5C77FA69">
            <w:pPr>
              <w:spacing w:line="440" w:lineRule="exact"/>
              <w:ind w:firstLine="480"/>
              <w:jc w:val="center"/>
              <w:rPr>
                <w:rFonts w:cs="宋体"/>
                <w:bCs/>
                <w:highlight w:val="none"/>
              </w:rPr>
            </w:pPr>
          </w:p>
        </w:tc>
        <w:tc>
          <w:tcPr>
            <w:tcW w:w="1567" w:type="dxa"/>
            <w:vAlign w:val="center"/>
          </w:tcPr>
          <w:p w14:paraId="45528969">
            <w:pPr>
              <w:spacing w:line="440" w:lineRule="exact"/>
              <w:ind w:firstLine="480"/>
              <w:jc w:val="center"/>
              <w:rPr>
                <w:rFonts w:cs="宋体"/>
                <w:bCs/>
                <w:highlight w:val="none"/>
              </w:rPr>
            </w:pPr>
          </w:p>
        </w:tc>
        <w:tc>
          <w:tcPr>
            <w:tcW w:w="1183" w:type="dxa"/>
            <w:vAlign w:val="center"/>
          </w:tcPr>
          <w:p w14:paraId="5A7B8294">
            <w:pPr>
              <w:spacing w:line="440" w:lineRule="exact"/>
              <w:ind w:firstLine="480"/>
              <w:jc w:val="center"/>
              <w:rPr>
                <w:rFonts w:cs="宋体"/>
                <w:bCs/>
                <w:highlight w:val="none"/>
              </w:rPr>
            </w:pPr>
          </w:p>
        </w:tc>
        <w:tc>
          <w:tcPr>
            <w:tcW w:w="1309" w:type="dxa"/>
            <w:vAlign w:val="center"/>
          </w:tcPr>
          <w:p w14:paraId="5DBCF867">
            <w:pPr>
              <w:spacing w:line="440" w:lineRule="exact"/>
              <w:ind w:firstLine="480"/>
              <w:jc w:val="center"/>
              <w:rPr>
                <w:rFonts w:cs="宋体"/>
                <w:bCs/>
                <w:highlight w:val="none"/>
              </w:rPr>
            </w:pPr>
          </w:p>
        </w:tc>
        <w:tc>
          <w:tcPr>
            <w:tcW w:w="1418" w:type="dxa"/>
            <w:vAlign w:val="center"/>
          </w:tcPr>
          <w:p w14:paraId="68D7CD2F">
            <w:pPr>
              <w:spacing w:line="440" w:lineRule="exact"/>
              <w:ind w:firstLine="480"/>
              <w:jc w:val="center"/>
              <w:rPr>
                <w:rFonts w:cs="宋体"/>
                <w:bCs/>
                <w:highlight w:val="none"/>
              </w:rPr>
            </w:pPr>
          </w:p>
        </w:tc>
      </w:tr>
      <w:tr w14:paraId="03DA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234AC051">
            <w:pPr>
              <w:spacing w:line="440" w:lineRule="exact"/>
              <w:ind w:firstLine="0" w:firstLineChars="0"/>
              <w:jc w:val="center"/>
              <w:rPr>
                <w:rFonts w:cs="宋体"/>
                <w:bCs/>
                <w:highlight w:val="none"/>
              </w:rPr>
            </w:pPr>
            <w:r>
              <w:rPr>
                <w:rFonts w:hint="eastAsia" w:cs="宋体"/>
                <w:bCs/>
                <w:highlight w:val="none"/>
              </w:rPr>
              <w:t>2</w:t>
            </w:r>
          </w:p>
        </w:tc>
        <w:tc>
          <w:tcPr>
            <w:tcW w:w="1530" w:type="dxa"/>
            <w:vAlign w:val="center"/>
          </w:tcPr>
          <w:p w14:paraId="394BC16E">
            <w:pPr>
              <w:widowControl/>
              <w:spacing w:line="440" w:lineRule="exact"/>
              <w:ind w:firstLine="480"/>
              <w:jc w:val="center"/>
              <w:rPr>
                <w:rFonts w:cs="宋体"/>
                <w:kern w:val="0"/>
                <w:highlight w:val="none"/>
              </w:rPr>
            </w:pPr>
          </w:p>
        </w:tc>
        <w:tc>
          <w:tcPr>
            <w:tcW w:w="802" w:type="dxa"/>
            <w:vAlign w:val="center"/>
          </w:tcPr>
          <w:p w14:paraId="065EFF07">
            <w:pPr>
              <w:spacing w:line="440" w:lineRule="exact"/>
              <w:ind w:firstLine="480"/>
              <w:jc w:val="center"/>
              <w:rPr>
                <w:rFonts w:cs="宋体"/>
                <w:bCs/>
                <w:highlight w:val="none"/>
              </w:rPr>
            </w:pPr>
          </w:p>
        </w:tc>
        <w:tc>
          <w:tcPr>
            <w:tcW w:w="918" w:type="dxa"/>
            <w:vAlign w:val="center"/>
          </w:tcPr>
          <w:p w14:paraId="78B166DE">
            <w:pPr>
              <w:spacing w:line="440" w:lineRule="exact"/>
              <w:ind w:firstLine="480"/>
              <w:jc w:val="center"/>
              <w:rPr>
                <w:rFonts w:cs="宋体"/>
                <w:bCs/>
                <w:highlight w:val="none"/>
              </w:rPr>
            </w:pPr>
          </w:p>
        </w:tc>
        <w:tc>
          <w:tcPr>
            <w:tcW w:w="1567" w:type="dxa"/>
            <w:vAlign w:val="center"/>
          </w:tcPr>
          <w:p w14:paraId="338F4C06">
            <w:pPr>
              <w:spacing w:line="440" w:lineRule="exact"/>
              <w:ind w:firstLine="480"/>
              <w:jc w:val="center"/>
              <w:rPr>
                <w:rFonts w:cs="宋体"/>
                <w:bCs/>
                <w:highlight w:val="none"/>
              </w:rPr>
            </w:pPr>
          </w:p>
        </w:tc>
        <w:tc>
          <w:tcPr>
            <w:tcW w:w="1183" w:type="dxa"/>
            <w:vAlign w:val="center"/>
          </w:tcPr>
          <w:p w14:paraId="60D79D02">
            <w:pPr>
              <w:spacing w:line="440" w:lineRule="exact"/>
              <w:ind w:firstLine="480"/>
              <w:jc w:val="center"/>
              <w:rPr>
                <w:rFonts w:cs="宋体"/>
                <w:bCs/>
                <w:highlight w:val="none"/>
              </w:rPr>
            </w:pPr>
          </w:p>
        </w:tc>
        <w:tc>
          <w:tcPr>
            <w:tcW w:w="1309" w:type="dxa"/>
            <w:vAlign w:val="center"/>
          </w:tcPr>
          <w:p w14:paraId="5B29D24E">
            <w:pPr>
              <w:spacing w:line="440" w:lineRule="exact"/>
              <w:ind w:firstLine="480"/>
              <w:jc w:val="center"/>
              <w:rPr>
                <w:rFonts w:cs="宋体"/>
                <w:bCs/>
                <w:highlight w:val="none"/>
              </w:rPr>
            </w:pPr>
          </w:p>
        </w:tc>
        <w:tc>
          <w:tcPr>
            <w:tcW w:w="1418" w:type="dxa"/>
            <w:vAlign w:val="center"/>
          </w:tcPr>
          <w:p w14:paraId="641FE16F">
            <w:pPr>
              <w:spacing w:line="440" w:lineRule="exact"/>
              <w:ind w:firstLine="480"/>
              <w:jc w:val="center"/>
              <w:rPr>
                <w:rFonts w:cs="宋体"/>
                <w:bCs/>
                <w:highlight w:val="none"/>
              </w:rPr>
            </w:pPr>
          </w:p>
        </w:tc>
      </w:tr>
      <w:tr w14:paraId="1661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6D1A0893">
            <w:pPr>
              <w:spacing w:line="440" w:lineRule="exact"/>
              <w:ind w:firstLine="0" w:firstLineChars="0"/>
              <w:jc w:val="center"/>
              <w:rPr>
                <w:rFonts w:cs="宋体"/>
                <w:bCs/>
                <w:highlight w:val="none"/>
              </w:rPr>
            </w:pPr>
            <w:r>
              <w:rPr>
                <w:rFonts w:hint="eastAsia" w:cs="宋体"/>
                <w:bCs/>
                <w:highlight w:val="none"/>
              </w:rPr>
              <w:t>3</w:t>
            </w:r>
          </w:p>
        </w:tc>
        <w:tc>
          <w:tcPr>
            <w:tcW w:w="1530" w:type="dxa"/>
            <w:vAlign w:val="center"/>
          </w:tcPr>
          <w:p w14:paraId="7D7B45CF">
            <w:pPr>
              <w:spacing w:line="440" w:lineRule="exact"/>
              <w:ind w:firstLine="480"/>
              <w:jc w:val="center"/>
              <w:rPr>
                <w:rFonts w:cs="宋体"/>
                <w:bCs/>
                <w:highlight w:val="none"/>
              </w:rPr>
            </w:pPr>
          </w:p>
        </w:tc>
        <w:tc>
          <w:tcPr>
            <w:tcW w:w="802" w:type="dxa"/>
            <w:vAlign w:val="center"/>
          </w:tcPr>
          <w:p w14:paraId="0298D4CC">
            <w:pPr>
              <w:spacing w:line="440" w:lineRule="exact"/>
              <w:ind w:firstLine="480"/>
              <w:jc w:val="center"/>
              <w:rPr>
                <w:rFonts w:cs="宋体"/>
                <w:bCs/>
                <w:highlight w:val="none"/>
              </w:rPr>
            </w:pPr>
          </w:p>
        </w:tc>
        <w:tc>
          <w:tcPr>
            <w:tcW w:w="918" w:type="dxa"/>
            <w:vAlign w:val="center"/>
          </w:tcPr>
          <w:p w14:paraId="7865007B">
            <w:pPr>
              <w:spacing w:line="440" w:lineRule="exact"/>
              <w:ind w:firstLine="480"/>
              <w:jc w:val="center"/>
              <w:rPr>
                <w:rFonts w:cs="宋体"/>
                <w:bCs/>
                <w:highlight w:val="none"/>
              </w:rPr>
            </w:pPr>
          </w:p>
        </w:tc>
        <w:tc>
          <w:tcPr>
            <w:tcW w:w="1567" w:type="dxa"/>
            <w:vAlign w:val="center"/>
          </w:tcPr>
          <w:p w14:paraId="4FFB5906">
            <w:pPr>
              <w:spacing w:line="440" w:lineRule="exact"/>
              <w:ind w:firstLine="480"/>
              <w:jc w:val="center"/>
              <w:rPr>
                <w:rFonts w:cs="宋体"/>
                <w:bCs/>
                <w:highlight w:val="none"/>
              </w:rPr>
            </w:pPr>
          </w:p>
        </w:tc>
        <w:tc>
          <w:tcPr>
            <w:tcW w:w="1183" w:type="dxa"/>
            <w:vAlign w:val="center"/>
          </w:tcPr>
          <w:p w14:paraId="5DB2DCF4">
            <w:pPr>
              <w:spacing w:line="440" w:lineRule="exact"/>
              <w:ind w:firstLine="480"/>
              <w:jc w:val="center"/>
              <w:rPr>
                <w:rFonts w:cs="宋体"/>
                <w:bCs/>
                <w:highlight w:val="none"/>
              </w:rPr>
            </w:pPr>
          </w:p>
        </w:tc>
        <w:tc>
          <w:tcPr>
            <w:tcW w:w="1309" w:type="dxa"/>
            <w:vAlign w:val="center"/>
          </w:tcPr>
          <w:p w14:paraId="555658D1">
            <w:pPr>
              <w:spacing w:line="440" w:lineRule="exact"/>
              <w:ind w:firstLine="480"/>
              <w:jc w:val="center"/>
              <w:rPr>
                <w:rFonts w:cs="宋体"/>
                <w:bCs/>
                <w:highlight w:val="none"/>
              </w:rPr>
            </w:pPr>
          </w:p>
        </w:tc>
        <w:tc>
          <w:tcPr>
            <w:tcW w:w="1418" w:type="dxa"/>
            <w:vAlign w:val="center"/>
          </w:tcPr>
          <w:p w14:paraId="697F1B2E">
            <w:pPr>
              <w:spacing w:line="440" w:lineRule="exact"/>
              <w:ind w:firstLine="480"/>
              <w:jc w:val="center"/>
              <w:rPr>
                <w:rFonts w:cs="宋体"/>
                <w:bCs/>
                <w:highlight w:val="none"/>
              </w:rPr>
            </w:pPr>
          </w:p>
        </w:tc>
      </w:tr>
      <w:tr w14:paraId="2672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4EE8B993">
            <w:pPr>
              <w:spacing w:line="440" w:lineRule="exact"/>
              <w:ind w:firstLine="0" w:firstLineChars="0"/>
              <w:jc w:val="center"/>
              <w:rPr>
                <w:rFonts w:cs="宋体"/>
                <w:bCs/>
                <w:highlight w:val="none"/>
              </w:rPr>
            </w:pPr>
            <w:r>
              <w:rPr>
                <w:rFonts w:hint="eastAsia" w:cs="宋体"/>
                <w:bCs/>
                <w:highlight w:val="none"/>
              </w:rPr>
              <w:t>4</w:t>
            </w:r>
          </w:p>
        </w:tc>
        <w:tc>
          <w:tcPr>
            <w:tcW w:w="1530" w:type="dxa"/>
            <w:vAlign w:val="center"/>
          </w:tcPr>
          <w:p w14:paraId="70E48E20">
            <w:pPr>
              <w:spacing w:line="440" w:lineRule="exact"/>
              <w:ind w:firstLine="480"/>
              <w:jc w:val="center"/>
              <w:rPr>
                <w:rFonts w:cs="宋体"/>
                <w:bCs/>
                <w:highlight w:val="none"/>
              </w:rPr>
            </w:pPr>
          </w:p>
        </w:tc>
        <w:tc>
          <w:tcPr>
            <w:tcW w:w="802" w:type="dxa"/>
            <w:vAlign w:val="center"/>
          </w:tcPr>
          <w:p w14:paraId="26E64BBF">
            <w:pPr>
              <w:spacing w:line="440" w:lineRule="exact"/>
              <w:ind w:firstLine="480"/>
              <w:jc w:val="center"/>
              <w:rPr>
                <w:rFonts w:cs="宋体"/>
                <w:bCs/>
                <w:highlight w:val="none"/>
              </w:rPr>
            </w:pPr>
          </w:p>
        </w:tc>
        <w:tc>
          <w:tcPr>
            <w:tcW w:w="918" w:type="dxa"/>
            <w:vAlign w:val="center"/>
          </w:tcPr>
          <w:p w14:paraId="6D543F3B">
            <w:pPr>
              <w:spacing w:line="440" w:lineRule="exact"/>
              <w:ind w:firstLine="480"/>
              <w:jc w:val="center"/>
              <w:rPr>
                <w:rFonts w:cs="宋体"/>
                <w:bCs/>
                <w:highlight w:val="none"/>
              </w:rPr>
            </w:pPr>
          </w:p>
        </w:tc>
        <w:tc>
          <w:tcPr>
            <w:tcW w:w="1567" w:type="dxa"/>
            <w:vAlign w:val="center"/>
          </w:tcPr>
          <w:p w14:paraId="07A675EF">
            <w:pPr>
              <w:spacing w:line="440" w:lineRule="exact"/>
              <w:ind w:firstLine="480"/>
              <w:jc w:val="center"/>
              <w:rPr>
                <w:rFonts w:cs="宋体"/>
                <w:bCs/>
                <w:highlight w:val="none"/>
              </w:rPr>
            </w:pPr>
          </w:p>
        </w:tc>
        <w:tc>
          <w:tcPr>
            <w:tcW w:w="1183" w:type="dxa"/>
            <w:vAlign w:val="center"/>
          </w:tcPr>
          <w:p w14:paraId="282A12BA">
            <w:pPr>
              <w:spacing w:line="440" w:lineRule="exact"/>
              <w:ind w:firstLine="480"/>
              <w:jc w:val="center"/>
              <w:rPr>
                <w:rFonts w:cs="宋体"/>
                <w:bCs/>
                <w:highlight w:val="none"/>
              </w:rPr>
            </w:pPr>
          </w:p>
        </w:tc>
        <w:tc>
          <w:tcPr>
            <w:tcW w:w="1309" w:type="dxa"/>
            <w:vAlign w:val="center"/>
          </w:tcPr>
          <w:p w14:paraId="739E15BD">
            <w:pPr>
              <w:spacing w:line="440" w:lineRule="exact"/>
              <w:ind w:firstLine="480"/>
              <w:jc w:val="center"/>
              <w:rPr>
                <w:rFonts w:cs="宋体"/>
                <w:bCs/>
                <w:highlight w:val="none"/>
              </w:rPr>
            </w:pPr>
          </w:p>
        </w:tc>
        <w:tc>
          <w:tcPr>
            <w:tcW w:w="1418" w:type="dxa"/>
            <w:vAlign w:val="center"/>
          </w:tcPr>
          <w:p w14:paraId="272721F9">
            <w:pPr>
              <w:spacing w:line="440" w:lineRule="exact"/>
              <w:ind w:firstLine="480"/>
              <w:jc w:val="center"/>
              <w:rPr>
                <w:rFonts w:cs="宋体"/>
                <w:bCs/>
                <w:highlight w:val="none"/>
              </w:rPr>
            </w:pPr>
          </w:p>
        </w:tc>
      </w:tr>
      <w:tr w14:paraId="6FCD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57625CCC">
            <w:pPr>
              <w:spacing w:line="440" w:lineRule="exact"/>
              <w:ind w:firstLine="0" w:firstLineChars="0"/>
              <w:jc w:val="center"/>
              <w:rPr>
                <w:rFonts w:cs="宋体"/>
                <w:bCs/>
                <w:highlight w:val="none"/>
              </w:rPr>
            </w:pPr>
            <w:r>
              <w:rPr>
                <w:rFonts w:hint="eastAsia" w:cs="宋体"/>
                <w:bCs/>
                <w:highlight w:val="none"/>
              </w:rPr>
              <w:t>5</w:t>
            </w:r>
          </w:p>
        </w:tc>
        <w:tc>
          <w:tcPr>
            <w:tcW w:w="1530" w:type="dxa"/>
            <w:vAlign w:val="center"/>
          </w:tcPr>
          <w:p w14:paraId="480E6987">
            <w:pPr>
              <w:spacing w:line="440" w:lineRule="exact"/>
              <w:ind w:firstLine="480"/>
              <w:jc w:val="center"/>
              <w:rPr>
                <w:rFonts w:cs="宋体"/>
                <w:bCs/>
                <w:highlight w:val="none"/>
              </w:rPr>
            </w:pPr>
          </w:p>
        </w:tc>
        <w:tc>
          <w:tcPr>
            <w:tcW w:w="802" w:type="dxa"/>
            <w:vAlign w:val="center"/>
          </w:tcPr>
          <w:p w14:paraId="0944F262">
            <w:pPr>
              <w:spacing w:line="440" w:lineRule="exact"/>
              <w:ind w:firstLine="480"/>
              <w:jc w:val="center"/>
              <w:rPr>
                <w:rFonts w:cs="宋体"/>
                <w:bCs/>
                <w:highlight w:val="none"/>
              </w:rPr>
            </w:pPr>
          </w:p>
        </w:tc>
        <w:tc>
          <w:tcPr>
            <w:tcW w:w="918" w:type="dxa"/>
            <w:vAlign w:val="center"/>
          </w:tcPr>
          <w:p w14:paraId="06E9D995">
            <w:pPr>
              <w:spacing w:line="440" w:lineRule="exact"/>
              <w:ind w:firstLine="480"/>
              <w:jc w:val="center"/>
              <w:rPr>
                <w:rFonts w:cs="宋体"/>
                <w:bCs/>
                <w:highlight w:val="none"/>
              </w:rPr>
            </w:pPr>
          </w:p>
        </w:tc>
        <w:tc>
          <w:tcPr>
            <w:tcW w:w="1567" w:type="dxa"/>
            <w:vAlign w:val="center"/>
          </w:tcPr>
          <w:p w14:paraId="554DBF13">
            <w:pPr>
              <w:spacing w:line="440" w:lineRule="exact"/>
              <w:ind w:firstLine="480"/>
              <w:jc w:val="center"/>
              <w:rPr>
                <w:rFonts w:cs="宋体"/>
                <w:bCs/>
                <w:highlight w:val="none"/>
              </w:rPr>
            </w:pPr>
          </w:p>
        </w:tc>
        <w:tc>
          <w:tcPr>
            <w:tcW w:w="1183" w:type="dxa"/>
            <w:vAlign w:val="center"/>
          </w:tcPr>
          <w:p w14:paraId="7794F047">
            <w:pPr>
              <w:spacing w:line="440" w:lineRule="exact"/>
              <w:ind w:firstLine="480"/>
              <w:jc w:val="center"/>
              <w:rPr>
                <w:rFonts w:cs="宋体"/>
                <w:bCs/>
                <w:highlight w:val="none"/>
              </w:rPr>
            </w:pPr>
          </w:p>
        </w:tc>
        <w:tc>
          <w:tcPr>
            <w:tcW w:w="1309" w:type="dxa"/>
            <w:vAlign w:val="center"/>
          </w:tcPr>
          <w:p w14:paraId="38BE763D">
            <w:pPr>
              <w:spacing w:line="440" w:lineRule="exact"/>
              <w:ind w:firstLine="480"/>
              <w:jc w:val="center"/>
              <w:rPr>
                <w:rFonts w:cs="宋体"/>
                <w:bCs/>
                <w:highlight w:val="none"/>
              </w:rPr>
            </w:pPr>
          </w:p>
        </w:tc>
        <w:tc>
          <w:tcPr>
            <w:tcW w:w="1418" w:type="dxa"/>
            <w:vAlign w:val="center"/>
          </w:tcPr>
          <w:p w14:paraId="38566027">
            <w:pPr>
              <w:spacing w:line="440" w:lineRule="exact"/>
              <w:ind w:firstLine="480"/>
              <w:jc w:val="center"/>
              <w:rPr>
                <w:rFonts w:cs="宋体"/>
                <w:bCs/>
                <w:highlight w:val="none"/>
              </w:rPr>
            </w:pPr>
          </w:p>
        </w:tc>
      </w:tr>
      <w:tr w14:paraId="1D89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5E9D3558">
            <w:pPr>
              <w:spacing w:line="440" w:lineRule="exact"/>
              <w:ind w:firstLine="0" w:firstLineChars="0"/>
              <w:jc w:val="center"/>
              <w:rPr>
                <w:rFonts w:cs="宋体"/>
                <w:bCs/>
                <w:highlight w:val="none"/>
              </w:rPr>
            </w:pPr>
            <w:r>
              <w:rPr>
                <w:rFonts w:hint="eastAsia" w:cs="宋体"/>
                <w:bCs/>
                <w:highlight w:val="none"/>
              </w:rPr>
              <w:t>……</w:t>
            </w:r>
          </w:p>
        </w:tc>
        <w:tc>
          <w:tcPr>
            <w:tcW w:w="1530" w:type="dxa"/>
            <w:vAlign w:val="center"/>
          </w:tcPr>
          <w:p w14:paraId="3F2090F5">
            <w:pPr>
              <w:spacing w:line="440" w:lineRule="exact"/>
              <w:ind w:firstLine="480"/>
              <w:jc w:val="center"/>
              <w:rPr>
                <w:rFonts w:cs="宋体"/>
                <w:bCs/>
                <w:highlight w:val="none"/>
              </w:rPr>
            </w:pPr>
          </w:p>
        </w:tc>
        <w:tc>
          <w:tcPr>
            <w:tcW w:w="802" w:type="dxa"/>
            <w:vAlign w:val="center"/>
          </w:tcPr>
          <w:p w14:paraId="7629723D">
            <w:pPr>
              <w:spacing w:line="440" w:lineRule="exact"/>
              <w:ind w:firstLine="480"/>
              <w:jc w:val="center"/>
              <w:rPr>
                <w:rFonts w:cs="宋体"/>
                <w:bCs/>
                <w:highlight w:val="none"/>
              </w:rPr>
            </w:pPr>
          </w:p>
        </w:tc>
        <w:tc>
          <w:tcPr>
            <w:tcW w:w="918" w:type="dxa"/>
            <w:vAlign w:val="center"/>
          </w:tcPr>
          <w:p w14:paraId="02D91B9A">
            <w:pPr>
              <w:spacing w:line="440" w:lineRule="exact"/>
              <w:ind w:firstLine="480"/>
              <w:jc w:val="center"/>
              <w:rPr>
                <w:rFonts w:cs="宋体"/>
                <w:bCs/>
                <w:highlight w:val="none"/>
              </w:rPr>
            </w:pPr>
          </w:p>
        </w:tc>
        <w:tc>
          <w:tcPr>
            <w:tcW w:w="1567" w:type="dxa"/>
            <w:vAlign w:val="center"/>
          </w:tcPr>
          <w:p w14:paraId="1F8848DE">
            <w:pPr>
              <w:spacing w:line="440" w:lineRule="exact"/>
              <w:ind w:firstLine="480"/>
              <w:jc w:val="center"/>
              <w:rPr>
                <w:rFonts w:cs="宋体"/>
                <w:bCs/>
                <w:highlight w:val="none"/>
              </w:rPr>
            </w:pPr>
          </w:p>
        </w:tc>
        <w:tc>
          <w:tcPr>
            <w:tcW w:w="1183" w:type="dxa"/>
            <w:vAlign w:val="center"/>
          </w:tcPr>
          <w:p w14:paraId="2CFF4629">
            <w:pPr>
              <w:spacing w:line="440" w:lineRule="exact"/>
              <w:ind w:firstLine="480"/>
              <w:jc w:val="center"/>
              <w:rPr>
                <w:rFonts w:cs="宋体"/>
                <w:bCs/>
                <w:highlight w:val="none"/>
              </w:rPr>
            </w:pPr>
          </w:p>
        </w:tc>
        <w:tc>
          <w:tcPr>
            <w:tcW w:w="1309" w:type="dxa"/>
            <w:vAlign w:val="center"/>
          </w:tcPr>
          <w:p w14:paraId="170798CA">
            <w:pPr>
              <w:spacing w:line="440" w:lineRule="exact"/>
              <w:ind w:firstLine="480"/>
              <w:jc w:val="center"/>
              <w:rPr>
                <w:rFonts w:cs="宋体"/>
                <w:bCs/>
                <w:highlight w:val="none"/>
              </w:rPr>
            </w:pPr>
          </w:p>
        </w:tc>
        <w:tc>
          <w:tcPr>
            <w:tcW w:w="1418" w:type="dxa"/>
            <w:vAlign w:val="center"/>
          </w:tcPr>
          <w:p w14:paraId="0AFF7899">
            <w:pPr>
              <w:spacing w:line="440" w:lineRule="exact"/>
              <w:ind w:firstLine="480"/>
              <w:jc w:val="center"/>
              <w:rPr>
                <w:rFonts w:cs="宋体"/>
                <w:bCs/>
                <w:highlight w:val="none"/>
              </w:rPr>
            </w:pPr>
          </w:p>
        </w:tc>
      </w:tr>
      <w:tr w14:paraId="1C90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60BF8249">
            <w:pPr>
              <w:spacing w:line="440" w:lineRule="exact"/>
              <w:ind w:firstLine="0" w:firstLineChars="0"/>
              <w:jc w:val="left"/>
              <w:rPr>
                <w:rFonts w:cs="宋体"/>
                <w:bCs/>
                <w:highlight w:val="none"/>
              </w:rPr>
            </w:pPr>
            <w:r>
              <w:rPr>
                <w:rFonts w:hint="eastAsia" w:cs="宋体"/>
                <w:bCs/>
                <w:highlight w:val="none"/>
              </w:rPr>
              <w:t>总报价：（大写）</w:t>
            </w:r>
            <w:r>
              <w:rPr>
                <w:rFonts w:hint="eastAsia" w:cs="宋体"/>
                <w:bCs/>
                <w:highlight w:val="none"/>
                <w:u w:val="single"/>
              </w:rPr>
              <w:t xml:space="preserve">       </w:t>
            </w:r>
            <w:r>
              <w:rPr>
                <w:rFonts w:hint="eastAsia" w:cs="宋体"/>
                <w:bCs/>
                <w:highlight w:val="none"/>
              </w:rPr>
              <w:t>元；（小写）：</w:t>
            </w:r>
            <w:r>
              <w:rPr>
                <w:rFonts w:hint="eastAsia" w:cs="宋体"/>
                <w:bCs/>
                <w:highlight w:val="none"/>
                <w:u w:val="single"/>
              </w:rPr>
              <w:t xml:space="preserve">       </w:t>
            </w:r>
            <w:r>
              <w:rPr>
                <w:rFonts w:hint="eastAsia" w:cs="宋体"/>
                <w:bCs/>
                <w:highlight w:val="none"/>
              </w:rPr>
              <w:t>元</w:t>
            </w:r>
          </w:p>
        </w:tc>
      </w:tr>
    </w:tbl>
    <w:p w14:paraId="7A09A53A">
      <w:pPr>
        <w:ind w:firstLine="0" w:firstLineChars="0"/>
        <w:rPr>
          <w:highlight w:val="none"/>
        </w:rPr>
      </w:pPr>
    </w:p>
    <w:p w14:paraId="6EAE6D09">
      <w:pPr>
        <w:ind w:firstLine="0" w:firstLineChars="0"/>
        <w:rPr>
          <w:highlight w:val="none"/>
        </w:rPr>
      </w:pPr>
      <w:r>
        <w:rPr>
          <w:rFonts w:hint="eastAsia"/>
          <w:highlight w:val="none"/>
        </w:rPr>
        <w:t>注：1）报价明细表内容须严格按照“第二章-采购需求-各标项采购内容清单”逐一对应填写，不得缺项；</w:t>
      </w:r>
    </w:p>
    <w:p w14:paraId="7C49EC4C">
      <w:pPr>
        <w:ind w:firstLine="480"/>
        <w:rPr>
          <w:highlight w:val="none"/>
        </w:rPr>
      </w:pPr>
      <w:r>
        <w:rPr>
          <w:rFonts w:hint="eastAsia"/>
          <w:highlight w:val="none"/>
        </w:rPr>
        <w:t>2）各标项总报价须与“开标一览表”中相对应标项的投标总报价保持一致。</w:t>
      </w:r>
    </w:p>
    <w:p w14:paraId="76EF9794">
      <w:pPr>
        <w:ind w:firstLine="0" w:firstLineChars="0"/>
        <w:rPr>
          <w:rFonts w:cs="宋体"/>
          <w:highlight w:val="none"/>
        </w:rPr>
      </w:pPr>
    </w:p>
    <w:p w14:paraId="3F100887">
      <w:pPr>
        <w:ind w:firstLine="0" w:firstLineChars="0"/>
        <w:rPr>
          <w:rFonts w:cs="宋体"/>
          <w:highlight w:val="none"/>
        </w:rPr>
      </w:pPr>
      <w:r>
        <w:rPr>
          <w:rFonts w:hint="eastAsia" w:cs="宋体"/>
          <w:highlight w:val="none"/>
        </w:rPr>
        <w:t>投标人名称（盖章）：</w:t>
      </w:r>
    </w:p>
    <w:p w14:paraId="500F3480">
      <w:pPr>
        <w:ind w:firstLine="0" w:firstLineChars="0"/>
        <w:rPr>
          <w:rFonts w:cs="宋体"/>
          <w:highlight w:val="none"/>
        </w:rPr>
      </w:pPr>
      <w:r>
        <w:rPr>
          <w:rFonts w:hint="eastAsia" w:cs="宋体"/>
          <w:highlight w:val="none"/>
        </w:rPr>
        <w:t>法定代表人或其授权代表（签字）：</w:t>
      </w:r>
    </w:p>
    <w:p w14:paraId="722E979C">
      <w:pPr>
        <w:tabs>
          <w:tab w:val="left" w:pos="524"/>
        </w:tabs>
        <w:ind w:firstLine="0" w:firstLineChars="0"/>
        <w:jc w:val="left"/>
        <w:rPr>
          <w:highlight w:val="none"/>
        </w:rPr>
        <w:sectPr>
          <w:pgSz w:w="11906" w:h="16838"/>
          <w:pgMar w:top="1440" w:right="1304" w:bottom="1020" w:left="1304" w:header="851" w:footer="992" w:gutter="0"/>
          <w:cols w:space="720" w:num="1"/>
          <w:docGrid w:type="lines" w:linePitch="312" w:charSpace="0"/>
        </w:sectPr>
      </w:pPr>
      <w:r>
        <w:rPr>
          <w:rFonts w:hint="eastAsia"/>
          <w:highlight w:val="none"/>
        </w:rPr>
        <w:t>日期：    年   月   日</w:t>
      </w:r>
    </w:p>
    <w:p w14:paraId="37222861">
      <w:pPr>
        <w:spacing w:line="240" w:lineRule="auto"/>
        <w:ind w:firstLine="0" w:firstLineChars="0"/>
        <w:jc w:val="left"/>
        <w:rPr>
          <w:rFonts w:cs="宋体"/>
          <w:b/>
          <w:bCs/>
          <w:highlight w:val="none"/>
        </w:rPr>
      </w:pPr>
      <w:r>
        <w:rPr>
          <w:rFonts w:hint="eastAsia" w:cs="宋体"/>
          <w:b/>
          <w:bCs/>
          <w:highlight w:val="none"/>
        </w:rPr>
        <w:t>附件十四</w:t>
      </w:r>
    </w:p>
    <w:p w14:paraId="073134D5">
      <w:pPr>
        <w:spacing w:line="480" w:lineRule="auto"/>
        <w:ind w:firstLine="0" w:firstLineChars="0"/>
        <w:jc w:val="center"/>
        <w:rPr>
          <w:highlight w:val="none"/>
        </w:rPr>
      </w:pPr>
      <w:r>
        <w:rPr>
          <w:rFonts w:hint="eastAsia"/>
          <w:b/>
          <w:bCs/>
          <w:sz w:val="28"/>
          <w:szCs w:val="28"/>
          <w:highlight w:val="none"/>
        </w:rPr>
        <w:t>缴纳采购代理服务费承诺函</w:t>
      </w:r>
    </w:p>
    <w:p w14:paraId="0FC7D4F1">
      <w:pPr>
        <w:spacing w:line="480" w:lineRule="auto"/>
        <w:ind w:firstLine="0" w:firstLineChars="0"/>
        <w:rPr>
          <w:highlight w:val="none"/>
        </w:rPr>
      </w:pPr>
      <w:r>
        <w:rPr>
          <w:rFonts w:hint="eastAsia"/>
          <w:highlight w:val="none"/>
          <w:u w:val="single"/>
        </w:rPr>
        <w:t>浙江致信招标代理有限公司</w:t>
      </w:r>
      <w:r>
        <w:rPr>
          <w:rFonts w:hint="eastAsia"/>
          <w:highlight w:val="none"/>
        </w:rPr>
        <w:t>：</w:t>
      </w:r>
    </w:p>
    <w:p w14:paraId="65F6CB90">
      <w:pPr>
        <w:spacing w:line="640" w:lineRule="exact"/>
        <w:ind w:firstLine="480"/>
        <w:rPr>
          <w:rFonts w:cs="宋体"/>
          <w:highlight w:val="none"/>
        </w:rPr>
      </w:pPr>
      <w:r>
        <w:rPr>
          <w:rFonts w:hint="eastAsia" w:cs="宋体"/>
          <w:highlight w:val="none"/>
        </w:rPr>
        <w:t>我方在你公司组织的</w:t>
      </w:r>
      <w:r>
        <w:rPr>
          <w:rFonts w:hint="eastAsia" w:cs="宋体"/>
          <w:highlight w:val="none"/>
          <w:u w:val="single"/>
        </w:rPr>
        <w:t>【项目名称】（项目编号）</w:t>
      </w:r>
      <w:r>
        <w:rPr>
          <w:rFonts w:hint="eastAsia" w:cs="宋体"/>
          <w:highlight w:val="none"/>
        </w:rPr>
        <w:t>的采购活动中若获成交，我方保证于中标后，按采购文件</w:t>
      </w:r>
      <w:r>
        <w:rPr>
          <w:rFonts w:hint="eastAsia" w:cs="宋体"/>
          <w:b/>
          <w:highlight w:val="none"/>
        </w:rPr>
        <w:t>“响应/投标人须知前附表”</w:t>
      </w:r>
      <w:r>
        <w:rPr>
          <w:rFonts w:hint="eastAsia" w:cs="宋体"/>
          <w:highlight w:val="none"/>
        </w:rPr>
        <w:t>规定的采购代理服务费缴纳标准及方式，向你公司支付采购代理服务费。</w:t>
      </w:r>
    </w:p>
    <w:p w14:paraId="7C58F308">
      <w:pPr>
        <w:spacing w:line="640" w:lineRule="exact"/>
        <w:ind w:firstLine="480"/>
        <w:rPr>
          <w:rFonts w:cs="宋体"/>
          <w:highlight w:val="none"/>
        </w:rPr>
      </w:pPr>
      <w:r>
        <w:rPr>
          <w:rFonts w:hint="eastAsia" w:cs="宋体"/>
          <w:highlight w:val="none"/>
        </w:rPr>
        <w:t>我方理解并承诺，若未能按时缴纳采购代理服务费将被视为放弃中标资格，由此产生的法律责任我方自行承担。我方承诺，本承诺书一旦签署，即具有法律效力，我方将严格按照承诺书的内容执行。</w:t>
      </w:r>
    </w:p>
    <w:p w14:paraId="051C8B67">
      <w:pPr>
        <w:spacing w:line="640" w:lineRule="exact"/>
        <w:ind w:firstLine="480"/>
        <w:rPr>
          <w:highlight w:val="none"/>
        </w:rPr>
      </w:pPr>
      <w:r>
        <w:rPr>
          <w:rFonts w:hint="eastAsia" w:cs="宋体"/>
          <w:highlight w:val="none"/>
        </w:rPr>
        <w:t>特此承诺。</w:t>
      </w:r>
    </w:p>
    <w:p w14:paraId="32AAE642">
      <w:pPr>
        <w:pStyle w:val="20"/>
        <w:snapToGrid w:val="0"/>
        <w:spacing w:line="360" w:lineRule="auto"/>
        <w:rPr>
          <w:highlight w:val="none"/>
        </w:rPr>
      </w:pPr>
    </w:p>
    <w:p w14:paraId="75506CA5">
      <w:pPr>
        <w:ind w:firstLine="480"/>
        <w:rPr>
          <w:highlight w:val="none"/>
        </w:rPr>
      </w:pPr>
    </w:p>
    <w:p w14:paraId="5CA8DE03">
      <w:pPr>
        <w:spacing w:line="480" w:lineRule="auto"/>
        <w:ind w:firstLine="0" w:firstLineChars="0"/>
        <w:rPr>
          <w:rFonts w:cs="宋体"/>
          <w:highlight w:val="none"/>
        </w:rPr>
      </w:pPr>
    </w:p>
    <w:p w14:paraId="427396D0">
      <w:pPr>
        <w:spacing w:line="480" w:lineRule="auto"/>
        <w:ind w:firstLine="0" w:firstLineChars="0"/>
        <w:rPr>
          <w:rFonts w:cs="宋体"/>
          <w:highlight w:val="none"/>
        </w:rPr>
      </w:pPr>
      <w:r>
        <w:rPr>
          <w:rFonts w:hint="eastAsia" w:cs="宋体"/>
          <w:highlight w:val="none"/>
        </w:rPr>
        <w:t>投标人名称（公章）：</w:t>
      </w:r>
    </w:p>
    <w:p w14:paraId="7A3D5FAF">
      <w:pPr>
        <w:spacing w:line="480" w:lineRule="auto"/>
        <w:ind w:firstLine="0" w:firstLineChars="0"/>
        <w:rPr>
          <w:rFonts w:cs="宋体"/>
          <w:highlight w:val="none"/>
        </w:rPr>
      </w:pPr>
      <w:r>
        <w:rPr>
          <w:rFonts w:hint="eastAsia" w:cs="宋体"/>
          <w:highlight w:val="none"/>
        </w:rPr>
        <w:t>法定代表人或其授权代表（签字）：</w:t>
      </w:r>
    </w:p>
    <w:p w14:paraId="40EB2399">
      <w:pPr>
        <w:spacing w:line="480" w:lineRule="auto"/>
        <w:ind w:firstLine="0" w:firstLineChars="0"/>
        <w:rPr>
          <w:highlight w:val="none"/>
        </w:rPr>
      </w:pPr>
      <w:r>
        <w:rPr>
          <w:rFonts w:hint="eastAsia" w:cs="宋体"/>
          <w:highlight w:val="none"/>
        </w:rPr>
        <w:t>日期：  年   月   日</w:t>
      </w:r>
    </w:p>
    <w:p w14:paraId="1B78CADB">
      <w:pPr>
        <w:ind w:firstLine="0" w:firstLineChars="0"/>
        <w:jc w:val="left"/>
        <w:rPr>
          <w:rFonts w:cs="宋体"/>
          <w:highlight w:val="none"/>
        </w:rPr>
        <w:sectPr>
          <w:pgSz w:w="11906" w:h="16838"/>
          <w:pgMar w:top="1440" w:right="1304" w:bottom="1020" w:left="1304" w:header="851" w:footer="992" w:gutter="0"/>
          <w:cols w:space="720" w:num="1"/>
          <w:docGrid w:type="lines" w:linePitch="312" w:charSpace="0"/>
        </w:sectPr>
      </w:pPr>
    </w:p>
    <w:p w14:paraId="53C5D714">
      <w:pPr>
        <w:ind w:firstLine="0" w:firstLineChars="0"/>
        <w:jc w:val="center"/>
        <w:rPr>
          <w:rFonts w:cs="宋体"/>
          <w:b/>
          <w:bCs/>
          <w:highlight w:val="none"/>
        </w:rPr>
      </w:pPr>
    </w:p>
    <w:p w14:paraId="36BAB284">
      <w:pPr>
        <w:ind w:firstLine="0" w:firstLineChars="0"/>
        <w:jc w:val="center"/>
        <w:rPr>
          <w:highlight w:val="none"/>
        </w:rPr>
      </w:pPr>
      <w:r>
        <w:rPr>
          <w:rFonts w:hint="eastAsia" w:cs="宋体"/>
          <w:b/>
          <w:bCs/>
          <w:highlight w:val="none"/>
        </w:rPr>
        <w:t>5.投标人针对投标报价需要补充的其他文件和说明</w:t>
      </w:r>
      <w:r>
        <w:rPr>
          <w:rFonts w:hint="eastAsia"/>
          <w:b/>
          <w:bCs/>
          <w:highlight w:val="none"/>
        </w:rPr>
        <w:t>。</w:t>
      </w:r>
    </w:p>
    <w:p w14:paraId="26B18DAB">
      <w:pPr>
        <w:spacing w:line="240" w:lineRule="auto"/>
        <w:ind w:firstLine="0" w:firstLineChars="0"/>
        <w:jc w:val="left"/>
        <w:rPr>
          <w:rFonts w:cs="宋体"/>
          <w:b/>
          <w:bCs/>
          <w:highlight w:val="none"/>
        </w:rPr>
        <w:sectPr>
          <w:pgSz w:w="11906" w:h="16838"/>
          <w:pgMar w:top="1440" w:right="1304" w:bottom="1020" w:left="1304" w:header="851" w:footer="992" w:gutter="0"/>
          <w:cols w:space="720" w:num="1"/>
          <w:docGrid w:type="lines" w:linePitch="312" w:charSpace="0"/>
        </w:sectPr>
      </w:pPr>
    </w:p>
    <w:p w14:paraId="1566583C">
      <w:pPr>
        <w:spacing w:line="240" w:lineRule="auto"/>
        <w:ind w:firstLine="0" w:firstLineChars="0"/>
        <w:jc w:val="left"/>
        <w:rPr>
          <w:rFonts w:cs="宋体"/>
          <w:highlight w:val="none"/>
        </w:rPr>
      </w:pPr>
      <w:r>
        <w:rPr>
          <w:rFonts w:hint="eastAsia" w:cs="宋体"/>
          <w:b/>
          <w:bCs/>
          <w:highlight w:val="none"/>
        </w:rPr>
        <w:t>附件十五</w:t>
      </w:r>
    </w:p>
    <w:p w14:paraId="2550030C">
      <w:pPr>
        <w:ind w:firstLine="0" w:firstLineChars="0"/>
        <w:jc w:val="center"/>
        <w:rPr>
          <w:rFonts w:cs="宋体"/>
          <w:b/>
          <w:bCs/>
          <w:sz w:val="28"/>
          <w:szCs w:val="28"/>
          <w:highlight w:val="none"/>
        </w:rPr>
      </w:pPr>
      <w:r>
        <w:rPr>
          <w:rFonts w:hint="eastAsia" w:cs="宋体"/>
          <w:b/>
          <w:bCs/>
          <w:sz w:val="28"/>
          <w:szCs w:val="28"/>
          <w:highlight w:val="none"/>
        </w:rPr>
        <w:t>弃标函</w:t>
      </w:r>
    </w:p>
    <w:p w14:paraId="19BA6327">
      <w:pPr>
        <w:ind w:firstLine="480"/>
        <w:rPr>
          <w:rFonts w:cs="宋体"/>
          <w:highlight w:val="none"/>
        </w:rPr>
      </w:pPr>
    </w:p>
    <w:p w14:paraId="7A3B9003">
      <w:pPr>
        <w:ind w:firstLine="0" w:firstLineChars="0"/>
        <w:rPr>
          <w:rFonts w:cs="宋体"/>
          <w:b/>
          <w:highlight w:val="none"/>
        </w:rPr>
      </w:pPr>
      <w:r>
        <w:rPr>
          <w:rFonts w:hint="eastAsia" w:cs="宋体"/>
          <w:highlight w:val="none"/>
          <w:u w:val="single"/>
        </w:rPr>
        <w:t>（代理机构）</w:t>
      </w:r>
      <w:r>
        <w:rPr>
          <w:rFonts w:hint="eastAsia" w:cs="宋体"/>
          <w:highlight w:val="none"/>
        </w:rPr>
        <w:t>：</w:t>
      </w:r>
    </w:p>
    <w:p w14:paraId="3735C7BB">
      <w:pPr>
        <w:ind w:firstLine="480"/>
        <w:rPr>
          <w:rFonts w:cs="宋体"/>
          <w:highlight w:val="none"/>
        </w:rPr>
      </w:pPr>
    </w:p>
    <w:p w14:paraId="337E9E47">
      <w:pPr>
        <w:spacing w:line="480" w:lineRule="auto"/>
        <w:ind w:firstLine="480"/>
        <w:rPr>
          <w:highlight w:val="none"/>
        </w:rPr>
      </w:pPr>
      <w:r>
        <w:rPr>
          <w:rFonts w:hint="eastAsia"/>
          <w:highlight w:val="none"/>
        </w:rPr>
        <w:t>我公司</w:t>
      </w:r>
      <w:r>
        <w:rPr>
          <w:rFonts w:hint="eastAsia"/>
          <w:highlight w:val="none"/>
          <w:u w:val="single"/>
        </w:rPr>
        <w:t xml:space="preserve">              </w:t>
      </w:r>
      <w:r>
        <w:rPr>
          <w:rFonts w:hint="eastAsia"/>
          <w:highlight w:val="none"/>
        </w:rPr>
        <w:t>，于202</w:t>
      </w:r>
      <w:r>
        <w:rPr>
          <w:rFonts w:hint="eastAsia"/>
          <w:highlight w:val="none"/>
          <w:lang w:val="en-US" w:eastAsia="zh-CN"/>
        </w:rPr>
        <w:t>5</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日报名参与</w:t>
      </w:r>
      <w:r>
        <w:rPr>
          <w:rFonts w:hint="eastAsia"/>
          <w:highlight w:val="none"/>
          <w:u w:val="single"/>
        </w:rPr>
        <w:t xml:space="preserve">    （项目名称）     </w:t>
      </w:r>
      <w:r>
        <w:rPr>
          <w:rFonts w:hint="eastAsia"/>
          <w:highlight w:val="none"/>
        </w:rPr>
        <w:t>项目，由于</w:t>
      </w:r>
      <w:r>
        <w:rPr>
          <w:rFonts w:hint="eastAsia"/>
          <w:highlight w:val="none"/>
          <w:u w:val="single"/>
        </w:rPr>
        <w:t xml:space="preserve">                </w:t>
      </w:r>
      <w:r>
        <w:rPr>
          <w:rFonts w:hint="eastAsia"/>
          <w:highlight w:val="none"/>
        </w:rPr>
        <w:t>原因，经研究决定放弃投标。特此声明。</w:t>
      </w:r>
    </w:p>
    <w:p w14:paraId="2F64F193">
      <w:pPr>
        <w:ind w:firstLine="480"/>
        <w:rPr>
          <w:rFonts w:cs="宋体"/>
          <w:highlight w:val="none"/>
        </w:rPr>
      </w:pPr>
    </w:p>
    <w:p w14:paraId="79990E59">
      <w:pPr>
        <w:ind w:firstLine="480"/>
        <w:rPr>
          <w:rFonts w:cs="宋体"/>
          <w:highlight w:val="none"/>
        </w:rPr>
      </w:pPr>
    </w:p>
    <w:p w14:paraId="215A0BAB">
      <w:pPr>
        <w:ind w:firstLine="480"/>
        <w:rPr>
          <w:rFonts w:cs="宋体"/>
          <w:highlight w:val="none"/>
        </w:rPr>
      </w:pPr>
    </w:p>
    <w:p w14:paraId="4529A6ED">
      <w:pPr>
        <w:ind w:firstLine="480"/>
        <w:rPr>
          <w:rFonts w:cs="宋体"/>
          <w:highlight w:val="none"/>
        </w:rPr>
      </w:pPr>
    </w:p>
    <w:p w14:paraId="69C0A16B">
      <w:pPr>
        <w:ind w:firstLine="480"/>
        <w:rPr>
          <w:rFonts w:cs="宋体"/>
          <w:highlight w:val="none"/>
        </w:rPr>
      </w:pPr>
    </w:p>
    <w:p w14:paraId="0B3F18D6">
      <w:pPr>
        <w:spacing w:line="480" w:lineRule="auto"/>
        <w:ind w:firstLine="480"/>
        <w:rPr>
          <w:rFonts w:cs="宋体"/>
          <w:highlight w:val="none"/>
        </w:rPr>
      </w:pPr>
      <w:r>
        <w:rPr>
          <w:rFonts w:hint="eastAsia" w:cs="宋体"/>
          <w:highlight w:val="none"/>
        </w:rPr>
        <w:t>投标人名称（公章）：</w:t>
      </w:r>
    </w:p>
    <w:p w14:paraId="69BE9456">
      <w:pPr>
        <w:spacing w:line="480" w:lineRule="auto"/>
        <w:ind w:firstLine="480"/>
        <w:rPr>
          <w:rFonts w:cs="宋体"/>
          <w:highlight w:val="none"/>
        </w:rPr>
      </w:pPr>
      <w:r>
        <w:rPr>
          <w:rFonts w:hint="eastAsia" w:cs="宋体"/>
          <w:highlight w:val="none"/>
        </w:rPr>
        <w:t>日期：  年   月   日</w:t>
      </w:r>
    </w:p>
    <w:p w14:paraId="2F2EBFB4">
      <w:pPr>
        <w:ind w:firstLine="480"/>
        <w:rPr>
          <w:rFonts w:cs="宋体"/>
          <w:highlight w:val="none"/>
        </w:rPr>
      </w:pPr>
    </w:p>
    <w:p w14:paraId="603EF99D">
      <w:pPr>
        <w:ind w:firstLine="480"/>
        <w:rPr>
          <w:rFonts w:cs="宋体"/>
          <w:highlight w:val="none"/>
        </w:rPr>
      </w:pPr>
    </w:p>
    <w:p w14:paraId="23D38686">
      <w:pPr>
        <w:ind w:firstLine="480"/>
        <w:rPr>
          <w:rFonts w:cs="宋体"/>
          <w:highlight w:val="none"/>
          <w:u w:val="single"/>
        </w:rPr>
      </w:pPr>
      <w:r>
        <w:rPr>
          <w:rFonts w:hint="eastAsia" w:cs="宋体"/>
          <w:highlight w:val="none"/>
        </w:rPr>
        <w:t>注：报名单位若不参与该项目的投标，请于开标截止前3个工作日将弃标函盖章发送至我公司邮箱。邮箱地址：</w:t>
      </w:r>
      <w:r>
        <w:rPr>
          <w:rFonts w:hint="eastAsia" w:cs="宋体"/>
          <w:color w:val="000000" w:themeColor="text1"/>
          <w:kern w:val="0"/>
          <w:highlight w:val="none"/>
          <w:u w:val="single"/>
          <w14:textFill>
            <w14:solidFill>
              <w14:schemeClr w14:val="tx1"/>
            </w14:solidFill>
          </w14:textFill>
        </w:rPr>
        <w:t>hzzx@zxbidding.cn</w:t>
      </w:r>
      <w:r>
        <w:rPr>
          <w:rFonts w:hint="eastAsia" w:cs="宋体"/>
          <w:highlight w:val="none"/>
          <w:u w:val="single"/>
        </w:rPr>
        <w:t xml:space="preserve">             </w:t>
      </w:r>
    </w:p>
    <w:p w14:paraId="3080BC14">
      <w:pPr>
        <w:ind w:firstLine="480"/>
        <w:rPr>
          <w:rStyle w:val="52"/>
          <w:rFonts w:ascii="宋体" w:hAnsi="宋体" w:cs="宋体"/>
          <w:color w:val="auto"/>
          <w:highlight w:val="none"/>
        </w:rPr>
      </w:pPr>
      <w:r>
        <w:rPr>
          <w:rFonts w:hint="eastAsia" w:cs="宋体"/>
          <w:highlight w:val="none"/>
        </w:rPr>
        <w:fldChar w:fldCharType="begin"/>
      </w:r>
      <w:r>
        <w:rPr>
          <w:rFonts w:hint="eastAsia" w:cs="宋体"/>
          <w:highlight w:val="none"/>
        </w:rPr>
        <w:instrText xml:space="preserve"> HYPERLINK "mailto:2810140286@qq.com。" </w:instrText>
      </w:r>
      <w:r>
        <w:rPr>
          <w:rFonts w:hint="eastAsia" w:cs="宋体"/>
          <w:highlight w:val="none"/>
        </w:rPr>
        <w:fldChar w:fldCharType="separate"/>
      </w:r>
    </w:p>
    <w:p w14:paraId="78860F2A">
      <w:pPr>
        <w:pStyle w:val="5"/>
        <w:rPr>
          <w:rFonts w:cs="宋体"/>
          <w:szCs w:val="24"/>
          <w:highlight w:val="none"/>
        </w:rPr>
        <w:sectPr>
          <w:pgSz w:w="11906" w:h="16838"/>
          <w:pgMar w:top="1440" w:right="1304" w:bottom="1020" w:left="1304" w:header="851" w:footer="992" w:gutter="0"/>
          <w:cols w:space="720" w:num="1"/>
          <w:docGrid w:type="lines" w:linePitch="312" w:charSpace="0"/>
        </w:sectPr>
      </w:pPr>
    </w:p>
    <w:p w14:paraId="2EB203C7">
      <w:pPr>
        <w:ind w:firstLine="0" w:firstLineChars="0"/>
        <w:rPr>
          <w:rFonts w:cs="宋体"/>
          <w:b/>
          <w:bCs/>
          <w:highlight w:val="none"/>
        </w:rPr>
      </w:pPr>
      <w:r>
        <w:rPr>
          <w:rFonts w:hint="eastAsia" w:cs="宋体"/>
          <w:highlight w:val="none"/>
        </w:rPr>
        <w:fldChar w:fldCharType="end"/>
      </w:r>
      <w:r>
        <w:rPr>
          <w:rFonts w:hint="eastAsia" w:cs="宋体"/>
          <w:b/>
          <w:bCs/>
          <w:highlight w:val="none"/>
        </w:rPr>
        <w:t>附件十六：质疑函范本及制作说明</w:t>
      </w:r>
    </w:p>
    <w:p w14:paraId="1E5AAC82">
      <w:pPr>
        <w:ind w:firstLine="4103" w:firstLineChars="1400"/>
        <w:rPr>
          <w:rFonts w:cs="宋体"/>
          <w:b/>
          <w:spacing w:val="6"/>
          <w:sz w:val="28"/>
          <w:szCs w:val="28"/>
          <w:highlight w:val="none"/>
        </w:rPr>
      </w:pPr>
      <w:r>
        <w:rPr>
          <w:rFonts w:hint="eastAsia" w:cs="宋体"/>
          <w:b/>
          <w:spacing w:val="6"/>
          <w:sz w:val="28"/>
          <w:szCs w:val="28"/>
          <w:highlight w:val="none"/>
        </w:rPr>
        <w:t>质疑函范本</w:t>
      </w:r>
    </w:p>
    <w:p w14:paraId="50439C38">
      <w:pPr>
        <w:snapToGrid w:val="0"/>
        <w:spacing w:before="312" w:beforeLines="100"/>
        <w:ind w:firstLine="480"/>
        <w:rPr>
          <w:rFonts w:cs="宋体"/>
          <w:bCs/>
          <w:highlight w:val="none"/>
        </w:rPr>
      </w:pPr>
      <w:r>
        <w:rPr>
          <w:rFonts w:hint="eastAsia" w:cs="宋体"/>
          <w:bCs/>
          <w:highlight w:val="none"/>
        </w:rPr>
        <w:t>一、质疑投标人基本信息</w:t>
      </w:r>
    </w:p>
    <w:p w14:paraId="4E8A8C01">
      <w:pPr>
        <w:snapToGrid w:val="0"/>
        <w:ind w:firstLine="480"/>
        <w:rPr>
          <w:rFonts w:cs="宋体"/>
          <w:highlight w:val="none"/>
          <w:u w:val="dotted"/>
        </w:rPr>
      </w:pPr>
      <w:r>
        <w:rPr>
          <w:rFonts w:hint="eastAsia" w:cs="宋体"/>
          <w:highlight w:val="none"/>
        </w:rPr>
        <w:t>质疑投标人：</w:t>
      </w:r>
      <w:r>
        <w:rPr>
          <w:rFonts w:hint="eastAsia" w:cs="宋体"/>
          <w:highlight w:val="none"/>
          <w:u w:val="dotted"/>
        </w:rPr>
        <w:t xml:space="preserve">                                        </w:t>
      </w:r>
    </w:p>
    <w:p w14:paraId="4FE23AFB">
      <w:pPr>
        <w:snapToGrid w:val="0"/>
        <w:ind w:firstLine="480"/>
        <w:rPr>
          <w:rFonts w:cs="宋体"/>
          <w:highlight w:val="none"/>
        </w:rPr>
      </w:pPr>
      <w:r>
        <w:rPr>
          <w:rFonts w:hint="eastAsia" w:cs="宋体"/>
          <w:highlight w:val="none"/>
        </w:rPr>
        <w:t>地址：</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4C1DA3A9">
      <w:pPr>
        <w:snapToGrid w:val="0"/>
        <w:ind w:firstLine="480"/>
        <w:rPr>
          <w:rFonts w:cs="宋体"/>
          <w:highlight w:val="none"/>
        </w:rPr>
      </w:pPr>
      <w:r>
        <w:rPr>
          <w:rFonts w:hint="eastAsia" w:cs="宋体"/>
          <w:highlight w:val="none"/>
        </w:rPr>
        <w:t>联系人：</w:t>
      </w:r>
      <w:r>
        <w:rPr>
          <w:rFonts w:hint="eastAsia" w:cs="宋体"/>
          <w:highlight w:val="none"/>
          <w:u w:val="dotted"/>
        </w:rPr>
        <w:t xml:space="preserve">                      </w:t>
      </w:r>
      <w:r>
        <w:rPr>
          <w:rFonts w:hint="eastAsia" w:cs="宋体"/>
          <w:highlight w:val="none"/>
        </w:rPr>
        <w:t>联系电话：</w:t>
      </w:r>
      <w:r>
        <w:rPr>
          <w:rFonts w:hint="eastAsia" w:cs="宋体"/>
          <w:highlight w:val="none"/>
          <w:u w:val="dotted"/>
        </w:rPr>
        <w:t xml:space="preserve">             </w:t>
      </w:r>
    </w:p>
    <w:p w14:paraId="64161D16">
      <w:pPr>
        <w:snapToGrid w:val="0"/>
        <w:ind w:firstLine="480"/>
        <w:rPr>
          <w:rFonts w:cs="宋体"/>
          <w:highlight w:val="none"/>
          <w:u w:val="dotted"/>
        </w:rPr>
      </w:pPr>
      <w:r>
        <w:rPr>
          <w:rFonts w:hint="eastAsia" w:cs="宋体"/>
          <w:highlight w:val="none"/>
        </w:rPr>
        <w:t>授权代表：</w:t>
      </w:r>
      <w:r>
        <w:rPr>
          <w:rFonts w:hint="eastAsia" w:cs="宋体"/>
          <w:highlight w:val="none"/>
          <w:u w:val="dotted"/>
        </w:rPr>
        <w:t xml:space="preserve">                                          </w:t>
      </w:r>
    </w:p>
    <w:p w14:paraId="6A9E2F0A">
      <w:pPr>
        <w:snapToGrid w:val="0"/>
        <w:ind w:firstLine="480"/>
        <w:rPr>
          <w:rFonts w:cs="宋体"/>
          <w:highlight w:val="none"/>
        </w:rPr>
      </w:pPr>
      <w:r>
        <w:rPr>
          <w:rFonts w:hint="eastAsia" w:cs="宋体"/>
          <w:highlight w:val="none"/>
        </w:rPr>
        <w:t>联系电话：</w:t>
      </w:r>
      <w:r>
        <w:rPr>
          <w:rFonts w:hint="eastAsia" w:cs="宋体"/>
          <w:highlight w:val="none"/>
          <w:u w:val="dotted"/>
        </w:rPr>
        <w:t xml:space="preserve">                                           </w:t>
      </w:r>
      <w:r>
        <w:rPr>
          <w:rFonts w:hint="eastAsia" w:cs="宋体"/>
          <w:highlight w:val="none"/>
        </w:rPr>
        <w:t xml:space="preserve"> </w:t>
      </w:r>
    </w:p>
    <w:p w14:paraId="66CF3F64">
      <w:pPr>
        <w:snapToGrid w:val="0"/>
        <w:ind w:firstLine="480"/>
        <w:rPr>
          <w:rFonts w:cs="宋体"/>
          <w:highlight w:val="none"/>
        </w:rPr>
      </w:pPr>
      <w:r>
        <w:rPr>
          <w:rFonts w:hint="eastAsia" w:cs="宋体"/>
          <w:highlight w:val="none"/>
        </w:rPr>
        <w:t xml:space="preserve">地址： </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431B65E1">
      <w:pPr>
        <w:snapToGrid w:val="0"/>
        <w:ind w:firstLine="480"/>
        <w:rPr>
          <w:rFonts w:cs="宋体"/>
          <w:bCs/>
          <w:highlight w:val="none"/>
        </w:rPr>
      </w:pPr>
      <w:r>
        <w:rPr>
          <w:rFonts w:hint="eastAsia" w:cs="宋体"/>
          <w:bCs/>
          <w:highlight w:val="none"/>
        </w:rPr>
        <w:t>二、质疑项目基本情况</w:t>
      </w:r>
    </w:p>
    <w:p w14:paraId="65F45289">
      <w:pPr>
        <w:snapToGrid w:val="0"/>
        <w:ind w:firstLine="480"/>
        <w:rPr>
          <w:rFonts w:cs="宋体"/>
          <w:highlight w:val="none"/>
        </w:rPr>
      </w:pPr>
      <w:r>
        <w:rPr>
          <w:rFonts w:hint="eastAsia" w:cs="宋体"/>
          <w:highlight w:val="none"/>
        </w:rPr>
        <w:t>质疑项目的名称：</w:t>
      </w:r>
      <w:r>
        <w:rPr>
          <w:rFonts w:hint="eastAsia" w:cs="宋体"/>
          <w:highlight w:val="none"/>
          <w:u w:val="dotted"/>
        </w:rPr>
        <w:t xml:space="preserve">                                      </w:t>
      </w:r>
    </w:p>
    <w:p w14:paraId="25D2A7FF">
      <w:pPr>
        <w:snapToGrid w:val="0"/>
        <w:ind w:firstLine="480"/>
        <w:rPr>
          <w:rFonts w:cs="宋体"/>
          <w:highlight w:val="none"/>
        </w:rPr>
      </w:pPr>
      <w:r>
        <w:rPr>
          <w:rFonts w:hint="eastAsia" w:cs="宋体"/>
          <w:highlight w:val="none"/>
        </w:rPr>
        <w:t>质疑项目的编号：</w:t>
      </w:r>
      <w:r>
        <w:rPr>
          <w:rFonts w:hint="eastAsia" w:cs="宋体"/>
          <w:highlight w:val="none"/>
          <w:u w:val="dotted"/>
        </w:rPr>
        <w:t xml:space="preserve">               </w:t>
      </w:r>
      <w:r>
        <w:rPr>
          <w:rFonts w:hint="eastAsia" w:cs="宋体"/>
          <w:highlight w:val="none"/>
        </w:rPr>
        <w:t>包号：</w:t>
      </w:r>
      <w:r>
        <w:rPr>
          <w:rFonts w:hint="eastAsia" w:cs="宋体"/>
          <w:highlight w:val="none"/>
          <w:u w:val="dotted"/>
        </w:rPr>
        <w:t xml:space="preserve">                 </w:t>
      </w:r>
    </w:p>
    <w:p w14:paraId="67D83EED">
      <w:pPr>
        <w:snapToGrid w:val="0"/>
        <w:ind w:firstLine="480"/>
        <w:rPr>
          <w:rFonts w:cs="宋体"/>
          <w:highlight w:val="none"/>
          <w:u w:val="dotted"/>
        </w:rPr>
      </w:pPr>
      <w:r>
        <w:rPr>
          <w:rFonts w:hint="eastAsia" w:cs="宋体"/>
          <w:highlight w:val="none"/>
        </w:rPr>
        <w:t>招标人名称：</w:t>
      </w:r>
      <w:r>
        <w:rPr>
          <w:rFonts w:hint="eastAsia" w:cs="宋体"/>
          <w:highlight w:val="none"/>
          <w:u w:val="dotted"/>
        </w:rPr>
        <w:t xml:space="preserve">                                         </w:t>
      </w:r>
    </w:p>
    <w:p w14:paraId="563F82E3">
      <w:pPr>
        <w:snapToGrid w:val="0"/>
        <w:ind w:firstLine="480"/>
        <w:rPr>
          <w:rFonts w:cs="宋体"/>
          <w:highlight w:val="none"/>
        </w:rPr>
      </w:pPr>
      <w:r>
        <w:rPr>
          <w:rFonts w:hint="eastAsia" w:cs="宋体"/>
          <w:highlight w:val="none"/>
        </w:rPr>
        <w:t>招标文件获取日期：</w:t>
      </w:r>
      <w:r>
        <w:rPr>
          <w:rFonts w:hint="eastAsia" w:cs="宋体"/>
          <w:highlight w:val="none"/>
          <w:u w:val="dotted"/>
        </w:rPr>
        <w:t xml:space="preserve">                                    </w:t>
      </w:r>
    </w:p>
    <w:p w14:paraId="342E205E">
      <w:pPr>
        <w:snapToGrid w:val="0"/>
        <w:ind w:firstLine="480"/>
        <w:rPr>
          <w:rFonts w:cs="宋体"/>
          <w:bCs/>
          <w:highlight w:val="none"/>
        </w:rPr>
      </w:pPr>
      <w:r>
        <w:rPr>
          <w:rFonts w:hint="eastAsia" w:cs="宋体"/>
          <w:bCs/>
          <w:highlight w:val="none"/>
        </w:rPr>
        <w:t>三、质疑事项具体内容</w:t>
      </w:r>
    </w:p>
    <w:p w14:paraId="5F5F9B9A">
      <w:pPr>
        <w:snapToGrid w:val="0"/>
        <w:ind w:firstLine="480"/>
        <w:rPr>
          <w:rFonts w:cs="宋体"/>
          <w:highlight w:val="none"/>
          <w:u w:val="dotted"/>
        </w:rPr>
      </w:pPr>
      <w:r>
        <w:rPr>
          <w:rFonts w:hint="eastAsia" w:cs="宋体"/>
          <w:highlight w:val="none"/>
        </w:rPr>
        <w:t>质疑事项1：</w:t>
      </w:r>
      <w:r>
        <w:rPr>
          <w:rFonts w:hint="eastAsia" w:cs="宋体"/>
          <w:highlight w:val="none"/>
          <w:u w:val="dotted"/>
        </w:rPr>
        <w:t xml:space="preserve">                                         </w:t>
      </w:r>
    </w:p>
    <w:p w14:paraId="26941E3F">
      <w:pPr>
        <w:snapToGrid w:val="0"/>
        <w:ind w:firstLine="480"/>
        <w:rPr>
          <w:rFonts w:cs="宋体"/>
          <w:highlight w:val="none"/>
          <w:u w:val="dotted"/>
        </w:rPr>
      </w:pPr>
      <w:r>
        <w:rPr>
          <w:rFonts w:hint="eastAsia" w:cs="宋体"/>
          <w:highlight w:val="none"/>
        </w:rPr>
        <w:t>事实依据：</w:t>
      </w:r>
      <w:r>
        <w:rPr>
          <w:rFonts w:hint="eastAsia" w:cs="宋体"/>
          <w:highlight w:val="none"/>
          <w:u w:val="dotted"/>
        </w:rPr>
        <w:t xml:space="preserve">                                          </w:t>
      </w:r>
    </w:p>
    <w:p w14:paraId="6B19B110">
      <w:pPr>
        <w:snapToGrid w:val="0"/>
        <w:ind w:firstLine="480"/>
        <w:rPr>
          <w:rFonts w:cs="宋体"/>
          <w:highlight w:val="none"/>
        </w:rPr>
      </w:pPr>
      <w:r>
        <w:rPr>
          <w:rFonts w:hint="eastAsia" w:cs="宋体"/>
          <w:highlight w:val="none"/>
          <w:u w:val="dotted"/>
        </w:rPr>
        <w:t xml:space="preserve">                                                       </w:t>
      </w:r>
    </w:p>
    <w:p w14:paraId="37D9570D">
      <w:pPr>
        <w:snapToGrid w:val="0"/>
        <w:ind w:firstLine="480"/>
        <w:rPr>
          <w:rFonts w:cs="宋体"/>
          <w:highlight w:val="none"/>
          <w:u w:val="dotted"/>
        </w:rPr>
      </w:pPr>
      <w:r>
        <w:rPr>
          <w:rFonts w:hint="eastAsia" w:cs="宋体"/>
          <w:highlight w:val="none"/>
        </w:rPr>
        <w:t>法律依据：</w:t>
      </w:r>
      <w:r>
        <w:rPr>
          <w:rFonts w:hint="eastAsia" w:cs="宋体"/>
          <w:highlight w:val="none"/>
          <w:u w:val="dotted"/>
        </w:rPr>
        <w:t xml:space="preserve">                                          </w:t>
      </w:r>
    </w:p>
    <w:p w14:paraId="6F8DF2C4">
      <w:pPr>
        <w:snapToGrid w:val="0"/>
        <w:ind w:firstLine="480"/>
        <w:rPr>
          <w:rFonts w:cs="宋体"/>
          <w:highlight w:val="none"/>
          <w:u w:val="dotted"/>
        </w:rPr>
      </w:pPr>
      <w:r>
        <w:rPr>
          <w:rFonts w:hint="eastAsia" w:cs="宋体"/>
          <w:highlight w:val="none"/>
          <w:u w:val="dotted"/>
        </w:rPr>
        <w:t xml:space="preserve">                                                     </w:t>
      </w:r>
    </w:p>
    <w:p w14:paraId="18BA2674">
      <w:pPr>
        <w:snapToGrid w:val="0"/>
        <w:ind w:firstLine="480"/>
        <w:rPr>
          <w:rFonts w:cs="宋体"/>
          <w:highlight w:val="none"/>
          <w:u w:val="dotted"/>
        </w:rPr>
      </w:pPr>
      <w:r>
        <w:rPr>
          <w:rFonts w:hint="eastAsia" w:cs="宋体"/>
          <w:highlight w:val="none"/>
        </w:rPr>
        <w:t>质疑事项2</w:t>
      </w:r>
    </w:p>
    <w:p w14:paraId="2F05B87F">
      <w:pPr>
        <w:snapToGrid w:val="0"/>
        <w:ind w:firstLine="480"/>
        <w:rPr>
          <w:rFonts w:cs="宋体"/>
          <w:highlight w:val="none"/>
        </w:rPr>
      </w:pPr>
      <w:r>
        <w:rPr>
          <w:rFonts w:hint="eastAsia" w:cs="宋体"/>
          <w:highlight w:val="none"/>
        </w:rPr>
        <w:t>……</w:t>
      </w:r>
    </w:p>
    <w:p w14:paraId="0E456B3C">
      <w:pPr>
        <w:snapToGrid w:val="0"/>
        <w:ind w:firstLine="480"/>
        <w:rPr>
          <w:rFonts w:cs="宋体"/>
          <w:bCs/>
          <w:highlight w:val="none"/>
        </w:rPr>
      </w:pPr>
      <w:r>
        <w:rPr>
          <w:rFonts w:hint="eastAsia" w:cs="宋体"/>
          <w:bCs/>
          <w:highlight w:val="none"/>
        </w:rPr>
        <w:t>四、与质疑事项相关的质疑请求</w:t>
      </w:r>
    </w:p>
    <w:p w14:paraId="41D2738A">
      <w:pPr>
        <w:snapToGrid w:val="0"/>
        <w:ind w:firstLine="480"/>
        <w:rPr>
          <w:rFonts w:cs="宋体"/>
          <w:highlight w:val="none"/>
          <w:u w:val="dotted"/>
        </w:rPr>
      </w:pPr>
      <w:r>
        <w:rPr>
          <w:rFonts w:hint="eastAsia" w:cs="宋体"/>
          <w:highlight w:val="none"/>
        </w:rPr>
        <w:t>请求：</w:t>
      </w:r>
      <w:r>
        <w:rPr>
          <w:rFonts w:hint="eastAsia" w:cs="宋体"/>
          <w:highlight w:val="none"/>
          <w:u w:val="dotted"/>
        </w:rPr>
        <w:t xml:space="preserve">                                               </w:t>
      </w:r>
    </w:p>
    <w:p w14:paraId="70D5C5C4">
      <w:pPr>
        <w:pStyle w:val="3"/>
        <w:rPr>
          <w:highlight w:val="none"/>
        </w:rPr>
      </w:pPr>
    </w:p>
    <w:p w14:paraId="526D7F4C">
      <w:pPr>
        <w:ind w:firstLine="480"/>
        <w:rPr>
          <w:rFonts w:cs="宋体"/>
          <w:highlight w:val="none"/>
        </w:rPr>
      </w:pPr>
      <w:r>
        <w:rPr>
          <w:rFonts w:hint="eastAsia" w:cs="宋体"/>
          <w:highlight w:val="none"/>
        </w:rPr>
        <w:t xml:space="preserve">签字(签章)：                公章：                      </w:t>
      </w:r>
    </w:p>
    <w:p w14:paraId="7F53B8CD">
      <w:pPr>
        <w:ind w:firstLine="480"/>
        <w:rPr>
          <w:rFonts w:cs="宋体"/>
          <w:highlight w:val="none"/>
        </w:rPr>
      </w:pPr>
      <w:r>
        <w:rPr>
          <w:rFonts w:hint="eastAsia" w:cs="宋体"/>
          <w:highlight w:val="none"/>
        </w:rPr>
        <w:t xml:space="preserve">日期：    </w:t>
      </w:r>
    </w:p>
    <w:p w14:paraId="0266C32D">
      <w:pPr>
        <w:ind w:firstLine="482"/>
        <w:jc w:val="center"/>
        <w:rPr>
          <w:rFonts w:cs="宋体"/>
          <w:b/>
          <w:bCs/>
          <w:highlight w:val="none"/>
        </w:rPr>
      </w:pPr>
    </w:p>
    <w:p w14:paraId="0C7F6C7E">
      <w:pPr>
        <w:ind w:firstLine="482"/>
        <w:rPr>
          <w:rFonts w:cs="宋体"/>
          <w:b/>
          <w:highlight w:val="none"/>
        </w:rPr>
      </w:pPr>
    </w:p>
    <w:p w14:paraId="573FF7F9">
      <w:pPr>
        <w:ind w:firstLine="482"/>
        <w:rPr>
          <w:rFonts w:cs="宋体"/>
          <w:b/>
          <w:highlight w:val="none"/>
        </w:rPr>
      </w:pPr>
      <w:r>
        <w:rPr>
          <w:rFonts w:hint="eastAsia" w:cs="宋体"/>
          <w:b/>
          <w:highlight w:val="none"/>
        </w:rPr>
        <w:t>质疑函制作说明：</w:t>
      </w:r>
    </w:p>
    <w:p w14:paraId="55091184">
      <w:pPr>
        <w:widowControl/>
        <w:ind w:firstLine="480"/>
        <w:jc w:val="left"/>
        <w:rPr>
          <w:rFonts w:cs="宋体"/>
          <w:highlight w:val="none"/>
        </w:rPr>
      </w:pPr>
      <w:r>
        <w:rPr>
          <w:rFonts w:hint="eastAsia" w:cs="宋体"/>
          <w:highlight w:val="none"/>
        </w:rPr>
        <w:t>1.投标人提出质疑时，应提交质疑函和必要的证明材料。</w:t>
      </w:r>
    </w:p>
    <w:p w14:paraId="62E7BC13">
      <w:pPr>
        <w:widowControl/>
        <w:ind w:firstLine="480"/>
        <w:jc w:val="left"/>
        <w:rPr>
          <w:rFonts w:cs="宋体"/>
          <w:highlight w:val="none"/>
        </w:rPr>
      </w:pPr>
      <w:r>
        <w:rPr>
          <w:rFonts w:hint="eastAsia" w:cs="宋体"/>
          <w:highlight w:val="none"/>
        </w:rPr>
        <w:t>2.质疑投标人若委托代理人进行质疑的，质疑函应按要求列明“授权代表”的有关内容，并在附件中提交由质疑</w:t>
      </w:r>
      <w:r>
        <w:rPr>
          <w:rFonts w:hint="eastAsia" w:cs="宋体"/>
          <w:kern w:val="0"/>
          <w:highlight w:val="none"/>
        </w:rPr>
        <w:t>投标人签署的授权委托书。授权委托书应载明代理人的姓名或者名称、代理事项、具体权限、期限和相关事项。</w:t>
      </w:r>
    </w:p>
    <w:p w14:paraId="0974BCF7">
      <w:pPr>
        <w:widowControl/>
        <w:ind w:firstLine="480"/>
        <w:jc w:val="left"/>
        <w:rPr>
          <w:rFonts w:cs="宋体"/>
          <w:highlight w:val="none"/>
        </w:rPr>
      </w:pPr>
      <w:r>
        <w:rPr>
          <w:rFonts w:hint="eastAsia" w:cs="宋体"/>
          <w:highlight w:val="none"/>
        </w:rPr>
        <w:t>3.质疑函的质疑事项应具体、明确，并有必要的事实依据和法律依据。</w:t>
      </w:r>
    </w:p>
    <w:p w14:paraId="5F7EE653">
      <w:pPr>
        <w:widowControl/>
        <w:ind w:firstLine="480"/>
        <w:jc w:val="left"/>
        <w:rPr>
          <w:rFonts w:cs="宋体"/>
          <w:highlight w:val="none"/>
        </w:rPr>
      </w:pPr>
      <w:r>
        <w:rPr>
          <w:rFonts w:hint="eastAsia" w:cs="宋体"/>
          <w:highlight w:val="none"/>
        </w:rPr>
        <w:t>4.质疑函的质疑请求应与质疑事项相关。</w:t>
      </w:r>
    </w:p>
    <w:p w14:paraId="68FC8373">
      <w:pPr>
        <w:widowControl/>
        <w:ind w:firstLine="480"/>
        <w:jc w:val="left"/>
        <w:rPr>
          <w:rFonts w:cs="宋体"/>
          <w:highlight w:val="none"/>
        </w:rPr>
      </w:pPr>
      <w:r>
        <w:rPr>
          <w:rFonts w:hint="eastAsia" w:cs="宋体"/>
          <w:highlight w:val="none"/>
        </w:rPr>
        <w:t>5.质疑投标人为自然人的，质疑函应由本人签字；质疑投标人为法人或者其他组织的，质疑函应由法定代表人、主要负责人，或者其授权代表签字或者盖章，并加盖公章。</w:t>
      </w:r>
    </w:p>
    <w:p w14:paraId="77B4781C">
      <w:pPr>
        <w:widowControl/>
        <w:ind w:firstLine="600"/>
        <w:jc w:val="left"/>
        <w:rPr>
          <w:rFonts w:cs="宋体"/>
          <w:sz w:val="30"/>
          <w:szCs w:val="30"/>
          <w:highlight w:val="none"/>
        </w:rPr>
      </w:pPr>
    </w:p>
    <w:p w14:paraId="4829FBBD">
      <w:pPr>
        <w:ind w:firstLine="667"/>
        <w:jc w:val="center"/>
        <w:rPr>
          <w:rFonts w:cs="宋体"/>
          <w:b/>
          <w:spacing w:val="6"/>
          <w:sz w:val="32"/>
          <w:szCs w:val="32"/>
          <w:highlight w:val="none"/>
        </w:rPr>
      </w:pPr>
    </w:p>
    <w:p w14:paraId="01B5A7FF">
      <w:pPr>
        <w:ind w:firstLine="667"/>
        <w:jc w:val="center"/>
        <w:rPr>
          <w:rFonts w:cs="宋体"/>
          <w:b/>
          <w:spacing w:val="6"/>
          <w:sz w:val="32"/>
          <w:szCs w:val="32"/>
          <w:highlight w:val="none"/>
        </w:rPr>
      </w:pPr>
    </w:p>
    <w:p w14:paraId="7C6B1F3F">
      <w:pPr>
        <w:ind w:firstLine="667"/>
        <w:jc w:val="center"/>
        <w:rPr>
          <w:rFonts w:cs="宋体"/>
          <w:b/>
          <w:spacing w:val="6"/>
          <w:sz w:val="32"/>
          <w:szCs w:val="32"/>
          <w:highlight w:val="none"/>
        </w:rPr>
      </w:pPr>
    </w:p>
    <w:p w14:paraId="0BF207E7">
      <w:pPr>
        <w:ind w:firstLine="667"/>
        <w:jc w:val="center"/>
        <w:rPr>
          <w:rFonts w:cs="宋体"/>
          <w:b/>
          <w:spacing w:val="6"/>
          <w:sz w:val="32"/>
          <w:szCs w:val="32"/>
          <w:highlight w:val="none"/>
        </w:rPr>
      </w:pPr>
    </w:p>
    <w:p w14:paraId="2F1C05DB">
      <w:pPr>
        <w:ind w:firstLine="667"/>
        <w:jc w:val="center"/>
        <w:rPr>
          <w:rFonts w:cs="宋体"/>
          <w:b/>
          <w:spacing w:val="6"/>
          <w:sz w:val="32"/>
          <w:szCs w:val="32"/>
          <w:highlight w:val="none"/>
        </w:rPr>
      </w:pPr>
    </w:p>
    <w:p w14:paraId="32BBA250">
      <w:pPr>
        <w:ind w:firstLine="667"/>
        <w:jc w:val="center"/>
        <w:rPr>
          <w:rFonts w:cs="宋体"/>
          <w:b/>
          <w:spacing w:val="6"/>
          <w:sz w:val="32"/>
          <w:szCs w:val="32"/>
          <w:highlight w:val="none"/>
        </w:rPr>
      </w:pPr>
    </w:p>
    <w:p w14:paraId="4CE79DC2">
      <w:pPr>
        <w:ind w:firstLine="667"/>
        <w:jc w:val="center"/>
        <w:rPr>
          <w:rFonts w:cs="宋体"/>
          <w:b/>
          <w:spacing w:val="6"/>
          <w:sz w:val="32"/>
          <w:szCs w:val="32"/>
          <w:highlight w:val="none"/>
        </w:rPr>
      </w:pPr>
    </w:p>
    <w:p w14:paraId="4C95854B">
      <w:pPr>
        <w:ind w:firstLine="667"/>
        <w:jc w:val="center"/>
        <w:rPr>
          <w:rFonts w:cs="宋体"/>
          <w:b/>
          <w:spacing w:val="6"/>
          <w:sz w:val="32"/>
          <w:szCs w:val="32"/>
          <w:highlight w:val="none"/>
        </w:rPr>
      </w:pPr>
    </w:p>
    <w:p w14:paraId="009CE7F1">
      <w:pPr>
        <w:ind w:firstLine="667"/>
        <w:jc w:val="center"/>
        <w:rPr>
          <w:rFonts w:cs="宋体"/>
          <w:b/>
          <w:spacing w:val="6"/>
          <w:sz w:val="32"/>
          <w:szCs w:val="32"/>
          <w:highlight w:val="none"/>
        </w:rPr>
      </w:pPr>
    </w:p>
    <w:p w14:paraId="612654F9">
      <w:pPr>
        <w:ind w:firstLine="667"/>
        <w:jc w:val="center"/>
        <w:rPr>
          <w:rFonts w:cs="宋体"/>
          <w:b/>
          <w:spacing w:val="6"/>
          <w:sz w:val="32"/>
          <w:szCs w:val="32"/>
          <w:highlight w:val="none"/>
        </w:rPr>
      </w:pPr>
    </w:p>
    <w:p w14:paraId="23979C2D">
      <w:pPr>
        <w:ind w:firstLine="0" w:firstLineChars="0"/>
        <w:jc w:val="left"/>
        <w:rPr>
          <w:rFonts w:cs="宋体"/>
          <w:b/>
          <w:spacing w:val="6"/>
          <w:sz w:val="32"/>
          <w:szCs w:val="32"/>
          <w:highlight w:val="none"/>
        </w:rPr>
      </w:pPr>
    </w:p>
    <w:p w14:paraId="39B3A83C">
      <w:pPr>
        <w:pStyle w:val="14"/>
        <w:rPr>
          <w:rFonts w:hAnsi="宋体" w:cs="宋体"/>
          <w:b/>
          <w:spacing w:val="6"/>
          <w:sz w:val="32"/>
          <w:szCs w:val="32"/>
          <w:highlight w:val="none"/>
        </w:rPr>
      </w:pPr>
    </w:p>
    <w:p w14:paraId="2CA0FB30">
      <w:pPr>
        <w:ind w:firstLine="667"/>
        <w:rPr>
          <w:rFonts w:cs="宋体"/>
          <w:b/>
          <w:spacing w:val="6"/>
          <w:sz w:val="32"/>
          <w:szCs w:val="32"/>
          <w:highlight w:val="none"/>
        </w:rPr>
      </w:pPr>
    </w:p>
    <w:p w14:paraId="75BF2951">
      <w:pPr>
        <w:pStyle w:val="3"/>
        <w:rPr>
          <w:highlight w:val="none"/>
        </w:rPr>
      </w:pPr>
    </w:p>
    <w:p w14:paraId="0EF1AFF5">
      <w:pPr>
        <w:pStyle w:val="14"/>
        <w:rPr>
          <w:rFonts w:hAnsi="宋体" w:cs="宋体"/>
          <w:highlight w:val="none"/>
        </w:rPr>
      </w:pPr>
    </w:p>
    <w:p w14:paraId="61D9C444">
      <w:pPr>
        <w:ind w:firstLine="0" w:firstLineChars="0"/>
        <w:jc w:val="left"/>
        <w:rPr>
          <w:rFonts w:cs="宋体"/>
          <w:b/>
          <w:bCs/>
          <w:highlight w:val="none"/>
        </w:rPr>
      </w:pPr>
      <w:r>
        <w:rPr>
          <w:rFonts w:hint="eastAsia" w:cs="宋体"/>
          <w:b/>
          <w:bCs/>
          <w:highlight w:val="none"/>
        </w:rPr>
        <w:t>附件十七：投诉书范本及制作说明</w:t>
      </w:r>
    </w:p>
    <w:p w14:paraId="38F79F64">
      <w:pPr>
        <w:ind w:firstLine="4103" w:firstLineChars="1400"/>
        <w:rPr>
          <w:rFonts w:cs="宋体"/>
          <w:b/>
          <w:spacing w:val="6"/>
          <w:sz w:val="28"/>
          <w:szCs w:val="28"/>
          <w:highlight w:val="none"/>
        </w:rPr>
      </w:pPr>
      <w:r>
        <w:rPr>
          <w:rFonts w:hint="eastAsia" w:cs="宋体"/>
          <w:b/>
          <w:spacing w:val="6"/>
          <w:sz w:val="28"/>
          <w:szCs w:val="28"/>
          <w:highlight w:val="none"/>
        </w:rPr>
        <w:t>投诉书范本</w:t>
      </w:r>
    </w:p>
    <w:p w14:paraId="4047CABC">
      <w:pPr>
        <w:ind w:firstLine="480"/>
        <w:rPr>
          <w:rFonts w:cs="宋体"/>
          <w:highlight w:val="none"/>
        </w:rPr>
      </w:pPr>
      <w:r>
        <w:rPr>
          <w:rFonts w:hint="eastAsia" w:cs="宋体"/>
          <w:highlight w:val="none"/>
        </w:rPr>
        <w:t>一、投诉相关主体基本情况</w:t>
      </w:r>
    </w:p>
    <w:p w14:paraId="32951B57">
      <w:pPr>
        <w:ind w:firstLine="480"/>
        <w:rPr>
          <w:rFonts w:cs="宋体"/>
          <w:highlight w:val="none"/>
          <w:u w:val="dotted"/>
        </w:rPr>
      </w:pPr>
      <w:r>
        <w:rPr>
          <w:rFonts w:hint="eastAsia" w:cs="宋体"/>
          <w:highlight w:val="none"/>
        </w:rPr>
        <w:t>投诉人：</w:t>
      </w:r>
      <w:r>
        <w:rPr>
          <w:rFonts w:hint="eastAsia" w:cs="宋体"/>
          <w:highlight w:val="none"/>
          <w:u w:val="dotted"/>
        </w:rPr>
        <w:t xml:space="preserve">                                               </w:t>
      </w:r>
    </w:p>
    <w:p w14:paraId="456A28E9">
      <w:pPr>
        <w:ind w:firstLine="480"/>
        <w:rPr>
          <w:rFonts w:cs="宋体"/>
          <w:highlight w:val="none"/>
          <w:u w:val="single"/>
        </w:rPr>
      </w:pPr>
      <w:r>
        <w:rPr>
          <w:rFonts w:hint="eastAsia" w:cs="宋体"/>
          <w:highlight w:val="none"/>
        </w:rPr>
        <w:t>地     址：</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4AB3CD80">
      <w:pPr>
        <w:tabs>
          <w:tab w:val="left" w:pos="6510"/>
        </w:tabs>
        <w:ind w:firstLine="480"/>
        <w:jc w:val="left"/>
        <w:rPr>
          <w:rFonts w:cs="宋体"/>
          <w:highlight w:val="none"/>
        </w:rPr>
      </w:pPr>
      <w:r>
        <w:rPr>
          <w:rFonts w:hint="eastAsia" w:cs="宋体"/>
          <w:highlight w:val="none"/>
        </w:rPr>
        <w:t>法定代表人/主要负责人：</w:t>
      </w:r>
      <w:r>
        <w:rPr>
          <w:rFonts w:hint="eastAsia" w:cs="宋体"/>
          <w:highlight w:val="none"/>
          <w:u w:val="dotted"/>
        </w:rPr>
        <w:t xml:space="preserve">                                   </w:t>
      </w:r>
      <w:r>
        <w:rPr>
          <w:rFonts w:hint="eastAsia" w:cs="宋体"/>
          <w:highlight w:val="none"/>
        </w:rPr>
        <w:t xml:space="preserve">  </w:t>
      </w:r>
    </w:p>
    <w:p w14:paraId="050A4EEB">
      <w:pPr>
        <w:tabs>
          <w:tab w:val="left" w:pos="6510"/>
        </w:tabs>
        <w:ind w:firstLine="480"/>
        <w:rPr>
          <w:rFonts w:cs="宋体"/>
          <w:highlight w:val="none"/>
          <w:u w:val="dotted"/>
        </w:rPr>
      </w:pPr>
      <w:r>
        <w:rPr>
          <w:rFonts w:hint="eastAsia" w:cs="宋体"/>
          <w:highlight w:val="none"/>
        </w:rPr>
        <w:t>联系电话：</w:t>
      </w:r>
      <w:r>
        <w:rPr>
          <w:rFonts w:hint="eastAsia" w:cs="宋体"/>
          <w:highlight w:val="none"/>
          <w:u w:val="dotted"/>
        </w:rPr>
        <w:t xml:space="preserve">                                             </w:t>
      </w:r>
    </w:p>
    <w:p w14:paraId="7FD178DB">
      <w:pPr>
        <w:ind w:firstLine="480"/>
        <w:rPr>
          <w:rFonts w:cs="宋体"/>
          <w:highlight w:val="none"/>
          <w:u w:val="dotted"/>
        </w:rPr>
      </w:pPr>
      <w:r>
        <w:rPr>
          <w:rFonts w:hint="eastAsia" w:cs="宋体"/>
          <w:highlight w:val="none"/>
        </w:rPr>
        <w:t>授权代表：</w:t>
      </w:r>
      <w:r>
        <w:rPr>
          <w:rFonts w:hint="eastAsia" w:cs="宋体"/>
          <w:highlight w:val="none"/>
          <w:u w:val="dotted"/>
        </w:rPr>
        <w:t xml:space="preserve">             </w:t>
      </w:r>
      <w:r>
        <w:rPr>
          <w:rFonts w:hint="eastAsia" w:cs="宋体"/>
          <w:highlight w:val="none"/>
        </w:rPr>
        <w:t>联系电话</w:t>
      </w:r>
      <w:r>
        <w:rPr>
          <w:rFonts w:hint="eastAsia" w:cs="宋体"/>
          <w:highlight w:val="none"/>
          <w:u w:val="dotted"/>
        </w:rPr>
        <w:t xml:space="preserve">：                  </w:t>
      </w:r>
    </w:p>
    <w:p w14:paraId="03BFD73B">
      <w:pPr>
        <w:ind w:firstLine="480"/>
        <w:rPr>
          <w:rFonts w:cs="宋体"/>
          <w:highlight w:val="none"/>
          <w:u w:val="dotted"/>
        </w:rPr>
      </w:pPr>
      <w:r>
        <w:rPr>
          <w:rFonts w:hint="eastAsia" w:cs="宋体"/>
          <w:highlight w:val="none"/>
        </w:rPr>
        <w:t>地     址：</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4D3B10E5">
      <w:pPr>
        <w:ind w:firstLine="480"/>
        <w:rPr>
          <w:rFonts w:cs="宋体"/>
          <w:highlight w:val="none"/>
          <w:u w:val="single"/>
        </w:rPr>
      </w:pPr>
      <w:r>
        <w:rPr>
          <w:rFonts w:hint="eastAsia" w:cs="宋体"/>
          <w:highlight w:val="none"/>
        </w:rPr>
        <w:t>被投诉人1：</w:t>
      </w:r>
      <w:r>
        <w:rPr>
          <w:rFonts w:hint="eastAsia" w:cs="宋体"/>
          <w:highlight w:val="none"/>
          <w:u w:val="dotted"/>
        </w:rPr>
        <w:t xml:space="preserve">                                           </w:t>
      </w:r>
    </w:p>
    <w:p w14:paraId="7718FC47">
      <w:pPr>
        <w:ind w:firstLine="480"/>
        <w:rPr>
          <w:rFonts w:cs="宋体"/>
          <w:highlight w:val="none"/>
          <w:u w:val="single"/>
        </w:rPr>
      </w:pPr>
      <w:r>
        <w:rPr>
          <w:rFonts w:hint="eastAsia" w:cs="宋体"/>
          <w:highlight w:val="none"/>
        </w:rPr>
        <w:t>地     址：</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14DC4E2E">
      <w:pPr>
        <w:ind w:firstLine="480"/>
        <w:rPr>
          <w:rFonts w:cs="宋体"/>
          <w:highlight w:val="none"/>
          <w:u w:val="single"/>
        </w:rPr>
      </w:pPr>
      <w:r>
        <w:rPr>
          <w:rFonts w:hint="eastAsia" w:cs="宋体"/>
          <w:highlight w:val="none"/>
        </w:rPr>
        <w:t>联系人：</w:t>
      </w:r>
      <w:r>
        <w:rPr>
          <w:rFonts w:hint="eastAsia" w:cs="宋体"/>
          <w:highlight w:val="none"/>
          <w:u w:val="dotted"/>
        </w:rPr>
        <w:t xml:space="preserve">               </w:t>
      </w:r>
      <w:r>
        <w:rPr>
          <w:rFonts w:hint="eastAsia" w:cs="宋体"/>
          <w:highlight w:val="none"/>
        </w:rPr>
        <w:t>联系电话：</w:t>
      </w:r>
      <w:r>
        <w:rPr>
          <w:rFonts w:hint="eastAsia" w:cs="宋体"/>
          <w:highlight w:val="none"/>
          <w:u w:val="dotted"/>
        </w:rPr>
        <w:t xml:space="preserve">                      </w:t>
      </w:r>
    </w:p>
    <w:p w14:paraId="748BDA26">
      <w:pPr>
        <w:ind w:firstLine="480"/>
        <w:rPr>
          <w:rFonts w:cs="宋体"/>
          <w:highlight w:val="none"/>
        </w:rPr>
      </w:pPr>
      <w:r>
        <w:rPr>
          <w:rFonts w:hint="eastAsia" w:cs="宋体"/>
          <w:highlight w:val="none"/>
        </w:rPr>
        <w:t>被投诉人2</w:t>
      </w:r>
    </w:p>
    <w:p w14:paraId="20CF65D3">
      <w:pPr>
        <w:ind w:firstLine="480"/>
        <w:rPr>
          <w:rFonts w:cs="宋体"/>
          <w:highlight w:val="none"/>
          <w:u w:val="dotted"/>
        </w:rPr>
      </w:pPr>
      <w:r>
        <w:rPr>
          <w:rFonts w:hint="eastAsia" w:cs="宋体"/>
          <w:highlight w:val="none"/>
        </w:rPr>
        <w:t>……</w:t>
      </w:r>
    </w:p>
    <w:p w14:paraId="0673480F">
      <w:pPr>
        <w:ind w:firstLine="480"/>
        <w:rPr>
          <w:rFonts w:cs="宋体"/>
          <w:highlight w:val="none"/>
          <w:u w:val="single"/>
        </w:rPr>
      </w:pPr>
      <w:r>
        <w:rPr>
          <w:rFonts w:hint="eastAsia" w:cs="宋体"/>
          <w:highlight w:val="none"/>
        </w:rPr>
        <w:t>相关投标人：</w:t>
      </w:r>
      <w:r>
        <w:rPr>
          <w:rFonts w:hint="eastAsia" w:cs="宋体"/>
          <w:highlight w:val="none"/>
          <w:u w:val="dotted"/>
        </w:rPr>
        <w:t xml:space="preserve">                                           </w:t>
      </w:r>
    </w:p>
    <w:p w14:paraId="0D899D3E">
      <w:pPr>
        <w:ind w:firstLine="480"/>
        <w:rPr>
          <w:rFonts w:cs="宋体"/>
          <w:highlight w:val="none"/>
          <w:u w:val="single"/>
        </w:rPr>
      </w:pPr>
      <w:r>
        <w:rPr>
          <w:rFonts w:hint="eastAsia" w:cs="宋体"/>
          <w:highlight w:val="none"/>
        </w:rPr>
        <w:t>地     址：</w:t>
      </w:r>
      <w:r>
        <w:rPr>
          <w:rFonts w:hint="eastAsia" w:cs="宋体"/>
          <w:highlight w:val="none"/>
          <w:u w:val="dotted"/>
        </w:rPr>
        <w:t xml:space="preserve">                             </w:t>
      </w:r>
      <w:r>
        <w:rPr>
          <w:rFonts w:hint="eastAsia" w:cs="宋体"/>
          <w:highlight w:val="none"/>
        </w:rPr>
        <w:t>邮编：</w:t>
      </w:r>
      <w:r>
        <w:rPr>
          <w:rFonts w:hint="eastAsia" w:cs="宋体"/>
          <w:highlight w:val="none"/>
          <w:u w:val="dotted"/>
        </w:rPr>
        <w:t xml:space="preserve">          </w:t>
      </w:r>
    </w:p>
    <w:p w14:paraId="0283C76E">
      <w:pPr>
        <w:ind w:firstLine="480"/>
        <w:rPr>
          <w:rFonts w:cs="宋体"/>
          <w:highlight w:val="none"/>
          <w:u w:val="single"/>
        </w:rPr>
      </w:pPr>
      <w:r>
        <w:rPr>
          <w:rFonts w:hint="eastAsia" w:cs="宋体"/>
          <w:highlight w:val="none"/>
        </w:rPr>
        <w:t>联系人：</w:t>
      </w:r>
      <w:r>
        <w:rPr>
          <w:rFonts w:hint="eastAsia" w:cs="宋体"/>
          <w:highlight w:val="none"/>
          <w:u w:val="dotted"/>
        </w:rPr>
        <w:t xml:space="preserve">               </w:t>
      </w:r>
      <w:r>
        <w:rPr>
          <w:rFonts w:hint="eastAsia" w:cs="宋体"/>
          <w:highlight w:val="none"/>
        </w:rPr>
        <w:t>联系电话：</w:t>
      </w:r>
      <w:r>
        <w:rPr>
          <w:rFonts w:hint="eastAsia" w:cs="宋体"/>
          <w:highlight w:val="none"/>
          <w:u w:val="dotted"/>
        </w:rPr>
        <w:t xml:space="preserve">                      </w:t>
      </w:r>
    </w:p>
    <w:p w14:paraId="61EE002D">
      <w:pPr>
        <w:ind w:firstLine="480"/>
        <w:rPr>
          <w:rFonts w:cs="宋体"/>
          <w:highlight w:val="none"/>
        </w:rPr>
      </w:pPr>
      <w:r>
        <w:rPr>
          <w:rFonts w:hint="eastAsia" w:cs="宋体"/>
          <w:highlight w:val="none"/>
        </w:rPr>
        <w:t>二、投诉项目基本情况</w:t>
      </w:r>
    </w:p>
    <w:p w14:paraId="34EDDEA4">
      <w:pPr>
        <w:ind w:firstLine="480"/>
        <w:rPr>
          <w:rFonts w:cs="宋体"/>
          <w:highlight w:val="none"/>
          <w:u w:val="dotted"/>
        </w:rPr>
      </w:pPr>
      <w:r>
        <w:rPr>
          <w:rFonts w:hint="eastAsia" w:cs="宋体"/>
          <w:highlight w:val="none"/>
        </w:rPr>
        <w:t>采购项目名称：</w:t>
      </w:r>
      <w:r>
        <w:rPr>
          <w:rFonts w:hint="eastAsia" w:cs="宋体"/>
          <w:highlight w:val="none"/>
          <w:u w:val="dotted"/>
        </w:rPr>
        <w:t xml:space="preserve">                                        </w:t>
      </w:r>
    </w:p>
    <w:p w14:paraId="45B02F91">
      <w:pPr>
        <w:ind w:firstLine="480"/>
        <w:rPr>
          <w:rFonts w:cs="宋体"/>
          <w:highlight w:val="none"/>
          <w:u w:val="single"/>
        </w:rPr>
      </w:pPr>
      <w:r>
        <w:rPr>
          <w:rFonts w:hint="eastAsia" w:cs="宋体"/>
          <w:highlight w:val="none"/>
        </w:rPr>
        <w:t>采购项目编号：</w:t>
      </w:r>
      <w:r>
        <w:rPr>
          <w:rFonts w:hint="eastAsia" w:cs="宋体"/>
          <w:highlight w:val="none"/>
          <w:u w:val="dotted"/>
        </w:rPr>
        <w:t xml:space="preserve">                 </w:t>
      </w:r>
      <w:r>
        <w:rPr>
          <w:rFonts w:hint="eastAsia" w:cs="宋体"/>
          <w:highlight w:val="none"/>
        </w:rPr>
        <w:t>包号：</w:t>
      </w:r>
      <w:r>
        <w:rPr>
          <w:rFonts w:hint="eastAsia" w:cs="宋体"/>
          <w:highlight w:val="none"/>
          <w:u w:val="dotted"/>
        </w:rPr>
        <w:t xml:space="preserve">              </w:t>
      </w:r>
    </w:p>
    <w:p w14:paraId="0FAB1C0D">
      <w:pPr>
        <w:ind w:firstLine="480"/>
        <w:rPr>
          <w:rFonts w:cs="宋体"/>
          <w:highlight w:val="none"/>
        </w:rPr>
      </w:pPr>
      <w:r>
        <w:rPr>
          <w:rFonts w:hint="eastAsia" w:cs="宋体"/>
          <w:highlight w:val="none"/>
        </w:rPr>
        <w:t>招标人名称：</w:t>
      </w:r>
      <w:r>
        <w:rPr>
          <w:rFonts w:hint="eastAsia" w:cs="宋体"/>
          <w:highlight w:val="none"/>
          <w:u w:val="dotted"/>
        </w:rPr>
        <w:t xml:space="preserve">                                           </w:t>
      </w:r>
    </w:p>
    <w:p w14:paraId="625074B8">
      <w:pPr>
        <w:ind w:firstLine="480"/>
        <w:rPr>
          <w:rFonts w:cs="宋体"/>
          <w:highlight w:val="none"/>
          <w:u w:val="single"/>
        </w:rPr>
      </w:pPr>
      <w:r>
        <w:rPr>
          <w:rFonts w:hint="eastAsia" w:cs="宋体"/>
          <w:highlight w:val="none"/>
        </w:rPr>
        <w:t>招标代理机构名称：</w:t>
      </w:r>
      <w:r>
        <w:rPr>
          <w:rFonts w:hint="eastAsia" w:cs="宋体"/>
          <w:highlight w:val="none"/>
          <w:u w:val="dotted"/>
        </w:rPr>
        <w:t xml:space="preserve">                                         </w:t>
      </w:r>
    </w:p>
    <w:p w14:paraId="47536D22">
      <w:pPr>
        <w:ind w:firstLine="480"/>
        <w:rPr>
          <w:rFonts w:cs="宋体"/>
          <w:highlight w:val="none"/>
          <w:u w:val="dotted"/>
        </w:rPr>
      </w:pPr>
      <w:r>
        <w:rPr>
          <w:rFonts w:hint="eastAsia" w:cs="宋体"/>
          <w:highlight w:val="none"/>
        </w:rPr>
        <w:t>招标文件公告:</w:t>
      </w:r>
      <w:r>
        <w:rPr>
          <w:rFonts w:hint="eastAsia" w:cs="宋体"/>
          <w:highlight w:val="none"/>
          <w:u w:val="dotted"/>
        </w:rPr>
        <w:t xml:space="preserve">是/否 </w:t>
      </w:r>
      <w:r>
        <w:rPr>
          <w:rFonts w:hint="eastAsia" w:cs="宋体"/>
          <w:highlight w:val="none"/>
        </w:rPr>
        <w:t>公告期限：</w:t>
      </w:r>
      <w:r>
        <w:rPr>
          <w:rFonts w:hint="eastAsia" w:cs="宋体"/>
          <w:highlight w:val="none"/>
          <w:u w:val="dotted"/>
        </w:rPr>
        <w:t xml:space="preserve">                                 </w:t>
      </w:r>
    </w:p>
    <w:p w14:paraId="35C517C9">
      <w:pPr>
        <w:ind w:firstLine="480"/>
        <w:rPr>
          <w:rFonts w:cs="宋体"/>
          <w:highlight w:val="none"/>
          <w:u w:val="single"/>
        </w:rPr>
      </w:pPr>
      <w:r>
        <w:rPr>
          <w:rFonts w:hint="eastAsia" w:cs="宋体"/>
          <w:highlight w:val="none"/>
        </w:rPr>
        <w:t>招标结果公告:</w:t>
      </w:r>
      <w:r>
        <w:rPr>
          <w:rFonts w:hint="eastAsia" w:cs="宋体"/>
          <w:highlight w:val="none"/>
          <w:u w:val="dotted"/>
        </w:rPr>
        <w:t xml:space="preserve">是/否 </w:t>
      </w:r>
      <w:r>
        <w:rPr>
          <w:rFonts w:hint="eastAsia" w:cs="宋体"/>
          <w:highlight w:val="none"/>
        </w:rPr>
        <w:t>公告期限：</w:t>
      </w:r>
      <w:r>
        <w:rPr>
          <w:rFonts w:hint="eastAsia" w:cs="宋体"/>
          <w:highlight w:val="none"/>
          <w:u w:val="dotted"/>
        </w:rPr>
        <w:t xml:space="preserve">                        </w:t>
      </w:r>
    </w:p>
    <w:p w14:paraId="33715439">
      <w:pPr>
        <w:ind w:firstLine="480"/>
        <w:rPr>
          <w:rFonts w:cs="宋体"/>
          <w:highlight w:val="none"/>
        </w:rPr>
      </w:pPr>
      <w:r>
        <w:rPr>
          <w:rFonts w:hint="eastAsia" w:cs="宋体"/>
          <w:highlight w:val="none"/>
        </w:rPr>
        <w:t>三、质疑基本情况</w:t>
      </w:r>
    </w:p>
    <w:p w14:paraId="368E9311">
      <w:pPr>
        <w:ind w:firstLine="480"/>
        <w:rPr>
          <w:rFonts w:cs="宋体"/>
          <w:highlight w:val="none"/>
          <w:u w:val="dotted"/>
        </w:rPr>
      </w:pPr>
      <w:r>
        <w:rPr>
          <w:rFonts w:hint="eastAsia" w:cs="宋体"/>
          <w:highlight w:val="none"/>
        </w:rPr>
        <w:t>投诉人于</w:t>
      </w:r>
      <w:r>
        <w:rPr>
          <w:rFonts w:hint="eastAsia" w:cs="宋体"/>
          <w:highlight w:val="none"/>
          <w:u w:val="dotted"/>
        </w:rPr>
        <w:t xml:space="preserve">   </w:t>
      </w:r>
      <w:r>
        <w:rPr>
          <w:rFonts w:hint="eastAsia" w:cs="宋体"/>
          <w:highlight w:val="none"/>
        </w:rPr>
        <w:t>年</w:t>
      </w:r>
      <w:r>
        <w:rPr>
          <w:rFonts w:hint="eastAsia" w:cs="宋体"/>
          <w:highlight w:val="none"/>
          <w:u w:val="dotted"/>
        </w:rPr>
        <w:t xml:space="preserve">   </w:t>
      </w:r>
      <w:r>
        <w:rPr>
          <w:rFonts w:hint="eastAsia" w:cs="宋体"/>
          <w:highlight w:val="none"/>
        </w:rPr>
        <w:t>月</w:t>
      </w:r>
      <w:r>
        <w:rPr>
          <w:rFonts w:hint="eastAsia" w:cs="宋体"/>
          <w:highlight w:val="none"/>
          <w:u w:val="dotted"/>
        </w:rPr>
        <w:t xml:space="preserve">  </w:t>
      </w:r>
      <w:r>
        <w:rPr>
          <w:rFonts w:hint="eastAsia" w:cs="宋体"/>
          <w:highlight w:val="none"/>
        </w:rPr>
        <w:t>日，向</w:t>
      </w:r>
      <w:r>
        <w:rPr>
          <w:rFonts w:hint="eastAsia" w:cs="宋体"/>
          <w:highlight w:val="none"/>
          <w:u w:val="dotted"/>
        </w:rPr>
        <w:t xml:space="preserve">                   </w:t>
      </w:r>
      <w:r>
        <w:rPr>
          <w:rFonts w:hint="eastAsia" w:cs="宋体"/>
          <w:highlight w:val="none"/>
        </w:rPr>
        <w:t>提出质疑，质疑事项为：</w:t>
      </w:r>
      <w:r>
        <w:rPr>
          <w:rFonts w:hint="eastAsia" w:cs="宋体"/>
          <w:highlight w:val="none"/>
          <w:u w:val="dotted"/>
        </w:rPr>
        <w:t xml:space="preserve">                                </w:t>
      </w:r>
    </w:p>
    <w:p w14:paraId="7F6E7D7A">
      <w:pPr>
        <w:ind w:firstLine="480"/>
        <w:rPr>
          <w:rFonts w:cs="宋体"/>
          <w:highlight w:val="none"/>
          <w:u w:val="dotted"/>
        </w:rPr>
      </w:pPr>
      <w:r>
        <w:rPr>
          <w:rFonts w:hint="eastAsia" w:cs="宋体"/>
          <w:highlight w:val="none"/>
          <w:u w:val="dotted"/>
        </w:rPr>
        <w:t xml:space="preserve">                                                     </w:t>
      </w:r>
      <w:r>
        <w:rPr>
          <w:rFonts w:hint="eastAsia" w:cs="宋体"/>
          <w:highlight w:val="none"/>
        </w:rPr>
        <w:t xml:space="preserve">  </w:t>
      </w:r>
    </w:p>
    <w:p w14:paraId="6A754A55">
      <w:pPr>
        <w:ind w:firstLine="360" w:firstLineChars="150"/>
        <w:rPr>
          <w:rFonts w:cs="宋体"/>
          <w:highlight w:val="none"/>
        </w:rPr>
      </w:pPr>
      <w:r>
        <w:rPr>
          <w:rFonts w:hint="eastAsia" w:cs="宋体"/>
          <w:highlight w:val="none"/>
          <w:u w:val="dotted"/>
        </w:rPr>
        <w:t>招标人/招标代理机构</w:t>
      </w:r>
      <w:r>
        <w:rPr>
          <w:rFonts w:hint="eastAsia" w:cs="宋体"/>
          <w:highlight w:val="none"/>
        </w:rPr>
        <w:t>于</w:t>
      </w:r>
      <w:r>
        <w:rPr>
          <w:rFonts w:hint="eastAsia" w:cs="宋体"/>
          <w:highlight w:val="none"/>
          <w:u w:val="dotted"/>
        </w:rPr>
        <w:t xml:space="preserve">   </w:t>
      </w:r>
      <w:r>
        <w:rPr>
          <w:rFonts w:hint="eastAsia" w:cs="宋体"/>
          <w:highlight w:val="none"/>
        </w:rPr>
        <w:t>年</w:t>
      </w:r>
      <w:r>
        <w:rPr>
          <w:rFonts w:hint="eastAsia" w:cs="宋体"/>
          <w:highlight w:val="none"/>
          <w:u w:val="dotted"/>
        </w:rPr>
        <w:t xml:space="preserve">   </w:t>
      </w:r>
      <w:r>
        <w:rPr>
          <w:rFonts w:hint="eastAsia" w:cs="宋体"/>
          <w:highlight w:val="none"/>
        </w:rPr>
        <w:t>月</w:t>
      </w:r>
      <w:r>
        <w:rPr>
          <w:rFonts w:hint="eastAsia" w:cs="宋体"/>
          <w:highlight w:val="none"/>
          <w:u w:val="dotted"/>
        </w:rPr>
        <w:t xml:space="preserve">   </w:t>
      </w:r>
      <w:r>
        <w:rPr>
          <w:rFonts w:hint="eastAsia" w:cs="宋体"/>
          <w:highlight w:val="none"/>
        </w:rPr>
        <w:t>日,就质疑事项作出了答复/没有在法定期限内作出答复。</w:t>
      </w:r>
    </w:p>
    <w:p w14:paraId="01C2F88D">
      <w:pPr>
        <w:ind w:firstLine="480"/>
        <w:rPr>
          <w:rFonts w:cs="宋体"/>
          <w:highlight w:val="none"/>
        </w:rPr>
      </w:pPr>
      <w:r>
        <w:rPr>
          <w:rFonts w:hint="eastAsia" w:cs="宋体"/>
          <w:highlight w:val="none"/>
        </w:rPr>
        <w:t>四、投诉事项具体内容</w:t>
      </w:r>
    </w:p>
    <w:p w14:paraId="7A4B262A">
      <w:pPr>
        <w:ind w:firstLine="480"/>
        <w:rPr>
          <w:rFonts w:cs="宋体"/>
          <w:highlight w:val="none"/>
          <w:u w:val="single"/>
        </w:rPr>
      </w:pPr>
      <w:r>
        <w:rPr>
          <w:rFonts w:hint="eastAsia" w:cs="宋体"/>
          <w:highlight w:val="none"/>
        </w:rPr>
        <w:t>投诉事项 1：</w:t>
      </w:r>
      <w:r>
        <w:rPr>
          <w:rFonts w:hint="eastAsia" w:cs="宋体"/>
          <w:highlight w:val="none"/>
          <w:u w:val="dotted"/>
        </w:rPr>
        <w:t xml:space="preserve">                                       </w:t>
      </w:r>
    </w:p>
    <w:p w14:paraId="58BC9C89">
      <w:pPr>
        <w:ind w:firstLine="480"/>
        <w:rPr>
          <w:rFonts w:cs="宋体"/>
          <w:highlight w:val="none"/>
        </w:rPr>
      </w:pPr>
      <w:r>
        <w:rPr>
          <w:rFonts w:hint="eastAsia" w:cs="宋体"/>
          <w:highlight w:val="none"/>
        </w:rPr>
        <w:t>事实依据：</w:t>
      </w:r>
      <w:r>
        <w:rPr>
          <w:rFonts w:hint="eastAsia" w:cs="宋体"/>
          <w:highlight w:val="none"/>
          <w:u w:val="dotted"/>
        </w:rPr>
        <w:t xml:space="preserve">                                         </w:t>
      </w:r>
    </w:p>
    <w:p w14:paraId="545CF248">
      <w:pPr>
        <w:ind w:firstLine="480"/>
        <w:rPr>
          <w:rFonts w:cs="宋体"/>
          <w:highlight w:val="none"/>
          <w:u w:val="dotted"/>
        </w:rPr>
      </w:pPr>
      <w:r>
        <w:rPr>
          <w:rFonts w:hint="eastAsia" w:cs="宋体"/>
          <w:highlight w:val="none"/>
          <w:u w:val="dotted"/>
        </w:rPr>
        <w:t xml:space="preserve">                                                      </w:t>
      </w:r>
    </w:p>
    <w:p w14:paraId="206DC38B">
      <w:pPr>
        <w:ind w:firstLine="480"/>
        <w:rPr>
          <w:rFonts w:cs="宋体"/>
          <w:highlight w:val="none"/>
          <w:u w:val="single"/>
        </w:rPr>
      </w:pPr>
      <w:r>
        <w:rPr>
          <w:rFonts w:hint="eastAsia" w:cs="宋体"/>
          <w:highlight w:val="none"/>
        </w:rPr>
        <w:t>法律依据：</w:t>
      </w:r>
      <w:r>
        <w:rPr>
          <w:rFonts w:hint="eastAsia" w:cs="宋体"/>
          <w:highlight w:val="none"/>
          <w:u w:val="dotted"/>
        </w:rPr>
        <w:t xml:space="preserve">                                          </w:t>
      </w:r>
    </w:p>
    <w:p w14:paraId="307E7B34">
      <w:pPr>
        <w:ind w:firstLine="480"/>
        <w:rPr>
          <w:rFonts w:cs="宋体"/>
          <w:highlight w:val="none"/>
          <w:u w:val="dotted"/>
        </w:rPr>
      </w:pPr>
      <w:r>
        <w:rPr>
          <w:rFonts w:hint="eastAsia" w:cs="宋体"/>
          <w:highlight w:val="none"/>
          <w:u w:val="dotted"/>
        </w:rPr>
        <w:t xml:space="preserve">                                                      </w:t>
      </w:r>
    </w:p>
    <w:p w14:paraId="6809EBD4">
      <w:pPr>
        <w:ind w:firstLine="480"/>
        <w:rPr>
          <w:rFonts w:cs="宋体"/>
          <w:highlight w:val="none"/>
        </w:rPr>
      </w:pPr>
      <w:r>
        <w:rPr>
          <w:rFonts w:hint="eastAsia" w:cs="宋体"/>
          <w:highlight w:val="none"/>
        </w:rPr>
        <w:t>投诉事项2</w:t>
      </w:r>
    </w:p>
    <w:p w14:paraId="36A92C86">
      <w:pPr>
        <w:ind w:firstLine="480"/>
        <w:rPr>
          <w:rFonts w:cs="宋体"/>
          <w:highlight w:val="none"/>
          <w:u w:val="dotted"/>
        </w:rPr>
      </w:pPr>
      <w:r>
        <w:rPr>
          <w:rFonts w:hint="eastAsia" w:cs="宋体"/>
          <w:highlight w:val="none"/>
        </w:rPr>
        <w:t>……</w:t>
      </w:r>
    </w:p>
    <w:p w14:paraId="28574155">
      <w:pPr>
        <w:ind w:firstLine="480"/>
        <w:rPr>
          <w:rFonts w:cs="宋体"/>
          <w:highlight w:val="none"/>
        </w:rPr>
      </w:pPr>
      <w:r>
        <w:rPr>
          <w:rFonts w:hint="eastAsia" w:cs="宋体"/>
          <w:highlight w:val="none"/>
        </w:rPr>
        <w:t>五、与投诉事项相关的投诉请求</w:t>
      </w:r>
    </w:p>
    <w:p w14:paraId="0A5F47FD">
      <w:pPr>
        <w:ind w:firstLine="480"/>
        <w:rPr>
          <w:rFonts w:cs="宋体"/>
          <w:highlight w:val="none"/>
        </w:rPr>
      </w:pPr>
      <w:r>
        <w:rPr>
          <w:rFonts w:hint="eastAsia" w:cs="宋体"/>
          <w:highlight w:val="none"/>
        </w:rPr>
        <w:t>请求：</w:t>
      </w:r>
      <w:r>
        <w:rPr>
          <w:rFonts w:hint="eastAsia" w:cs="宋体"/>
          <w:highlight w:val="none"/>
          <w:u w:val="dotted"/>
        </w:rPr>
        <w:t xml:space="preserve">                                              </w:t>
      </w:r>
      <w:r>
        <w:rPr>
          <w:rFonts w:hint="eastAsia" w:cs="宋体"/>
          <w:highlight w:val="none"/>
        </w:rPr>
        <w:t xml:space="preserve"> </w:t>
      </w:r>
    </w:p>
    <w:p w14:paraId="56C369BB">
      <w:pPr>
        <w:ind w:firstLine="480"/>
        <w:rPr>
          <w:rFonts w:cs="宋体"/>
          <w:highlight w:val="none"/>
          <w:u w:val="single"/>
        </w:rPr>
      </w:pPr>
      <w:r>
        <w:rPr>
          <w:rFonts w:hint="eastAsia" w:cs="宋体"/>
          <w:highlight w:val="none"/>
        </w:rPr>
        <w:t xml:space="preserve">                                                                                                    </w:t>
      </w:r>
    </w:p>
    <w:p w14:paraId="765414FF">
      <w:pPr>
        <w:ind w:firstLine="480"/>
        <w:rPr>
          <w:rFonts w:cs="宋体"/>
          <w:highlight w:val="none"/>
        </w:rPr>
      </w:pPr>
      <w:r>
        <w:rPr>
          <w:rFonts w:hint="eastAsia" w:cs="宋体"/>
          <w:highlight w:val="none"/>
        </w:rPr>
        <w:t xml:space="preserve">签字(签章)：                   公章：                      </w:t>
      </w:r>
    </w:p>
    <w:p w14:paraId="5F4A3B62">
      <w:pPr>
        <w:ind w:firstLine="480"/>
        <w:rPr>
          <w:rFonts w:cs="宋体"/>
          <w:highlight w:val="none"/>
        </w:rPr>
      </w:pPr>
      <w:r>
        <w:rPr>
          <w:rFonts w:hint="eastAsia" w:cs="宋体"/>
          <w:highlight w:val="none"/>
        </w:rPr>
        <w:t xml:space="preserve">日期：    </w:t>
      </w:r>
    </w:p>
    <w:p w14:paraId="257B135D">
      <w:pPr>
        <w:ind w:firstLine="482"/>
        <w:rPr>
          <w:rFonts w:cs="宋体"/>
          <w:b/>
          <w:highlight w:val="none"/>
        </w:rPr>
      </w:pPr>
    </w:p>
    <w:p w14:paraId="2917EE3E">
      <w:pPr>
        <w:ind w:firstLine="482"/>
        <w:rPr>
          <w:rFonts w:cs="宋体"/>
          <w:b/>
          <w:highlight w:val="none"/>
        </w:rPr>
      </w:pPr>
    </w:p>
    <w:p w14:paraId="53DFD66D">
      <w:pPr>
        <w:ind w:firstLine="482"/>
        <w:rPr>
          <w:rFonts w:cs="宋体"/>
          <w:b/>
          <w:highlight w:val="none"/>
        </w:rPr>
      </w:pPr>
      <w:r>
        <w:rPr>
          <w:rFonts w:hint="eastAsia" w:cs="宋体"/>
          <w:b/>
          <w:highlight w:val="none"/>
        </w:rPr>
        <w:t>投诉书制作说明：</w:t>
      </w:r>
    </w:p>
    <w:p w14:paraId="227C2782">
      <w:pPr>
        <w:widowControl/>
        <w:ind w:firstLine="480"/>
        <w:rPr>
          <w:rFonts w:cs="宋体"/>
          <w:kern w:val="0"/>
          <w:highlight w:val="none"/>
        </w:rPr>
      </w:pPr>
      <w:r>
        <w:rPr>
          <w:rFonts w:hint="eastAsia" w:cs="宋体"/>
          <w:highlight w:val="none"/>
        </w:rPr>
        <w:t>1.投诉人提起投诉时，应当提交投诉书和必要的证明材料，并按照被投诉人和与投诉事项有关的投标人数量提供投诉书副本。</w:t>
      </w:r>
    </w:p>
    <w:p w14:paraId="6BD2648A">
      <w:pPr>
        <w:widowControl/>
        <w:ind w:firstLine="480"/>
        <w:jc w:val="left"/>
        <w:rPr>
          <w:rFonts w:cs="宋体"/>
          <w:kern w:val="0"/>
          <w:highlight w:val="none"/>
        </w:rPr>
      </w:pPr>
      <w:r>
        <w:rPr>
          <w:rFonts w:hint="eastAsia" w:cs="宋体"/>
          <w:highlight w:val="none"/>
        </w:rPr>
        <w:t>2.投诉人若委托代理人进行投诉的，投诉书应按照要求列明“授权代表”的有关内容，并在附件中提交由</w:t>
      </w:r>
      <w:r>
        <w:rPr>
          <w:rFonts w:hint="eastAsia" w:cs="宋体"/>
          <w:kern w:val="0"/>
          <w:highlight w:val="none"/>
        </w:rPr>
        <w:t>投诉人签署的授权委托书。授权委托书应当载明代理人的姓名或者名称、代理事项、具体权限、期限和相关事项。</w:t>
      </w:r>
    </w:p>
    <w:p w14:paraId="441388BD">
      <w:pPr>
        <w:widowControl/>
        <w:ind w:firstLine="480"/>
        <w:jc w:val="left"/>
        <w:rPr>
          <w:rFonts w:cs="宋体"/>
          <w:highlight w:val="none"/>
        </w:rPr>
      </w:pPr>
      <w:r>
        <w:rPr>
          <w:rFonts w:hint="eastAsia" w:cs="宋体"/>
          <w:highlight w:val="none"/>
        </w:rPr>
        <w:t>3.投诉书应简要列明质疑事项，质疑函、质疑答复等作为附件材料提供。</w:t>
      </w:r>
    </w:p>
    <w:p w14:paraId="75C5E134">
      <w:pPr>
        <w:widowControl/>
        <w:ind w:firstLine="480"/>
        <w:jc w:val="left"/>
        <w:rPr>
          <w:rFonts w:cs="宋体"/>
          <w:highlight w:val="none"/>
        </w:rPr>
      </w:pPr>
      <w:r>
        <w:rPr>
          <w:rFonts w:hint="eastAsia" w:cs="宋体"/>
          <w:highlight w:val="none"/>
        </w:rPr>
        <w:t>4.投诉书的投诉事项应具体、明确，并有必要的事实依据和法律依据。</w:t>
      </w:r>
    </w:p>
    <w:p w14:paraId="59C7D479">
      <w:pPr>
        <w:widowControl/>
        <w:ind w:firstLine="480"/>
        <w:jc w:val="left"/>
        <w:rPr>
          <w:rFonts w:cs="宋体"/>
          <w:highlight w:val="none"/>
        </w:rPr>
      </w:pPr>
      <w:r>
        <w:rPr>
          <w:rFonts w:hint="eastAsia" w:cs="宋体"/>
          <w:highlight w:val="none"/>
        </w:rPr>
        <w:t>5.投诉书的投诉请求应与投诉事项相关。</w:t>
      </w:r>
    </w:p>
    <w:p w14:paraId="13902AB4">
      <w:pPr>
        <w:widowControl/>
        <w:ind w:firstLine="480"/>
        <w:jc w:val="left"/>
        <w:rPr>
          <w:rFonts w:cs="宋体"/>
          <w:kern w:val="0"/>
          <w:highlight w:val="none"/>
        </w:rPr>
      </w:pPr>
      <w:r>
        <w:rPr>
          <w:rFonts w:hint="eastAsia" w:cs="宋体"/>
          <w:highlight w:val="none"/>
        </w:rPr>
        <w:t>6.投诉人为自然人的，投诉书应当由本人签字；投诉人为法人或者其他组织的，投诉书应当由法定代表人、主要负责人，或者其授权代表签字或者盖章，并加盖公章。</w:t>
      </w:r>
    </w:p>
    <w:p w14:paraId="763F60AB">
      <w:pPr>
        <w:ind w:firstLine="482"/>
        <w:rPr>
          <w:rFonts w:cs="宋体"/>
          <w:b/>
          <w:color w:val="FF0000"/>
          <w:highlight w:val="none"/>
        </w:rPr>
      </w:pPr>
    </w:p>
    <w:sectPr>
      <w:headerReference r:id="rId20" w:type="default"/>
      <w:footerReference r:id="rId21" w:type="default"/>
      <w:pgSz w:w="11906" w:h="16838"/>
      <w:pgMar w:top="1440" w:right="1304" w:bottom="1020" w:left="130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金山简黑体">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T Extra">
    <w:panose1 w:val="05050102010205020202"/>
    <w:charset w:val="02"/>
    <w:family w:val="roman"/>
    <w:pitch w:val="default"/>
    <w:sig w:usb0="80000000" w:usb1="00000000" w:usb2="00000000" w:usb3="00000000" w:csb0="00000000" w:csb1="00000000"/>
  </w:font>
  <w:font w:name="ScalaSansLF-Regular">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0394">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AEA57">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D6F19">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DBF6">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2AF2">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65F96">
    <w:pPr>
      <w:pStyle w:val="2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7C367">
                          <w:pPr>
                            <w:pStyle w:val="26"/>
                            <w:ind w:firstLine="360"/>
                          </w:pPr>
                          <w:r>
                            <w:t xml:space="preserve">第 </w:t>
                          </w:r>
                          <w:r>
                            <w:fldChar w:fldCharType="begin"/>
                          </w:r>
                          <w:r>
                            <w:instrText xml:space="preserve"> PAGE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3467C367">
                    <w:pPr>
                      <w:pStyle w:val="26"/>
                      <w:ind w:firstLine="360"/>
                    </w:pPr>
                    <w:r>
                      <w:t xml:space="preserve">第 </w:t>
                    </w:r>
                    <w:r>
                      <w:fldChar w:fldCharType="begin"/>
                    </w:r>
                    <w:r>
                      <w:instrText xml:space="preserve"> PAGE  \* MERGEFORMAT </w:instrText>
                    </w:r>
                    <w:r>
                      <w:fldChar w:fldCharType="separate"/>
                    </w:r>
                    <w:r>
                      <w:t>66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3715">
    <w:pPr>
      <w:pStyle w:val="26"/>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070F1">
                          <w:pPr>
                            <w:pStyle w:val="26"/>
                            <w:ind w:firstLine="360"/>
                          </w:pPr>
                          <w:r>
                            <w:t xml:space="preserve">第 </w:t>
                          </w:r>
                          <w:r>
                            <w:fldChar w:fldCharType="begin"/>
                          </w:r>
                          <w:r>
                            <w:instrText xml:space="preserve"> PAGE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278070F1">
                    <w:pPr>
                      <w:pStyle w:val="26"/>
                      <w:ind w:firstLine="360"/>
                    </w:pPr>
                    <w:r>
                      <w:t xml:space="preserve">第 </w:t>
                    </w:r>
                    <w:r>
                      <w:fldChar w:fldCharType="begin"/>
                    </w:r>
                    <w:r>
                      <w:instrText xml:space="preserve"> PAGE  \* MERGEFORMAT </w:instrText>
                    </w:r>
                    <w:r>
                      <w:fldChar w:fldCharType="separate"/>
                    </w:r>
                    <w:r>
                      <w:t>92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6884">
    <w:pPr>
      <w:pStyle w:val="26"/>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C89F4">
                          <w:pPr>
                            <w:pStyle w:val="26"/>
                            <w:ind w:firstLine="360"/>
                          </w:pPr>
                          <w:r>
                            <w:t xml:space="preserve">第 </w:t>
                          </w:r>
                          <w:r>
                            <w:fldChar w:fldCharType="begin"/>
                          </w:r>
                          <w:r>
                            <w:instrText xml:space="preserve"> PAGE  \* MERGEFORMAT </w:instrText>
                          </w:r>
                          <w:r>
                            <w:fldChar w:fldCharType="separate"/>
                          </w:r>
                          <w:r>
                            <w:t>112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421C89F4">
                    <w:pPr>
                      <w:pStyle w:val="26"/>
                      <w:ind w:firstLine="360"/>
                    </w:pPr>
                    <w:r>
                      <w:t xml:space="preserve">第 </w:t>
                    </w:r>
                    <w:r>
                      <w:fldChar w:fldCharType="begin"/>
                    </w:r>
                    <w:r>
                      <w:instrText xml:space="preserve"> PAGE  \* MERGEFORMAT </w:instrText>
                    </w:r>
                    <w:r>
                      <w:fldChar w:fldCharType="separate"/>
                    </w:r>
                    <w:r>
                      <w:t>112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DC12E">
    <w:pPr>
      <w:pStyle w:val="26"/>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DAE03">
                          <w:pPr>
                            <w:pStyle w:val="26"/>
                            <w:ind w:firstLine="360"/>
                          </w:pPr>
                          <w:r>
                            <w:t xml:space="preserve">第 </w:t>
                          </w:r>
                          <w:r>
                            <w:fldChar w:fldCharType="begin"/>
                          </w:r>
                          <w:r>
                            <w:instrText xml:space="preserve"> PAGE  \* MERGEFORMAT </w:instrText>
                          </w:r>
                          <w:r>
                            <w:fldChar w:fldCharType="separate"/>
                          </w:r>
                          <w:r>
                            <w:t>116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0D1DAE03">
                    <w:pPr>
                      <w:pStyle w:val="26"/>
                      <w:ind w:firstLine="360"/>
                    </w:pPr>
                    <w:r>
                      <w:t xml:space="preserve">第 </w:t>
                    </w:r>
                    <w:r>
                      <w:fldChar w:fldCharType="begin"/>
                    </w:r>
                    <w:r>
                      <w:instrText xml:space="preserve"> PAGE  \* MERGEFORMAT </w:instrText>
                    </w:r>
                    <w:r>
                      <w:fldChar w:fldCharType="separate"/>
                    </w:r>
                    <w:r>
                      <w:t>116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9A87">
    <w:pPr>
      <w:pStyle w:val="2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F68A">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37C5C">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3435">
    <w:pPr>
      <w:pStyle w:val="27"/>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1E7D">
    <w:pPr>
      <w:pStyle w:val="27"/>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0D24">
    <w:pPr>
      <w:pStyle w:val="27"/>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14DF">
    <w:pPr>
      <w:pStyle w:val="27"/>
      <w:pBdr>
        <w:bottom w:val="none" w:color="auto" w:sz="0" w:space="1"/>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3302">
    <w:pPr>
      <w:pStyle w:val="2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6E823"/>
    <w:multiLevelType w:val="singleLevel"/>
    <w:tmpl w:val="A986E823"/>
    <w:lvl w:ilvl="0" w:tentative="0">
      <w:start w:val="1"/>
      <w:numFmt w:val="decimal"/>
      <w:suff w:val="nothing"/>
      <w:lvlText w:val="%1、"/>
      <w:lvlJc w:val="left"/>
    </w:lvl>
  </w:abstractNum>
  <w:abstractNum w:abstractNumId="1">
    <w:nsid w:val="E21998DF"/>
    <w:multiLevelType w:val="singleLevel"/>
    <w:tmpl w:val="E21998DF"/>
    <w:lvl w:ilvl="0" w:tentative="0">
      <w:start w:val="1"/>
      <w:numFmt w:val="chineseCounting"/>
      <w:suff w:val="space"/>
      <w:lvlText w:val="第%1章"/>
      <w:lvlJc w:val="left"/>
      <w:rPr>
        <w:rFonts w:hint="eastAsia"/>
      </w:rPr>
    </w:lvl>
  </w:abstractNum>
  <w:abstractNum w:abstractNumId="2">
    <w:nsid w:val="E451AFB4"/>
    <w:multiLevelType w:val="singleLevel"/>
    <w:tmpl w:val="E451AFB4"/>
    <w:lvl w:ilvl="0" w:tentative="0">
      <w:start w:val="10"/>
      <w:numFmt w:val="chineseCounting"/>
      <w:suff w:val="space"/>
      <w:lvlText w:val="第%1节"/>
      <w:lvlJc w:val="left"/>
      <w:rPr>
        <w:rFonts w:hint="eastAsia"/>
      </w:rPr>
    </w:lvl>
  </w:abstractNum>
  <w:abstractNum w:abstractNumId="3">
    <w:nsid w:val="E95A3815"/>
    <w:multiLevelType w:val="singleLevel"/>
    <w:tmpl w:val="E95A3815"/>
    <w:lvl w:ilvl="0" w:tentative="0">
      <w:start w:val="1"/>
      <w:numFmt w:val="decimal"/>
      <w:suff w:val="nothing"/>
      <w:lvlText w:val="%1、"/>
      <w:lvlJc w:val="left"/>
    </w:lvl>
  </w:abstractNum>
  <w:abstractNum w:abstractNumId="4">
    <w:nsid w:val="FAB19F8D"/>
    <w:multiLevelType w:val="singleLevel"/>
    <w:tmpl w:val="FAB19F8D"/>
    <w:lvl w:ilvl="0" w:tentative="0">
      <w:start w:val="1"/>
      <w:numFmt w:val="decimal"/>
      <w:lvlText w:val="%1."/>
      <w:lvlJc w:val="left"/>
      <w:pPr>
        <w:tabs>
          <w:tab w:val="left" w:pos="312"/>
        </w:tabs>
      </w:pPr>
    </w:lvl>
  </w:abstractNum>
  <w:abstractNum w:abstractNumId="5">
    <w:nsid w:val="FAC54198"/>
    <w:multiLevelType w:val="singleLevel"/>
    <w:tmpl w:val="FAC54198"/>
    <w:lvl w:ilvl="0" w:tentative="0">
      <w:start w:val="1"/>
      <w:numFmt w:val="decimal"/>
      <w:suff w:val="nothing"/>
      <w:lvlText w:val="%1、"/>
      <w:lvlJc w:val="left"/>
    </w:lvl>
  </w:abstractNum>
  <w:abstractNum w:abstractNumId="6">
    <w:nsid w:val="00000006"/>
    <w:multiLevelType w:val="multilevel"/>
    <w:tmpl w:val="00000006"/>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00000009"/>
    <w:multiLevelType w:val="multilevel"/>
    <w:tmpl w:val="00000009"/>
    <w:lvl w:ilvl="0" w:tentative="0">
      <w:start w:val="1"/>
      <w:numFmt w:val="decimal"/>
      <w:lvlText w:val="%1."/>
      <w:lvlJc w:val="left"/>
      <w:pPr>
        <w:ind w:left="420" w:hanging="420"/>
      </w:pPr>
    </w:lvl>
    <w:lvl w:ilvl="1" w:tentative="0">
      <w:start w:val="1"/>
      <w:numFmt w:val="lowerLetter"/>
      <w:pStyle w:val="129"/>
      <w:lvlText w:val="%2)"/>
      <w:lvlJc w:val="left"/>
      <w:pPr>
        <w:ind w:left="840" w:hanging="420"/>
      </w:pPr>
    </w:lvl>
    <w:lvl w:ilvl="2" w:tentative="0">
      <w:start w:val="1"/>
      <w:numFmt w:val="lowerRoman"/>
      <w:pStyle w:val="174"/>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F"/>
    <w:multiLevelType w:val="multilevel"/>
    <w:tmpl w:val="0000000F"/>
    <w:lvl w:ilvl="0" w:tentative="0">
      <w:start w:val="1"/>
      <w:numFmt w:val="decimal"/>
      <w:pStyle w:val="13"/>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0000010"/>
    <w:multiLevelType w:val="multilevel"/>
    <w:tmpl w:val="00000010"/>
    <w:lvl w:ilvl="0" w:tentative="0">
      <w:start w:val="1"/>
      <w:numFmt w:val="decimal"/>
      <w:pStyle w:val="1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BFDDBFF"/>
    <w:multiLevelType w:val="singleLevel"/>
    <w:tmpl w:val="4BFDDBFF"/>
    <w:lvl w:ilvl="0" w:tentative="0">
      <w:start w:val="1"/>
      <w:numFmt w:val="decimal"/>
      <w:suff w:val="nothing"/>
      <w:lvlText w:val="（%1）"/>
      <w:lvlJc w:val="left"/>
    </w:lvl>
  </w:abstractNum>
  <w:abstractNum w:abstractNumId="11">
    <w:nsid w:val="4DF71A32"/>
    <w:multiLevelType w:val="singleLevel"/>
    <w:tmpl w:val="4DF71A32"/>
    <w:lvl w:ilvl="0" w:tentative="0">
      <w:start w:val="1"/>
      <w:numFmt w:val="decimal"/>
      <w:suff w:val="nothing"/>
      <w:lvlText w:val="%1、"/>
      <w:lvlJc w:val="left"/>
    </w:lvl>
  </w:abstractNum>
  <w:num w:numId="1">
    <w:abstractNumId w:val="8"/>
  </w:num>
  <w:num w:numId="2">
    <w:abstractNumId w:val="9"/>
  </w:num>
  <w:num w:numId="3">
    <w:abstractNumId w:val="7"/>
  </w:num>
  <w:num w:numId="4">
    <w:abstractNumId w:val="1"/>
  </w:num>
  <w:num w:numId="5">
    <w:abstractNumId w:val="3"/>
  </w:num>
  <w:num w:numId="6">
    <w:abstractNumId w:val="5"/>
  </w:num>
  <w:num w:numId="7">
    <w:abstractNumId w:val="4"/>
  </w:num>
  <w:num w:numId="8">
    <w:abstractNumId w:val="0"/>
  </w:num>
  <w:num w:numId="9">
    <w:abstractNumId w:val="11"/>
  </w:num>
  <w:num w:numId="10">
    <w:abstractNumId w:val="1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kNjA2YzQ4YjM4MzJhY2FhNjQwYzcxZGFmNTE5NWUifQ=="/>
  </w:docVars>
  <w:rsids>
    <w:rsidRoot w:val="00172A27"/>
    <w:rsid w:val="0000025A"/>
    <w:rsid w:val="00001CC1"/>
    <w:rsid w:val="000035F4"/>
    <w:rsid w:val="000037F0"/>
    <w:rsid w:val="00011721"/>
    <w:rsid w:val="000138E8"/>
    <w:rsid w:val="00015136"/>
    <w:rsid w:val="0001591E"/>
    <w:rsid w:val="0001599C"/>
    <w:rsid w:val="00015D46"/>
    <w:rsid w:val="00017060"/>
    <w:rsid w:val="00017A9F"/>
    <w:rsid w:val="000203D3"/>
    <w:rsid w:val="00020CF8"/>
    <w:rsid w:val="00025F4A"/>
    <w:rsid w:val="00026A02"/>
    <w:rsid w:val="00030E74"/>
    <w:rsid w:val="00031467"/>
    <w:rsid w:val="0003254D"/>
    <w:rsid w:val="00032E39"/>
    <w:rsid w:val="00034AF2"/>
    <w:rsid w:val="00035A54"/>
    <w:rsid w:val="00036D69"/>
    <w:rsid w:val="000404A4"/>
    <w:rsid w:val="00041C10"/>
    <w:rsid w:val="00042B4E"/>
    <w:rsid w:val="00042EB3"/>
    <w:rsid w:val="00044BCE"/>
    <w:rsid w:val="00045487"/>
    <w:rsid w:val="000466DF"/>
    <w:rsid w:val="000501FA"/>
    <w:rsid w:val="00050C78"/>
    <w:rsid w:val="000522E6"/>
    <w:rsid w:val="0005297E"/>
    <w:rsid w:val="000559D6"/>
    <w:rsid w:val="00055E6D"/>
    <w:rsid w:val="00056173"/>
    <w:rsid w:val="0005637F"/>
    <w:rsid w:val="00057D5B"/>
    <w:rsid w:val="000604C8"/>
    <w:rsid w:val="00060EE0"/>
    <w:rsid w:val="00060F38"/>
    <w:rsid w:val="000613C9"/>
    <w:rsid w:val="00061709"/>
    <w:rsid w:val="00061751"/>
    <w:rsid w:val="0006421C"/>
    <w:rsid w:val="00064331"/>
    <w:rsid w:val="0006488C"/>
    <w:rsid w:val="00066FF5"/>
    <w:rsid w:val="0007147A"/>
    <w:rsid w:val="00071D0C"/>
    <w:rsid w:val="00073925"/>
    <w:rsid w:val="000745F6"/>
    <w:rsid w:val="0007498A"/>
    <w:rsid w:val="00080A0E"/>
    <w:rsid w:val="000839F9"/>
    <w:rsid w:val="00084E75"/>
    <w:rsid w:val="00085C83"/>
    <w:rsid w:val="00087CAA"/>
    <w:rsid w:val="00090D1F"/>
    <w:rsid w:val="00090FF6"/>
    <w:rsid w:val="0009249B"/>
    <w:rsid w:val="00092B40"/>
    <w:rsid w:val="00093E97"/>
    <w:rsid w:val="000943A3"/>
    <w:rsid w:val="00094405"/>
    <w:rsid w:val="00094BA4"/>
    <w:rsid w:val="00097898"/>
    <w:rsid w:val="000979EB"/>
    <w:rsid w:val="000A04CF"/>
    <w:rsid w:val="000A06EB"/>
    <w:rsid w:val="000A1C87"/>
    <w:rsid w:val="000A1CDE"/>
    <w:rsid w:val="000A1D3B"/>
    <w:rsid w:val="000A2B27"/>
    <w:rsid w:val="000A5003"/>
    <w:rsid w:val="000A587C"/>
    <w:rsid w:val="000A7A8F"/>
    <w:rsid w:val="000B1739"/>
    <w:rsid w:val="000B18F5"/>
    <w:rsid w:val="000B3801"/>
    <w:rsid w:val="000B46DF"/>
    <w:rsid w:val="000B58E3"/>
    <w:rsid w:val="000C250F"/>
    <w:rsid w:val="000C2DAF"/>
    <w:rsid w:val="000C30E1"/>
    <w:rsid w:val="000C37C9"/>
    <w:rsid w:val="000C5DBD"/>
    <w:rsid w:val="000D2071"/>
    <w:rsid w:val="000D331A"/>
    <w:rsid w:val="000D4D96"/>
    <w:rsid w:val="000D57D1"/>
    <w:rsid w:val="000D788C"/>
    <w:rsid w:val="000D7C23"/>
    <w:rsid w:val="000D7FEC"/>
    <w:rsid w:val="000E1852"/>
    <w:rsid w:val="000E1EAA"/>
    <w:rsid w:val="000E1EEA"/>
    <w:rsid w:val="000E3154"/>
    <w:rsid w:val="000E77D9"/>
    <w:rsid w:val="000F12CA"/>
    <w:rsid w:val="000F3297"/>
    <w:rsid w:val="000F444F"/>
    <w:rsid w:val="000F4473"/>
    <w:rsid w:val="000F58E0"/>
    <w:rsid w:val="000F6102"/>
    <w:rsid w:val="000F64D5"/>
    <w:rsid w:val="000F7916"/>
    <w:rsid w:val="0010080A"/>
    <w:rsid w:val="0010157A"/>
    <w:rsid w:val="00103897"/>
    <w:rsid w:val="001039E3"/>
    <w:rsid w:val="0011181B"/>
    <w:rsid w:val="0011211A"/>
    <w:rsid w:val="00112B47"/>
    <w:rsid w:val="001148C6"/>
    <w:rsid w:val="00115094"/>
    <w:rsid w:val="001200F0"/>
    <w:rsid w:val="00123CE3"/>
    <w:rsid w:val="0012516A"/>
    <w:rsid w:val="001266F7"/>
    <w:rsid w:val="00127E3B"/>
    <w:rsid w:val="00130D49"/>
    <w:rsid w:val="00134E45"/>
    <w:rsid w:val="001354D5"/>
    <w:rsid w:val="0013792B"/>
    <w:rsid w:val="00140519"/>
    <w:rsid w:val="001443A3"/>
    <w:rsid w:val="0014477F"/>
    <w:rsid w:val="00144E22"/>
    <w:rsid w:val="00145FC1"/>
    <w:rsid w:val="00153938"/>
    <w:rsid w:val="00154FA3"/>
    <w:rsid w:val="00155BCC"/>
    <w:rsid w:val="001568D6"/>
    <w:rsid w:val="001603BB"/>
    <w:rsid w:val="00160F1A"/>
    <w:rsid w:val="001613F6"/>
    <w:rsid w:val="00162AC7"/>
    <w:rsid w:val="00163CF5"/>
    <w:rsid w:val="00163D3F"/>
    <w:rsid w:val="00164038"/>
    <w:rsid w:val="0016454E"/>
    <w:rsid w:val="00164B17"/>
    <w:rsid w:val="00165D8D"/>
    <w:rsid w:val="00166F73"/>
    <w:rsid w:val="0017056C"/>
    <w:rsid w:val="00170665"/>
    <w:rsid w:val="00170679"/>
    <w:rsid w:val="001719C5"/>
    <w:rsid w:val="0017260C"/>
    <w:rsid w:val="00172A27"/>
    <w:rsid w:val="0017509E"/>
    <w:rsid w:val="00176C19"/>
    <w:rsid w:val="00181D19"/>
    <w:rsid w:val="00182B31"/>
    <w:rsid w:val="00182C1C"/>
    <w:rsid w:val="0018410D"/>
    <w:rsid w:val="001843C6"/>
    <w:rsid w:val="0018455B"/>
    <w:rsid w:val="00184735"/>
    <w:rsid w:val="00184FB7"/>
    <w:rsid w:val="001858A6"/>
    <w:rsid w:val="00186FFB"/>
    <w:rsid w:val="00187352"/>
    <w:rsid w:val="00187590"/>
    <w:rsid w:val="00187674"/>
    <w:rsid w:val="00190477"/>
    <w:rsid w:val="00194B73"/>
    <w:rsid w:val="00195532"/>
    <w:rsid w:val="00195534"/>
    <w:rsid w:val="00195F5B"/>
    <w:rsid w:val="001967ED"/>
    <w:rsid w:val="001A0A45"/>
    <w:rsid w:val="001A1F36"/>
    <w:rsid w:val="001A24A9"/>
    <w:rsid w:val="001A5AD8"/>
    <w:rsid w:val="001A6304"/>
    <w:rsid w:val="001B0AEC"/>
    <w:rsid w:val="001B223C"/>
    <w:rsid w:val="001B4607"/>
    <w:rsid w:val="001B6084"/>
    <w:rsid w:val="001B68D8"/>
    <w:rsid w:val="001C031F"/>
    <w:rsid w:val="001C09CF"/>
    <w:rsid w:val="001C42CD"/>
    <w:rsid w:val="001C441C"/>
    <w:rsid w:val="001C4DD1"/>
    <w:rsid w:val="001C4DE4"/>
    <w:rsid w:val="001C6E99"/>
    <w:rsid w:val="001C78A7"/>
    <w:rsid w:val="001D0433"/>
    <w:rsid w:val="001D25B6"/>
    <w:rsid w:val="001D2793"/>
    <w:rsid w:val="001D3200"/>
    <w:rsid w:val="001D6435"/>
    <w:rsid w:val="001D67D5"/>
    <w:rsid w:val="001E45D9"/>
    <w:rsid w:val="001E4700"/>
    <w:rsid w:val="001E6BA1"/>
    <w:rsid w:val="001F1D2C"/>
    <w:rsid w:val="001F1D58"/>
    <w:rsid w:val="001F2B86"/>
    <w:rsid w:val="001F2C3F"/>
    <w:rsid w:val="001F30F7"/>
    <w:rsid w:val="001F3E81"/>
    <w:rsid w:val="001F4CF7"/>
    <w:rsid w:val="001F6B29"/>
    <w:rsid w:val="001F72A2"/>
    <w:rsid w:val="001F7AB6"/>
    <w:rsid w:val="00200203"/>
    <w:rsid w:val="00200224"/>
    <w:rsid w:val="00201004"/>
    <w:rsid w:val="00202DB8"/>
    <w:rsid w:val="00204B71"/>
    <w:rsid w:val="00207178"/>
    <w:rsid w:val="002122DB"/>
    <w:rsid w:val="00213792"/>
    <w:rsid w:val="00213994"/>
    <w:rsid w:val="00213B07"/>
    <w:rsid w:val="002152F0"/>
    <w:rsid w:val="00216D32"/>
    <w:rsid w:val="00216EB4"/>
    <w:rsid w:val="00221913"/>
    <w:rsid w:val="00221953"/>
    <w:rsid w:val="00226E86"/>
    <w:rsid w:val="00226F50"/>
    <w:rsid w:val="00230A4E"/>
    <w:rsid w:val="00232602"/>
    <w:rsid w:val="00232F13"/>
    <w:rsid w:val="00233085"/>
    <w:rsid w:val="0023344E"/>
    <w:rsid w:val="00234F46"/>
    <w:rsid w:val="00237051"/>
    <w:rsid w:val="002372E3"/>
    <w:rsid w:val="002408C8"/>
    <w:rsid w:val="002416E9"/>
    <w:rsid w:val="0024232D"/>
    <w:rsid w:val="00242A24"/>
    <w:rsid w:val="002434B6"/>
    <w:rsid w:val="002447B7"/>
    <w:rsid w:val="002452ED"/>
    <w:rsid w:val="00245594"/>
    <w:rsid w:val="002510A9"/>
    <w:rsid w:val="0025343D"/>
    <w:rsid w:val="002539A2"/>
    <w:rsid w:val="00254E25"/>
    <w:rsid w:val="0026022B"/>
    <w:rsid w:val="002621F0"/>
    <w:rsid w:val="002631AE"/>
    <w:rsid w:val="002662A3"/>
    <w:rsid w:val="0026685D"/>
    <w:rsid w:val="0026688A"/>
    <w:rsid w:val="00266937"/>
    <w:rsid w:val="00267608"/>
    <w:rsid w:val="00267CCE"/>
    <w:rsid w:val="00270528"/>
    <w:rsid w:val="00270BE1"/>
    <w:rsid w:val="00273205"/>
    <w:rsid w:val="0027327B"/>
    <w:rsid w:val="00277B3D"/>
    <w:rsid w:val="00281B19"/>
    <w:rsid w:val="00282430"/>
    <w:rsid w:val="00283762"/>
    <w:rsid w:val="00283A95"/>
    <w:rsid w:val="00283DBA"/>
    <w:rsid w:val="00284F2C"/>
    <w:rsid w:val="00287043"/>
    <w:rsid w:val="00290DB3"/>
    <w:rsid w:val="002A0D60"/>
    <w:rsid w:val="002A1458"/>
    <w:rsid w:val="002A2966"/>
    <w:rsid w:val="002A2D74"/>
    <w:rsid w:val="002A350A"/>
    <w:rsid w:val="002A5605"/>
    <w:rsid w:val="002A6116"/>
    <w:rsid w:val="002B1E3C"/>
    <w:rsid w:val="002B4EEF"/>
    <w:rsid w:val="002B510A"/>
    <w:rsid w:val="002B5196"/>
    <w:rsid w:val="002B5982"/>
    <w:rsid w:val="002B6139"/>
    <w:rsid w:val="002C1486"/>
    <w:rsid w:val="002C44B8"/>
    <w:rsid w:val="002C549E"/>
    <w:rsid w:val="002C55D2"/>
    <w:rsid w:val="002D39A3"/>
    <w:rsid w:val="002D3BB1"/>
    <w:rsid w:val="002D4566"/>
    <w:rsid w:val="002D4C27"/>
    <w:rsid w:val="002D4D08"/>
    <w:rsid w:val="002D6292"/>
    <w:rsid w:val="002D6B47"/>
    <w:rsid w:val="002D73CD"/>
    <w:rsid w:val="002E2BEE"/>
    <w:rsid w:val="002E3121"/>
    <w:rsid w:val="002E3D90"/>
    <w:rsid w:val="002E41DB"/>
    <w:rsid w:val="002E5135"/>
    <w:rsid w:val="002E5D7F"/>
    <w:rsid w:val="002F1165"/>
    <w:rsid w:val="002F2D4B"/>
    <w:rsid w:val="002F3D28"/>
    <w:rsid w:val="002F603A"/>
    <w:rsid w:val="003032C9"/>
    <w:rsid w:val="003034D2"/>
    <w:rsid w:val="00305221"/>
    <w:rsid w:val="00306305"/>
    <w:rsid w:val="0030784B"/>
    <w:rsid w:val="00311320"/>
    <w:rsid w:val="00311A5F"/>
    <w:rsid w:val="00312109"/>
    <w:rsid w:val="00313655"/>
    <w:rsid w:val="0031380D"/>
    <w:rsid w:val="00313C6B"/>
    <w:rsid w:val="00314DA9"/>
    <w:rsid w:val="00317FBE"/>
    <w:rsid w:val="0032495C"/>
    <w:rsid w:val="00325B6A"/>
    <w:rsid w:val="0032613D"/>
    <w:rsid w:val="0032700C"/>
    <w:rsid w:val="00327F94"/>
    <w:rsid w:val="00330393"/>
    <w:rsid w:val="0033149C"/>
    <w:rsid w:val="00331EDE"/>
    <w:rsid w:val="00335987"/>
    <w:rsid w:val="00337586"/>
    <w:rsid w:val="00345C73"/>
    <w:rsid w:val="00345F39"/>
    <w:rsid w:val="0034601A"/>
    <w:rsid w:val="00347C07"/>
    <w:rsid w:val="00350C68"/>
    <w:rsid w:val="00353396"/>
    <w:rsid w:val="00354041"/>
    <w:rsid w:val="00355FD0"/>
    <w:rsid w:val="00356AA8"/>
    <w:rsid w:val="003578D6"/>
    <w:rsid w:val="003618CD"/>
    <w:rsid w:val="00361A00"/>
    <w:rsid w:val="003625D8"/>
    <w:rsid w:val="003630D0"/>
    <w:rsid w:val="00366D40"/>
    <w:rsid w:val="00367ED7"/>
    <w:rsid w:val="003751EF"/>
    <w:rsid w:val="00375E93"/>
    <w:rsid w:val="00394765"/>
    <w:rsid w:val="003977AF"/>
    <w:rsid w:val="00397FCB"/>
    <w:rsid w:val="003A118C"/>
    <w:rsid w:val="003A17D7"/>
    <w:rsid w:val="003A21C4"/>
    <w:rsid w:val="003A3CE9"/>
    <w:rsid w:val="003A52B2"/>
    <w:rsid w:val="003A699A"/>
    <w:rsid w:val="003B0382"/>
    <w:rsid w:val="003B3698"/>
    <w:rsid w:val="003C0650"/>
    <w:rsid w:val="003C0693"/>
    <w:rsid w:val="003C399C"/>
    <w:rsid w:val="003C430F"/>
    <w:rsid w:val="003C6FB6"/>
    <w:rsid w:val="003C70A4"/>
    <w:rsid w:val="003D111D"/>
    <w:rsid w:val="003D1A1D"/>
    <w:rsid w:val="003D441F"/>
    <w:rsid w:val="003D655A"/>
    <w:rsid w:val="003D71E5"/>
    <w:rsid w:val="003D7511"/>
    <w:rsid w:val="003D77DA"/>
    <w:rsid w:val="003D79E7"/>
    <w:rsid w:val="003E20EF"/>
    <w:rsid w:val="003E284D"/>
    <w:rsid w:val="003E2AB8"/>
    <w:rsid w:val="003E5143"/>
    <w:rsid w:val="003E69EF"/>
    <w:rsid w:val="003E7AC3"/>
    <w:rsid w:val="003F281F"/>
    <w:rsid w:val="003F310F"/>
    <w:rsid w:val="003F34D7"/>
    <w:rsid w:val="003F440F"/>
    <w:rsid w:val="003F491A"/>
    <w:rsid w:val="003F6B3A"/>
    <w:rsid w:val="003F7C56"/>
    <w:rsid w:val="00403094"/>
    <w:rsid w:val="00405EBF"/>
    <w:rsid w:val="004076A6"/>
    <w:rsid w:val="00407BB7"/>
    <w:rsid w:val="004105ED"/>
    <w:rsid w:val="004120D4"/>
    <w:rsid w:val="00412FF5"/>
    <w:rsid w:val="004137FE"/>
    <w:rsid w:val="0041720E"/>
    <w:rsid w:val="00423C6D"/>
    <w:rsid w:val="00427C54"/>
    <w:rsid w:val="00427CA5"/>
    <w:rsid w:val="0043001F"/>
    <w:rsid w:val="004341AA"/>
    <w:rsid w:val="004345EE"/>
    <w:rsid w:val="00434685"/>
    <w:rsid w:val="00434C28"/>
    <w:rsid w:val="0043524F"/>
    <w:rsid w:val="00435437"/>
    <w:rsid w:val="00437350"/>
    <w:rsid w:val="0043763D"/>
    <w:rsid w:val="004376E4"/>
    <w:rsid w:val="00440896"/>
    <w:rsid w:val="00443217"/>
    <w:rsid w:val="00445CFD"/>
    <w:rsid w:val="004468DE"/>
    <w:rsid w:val="00447492"/>
    <w:rsid w:val="00447A63"/>
    <w:rsid w:val="0045047B"/>
    <w:rsid w:val="004537CA"/>
    <w:rsid w:val="0045693A"/>
    <w:rsid w:val="004574CF"/>
    <w:rsid w:val="0045750D"/>
    <w:rsid w:val="00460B52"/>
    <w:rsid w:val="0046116C"/>
    <w:rsid w:val="00461887"/>
    <w:rsid w:val="0046220A"/>
    <w:rsid w:val="00462D41"/>
    <w:rsid w:val="00462EDE"/>
    <w:rsid w:val="00464FB5"/>
    <w:rsid w:val="00465A03"/>
    <w:rsid w:val="00465C7B"/>
    <w:rsid w:val="004673A3"/>
    <w:rsid w:val="004700E2"/>
    <w:rsid w:val="00470586"/>
    <w:rsid w:val="00470BCA"/>
    <w:rsid w:val="00471405"/>
    <w:rsid w:val="004725F2"/>
    <w:rsid w:val="00475E8A"/>
    <w:rsid w:val="00477053"/>
    <w:rsid w:val="00477109"/>
    <w:rsid w:val="004825DD"/>
    <w:rsid w:val="00483296"/>
    <w:rsid w:val="0048641F"/>
    <w:rsid w:val="00486775"/>
    <w:rsid w:val="00487BD0"/>
    <w:rsid w:val="0049040C"/>
    <w:rsid w:val="00492413"/>
    <w:rsid w:val="00492B7F"/>
    <w:rsid w:val="00492C6B"/>
    <w:rsid w:val="00492E09"/>
    <w:rsid w:val="00493CA6"/>
    <w:rsid w:val="004943E8"/>
    <w:rsid w:val="00495E2B"/>
    <w:rsid w:val="00495E3C"/>
    <w:rsid w:val="004A020F"/>
    <w:rsid w:val="004A4AEB"/>
    <w:rsid w:val="004A62DD"/>
    <w:rsid w:val="004B067B"/>
    <w:rsid w:val="004B2E62"/>
    <w:rsid w:val="004B5EC6"/>
    <w:rsid w:val="004B6762"/>
    <w:rsid w:val="004B6AD5"/>
    <w:rsid w:val="004B6CFF"/>
    <w:rsid w:val="004B7F6E"/>
    <w:rsid w:val="004C16D5"/>
    <w:rsid w:val="004C199B"/>
    <w:rsid w:val="004C1B9D"/>
    <w:rsid w:val="004C216A"/>
    <w:rsid w:val="004C32D6"/>
    <w:rsid w:val="004C3684"/>
    <w:rsid w:val="004C60E9"/>
    <w:rsid w:val="004D0206"/>
    <w:rsid w:val="004D048E"/>
    <w:rsid w:val="004D0C51"/>
    <w:rsid w:val="004D0DD6"/>
    <w:rsid w:val="004D150A"/>
    <w:rsid w:val="004D29FF"/>
    <w:rsid w:val="004D4AEB"/>
    <w:rsid w:val="004D626B"/>
    <w:rsid w:val="004D6905"/>
    <w:rsid w:val="004D6F27"/>
    <w:rsid w:val="004D7553"/>
    <w:rsid w:val="004D7C4C"/>
    <w:rsid w:val="004E0F9A"/>
    <w:rsid w:val="004E21F5"/>
    <w:rsid w:val="004E4CB6"/>
    <w:rsid w:val="004E6BA4"/>
    <w:rsid w:val="004E7787"/>
    <w:rsid w:val="004E7B1A"/>
    <w:rsid w:val="004F0B26"/>
    <w:rsid w:val="004F0FCE"/>
    <w:rsid w:val="004F1662"/>
    <w:rsid w:val="004F202B"/>
    <w:rsid w:val="004F3507"/>
    <w:rsid w:val="004F36B4"/>
    <w:rsid w:val="004F3EE4"/>
    <w:rsid w:val="004F42C4"/>
    <w:rsid w:val="004F5477"/>
    <w:rsid w:val="004F7E99"/>
    <w:rsid w:val="004F7FE8"/>
    <w:rsid w:val="0050000D"/>
    <w:rsid w:val="00500645"/>
    <w:rsid w:val="00503042"/>
    <w:rsid w:val="00503AA5"/>
    <w:rsid w:val="00504E09"/>
    <w:rsid w:val="0050638A"/>
    <w:rsid w:val="005165AB"/>
    <w:rsid w:val="00516B63"/>
    <w:rsid w:val="005206C3"/>
    <w:rsid w:val="00521C7F"/>
    <w:rsid w:val="00522CAF"/>
    <w:rsid w:val="00524C9D"/>
    <w:rsid w:val="00526755"/>
    <w:rsid w:val="00526C59"/>
    <w:rsid w:val="00530109"/>
    <w:rsid w:val="005307BC"/>
    <w:rsid w:val="00530BB1"/>
    <w:rsid w:val="00530CDC"/>
    <w:rsid w:val="0053248E"/>
    <w:rsid w:val="00532B43"/>
    <w:rsid w:val="00533248"/>
    <w:rsid w:val="005345B3"/>
    <w:rsid w:val="00537959"/>
    <w:rsid w:val="0054009A"/>
    <w:rsid w:val="00541249"/>
    <w:rsid w:val="00541A28"/>
    <w:rsid w:val="00543072"/>
    <w:rsid w:val="005461D5"/>
    <w:rsid w:val="00546782"/>
    <w:rsid w:val="005507B7"/>
    <w:rsid w:val="005527B8"/>
    <w:rsid w:val="005548A9"/>
    <w:rsid w:val="005561D8"/>
    <w:rsid w:val="00557FFD"/>
    <w:rsid w:val="005618A8"/>
    <w:rsid w:val="00561DC5"/>
    <w:rsid w:val="005630BA"/>
    <w:rsid w:val="005661C0"/>
    <w:rsid w:val="00566D88"/>
    <w:rsid w:val="005701DE"/>
    <w:rsid w:val="0057111D"/>
    <w:rsid w:val="0057269B"/>
    <w:rsid w:val="005731F7"/>
    <w:rsid w:val="00574EF9"/>
    <w:rsid w:val="00576E2C"/>
    <w:rsid w:val="005770DF"/>
    <w:rsid w:val="00577127"/>
    <w:rsid w:val="00580F00"/>
    <w:rsid w:val="005827EF"/>
    <w:rsid w:val="00583761"/>
    <w:rsid w:val="0058503E"/>
    <w:rsid w:val="0058622B"/>
    <w:rsid w:val="00587A9A"/>
    <w:rsid w:val="005964EA"/>
    <w:rsid w:val="005A002A"/>
    <w:rsid w:val="005A010C"/>
    <w:rsid w:val="005A130D"/>
    <w:rsid w:val="005A1600"/>
    <w:rsid w:val="005A1ACF"/>
    <w:rsid w:val="005A1B31"/>
    <w:rsid w:val="005A6194"/>
    <w:rsid w:val="005A6EA3"/>
    <w:rsid w:val="005A7C49"/>
    <w:rsid w:val="005B06FB"/>
    <w:rsid w:val="005B6142"/>
    <w:rsid w:val="005B681E"/>
    <w:rsid w:val="005B7300"/>
    <w:rsid w:val="005C0C63"/>
    <w:rsid w:val="005C0E04"/>
    <w:rsid w:val="005C0E74"/>
    <w:rsid w:val="005C19C0"/>
    <w:rsid w:val="005C6B3F"/>
    <w:rsid w:val="005D46CD"/>
    <w:rsid w:val="005D4A96"/>
    <w:rsid w:val="005D4C9B"/>
    <w:rsid w:val="005D5E1B"/>
    <w:rsid w:val="005E2155"/>
    <w:rsid w:val="005E2B9A"/>
    <w:rsid w:val="005E654C"/>
    <w:rsid w:val="005E7132"/>
    <w:rsid w:val="005F108D"/>
    <w:rsid w:val="005F26B4"/>
    <w:rsid w:val="005F2D62"/>
    <w:rsid w:val="005F2D88"/>
    <w:rsid w:val="005F4D1B"/>
    <w:rsid w:val="005F4FB8"/>
    <w:rsid w:val="005F69F6"/>
    <w:rsid w:val="005F6C39"/>
    <w:rsid w:val="005F79FD"/>
    <w:rsid w:val="006000B7"/>
    <w:rsid w:val="00600341"/>
    <w:rsid w:val="00602E21"/>
    <w:rsid w:val="00602F17"/>
    <w:rsid w:val="00603612"/>
    <w:rsid w:val="0060380C"/>
    <w:rsid w:val="00603FC0"/>
    <w:rsid w:val="0060545C"/>
    <w:rsid w:val="00605AF4"/>
    <w:rsid w:val="00606A27"/>
    <w:rsid w:val="00606E06"/>
    <w:rsid w:val="00607AAE"/>
    <w:rsid w:val="00613372"/>
    <w:rsid w:val="006140F3"/>
    <w:rsid w:val="0062425C"/>
    <w:rsid w:val="00624392"/>
    <w:rsid w:val="006259C0"/>
    <w:rsid w:val="006262D0"/>
    <w:rsid w:val="00626C87"/>
    <w:rsid w:val="006270E1"/>
    <w:rsid w:val="00633F76"/>
    <w:rsid w:val="00635A21"/>
    <w:rsid w:val="006371A6"/>
    <w:rsid w:val="00640C70"/>
    <w:rsid w:val="006411C0"/>
    <w:rsid w:val="006444C5"/>
    <w:rsid w:val="00644AED"/>
    <w:rsid w:val="006457E3"/>
    <w:rsid w:val="00646067"/>
    <w:rsid w:val="00646D28"/>
    <w:rsid w:val="00647592"/>
    <w:rsid w:val="0065067F"/>
    <w:rsid w:val="006506AA"/>
    <w:rsid w:val="00652FD2"/>
    <w:rsid w:val="006531B2"/>
    <w:rsid w:val="006542CD"/>
    <w:rsid w:val="006544E3"/>
    <w:rsid w:val="00654780"/>
    <w:rsid w:val="00655B0E"/>
    <w:rsid w:val="006566B1"/>
    <w:rsid w:val="0065716B"/>
    <w:rsid w:val="0065776D"/>
    <w:rsid w:val="0066048B"/>
    <w:rsid w:val="006607A7"/>
    <w:rsid w:val="00664BDC"/>
    <w:rsid w:val="00665DFD"/>
    <w:rsid w:val="006672C1"/>
    <w:rsid w:val="006766BF"/>
    <w:rsid w:val="00676964"/>
    <w:rsid w:val="00682742"/>
    <w:rsid w:val="0068504F"/>
    <w:rsid w:val="006876EE"/>
    <w:rsid w:val="00690CFF"/>
    <w:rsid w:val="00690F83"/>
    <w:rsid w:val="006911F9"/>
    <w:rsid w:val="0069131A"/>
    <w:rsid w:val="006923E4"/>
    <w:rsid w:val="00693444"/>
    <w:rsid w:val="006938F3"/>
    <w:rsid w:val="00694E7B"/>
    <w:rsid w:val="006A06BA"/>
    <w:rsid w:val="006A31FD"/>
    <w:rsid w:val="006A482E"/>
    <w:rsid w:val="006A594F"/>
    <w:rsid w:val="006A68D0"/>
    <w:rsid w:val="006A7262"/>
    <w:rsid w:val="006A778E"/>
    <w:rsid w:val="006B1CA2"/>
    <w:rsid w:val="006B5B1F"/>
    <w:rsid w:val="006B608F"/>
    <w:rsid w:val="006B6A8F"/>
    <w:rsid w:val="006C059F"/>
    <w:rsid w:val="006C0C12"/>
    <w:rsid w:val="006C3BD9"/>
    <w:rsid w:val="006C5238"/>
    <w:rsid w:val="006C641F"/>
    <w:rsid w:val="006D0972"/>
    <w:rsid w:val="006D09C6"/>
    <w:rsid w:val="006D3640"/>
    <w:rsid w:val="006D64A1"/>
    <w:rsid w:val="006D65A8"/>
    <w:rsid w:val="006D73CA"/>
    <w:rsid w:val="006E086A"/>
    <w:rsid w:val="006E2A3C"/>
    <w:rsid w:val="006E4E59"/>
    <w:rsid w:val="006E5367"/>
    <w:rsid w:val="006E6155"/>
    <w:rsid w:val="006E67C2"/>
    <w:rsid w:val="006F033A"/>
    <w:rsid w:val="006F4513"/>
    <w:rsid w:val="006F5547"/>
    <w:rsid w:val="00701BD2"/>
    <w:rsid w:val="00703DFE"/>
    <w:rsid w:val="0070413B"/>
    <w:rsid w:val="007066D4"/>
    <w:rsid w:val="00706F94"/>
    <w:rsid w:val="00711281"/>
    <w:rsid w:val="0071168F"/>
    <w:rsid w:val="007133A7"/>
    <w:rsid w:val="00714297"/>
    <w:rsid w:val="00714D40"/>
    <w:rsid w:val="0071607F"/>
    <w:rsid w:val="00716992"/>
    <w:rsid w:val="00717FBE"/>
    <w:rsid w:val="00720A4F"/>
    <w:rsid w:val="00721700"/>
    <w:rsid w:val="0072377B"/>
    <w:rsid w:val="007238B9"/>
    <w:rsid w:val="007256CA"/>
    <w:rsid w:val="00731786"/>
    <w:rsid w:val="00733E26"/>
    <w:rsid w:val="00740830"/>
    <w:rsid w:val="00741369"/>
    <w:rsid w:val="007420A7"/>
    <w:rsid w:val="00742819"/>
    <w:rsid w:val="00742F45"/>
    <w:rsid w:val="007454AA"/>
    <w:rsid w:val="00746A57"/>
    <w:rsid w:val="00747F36"/>
    <w:rsid w:val="00751D07"/>
    <w:rsid w:val="00751D77"/>
    <w:rsid w:val="007543CB"/>
    <w:rsid w:val="00754AB3"/>
    <w:rsid w:val="00756186"/>
    <w:rsid w:val="00756D95"/>
    <w:rsid w:val="007647EC"/>
    <w:rsid w:val="00765986"/>
    <w:rsid w:val="00765AAB"/>
    <w:rsid w:val="00770034"/>
    <w:rsid w:val="00771DDD"/>
    <w:rsid w:val="0077232D"/>
    <w:rsid w:val="00772782"/>
    <w:rsid w:val="00772943"/>
    <w:rsid w:val="00772DBD"/>
    <w:rsid w:val="0077469F"/>
    <w:rsid w:val="00774992"/>
    <w:rsid w:val="007805C7"/>
    <w:rsid w:val="00781678"/>
    <w:rsid w:val="0078362A"/>
    <w:rsid w:val="00790F04"/>
    <w:rsid w:val="00791C63"/>
    <w:rsid w:val="0079359D"/>
    <w:rsid w:val="007941ED"/>
    <w:rsid w:val="00794800"/>
    <w:rsid w:val="007949C9"/>
    <w:rsid w:val="00795E7E"/>
    <w:rsid w:val="007A02ED"/>
    <w:rsid w:val="007A0B2E"/>
    <w:rsid w:val="007A117E"/>
    <w:rsid w:val="007A1406"/>
    <w:rsid w:val="007A17EB"/>
    <w:rsid w:val="007A1D06"/>
    <w:rsid w:val="007A1E93"/>
    <w:rsid w:val="007A2211"/>
    <w:rsid w:val="007A3CB2"/>
    <w:rsid w:val="007A492F"/>
    <w:rsid w:val="007A4BE9"/>
    <w:rsid w:val="007A4DCD"/>
    <w:rsid w:val="007A4FBC"/>
    <w:rsid w:val="007A5E90"/>
    <w:rsid w:val="007A7FF2"/>
    <w:rsid w:val="007B0B00"/>
    <w:rsid w:val="007B67A3"/>
    <w:rsid w:val="007C15BB"/>
    <w:rsid w:val="007C2C88"/>
    <w:rsid w:val="007C39DB"/>
    <w:rsid w:val="007C3B8F"/>
    <w:rsid w:val="007C4D0F"/>
    <w:rsid w:val="007C505D"/>
    <w:rsid w:val="007C5A6B"/>
    <w:rsid w:val="007C6A54"/>
    <w:rsid w:val="007C6DEE"/>
    <w:rsid w:val="007C797E"/>
    <w:rsid w:val="007D0365"/>
    <w:rsid w:val="007D3F32"/>
    <w:rsid w:val="007D40E3"/>
    <w:rsid w:val="007D42F2"/>
    <w:rsid w:val="007D4474"/>
    <w:rsid w:val="007D56F8"/>
    <w:rsid w:val="007D6B9C"/>
    <w:rsid w:val="007E0CC3"/>
    <w:rsid w:val="007E1506"/>
    <w:rsid w:val="007E1B9A"/>
    <w:rsid w:val="007E410D"/>
    <w:rsid w:val="007E59B5"/>
    <w:rsid w:val="007E6012"/>
    <w:rsid w:val="007E6600"/>
    <w:rsid w:val="007F215E"/>
    <w:rsid w:val="007F5E73"/>
    <w:rsid w:val="007F622F"/>
    <w:rsid w:val="007F7FBD"/>
    <w:rsid w:val="00800A78"/>
    <w:rsid w:val="008020EC"/>
    <w:rsid w:val="008045A8"/>
    <w:rsid w:val="0080561C"/>
    <w:rsid w:val="00813D5B"/>
    <w:rsid w:val="008143A5"/>
    <w:rsid w:val="008153C6"/>
    <w:rsid w:val="00816BC7"/>
    <w:rsid w:val="00816D37"/>
    <w:rsid w:val="00817EFC"/>
    <w:rsid w:val="00820225"/>
    <w:rsid w:val="00824D2A"/>
    <w:rsid w:val="00825638"/>
    <w:rsid w:val="00831D3E"/>
    <w:rsid w:val="00834967"/>
    <w:rsid w:val="00835A5B"/>
    <w:rsid w:val="00836D1E"/>
    <w:rsid w:val="00837C31"/>
    <w:rsid w:val="0084192B"/>
    <w:rsid w:val="00841B4E"/>
    <w:rsid w:val="00841DFE"/>
    <w:rsid w:val="00841F1F"/>
    <w:rsid w:val="0084228A"/>
    <w:rsid w:val="008447E2"/>
    <w:rsid w:val="00845A18"/>
    <w:rsid w:val="0084601B"/>
    <w:rsid w:val="00850352"/>
    <w:rsid w:val="00850D6C"/>
    <w:rsid w:val="00852693"/>
    <w:rsid w:val="008527E2"/>
    <w:rsid w:val="00852A18"/>
    <w:rsid w:val="00853B02"/>
    <w:rsid w:val="008540D8"/>
    <w:rsid w:val="00854DBF"/>
    <w:rsid w:val="00854F0A"/>
    <w:rsid w:val="008562A3"/>
    <w:rsid w:val="00856D3F"/>
    <w:rsid w:val="008571D4"/>
    <w:rsid w:val="00860099"/>
    <w:rsid w:val="00860F92"/>
    <w:rsid w:val="00862E74"/>
    <w:rsid w:val="008630CF"/>
    <w:rsid w:val="00863205"/>
    <w:rsid w:val="00863AA6"/>
    <w:rsid w:val="0086405A"/>
    <w:rsid w:val="00865708"/>
    <w:rsid w:val="00866030"/>
    <w:rsid w:val="0086685B"/>
    <w:rsid w:val="00873F7F"/>
    <w:rsid w:val="00875802"/>
    <w:rsid w:val="008767C2"/>
    <w:rsid w:val="00876FE0"/>
    <w:rsid w:val="00881677"/>
    <w:rsid w:val="00881B22"/>
    <w:rsid w:val="00883AF0"/>
    <w:rsid w:val="00884CE1"/>
    <w:rsid w:val="00885632"/>
    <w:rsid w:val="008863D7"/>
    <w:rsid w:val="0088691B"/>
    <w:rsid w:val="008879E8"/>
    <w:rsid w:val="00887D37"/>
    <w:rsid w:val="00892D18"/>
    <w:rsid w:val="008937FF"/>
    <w:rsid w:val="00893E20"/>
    <w:rsid w:val="00895CE2"/>
    <w:rsid w:val="00897974"/>
    <w:rsid w:val="008A35CC"/>
    <w:rsid w:val="008A389F"/>
    <w:rsid w:val="008A52F9"/>
    <w:rsid w:val="008B14D4"/>
    <w:rsid w:val="008B1740"/>
    <w:rsid w:val="008B36B7"/>
    <w:rsid w:val="008B3A60"/>
    <w:rsid w:val="008B3DCC"/>
    <w:rsid w:val="008B3EE4"/>
    <w:rsid w:val="008B4E9D"/>
    <w:rsid w:val="008B5614"/>
    <w:rsid w:val="008B5DE4"/>
    <w:rsid w:val="008B5F28"/>
    <w:rsid w:val="008B63ED"/>
    <w:rsid w:val="008B72F5"/>
    <w:rsid w:val="008B7CD5"/>
    <w:rsid w:val="008B7DC8"/>
    <w:rsid w:val="008C3CCF"/>
    <w:rsid w:val="008C63E2"/>
    <w:rsid w:val="008D0DFF"/>
    <w:rsid w:val="008D11C5"/>
    <w:rsid w:val="008D1CA5"/>
    <w:rsid w:val="008D2B04"/>
    <w:rsid w:val="008D3DC8"/>
    <w:rsid w:val="008D4A85"/>
    <w:rsid w:val="008D761B"/>
    <w:rsid w:val="008E071B"/>
    <w:rsid w:val="008E0F66"/>
    <w:rsid w:val="008E1797"/>
    <w:rsid w:val="008E521B"/>
    <w:rsid w:val="008E62C8"/>
    <w:rsid w:val="008F0A38"/>
    <w:rsid w:val="008F2CC1"/>
    <w:rsid w:val="008F488E"/>
    <w:rsid w:val="008F5610"/>
    <w:rsid w:val="008F5A54"/>
    <w:rsid w:val="008F7594"/>
    <w:rsid w:val="0090119A"/>
    <w:rsid w:val="00901E6E"/>
    <w:rsid w:val="0090228C"/>
    <w:rsid w:val="00902733"/>
    <w:rsid w:val="00903B2E"/>
    <w:rsid w:val="0090571D"/>
    <w:rsid w:val="00906DFB"/>
    <w:rsid w:val="009073FB"/>
    <w:rsid w:val="0091112C"/>
    <w:rsid w:val="0091169D"/>
    <w:rsid w:val="009145A2"/>
    <w:rsid w:val="009153BC"/>
    <w:rsid w:val="00915E4E"/>
    <w:rsid w:val="0091775E"/>
    <w:rsid w:val="009178D0"/>
    <w:rsid w:val="00917E73"/>
    <w:rsid w:val="00917EF0"/>
    <w:rsid w:val="00921EB3"/>
    <w:rsid w:val="0092282C"/>
    <w:rsid w:val="00923A58"/>
    <w:rsid w:val="009249F8"/>
    <w:rsid w:val="00926BC7"/>
    <w:rsid w:val="00930BA8"/>
    <w:rsid w:val="00931664"/>
    <w:rsid w:val="0093785D"/>
    <w:rsid w:val="00940BBF"/>
    <w:rsid w:val="00943BC8"/>
    <w:rsid w:val="00944741"/>
    <w:rsid w:val="00946A18"/>
    <w:rsid w:val="00950FF3"/>
    <w:rsid w:val="00951580"/>
    <w:rsid w:val="009539A2"/>
    <w:rsid w:val="009539F3"/>
    <w:rsid w:val="009550F2"/>
    <w:rsid w:val="0095737E"/>
    <w:rsid w:val="00957BA4"/>
    <w:rsid w:val="00957F04"/>
    <w:rsid w:val="00960D9D"/>
    <w:rsid w:val="00962F90"/>
    <w:rsid w:val="00965393"/>
    <w:rsid w:val="00965885"/>
    <w:rsid w:val="00965F40"/>
    <w:rsid w:val="00966CEF"/>
    <w:rsid w:val="00971572"/>
    <w:rsid w:val="00973266"/>
    <w:rsid w:val="009743FD"/>
    <w:rsid w:val="0097483F"/>
    <w:rsid w:val="00974FBE"/>
    <w:rsid w:val="00975A8E"/>
    <w:rsid w:val="0097668C"/>
    <w:rsid w:val="009766A1"/>
    <w:rsid w:val="00976A77"/>
    <w:rsid w:val="0097746C"/>
    <w:rsid w:val="00977776"/>
    <w:rsid w:val="00980747"/>
    <w:rsid w:val="00980C44"/>
    <w:rsid w:val="00983278"/>
    <w:rsid w:val="0098366F"/>
    <w:rsid w:val="00983806"/>
    <w:rsid w:val="0098475D"/>
    <w:rsid w:val="00984782"/>
    <w:rsid w:val="009856E0"/>
    <w:rsid w:val="00986CB3"/>
    <w:rsid w:val="0099174A"/>
    <w:rsid w:val="009946C9"/>
    <w:rsid w:val="00994B9D"/>
    <w:rsid w:val="00995EBC"/>
    <w:rsid w:val="00997A29"/>
    <w:rsid w:val="009A0068"/>
    <w:rsid w:val="009A1124"/>
    <w:rsid w:val="009A1381"/>
    <w:rsid w:val="009A21A8"/>
    <w:rsid w:val="009A22B8"/>
    <w:rsid w:val="009A3005"/>
    <w:rsid w:val="009A5355"/>
    <w:rsid w:val="009A627B"/>
    <w:rsid w:val="009A638F"/>
    <w:rsid w:val="009A6797"/>
    <w:rsid w:val="009A6D84"/>
    <w:rsid w:val="009A7882"/>
    <w:rsid w:val="009B22B7"/>
    <w:rsid w:val="009B3A51"/>
    <w:rsid w:val="009B45ED"/>
    <w:rsid w:val="009B5462"/>
    <w:rsid w:val="009B7465"/>
    <w:rsid w:val="009C512B"/>
    <w:rsid w:val="009C6164"/>
    <w:rsid w:val="009C6AB8"/>
    <w:rsid w:val="009C6EC4"/>
    <w:rsid w:val="009C761C"/>
    <w:rsid w:val="009D0232"/>
    <w:rsid w:val="009D0EC8"/>
    <w:rsid w:val="009D34ED"/>
    <w:rsid w:val="009D436A"/>
    <w:rsid w:val="009D4F8D"/>
    <w:rsid w:val="009D7FCF"/>
    <w:rsid w:val="009E0760"/>
    <w:rsid w:val="009E09CB"/>
    <w:rsid w:val="009E25ED"/>
    <w:rsid w:val="009E3BB3"/>
    <w:rsid w:val="009E4587"/>
    <w:rsid w:val="009E5E84"/>
    <w:rsid w:val="009E6073"/>
    <w:rsid w:val="009F1945"/>
    <w:rsid w:val="009F1FBA"/>
    <w:rsid w:val="009F2A5C"/>
    <w:rsid w:val="009F4B23"/>
    <w:rsid w:val="009F4DCC"/>
    <w:rsid w:val="009F51EC"/>
    <w:rsid w:val="009F5A70"/>
    <w:rsid w:val="009F636D"/>
    <w:rsid w:val="009F63CA"/>
    <w:rsid w:val="00A007F1"/>
    <w:rsid w:val="00A02599"/>
    <w:rsid w:val="00A0280C"/>
    <w:rsid w:val="00A03400"/>
    <w:rsid w:val="00A06D5A"/>
    <w:rsid w:val="00A07964"/>
    <w:rsid w:val="00A1043F"/>
    <w:rsid w:val="00A12827"/>
    <w:rsid w:val="00A153C9"/>
    <w:rsid w:val="00A15FDB"/>
    <w:rsid w:val="00A208F6"/>
    <w:rsid w:val="00A20C64"/>
    <w:rsid w:val="00A242D8"/>
    <w:rsid w:val="00A26FA5"/>
    <w:rsid w:val="00A27D3E"/>
    <w:rsid w:val="00A27F2E"/>
    <w:rsid w:val="00A31392"/>
    <w:rsid w:val="00A33955"/>
    <w:rsid w:val="00A35E28"/>
    <w:rsid w:val="00A40EA1"/>
    <w:rsid w:val="00A416A5"/>
    <w:rsid w:val="00A41CDC"/>
    <w:rsid w:val="00A42231"/>
    <w:rsid w:val="00A4648E"/>
    <w:rsid w:val="00A46692"/>
    <w:rsid w:val="00A4669B"/>
    <w:rsid w:val="00A4744B"/>
    <w:rsid w:val="00A47B0E"/>
    <w:rsid w:val="00A52FA5"/>
    <w:rsid w:val="00A558DC"/>
    <w:rsid w:val="00A6086B"/>
    <w:rsid w:val="00A60970"/>
    <w:rsid w:val="00A61171"/>
    <w:rsid w:val="00A6337F"/>
    <w:rsid w:val="00A64FF4"/>
    <w:rsid w:val="00A71092"/>
    <w:rsid w:val="00A72D91"/>
    <w:rsid w:val="00A767E4"/>
    <w:rsid w:val="00A775F2"/>
    <w:rsid w:val="00A7767F"/>
    <w:rsid w:val="00A825C8"/>
    <w:rsid w:val="00A82E91"/>
    <w:rsid w:val="00A82F39"/>
    <w:rsid w:val="00A83F86"/>
    <w:rsid w:val="00A851FF"/>
    <w:rsid w:val="00A852A7"/>
    <w:rsid w:val="00A8628D"/>
    <w:rsid w:val="00A87B94"/>
    <w:rsid w:val="00A92DEE"/>
    <w:rsid w:val="00A93771"/>
    <w:rsid w:val="00A941EE"/>
    <w:rsid w:val="00A97026"/>
    <w:rsid w:val="00AA0F8D"/>
    <w:rsid w:val="00AA14B3"/>
    <w:rsid w:val="00AA36B8"/>
    <w:rsid w:val="00AA587A"/>
    <w:rsid w:val="00AA6C99"/>
    <w:rsid w:val="00AB202E"/>
    <w:rsid w:val="00AB20E9"/>
    <w:rsid w:val="00AB52D8"/>
    <w:rsid w:val="00AB590A"/>
    <w:rsid w:val="00AB5926"/>
    <w:rsid w:val="00AB6F47"/>
    <w:rsid w:val="00AC0B0F"/>
    <w:rsid w:val="00AC2070"/>
    <w:rsid w:val="00AC44A1"/>
    <w:rsid w:val="00AC44F6"/>
    <w:rsid w:val="00AC4A05"/>
    <w:rsid w:val="00AC5F87"/>
    <w:rsid w:val="00AC6830"/>
    <w:rsid w:val="00AC7DFE"/>
    <w:rsid w:val="00AD14B2"/>
    <w:rsid w:val="00AD1EAD"/>
    <w:rsid w:val="00AD2938"/>
    <w:rsid w:val="00AD5ADE"/>
    <w:rsid w:val="00AD6AD1"/>
    <w:rsid w:val="00AD71F6"/>
    <w:rsid w:val="00AD7C5A"/>
    <w:rsid w:val="00AE169A"/>
    <w:rsid w:val="00AE2626"/>
    <w:rsid w:val="00AE2C2A"/>
    <w:rsid w:val="00AE4371"/>
    <w:rsid w:val="00AE44AF"/>
    <w:rsid w:val="00AE45F5"/>
    <w:rsid w:val="00AE5166"/>
    <w:rsid w:val="00AE5BFD"/>
    <w:rsid w:val="00AE6075"/>
    <w:rsid w:val="00AE6F8F"/>
    <w:rsid w:val="00AE73AD"/>
    <w:rsid w:val="00AE755A"/>
    <w:rsid w:val="00AF2013"/>
    <w:rsid w:val="00AF3DB1"/>
    <w:rsid w:val="00AF3E73"/>
    <w:rsid w:val="00AF4BAE"/>
    <w:rsid w:val="00AF70AD"/>
    <w:rsid w:val="00B00312"/>
    <w:rsid w:val="00B01703"/>
    <w:rsid w:val="00B04D98"/>
    <w:rsid w:val="00B05578"/>
    <w:rsid w:val="00B06906"/>
    <w:rsid w:val="00B06B5E"/>
    <w:rsid w:val="00B06F67"/>
    <w:rsid w:val="00B07230"/>
    <w:rsid w:val="00B076F8"/>
    <w:rsid w:val="00B10FCB"/>
    <w:rsid w:val="00B11F97"/>
    <w:rsid w:val="00B16BAF"/>
    <w:rsid w:val="00B21805"/>
    <w:rsid w:val="00B23137"/>
    <w:rsid w:val="00B234F6"/>
    <w:rsid w:val="00B2387A"/>
    <w:rsid w:val="00B24D66"/>
    <w:rsid w:val="00B25010"/>
    <w:rsid w:val="00B25637"/>
    <w:rsid w:val="00B26DF0"/>
    <w:rsid w:val="00B273CA"/>
    <w:rsid w:val="00B27E1C"/>
    <w:rsid w:val="00B27E49"/>
    <w:rsid w:val="00B303E7"/>
    <w:rsid w:val="00B333BE"/>
    <w:rsid w:val="00B339BA"/>
    <w:rsid w:val="00B35FE2"/>
    <w:rsid w:val="00B3632A"/>
    <w:rsid w:val="00B3712B"/>
    <w:rsid w:val="00B4367A"/>
    <w:rsid w:val="00B440A3"/>
    <w:rsid w:val="00B45C49"/>
    <w:rsid w:val="00B46ACC"/>
    <w:rsid w:val="00B46E85"/>
    <w:rsid w:val="00B47A71"/>
    <w:rsid w:val="00B51B99"/>
    <w:rsid w:val="00B56F8E"/>
    <w:rsid w:val="00B57506"/>
    <w:rsid w:val="00B57683"/>
    <w:rsid w:val="00B613C7"/>
    <w:rsid w:val="00B627FD"/>
    <w:rsid w:val="00B65613"/>
    <w:rsid w:val="00B7027F"/>
    <w:rsid w:val="00B72636"/>
    <w:rsid w:val="00B72B6B"/>
    <w:rsid w:val="00B734A3"/>
    <w:rsid w:val="00B74E07"/>
    <w:rsid w:val="00B757B0"/>
    <w:rsid w:val="00B7754F"/>
    <w:rsid w:val="00B81E5E"/>
    <w:rsid w:val="00B8205F"/>
    <w:rsid w:val="00B83A8F"/>
    <w:rsid w:val="00B84D2E"/>
    <w:rsid w:val="00B9324A"/>
    <w:rsid w:val="00B93255"/>
    <w:rsid w:val="00B939AC"/>
    <w:rsid w:val="00B948A0"/>
    <w:rsid w:val="00B954D6"/>
    <w:rsid w:val="00B972D7"/>
    <w:rsid w:val="00B97E4A"/>
    <w:rsid w:val="00BA1774"/>
    <w:rsid w:val="00BA3161"/>
    <w:rsid w:val="00BA31C9"/>
    <w:rsid w:val="00BA5BA6"/>
    <w:rsid w:val="00BB033B"/>
    <w:rsid w:val="00BB2CD1"/>
    <w:rsid w:val="00BB3FF1"/>
    <w:rsid w:val="00BB4B19"/>
    <w:rsid w:val="00BB4E29"/>
    <w:rsid w:val="00BB534A"/>
    <w:rsid w:val="00BB68FF"/>
    <w:rsid w:val="00BB6D81"/>
    <w:rsid w:val="00BB7868"/>
    <w:rsid w:val="00BC0B4A"/>
    <w:rsid w:val="00BC3172"/>
    <w:rsid w:val="00BC588C"/>
    <w:rsid w:val="00BC710C"/>
    <w:rsid w:val="00BD224C"/>
    <w:rsid w:val="00BD23F2"/>
    <w:rsid w:val="00BD4341"/>
    <w:rsid w:val="00BD6EF0"/>
    <w:rsid w:val="00BE073B"/>
    <w:rsid w:val="00BE1E83"/>
    <w:rsid w:val="00BE2CD7"/>
    <w:rsid w:val="00BE30C3"/>
    <w:rsid w:val="00BE3E96"/>
    <w:rsid w:val="00BE4293"/>
    <w:rsid w:val="00BF16B9"/>
    <w:rsid w:val="00BF3167"/>
    <w:rsid w:val="00BF4E44"/>
    <w:rsid w:val="00BF5EF7"/>
    <w:rsid w:val="00BF6E9F"/>
    <w:rsid w:val="00C028CC"/>
    <w:rsid w:val="00C02E8B"/>
    <w:rsid w:val="00C05B68"/>
    <w:rsid w:val="00C12049"/>
    <w:rsid w:val="00C1235B"/>
    <w:rsid w:val="00C13BEA"/>
    <w:rsid w:val="00C1406E"/>
    <w:rsid w:val="00C1483A"/>
    <w:rsid w:val="00C14A02"/>
    <w:rsid w:val="00C14B1B"/>
    <w:rsid w:val="00C15DA0"/>
    <w:rsid w:val="00C16FE9"/>
    <w:rsid w:val="00C178DB"/>
    <w:rsid w:val="00C201E6"/>
    <w:rsid w:val="00C22097"/>
    <w:rsid w:val="00C228FA"/>
    <w:rsid w:val="00C23B23"/>
    <w:rsid w:val="00C25B05"/>
    <w:rsid w:val="00C26519"/>
    <w:rsid w:val="00C26FC4"/>
    <w:rsid w:val="00C2766D"/>
    <w:rsid w:val="00C27CFE"/>
    <w:rsid w:val="00C30EEC"/>
    <w:rsid w:val="00C3196C"/>
    <w:rsid w:val="00C34B63"/>
    <w:rsid w:val="00C369E9"/>
    <w:rsid w:val="00C376AD"/>
    <w:rsid w:val="00C37E7D"/>
    <w:rsid w:val="00C416C2"/>
    <w:rsid w:val="00C423A8"/>
    <w:rsid w:val="00C426AE"/>
    <w:rsid w:val="00C43374"/>
    <w:rsid w:val="00C433DB"/>
    <w:rsid w:val="00C438F0"/>
    <w:rsid w:val="00C44291"/>
    <w:rsid w:val="00C45722"/>
    <w:rsid w:val="00C47B02"/>
    <w:rsid w:val="00C53349"/>
    <w:rsid w:val="00C54AAD"/>
    <w:rsid w:val="00C564FA"/>
    <w:rsid w:val="00C5747E"/>
    <w:rsid w:val="00C57981"/>
    <w:rsid w:val="00C62C73"/>
    <w:rsid w:val="00C63C80"/>
    <w:rsid w:val="00C6573F"/>
    <w:rsid w:val="00C66F21"/>
    <w:rsid w:val="00C713DA"/>
    <w:rsid w:val="00C72AF5"/>
    <w:rsid w:val="00C75619"/>
    <w:rsid w:val="00C75EF1"/>
    <w:rsid w:val="00C7782D"/>
    <w:rsid w:val="00C80DFF"/>
    <w:rsid w:val="00C82B0E"/>
    <w:rsid w:val="00C82F96"/>
    <w:rsid w:val="00C8440C"/>
    <w:rsid w:val="00C85F20"/>
    <w:rsid w:val="00C860FF"/>
    <w:rsid w:val="00C902F1"/>
    <w:rsid w:val="00C90A69"/>
    <w:rsid w:val="00C91706"/>
    <w:rsid w:val="00C92EBB"/>
    <w:rsid w:val="00C94CCC"/>
    <w:rsid w:val="00C951F9"/>
    <w:rsid w:val="00C96BA0"/>
    <w:rsid w:val="00C96BAC"/>
    <w:rsid w:val="00C96C28"/>
    <w:rsid w:val="00C97DD4"/>
    <w:rsid w:val="00C97FDC"/>
    <w:rsid w:val="00CA15E8"/>
    <w:rsid w:val="00CA2440"/>
    <w:rsid w:val="00CA3316"/>
    <w:rsid w:val="00CA42DF"/>
    <w:rsid w:val="00CA621E"/>
    <w:rsid w:val="00CA6E64"/>
    <w:rsid w:val="00CA7433"/>
    <w:rsid w:val="00CB0E34"/>
    <w:rsid w:val="00CB15A0"/>
    <w:rsid w:val="00CB1F87"/>
    <w:rsid w:val="00CB6D94"/>
    <w:rsid w:val="00CB6F74"/>
    <w:rsid w:val="00CB716F"/>
    <w:rsid w:val="00CC1016"/>
    <w:rsid w:val="00CC1641"/>
    <w:rsid w:val="00CC1A04"/>
    <w:rsid w:val="00CC1B34"/>
    <w:rsid w:val="00CC1B6E"/>
    <w:rsid w:val="00CC38DF"/>
    <w:rsid w:val="00CC3E73"/>
    <w:rsid w:val="00CC4133"/>
    <w:rsid w:val="00CC5CB8"/>
    <w:rsid w:val="00CC6722"/>
    <w:rsid w:val="00CC6FE4"/>
    <w:rsid w:val="00CC70BF"/>
    <w:rsid w:val="00CD134A"/>
    <w:rsid w:val="00CD1628"/>
    <w:rsid w:val="00CD2193"/>
    <w:rsid w:val="00CD23DE"/>
    <w:rsid w:val="00CD269D"/>
    <w:rsid w:val="00CD7E0E"/>
    <w:rsid w:val="00CE068C"/>
    <w:rsid w:val="00CE144F"/>
    <w:rsid w:val="00CE2597"/>
    <w:rsid w:val="00CE2A93"/>
    <w:rsid w:val="00CE359D"/>
    <w:rsid w:val="00CE3795"/>
    <w:rsid w:val="00CE4D92"/>
    <w:rsid w:val="00CE61FB"/>
    <w:rsid w:val="00CF1033"/>
    <w:rsid w:val="00CF1865"/>
    <w:rsid w:val="00CF393D"/>
    <w:rsid w:val="00CF393E"/>
    <w:rsid w:val="00CF4448"/>
    <w:rsid w:val="00CF4526"/>
    <w:rsid w:val="00CF5760"/>
    <w:rsid w:val="00CF69BD"/>
    <w:rsid w:val="00CF7C79"/>
    <w:rsid w:val="00D00BCA"/>
    <w:rsid w:val="00D00FE8"/>
    <w:rsid w:val="00D026AE"/>
    <w:rsid w:val="00D02ABF"/>
    <w:rsid w:val="00D0412A"/>
    <w:rsid w:val="00D044BD"/>
    <w:rsid w:val="00D05127"/>
    <w:rsid w:val="00D0616B"/>
    <w:rsid w:val="00D10DE4"/>
    <w:rsid w:val="00D115A1"/>
    <w:rsid w:val="00D116A9"/>
    <w:rsid w:val="00D15295"/>
    <w:rsid w:val="00D15437"/>
    <w:rsid w:val="00D1591F"/>
    <w:rsid w:val="00D16044"/>
    <w:rsid w:val="00D1689A"/>
    <w:rsid w:val="00D2256C"/>
    <w:rsid w:val="00D259BA"/>
    <w:rsid w:val="00D25AC3"/>
    <w:rsid w:val="00D27E7B"/>
    <w:rsid w:val="00D3031A"/>
    <w:rsid w:val="00D322C5"/>
    <w:rsid w:val="00D32582"/>
    <w:rsid w:val="00D32FF1"/>
    <w:rsid w:val="00D33AEF"/>
    <w:rsid w:val="00D374F5"/>
    <w:rsid w:val="00D37542"/>
    <w:rsid w:val="00D37D1D"/>
    <w:rsid w:val="00D405B7"/>
    <w:rsid w:val="00D40CB0"/>
    <w:rsid w:val="00D42FF4"/>
    <w:rsid w:val="00D438DD"/>
    <w:rsid w:val="00D45B1C"/>
    <w:rsid w:val="00D45F49"/>
    <w:rsid w:val="00D46B36"/>
    <w:rsid w:val="00D477C1"/>
    <w:rsid w:val="00D50258"/>
    <w:rsid w:val="00D51912"/>
    <w:rsid w:val="00D51D81"/>
    <w:rsid w:val="00D5294D"/>
    <w:rsid w:val="00D551C7"/>
    <w:rsid w:val="00D553B3"/>
    <w:rsid w:val="00D55BB8"/>
    <w:rsid w:val="00D56D8B"/>
    <w:rsid w:val="00D57109"/>
    <w:rsid w:val="00D57421"/>
    <w:rsid w:val="00D575E6"/>
    <w:rsid w:val="00D61D10"/>
    <w:rsid w:val="00D62454"/>
    <w:rsid w:val="00D65D0C"/>
    <w:rsid w:val="00D70AC4"/>
    <w:rsid w:val="00D718ED"/>
    <w:rsid w:val="00D71D46"/>
    <w:rsid w:val="00D74CF3"/>
    <w:rsid w:val="00D75DB5"/>
    <w:rsid w:val="00D7611F"/>
    <w:rsid w:val="00D77E6B"/>
    <w:rsid w:val="00D80748"/>
    <w:rsid w:val="00D818E5"/>
    <w:rsid w:val="00D822A3"/>
    <w:rsid w:val="00D8342B"/>
    <w:rsid w:val="00D83B39"/>
    <w:rsid w:val="00D84923"/>
    <w:rsid w:val="00D865C6"/>
    <w:rsid w:val="00D870D4"/>
    <w:rsid w:val="00D9046D"/>
    <w:rsid w:val="00D927F2"/>
    <w:rsid w:val="00D93B3F"/>
    <w:rsid w:val="00D9574A"/>
    <w:rsid w:val="00D95D1E"/>
    <w:rsid w:val="00D979A1"/>
    <w:rsid w:val="00DA2CF3"/>
    <w:rsid w:val="00DA49E9"/>
    <w:rsid w:val="00DA5D97"/>
    <w:rsid w:val="00DA5FD3"/>
    <w:rsid w:val="00DB082A"/>
    <w:rsid w:val="00DB0F0C"/>
    <w:rsid w:val="00DB28BD"/>
    <w:rsid w:val="00DB34B5"/>
    <w:rsid w:val="00DB45A5"/>
    <w:rsid w:val="00DB4CA6"/>
    <w:rsid w:val="00DB5C8D"/>
    <w:rsid w:val="00DB65A0"/>
    <w:rsid w:val="00DC1397"/>
    <w:rsid w:val="00DC3403"/>
    <w:rsid w:val="00DC4019"/>
    <w:rsid w:val="00DC78F1"/>
    <w:rsid w:val="00DD0004"/>
    <w:rsid w:val="00DD07CE"/>
    <w:rsid w:val="00DD53ED"/>
    <w:rsid w:val="00DD5C78"/>
    <w:rsid w:val="00DD7428"/>
    <w:rsid w:val="00DE0130"/>
    <w:rsid w:val="00DE0DB4"/>
    <w:rsid w:val="00DE2D30"/>
    <w:rsid w:val="00DE3012"/>
    <w:rsid w:val="00DE338A"/>
    <w:rsid w:val="00DE3636"/>
    <w:rsid w:val="00DE3C16"/>
    <w:rsid w:val="00DE49AD"/>
    <w:rsid w:val="00DE4CFC"/>
    <w:rsid w:val="00DE5E1C"/>
    <w:rsid w:val="00DE6680"/>
    <w:rsid w:val="00DE7EBE"/>
    <w:rsid w:val="00DF2D86"/>
    <w:rsid w:val="00DF4044"/>
    <w:rsid w:val="00DF6A10"/>
    <w:rsid w:val="00E00EA5"/>
    <w:rsid w:val="00E0462E"/>
    <w:rsid w:val="00E059D1"/>
    <w:rsid w:val="00E061C1"/>
    <w:rsid w:val="00E06CCA"/>
    <w:rsid w:val="00E116B6"/>
    <w:rsid w:val="00E127AF"/>
    <w:rsid w:val="00E13ABE"/>
    <w:rsid w:val="00E1516B"/>
    <w:rsid w:val="00E16DE7"/>
    <w:rsid w:val="00E16F67"/>
    <w:rsid w:val="00E20612"/>
    <w:rsid w:val="00E221EF"/>
    <w:rsid w:val="00E27ED1"/>
    <w:rsid w:val="00E30ACB"/>
    <w:rsid w:val="00E32B9F"/>
    <w:rsid w:val="00E32D5A"/>
    <w:rsid w:val="00E3363C"/>
    <w:rsid w:val="00E33708"/>
    <w:rsid w:val="00E35027"/>
    <w:rsid w:val="00E35714"/>
    <w:rsid w:val="00E36879"/>
    <w:rsid w:val="00E36B29"/>
    <w:rsid w:val="00E37772"/>
    <w:rsid w:val="00E37FA9"/>
    <w:rsid w:val="00E40758"/>
    <w:rsid w:val="00E40BBF"/>
    <w:rsid w:val="00E40F88"/>
    <w:rsid w:val="00E45E27"/>
    <w:rsid w:val="00E4698C"/>
    <w:rsid w:val="00E479F6"/>
    <w:rsid w:val="00E50C26"/>
    <w:rsid w:val="00E51177"/>
    <w:rsid w:val="00E521C8"/>
    <w:rsid w:val="00E52BDA"/>
    <w:rsid w:val="00E544B2"/>
    <w:rsid w:val="00E547CD"/>
    <w:rsid w:val="00E57012"/>
    <w:rsid w:val="00E611BD"/>
    <w:rsid w:val="00E666C3"/>
    <w:rsid w:val="00E66AD8"/>
    <w:rsid w:val="00E67979"/>
    <w:rsid w:val="00E714B1"/>
    <w:rsid w:val="00E721E4"/>
    <w:rsid w:val="00E74F68"/>
    <w:rsid w:val="00E75727"/>
    <w:rsid w:val="00E80206"/>
    <w:rsid w:val="00E8068A"/>
    <w:rsid w:val="00E8172F"/>
    <w:rsid w:val="00E830B3"/>
    <w:rsid w:val="00E84C31"/>
    <w:rsid w:val="00E8502D"/>
    <w:rsid w:val="00E8545D"/>
    <w:rsid w:val="00E864DD"/>
    <w:rsid w:val="00E86E4B"/>
    <w:rsid w:val="00E873D5"/>
    <w:rsid w:val="00E90B0A"/>
    <w:rsid w:val="00E91010"/>
    <w:rsid w:val="00E926BB"/>
    <w:rsid w:val="00E93C39"/>
    <w:rsid w:val="00E93D5E"/>
    <w:rsid w:val="00E945CE"/>
    <w:rsid w:val="00E946AD"/>
    <w:rsid w:val="00E9697F"/>
    <w:rsid w:val="00E96E50"/>
    <w:rsid w:val="00E97BB5"/>
    <w:rsid w:val="00EA0DA7"/>
    <w:rsid w:val="00EA1CCD"/>
    <w:rsid w:val="00EA3335"/>
    <w:rsid w:val="00EA33AB"/>
    <w:rsid w:val="00EA3643"/>
    <w:rsid w:val="00EA3A6C"/>
    <w:rsid w:val="00EA773C"/>
    <w:rsid w:val="00EA78B6"/>
    <w:rsid w:val="00EA7950"/>
    <w:rsid w:val="00EA79AF"/>
    <w:rsid w:val="00EA7F50"/>
    <w:rsid w:val="00EB16A5"/>
    <w:rsid w:val="00EB20B1"/>
    <w:rsid w:val="00EB713F"/>
    <w:rsid w:val="00EC00ED"/>
    <w:rsid w:val="00EC0358"/>
    <w:rsid w:val="00EC1034"/>
    <w:rsid w:val="00EC1F1A"/>
    <w:rsid w:val="00EC5011"/>
    <w:rsid w:val="00EC5F12"/>
    <w:rsid w:val="00EC62EE"/>
    <w:rsid w:val="00EC7AFD"/>
    <w:rsid w:val="00ED1089"/>
    <w:rsid w:val="00ED25DF"/>
    <w:rsid w:val="00ED315D"/>
    <w:rsid w:val="00ED70EB"/>
    <w:rsid w:val="00EE08B0"/>
    <w:rsid w:val="00EE1A84"/>
    <w:rsid w:val="00EE265E"/>
    <w:rsid w:val="00EE4578"/>
    <w:rsid w:val="00EE47DC"/>
    <w:rsid w:val="00EE5B1E"/>
    <w:rsid w:val="00EE6FE7"/>
    <w:rsid w:val="00EF0786"/>
    <w:rsid w:val="00EF0B21"/>
    <w:rsid w:val="00EF2236"/>
    <w:rsid w:val="00EF34D3"/>
    <w:rsid w:val="00EF3E8B"/>
    <w:rsid w:val="00EF4179"/>
    <w:rsid w:val="00EF4F5D"/>
    <w:rsid w:val="00EF5BA2"/>
    <w:rsid w:val="00EF736F"/>
    <w:rsid w:val="00EF78A8"/>
    <w:rsid w:val="00F000C6"/>
    <w:rsid w:val="00F006BD"/>
    <w:rsid w:val="00F013B5"/>
    <w:rsid w:val="00F01936"/>
    <w:rsid w:val="00F02A37"/>
    <w:rsid w:val="00F04F95"/>
    <w:rsid w:val="00F05EC5"/>
    <w:rsid w:val="00F10401"/>
    <w:rsid w:val="00F15AAE"/>
    <w:rsid w:val="00F15BDE"/>
    <w:rsid w:val="00F16CB9"/>
    <w:rsid w:val="00F17DAE"/>
    <w:rsid w:val="00F20EFD"/>
    <w:rsid w:val="00F21AFF"/>
    <w:rsid w:val="00F25157"/>
    <w:rsid w:val="00F266D4"/>
    <w:rsid w:val="00F31F60"/>
    <w:rsid w:val="00F33890"/>
    <w:rsid w:val="00F33B48"/>
    <w:rsid w:val="00F34962"/>
    <w:rsid w:val="00F408D3"/>
    <w:rsid w:val="00F40F18"/>
    <w:rsid w:val="00F4120E"/>
    <w:rsid w:val="00F41536"/>
    <w:rsid w:val="00F418DF"/>
    <w:rsid w:val="00F44001"/>
    <w:rsid w:val="00F46C8C"/>
    <w:rsid w:val="00F46F3A"/>
    <w:rsid w:val="00F47E49"/>
    <w:rsid w:val="00F51A4B"/>
    <w:rsid w:val="00F524F2"/>
    <w:rsid w:val="00F5451B"/>
    <w:rsid w:val="00F54B05"/>
    <w:rsid w:val="00F54B6A"/>
    <w:rsid w:val="00F555FF"/>
    <w:rsid w:val="00F57BC7"/>
    <w:rsid w:val="00F57ED1"/>
    <w:rsid w:val="00F609CD"/>
    <w:rsid w:val="00F61148"/>
    <w:rsid w:val="00F627DC"/>
    <w:rsid w:val="00F629C7"/>
    <w:rsid w:val="00F63C23"/>
    <w:rsid w:val="00F655E3"/>
    <w:rsid w:val="00F663AD"/>
    <w:rsid w:val="00F715F2"/>
    <w:rsid w:val="00F721E7"/>
    <w:rsid w:val="00F756C6"/>
    <w:rsid w:val="00F77980"/>
    <w:rsid w:val="00F779AA"/>
    <w:rsid w:val="00F820E3"/>
    <w:rsid w:val="00F82AF1"/>
    <w:rsid w:val="00F83187"/>
    <w:rsid w:val="00F84082"/>
    <w:rsid w:val="00F86BA5"/>
    <w:rsid w:val="00F87C39"/>
    <w:rsid w:val="00F902D3"/>
    <w:rsid w:val="00F905B6"/>
    <w:rsid w:val="00F93D63"/>
    <w:rsid w:val="00F93DBA"/>
    <w:rsid w:val="00F954E4"/>
    <w:rsid w:val="00F95872"/>
    <w:rsid w:val="00F95F2A"/>
    <w:rsid w:val="00F96C4E"/>
    <w:rsid w:val="00F97D52"/>
    <w:rsid w:val="00FA0F8B"/>
    <w:rsid w:val="00FA262F"/>
    <w:rsid w:val="00FA3492"/>
    <w:rsid w:val="00FA3AE1"/>
    <w:rsid w:val="00FA49C0"/>
    <w:rsid w:val="00FA5B10"/>
    <w:rsid w:val="00FA5CD7"/>
    <w:rsid w:val="00FA688C"/>
    <w:rsid w:val="00FB08B6"/>
    <w:rsid w:val="00FB1CC5"/>
    <w:rsid w:val="00FB43F1"/>
    <w:rsid w:val="00FB5216"/>
    <w:rsid w:val="00FB76D3"/>
    <w:rsid w:val="00FC0FE8"/>
    <w:rsid w:val="00FC2217"/>
    <w:rsid w:val="00FC25B9"/>
    <w:rsid w:val="00FC2CE1"/>
    <w:rsid w:val="00FC3A91"/>
    <w:rsid w:val="00FC3F8F"/>
    <w:rsid w:val="00FC7C01"/>
    <w:rsid w:val="00FD0855"/>
    <w:rsid w:val="00FD0ED0"/>
    <w:rsid w:val="00FD1990"/>
    <w:rsid w:val="00FD1EC4"/>
    <w:rsid w:val="00FD5B33"/>
    <w:rsid w:val="00FD76AE"/>
    <w:rsid w:val="00FE166B"/>
    <w:rsid w:val="00FE1A60"/>
    <w:rsid w:val="00FE34AF"/>
    <w:rsid w:val="00FE6CE4"/>
    <w:rsid w:val="00FF1927"/>
    <w:rsid w:val="00FF1B75"/>
    <w:rsid w:val="00FF2A23"/>
    <w:rsid w:val="00FF2EAE"/>
    <w:rsid w:val="00FF3154"/>
    <w:rsid w:val="00FF5002"/>
    <w:rsid w:val="00FF60BC"/>
    <w:rsid w:val="00FF6519"/>
    <w:rsid w:val="01017684"/>
    <w:rsid w:val="01026F17"/>
    <w:rsid w:val="01090B48"/>
    <w:rsid w:val="010B6B80"/>
    <w:rsid w:val="01115B19"/>
    <w:rsid w:val="01170BF2"/>
    <w:rsid w:val="0120743C"/>
    <w:rsid w:val="01214D97"/>
    <w:rsid w:val="012275AF"/>
    <w:rsid w:val="012A0698"/>
    <w:rsid w:val="012F1384"/>
    <w:rsid w:val="01312D03"/>
    <w:rsid w:val="01366D4C"/>
    <w:rsid w:val="014001AC"/>
    <w:rsid w:val="01583748"/>
    <w:rsid w:val="016013A4"/>
    <w:rsid w:val="01713612"/>
    <w:rsid w:val="01721EAA"/>
    <w:rsid w:val="017240DE"/>
    <w:rsid w:val="017460A8"/>
    <w:rsid w:val="017B348D"/>
    <w:rsid w:val="01973B44"/>
    <w:rsid w:val="01A01AFA"/>
    <w:rsid w:val="01A56261"/>
    <w:rsid w:val="01A73D87"/>
    <w:rsid w:val="01A9153E"/>
    <w:rsid w:val="01AE15BA"/>
    <w:rsid w:val="01AF70E0"/>
    <w:rsid w:val="01B110AA"/>
    <w:rsid w:val="01B45801"/>
    <w:rsid w:val="01CB5453"/>
    <w:rsid w:val="01D22D0C"/>
    <w:rsid w:val="01D803E5"/>
    <w:rsid w:val="01E55EEF"/>
    <w:rsid w:val="01E76CB4"/>
    <w:rsid w:val="01EA636A"/>
    <w:rsid w:val="01F1594A"/>
    <w:rsid w:val="01F66F81"/>
    <w:rsid w:val="01FA5625"/>
    <w:rsid w:val="01FB40D3"/>
    <w:rsid w:val="01FE5971"/>
    <w:rsid w:val="01FF1E15"/>
    <w:rsid w:val="02076F1C"/>
    <w:rsid w:val="020F70C0"/>
    <w:rsid w:val="021307A7"/>
    <w:rsid w:val="02132159"/>
    <w:rsid w:val="0213766F"/>
    <w:rsid w:val="02145195"/>
    <w:rsid w:val="02184C85"/>
    <w:rsid w:val="021A09FD"/>
    <w:rsid w:val="021F4F27"/>
    <w:rsid w:val="02225B04"/>
    <w:rsid w:val="02261AE8"/>
    <w:rsid w:val="0227311A"/>
    <w:rsid w:val="022A49B8"/>
    <w:rsid w:val="022E6257"/>
    <w:rsid w:val="024261A6"/>
    <w:rsid w:val="02467A44"/>
    <w:rsid w:val="02506732"/>
    <w:rsid w:val="02551A35"/>
    <w:rsid w:val="02557A8D"/>
    <w:rsid w:val="025D4D8E"/>
    <w:rsid w:val="025F5776"/>
    <w:rsid w:val="02627F17"/>
    <w:rsid w:val="02644C33"/>
    <w:rsid w:val="0269067C"/>
    <w:rsid w:val="0273635F"/>
    <w:rsid w:val="02752C82"/>
    <w:rsid w:val="02786099"/>
    <w:rsid w:val="027866EB"/>
    <w:rsid w:val="027C1216"/>
    <w:rsid w:val="027C16B8"/>
    <w:rsid w:val="027C3466"/>
    <w:rsid w:val="028247F4"/>
    <w:rsid w:val="029307AF"/>
    <w:rsid w:val="02964532"/>
    <w:rsid w:val="029C1412"/>
    <w:rsid w:val="02A97FD3"/>
    <w:rsid w:val="02B726F0"/>
    <w:rsid w:val="02C32E43"/>
    <w:rsid w:val="02D70676"/>
    <w:rsid w:val="02DB6B5E"/>
    <w:rsid w:val="02DF1863"/>
    <w:rsid w:val="02EF1804"/>
    <w:rsid w:val="02F01C71"/>
    <w:rsid w:val="02F64609"/>
    <w:rsid w:val="02F95629"/>
    <w:rsid w:val="02F96864"/>
    <w:rsid w:val="02FB5F58"/>
    <w:rsid w:val="02FF7BF3"/>
    <w:rsid w:val="030169EC"/>
    <w:rsid w:val="03045296"/>
    <w:rsid w:val="030F746C"/>
    <w:rsid w:val="0315748B"/>
    <w:rsid w:val="03172312"/>
    <w:rsid w:val="03210061"/>
    <w:rsid w:val="03231B33"/>
    <w:rsid w:val="03244FD8"/>
    <w:rsid w:val="03261624"/>
    <w:rsid w:val="03265180"/>
    <w:rsid w:val="032F5B4B"/>
    <w:rsid w:val="034D691F"/>
    <w:rsid w:val="035A307B"/>
    <w:rsid w:val="03600692"/>
    <w:rsid w:val="037A7CCB"/>
    <w:rsid w:val="037B196F"/>
    <w:rsid w:val="037D56E7"/>
    <w:rsid w:val="037E21EA"/>
    <w:rsid w:val="03820A53"/>
    <w:rsid w:val="039667A9"/>
    <w:rsid w:val="039D7B38"/>
    <w:rsid w:val="03B22EB7"/>
    <w:rsid w:val="03B30E76"/>
    <w:rsid w:val="03B327EA"/>
    <w:rsid w:val="03B629A7"/>
    <w:rsid w:val="03BD1A8A"/>
    <w:rsid w:val="03D04B5D"/>
    <w:rsid w:val="03D21196"/>
    <w:rsid w:val="03DA48E8"/>
    <w:rsid w:val="03DD33B8"/>
    <w:rsid w:val="03DD7F34"/>
    <w:rsid w:val="03E034D9"/>
    <w:rsid w:val="03E05C76"/>
    <w:rsid w:val="03EA2651"/>
    <w:rsid w:val="03EC63C9"/>
    <w:rsid w:val="03F907DC"/>
    <w:rsid w:val="040C05A2"/>
    <w:rsid w:val="04115E30"/>
    <w:rsid w:val="0419673B"/>
    <w:rsid w:val="041A2F36"/>
    <w:rsid w:val="041B2E0E"/>
    <w:rsid w:val="04216F92"/>
    <w:rsid w:val="042651A1"/>
    <w:rsid w:val="042A2109"/>
    <w:rsid w:val="042C0EBC"/>
    <w:rsid w:val="042E69E2"/>
    <w:rsid w:val="04322762"/>
    <w:rsid w:val="043B11C4"/>
    <w:rsid w:val="043F299D"/>
    <w:rsid w:val="04415EE3"/>
    <w:rsid w:val="0442423B"/>
    <w:rsid w:val="04461F7D"/>
    <w:rsid w:val="044C50BA"/>
    <w:rsid w:val="044F0706"/>
    <w:rsid w:val="045126D0"/>
    <w:rsid w:val="04583A5F"/>
    <w:rsid w:val="04614F31"/>
    <w:rsid w:val="046B6B89"/>
    <w:rsid w:val="0474056D"/>
    <w:rsid w:val="047775AF"/>
    <w:rsid w:val="04796C45"/>
    <w:rsid w:val="047A0F03"/>
    <w:rsid w:val="047A445E"/>
    <w:rsid w:val="0487697C"/>
    <w:rsid w:val="048A774A"/>
    <w:rsid w:val="04981258"/>
    <w:rsid w:val="04A15406"/>
    <w:rsid w:val="04A50EF5"/>
    <w:rsid w:val="04A70542"/>
    <w:rsid w:val="04B54A0D"/>
    <w:rsid w:val="04B87DBA"/>
    <w:rsid w:val="04BB625C"/>
    <w:rsid w:val="04BC08B4"/>
    <w:rsid w:val="04BC4655"/>
    <w:rsid w:val="04BD72DF"/>
    <w:rsid w:val="04BE782C"/>
    <w:rsid w:val="04BF763A"/>
    <w:rsid w:val="04C335CE"/>
    <w:rsid w:val="04C441DA"/>
    <w:rsid w:val="04C60B97"/>
    <w:rsid w:val="04CC2591"/>
    <w:rsid w:val="04CD7FA9"/>
    <w:rsid w:val="04CE27B5"/>
    <w:rsid w:val="04D12AAC"/>
    <w:rsid w:val="04D24492"/>
    <w:rsid w:val="04DD2267"/>
    <w:rsid w:val="04E978D1"/>
    <w:rsid w:val="04EA6DAD"/>
    <w:rsid w:val="050D2A9B"/>
    <w:rsid w:val="050D396D"/>
    <w:rsid w:val="051040E9"/>
    <w:rsid w:val="051D2795"/>
    <w:rsid w:val="05253F13"/>
    <w:rsid w:val="05273450"/>
    <w:rsid w:val="05345B40"/>
    <w:rsid w:val="05350AC1"/>
    <w:rsid w:val="053A13B6"/>
    <w:rsid w:val="053C512E"/>
    <w:rsid w:val="053F077B"/>
    <w:rsid w:val="05407B21"/>
    <w:rsid w:val="054B15E0"/>
    <w:rsid w:val="054B5371"/>
    <w:rsid w:val="05551D4C"/>
    <w:rsid w:val="055B1BE8"/>
    <w:rsid w:val="05610656"/>
    <w:rsid w:val="056401E1"/>
    <w:rsid w:val="056802AA"/>
    <w:rsid w:val="056A57F8"/>
    <w:rsid w:val="056F500B"/>
    <w:rsid w:val="05760640"/>
    <w:rsid w:val="058574CC"/>
    <w:rsid w:val="058645FB"/>
    <w:rsid w:val="058A5E9A"/>
    <w:rsid w:val="058F525E"/>
    <w:rsid w:val="0591284D"/>
    <w:rsid w:val="05917228"/>
    <w:rsid w:val="05982B82"/>
    <w:rsid w:val="059C0170"/>
    <w:rsid w:val="05A3035A"/>
    <w:rsid w:val="05AA02EA"/>
    <w:rsid w:val="05B01605"/>
    <w:rsid w:val="05B42F17"/>
    <w:rsid w:val="05BE3D95"/>
    <w:rsid w:val="05C20CAE"/>
    <w:rsid w:val="05CA44E8"/>
    <w:rsid w:val="05CE0AF4"/>
    <w:rsid w:val="05D021CE"/>
    <w:rsid w:val="05D67331"/>
    <w:rsid w:val="05EF21A1"/>
    <w:rsid w:val="060519C4"/>
    <w:rsid w:val="060A0D89"/>
    <w:rsid w:val="060A1391"/>
    <w:rsid w:val="060C2F7B"/>
    <w:rsid w:val="06190FCC"/>
    <w:rsid w:val="0620235A"/>
    <w:rsid w:val="062956B3"/>
    <w:rsid w:val="062F259D"/>
    <w:rsid w:val="063103D5"/>
    <w:rsid w:val="063E4C5A"/>
    <w:rsid w:val="06407893"/>
    <w:rsid w:val="064D3A02"/>
    <w:rsid w:val="065169B7"/>
    <w:rsid w:val="065344DE"/>
    <w:rsid w:val="0658414F"/>
    <w:rsid w:val="065B2A94"/>
    <w:rsid w:val="066A7233"/>
    <w:rsid w:val="066F5090"/>
    <w:rsid w:val="0671265E"/>
    <w:rsid w:val="067A1D26"/>
    <w:rsid w:val="067C06B2"/>
    <w:rsid w:val="067F52D3"/>
    <w:rsid w:val="06844B0F"/>
    <w:rsid w:val="068D647E"/>
    <w:rsid w:val="06930D7E"/>
    <w:rsid w:val="069906DD"/>
    <w:rsid w:val="06A25624"/>
    <w:rsid w:val="06B01930"/>
    <w:rsid w:val="06B21BFC"/>
    <w:rsid w:val="06B50CF4"/>
    <w:rsid w:val="06BA455D"/>
    <w:rsid w:val="06BA630B"/>
    <w:rsid w:val="06BC02D5"/>
    <w:rsid w:val="06BD229F"/>
    <w:rsid w:val="06C705E9"/>
    <w:rsid w:val="06C70A28"/>
    <w:rsid w:val="06CE625A"/>
    <w:rsid w:val="06D25D4A"/>
    <w:rsid w:val="06D962A2"/>
    <w:rsid w:val="06DB44A7"/>
    <w:rsid w:val="06E415DA"/>
    <w:rsid w:val="06F32C4C"/>
    <w:rsid w:val="06F832D7"/>
    <w:rsid w:val="06FC6923"/>
    <w:rsid w:val="06FC7E63"/>
    <w:rsid w:val="06FE6E39"/>
    <w:rsid w:val="07006D77"/>
    <w:rsid w:val="07015758"/>
    <w:rsid w:val="07035F04"/>
    <w:rsid w:val="070365AA"/>
    <w:rsid w:val="07043A2A"/>
    <w:rsid w:val="070B6B66"/>
    <w:rsid w:val="070D6D82"/>
    <w:rsid w:val="07111D78"/>
    <w:rsid w:val="07113D89"/>
    <w:rsid w:val="07152BFC"/>
    <w:rsid w:val="071708A1"/>
    <w:rsid w:val="0717375D"/>
    <w:rsid w:val="071828A5"/>
    <w:rsid w:val="07221759"/>
    <w:rsid w:val="072436D1"/>
    <w:rsid w:val="07257354"/>
    <w:rsid w:val="072E5B90"/>
    <w:rsid w:val="073360BD"/>
    <w:rsid w:val="07351E35"/>
    <w:rsid w:val="07391EF0"/>
    <w:rsid w:val="073C1416"/>
    <w:rsid w:val="0745526F"/>
    <w:rsid w:val="07457A64"/>
    <w:rsid w:val="074B1659"/>
    <w:rsid w:val="074E161D"/>
    <w:rsid w:val="074E2EF7"/>
    <w:rsid w:val="07540148"/>
    <w:rsid w:val="075E16C2"/>
    <w:rsid w:val="076C7767"/>
    <w:rsid w:val="07771790"/>
    <w:rsid w:val="077C3131"/>
    <w:rsid w:val="077E1A2E"/>
    <w:rsid w:val="07845EBA"/>
    <w:rsid w:val="07886409"/>
    <w:rsid w:val="078A2181"/>
    <w:rsid w:val="078D3A1F"/>
    <w:rsid w:val="078E7909"/>
    <w:rsid w:val="07996EB4"/>
    <w:rsid w:val="079E733B"/>
    <w:rsid w:val="079F684B"/>
    <w:rsid w:val="079F6C9A"/>
    <w:rsid w:val="07A50D69"/>
    <w:rsid w:val="07A94598"/>
    <w:rsid w:val="07B207DE"/>
    <w:rsid w:val="07BB77C8"/>
    <w:rsid w:val="07BC2B7A"/>
    <w:rsid w:val="07CA4C73"/>
    <w:rsid w:val="07D57174"/>
    <w:rsid w:val="07D6482B"/>
    <w:rsid w:val="07D91D1C"/>
    <w:rsid w:val="07D945DC"/>
    <w:rsid w:val="07DC0D8D"/>
    <w:rsid w:val="07E01966"/>
    <w:rsid w:val="07EC2E3C"/>
    <w:rsid w:val="07EF46DA"/>
    <w:rsid w:val="07EF6488"/>
    <w:rsid w:val="07FC2953"/>
    <w:rsid w:val="080965E5"/>
    <w:rsid w:val="080B6354"/>
    <w:rsid w:val="0810301B"/>
    <w:rsid w:val="08107785"/>
    <w:rsid w:val="08114650"/>
    <w:rsid w:val="08171283"/>
    <w:rsid w:val="0817778D"/>
    <w:rsid w:val="081F0F94"/>
    <w:rsid w:val="08236132"/>
    <w:rsid w:val="08283748"/>
    <w:rsid w:val="082D669C"/>
    <w:rsid w:val="08314CF2"/>
    <w:rsid w:val="083B16CD"/>
    <w:rsid w:val="083C30E3"/>
    <w:rsid w:val="084F33CB"/>
    <w:rsid w:val="08563ADB"/>
    <w:rsid w:val="085A4F7E"/>
    <w:rsid w:val="08674270"/>
    <w:rsid w:val="086A1FB2"/>
    <w:rsid w:val="08713341"/>
    <w:rsid w:val="087370B9"/>
    <w:rsid w:val="08762705"/>
    <w:rsid w:val="087B457E"/>
    <w:rsid w:val="087E4CB6"/>
    <w:rsid w:val="08814108"/>
    <w:rsid w:val="08836BD0"/>
    <w:rsid w:val="08855AD6"/>
    <w:rsid w:val="088E3EF3"/>
    <w:rsid w:val="08986B20"/>
    <w:rsid w:val="08A560B2"/>
    <w:rsid w:val="08B5096B"/>
    <w:rsid w:val="08C44AB9"/>
    <w:rsid w:val="08D12D6E"/>
    <w:rsid w:val="08DA7138"/>
    <w:rsid w:val="08DD79D8"/>
    <w:rsid w:val="08E15D8E"/>
    <w:rsid w:val="08F11066"/>
    <w:rsid w:val="08F33D56"/>
    <w:rsid w:val="08FD4BD5"/>
    <w:rsid w:val="09070A03"/>
    <w:rsid w:val="090B5543"/>
    <w:rsid w:val="090D502E"/>
    <w:rsid w:val="091742F7"/>
    <w:rsid w:val="09200A13"/>
    <w:rsid w:val="092C1016"/>
    <w:rsid w:val="092D4ADB"/>
    <w:rsid w:val="09300B06"/>
    <w:rsid w:val="093F343F"/>
    <w:rsid w:val="094B0040"/>
    <w:rsid w:val="0952674B"/>
    <w:rsid w:val="0966277A"/>
    <w:rsid w:val="0967211C"/>
    <w:rsid w:val="096B7ED1"/>
    <w:rsid w:val="096D0679"/>
    <w:rsid w:val="09735C6C"/>
    <w:rsid w:val="097C3D4B"/>
    <w:rsid w:val="098A544D"/>
    <w:rsid w:val="09991B6A"/>
    <w:rsid w:val="09A13A7B"/>
    <w:rsid w:val="09A84B40"/>
    <w:rsid w:val="09A908B8"/>
    <w:rsid w:val="09AB0DDA"/>
    <w:rsid w:val="09AB2883"/>
    <w:rsid w:val="09AD03A9"/>
    <w:rsid w:val="09AF52B4"/>
    <w:rsid w:val="09B13AC3"/>
    <w:rsid w:val="09B93488"/>
    <w:rsid w:val="09B94817"/>
    <w:rsid w:val="09BC683E"/>
    <w:rsid w:val="09C3247E"/>
    <w:rsid w:val="09C758AE"/>
    <w:rsid w:val="09C943AD"/>
    <w:rsid w:val="09D122E9"/>
    <w:rsid w:val="09D51869"/>
    <w:rsid w:val="09DF70B8"/>
    <w:rsid w:val="09E244F6"/>
    <w:rsid w:val="09E33DCA"/>
    <w:rsid w:val="09F00DFE"/>
    <w:rsid w:val="09F61D50"/>
    <w:rsid w:val="09F9539C"/>
    <w:rsid w:val="09FF5296"/>
    <w:rsid w:val="0A03621B"/>
    <w:rsid w:val="0A051F93"/>
    <w:rsid w:val="0A171CC6"/>
    <w:rsid w:val="0A1E4E03"/>
    <w:rsid w:val="0A200B7B"/>
    <w:rsid w:val="0A265419"/>
    <w:rsid w:val="0A276B2A"/>
    <w:rsid w:val="0A2C751F"/>
    <w:rsid w:val="0A2F7010"/>
    <w:rsid w:val="0A301A70"/>
    <w:rsid w:val="0A322A2E"/>
    <w:rsid w:val="0A38122D"/>
    <w:rsid w:val="0A3B3C06"/>
    <w:rsid w:val="0A3F75E5"/>
    <w:rsid w:val="0A474359"/>
    <w:rsid w:val="0A486318"/>
    <w:rsid w:val="0A4F28BA"/>
    <w:rsid w:val="0A526E2C"/>
    <w:rsid w:val="0A5A0A93"/>
    <w:rsid w:val="0A676977"/>
    <w:rsid w:val="0A710A18"/>
    <w:rsid w:val="0A7315F2"/>
    <w:rsid w:val="0A746570"/>
    <w:rsid w:val="0A7669ED"/>
    <w:rsid w:val="0A79472F"/>
    <w:rsid w:val="0A7E1D45"/>
    <w:rsid w:val="0A834AB9"/>
    <w:rsid w:val="0A913826"/>
    <w:rsid w:val="0A917CCA"/>
    <w:rsid w:val="0AA07F0D"/>
    <w:rsid w:val="0AA51080"/>
    <w:rsid w:val="0AB17A25"/>
    <w:rsid w:val="0ABA4A34"/>
    <w:rsid w:val="0AC05EBA"/>
    <w:rsid w:val="0AC06B0B"/>
    <w:rsid w:val="0AC66905"/>
    <w:rsid w:val="0AC92FC0"/>
    <w:rsid w:val="0ACB5B1C"/>
    <w:rsid w:val="0ACC0D02"/>
    <w:rsid w:val="0AD11E75"/>
    <w:rsid w:val="0AD12118"/>
    <w:rsid w:val="0AD32091"/>
    <w:rsid w:val="0AD759C8"/>
    <w:rsid w:val="0AE918B4"/>
    <w:rsid w:val="0AEA1189"/>
    <w:rsid w:val="0AED75C5"/>
    <w:rsid w:val="0AF461CA"/>
    <w:rsid w:val="0AFA761E"/>
    <w:rsid w:val="0AFD2C6A"/>
    <w:rsid w:val="0AFE662A"/>
    <w:rsid w:val="0B04224A"/>
    <w:rsid w:val="0B08474F"/>
    <w:rsid w:val="0B156206"/>
    <w:rsid w:val="0B1C57E6"/>
    <w:rsid w:val="0B234241"/>
    <w:rsid w:val="0B2621C1"/>
    <w:rsid w:val="0B380146"/>
    <w:rsid w:val="0B4968BC"/>
    <w:rsid w:val="0B4B0BC0"/>
    <w:rsid w:val="0B504A69"/>
    <w:rsid w:val="0B505490"/>
    <w:rsid w:val="0B536D2E"/>
    <w:rsid w:val="0B541106"/>
    <w:rsid w:val="0B550CF8"/>
    <w:rsid w:val="0B55760E"/>
    <w:rsid w:val="0B5673B8"/>
    <w:rsid w:val="0B58265A"/>
    <w:rsid w:val="0B5D7BAD"/>
    <w:rsid w:val="0B811AED"/>
    <w:rsid w:val="0B845139"/>
    <w:rsid w:val="0B8B296C"/>
    <w:rsid w:val="0BA33880"/>
    <w:rsid w:val="0BA76046"/>
    <w:rsid w:val="0BAB761D"/>
    <w:rsid w:val="0BAF708A"/>
    <w:rsid w:val="0BB05F2E"/>
    <w:rsid w:val="0BB61997"/>
    <w:rsid w:val="0BB63DAF"/>
    <w:rsid w:val="0BB75D2B"/>
    <w:rsid w:val="0BBA5BBB"/>
    <w:rsid w:val="0BBB741F"/>
    <w:rsid w:val="0BD827AC"/>
    <w:rsid w:val="0BD95485"/>
    <w:rsid w:val="0BE76511"/>
    <w:rsid w:val="0BEF750E"/>
    <w:rsid w:val="0BF00A21"/>
    <w:rsid w:val="0BF53ECA"/>
    <w:rsid w:val="0C012C2E"/>
    <w:rsid w:val="0C020CFD"/>
    <w:rsid w:val="0C054E2C"/>
    <w:rsid w:val="0C087B18"/>
    <w:rsid w:val="0C0F534B"/>
    <w:rsid w:val="0C123827"/>
    <w:rsid w:val="0C1464BD"/>
    <w:rsid w:val="0C2169D7"/>
    <w:rsid w:val="0C317937"/>
    <w:rsid w:val="0C34090D"/>
    <w:rsid w:val="0C3703FE"/>
    <w:rsid w:val="0C39369B"/>
    <w:rsid w:val="0C41127C"/>
    <w:rsid w:val="0C430B50"/>
    <w:rsid w:val="0C670EE5"/>
    <w:rsid w:val="0C6F4513"/>
    <w:rsid w:val="0C770F15"/>
    <w:rsid w:val="0C7B29E0"/>
    <w:rsid w:val="0C7D0506"/>
    <w:rsid w:val="0C882A07"/>
    <w:rsid w:val="0C88488C"/>
    <w:rsid w:val="0C8A677F"/>
    <w:rsid w:val="0C915BFB"/>
    <w:rsid w:val="0C94198B"/>
    <w:rsid w:val="0C943AA2"/>
    <w:rsid w:val="0CA8083B"/>
    <w:rsid w:val="0CA83953"/>
    <w:rsid w:val="0CA84E57"/>
    <w:rsid w:val="0CB87790"/>
    <w:rsid w:val="0CC463BD"/>
    <w:rsid w:val="0CD26A47"/>
    <w:rsid w:val="0CD914B5"/>
    <w:rsid w:val="0CDD2D53"/>
    <w:rsid w:val="0CE64047"/>
    <w:rsid w:val="0CE65A03"/>
    <w:rsid w:val="0CF63E15"/>
    <w:rsid w:val="0CF85DDF"/>
    <w:rsid w:val="0CF972AE"/>
    <w:rsid w:val="0D006A41"/>
    <w:rsid w:val="0D046532"/>
    <w:rsid w:val="0D097FEC"/>
    <w:rsid w:val="0D10137A"/>
    <w:rsid w:val="0D1349C7"/>
    <w:rsid w:val="0D244299"/>
    <w:rsid w:val="0D2758D8"/>
    <w:rsid w:val="0D29243C"/>
    <w:rsid w:val="0D3938D4"/>
    <w:rsid w:val="0D3F756A"/>
    <w:rsid w:val="0D434D12"/>
    <w:rsid w:val="0D464D9C"/>
    <w:rsid w:val="0D4B3979"/>
    <w:rsid w:val="0D4C612B"/>
    <w:rsid w:val="0D520D84"/>
    <w:rsid w:val="0D523741"/>
    <w:rsid w:val="0D582A8B"/>
    <w:rsid w:val="0D643474"/>
    <w:rsid w:val="0D6B7814"/>
    <w:rsid w:val="0D725B91"/>
    <w:rsid w:val="0D853282"/>
    <w:rsid w:val="0D892EDB"/>
    <w:rsid w:val="0D8B27AF"/>
    <w:rsid w:val="0D907DC5"/>
    <w:rsid w:val="0D970525"/>
    <w:rsid w:val="0D9A6E96"/>
    <w:rsid w:val="0DA12654"/>
    <w:rsid w:val="0DA41AC3"/>
    <w:rsid w:val="0DA675E9"/>
    <w:rsid w:val="0DB00467"/>
    <w:rsid w:val="0DBB5789"/>
    <w:rsid w:val="0DC22040"/>
    <w:rsid w:val="0DCA3859"/>
    <w:rsid w:val="0DCA5C92"/>
    <w:rsid w:val="0DD759F4"/>
    <w:rsid w:val="0DDA4FD1"/>
    <w:rsid w:val="0DDB2E19"/>
    <w:rsid w:val="0DDE177A"/>
    <w:rsid w:val="0DE65231"/>
    <w:rsid w:val="0DF06AB6"/>
    <w:rsid w:val="0DF20A80"/>
    <w:rsid w:val="0DF648A0"/>
    <w:rsid w:val="0DF90060"/>
    <w:rsid w:val="0E0457D8"/>
    <w:rsid w:val="0E084E26"/>
    <w:rsid w:val="0E100F06"/>
    <w:rsid w:val="0E1359FA"/>
    <w:rsid w:val="0E19549D"/>
    <w:rsid w:val="0E25660A"/>
    <w:rsid w:val="0E285C93"/>
    <w:rsid w:val="0E325320"/>
    <w:rsid w:val="0E3777BE"/>
    <w:rsid w:val="0E3A41D5"/>
    <w:rsid w:val="0E3A5F83"/>
    <w:rsid w:val="0E4140E1"/>
    <w:rsid w:val="0E43308A"/>
    <w:rsid w:val="0E4A4418"/>
    <w:rsid w:val="0E5139F9"/>
    <w:rsid w:val="0E52151F"/>
    <w:rsid w:val="0E553AB9"/>
    <w:rsid w:val="0E574D87"/>
    <w:rsid w:val="0E5B6625"/>
    <w:rsid w:val="0E655F3E"/>
    <w:rsid w:val="0E796AAB"/>
    <w:rsid w:val="0E7D2A40"/>
    <w:rsid w:val="0E8518F4"/>
    <w:rsid w:val="0E8D23F9"/>
    <w:rsid w:val="0E8D69FB"/>
    <w:rsid w:val="0E9B4C74"/>
    <w:rsid w:val="0E9C061A"/>
    <w:rsid w:val="0E9E53ED"/>
    <w:rsid w:val="0EAC50D3"/>
    <w:rsid w:val="0EAD49A7"/>
    <w:rsid w:val="0EB05D52"/>
    <w:rsid w:val="0EB67D00"/>
    <w:rsid w:val="0EBC4BEA"/>
    <w:rsid w:val="0EC341CA"/>
    <w:rsid w:val="0ED0372F"/>
    <w:rsid w:val="0ED9579C"/>
    <w:rsid w:val="0EE43718"/>
    <w:rsid w:val="0EE90B68"/>
    <w:rsid w:val="0EF34C60"/>
    <w:rsid w:val="0EF702B3"/>
    <w:rsid w:val="0EFB5712"/>
    <w:rsid w:val="0F064208"/>
    <w:rsid w:val="0F0B4AD1"/>
    <w:rsid w:val="0F0C142F"/>
    <w:rsid w:val="0F0E2F32"/>
    <w:rsid w:val="0F162637"/>
    <w:rsid w:val="0F1B4006"/>
    <w:rsid w:val="0F225395"/>
    <w:rsid w:val="0F2E7896"/>
    <w:rsid w:val="0F333C8A"/>
    <w:rsid w:val="0F375915"/>
    <w:rsid w:val="0F441053"/>
    <w:rsid w:val="0F475ED1"/>
    <w:rsid w:val="0F4A0448"/>
    <w:rsid w:val="0F4A0704"/>
    <w:rsid w:val="0F545BF4"/>
    <w:rsid w:val="0F5F3EF3"/>
    <w:rsid w:val="0F631CBA"/>
    <w:rsid w:val="0F6605CC"/>
    <w:rsid w:val="0F6B5ADC"/>
    <w:rsid w:val="0F6C4862"/>
    <w:rsid w:val="0F6D01FB"/>
    <w:rsid w:val="0F706100"/>
    <w:rsid w:val="0F7A0D2D"/>
    <w:rsid w:val="0F7A5202"/>
    <w:rsid w:val="0F8171C9"/>
    <w:rsid w:val="0F824086"/>
    <w:rsid w:val="0F84395A"/>
    <w:rsid w:val="0F884A22"/>
    <w:rsid w:val="0F957915"/>
    <w:rsid w:val="0F9C04A9"/>
    <w:rsid w:val="0F9E1CC2"/>
    <w:rsid w:val="0FA638D0"/>
    <w:rsid w:val="0FA933C0"/>
    <w:rsid w:val="0FA94FB4"/>
    <w:rsid w:val="0FB10A42"/>
    <w:rsid w:val="0FB12275"/>
    <w:rsid w:val="0FB87AA7"/>
    <w:rsid w:val="0FB90D84"/>
    <w:rsid w:val="0FBC0D1A"/>
    <w:rsid w:val="0FC93A62"/>
    <w:rsid w:val="0FCC70AF"/>
    <w:rsid w:val="0FD301EE"/>
    <w:rsid w:val="0FF07241"/>
    <w:rsid w:val="0FF1693E"/>
    <w:rsid w:val="0FF860F6"/>
    <w:rsid w:val="0FFA6B94"/>
    <w:rsid w:val="10014FAA"/>
    <w:rsid w:val="100625C1"/>
    <w:rsid w:val="10066A65"/>
    <w:rsid w:val="101747CE"/>
    <w:rsid w:val="101822F4"/>
    <w:rsid w:val="10245DEE"/>
    <w:rsid w:val="10255C82"/>
    <w:rsid w:val="102927A5"/>
    <w:rsid w:val="102942B6"/>
    <w:rsid w:val="1031606C"/>
    <w:rsid w:val="103233B6"/>
    <w:rsid w:val="10347D4F"/>
    <w:rsid w:val="103501B8"/>
    <w:rsid w:val="10377139"/>
    <w:rsid w:val="103A04BC"/>
    <w:rsid w:val="103C5FE2"/>
    <w:rsid w:val="103C7D7B"/>
    <w:rsid w:val="103F7234"/>
    <w:rsid w:val="104135F9"/>
    <w:rsid w:val="10475F34"/>
    <w:rsid w:val="1049459B"/>
    <w:rsid w:val="104B26C9"/>
    <w:rsid w:val="104C58A2"/>
    <w:rsid w:val="104D4694"/>
    <w:rsid w:val="104F21BA"/>
    <w:rsid w:val="105832FC"/>
    <w:rsid w:val="105C48D7"/>
    <w:rsid w:val="10625108"/>
    <w:rsid w:val="10675755"/>
    <w:rsid w:val="10710382"/>
    <w:rsid w:val="10771710"/>
    <w:rsid w:val="10790711"/>
    <w:rsid w:val="108160EB"/>
    <w:rsid w:val="1085082C"/>
    <w:rsid w:val="108F6A5A"/>
    <w:rsid w:val="10961B97"/>
    <w:rsid w:val="10A06571"/>
    <w:rsid w:val="10A94CBF"/>
    <w:rsid w:val="10AF4A06"/>
    <w:rsid w:val="10B14C22"/>
    <w:rsid w:val="10B740C7"/>
    <w:rsid w:val="10BE6725"/>
    <w:rsid w:val="10C05F28"/>
    <w:rsid w:val="10C770AD"/>
    <w:rsid w:val="10C90198"/>
    <w:rsid w:val="10CD4AC6"/>
    <w:rsid w:val="10E558CF"/>
    <w:rsid w:val="10F20D97"/>
    <w:rsid w:val="10F87069"/>
    <w:rsid w:val="10F93ED3"/>
    <w:rsid w:val="10FE679F"/>
    <w:rsid w:val="110A4333"/>
    <w:rsid w:val="110D797F"/>
    <w:rsid w:val="111156C1"/>
    <w:rsid w:val="111A666F"/>
    <w:rsid w:val="111B28D9"/>
    <w:rsid w:val="11253D0E"/>
    <w:rsid w:val="112C2155"/>
    <w:rsid w:val="11366ED6"/>
    <w:rsid w:val="11477335"/>
    <w:rsid w:val="114F7F97"/>
    <w:rsid w:val="11611BCB"/>
    <w:rsid w:val="116A6B7F"/>
    <w:rsid w:val="116B3023"/>
    <w:rsid w:val="11731ED8"/>
    <w:rsid w:val="118006F3"/>
    <w:rsid w:val="118440E5"/>
    <w:rsid w:val="1185289A"/>
    <w:rsid w:val="118A0FD0"/>
    <w:rsid w:val="118C11EC"/>
    <w:rsid w:val="118E3A13"/>
    <w:rsid w:val="11902A8A"/>
    <w:rsid w:val="119971FF"/>
    <w:rsid w:val="11A16A45"/>
    <w:rsid w:val="11A448F7"/>
    <w:rsid w:val="11A842FF"/>
    <w:rsid w:val="11B00A36"/>
    <w:rsid w:val="11B5429E"/>
    <w:rsid w:val="11B91F74"/>
    <w:rsid w:val="11C113C0"/>
    <w:rsid w:val="11C646FD"/>
    <w:rsid w:val="11C72224"/>
    <w:rsid w:val="11C95F9C"/>
    <w:rsid w:val="11D6242F"/>
    <w:rsid w:val="11D706B9"/>
    <w:rsid w:val="11DA72E4"/>
    <w:rsid w:val="11DD37F5"/>
    <w:rsid w:val="11E93F48"/>
    <w:rsid w:val="11F34DC7"/>
    <w:rsid w:val="11F808F6"/>
    <w:rsid w:val="11FF376C"/>
    <w:rsid w:val="12001018"/>
    <w:rsid w:val="12023AE6"/>
    <w:rsid w:val="120314AE"/>
    <w:rsid w:val="12040D82"/>
    <w:rsid w:val="12072620"/>
    <w:rsid w:val="120B1F32"/>
    <w:rsid w:val="120E0E48"/>
    <w:rsid w:val="12170AB5"/>
    <w:rsid w:val="121805F1"/>
    <w:rsid w:val="121D3BF2"/>
    <w:rsid w:val="122724A7"/>
    <w:rsid w:val="122B27B2"/>
    <w:rsid w:val="12331667"/>
    <w:rsid w:val="123553DF"/>
    <w:rsid w:val="123756BE"/>
    <w:rsid w:val="123F4C14"/>
    <w:rsid w:val="124473D0"/>
    <w:rsid w:val="124949E7"/>
    <w:rsid w:val="12532C90"/>
    <w:rsid w:val="12575356"/>
    <w:rsid w:val="12747F48"/>
    <w:rsid w:val="127A3EA4"/>
    <w:rsid w:val="12820BEC"/>
    <w:rsid w:val="128B1C28"/>
    <w:rsid w:val="128F2D41"/>
    <w:rsid w:val="128F2E97"/>
    <w:rsid w:val="12942106"/>
    <w:rsid w:val="129E4D32"/>
    <w:rsid w:val="12A04982"/>
    <w:rsid w:val="12B1627A"/>
    <w:rsid w:val="12B675EB"/>
    <w:rsid w:val="12CB1F54"/>
    <w:rsid w:val="12CD23B6"/>
    <w:rsid w:val="12CF6372"/>
    <w:rsid w:val="12DB4D4F"/>
    <w:rsid w:val="12DE15D3"/>
    <w:rsid w:val="12E46319"/>
    <w:rsid w:val="12EC5084"/>
    <w:rsid w:val="12ED5CBA"/>
    <w:rsid w:val="12F12AA5"/>
    <w:rsid w:val="12F2507E"/>
    <w:rsid w:val="12F4439D"/>
    <w:rsid w:val="12FC5EFD"/>
    <w:rsid w:val="130E25D9"/>
    <w:rsid w:val="13160D6D"/>
    <w:rsid w:val="13314543"/>
    <w:rsid w:val="133912C6"/>
    <w:rsid w:val="133E6515"/>
    <w:rsid w:val="13424BEA"/>
    <w:rsid w:val="13465C7A"/>
    <w:rsid w:val="13474ECD"/>
    <w:rsid w:val="1347603A"/>
    <w:rsid w:val="13477178"/>
    <w:rsid w:val="134A310C"/>
    <w:rsid w:val="13573133"/>
    <w:rsid w:val="135B0E75"/>
    <w:rsid w:val="1360648C"/>
    <w:rsid w:val="136715C8"/>
    <w:rsid w:val="136C4BC6"/>
    <w:rsid w:val="13710699"/>
    <w:rsid w:val="137C620C"/>
    <w:rsid w:val="137D05A4"/>
    <w:rsid w:val="13855EF2"/>
    <w:rsid w:val="13897791"/>
    <w:rsid w:val="138E4DA7"/>
    <w:rsid w:val="13950B2E"/>
    <w:rsid w:val="139A199E"/>
    <w:rsid w:val="139A7BF0"/>
    <w:rsid w:val="139B78EC"/>
    <w:rsid w:val="13A22600"/>
    <w:rsid w:val="13A75277"/>
    <w:rsid w:val="13A97E33"/>
    <w:rsid w:val="13AD0145"/>
    <w:rsid w:val="13B11DF8"/>
    <w:rsid w:val="13B3480E"/>
    <w:rsid w:val="13B54A2A"/>
    <w:rsid w:val="13BF7656"/>
    <w:rsid w:val="13D053C0"/>
    <w:rsid w:val="13D34B93"/>
    <w:rsid w:val="13DA5E2D"/>
    <w:rsid w:val="13E316E0"/>
    <w:rsid w:val="13E417B9"/>
    <w:rsid w:val="13EB3FA7"/>
    <w:rsid w:val="13F0437C"/>
    <w:rsid w:val="13F61959"/>
    <w:rsid w:val="13F70032"/>
    <w:rsid w:val="13F74118"/>
    <w:rsid w:val="13F866C4"/>
    <w:rsid w:val="13FD67D7"/>
    <w:rsid w:val="14000B3D"/>
    <w:rsid w:val="1402655C"/>
    <w:rsid w:val="1403238B"/>
    <w:rsid w:val="14067033"/>
    <w:rsid w:val="140D728C"/>
    <w:rsid w:val="14100369"/>
    <w:rsid w:val="14180622"/>
    <w:rsid w:val="141A42B8"/>
    <w:rsid w:val="142213DA"/>
    <w:rsid w:val="14252BF2"/>
    <w:rsid w:val="143516C6"/>
    <w:rsid w:val="143C2C0A"/>
    <w:rsid w:val="14424C33"/>
    <w:rsid w:val="14495172"/>
    <w:rsid w:val="144F3B57"/>
    <w:rsid w:val="14553B17"/>
    <w:rsid w:val="14673E28"/>
    <w:rsid w:val="147A2410"/>
    <w:rsid w:val="14852C6F"/>
    <w:rsid w:val="148F2F85"/>
    <w:rsid w:val="14902DA1"/>
    <w:rsid w:val="14961298"/>
    <w:rsid w:val="1497412F"/>
    <w:rsid w:val="149A5BA6"/>
    <w:rsid w:val="14A05F9F"/>
    <w:rsid w:val="14A502EF"/>
    <w:rsid w:val="14A5684C"/>
    <w:rsid w:val="14B163DC"/>
    <w:rsid w:val="14B24AC5"/>
    <w:rsid w:val="14C111AC"/>
    <w:rsid w:val="14C34F24"/>
    <w:rsid w:val="14D2188D"/>
    <w:rsid w:val="14D902A4"/>
    <w:rsid w:val="14DE617B"/>
    <w:rsid w:val="14E82F29"/>
    <w:rsid w:val="14F926F4"/>
    <w:rsid w:val="14FE7D0A"/>
    <w:rsid w:val="15035321"/>
    <w:rsid w:val="15095EDF"/>
    <w:rsid w:val="152B4878"/>
    <w:rsid w:val="152B4D84"/>
    <w:rsid w:val="152F1D82"/>
    <w:rsid w:val="1534197E"/>
    <w:rsid w:val="15363948"/>
    <w:rsid w:val="15372517"/>
    <w:rsid w:val="153866E8"/>
    <w:rsid w:val="153C6A85"/>
    <w:rsid w:val="154A0C01"/>
    <w:rsid w:val="154D0C92"/>
    <w:rsid w:val="155301FE"/>
    <w:rsid w:val="155E2586"/>
    <w:rsid w:val="15681628"/>
    <w:rsid w:val="156A1D3D"/>
    <w:rsid w:val="157439B7"/>
    <w:rsid w:val="157F3975"/>
    <w:rsid w:val="15871E93"/>
    <w:rsid w:val="158D108E"/>
    <w:rsid w:val="158F3058"/>
    <w:rsid w:val="15930009"/>
    <w:rsid w:val="159643E7"/>
    <w:rsid w:val="15AA23E4"/>
    <w:rsid w:val="15B211A0"/>
    <w:rsid w:val="15B36916"/>
    <w:rsid w:val="15C076B6"/>
    <w:rsid w:val="15CD0226"/>
    <w:rsid w:val="15D4104B"/>
    <w:rsid w:val="15E72E94"/>
    <w:rsid w:val="15F003C1"/>
    <w:rsid w:val="15F61009"/>
    <w:rsid w:val="15F65644"/>
    <w:rsid w:val="15FB249C"/>
    <w:rsid w:val="15FC3115"/>
    <w:rsid w:val="15FF3D3A"/>
    <w:rsid w:val="16094BB9"/>
    <w:rsid w:val="16133C89"/>
    <w:rsid w:val="16184DFC"/>
    <w:rsid w:val="16225C7A"/>
    <w:rsid w:val="16264AED"/>
    <w:rsid w:val="162B4D52"/>
    <w:rsid w:val="164125A5"/>
    <w:rsid w:val="164400AE"/>
    <w:rsid w:val="16442BD7"/>
    <w:rsid w:val="16491459"/>
    <w:rsid w:val="164E4CC1"/>
    <w:rsid w:val="16573B76"/>
    <w:rsid w:val="165A5414"/>
    <w:rsid w:val="166234A0"/>
    <w:rsid w:val="1666200B"/>
    <w:rsid w:val="166D2513"/>
    <w:rsid w:val="16770685"/>
    <w:rsid w:val="167C182F"/>
    <w:rsid w:val="167F42A3"/>
    <w:rsid w:val="1686345A"/>
    <w:rsid w:val="16956E5A"/>
    <w:rsid w:val="16A27000"/>
    <w:rsid w:val="16A44B2E"/>
    <w:rsid w:val="16A6504A"/>
    <w:rsid w:val="16A97E9C"/>
    <w:rsid w:val="16AB2114"/>
    <w:rsid w:val="16AC36B8"/>
    <w:rsid w:val="16AD7067"/>
    <w:rsid w:val="16C531D6"/>
    <w:rsid w:val="16C83D17"/>
    <w:rsid w:val="16D90A2F"/>
    <w:rsid w:val="16E11692"/>
    <w:rsid w:val="16E80C72"/>
    <w:rsid w:val="17057BF5"/>
    <w:rsid w:val="170959CD"/>
    <w:rsid w:val="170C7344"/>
    <w:rsid w:val="17180FE5"/>
    <w:rsid w:val="171D2C7F"/>
    <w:rsid w:val="172F68A1"/>
    <w:rsid w:val="173619DD"/>
    <w:rsid w:val="174340FA"/>
    <w:rsid w:val="17445402"/>
    <w:rsid w:val="174561CC"/>
    <w:rsid w:val="17546308"/>
    <w:rsid w:val="17581BDA"/>
    <w:rsid w:val="175D340D"/>
    <w:rsid w:val="17626C76"/>
    <w:rsid w:val="17630885"/>
    <w:rsid w:val="17654071"/>
    <w:rsid w:val="1773299C"/>
    <w:rsid w:val="17785D56"/>
    <w:rsid w:val="17793C92"/>
    <w:rsid w:val="177E0DEC"/>
    <w:rsid w:val="17822E75"/>
    <w:rsid w:val="1787335F"/>
    <w:rsid w:val="17876721"/>
    <w:rsid w:val="17885FB1"/>
    <w:rsid w:val="1798546C"/>
    <w:rsid w:val="179F5F07"/>
    <w:rsid w:val="17A7618E"/>
    <w:rsid w:val="17A76437"/>
    <w:rsid w:val="17A8092A"/>
    <w:rsid w:val="17AA1892"/>
    <w:rsid w:val="17B374D2"/>
    <w:rsid w:val="17C0574B"/>
    <w:rsid w:val="17C53665"/>
    <w:rsid w:val="17C57205"/>
    <w:rsid w:val="17C84600"/>
    <w:rsid w:val="17CA2B8F"/>
    <w:rsid w:val="17D11706"/>
    <w:rsid w:val="17D82A95"/>
    <w:rsid w:val="17DC5EA9"/>
    <w:rsid w:val="17E0741E"/>
    <w:rsid w:val="17E21B65"/>
    <w:rsid w:val="17E4768B"/>
    <w:rsid w:val="17E504A9"/>
    <w:rsid w:val="17EE22B8"/>
    <w:rsid w:val="17F65611"/>
    <w:rsid w:val="17F72AB1"/>
    <w:rsid w:val="17FA3821"/>
    <w:rsid w:val="18130773"/>
    <w:rsid w:val="182932F0"/>
    <w:rsid w:val="182C1032"/>
    <w:rsid w:val="182F377B"/>
    <w:rsid w:val="1833416F"/>
    <w:rsid w:val="18354C40"/>
    <w:rsid w:val="18365A0D"/>
    <w:rsid w:val="184D0DFC"/>
    <w:rsid w:val="18556009"/>
    <w:rsid w:val="185E284C"/>
    <w:rsid w:val="186407CC"/>
    <w:rsid w:val="186A5109"/>
    <w:rsid w:val="186D1754"/>
    <w:rsid w:val="18786026"/>
    <w:rsid w:val="187C10D7"/>
    <w:rsid w:val="187D188E"/>
    <w:rsid w:val="188569AA"/>
    <w:rsid w:val="18934C0E"/>
    <w:rsid w:val="189656EE"/>
    <w:rsid w:val="189F1804"/>
    <w:rsid w:val="18A65A0A"/>
    <w:rsid w:val="18AD0BC4"/>
    <w:rsid w:val="18B03A11"/>
    <w:rsid w:val="18B81109"/>
    <w:rsid w:val="18BC198A"/>
    <w:rsid w:val="18BD6D95"/>
    <w:rsid w:val="18C43019"/>
    <w:rsid w:val="18DD4584"/>
    <w:rsid w:val="18E00489"/>
    <w:rsid w:val="18E60132"/>
    <w:rsid w:val="18EA17CE"/>
    <w:rsid w:val="18EB259A"/>
    <w:rsid w:val="18EB4A4A"/>
    <w:rsid w:val="18FE29CF"/>
    <w:rsid w:val="19067AD5"/>
    <w:rsid w:val="19093EEF"/>
    <w:rsid w:val="1910625E"/>
    <w:rsid w:val="19141227"/>
    <w:rsid w:val="19173A91"/>
    <w:rsid w:val="191826FE"/>
    <w:rsid w:val="19197809"/>
    <w:rsid w:val="19212219"/>
    <w:rsid w:val="19282791"/>
    <w:rsid w:val="192C2D7A"/>
    <w:rsid w:val="19322678"/>
    <w:rsid w:val="1941466A"/>
    <w:rsid w:val="194D74B2"/>
    <w:rsid w:val="195125DD"/>
    <w:rsid w:val="19544A48"/>
    <w:rsid w:val="19566367"/>
    <w:rsid w:val="19585862"/>
    <w:rsid w:val="195A572B"/>
    <w:rsid w:val="19722A75"/>
    <w:rsid w:val="197762DD"/>
    <w:rsid w:val="197D7D98"/>
    <w:rsid w:val="197E58BE"/>
    <w:rsid w:val="19810432"/>
    <w:rsid w:val="198C1E2A"/>
    <w:rsid w:val="198F3627"/>
    <w:rsid w:val="199571A7"/>
    <w:rsid w:val="199C2DB7"/>
    <w:rsid w:val="19A03A86"/>
    <w:rsid w:val="19A05834"/>
    <w:rsid w:val="19A1335A"/>
    <w:rsid w:val="19A3586C"/>
    <w:rsid w:val="19A417DA"/>
    <w:rsid w:val="19AF139A"/>
    <w:rsid w:val="19BA2109"/>
    <w:rsid w:val="19C02DA9"/>
    <w:rsid w:val="19C332D1"/>
    <w:rsid w:val="19C40560"/>
    <w:rsid w:val="19C72254"/>
    <w:rsid w:val="19C808E7"/>
    <w:rsid w:val="19CA465F"/>
    <w:rsid w:val="19CD5721"/>
    <w:rsid w:val="19CF6BA8"/>
    <w:rsid w:val="19D674A8"/>
    <w:rsid w:val="19EA6AAF"/>
    <w:rsid w:val="19F45009"/>
    <w:rsid w:val="19F90CCD"/>
    <w:rsid w:val="19FD61E8"/>
    <w:rsid w:val="1A125CC5"/>
    <w:rsid w:val="1A1263F9"/>
    <w:rsid w:val="1A2226ED"/>
    <w:rsid w:val="1A271C9F"/>
    <w:rsid w:val="1A2A3350"/>
    <w:rsid w:val="1A304FA1"/>
    <w:rsid w:val="1A335B12"/>
    <w:rsid w:val="1A354A25"/>
    <w:rsid w:val="1A361CF4"/>
    <w:rsid w:val="1A3B624B"/>
    <w:rsid w:val="1A3D12AA"/>
    <w:rsid w:val="1A450640"/>
    <w:rsid w:val="1A530AF8"/>
    <w:rsid w:val="1A5E1863"/>
    <w:rsid w:val="1A622AE9"/>
    <w:rsid w:val="1A7B3BAB"/>
    <w:rsid w:val="1A7F369B"/>
    <w:rsid w:val="1A7F5449"/>
    <w:rsid w:val="1A815666"/>
    <w:rsid w:val="1A82318C"/>
    <w:rsid w:val="1A8354B6"/>
    <w:rsid w:val="1A937147"/>
    <w:rsid w:val="1A9A09EA"/>
    <w:rsid w:val="1AA41354"/>
    <w:rsid w:val="1AA50EEE"/>
    <w:rsid w:val="1AAB1E43"/>
    <w:rsid w:val="1AB83062"/>
    <w:rsid w:val="1AC27A2C"/>
    <w:rsid w:val="1AC75042"/>
    <w:rsid w:val="1ACB4B33"/>
    <w:rsid w:val="1ACB68E1"/>
    <w:rsid w:val="1AE55118"/>
    <w:rsid w:val="1AE96D67"/>
    <w:rsid w:val="1AEC7D11"/>
    <w:rsid w:val="1AED2CFB"/>
    <w:rsid w:val="1AF57E02"/>
    <w:rsid w:val="1AFA0F74"/>
    <w:rsid w:val="1AFD0A64"/>
    <w:rsid w:val="1B03218F"/>
    <w:rsid w:val="1B0818E3"/>
    <w:rsid w:val="1B0B13D3"/>
    <w:rsid w:val="1B0C1B5C"/>
    <w:rsid w:val="1B0F2763"/>
    <w:rsid w:val="1B200375"/>
    <w:rsid w:val="1B26620D"/>
    <w:rsid w:val="1B284CAF"/>
    <w:rsid w:val="1B28788F"/>
    <w:rsid w:val="1B34092A"/>
    <w:rsid w:val="1B391A9C"/>
    <w:rsid w:val="1B3A3A66"/>
    <w:rsid w:val="1B3B1CB8"/>
    <w:rsid w:val="1B44565F"/>
    <w:rsid w:val="1B460738"/>
    <w:rsid w:val="1B487BDF"/>
    <w:rsid w:val="1B4B3AAE"/>
    <w:rsid w:val="1B4E306E"/>
    <w:rsid w:val="1B532C99"/>
    <w:rsid w:val="1B535AAD"/>
    <w:rsid w:val="1B61466C"/>
    <w:rsid w:val="1B642891"/>
    <w:rsid w:val="1B6A61A2"/>
    <w:rsid w:val="1B7879AA"/>
    <w:rsid w:val="1B7900EB"/>
    <w:rsid w:val="1B7E0BC0"/>
    <w:rsid w:val="1B855EFD"/>
    <w:rsid w:val="1B87118E"/>
    <w:rsid w:val="1B8A679C"/>
    <w:rsid w:val="1B8A6930"/>
    <w:rsid w:val="1B8C6D94"/>
    <w:rsid w:val="1B8D413C"/>
    <w:rsid w:val="1B9E2247"/>
    <w:rsid w:val="1B9E607F"/>
    <w:rsid w:val="1BA3160C"/>
    <w:rsid w:val="1BA333BA"/>
    <w:rsid w:val="1BA535D6"/>
    <w:rsid w:val="1BB40118"/>
    <w:rsid w:val="1BBC26CD"/>
    <w:rsid w:val="1BC51582"/>
    <w:rsid w:val="1BC872C4"/>
    <w:rsid w:val="1BCF2401"/>
    <w:rsid w:val="1BE802F9"/>
    <w:rsid w:val="1BE90439"/>
    <w:rsid w:val="1BF9122C"/>
    <w:rsid w:val="1BF9747E"/>
    <w:rsid w:val="1BFF3FFC"/>
    <w:rsid w:val="1C026332"/>
    <w:rsid w:val="1C073948"/>
    <w:rsid w:val="1C0C027B"/>
    <w:rsid w:val="1C0F23B1"/>
    <w:rsid w:val="1C1B5646"/>
    <w:rsid w:val="1C275D99"/>
    <w:rsid w:val="1C2C33AF"/>
    <w:rsid w:val="1C35495A"/>
    <w:rsid w:val="1C382442"/>
    <w:rsid w:val="1C387FA6"/>
    <w:rsid w:val="1C3E1334"/>
    <w:rsid w:val="1C402578"/>
    <w:rsid w:val="1C42747C"/>
    <w:rsid w:val="1C473E9F"/>
    <w:rsid w:val="1C5A0F49"/>
    <w:rsid w:val="1C600B5E"/>
    <w:rsid w:val="1C672639"/>
    <w:rsid w:val="1C7002B8"/>
    <w:rsid w:val="1C70153A"/>
    <w:rsid w:val="1C7134B8"/>
    <w:rsid w:val="1C734C79"/>
    <w:rsid w:val="1C766D20"/>
    <w:rsid w:val="1C7869D6"/>
    <w:rsid w:val="1C8754E7"/>
    <w:rsid w:val="1C8C02F2"/>
    <w:rsid w:val="1C901B90"/>
    <w:rsid w:val="1C981059"/>
    <w:rsid w:val="1C984EE8"/>
    <w:rsid w:val="1C9A47BD"/>
    <w:rsid w:val="1C9D085E"/>
    <w:rsid w:val="1C9D605B"/>
    <w:rsid w:val="1C9F1DD3"/>
    <w:rsid w:val="1CA266AD"/>
    <w:rsid w:val="1CA90EA4"/>
    <w:rsid w:val="1CAE2016"/>
    <w:rsid w:val="1CB735C0"/>
    <w:rsid w:val="1CB975FE"/>
    <w:rsid w:val="1CC02E89"/>
    <w:rsid w:val="1CC74C88"/>
    <w:rsid w:val="1CCA129F"/>
    <w:rsid w:val="1CD001DE"/>
    <w:rsid w:val="1CD53A47"/>
    <w:rsid w:val="1CD6156D"/>
    <w:rsid w:val="1CD67DAB"/>
    <w:rsid w:val="1CDD604F"/>
    <w:rsid w:val="1CE444E1"/>
    <w:rsid w:val="1CE65C54"/>
    <w:rsid w:val="1CEC0AC3"/>
    <w:rsid w:val="1CF57C45"/>
    <w:rsid w:val="1CF85987"/>
    <w:rsid w:val="1CFF6D16"/>
    <w:rsid w:val="1D012A8E"/>
    <w:rsid w:val="1D0245C4"/>
    <w:rsid w:val="1D077978"/>
    <w:rsid w:val="1D1D719C"/>
    <w:rsid w:val="1D2422D8"/>
    <w:rsid w:val="1D2C66ED"/>
    <w:rsid w:val="1D2D11BD"/>
    <w:rsid w:val="1D2E13A9"/>
    <w:rsid w:val="1D35029E"/>
    <w:rsid w:val="1D3A0BF1"/>
    <w:rsid w:val="1D3C5874"/>
    <w:rsid w:val="1D4666F2"/>
    <w:rsid w:val="1D496AC7"/>
    <w:rsid w:val="1D66649D"/>
    <w:rsid w:val="1D6A0633"/>
    <w:rsid w:val="1D6B6BFB"/>
    <w:rsid w:val="1D74500E"/>
    <w:rsid w:val="1D750A90"/>
    <w:rsid w:val="1D7A7CFD"/>
    <w:rsid w:val="1D7C153E"/>
    <w:rsid w:val="1D8109A8"/>
    <w:rsid w:val="1D8316F5"/>
    <w:rsid w:val="1D8410A5"/>
    <w:rsid w:val="1D844C2F"/>
    <w:rsid w:val="1D84721B"/>
    <w:rsid w:val="1D864D41"/>
    <w:rsid w:val="1D886D0B"/>
    <w:rsid w:val="1D897121"/>
    <w:rsid w:val="1D976F4E"/>
    <w:rsid w:val="1D994A74"/>
    <w:rsid w:val="1D9E208B"/>
    <w:rsid w:val="1DB45AE2"/>
    <w:rsid w:val="1DD737EE"/>
    <w:rsid w:val="1DD753AF"/>
    <w:rsid w:val="1DDC2BB3"/>
    <w:rsid w:val="1DE23F8D"/>
    <w:rsid w:val="1DE35CF5"/>
    <w:rsid w:val="1DEC706D"/>
    <w:rsid w:val="1DEE6320"/>
    <w:rsid w:val="1DFA0484"/>
    <w:rsid w:val="1DFB74DD"/>
    <w:rsid w:val="1E055C9E"/>
    <w:rsid w:val="1E0A7720"/>
    <w:rsid w:val="1E0D0FF4"/>
    <w:rsid w:val="1E0F0A85"/>
    <w:rsid w:val="1E1C7453"/>
    <w:rsid w:val="1E1E766F"/>
    <w:rsid w:val="1E207B73"/>
    <w:rsid w:val="1E2D4F49"/>
    <w:rsid w:val="1E2F7187"/>
    <w:rsid w:val="1E334B2F"/>
    <w:rsid w:val="1E397B74"/>
    <w:rsid w:val="1E3D7AF5"/>
    <w:rsid w:val="1E42510C"/>
    <w:rsid w:val="1E470974"/>
    <w:rsid w:val="1E4862CB"/>
    <w:rsid w:val="1E562965"/>
    <w:rsid w:val="1E601A36"/>
    <w:rsid w:val="1E646060"/>
    <w:rsid w:val="1E6A74EE"/>
    <w:rsid w:val="1E6C3F37"/>
    <w:rsid w:val="1E6E72FA"/>
    <w:rsid w:val="1E82375A"/>
    <w:rsid w:val="1E895CEE"/>
    <w:rsid w:val="1E8C6387"/>
    <w:rsid w:val="1E8D072E"/>
    <w:rsid w:val="1E91399D"/>
    <w:rsid w:val="1E990AA4"/>
    <w:rsid w:val="1E9952FE"/>
    <w:rsid w:val="1E9A4F48"/>
    <w:rsid w:val="1EAA3478"/>
    <w:rsid w:val="1EB07A86"/>
    <w:rsid w:val="1EB2279E"/>
    <w:rsid w:val="1EB4768C"/>
    <w:rsid w:val="1EB74BD4"/>
    <w:rsid w:val="1EC13614"/>
    <w:rsid w:val="1EC43D73"/>
    <w:rsid w:val="1ECE699F"/>
    <w:rsid w:val="1ED14A90"/>
    <w:rsid w:val="1ED41526"/>
    <w:rsid w:val="1EFC175F"/>
    <w:rsid w:val="1F0136F8"/>
    <w:rsid w:val="1F01795F"/>
    <w:rsid w:val="1F1C1A13"/>
    <w:rsid w:val="1F1C595D"/>
    <w:rsid w:val="1F20717C"/>
    <w:rsid w:val="1F255754"/>
    <w:rsid w:val="1F274302"/>
    <w:rsid w:val="1F2D3DB4"/>
    <w:rsid w:val="1F3233D2"/>
    <w:rsid w:val="1F3C0C78"/>
    <w:rsid w:val="1F4A727D"/>
    <w:rsid w:val="1F6B2440"/>
    <w:rsid w:val="1F6B68E4"/>
    <w:rsid w:val="1F6F0AF9"/>
    <w:rsid w:val="1F7C63FB"/>
    <w:rsid w:val="1F804DC6"/>
    <w:rsid w:val="1F8A0112"/>
    <w:rsid w:val="1F8B7238"/>
    <w:rsid w:val="1F9562A9"/>
    <w:rsid w:val="1F985608"/>
    <w:rsid w:val="1FA12306"/>
    <w:rsid w:val="1FA13A24"/>
    <w:rsid w:val="1FA62BF3"/>
    <w:rsid w:val="1FB27DE5"/>
    <w:rsid w:val="1FB65DB1"/>
    <w:rsid w:val="1FB77434"/>
    <w:rsid w:val="1FB84B14"/>
    <w:rsid w:val="1FC02472"/>
    <w:rsid w:val="1FC2787D"/>
    <w:rsid w:val="1FCA360B"/>
    <w:rsid w:val="1FCC4AAA"/>
    <w:rsid w:val="1FCD71AC"/>
    <w:rsid w:val="1FEF3071"/>
    <w:rsid w:val="1FF266BE"/>
    <w:rsid w:val="1FFC7CC2"/>
    <w:rsid w:val="2000527E"/>
    <w:rsid w:val="20015A6D"/>
    <w:rsid w:val="200C3AA1"/>
    <w:rsid w:val="200D34F7"/>
    <w:rsid w:val="20140D2A"/>
    <w:rsid w:val="20166850"/>
    <w:rsid w:val="201D477E"/>
    <w:rsid w:val="2029533F"/>
    <w:rsid w:val="202A50E6"/>
    <w:rsid w:val="202A5E57"/>
    <w:rsid w:val="2031368A"/>
    <w:rsid w:val="20313E68"/>
    <w:rsid w:val="203E1903"/>
    <w:rsid w:val="20401B1F"/>
    <w:rsid w:val="20464691"/>
    <w:rsid w:val="204D5FEA"/>
    <w:rsid w:val="205253AE"/>
    <w:rsid w:val="20541126"/>
    <w:rsid w:val="20547378"/>
    <w:rsid w:val="205B4263"/>
    <w:rsid w:val="205B4D16"/>
    <w:rsid w:val="20654C19"/>
    <w:rsid w:val="206A26F8"/>
    <w:rsid w:val="206A30D6"/>
    <w:rsid w:val="206B546A"/>
    <w:rsid w:val="20713A86"/>
    <w:rsid w:val="207277FE"/>
    <w:rsid w:val="20782AFD"/>
    <w:rsid w:val="2079142E"/>
    <w:rsid w:val="207E61A3"/>
    <w:rsid w:val="20801F1B"/>
    <w:rsid w:val="208732AA"/>
    <w:rsid w:val="208927A0"/>
    <w:rsid w:val="20951ECE"/>
    <w:rsid w:val="20974516"/>
    <w:rsid w:val="20A96A99"/>
    <w:rsid w:val="20AC34E7"/>
    <w:rsid w:val="20AE211E"/>
    <w:rsid w:val="20AE4CDA"/>
    <w:rsid w:val="20B16F4C"/>
    <w:rsid w:val="20B5492D"/>
    <w:rsid w:val="20B83D70"/>
    <w:rsid w:val="20BE2C20"/>
    <w:rsid w:val="20C004F1"/>
    <w:rsid w:val="20C1210B"/>
    <w:rsid w:val="20C14C32"/>
    <w:rsid w:val="20C31E08"/>
    <w:rsid w:val="20C52024"/>
    <w:rsid w:val="20CB3924"/>
    <w:rsid w:val="20D858B3"/>
    <w:rsid w:val="20D90628"/>
    <w:rsid w:val="20DB2FF3"/>
    <w:rsid w:val="20E10703"/>
    <w:rsid w:val="20E24D63"/>
    <w:rsid w:val="20E60F42"/>
    <w:rsid w:val="20EF2BFD"/>
    <w:rsid w:val="20F31288"/>
    <w:rsid w:val="20F51872"/>
    <w:rsid w:val="20F6042F"/>
    <w:rsid w:val="20FF594C"/>
    <w:rsid w:val="21004E0A"/>
    <w:rsid w:val="21026DD4"/>
    <w:rsid w:val="21034850"/>
    <w:rsid w:val="210C37AF"/>
    <w:rsid w:val="2110329F"/>
    <w:rsid w:val="2119526B"/>
    <w:rsid w:val="21220D3E"/>
    <w:rsid w:val="212A1E36"/>
    <w:rsid w:val="21332739"/>
    <w:rsid w:val="21350F58"/>
    <w:rsid w:val="21364C79"/>
    <w:rsid w:val="21387E7B"/>
    <w:rsid w:val="21464F13"/>
    <w:rsid w:val="214A3DCF"/>
    <w:rsid w:val="21515666"/>
    <w:rsid w:val="21535882"/>
    <w:rsid w:val="215F4227"/>
    <w:rsid w:val="21611D4D"/>
    <w:rsid w:val="21751354"/>
    <w:rsid w:val="21752A69"/>
    <w:rsid w:val="217A0240"/>
    <w:rsid w:val="217C182D"/>
    <w:rsid w:val="218461CF"/>
    <w:rsid w:val="2190618E"/>
    <w:rsid w:val="21934186"/>
    <w:rsid w:val="21974C34"/>
    <w:rsid w:val="219C5412"/>
    <w:rsid w:val="21A954A2"/>
    <w:rsid w:val="21AB00E8"/>
    <w:rsid w:val="21AB205E"/>
    <w:rsid w:val="21B87493"/>
    <w:rsid w:val="21BC3427"/>
    <w:rsid w:val="21BF1049"/>
    <w:rsid w:val="21BF72A1"/>
    <w:rsid w:val="21C02800"/>
    <w:rsid w:val="21C3592D"/>
    <w:rsid w:val="21C55F53"/>
    <w:rsid w:val="21C739A4"/>
    <w:rsid w:val="21CB5418"/>
    <w:rsid w:val="21DB6E7F"/>
    <w:rsid w:val="21DC50B7"/>
    <w:rsid w:val="21E861CC"/>
    <w:rsid w:val="21FB01ED"/>
    <w:rsid w:val="21FC530F"/>
    <w:rsid w:val="22120EF4"/>
    <w:rsid w:val="222B78BA"/>
    <w:rsid w:val="223236E9"/>
    <w:rsid w:val="22356D36"/>
    <w:rsid w:val="224156DA"/>
    <w:rsid w:val="224A0A33"/>
    <w:rsid w:val="224D0EBF"/>
    <w:rsid w:val="224E6146"/>
    <w:rsid w:val="22563FE2"/>
    <w:rsid w:val="225818BF"/>
    <w:rsid w:val="225A2932"/>
    <w:rsid w:val="22600A35"/>
    <w:rsid w:val="22617B2B"/>
    <w:rsid w:val="226F6BC0"/>
    <w:rsid w:val="22851A6B"/>
    <w:rsid w:val="22863542"/>
    <w:rsid w:val="228A7081"/>
    <w:rsid w:val="2299772B"/>
    <w:rsid w:val="229A263B"/>
    <w:rsid w:val="22A339A3"/>
    <w:rsid w:val="22A60671"/>
    <w:rsid w:val="22A84E37"/>
    <w:rsid w:val="22AF6AE8"/>
    <w:rsid w:val="22B4304D"/>
    <w:rsid w:val="22BF5A51"/>
    <w:rsid w:val="22C7400A"/>
    <w:rsid w:val="22C95DFC"/>
    <w:rsid w:val="22CC769A"/>
    <w:rsid w:val="22D63E70"/>
    <w:rsid w:val="22D8603F"/>
    <w:rsid w:val="22E64C5B"/>
    <w:rsid w:val="22E90B51"/>
    <w:rsid w:val="22EF42C4"/>
    <w:rsid w:val="22F44F68"/>
    <w:rsid w:val="22F55755"/>
    <w:rsid w:val="22FB3ADB"/>
    <w:rsid w:val="230010F2"/>
    <w:rsid w:val="23021720"/>
    <w:rsid w:val="230D784D"/>
    <w:rsid w:val="231064EB"/>
    <w:rsid w:val="23130E25"/>
    <w:rsid w:val="231C6D05"/>
    <w:rsid w:val="231F3C6E"/>
    <w:rsid w:val="232272BA"/>
    <w:rsid w:val="232741BD"/>
    <w:rsid w:val="232B2612"/>
    <w:rsid w:val="233A2E59"/>
    <w:rsid w:val="233E0596"/>
    <w:rsid w:val="233F60BE"/>
    <w:rsid w:val="23403BE4"/>
    <w:rsid w:val="234447CD"/>
    <w:rsid w:val="234A68AA"/>
    <w:rsid w:val="2352623A"/>
    <w:rsid w:val="235949C4"/>
    <w:rsid w:val="23594B35"/>
    <w:rsid w:val="23655DFC"/>
    <w:rsid w:val="236E69A3"/>
    <w:rsid w:val="237240DB"/>
    <w:rsid w:val="237C2E6E"/>
    <w:rsid w:val="23812232"/>
    <w:rsid w:val="23815AAD"/>
    <w:rsid w:val="2382654D"/>
    <w:rsid w:val="23843AD1"/>
    <w:rsid w:val="238B509A"/>
    <w:rsid w:val="2398757C"/>
    <w:rsid w:val="23A81EB5"/>
    <w:rsid w:val="23A83C63"/>
    <w:rsid w:val="23B1063E"/>
    <w:rsid w:val="23B4085A"/>
    <w:rsid w:val="23BD591B"/>
    <w:rsid w:val="23C24F7E"/>
    <w:rsid w:val="23D20CE0"/>
    <w:rsid w:val="23DE58D7"/>
    <w:rsid w:val="23E71185"/>
    <w:rsid w:val="23E80503"/>
    <w:rsid w:val="23EA5690"/>
    <w:rsid w:val="23F437C8"/>
    <w:rsid w:val="24044C11"/>
    <w:rsid w:val="24064BC6"/>
    <w:rsid w:val="24092228"/>
    <w:rsid w:val="240E2941"/>
    <w:rsid w:val="24100D5B"/>
    <w:rsid w:val="241035B6"/>
    <w:rsid w:val="242332EA"/>
    <w:rsid w:val="24233AAA"/>
    <w:rsid w:val="2432352D"/>
    <w:rsid w:val="243E6375"/>
    <w:rsid w:val="243F4D56"/>
    <w:rsid w:val="24401886"/>
    <w:rsid w:val="244119C2"/>
    <w:rsid w:val="244157BB"/>
    <w:rsid w:val="244A6AC8"/>
    <w:rsid w:val="24537BF4"/>
    <w:rsid w:val="2455546D"/>
    <w:rsid w:val="24596D0B"/>
    <w:rsid w:val="245B76D1"/>
    <w:rsid w:val="24612064"/>
    <w:rsid w:val="24613E12"/>
    <w:rsid w:val="24621831"/>
    <w:rsid w:val="246A42CA"/>
    <w:rsid w:val="246D68B4"/>
    <w:rsid w:val="246D6C5B"/>
    <w:rsid w:val="247240E4"/>
    <w:rsid w:val="247F5D13"/>
    <w:rsid w:val="248A5117"/>
    <w:rsid w:val="24A106B2"/>
    <w:rsid w:val="24A20CE8"/>
    <w:rsid w:val="24A563F4"/>
    <w:rsid w:val="24AA2584"/>
    <w:rsid w:val="24AE2274"/>
    <w:rsid w:val="24B16B47"/>
    <w:rsid w:val="24BF7AF3"/>
    <w:rsid w:val="24C26FA6"/>
    <w:rsid w:val="24D2380E"/>
    <w:rsid w:val="24D54DB0"/>
    <w:rsid w:val="24DD44A9"/>
    <w:rsid w:val="24E0216B"/>
    <w:rsid w:val="24E46F1D"/>
    <w:rsid w:val="24E625D6"/>
    <w:rsid w:val="24E9072C"/>
    <w:rsid w:val="24EA2059"/>
    <w:rsid w:val="24EC5DD1"/>
    <w:rsid w:val="24F82B87"/>
    <w:rsid w:val="24FD7FDE"/>
    <w:rsid w:val="2503311B"/>
    <w:rsid w:val="25056E93"/>
    <w:rsid w:val="25072C0B"/>
    <w:rsid w:val="25105740"/>
    <w:rsid w:val="2514705E"/>
    <w:rsid w:val="2524556B"/>
    <w:rsid w:val="25407ECB"/>
    <w:rsid w:val="25441769"/>
    <w:rsid w:val="254A1B42"/>
    <w:rsid w:val="254C1482"/>
    <w:rsid w:val="25511EB6"/>
    <w:rsid w:val="25665B84"/>
    <w:rsid w:val="257F09F3"/>
    <w:rsid w:val="257F61AC"/>
    <w:rsid w:val="25922D54"/>
    <w:rsid w:val="2595516C"/>
    <w:rsid w:val="259879AE"/>
    <w:rsid w:val="25A272D2"/>
    <w:rsid w:val="25AA7CDE"/>
    <w:rsid w:val="25AE12D9"/>
    <w:rsid w:val="25B82C5F"/>
    <w:rsid w:val="25BD2CE7"/>
    <w:rsid w:val="25C05DF8"/>
    <w:rsid w:val="25C40AFC"/>
    <w:rsid w:val="25C66622"/>
    <w:rsid w:val="25C90E6F"/>
    <w:rsid w:val="25D27E7B"/>
    <w:rsid w:val="25D30D3F"/>
    <w:rsid w:val="25D80104"/>
    <w:rsid w:val="25E76599"/>
    <w:rsid w:val="25E777B3"/>
    <w:rsid w:val="25EF3DCB"/>
    <w:rsid w:val="25F86609"/>
    <w:rsid w:val="260809E9"/>
    <w:rsid w:val="261965FA"/>
    <w:rsid w:val="261A696E"/>
    <w:rsid w:val="261F5D33"/>
    <w:rsid w:val="26207390"/>
    <w:rsid w:val="26243349"/>
    <w:rsid w:val="2629095F"/>
    <w:rsid w:val="262D48F3"/>
    <w:rsid w:val="262F6807"/>
    <w:rsid w:val="263C3A44"/>
    <w:rsid w:val="26492DAF"/>
    <w:rsid w:val="264A1001"/>
    <w:rsid w:val="264B7529"/>
    <w:rsid w:val="264D6441"/>
    <w:rsid w:val="265754CC"/>
    <w:rsid w:val="265E685B"/>
    <w:rsid w:val="26700C16"/>
    <w:rsid w:val="267918E7"/>
    <w:rsid w:val="268A7650"/>
    <w:rsid w:val="268F4C66"/>
    <w:rsid w:val="2696419A"/>
    <w:rsid w:val="269815C4"/>
    <w:rsid w:val="269F173D"/>
    <w:rsid w:val="26A56238"/>
    <w:rsid w:val="26AD56A2"/>
    <w:rsid w:val="26BA730E"/>
    <w:rsid w:val="26BD14E9"/>
    <w:rsid w:val="26BE72FA"/>
    <w:rsid w:val="26DB434F"/>
    <w:rsid w:val="26E53F53"/>
    <w:rsid w:val="26E61628"/>
    <w:rsid w:val="26E825C8"/>
    <w:rsid w:val="26EB1117"/>
    <w:rsid w:val="26F3796C"/>
    <w:rsid w:val="26F70A5D"/>
    <w:rsid w:val="26F937E6"/>
    <w:rsid w:val="26FE1DEC"/>
    <w:rsid w:val="270651E8"/>
    <w:rsid w:val="270964D5"/>
    <w:rsid w:val="270B3433"/>
    <w:rsid w:val="27140311"/>
    <w:rsid w:val="27141BEE"/>
    <w:rsid w:val="27144105"/>
    <w:rsid w:val="271A6966"/>
    <w:rsid w:val="271B299E"/>
    <w:rsid w:val="27217726"/>
    <w:rsid w:val="272D1633"/>
    <w:rsid w:val="273E5664"/>
    <w:rsid w:val="274076DB"/>
    <w:rsid w:val="2749750B"/>
    <w:rsid w:val="274C0DA9"/>
    <w:rsid w:val="274D41DE"/>
    <w:rsid w:val="274F2171"/>
    <w:rsid w:val="27532138"/>
    <w:rsid w:val="27576182"/>
    <w:rsid w:val="275E0F3C"/>
    <w:rsid w:val="27644345"/>
    <w:rsid w:val="27656BD3"/>
    <w:rsid w:val="27693709"/>
    <w:rsid w:val="27693B39"/>
    <w:rsid w:val="27694F1D"/>
    <w:rsid w:val="276F7DBD"/>
    <w:rsid w:val="27724B77"/>
    <w:rsid w:val="27772CF5"/>
    <w:rsid w:val="27797DE0"/>
    <w:rsid w:val="277A238F"/>
    <w:rsid w:val="27836B4A"/>
    <w:rsid w:val="27870033"/>
    <w:rsid w:val="278D208C"/>
    <w:rsid w:val="27922E3B"/>
    <w:rsid w:val="279271FC"/>
    <w:rsid w:val="27956CD8"/>
    <w:rsid w:val="27965B8B"/>
    <w:rsid w:val="27983FEE"/>
    <w:rsid w:val="279D1605"/>
    <w:rsid w:val="279D33B3"/>
    <w:rsid w:val="279F712B"/>
    <w:rsid w:val="27AF5F7F"/>
    <w:rsid w:val="27C90259"/>
    <w:rsid w:val="27D33279"/>
    <w:rsid w:val="27D8263D"/>
    <w:rsid w:val="27DD7C53"/>
    <w:rsid w:val="27E923A6"/>
    <w:rsid w:val="27EA3E51"/>
    <w:rsid w:val="27F05935"/>
    <w:rsid w:val="27F51441"/>
    <w:rsid w:val="27F632DD"/>
    <w:rsid w:val="27FA0805"/>
    <w:rsid w:val="2801093C"/>
    <w:rsid w:val="280C265D"/>
    <w:rsid w:val="280F02B1"/>
    <w:rsid w:val="28186EDD"/>
    <w:rsid w:val="282657F7"/>
    <w:rsid w:val="28377363"/>
    <w:rsid w:val="283F5857"/>
    <w:rsid w:val="28514BDE"/>
    <w:rsid w:val="2858552C"/>
    <w:rsid w:val="2859377E"/>
    <w:rsid w:val="285C14C0"/>
    <w:rsid w:val="285C326E"/>
    <w:rsid w:val="285C7BC6"/>
    <w:rsid w:val="285D2B42"/>
    <w:rsid w:val="285F1B20"/>
    <w:rsid w:val="285F68BA"/>
    <w:rsid w:val="286E52A5"/>
    <w:rsid w:val="28710B0E"/>
    <w:rsid w:val="28732DD2"/>
    <w:rsid w:val="28754330"/>
    <w:rsid w:val="28795BCE"/>
    <w:rsid w:val="287B7B98"/>
    <w:rsid w:val="287C01BD"/>
    <w:rsid w:val="287C4933"/>
    <w:rsid w:val="287C56BE"/>
    <w:rsid w:val="287F59EE"/>
    <w:rsid w:val="28812CD5"/>
    <w:rsid w:val="288610ED"/>
    <w:rsid w:val="2887456A"/>
    <w:rsid w:val="28920A3E"/>
    <w:rsid w:val="28940C5A"/>
    <w:rsid w:val="28990AF5"/>
    <w:rsid w:val="28A349F9"/>
    <w:rsid w:val="28AC7146"/>
    <w:rsid w:val="28C30148"/>
    <w:rsid w:val="28C452EB"/>
    <w:rsid w:val="28CE5BC0"/>
    <w:rsid w:val="28D86C53"/>
    <w:rsid w:val="28D9041B"/>
    <w:rsid w:val="28E12EEC"/>
    <w:rsid w:val="28E219C5"/>
    <w:rsid w:val="28EB3D47"/>
    <w:rsid w:val="28F039B6"/>
    <w:rsid w:val="28F05B32"/>
    <w:rsid w:val="28F74D45"/>
    <w:rsid w:val="28FC2B68"/>
    <w:rsid w:val="29080D00"/>
    <w:rsid w:val="290B259E"/>
    <w:rsid w:val="290D27BA"/>
    <w:rsid w:val="290F42BC"/>
    <w:rsid w:val="291131F8"/>
    <w:rsid w:val="291204B3"/>
    <w:rsid w:val="29147CD7"/>
    <w:rsid w:val="29172B11"/>
    <w:rsid w:val="291853E7"/>
    <w:rsid w:val="29223179"/>
    <w:rsid w:val="292313E1"/>
    <w:rsid w:val="29237292"/>
    <w:rsid w:val="29256EDA"/>
    <w:rsid w:val="292F2731"/>
    <w:rsid w:val="29395AD1"/>
    <w:rsid w:val="29415547"/>
    <w:rsid w:val="294A768D"/>
    <w:rsid w:val="294B33A8"/>
    <w:rsid w:val="29523F82"/>
    <w:rsid w:val="29607ADA"/>
    <w:rsid w:val="29693E94"/>
    <w:rsid w:val="29712D49"/>
    <w:rsid w:val="29730EAB"/>
    <w:rsid w:val="297529B6"/>
    <w:rsid w:val="29780EC3"/>
    <w:rsid w:val="297F63E2"/>
    <w:rsid w:val="29811004"/>
    <w:rsid w:val="29824F56"/>
    <w:rsid w:val="29830E85"/>
    <w:rsid w:val="298B39A7"/>
    <w:rsid w:val="29997386"/>
    <w:rsid w:val="299D3B3E"/>
    <w:rsid w:val="29A9603F"/>
    <w:rsid w:val="29AA4023"/>
    <w:rsid w:val="29AB5C6C"/>
    <w:rsid w:val="29B029E9"/>
    <w:rsid w:val="29B10B3F"/>
    <w:rsid w:val="29B80978"/>
    <w:rsid w:val="29BA649E"/>
    <w:rsid w:val="29D506B9"/>
    <w:rsid w:val="29D532D8"/>
    <w:rsid w:val="29DB01C2"/>
    <w:rsid w:val="29DB4666"/>
    <w:rsid w:val="29DD218D"/>
    <w:rsid w:val="29DE55FF"/>
    <w:rsid w:val="29DF3D43"/>
    <w:rsid w:val="29EC23D0"/>
    <w:rsid w:val="29FF498C"/>
    <w:rsid w:val="2A00613A"/>
    <w:rsid w:val="2A0D0CC4"/>
    <w:rsid w:val="2A0F172D"/>
    <w:rsid w:val="2A1536D4"/>
    <w:rsid w:val="2A1A6F3D"/>
    <w:rsid w:val="2A241B69"/>
    <w:rsid w:val="2A2953D2"/>
    <w:rsid w:val="2A3B1864"/>
    <w:rsid w:val="2A3B4B7A"/>
    <w:rsid w:val="2A456589"/>
    <w:rsid w:val="2A461AE0"/>
    <w:rsid w:val="2A481CFC"/>
    <w:rsid w:val="2A4A6D03"/>
    <w:rsid w:val="2A5B4807"/>
    <w:rsid w:val="2A7C4806"/>
    <w:rsid w:val="2A7E5CC0"/>
    <w:rsid w:val="2A7F4FF2"/>
    <w:rsid w:val="2A837B23"/>
    <w:rsid w:val="2A845E7D"/>
    <w:rsid w:val="2A985DA7"/>
    <w:rsid w:val="2A9C5BA4"/>
    <w:rsid w:val="2AAB4039"/>
    <w:rsid w:val="2AB63109"/>
    <w:rsid w:val="2AB66F6B"/>
    <w:rsid w:val="2AB7478C"/>
    <w:rsid w:val="2ABB3459"/>
    <w:rsid w:val="2ABC7FF4"/>
    <w:rsid w:val="2ABF7AE4"/>
    <w:rsid w:val="2AC46B39"/>
    <w:rsid w:val="2AC5334C"/>
    <w:rsid w:val="2AC62C21"/>
    <w:rsid w:val="2AC944BF"/>
    <w:rsid w:val="2ADA3B97"/>
    <w:rsid w:val="2ADE0C2E"/>
    <w:rsid w:val="2AEF2177"/>
    <w:rsid w:val="2AF21C68"/>
    <w:rsid w:val="2AF33558"/>
    <w:rsid w:val="2AF51085"/>
    <w:rsid w:val="2AF754D0"/>
    <w:rsid w:val="2AFF1E1F"/>
    <w:rsid w:val="2B0717DF"/>
    <w:rsid w:val="2B0A5203"/>
    <w:rsid w:val="2B16314B"/>
    <w:rsid w:val="2B175A2B"/>
    <w:rsid w:val="2B1971F4"/>
    <w:rsid w:val="2B230073"/>
    <w:rsid w:val="2B287437"/>
    <w:rsid w:val="2B2A1401"/>
    <w:rsid w:val="2B4008AA"/>
    <w:rsid w:val="2B45623B"/>
    <w:rsid w:val="2B4D4A0F"/>
    <w:rsid w:val="2B4F3C9D"/>
    <w:rsid w:val="2B512E32"/>
    <w:rsid w:val="2B53670E"/>
    <w:rsid w:val="2B591CE7"/>
    <w:rsid w:val="2B613833"/>
    <w:rsid w:val="2B620B9B"/>
    <w:rsid w:val="2B622B1C"/>
    <w:rsid w:val="2B667F60"/>
    <w:rsid w:val="2B710DDE"/>
    <w:rsid w:val="2B77780F"/>
    <w:rsid w:val="2B7B1662"/>
    <w:rsid w:val="2B7E34FB"/>
    <w:rsid w:val="2B8054C5"/>
    <w:rsid w:val="2B8C17C6"/>
    <w:rsid w:val="2B911481"/>
    <w:rsid w:val="2B987B00"/>
    <w:rsid w:val="2BA024ED"/>
    <w:rsid w:val="2BAF4C77"/>
    <w:rsid w:val="2BB4516F"/>
    <w:rsid w:val="2BB92785"/>
    <w:rsid w:val="2BBD2055"/>
    <w:rsid w:val="2BC5737C"/>
    <w:rsid w:val="2BCC24B9"/>
    <w:rsid w:val="2BD001FB"/>
    <w:rsid w:val="2BDA2E28"/>
    <w:rsid w:val="2BE85785"/>
    <w:rsid w:val="2BEC66B7"/>
    <w:rsid w:val="2C09185D"/>
    <w:rsid w:val="2C0B7DF0"/>
    <w:rsid w:val="2C0E274C"/>
    <w:rsid w:val="2C1864B9"/>
    <w:rsid w:val="2C297C48"/>
    <w:rsid w:val="2C3042EA"/>
    <w:rsid w:val="2C45579E"/>
    <w:rsid w:val="2C464019"/>
    <w:rsid w:val="2C4B162F"/>
    <w:rsid w:val="2C5466FC"/>
    <w:rsid w:val="2C5801F0"/>
    <w:rsid w:val="2C597F25"/>
    <w:rsid w:val="2C5B3022"/>
    <w:rsid w:val="2C5C4E15"/>
    <w:rsid w:val="2C5C5FE3"/>
    <w:rsid w:val="2C680433"/>
    <w:rsid w:val="2C701096"/>
    <w:rsid w:val="2C714E0E"/>
    <w:rsid w:val="2C7F39CF"/>
    <w:rsid w:val="2C8B6E08"/>
    <w:rsid w:val="2CA376BD"/>
    <w:rsid w:val="2CA70830"/>
    <w:rsid w:val="2CB12100"/>
    <w:rsid w:val="2CBC6189"/>
    <w:rsid w:val="2CC64572"/>
    <w:rsid w:val="2CC66F08"/>
    <w:rsid w:val="2CD14882"/>
    <w:rsid w:val="2CE37ABA"/>
    <w:rsid w:val="2CE93835"/>
    <w:rsid w:val="2CED26E7"/>
    <w:rsid w:val="2CF05003"/>
    <w:rsid w:val="2CF3753A"/>
    <w:rsid w:val="2D045637"/>
    <w:rsid w:val="2D143511"/>
    <w:rsid w:val="2D1F5163"/>
    <w:rsid w:val="2D2760DA"/>
    <w:rsid w:val="2D320A41"/>
    <w:rsid w:val="2D3E73E6"/>
    <w:rsid w:val="2D41036A"/>
    <w:rsid w:val="2D4477EE"/>
    <w:rsid w:val="2D455343"/>
    <w:rsid w:val="2D482D83"/>
    <w:rsid w:val="2D4F19D0"/>
    <w:rsid w:val="2D566DA8"/>
    <w:rsid w:val="2D597D7C"/>
    <w:rsid w:val="2D7352E2"/>
    <w:rsid w:val="2D7746A6"/>
    <w:rsid w:val="2D7B000F"/>
    <w:rsid w:val="2D7D77CA"/>
    <w:rsid w:val="2D7E7EA2"/>
    <w:rsid w:val="2D806488"/>
    <w:rsid w:val="2D83129D"/>
    <w:rsid w:val="2DAE6D54"/>
    <w:rsid w:val="2DB11BBA"/>
    <w:rsid w:val="2DB906C1"/>
    <w:rsid w:val="2DB94CBF"/>
    <w:rsid w:val="2DC41DAC"/>
    <w:rsid w:val="2DC53269"/>
    <w:rsid w:val="2DC5361A"/>
    <w:rsid w:val="2DD108D9"/>
    <w:rsid w:val="2DD41AF8"/>
    <w:rsid w:val="2DD4300E"/>
    <w:rsid w:val="2DDF7346"/>
    <w:rsid w:val="2DE0049D"/>
    <w:rsid w:val="2DF91807"/>
    <w:rsid w:val="2DFD104F"/>
    <w:rsid w:val="2E024503"/>
    <w:rsid w:val="2E057F04"/>
    <w:rsid w:val="2E093550"/>
    <w:rsid w:val="2E097F8A"/>
    <w:rsid w:val="2E0A551A"/>
    <w:rsid w:val="2E175D83"/>
    <w:rsid w:val="2E1819E5"/>
    <w:rsid w:val="2E214A56"/>
    <w:rsid w:val="2E3014D6"/>
    <w:rsid w:val="2E373AE6"/>
    <w:rsid w:val="2E3747BF"/>
    <w:rsid w:val="2E3D636F"/>
    <w:rsid w:val="2E413F38"/>
    <w:rsid w:val="2E5642BC"/>
    <w:rsid w:val="2E5B7B24"/>
    <w:rsid w:val="2E652751"/>
    <w:rsid w:val="2E666BF4"/>
    <w:rsid w:val="2E666CF2"/>
    <w:rsid w:val="2E74441E"/>
    <w:rsid w:val="2E7B2A71"/>
    <w:rsid w:val="2E7D0881"/>
    <w:rsid w:val="2E823302"/>
    <w:rsid w:val="2E876B6B"/>
    <w:rsid w:val="2EA161B8"/>
    <w:rsid w:val="2EA2662E"/>
    <w:rsid w:val="2EAE7056"/>
    <w:rsid w:val="2EB931C8"/>
    <w:rsid w:val="2EBF00B3"/>
    <w:rsid w:val="2EBF6A4D"/>
    <w:rsid w:val="2EC14611"/>
    <w:rsid w:val="2EC61441"/>
    <w:rsid w:val="2EC93613"/>
    <w:rsid w:val="2ECA6749"/>
    <w:rsid w:val="2ED469B6"/>
    <w:rsid w:val="2ED81ADC"/>
    <w:rsid w:val="2EE47B19"/>
    <w:rsid w:val="2EE852E1"/>
    <w:rsid w:val="2EED4AA2"/>
    <w:rsid w:val="2EFC4E63"/>
    <w:rsid w:val="2EFD54E9"/>
    <w:rsid w:val="2F01649B"/>
    <w:rsid w:val="2F1403FE"/>
    <w:rsid w:val="2F152242"/>
    <w:rsid w:val="2F154177"/>
    <w:rsid w:val="2F1D7684"/>
    <w:rsid w:val="2F1F4CE5"/>
    <w:rsid w:val="2F1F63D3"/>
    <w:rsid w:val="2F215A85"/>
    <w:rsid w:val="2F285C58"/>
    <w:rsid w:val="2F2919D0"/>
    <w:rsid w:val="2F34294E"/>
    <w:rsid w:val="2F3565C7"/>
    <w:rsid w:val="2F3D07E8"/>
    <w:rsid w:val="2F3D0E38"/>
    <w:rsid w:val="2F4131BE"/>
    <w:rsid w:val="2F566C69"/>
    <w:rsid w:val="2F58148F"/>
    <w:rsid w:val="2F5B602D"/>
    <w:rsid w:val="2F6173BC"/>
    <w:rsid w:val="2F642A08"/>
    <w:rsid w:val="2F6442A6"/>
    <w:rsid w:val="2F65220E"/>
    <w:rsid w:val="2F68699C"/>
    <w:rsid w:val="2F6A2714"/>
    <w:rsid w:val="2F6F45FC"/>
    <w:rsid w:val="2F792957"/>
    <w:rsid w:val="2F7964B4"/>
    <w:rsid w:val="2F854E58"/>
    <w:rsid w:val="2F860BD0"/>
    <w:rsid w:val="2F9F4A06"/>
    <w:rsid w:val="2FA0007A"/>
    <w:rsid w:val="2FA15CAB"/>
    <w:rsid w:val="2FA36539"/>
    <w:rsid w:val="2FB715F3"/>
    <w:rsid w:val="2FB9471D"/>
    <w:rsid w:val="2FC16D53"/>
    <w:rsid w:val="2FC57B6E"/>
    <w:rsid w:val="2FD30FB9"/>
    <w:rsid w:val="2FDE27BA"/>
    <w:rsid w:val="2FE25779"/>
    <w:rsid w:val="2FED78BE"/>
    <w:rsid w:val="2FF535C3"/>
    <w:rsid w:val="2FFB4856"/>
    <w:rsid w:val="30030473"/>
    <w:rsid w:val="300541EB"/>
    <w:rsid w:val="300E2CF5"/>
    <w:rsid w:val="30122CCE"/>
    <w:rsid w:val="301508B6"/>
    <w:rsid w:val="301D33E3"/>
    <w:rsid w:val="30204B81"/>
    <w:rsid w:val="302132D1"/>
    <w:rsid w:val="30300320"/>
    <w:rsid w:val="3038636F"/>
    <w:rsid w:val="304940D8"/>
    <w:rsid w:val="3050788F"/>
    <w:rsid w:val="30542A7D"/>
    <w:rsid w:val="305667F5"/>
    <w:rsid w:val="305D0430"/>
    <w:rsid w:val="305E4CC4"/>
    <w:rsid w:val="305F3029"/>
    <w:rsid w:val="30696528"/>
    <w:rsid w:val="307B15A7"/>
    <w:rsid w:val="307C26FF"/>
    <w:rsid w:val="307D6477"/>
    <w:rsid w:val="30847A39"/>
    <w:rsid w:val="308C66BA"/>
    <w:rsid w:val="308D1A99"/>
    <w:rsid w:val="308E5F8F"/>
    <w:rsid w:val="30A34066"/>
    <w:rsid w:val="30AE52FE"/>
    <w:rsid w:val="30C85B92"/>
    <w:rsid w:val="30CE5DA2"/>
    <w:rsid w:val="30D2231F"/>
    <w:rsid w:val="30DF47AA"/>
    <w:rsid w:val="30E67B79"/>
    <w:rsid w:val="30FC114A"/>
    <w:rsid w:val="31055EAD"/>
    <w:rsid w:val="31091D0B"/>
    <w:rsid w:val="311A734D"/>
    <w:rsid w:val="31216E03"/>
    <w:rsid w:val="31244B7C"/>
    <w:rsid w:val="31264419"/>
    <w:rsid w:val="31293F09"/>
    <w:rsid w:val="312A215B"/>
    <w:rsid w:val="313528AE"/>
    <w:rsid w:val="313E79B5"/>
    <w:rsid w:val="31402388"/>
    <w:rsid w:val="31436D79"/>
    <w:rsid w:val="31496359"/>
    <w:rsid w:val="314D7BF8"/>
    <w:rsid w:val="315009A2"/>
    <w:rsid w:val="3157644A"/>
    <w:rsid w:val="31592A40"/>
    <w:rsid w:val="315947EF"/>
    <w:rsid w:val="315F792B"/>
    <w:rsid w:val="31605B7D"/>
    <w:rsid w:val="3166494C"/>
    <w:rsid w:val="316B2774"/>
    <w:rsid w:val="31703B9E"/>
    <w:rsid w:val="31744DC4"/>
    <w:rsid w:val="31750EFD"/>
    <w:rsid w:val="31774C75"/>
    <w:rsid w:val="3183186B"/>
    <w:rsid w:val="318B24CE"/>
    <w:rsid w:val="3192385D"/>
    <w:rsid w:val="31984B67"/>
    <w:rsid w:val="319C46DB"/>
    <w:rsid w:val="31A517E2"/>
    <w:rsid w:val="31AA0972"/>
    <w:rsid w:val="31AA504A"/>
    <w:rsid w:val="31B1462B"/>
    <w:rsid w:val="31B47C77"/>
    <w:rsid w:val="31B9703B"/>
    <w:rsid w:val="31BC3137"/>
    <w:rsid w:val="31BF0C8F"/>
    <w:rsid w:val="31BF543B"/>
    <w:rsid w:val="31C0661C"/>
    <w:rsid w:val="31D16A7B"/>
    <w:rsid w:val="31D803A4"/>
    <w:rsid w:val="31E367AE"/>
    <w:rsid w:val="31EE4BAA"/>
    <w:rsid w:val="31F5436E"/>
    <w:rsid w:val="320107D3"/>
    <w:rsid w:val="32017CE3"/>
    <w:rsid w:val="32047242"/>
    <w:rsid w:val="32090D5E"/>
    <w:rsid w:val="320E1310"/>
    <w:rsid w:val="322272D6"/>
    <w:rsid w:val="32243194"/>
    <w:rsid w:val="3227669B"/>
    <w:rsid w:val="32293461"/>
    <w:rsid w:val="323668DE"/>
    <w:rsid w:val="3239017C"/>
    <w:rsid w:val="323E38D2"/>
    <w:rsid w:val="32470AEB"/>
    <w:rsid w:val="324C4353"/>
    <w:rsid w:val="324E00CB"/>
    <w:rsid w:val="32562ADC"/>
    <w:rsid w:val="3263631F"/>
    <w:rsid w:val="32650F71"/>
    <w:rsid w:val="326E7E26"/>
    <w:rsid w:val="32700E61"/>
    <w:rsid w:val="32717916"/>
    <w:rsid w:val="327242F9"/>
    <w:rsid w:val="32747406"/>
    <w:rsid w:val="32751552"/>
    <w:rsid w:val="32911D66"/>
    <w:rsid w:val="329449DE"/>
    <w:rsid w:val="32952EAB"/>
    <w:rsid w:val="32957AA8"/>
    <w:rsid w:val="329E2C95"/>
    <w:rsid w:val="329F394D"/>
    <w:rsid w:val="329F5FB7"/>
    <w:rsid w:val="32A0644D"/>
    <w:rsid w:val="32A355BC"/>
    <w:rsid w:val="32A93554"/>
    <w:rsid w:val="32A95302"/>
    <w:rsid w:val="32AE0B6A"/>
    <w:rsid w:val="32BA750F"/>
    <w:rsid w:val="32C00D78"/>
    <w:rsid w:val="32C4213C"/>
    <w:rsid w:val="32D11EE7"/>
    <w:rsid w:val="32D53264"/>
    <w:rsid w:val="32D54349"/>
    <w:rsid w:val="32D61E6F"/>
    <w:rsid w:val="32F742BF"/>
    <w:rsid w:val="33064502"/>
    <w:rsid w:val="330F1D33"/>
    <w:rsid w:val="330F350A"/>
    <w:rsid w:val="331522BA"/>
    <w:rsid w:val="331A1D5C"/>
    <w:rsid w:val="3321758E"/>
    <w:rsid w:val="33222A9A"/>
    <w:rsid w:val="332570B0"/>
    <w:rsid w:val="3328091C"/>
    <w:rsid w:val="332D1CBE"/>
    <w:rsid w:val="332E1CAB"/>
    <w:rsid w:val="33311883"/>
    <w:rsid w:val="3333106F"/>
    <w:rsid w:val="333332E1"/>
    <w:rsid w:val="33347687"/>
    <w:rsid w:val="33354DE7"/>
    <w:rsid w:val="33386686"/>
    <w:rsid w:val="333E48AD"/>
    <w:rsid w:val="33435D00"/>
    <w:rsid w:val="33480719"/>
    <w:rsid w:val="335A65FC"/>
    <w:rsid w:val="335C05C6"/>
    <w:rsid w:val="336B7E4A"/>
    <w:rsid w:val="336F38F7"/>
    <w:rsid w:val="3370375F"/>
    <w:rsid w:val="337E053C"/>
    <w:rsid w:val="33823315"/>
    <w:rsid w:val="338673F1"/>
    <w:rsid w:val="3393648E"/>
    <w:rsid w:val="339A10EE"/>
    <w:rsid w:val="339C412A"/>
    <w:rsid w:val="339D5261"/>
    <w:rsid w:val="33A24189"/>
    <w:rsid w:val="33B0446E"/>
    <w:rsid w:val="33B062B8"/>
    <w:rsid w:val="33B213D9"/>
    <w:rsid w:val="33B444E3"/>
    <w:rsid w:val="33C82790"/>
    <w:rsid w:val="33CB1E46"/>
    <w:rsid w:val="33CC47F2"/>
    <w:rsid w:val="33D33385"/>
    <w:rsid w:val="33DC5263"/>
    <w:rsid w:val="33E12879"/>
    <w:rsid w:val="33E365F1"/>
    <w:rsid w:val="33F26834"/>
    <w:rsid w:val="340F5638"/>
    <w:rsid w:val="341A704C"/>
    <w:rsid w:val="341C0ACF"/>
    <w:rsid w:val="341E3ACD"/>
    <w:rsid w:val="3422536C"/>
    <w:rsid w:val="342E2692"/>
    <w:rsid w:val="343243ED"/>
    <w:rsid w:val="343432F1"/>
    <w:rsid w:val="343469C4"/>
    <w:rsid w:val="343D03F7"/>
    <w:rsid w:val="344057F2"/>
    <w:rsid w:val="344165C4"/>
    <w:rsid w:val="344D6D76"/>
    <w:rsid w:val="344D7F0F"/>
    <w:rsid w:val="346239BA"/>
    <w:rsid w:val="34624864"/>
    <w:rsid w:val="346A6D13"/>
    <w:rsid w:val="34790D04"/>
    <w:rsid w:val="34802092"/>
    <w:rsid w:val="348801BE"/>
    <w:rsid w:val="34897199"/>
    <w:rsid w:val="34930017"/>
    <w:rsid w:val="34937C60"/>
    <w:rsid w:val="34943D90"/>
    <w:rsid w:val="34955EDA"/>
    <w:rsid w:val="349A334C"/>
    <w:rsid w:val="349B511E"/>
    <w:rsid w:val="349D0E96"/>
    <w:rsid w:val="34B00BC9"/>
    <w:rsid w:val="34BA37F6"/>
    <w:rsid w:val="34CA78C0"/>
    <w:rsid w:val="34D0301A"/>
    <w:rsid w:val="34D50630"/>
    <w:rsid w:val="34D643A8"/>
    <w:rsid w:val="34E062AB"/>
    <w:rsid w:val="34E24AFB"/>
    <w:rsid w:val="34E97C37"/>
    <w:rsid w:val="34F463A2"/>
    <w:rsid w:val="34FD397E"/>
    <w:rsid w:val="350155EE"/>
    <w:rsid w:val="35066C35"/>
    <w:rsid w:val="35175DFE"/>
    <w:rsid w:val="35224584"/>
    <w:rsid w:val="35270097"/>
    <w:rsid w:val="35284C04"/>
    <w:rsid w:val="352E7D40"/>
    <w:rsid w:val="353C420B"/>
    <w:rsid w:val="35411821"/>
    <w:rsid w:val="354A0A0E"/>
    <w:rsid w:val="354D466A"/>
    <w:rsid w:val="35586223"/>
    <w:rsid w:val="355C343D"/>
    <w:rsid w:val="356D6ABA"/>
    <w:rsid w:val="356E2833"/>
    <w:rsid w:val="35830C72"/>
    <w:rsid w:val="35832DF3"/>
    <w:rsid w:val="35843E04"/>
    <w:rsid w:val="35867B7C"/>
    <w:rsid w:val="358D6981"/>
    <w:rsid w:val="359140AD"/>
    <w:rsid w:val="3592207D"/>
    <w:rsid w:val="35A418C4"/>
    <w:rsid w:val="35AE2C2F"/>
    <w:rsid w:val="35AF70D3"/>
    <w:rsid w:val="35B34B48"/>
    <w:rsid w:val="35B446E9"/>
    <w:rsid w:val="35C04C98"/>
    <w:rsid w:val="35D86C1A"/>
    <w:rsid w:val="35E10D4E"/>
    <w:rsid w:val="35ED30EC"/>
    <w:rsid w:val="35F25212"/>
    <w:rsid w:val="35F40911"/>
    <w:rsid w:val="35FA5E74"/>
    <w:rsid w:val="36015455"/>
    <w:rsid w:val="36017203"/>
    <w:rsid w:val="360D1791"/>
    <w:rsid w:val="360D204B"/>
    <w:rsid w:val="360D425A"/>
    <w:rsid w:val="3614778B"/>
    <w:rsid w:val="36160F00"/>
    <w:rsid w:val="361E6007"/>
    <w:rsid w:val="36253B84"/>
    <w:rsid w:val="36257395"/>
    <w:rsid w:val="362A49AB"/>
    <w:rsid w:val="362E4D60"/>
    <w:rsid w:val="36315D3A"/>
    <w:rsid w:val="36321AB2"/>
    <w:rsid w:val="363C3B87"/>
    <w:rsid w:val="363F240E"/>
    <w:rsid w:val="36401A4A"/>
    <w:rsid w:val="36513CE6"/>
    <w:rsid w:val="36556CDD"/>
    <w:rsid w:val="36645DCC"/>
    <w:rsid w:val="366652B8"/>
    <w:rsid w:val="367125DA"/>
    <w:rsid w:val="36767721"/>
    <w:rsid w:val="36767BF1"/>
    <w:rsid w:val="368447D1"/>
    <w:rsid w:val="368920CF"/>
    <w:rsid w:val="369313B0"/>
    <w:rsid w:val="36A93B22"/>
    <w:rsid w:val="36AC716F"/>
    <w:rsid w:val="36AE1139"/>
    <w:rsid w:val="36AE738B"/>
    <w:rsid w:val="36AF4EB1"/>
    <w:rsid w:val="36B44275"/>
    <w:rsid w:val="36B97ADD"/>
    <w:rsid w:val="36C73FA8"/>
    <w:rsid w:val="36CC3F1F"/>
    <w:rsid w:val="36D36DF1"/>
    <w:rsid w:val="36D92E29"/>
    <w:rsid w:val="36DC66B2"/>
    <w:rsid w:val="36DF5796"/>
    <w:rsid w:val="36F079A3"/>
    <w:rsid w:val="36F51074"/>
    <w:rsid w:val="36FA437E"/>
    <w:rsid w:val="36FE5573"/>
    <w:rsid w:val="372238D5"/>
    <w:rsid w:val="3724764D"/>
    <w:rsid w:val="372A7F32"/>
    <w:rsid w:val="372F1B4E"/>
    <w:rsid w:val="373E065A"/>
    <w:rsid w:val="374E277E"/>
    <w:rsid w:val="3756526F"/>
    <w:rsid w:val="375810A4"/>
    <w:rsid w:val="375A5436"/>
    <w:rsid w:val="375E0F6A"/>
    <w:rsid w:val="37627328"/>
    <w:rsid w:val="376B527C"/>
    <w:rsid w:val="376D2DA2"/>
    <w:rsid w:val="37774F80"/>
    <w:rsid w:val="37797999"/>
    <w:rsid w:val="377F3E14"/>
    <w:rsid w:val="378B3228"/>
    <w:rsid w:val="379426EC"/>
    <w:rsid w:val="379F6CD3"/>
    <w:rsid w:val="37A676C7"/>
    <w:rsid w:val="37A95DA4"/>
    <w:rsid w:val="37B45894"/>
    <w:rsid w:val="37B54749"/>
    <w:rsid w:val="37C53281"/>
    <w:rsid w:val="37CA21FC"/>
    <w:rsid w:val="37D078F7"/>
    <w:rsid w:val="37E1553E"/>
    <w:rsid w:val="37E34E12"/>
    <w:rsid w:val="37EF6A22"/>
    <w:rsid w:val="37F039D3"/>
    <w:rsid w:val="37F76452"/>
    <w:rsid w:val="37F76B0F"/>
    <w:rsid w:val="37FC5ED4"/>
    <w:rsid w:val="38013533"/>
    <w:rsid w:val="38033706"/>
    <w:rsid w:val="380354B4"/>
    <w:rsid w:val="38042FDA"/>
    <w:rsid w:val="38091915"/>
    <w:rsid w:val="380D6333"/>
    <w:rsid w:val="380E52E1"/>
    <w:rsid w:val="3814014A"/>
    <w:rsid w:val="38196A86"/>
    <w:rsid w:val="381F0D0F"/>
    <w:rsid w:val="38305B7D"/>
    <w:rsid w:val="383C0BAF"/>
    <w:rsid w:val="38402264"/>
    <w:rsid w:val="38653A79"/>
    <w:rsid w:val="38660EF8"/>
    <w:rsid w:val="386817BB"/>
    <w:rsid w:val="386C1BC7"/>
    <w:rsid w:val="3870241E"/>
    <w:rsid w:val="38735C94"/>
    <w:rsid w:val="387437CA"/>
    <w:rsid w:val="387F20BB"/>
    <w:rsid w:val="38846074"/>
    <w:rsid w:val="38883C0B"/>
    <w:rsid w:val="388C5876"/>
    <w:rsid w:val="389035A6"/>
    <w:rsid w:val="389D1465"/>
    <w:rsid w:val="38A345A1"/>
    <w:rsid w:val="38A54269"/>
    <w:rsid w:val="38AF2F46"/>
    <w:rsid w:val="38BA34C1"/>
    <w:rsid w:val="38BE762D"/>
    <w:rsid w:val="38BF32F0"/>
    <w:rsid w:val="38C05153"/>
    <w:rsid w:val="38C5276A"/>
    <w:rsid w:val="38C84008"/>
    <w:rsid w:val="38CE707C"/>
    <w:rsid w:val="38D0176E"/>
    <w:rsid w:val="38DA69E4"/>
    <w:rsid w:val="38E766C8"/>
    <w:rsid w:val="38ED4DE0"/>
    <w:rsid w:val="38EE7F12"/>
    <w:rsid w:val="38F60B75"/>
    <w:rsid w:val="38F66192"/>
    <w:rsid w:val="38F80D91"/>
    <w:rsid w:val="38FB4AF5"/>
    <w:rsid w:val="39094D4C"/>
    <w:rsid w:val="39096AFA"/>
    <w:rsid w:val="390A460D"/>
    <w:rsid w:val="390F665A"/>
    <w:rsid w:val="39104B12"/>
    <w:rsid w:val="3914724D"/>
    <w:rsid w:val="39175051"/>
    <w:rsid w:val="391F1DEA"/>
    <w:rsid w:val="39202096"/>
    <w:rsid w:val="39253208"/>
    <w:rsid w:val="39273424"/>
    <w:rsid w:val="39290401"/>
    <w:rsid w:val="393128FC"/>
    <w:rsid w:val="39347724"/>
    <w:rsid w:val="39371423"/>
    <w:rsid w:val="393D0552"/>
    <w:rsid w:val="394B7113"/>
    <w:rsid w:val="39517FD6"/>
    <w:rsid w:val="395858F1"/>
    <w:rsid w:val="396C0E37"/>
    <w:rsid w:val="39736669"/>
    <w:rsid w:val="39822409"/>
    <w:rsid w:val="399B34CA"/>
    <w:rsid w:val="399D5494"/>
    <w:rsid w:val="399F1857"/>
    <w:rsid w:val="399F2FBB"/>
    <w:rsid w:val="39A93E39"/>
    <w:rsid w:val="39B0341A"/>
    <w:rsid w:val="39C10DEA"/>
    <w:rsid w:val="39C12F31"/>
    <w:rsid w:val="39C16CB7"/>
    <w:rsid w:val="39C328D0"/>
    <w:rsid w:val="39D215E2"/>
    <w:rsid w:val="39E11825"/>
    <w:rsid w:val="39E52F7A"/>
    <w:rsid w:val="39E743E6"/>
    <w:rsid w:val="39E9692C"/>
    <w:rsid w:val="39ED01CA"/>
    <w:rsid w:val="39ED0E67"/>
    <w:rsid w:val="39F51FB5"/>
    <w:rsid w:val="39F64605"/>
    <w:rsid w:val="39FD5F33"/>
    <w:rsid w:val="3A015A23"/>
    <w:rsid w:val="3A145757"/>
    <w:rsid w:val="3A176FF5"/>
    <w:rsid w:val="3A1A0893"/>
    <w:rsid w:val="3A1B760C"/>
    <w:rsid w:val="3A1D3EBE"/>
    <w:rsid w:val="3A287CE7"/>
    <w:rsid w:val="3A331955"/>
    <w:rsid w:val="3A3E4582"/>
    <w:rsid w:val="3A3F4401"/>
    <w:rsid w:val="3A426D04"/>
    <w:rsid w:val="3A437DEA"/>
    <w:rsid w:val="3A5244D1"/>
    <w:rsid w:val="3A5913BB"/>
    <w:rsid w:val="3A6D62B1"/>
    <w:rsid w:val="3A726421"/>
    <w:rsid w:val="3A74136D"/>
    <w:rsid w:val="3A7C748B"/>
    <w:rsid w:val="3A7D171B"/>
    <w:rsid w:val="3A881CA1"/>
    <w:rsid w:val="3A8A5D21"/>
    <w:rsid w:val="3A8D5509"/>
    <w:rsid w:val="3A960861"/>
    <w:rsid w:val="3A983753"/>
    <w:rsid w:val="3A992100"/>
    <w:rsid w:val="3A9E7716"/>
    <w:rsid w:val="3AA54601"/>
    <w:rsid w:val="3AAC2A57"/>
    <w:rsid w:val="3AAF38E7"/>
    <w:rsid w:val="3AB15AD2"/>
    <w:rsid w:val="3AB605BC"/>
    <w:rsid w:val="3ABE3914"/>
    <w:rsid w:val="3AC0768C"/>
    <w:rsid w:val="3AC14026"/>
    <w:rsid w:val="3AC151B3"/>
    <w:rsid w:val="3ACD10F0"/>
    <w:rsid w:val="3AD36319"/>
    <w:rsid w:val="3AD94F10"/>
    <w:rsid w:val="3AD969A0"/>
    <w:rsid w:val="3ADB1608"/>
    <w:rsid w:val="3ADC3D9A"/>
    <w:rsid w:val="3AEC222F"/>
    <w:rsid w:val="3AF0613B"/>
    <w:rsid w:val="3B005CDB"/>
    <w:rsid w:val="3B014BDD"/>
    <w:rsid w:val="3B0925AD"/>
    <w:rsid w:val="3B0F1778"/>
    <w:rsid w:val="3B131EB2"/>
    <w:rsid w:val="3B1672AC"/>
    <w:rsid w:val="3B196D9D"/>
    <w:rsid w:val="3B1D4ADF"/>
    <w:rsid w:val="3B20637D"/>
    <w:rsid w:val="3B216441"/>
    <w:rsid w:val="3B2C087E"/>
    <w:rsid w:val="3B307F9B"/>
    <w:rsid w:val="3B3B1402"/>
    <w:rsid w:val="3B3B3EAA"/>
    <w:rsid w:val="3B3F4A55"/>
    <w:rsid w:val="3B437B88"/>
    <w:rsid w:val="3B46796D"/>
    <w:rsid w:val="3B4D7BE0"/>
    <w:rsid w:val="3B4E14F1"/>
    <w:rsid w:val="3B503883"/>
    <w:rsid w:val="3B5129DA"/>
    <w:rsid w:val="3B615C43"/>
    <w:rsid w:val="3B6444BC"/>
    <w:rsid w:val="3B691AD2"/>
    <w:rsid w:val="3B6B3A9C"/>
    <w:rsid w:val="3B7172BA"/>
    <w:rsid w:val="3B7C6EA7"/>
    <w:rsid w:val="3B863350"/>
    <w:rsid w:val="3B866206"/>
    <w:rsid w:val="3B8909D3"/>
    <w:rsid w:val="3B892174"/>
    <w:rsid w:val="3B9D79CE"/>
    <w:rsid w:val="3BA0301A"/>
    <w:rsid w:val="3BA15D36"/>
    <w:rsid w:val="3BA62195"/>
    <w:rsid w:val="3BB54D17"/>
    <w:rsid w:val="3BBA36FA"/>
    <w:rsid w:val="3BBD597A"/>
    <w:rsid w:val="3BCA6C26"/>
    <w:rsid w:val="3BCC3E0F"/>
    <w:rsid w:val="3BD03E27"/>
    <w:rsid w:val="3BD30538"/>
    <w:rsid w:val="3BD749B5"/>
    <w:rsid w:val="3BE50E37"/>
    <w:rsid w:val="3BED1476"/>
    <w:rsid w:val="3BF45F34"/>
    <w:rsid w:val="3BFB40D3"/>
    <w:rsid w:val="3BFB42C7"/>
    <w:rsid w:val="3BFC2946"/>
    <w:rsid w:val="3C012E3F"/>
    <w:rsid w:val="3C0346C4"/>
    <w:rsid w:val="3C096E11"/>
    <w:rsid w:val="3C1351AF"/>
    <w:rsid w:val="3C1A101E"/>
    <w:rsid w:val="3C1A7270"/>
    <w:rsid w:val="3C202D31"/>
    <w:rsid w:val="3C261162"/>
    <w:rsid w:val="3C2D6E50"/>
    <w:rsid w:val="3C2F2A38"/>
    <w:rsid w:val="3C3079FF"/>
    <w:rsid w:val="3C37572C"/>
    <w:rsid w:val="3C3F0A85"/>
    <w:rsid w:val="3C3F2833"/>
    <w:rsid w:val="3C414954"/>
    <w:rsid w:val="3C4427C8"/>
    <w:rsid w:val="3C463BC1"/>
    <w:rsid w:val="3C4F7A3D"/>
    <w:rsid w:val="3C513234"/>
    <w:rsid w:val="3C6504EB"/>
    <w:rsid w:val="3C7C5134"/>
    <w:rsid w:val="3C7E77FF"/>
    <w:rsid w:val="3C7F6E5C"/>
    <w:rsid w:val="3C8D17F0"/>
    <w:rsid w:val="3C8D7E78"/>
    <w:rsid w:val="3C905FB9"/>
    <w:rsid w:val="3C9938BC"/>
    <w:rsid w:val="3CA134EE"/>
    <w:rsid w:val="3CA671C4"/>
    <w:rsid w:val="3CAA46F7"/>
    <w:rsid w:val="3CAE67A3"/>
    <w:rsid w:val="3CB00D50"/>
    <w:rsid w:val="3CB2325A"/>
    <w:rsid w:val="3CB64857"/>
    <w:rsid w:val="3CB66F99"/>
    <w:rsid w:val="3CC52D38"/>
    <w:rsid w:val="3CCD6091"/>
    <w:rsid w:val="3CD6003C"/>
    <w:rsid w:val="3CD967E3"/>
    <w:rsid w:val="3CDD2778"/>
    <w:rsid w:val="3CDE3DFA"/>
    <w:rsid w:val="3CE417D3"/>
    <w:rsid w:val="3CE57D2D"/>
    <w:rsid w:val="3CE77BA9"/>
    <w:rsid w:val="3CE8111C"/>
    <w:rsid w:val="3CEA09F1"/>
    <w:rsid w:val="3CED04E1"/>
    <w:rsid w:val="3CED228F"/>
    <w:rsid w:val="3CF8135F"/>
    <w:rsid w:val="3CFD7AAA"/>
    <w:rsid w:val="3D023F8C"/>
    <w:rsid w:val="3D024CDB"/>
    <w:rsid w:val="3D07311F"/>
    <w:rsid w:val="3D08531B"/>
    <w:rsid w:val="3D0F48FB"/>
    <w:rsid w:val="3D163594"/>
    <w:rsid w:val="3D1837B0"/>
    <w:rsid w:val="3D3028D3"/>
    <w:rsid w:val="3D3A30F4"/>
    <w:rsid w:val="3D3D4FC4"/>
    <w:rsid w:val="3D3E1294"/>
    <w:rsid w:val="3D3E5251"/>
    <w:rsid w:val="3D485717"/>
    <w:rsid w:val="3D4A6E81"/>
    <w:rsid w:val="3D4C3459"/>
    <w:rsid w:val="3D507EE7"/>
    <w:rsid w:val="3D5170E9"/>
    <w:rsid w:val="3D711112"/>
    <w:rsid w:val="3D7824A0"/>
    <w:rsid w:val="3D83453A"/>
    <w:rsid w:val="3D846543"/>
    <w:rsid w:val="3D864BBD"/>
    <w:rsid w:val="3D88002B"/>
    <w:rsid w:val="3D88120B"/>
    <w:rsid w:val="3D8E5820"/>
    <w:rsid w:val="3DAC6706"/>
    <w:rsid w:val="3DAD475F"/>
    <w:rsid w:val="3DC01751"/>
    <w:rsid w:val="3DC77B39"/>
    <w:rsid w:val="3DCE1A6F"/>
    <w:rsid w:val="3DDC47DD"/>
    <w:rsid w:val="3DE10046"/>
    <w:rsid w:val="3DF74D1B"/>
    <w:rsid w:val="3E067AAC"/>
    <w:rsid w:val="3E0930F8"/>
    <w:rsid w:val="3E097C2A"/>
    <w:rsid w:val="3E0E070F"/>
    <w:rsid w:val="3E151A9D"/>
    <w:rsid w:val="3E1C69D9"/>
    <w:rsid w:val="3E217459"/>
    <w:rsid w:val="3E217DC9"/>
    <w:rsid w:val="3E261EFC"/>
    <w:rsid w:val="3E2805F5"/>
    <w:rsid w:val="3E2A4E15"/>
    <w:rsid w:val="3E392EA0"/>
    <w:rsid w:val="3E3E3028"/>
    <w:rsid w:val="3E3F2444"/>
    <w:rsid w:val="3E497999"/>
    <w:rsid w:val="3E4B54BF"/>
    <w:rsid w:val="3E4D1F1B"/>
    <w:rsid w:val="3E5B27BE"/>
    <w:rsid w:val="3E6B5A1B"/>
    <w:rsid w:val="3E6C6107"/>
    <w:rsid w:val="3E6F00C0"/>
    <w:rsid w:val="3E6F27D4"/>
    <w:rsid w:val="3E75253C"/>
    <w:rsid w:val="3E78202C"/>
    <w:rsid w:val="3E7D50BC"/>
    <w:rsid w:val="3E7E7642"/>
    <w:rsid w:val="3E853734"/>
    <w:rsid w:val="3E885F20"/>
    <w:rsid w:val="3E8D1F7B"/>
    <w:rsid w:val="3E9317F5"/>
    <w:rsid w:val="3E9A6446"/>
    <w:rsid w:val="3E9C1E20"/>
    <w:rsid w:val="3E9E1A93"/>
    <w:rsid w:val="3EB968CD"/>
    <w:rsid w:val="3EBD79D8"/>
    <w:rsid w:val="3EC51715"/>
    <w:rsid w:val="3EDC25BB"/>
    <w:rsid w:val="3EFA2D23"/>
    <w:rsid w:val="3EFC2C5D"/>
    <w:rsid w:val="3F0A7128"/>
    <w:rsid w:val="3F1B1335"/>
    <w:rsid w:val="3F255D56"/>
    <w:rsid w:val="3F2F67AA"/>
    <w:rsid w:val="3F324F50"/>
    <w:rsid w:val="3F3423F7"/>
    <w:rsid w:val="3F395C5F"/>
    <w:rsid w:val="3F397A0D"/>
    <w:rsid w:val="3F3C47C8"/>
    <w:rsid w:val="3F416A26"/>
    <w:rsid w:val="3F487C50"/>
    <w:rsid w:val="3F536D21"/>
    <w:rsid w:val="3F5518B5"/>
    <w:rsid w:val="3F5869C0"/>
    <w:rsid w:val="3F6F1681"/>
    <w:rsid w:val="3F760C61"/>
    <w:rsid w:val="3F780536"/>
    <w:rsid w:val="3F79215C"/>
    <w:rsid w:val="3F870779"/>
    <w:rsid w:val="3F8844F1"/>
    <w:rsid w:val="3F8A2017"/>
    <w:rsid w:val="3F900EAE"/>
    <w:rsid w:val="3F920365"/>
    <w:rsid w:val="3F9240AD"/>
    <w:rsid w:val="3F995ACE"/>
    <w:rsid w:val="3FA0183A"/>
    <w:rsid w:val="3FA05CDE"/>
    <w:rsid w:val="3FA532F5"/>
    <w:rsid w:val="3FAE3F57"/>
    <w:rsid w:val="3FB27839"/>
    <w:rsid w:val="3FB5178A"/>
    <w:rsid w:val="3FB9006E"/>
    <w:rsid w:val="3FC75019"/>
    <w:rsid w:val="3FC94A89"/>
    <w:rsid w:val="3FDA2F9E"/>
    <w:rsid w:val="3FE57DDC"/>
    <w:rsid w:val="3FE67B95"/>
    <w:rsid w:val="3FE77469"/>
    <w:rsid w:val="3FEB618B"/>
    <w:rsid w:val="3FEF631E"/>
    <w:rsid w:val="40041DC9"/>
    <w:rsid w:val="400A1411"/>
    <w:rsid w:val="400A245B"/>
    <w:rsid w:val="40137591"/>
    <w:rsid w:val="40167D4F"/>
    <w:rsid w:val="401B50ED"/>
    <w:rsid w:val="401F6C03"/>
    <w:rsid w:val="40210BCD"/>
    <w:rsid w:val="40223FBC"/>
    <w:rsid w:val="40282828"/>
    <w:rsid w:val="402B55A8"/>
    <w:rsid w:val="402C5E5F"/>
    <w:rsid w:val="403A57EB"/>
    <w:rsid w:val="40466AD2"/>
    <w:rsid w:val="40491ED2"/>
    <w:rsid w:val="404B2046"/>
    <w:rsid w:val="405868B6"/>
    <w:rsid w:val="405956F8"/>
    <w:rsid w:val="406867FC"/>
    <w:rsid w:val="406960D0"/>
    <w:rsid w:val="406D3E12"/>
    <w:rsid w:val="406D5BC1"/>
    <w:rsid w:val="407231D7"/>
    <w:rsid w:val="407927B7"/>
    <w:rsid w:val="407E7A8A"/>
    <w:rsid w:val="4081341A"/>
    <w:rsid w:val="4082593F"/>
    <w:rsid w:val="40866C82"/>
    <w:rsid w:val="4093314D"/>
    <w:rsid w:val="40A11D0E"/>
    <w:rsid w:val="40A62E81"/>
    <w:rsid w:val="40A9471F"/>
    <w:rsid w:val="40AB66E9"/>
    <w:rsid w:val="40AC28AF"/>
    <w:rsid w:val="40B732E0"/>
    <w:rsid w:val="40BD028F"/>
    <w:rsid w:val="40BF3F42"/>
    <w:rsid w:val="40CA1167"/>
    <w:rsid w:val="40CB7856"/>
    <w:rsid w:val="40D81D6B"/>
    <w:rsid w:val="40E21D0B"/>
    <w:rsid w:val="40E30CEE"/>
    <w:rsid w:val="40E340D5"/>
    <w:rsid w:val="40EF2A79"/>
    <w:rsid w:val="40F005A0"/>
    <w:rsid w:val="40F462E2"/>
    <w:rsid w:val="40F954CC"/>
    <w:rsid w:val="40FB141E"/>
    <w:rsid w:val="40FB5F01"/>
    <w:rsid w:val="410A47C8"/>
    <w:rsid w:val="410E5281"/>
    <w:rsid w:val="410F4ECA"/>
    <w:rsid w:val="4112467C"/>
    <w:rsid w:val="41164A69"/>
    <w:rsid w:val="411918A4"/>
    <w:rsid w:val="41200E85"/>
    <w:rsid w:val="41203230"/>
    <w:rsid w:val="412070D7"/>
    <w:rsid w:val="412344D1"/>
    <w:rsid w:val="41271C26"/>
    <w:rsid w:val="41351907"/>
    <w:rsid w:val="413B5CBF"/>
    <w:rsid w:val="414508EB"/>
    <w:rsid w:val="4146702D"/>
    <w:rsid w:val="41474308"/>
    <w:rsid w:val="4148218A"/>
    <w:rsid w:val="414A5F02"/>
    <w:rsid w:val="414D59F2"/>
    <w:rsid w:val="41627555"/>
    <w:rsid w:val="41630D72"/>
    <w:rsid w:val="41662985"/>
    <w:rsid w:val="41681941"/>
    <w:rsid w:val="41707172"/>
    <w:rsid w:val="41796CC4"/>
    <w:rsid w:val="417E7512"/>
    <w:rsid w:val="418331C2"/>
    <w:rsid w:val="418F1B67"/>
    <w:rsid w:val="41917D44"/>
    <w:rsid w:val="41923405"/>
    <w:rsid w:val="41941EBC"/>
    <w:rsid w:val="41990C37"/>
    <w:rsid w:val="419B6A3A"/>
    <w:rsid w:val="419F7B26"/>
    <w:rsid w:val="41A02E29"/>
    <w:rsid w:val="41A75102"/>
    <w:rsid w:val="41AF045B"/>
    <w:rsid w:val="41B8730F"/>
    <w:rsid w:val="41B96BE3"/>
    <w:rsid w:val="41BD66D4"/>
    <w:rsid w:val="41C23074"/>
    <w:rsid w:val="41D25B23"/>
    <w:rsid w:val="41DA7286"/>
    <w:rsid w:val="41E47D60"/>
    <w:rsid w:val="41E579D9"/>
    <w:rsid w:val="41E73615"/>
    <w:rsid w:val="41E73751"/>
    <w:rsid w:val="41EB04EA"/>
    <w:rsid w:val="42042555"/>
    <w:rsid w:val="42072045"/>
    <w:rsid w:val="421107CE"/>
    <w:rsid w:val="42164036"/>
    <w:rsid w:val="421A58D4"/>
    <w:rsid w:val="421E7906"/>
    <w:rsid w:val="422024E8"/>
    <w:rsid w:val="422624CB"/>
    <w:rsid w:val="42357FBE"/>
    <w:rsid w:val="423840AC"/>
    <w:rsid w:val="423D5A66"/>
    <w:rsid w:val="423D6569"/>
    <w:rsid w:val="42415557"/>
    <w:rsid w:val="4253528A"/>
    <w:rsid w:val="425911DE"/>
    <w:rsid w:val="425B7C9B"/>
    <w:rsid w:val="42627827"/>
    <w:rsid w:val="426D00FA"/>
    <w:rsid w:val="42786A9F"/>
    <w:rsid w:val="42802F50"/>
    <w:rsid w:val="428D254A"/>
    <w:rsid w:val="428E3B91"/>
    <w:rsid w:val="42980EEF"/>
    <w:rsid w:val="429B4C6D"/>
    <w:rsid w:val="42B0448A"/>
    <w:rsid w:val="42B249B8"/>
    <w:rsid w:val="42B6123C"/>
    <w:rsid w:val="42BA2C13"/>
    <w:rsid w:val="42BA7ADD"/>
    <w:rsid w:val="42BC698B"/>
    <w:rsid w:val="42BD5972"/>
    <w:rsid w:val="42D3512D"/>
    <w:rsid w:val="42D77C69"/>
    <w:rsid w:val="42D834C8"/>
    <w:rsid w:val="42DA32B5"/>
    <w:rsid w:val="42DA5063"/>
    <w:rsid w:val="42E14644"/>
    <w:rsid w:val="42E74159"/>
    <w:rsid w:val="42FE7B16"/>
    <w:rsid w:val="4303280C"/>
    <w:rsid w:val="430B16C1"/>
    <w:rsid w:val="4320516C"/>
    <w:rsid w:val="43236A0A"/>
    <w:rsid w:val="43410AEC"/>
    <w:rsid w:val="435272F0"/>
    <w:rsid w:val="435337DD"/>
    <w:rsid w:val="4355563F"/>
    <w:rsid w:val="435E4B1C"/>
    <w:rsid w:val="43670FED"/>
    <w:rsid w:val="43713C1A"/>
    <w:rsid w:val="437B3C36"/>
    <w:rsid w:val="438301FC"/>
    <w:rsid w:val="43853221"/>
    <w:rsid w:val="438B6EC5"/>
    <w:rsid w:val="43982D20"/>
    <w:rsid w:val="439B2F38"/>
    <w:rsid w:val="439E2535"/>
    <w:rsid w:val="43A22025"/>
    <w:rsid w:val="43A6733A"/>
    <w:rsid w:val="43A86B9A"/>
    <w:rsid w:val="43C57AC2"/>
    <w:rsid w:val="43D146B8"/>
    <w:rsid w:val="43D45F57"/>
    <w:rsid w:val="43DB21A0"/>
    <w:rsid w:val="43F71164"/>
    <w:rsid w:val="43FD725B"/>
    <w:rsid w:val="44006D4C"/>
    <w:rsid w:val="442073EE"/>
    <w:rsid w:val="44226CC2"/>
    <w:rsid w:val="442C5D93"/>
    <w:rsid w:val="443B5FD6"/>
    <w:rsid w:val="44405FFD"/>
    <w:rsid w:val="444A6219"/>
    <w:rsid w:val="444E7B57"/>
    <w:rsid w:val="445157F9"/>
    <w:rsid w:val="44560F40"/>
    <w:rsid w:val="445D419E"/>
    <w:rsid w:val="446217B4"/>
    <w:rsid w:val="446F25CF"/>
    <w:rsid w:val="447119F7"/>
    <w:rsid w:val="44720E16"/>
    <w:rsid w:val="44806671"/>
    <w:rsid w:val="44896D41"/>
    <w:rsid w:val="449000D0"/>
    <w:rsid w:val="4496320C"/>
    <w:rsid w:val="449C6C72"/>
    <w:rsid w:val="44A122DD"/>
    <w:rsid w:val="44A75419"/>
    <w:rsid w:val="44AD6ED3"/>
    <w:rsid w:val="44B40707"/>
    <w:rsid w:val="44BC349B"/>
    <w:rsid w:val="44BF2763"/>
    <w:rsid w:val="44C41913"/>
    <w:rsid w:val="44C449AF"/>
    <w:rsid w:val="44D619FA"/>
    <w:rsid w:val="44D86B0F"/>
    <w:rsid w:val="44E26451"/>
    <w:rsid w:val="44E4041B"/>
    <w:rsid w:val="44E4666D"/>
    <w:rsid w:val="44EB3558"/>
    <w:rsid w:val="44F43EB0"/>
    <w:rsid w:val="44F56185"/>
    <w:rsid w:val="44F86822"/>
    <w:rsid w:val="44FF6697"/>
    <w:rsid w:val="450D2191"/>
    <w:rsid w:val="450F36EA"/>
    <w:rsid w:val="45102FBE"/>
    <w:rsid w:val="45274B16"/>
    <w:rsid w:val="452B429C"/>
    <w:rsid w:val="452B604A"/>
    <w:rsid w:val="452D197F"/>
    <w:rsid w:val="45317451"/>
    <w:rsid w:val="45365AFE"/>
    <w:rsid w:val="45373967"/>
    <w:rsid w:val="453C0257"/>
    <w:rsid w:val="45401AF6"/>
    <w:rsid w:val="45465FBE"/>
    <w:rsid w:val="454A2974"/>
    <w:rsid w:val="454D7D6F"/>
    <w:rsid w:val="45505AB1"/>
    <w:rsid w:val="4555735F"/>
    <w:rsid w:val="455A248C"/>
    <w:rsid w:val="4565108C"/>
    <w:rsid w:val="45701CAF"/>
    <w:rsid w:val="45703A5D"/>
    <w:rsid w:val="45745BF8"/>
    <w:rsid w:val="457572C5"/>
    <w:rsid w:val="4585431B"/>
    <w:rsid w:val="4590396C"/>
    <w:rsid w:val="459C2AA4"/>
    <w:rsid w:val="459E05CA"/>
    <w:rsid w:val="45A57BAB"/>
    <w:rsid w:val="45A656D1"/>
    <w:rsid w:val="45AC2555"/>
    <w:rsid w:val="45AC718B"/>
    <w:rsid w:val="45B20519"/>
    <w:rsid w:val="45B44292"/>
    <w:rsid w:val="45B778DE"/>
    <w:rsid w:val="45BA050C"/>
    <w:rsid w:val="45C83899"/>
    <w:rsid w:val="45CD7101"/>
    <w:rsid w:val="45DD362E"/>
    <w:rsid w:val="45E54860"/>
    <w:rsid w:val="45EA380F"/>
    <w:rsid w:val="45FB3C6E"/>
    <w:rsid w:val="46073ABA"/>
    <w:rsid w:val="460801EB"/>
    <w:rsid w:val="460D7F5B"/>
    <w:rsid w:val="46172618"/>
    <w:rsid w:val="461E3DE8"/>
    <w:rsid w:val="4626673A"/>
    <w:rsid w:val="46284338"/>
    <w:rsid w:val="463158E2"/>
    <w:rsid w:val="46335C74"/>
    <w:rsid w:val="463B22BD"/>
    <w:rsid w:val="463E3B5B"/>
    <w:rsid w:val="46434587"/>
    <w:rsid w:val="46454B00"/>
    <w:rsid w:val="46503AF6"/>
    <w:rsid w:val="465348EC"/>
    <w:rsid w:val="46582E6F"/>
    <w:rsid w:val="46591D60"/>
    <w:rsid w:val="46607F75"/>
    <w:rsid w:val="4665558C"/>
    <w:rsid w:val="466A3F19"/>
    <w:rsid w:val="466A6B98"/>
    <w:rsid w:val="466C6EAA"/>
    <w:rsid w:val="46712183"/>
    <w:rsid w:val="4674757D"/>
    <w:rsid w:val="46767799"/>
    <w:rsid w:val="46805F22"/>
    <w:rsid w:val="468257E0"/>
    <w:rsid w:val="4685178A"/>
    <w:rsid w:val="469371FA"/>
    <w:rsid w:val="469F108B"/>
    <w:rsid w:val="46A013F4"/>
    <w:rsid w:val="46A23E91"/>
    <w:rsid w:val="46A55988"/>
    <w:rsid w:val="46AC31BB"/>
    <w:rsid w:val="46BD2CD2"/>
    <w:rsid w:val="46C71DA3"/>
    <w:rsid w:val="46C87FF5"/>
    <w:rsid w:val="46C95B1B"/>
    <w:rsid w:val="46D1677D"/>
    <w:rsid w:val="46D30747"/>
    <w:rsid w:val="46DA7D28"/>
    <w:rsid w:val="46DC6E29"/>
    <w:rsid w:val="46DF0E9A"/>
    <w:rsid w:val="46E22739"/>
    <w:rsid w:val="46E26BDC"/>
    <w:rsid w:val="46E62229"/>
    <w:rsid w:val="46ED7A5B"/>
    <w:rsid w:val="4703102D"/>
    <w:rsid w:val="471512F0"/>
    <w:rsid w:val="471A7157"/>
    <w:rsid w:val="472114B3"/>
    <w:rsid w:val="47217705"/>
    <w:rsid w:val="472D7E58"/>
    <w:rsid w:val="47327794"/>
    <w:rsid w:val="473D6B0A"/>
    <w:rsid w:val="474358CD"/>
    <w:rsid w:val="474B6530"/>
    <w:rsid w:val="474D22A8"/>
    <w:rsid w:val="47523D62"/>
    <w:rsid w:val="4753407C"/>
    <w:rsid w:val="476B6BD2"/>
    <w:rsid w:val="4770243A"/>
    <w:rsid w:val="477171B1"/>
    <w:rsid w:val="47791A44"/>
    <w:rsid w:val="477A0BC3"/>
    <w:rsid w:val="4784369C"/>
    <w:rsid w:val="478B1E43"/>
    <w:rsid w:val="47951660"/>
    <w:rsid w:val="479C6D22"/>
    <w:rsid w:val="47A350BA"/>
    <w:rsid w:val="47AD2D46"/>
    <w:rsid w:val="47AE4BA8"/>
    <w:rsid w:val="47AF6ABF"/>
    <w:rsid w:val="47AF74A4"/>
    <w:rsid w:val="47B40E45"/>
    <w:rsid w:val="47C00CCC"/>
    <w:rsid w:val="47C307BC"/>
    <w:rsid w:val="47C77EA6"/>
    <w:rsid w:val="47E10C42"/>
    <w:rsid w:val="47E21344"/>
    <w:rsid w:val="47E26E94"/>
    <w:rsid w:val="47E66258"/>
    <w:rsid w:val="47F421E2"/>
    <w:rsid w:val="47F9272D"/>
    <w:rsid w:val="480007EC"/>
    <w:rsid w:val="480037BE"/>
    <w:rsid w:val="48054931"/>
    <w:rsid w:val="480963DC"/>
    <w:rsid w:val="482A04BC"/>
    <w:rsid w:val="482B2304"/>
    <w:rsid w:val="482B3E5F"/>
    <w:rsid w:val="482C6361"/>
    <w:rsid w:val="483600A9"/>
    <w:rsid w:val="483D46DD"/>
    <w:rsid w:val="484D0086"/>
    <w:rsid w:val="4853715D"/>
    <w:rsid w:val="485960C4"/>
    <w:rsid w:val="486F605F"/>
    <w:rsid w:val="487815A6"/>
    <w:rsid w:val="488225AD"/>
    <w:rsid w:val="48835C23"/>
    <w:rsid w:val="48857D26"/>
    <w:rsid w:val="48857FBF"/>
    <w:rsid w:val="48872F9F"/>
    <w:rsid w:val="488C6E00"/>
    <w:rsid w:val="488E1472"/>
    <w:rsid w:val="48934632"/>
    <w:rsid w:val="489B34E7"/>
    <w:rsid w:val="48AC2FFE"/>
    <w:rsid w:val="48B56357"/>
    <w:rsid w:val="48C21E3A"/>
    <w:rsid w:val="48C54084"/>
    <w:rsid w:val="48DA0A02"/>
    <w:rsid w:val="48DB6BF9"/>
    <w:rsid w:val="48DE11B8"/>
    <w:rsid w:val="48E56510"/>
    <w:rsid w:val="48EC5AF0"/>
    <w:rsid w:val="48F03833"/>
    <w:rsid w:val="48F97216"/>
    <w:rsid w:val="4901159C"/>
    <w:rsid w:val="49033566"/>
    <w:rsid w:val="49105C83"/>
    <w:rsid w:val="49142FC2"/>
    <w:rsid w:val="491C0184"/>
    <w:rsid w:val="491D214E"/>
    <w:rsid w:val="49205619"/>
    <w:rsid w:val="49223487"/>
    <w:rsid w:val="4922547B"/>
    <w:rsid w:val="492B6619"/>
    <w:rsid w:val="49332FD1"/>
    <w:rsid w:val="49357497"/>
    <w:rsid w:val="49383158"/>
    <w:rsid w:val="493C0826"/>
    <w:rsid w:val="494F1719"/>
    <w:rsid w:val="495C67D2"/>
    <w:rsid w:val="4969756D"/>
    <w:rsid w:val="497004D0"/>
    <w:rsid w:val="49862A25"/>
    <w:rsid w:val="498D0519"/>
    <w:rsid w:val="49910364"/>
    <w:rsid w:val="499E6DEB"/>
    <w:rsid w:val="49AA1C33"/>
    <w:rsid w:val="49AB59AC"/>
    <w:rsid w:val="49AD5280"/>
    <w:rsid w:val="49AE4A8C"/>
    <w:rsid w:val="49BD2527"/>
    <w:rsid w:val="49C01457"/>
    <w:rsid w:val="49C50426"/>
    <w:rsid w:val="49CF169A"/>
    <w:rsid w:val="49D24CE6"/>
    <w:rsid w:val="49D54F3C"/>
    <w:rsid w:val="49EA2030"/>
    <w:rsid w:val="49EC3FFA"/>
    <w:rsid w:val="49F3033B"/>
    <w:rsid w:val="49F33776"/>
    <w:rsid w:val="49FA5FEB"/>
    <w:rsid w:val="49FC19CF"/>
    <w:rsid w:val="49FF6776"/>
    <w:rsid w:val="4A04645A"/>
    <w:rsid w:val="4A07132A"/>
    <w:rsid w:val="4A0C7B9A"/>
    <w:rsid w:val="4A1967D4"/>
    <w:rsid w:val="4A1C756E"/>
    <w:rsid w:val="4A1F67CA"/>
    <w:rsid w:val="4A25750C"/>
    <w:rsid w:val="4A317C5F"/>
    <w:rsid w:val="4A4331D9"/>
    <w:rsid w:val="4A4A6F73"/>
    <w:rsid w:val="4A5B281D"/>
    <w:rsid w:val="4A712751"/>
    <w:rsid w:val="4A7D10F6"/>
    <w:rsid w:val="4A7E2BB3"/>
    <w:rsid w:val="4A804742"/>
    <w:rsid w:val="4A934476"/>
    <w:rsid w:val="4A9759B9"/>
    <w:rsid w:val="4A983750"/>
    <w:rsid w:val="4AA06B93"/>
    <w:rsid w:val="4AAE12AF"/>
    <w:rsid w:val="4AB052A3"/>
    <w:rsid w:val="4AB12B4E"/>
    <w:rsid w:val="4AB7573A"/>
    <w:rsid w:val="4AB8212E"/>
    <w:rsid w:val="4ABD7744"/>
    <w:rsid w:val="4AC07235"/>
    <w:rsid w:val="4AC63524"/>
    <w:rsid w:val="4ACA2744"/>
    <w:rsid w:val="4ACC7988"/>
    <w:rsid w:val="4AD056CA"/>
    <w:rsid w:val="4AD8632C"/>
    <w:rsid w:val="4AE178D7"/>
    <w:rsid w:val="4AFF7D5D"/>
    <w:rsid w:val="4B052E99"/>
    <w:rsid w:val="4B0B0407"/>
    <w:rsid w:val="4B11530B"/>
    <w:rsid w:val="4B125CE2"/>
    <w:rsid w:val="4B177530"/>
    <w:rsid w:val="4B1911AA"/>
    <w:rsid w:val="4B257C2A"/>
    <w:rsid w:val="4B2E419E"/>
    <w:rsid w:val="4B31479D"/>
    <w:rsid w:val="4B3A0D95"/>
    <w:rsid w:val="4B412124"/>
    <w:rsid w:val="4B490FD8"/>
    <w:rsid w:val="4B4D1B86"/>
    <w:rsid w:val="4B4E65EF"/>
    <w:rsid w:val="4B4E749F"/>
    <w:rsid w:val="4B5300A9"/>
    <w:rsid w:val="4B55797D"/>
    <w:rsid w:val="4B5961CB"/>
    <w:rsid w:val="4B6202EC"/>
    <w:rsid w:val="4B7F0E9E"/>
    <w:rsid w:val="4B8A72CF"/>
    <w:rsid w:val="4B8D7117"/>
    <w:rsid w:val="4B972445"/>
    <w:rsid w:val="4BA206E8"/>
    <w:rsid w:val="4BA3693A"/>
    <w:rsid w:val="4BA95F1B"/>
    <w:rsid w:val="4BB52B12"/>
    <w:rsid w:val="4BBF2422"/>
    <w:rsid w:val="4BC56B16"/>
    <w:rsid w:val="4BC600CD"/>
    <w:rsid w:val="4BCB5E91"/>
    <w:rsid w:val="4BDD49AB"/>
    <w:rsid w:val="4BE742E9"/>
    <w:rsid w:val="4BFC604B"/>
    <w:rsid w:val="4C016908"/>
    <w:rsid w:val="4C0373D9"/>
    <w:rsid w:val="4C0E62BA"/>
    <w:rsid w:val="4C1065B5"/>
    <w:rsid w:val="4C1650F5"/>
    <w:rsid w:val="4C217E66"/>
    <w:rsid w:val="4C2555A1"/>
    <w:rsid w:val="4C2757BD"/>
    <w:rsid w:val="4C2832E3"/>
    <w:rsid w:val="4C386633"/>
    <w:rsid w:val="4C39729F"/>
    <w:rsid w:val="4C465518"/>
    <w:rsid w:val="4C52210E"/>
    <w:rsid w:val="4C5774D1"/>
    <w:rsid w:val="4C5E194A"/>
    <w:rsid w:val="4C60482B"/>
    <w:rsid w:val="4C673E0C"/>
    <w:rsid w:val="4C687B84"/>
    <w:rsid w:val="4C6B3A5A"/>
    <w:rsid w:val="4C6C4B2C"/>
    <w:rsid w:val="4C70027F"/>
    <w:rsid w:val="4C7A4B90"/>
    <w:rsid w:val="4C7E2F03"/>
    <w:rsid w:val="4C8428B7"/>
    <w:rsid w:val="4C8937D3"/>
    <w:rsid w:val="4C8F4D41"/>
    <w:rsid w:val="4C96649F"/>
    <w:rsid w:val="4C987B90"/>
    <w:rsid w:val="4C9D5A7F"/>
    <w:rsid w:val="4CA478EC"/>
    <w:rsid w:val="4CAA1F6A"/>
    <w:rsid w:val="4CAA33E9"/>
    <w:rsid w:val="4CAA3CF8"/>
    <w:rsid w:val="4CAA5AA7"/>
    <w:rsid w:val="4CB42DC9"/>
    <w:rsid w:val="4CB66B41"/>
    <w:rsid w:val="4CCB7A91"/>
    <w:rsid w:val="4CCC2A4A"/>
    <w:rsid w:val="4CCF375F"/>
    <w:rsid w:val="4CD27085"/>
    <w:rsid w:val="4CDD791C"/>
    <w:rsid w:val="4CE176C2"/>
    <w:rsid w:val="4CE216E4"/>
    <w:rsid w:val="4CEC4311"/>
    <w:rsid w:val="4CEC60BF"/>
    <w:rsid w:val="4CEE0089"/>
    <w:rsid w:val="4CEF795D"/>
    <w:rsid w:val="4CF37A31"/>
    <w:rsid w:val="4D0C050F"/>
    <w:rsid w:val="4D0F4273"/>
    <w:rsid w:val="4D106251"/>
    <w:rsid w:val="4D186EB4"/>
    <w:rsid w:val="4D1B0752"/>
    <w:rsid w:val="4D1C78FA"/>
    <w:rsid w:val="4D1D44CA"/>
    <w:rsid w:val="4D1F0243"/>
    <w:rsid w:val="4D241CFD"/>
    <w:rsid w:val="4D267B5A"/>
    <w:rsid w:val="4D2B308B"/>
    <w:rsid w:val="4D2E66D8"/>
    <w:rsid w:val="4D3267B3"/>
    <w:rsid w:val="4D331F6B"/>
    <w:rsid w:val="4D336D7D"/>
    <w:rsid w:val="4D3F6B37"/>
    <w:rsid w:val="4D414FD9"/>
    <w:rsid w:val="4D422183"/>
    <w:rsid w:val="4D4575A8"/>
    <w:rsid w:val="4D5A5B74"/>
    <w:rsid w:val="4D626381"/>
    <w:rsid w:val="4D661307"/>
    <w:rsid w:val="4D714816"/>
    <w:rsid w:val="4D73013E"/>
    <w:rsid w:val="4D734226"/>
    <w:rsid w:val="4D7351DC"/>
    <w:rsid w:val="4D783DF7"/>
    <w:rsid w:val="4D7C6C95"/>
    <w:rsid w:val="4D7C70D9"/>
    <w:rsid w:val="4D7C7ACE"/>
    <w:rsid w:val="4D8B1D7C"/>
    <w:rsid w:val="4D943011"/>
    <w:rsid w:val="4DA22CB7"/>
    <w:rsid w:val="4DA4699A"/>
    <w:rsid w:val="4DA84E15"/>
    <w:rsid w:val="4DAD0E3D"/>
    <w:rsid w:val="4DAD1CF2"/>
    <w:rsid w:val="4DBD7A5B"/>
    <w:rsid w:val="4DD52FF7"/>
    <w:rsid w:val="4DD76D6F"/>
    <w:rsid w:val="4DDD3C5A"/>
    <w:rsid w:val="4DDF3F73"/>
    <w:rsid w:val="4DF23BA9"/>
    <w:rsid w:val="4DF53125"/>
    <w:rsid w:val="4DF74D1B"/>
    <w:rsid w:val="4DFF0074"/>
    <w:rsid w:val="4E05589E"/>
    <w:rsid w:val="4E06294E"/>
    <w:rsid w:val="4E14183E"/>
    <w:rsid w:val="4E1458CD"/>
    <w:rsid w:val="4E173FF8"/>
    <w:rsid w:val="4E211946"/>
    <w:rsid w:val="4E250444"/>
    <w:rsid w:val="4E2D2E33"/>
    <w:rsid w:val="4E4071E9"/>
    <w:rsid w:val="4E4B32B9"/>
    <w:rsid w:val="4E50267E"/>
    <w:rsid w:val="4E516B22"/>
    <w:rsid w:val="4E574FE7"/>
    <w:rsid w:val="4E656129"/>
    <w:rsid w:val="4E6A373F"/>
    <w:rsid w:val="4E6C24C1"/>
    <w:rsid w:val="4E6C5709"/>
    <w:rsid w:val="4E6D6781"/>
    <w:rsid w:val="4E712D20"/>
    <w:rsid w:val="4E7147F3"/>
    <w:rsid w:val="4E720846"/>
    <w:rsid w:val="4E7F7F94"/>
    <w:rsid w:val="4E9C1F4B"/>
    <w:rsid w:val="4EA2737D"/>
    <w:rsid w:val="4EBB043F"/>
    <w:rsid w:val="4EC23915"/>
    <w:rsid w:val="4ED351DE"/>
    <w:rsid w:val="4ED84B4D"/>
    <w:rsid w:val="4EDC13F9"/>
    <w:rsid w:val="4EE03A01"/>
    <w:rsid w:val="4EE10C8F"/>
    <w:rsid w:val="4EE63C76"/>
    <w:rsid w:val="4EF64F2D"/>
    <w:rsid w:val="4EFD7495"/>
    <w:rsid w:val="4F073684"/>
    <w:rsid w:val="4F0771E0"/>
    <w:rsid w:val="4F0A6CD0"/>
    <w:rsid w:val="4F1B0EDE"/>
    <w:rsid w:val="4F1F09CE"/>
    <w:rsid w:val="4F2064F4"/>
    <w:rsid w:val="4F2E0C11"/>
    <w:rsid w:val="4F2F55A5"/>
    <w:rsid w:val="4F2F6737"/>
    <w:rsid w:val="4F3132DD"/>
    <w:rsid w:val="4F327F6F"/>
    <w:rsid w:val="4F361873"/>
    <w:rsid w:val="4F3A5808"/>
    <w:rsid w:val="4F3B7298"/>
    <w:rsid w:val="4F3C2AD4"/>
    <w:rsid w:val="4F522D7B"/>
    <w:rsid w:val="4F5543EF"/>
    <w:rsid w:val="4F560168"/>
    <w:rsid w:val="4F5C2410"/>
    <w:rsid w:val="4F622668"/>
    <w:rsid w:val="4F642884"/>
    <w:rsid w:val="4F673C06"/>
    <w:rsid w:val="4F684B0A"/>
    <w:rsid w:val="4F6B59C1"/>
    <w:rsid w:val="4F8046F1"/>
    <w:rsid w:val="4F8119B1"/>
    <w:rsid w:val="4F814D8D"/>
    <w:rsid w:val="4F90367A"/>
    <w:rsid w:val="4F92238A"/>
    <w:rsid w:val="4FA039F4"/>
    <w:rsid w:val="4FA06CA8"/>
    <w:rsid w:val="4FB07878"/>
    <w:rsid w:val="4FC450D1"/>
    <w:rsid w:val="4FD712A8"/>
    <w:rsid w:val="4FD74728"/>
    <w:rsid w:val="4FD7736E"/>
    <w:rsid w:val="4FE062A3"/>
    <w:rsid w:val="4FE9249D"/>
    <w:rsid w:val="4FF10EFA"/>
    <w:rsid w:val="4FF37764"/>
    <w:rsid w:val="4FF754A7"/>
    <w:rsid w:val="4FFD45EE"/>
    <w:rsid w:val="5006624C"/>
    <w:rsid w:val="500F0A42"/>
    <w:rsid w:val="501A2F43"/>
    <w:rsid w:val="501C0729"/>
    <w:rsid w:val="501C4F0D"/>
    <w:rsid w:val="50296C0E"/>
    <w:rsid w:val="503404A9"/>
    <w:rsid w:val="50370581"/>
    <w:rsid w:val="503D51A9"/>
    <w:rsid w:val="5040333A"/>
    <w:rsid w:val="504172EE"/>
    <w:rsid w:val="5043798C"/>
    <w:rsid w:val="504A3803"/>
    <w:rsid w:val="505521CD"/>
    <w:rsid w:val="50576CBE"/>
    <w:rsid w:val="5058248A"/>
    <w:rsid w:val="505B3DB1"/>
    <w:rsid w:val="505D4A94"/>
    <w:rsid w:val="505F4DFA"/>
    <w:rsid w:val="506568B4"/>
    <w:rsid w:val="50683735"/>
    <w:rsid w:val="506B04F9"/>
    <w:rsid w:val="506B6C77"/>
    <w:rsid w:val="506E5024"/>
    <w:rsid w:val="507056E2"/>
    <w:rsid w:val="50731BAF"/>
    <w:rsid w:val="50777A45"/>
    <w:rsid w:val="507A1C34"/>
    <w:rsid w:val="508370CE"/>
    <w:rsid w:val="50854860"/>
    <w:rsid w:val="508B3E41"/>
    <w:rsid w:val="5096168B"/>
    <w:rsid w:val="509A15E0"/>
    <w:rsid w:val="509B0528"/>
    <w:rsid w:val="509E1DC6"/>
    <w:rsid w:val="50B769E4"/>
    <w:rsid w:val="50B912B2"/>
    <w:rsid w:val="50BD2394"/>
    <w:rsid w:val="50C80BF1"/>
    <w:rsid w:val="50CC6286"/>
    <w:rsid w:val="50D6330E"/>
    <w:rsid w:val="50E35A2B"/>
    <w:rsid w:val="50E53B1E"/>
    <w:rsid w:val="50EC1681"/>
    <w:rsid w:val="50EC48E0"/>
    <w:rsid w:val="50F419E6"/>
    <w:rsid w:val="510E0E2A"/>
    <w:rsid w:val="510F05CE"/>
    <w:rsid w:val="5116195C"/>
    <w:rsid w:val="511931FB"/>
    <w:rsid w:val="511A58F1"/>
    <w:rsid w:val="511B0F22"/>
    <w:rsid w:val="511F2F07"/>
    <w:rsid w:val="512978E2"/>
    <w:rsid w:val="512E144B"/>
    <w:rsid w:val="51351D05"/>
    <w:rsid w:val="51374476"/>
    <w:rsid w:val="51385D77"/>
    <w:rsid w:val="51402D6E"/>
    <w:rsid w:val="514648DC"/>
    <w:rsid w:val="514B501A"/>
    <w:rsid w:val="51570B9A"/>
    <w:rsid w:val="51591C3E"/>
    <w:rsid w:val="515B5BAE"/>
    <w:rsid w:val="516B68C8"/>
    <w:rsid w:val="51750D79"/>
    <w:rsid w:val="51750DAF"/>
    <w:rsid w:val="518965D2"/>
    <w:rsid w:val="518E3BE9"/>
    <w:rsid w:val="51A77A02"/>
    <w:rsid w:val="51AE7DE7"/>
    <w:rsid w:val="51B00003"/>
    <w:rsid w:val="51B8400A"/>
    <w:rsid w:val="51B84DE7"/>
    <w:rsid w:val="51C13FBE"/>
    <w:rsid w:val="51C25525"/>
    <w:rsid w:val="51C70EA9"/>
    <w:rsid w:val="51CC08C5"/>
    <w:rsid w:val="51D7767B"/>
    <w:rsid w:val="51DD691E"/>
    <w:rsid w:val="51E101BC"/>
    <w:rsid w:val="51E63A25"/>
    <w:rsid w:val="51E657D3"/>
    <w:rsid w:val="51E76EB9"/>
    <w:rsid w:val="51EC090F"/>
    <w:rsid w:val="51ED7E6D"/>
    <w:rsid w:val="51FD2C5F"/>
    <w:rsid w:val="51FF6894"/>
    <w:rsid w:val="520173B9"/>
    <w:rsid w:val="52043EAB"/>
    <w:rsid w:val="52081BED"/>
    <w:rsid w:val="52097713"/>
    <w:rsid w:val="521045FE"/>
    <w:rsid w:val="52187956"/>
    <w:rsid w:val="52350508"/>
    <w:rsid w:val="523F1387"/>
    <w:rsid w:val="52497B10"/>
    <w:rsid w:val="525E35BB"/>
    <w:rsid w:val="526606C2"/>
    <w:rsid w:val="526A392D"/>
    <w:rsid w:val="526D7CA2"/>
    <w:rsid w:val="527032EE"/>
    <w:rsid w:val="52716CAD"/>
    <w:rsid w:val="5276038A"/>
    <w:rsid w:val="528D20F2"/>
    <w:rsid w:val="528D5C4E"/>
    <w:rsid w:val="529677E9"/>
    <w:rsid w:val="52976ACD"/>
    <w:rsid w:val="5298489A"/>
    <w:rsid w:val="52992414"/>
    <w:rsid w:val="52993A23"/>
    <w:rsid w:val="52B256B5"/>
    <w:rsid w:val="52B551A5"/>
    <w:rsid w:val="52C378C2"/>
    <w:rsid w:val="52C804AE"/>
    <w:rsid w:val="52CF270B"/>
    <w:rsid w:val="52D054FF"/>
    <w:rsid w:val="52D204C0"/>
    <w:rsid w:val="52D928C3"/>
    <w:rsid w:val="52DC0984"/>
    <w:rsid w:val="52DD4E28"/>
    <w:rsid w:val="52E223AA"/>
    <w:rsid w:val="52E46445"/>
    <w:rsid w:val="52EC6E19"/>
    <w:rsid w:val="52F21FDA"/>
    <w:rsid w:val="5311062D"/>
    <w:rsid w:val="53130849"/>
    <w:rsid w:val="531E0F9C"/>
    <w:rsid w:val="53206AC2"/>
    <w:rsid w:val="534053B7"/>
    <w:rsid w:val="53407165"/>
    <w:rsid w:val="53456529"/>
    <w:rsid w:val="53515075"/>
    <w:rsid w:val="53542C10"/>
    <w:rsid w:val="536410A5"/>
    <w:rsid w:val="537466D6"/>
    <w:rsid w:val="537B03C9"/>
    <w:rsid w:val="53803A05"/>
    <w:rsid w:val="538452A3"/>
    <w:rsid w:val="539757E8"/>
    <w:rsid w:val="53977D81"/>
    <w:rsid w:val="53A21BCD"/>
    <w:rsid w:val="53A92559"/>
    <w:rsid w:val="53AC65A8"/>
    <w:rsid w:val="53B00620"/>
    <w:rsid w:val="53B646B1"/>
    <w:rsid w:val="53C658BC"/>
    <w:rsid w:val="53D9426A"/>
    <w:rsid w:val="53DA1367"/>
    <w:rsid w:val="53EA6804"/>
    <w:rsid w:val="53F02939"/>
    <w:rsid w:val="53F046E7"/>
    <w:rsid w:val="53F1220D"/>
    <w:rsid w:val="53F23C98"/>
    <w:rsid w:val="53F266B1"/>
    <w:rsid w:val="53F35F85"/>
    <w:rsid w:val="53F83061"/>
    <w:rsid w:val="53FC2BBB"/>
    <w:rsid w:val="53FD089E"/>
    <w:rsid w:val="54014B46"/>
    <w:rsid w:val="5402441A"/>
    <w:rsid w:val="5406215C"/>
    <w:rsid w:val="5406335A"/>
    <w:rsid w:val="540B638D"/>
    <w:rsid w:val="540E2DBF"/>
    <w:rsid w:val="541C7EC3"/>
    <w:rsid w:val="54211998"/>
    <w:rsid w:val="542567FE"/>
    <w:rsid w:val="54262873"/>
    <w:rsid w:val="54295E4B"/>
    <w:rsid w:val="542C1497"/>
    <w:rsid w:val="542C4FC6"/>
    <w:rsid w:val="54321EEE"/>
    <w:rsid w:val="543D36A4"/>
    <w:rsid w:val="543E09E4"/>
    <w:rsid w:val="54453B17"/>
    <w:rsid w:val="5458228C"/>
    <w:rsid w:val="54586776"/>
    <w:rsid w:val="545C3613"/>
    <w:rsid w:val="545E741A"/>
    <w:rsid w:val="546649A9"/>
    <w:rsid w:val="54694089"/>
    <w:rsid w:val="546B0D84"/>
    <w:rsid w:val="546B635E"/>
    <w:rsid w:val="546B7C81"/>
    <w:rsid w:val="546D5D37"/>
    <w:rsid w:val="54707003"/>
    <w:rsid w:val="54734B94"/>
    <w:rsid w:val="54754BEC"/>
    <w:rsid w:val="54765614"/>
    <w:rsid w:val="547D645D"/>
    <w:rsid w:val="54837D65"/>
    <w:rsid w:val="548B2661"/>
    <w:rsid w:val="54963849"/>
    <w:rsid w:val="54A159E1"/>
    <w:rsid w:val="54AB6860"/>
    <w:rsid w:val="54B14434"/>
    <w:rsid w:val="54C165F9"/>
    <w:rsid w:val="54C17E31"/>
    <w:rsid w:val="54C47921"/>
    <w:rsid w:val="54D538DD"/>
    <w:rsid w:val="54DD4ED3"/>
    <w:rsid w:val="54DD4EE8"/>
    <w:rsid w:val="54DF2E0B"/>
    <w:rsid w:val="54E23B60"/>
    <w:rsid w:val="54E300E5"/>
    <w:rsid w:val="54E767C0"/>
    <w:rsid w:val="54ED0C26"/>
    <w:rsid w:val="54F2448F"/>
    <w:rsid w:val="54F621D1"/>
    <w:rsid w:val="54F71AA5"/>
    <w:rsid w:val="54FC355F"/>
    <w:rsid w:val="5503044A"/>
    <w:rsid w:val="5505768E"/>
    <w:rsid w:val="55070DBA"/>
    <w:rsid w:val="550764E1"/>
    <w:rsid w:val="550A17D8"/>
    <w:rsid w:val="550B2186"/>
    <w:rsid w:val="550B72FE"/>
    <w:rsid w:val="5518177A"/>
    <w:rsid w:val="551E5284"/>
    <w:rsid w:val="55222B45"/>
    <w:rsid w:val="552312D6"/>
    <w:rsid w:val="55241341"/>
    <w:rsid w:val="55254864"/>
    <w:rsid w:val="552C47D7"/>
    <w:rsid w:val="55304D63"/>
    <w:rsid w:val="55323649"/>
    <w:rsid w:val="553D7E00"/>
    <w:rsid w:val="5540169E"/>
    <w:rsid w:val="55434480"/>
    <w:rsid w:val="55477AC8"/>
    <w:rsid w:val="554A42CB"/>
    <w:rsid w:val="554B002C"/>
    <w:rsid w:val="556233C2"/>
    <w:rsid w:val="556A2FD5"/>
    <w:rsid w:val="556C5FEF"/>
    <w:rsid w:val="556D3970"/>
    <w:rsid w:val="557120E4"/>
    <w:rsid w:val="55733831"/>
    <w:rsid w:val="557E4463"/>
    <w:rsid w:val="5588094F"/>
    <w:rsid w:val="558A2919"/>
    <w:rsid w:val="559317CE"/>
    <w:rsid w:val="559C5C59"/>
    <w:rsid w:val="55A559A5"/>
    <w:rsid w:val="55AA6B17"/>
    <w:rsid w:val="55AA6B6B"/>
    <w:rsid w:val="55AC288F"/>
    <w:rsid w:val="55AE6607"/>
    <w:rsid w:val="55B81484"/>
    <w:rsid w:val="55BD22C5"/>
    <w:rsid w:val="55C45E2B"/>
    <w:rsid w:val="55CB34C3"/>
    <w:rsid w:val="55D634ED"/>
    <w:rsid w:val="55DA38A0"/>
    <w:rsid w:val="55E97640"/>
    <w:rsid w:val="55F95FA7"/>
    <w:rsid w:val="55F97145"/>
    <w:rsid w:val="56026953"/>
    <w:rsid w:val="56056C87"/>
    <w:rsid w:val="560D1E90"/>
    <w:rsid w:val="560E52F8"/>
    <w:rsid w:val="56116B96"/>
    <w:rsid w:val="561514B0"/>
    <w:rsid w:val="561641AD"/>
    <w:rsid w:val="56185AEC"/>
    <w:rsid w:val="562B5EAA"/>
    <w:rsid w:val="56384123"/>
    <w:rsid w:val="563A433F"/>
    <w:rsid w:val="56496330"/>
    <w:rsid w:val="56512F92"/>
    <w:rsid w:val="56594B43"/>
    <w:rsid w:val="565D4577"/>
    <w:rsid w:val="56633896"/>
    <w:rsid w:val="56674A08"/>
    <w:rsid w:val="566C201F"/>
    <w:rsid w:val="567F61F6"/>
    <w:rsid w:val="567F7FA4"/>
    <w:rsid w:val="569F70F3"/>
    <w:rsid w:val="56A812A9"/>
    <w:rsid w:val="56B332E9"/>
    <w:rsid w:val="56B70EBE"/>
    <w:rsid w:val="56BD6D77"/>
    <w:rsid w:val="56BF74F0"/>
    <w:rsid w:val="56C43C09"/>
    <w:rsid w:val="56CB46F0"/>
    <w:rsid w:val="56D24546"/>
    <w:rsid w:val="56D26326"/>
    <w:rsid w:val="56D32B91"/>
    <w:rsid w:val="56DE2F1C"/>
    <w:rsid w:val="56E132C8"/>
    <w:rsid w:val="56E46059"/>
    <w:rsid w:val="56EF47DB"/>
    <w:rsid w:val="56F15F08"/>
    <w:rsid w:val="56F17091"/>
    <w:rsid w:val="56F20776"/>
    <w:rsid w:val="56F4277B"/>
    <w:rsid w:val="56F91B04"/>
    <w:rsid w:val="56FF2E93"/>
    <w:rsid w:val="57007337"/>
    <w:rsid w:val="57030BD5"/>
    <w:rsid w:val="5707677F"/>
    <w:rsid w:val="570A713B"/>
    <w:rsid w:val="57160908"/>
    <w:rsid w:val="571826D1"/>
    <w:rsid w:val="571D1301"/>
    <w:rsid w:val="572823EA"/>
    <w:rsid w:val="572A1C7A"/>
    <w:rsid w:val="572C6110"/>
    <w:rsid w:val="57392849"/>
    <w:rsid w:val="573C7181"/>
    <w:rsid w:val="57436AF9"/>
    <w:rsid w:val="57462870"/>
    <w:rsid w:val="57497744"/>
    <w:rsid w:val="574D1E50"/>
    <w:rsid w:val="5750468A"/>
    <w:rsid w:val="57585F64"/>
    <w:rsid w:val="575B74AD"/>
    <w:rsid w:val="576158FB"/>
    <w:rsid w:val="576A2A02"/>
    <w:rsid w:val="57734F2A"/>
    <w:rsid w:val="57743881"/>
    <w:rsid w:val="57783371"/>
    <w:rsid w:val="57806E95"/>
    <w:rsid w:val="57835872"/>
    <w:rsid w:val="57845DEC"/>
    <w:rsid w:val="578F4217"/>
    <w:rsid w:val="57935E69"/>
    <w:rsid w:val="57936E27"/>
    <w:rsid w:val="57943DCF"/>
    <w:rsid w:val="57A44FBE"/>
    <w:rsid w:val="57AB49EF"/>
    <w:rsid w:val="57B1418D"/>
    <w:rsid w:val="57BF5665"/>
    <w:rsid w:val="57C02C3A"/>
    <w:rsid w:val="57C254B3"/>
    <w:rsid w:val="57C62622"/>
    <w:rsid w:val="57C7123B"/>
    <w:rsid w:val="57DB56AE"/>
    <w:rsid w:val="57DD1426"/>
    <w:rsid w:val="580249E9"/>
    <w:rsid w:val="581B3CFC"/>
    <w:rsid w:val="582F2C1B"/>
    <w:rsid w:val="58312731"/>
    <w:rsid w:val="584119B5"/>
    <w:rsid w:val="58460A2B"/>
    <w:rsid w:val="585D5FB5"/>
    <w:rsid w:val="585E1736"/>
    <w:rsid w:val="587B479B"/>
    <w:rsid w:val="5886386C"/>
    <w:rsid w:val="58906498"/>
    <w:rsid w:val="5893734D"/>
    <w:rsid w:val="58971419"/>
    <w:rsid w:val="589C4E3D"/>
    <w:rsid w:val="58A24133"/>
    <w:rsid w:val="58B23CBA"/>
    <w:rsid w:val="58C16652"/>
    <w:rsid w:val="58DF11CE"/>
    <w:rsid w:val="58E32A6C"/>
    <w:rsid w:val="58E65BE8"/>
    <w:rsid w:val="58F619BB"/>
    <w:rsid w:val="58FD3C4A"/>
    <w:rsid w:val="590429E2"/>
    <w:rsid w:val="590D1897"/>
    <w:rsid w:val="59140E77"/>
    <w:rsid w:val="591712B0"/>
    <w:rsid w:val="5920775E"/>
    <w:rsid w:val="59210FA5"/>
    <w:rsid w:val="59262959"/>
    <w:rsid w:val="593178E4"/>
    <w:rsid w:val="593404C8"/>
    <w:rsid w:val="59352B9C"/>
    <w:rsid w:val="593B0594"/>
    <w:rsid w:val="594A4899"/>
    <w:rsid w:val="594F3C5E"/>
    <w:rsid w:val="59576FB6"/>
    <w:rsid w:val="595A2602"/>
    <w:rsid w:val="5961766F"/>
    <w:rsid w:val="59755832"/>
    <w:rsid w:val="597B0EF6"/>
    <w:rsid w:val="59882670"/>
    <w:rsid w:val="599679A7"/>
    <w:rsid w:val="59A10231"/>
    <w:rsid w:val="59B03D7E"/>
    <w:rsid w:val="59BB5797"/>
    <w:rsid w:val="59BF3C49"/>
    <w:rsid w:val="59C26B25"/>
    <w:rsid w:val="59C815C4"/>
    <w:rsid w:val="59CC52AE"/>
    <w:rsid w:val="59CF5DD3"/>
    <w:rsid w:val="59D914B7"/>
    <w:rsid w:val="59DA6C87"/>
    <w:rsid w:val="59DD74BB"/>
    <w:rsid w:val="59E4075B"/>
    <w:rsid w:val="59E42F07"/>
    <w:rsid w:val="59F12F67"/>
    <w:rsid w:val="59F36CDF"/>
    <w:rsid w:val="59F51CED"/>
    <w:rsid w:val="59F6057D"/>
    <w:rsid w:val="59F64A21"/>
    <w:rsid w:val="59FD775E"/>
    <w:rsid w:val="59FF2FD2"/>
    <w:rsid w:val="5A0D1E28"/>
    <w:rsid w:val="5A0F069B"/>
    <w:rsid w:val="5A164F6F"/>
    <w:rsid w:val="5A184997"/>
    <w:rsid w:val="5A1B4488"/>
    <w:rsid w:val="5A2A0227"/>
    <w:rsid w:val="5A300A8A"/>
    <w:rsid w:val="5A343384"/>
    <w:rsid w:val="5A394CD1"/>
    <w:rsid w:val="5A3A6C1A"/>
    <w:rsid w:val="5A3C1A98"/>
    <w:rsid w:val="5A3D7F5A"/>
    <w:rsid w:val="5A3E3CD2"/>
    <w:rsid w:val="5A405C9C"/>
    <w:rsid w:val="5A4709EE"/>
    <w:rsid w:val="5A601E9A"/>
    <w:rsid w:val="5A6776CD"/>
    <w:rsid w:val="5A6C6CEF"/>
    <w:rsid w:val="5A6E2809"/>
    <w:rsid w:val="5A7818D2"/>
    <w:rsid w:val="5A8111AE"/>
    <w:rsid w:val="5A814A3F"/>
    <w:rsid w:val="5A877662"/>
    <w:rsid w:val="5A8B6F17"/>
    <w:rsid w:val="5A8C0EE1"/>
    <w:rsid w:val="5A90452E"/>
    <w:rsid w:val="5A985AD8"/>
    <w:rsid w:val="5A9B0FE9"/>
    <w:rsid w:val="5A9F2ADC"/>
    <w:rsid w:val="5AA07351"/>
    <w:rsid w:val="5AB32912"/>
    <w:rsid w:val="5ABC3575"/>
    <w:rsid w:val="5ABF1126"/>
    <w:rsid w:val="5ACC0284"/>
    <w:rsid w:val="5ACC7530"/>
    <w:rsid w:val="5AD54636"/>
    <w:rsid w:val="5AE04951"/>
    <w:rsid w:val="5AE12FDB"/>
    <w:rsid w:val="5AE452A1"/>
    <w:rsid w:val="5AE8436A"/>
    <w:rsid w:val="5AED5A81"/>
    <w:rsid w:val="5B0B0834"/>
    <w:rsid w:val="5B0C31E8"/>
    <w:rsid w:val="5B0D4C47"/>
    <w:rsid w:val="5B0F2F87"/>
    <w:rsid w:val="5B1769FD"/>
    <w:rsid w:val="5B2353A2"/>
    <w:rsid w:val="5B242B93"/>
    <w:rsid w:val="5B24736C"/>
    <w:rsid w:val="5B252510"/>
    <w:rsid w:val="5B294982"/>
    <w:rsid w:val="5B323837"/>
    <w:rsid w:val="5B353327"/>
    <w:rsid w:val="5B422FE3"/>
    <w:rsid w:val="5B4A5737"/>
    <w:rsid w:val="5B557525"/>
    <w:rsid w:val="5B565680"/>
    <w:rsid w:val="5B6065F6"/>
    <w:rsid w:val="5B61236E"/>
    <w:rsid w:val="5B7420A1"/>
    <w:rsid w:val="5B765E19"/>
    <w:rsid w:val="5B7C71A8"/>
    <w:rsid w:val="5B7E082A"/>
    <w:rsid w:val="5B7F69CB"/>
    <w:rsid w:val="5B80569B"/>
    <w:rsid w:val="5B8364E3"/>
    <w:rsid w:val="5B8878FB"/>
    <w:rsid w:val="5B8950CA"/>
    <w:rsid w:val="5B8B1AD3"/>
    <w:rsid w:val="5B8B6467"/>
    <w:rsid w:val="5B9562A9"/>
    <w:rsid w:val="5B9B13DC"/>
    <w:rsid w:val="5BB95D06"/>
    <w:rsid w:val="5BC0128D"/>
    <w:rsid w:val="5BC621D1"/>
    <w:rsid w:val="5BCA161A"/>
    <w:rsid w:val="5BCE7A03"/>
    <w:rsid w:val="5BD13050"/>
    <w:rsid w:val="5BDB3ECE"/>
    <w:rsid w:val="5BE03293"/>
    <w:rsid w:val="5BE72873"/>
    <w:rsid w:val="5BF03C12"/>
    <w:rsid w:val="5BF413B6"/>
    <w:rsid w:val="5BF62AB6"/>
    <w:rsid w:val="5BFF7AE6"/>
    <w:rsid w:val="5C0509B4"/>
    <w:rsid w:val="5C0B789C"/>
    <w:rsid w:val="5C142F3C"/>
    <w:rsid w:val="5C182A2D"/>
    <w:rsid w:val="5C2F421A"/>
    <w:rsid w:val="5C372F37"/>
    <w:rsid w:val="5C403D31"/>
    <w:rsid w:val="5C425CFC"/>
    <w:rsid w:val="5C4557EC"/>
    <w:rsid w:val="5C4A4BB0"/>
    <w:rsid w:val="5C5679F9"/>
    <w:rsid w:val="5C623923"/>
    <w:rsid w:val="5C6358C5"/>
    <w:rsid w:val="5C7D7655"/>
    <w:rsid w:val="5C891B7C"/>
    <w:rsid w:val="5C91306D"/>
    <w:rsid w:val="5C94019A"/>
    <w:rsid w:val="5C9D73D6"/>
    <w:rsid w:val="5CA72002"/>
    <w:rsid w:val="5CAB7727"/>
    <w:rsid w:val="5CB309A7"/>
    <w:rsid w:val="5CB5624E"/>
    <w:rsid w:val="5CC441E1"/>
    <w:rsid w:val="5CC901CB"/>
    <w:rsid w:val="5CCC1A69"/>
    <w:rsid w:val="5CCC30BE"/>
    <w:rsid w:val="5CD10E2D"/>
    <w:rsid w:val="5CE27E10"/>
    <w:rsid w:val="5CE45005"/>
    <w:rsid w:val="5CE62A5E"/>
    <w:rsid w:val="5CE760ED"/>
    <w:rsid w:val="5CEE7C31"/>
    <w:rsid w:val="5CF36FF6"/>
    <w:rsid w:val="5CF76AE6"/>
    <w:rsid w:val="5CF8285E"/>
    <w:rsid w:val="5CFB1C2D"/>
    <w:rsid w:val="5CFD7E74"/>
    <w:rsid w:val="5CFE60C6"/>
    <w:rsid w:val="5D170F36"/>
    <w:rsid w:val="5D186A5C"/>
    <w:rsid w:val="5D221689"/>
    <w:rsid w:val="5D2264E7"/>
    <w:rsid w:val="5D283143"/>
    <w:rsid w:val="5D395350"/>
    <w:rsid w:val="5D431D2B"/>
    <w:rsid w:val="5D445AA3"/>
    <w:rsid w:val="5D485594"/>
    <w:rsid w:val="5D591638"/>
    <w:rsid w:val="5D5D4A1E"/>
    <w:rsid w:val="5D610403"/>
    <w:rsid w:val="5D630025"/>
    <w:rsid w:val="5D635F29"/>
    <w:rsid w:val="5D673A5A"/>
    <w:rsid w:val="5D6837FA"/>
    <w:rsid w:val="5D7C5F32"/>
    <w:rsid w:val="5D7C6FEB"/>
    <w:rsid w:val="5D814602"/>
    <w:rsid w:val="5D86574C"/>
    <w:rsid w:val="5D8D5661"/>
    <w:rsid w:val="5D8D62B3"/>
    <w:rsid w:val="5D9021D1"/>
    <w:rsid w:val="5DA3067A"/>
    <w:rsid w:val="5DBC6F9B"/>
    <w:rsid w:val="5DBE4262"/>
    <w:rsid w:val="5DBE5856"/>
    <w:rsid w:val="5DC50992"/>
    <w:rsid w:val="5DCD7847"/>
    <w:rsid w:val="5DE0046A"/>
    <w:rsid w:val="5DE570D9"/>
    <w:rsid w:val="5DE80B25"/>
    <w:rsid w:val="5DEC6D1B"/>
    <w:rsid w:val="5DF254FF"/>
    <w:rsid w:val="5DFC1EDA"/>
    <w:rsid w:val="5DFE20F6"/>
    <w:rsid w:val="5E0569C2"/>
    <w:rsid w:val="5E0705E5"/>
    <w:rsid w:val="5E174F66"/>
    <w:rsid w:val="5E1E4546"/>
    <w:rsid w:val="5E226D3C"/>
    <w:rsid w:val="5E253E84"/>
    <w:rsid w:val="5E2A2EEB"/>
    <w:rsid w:val="5E2A7441"/>
    <w:rsid w:val="5E427E32"/>
    <w:rsid w:val="5E4715FE"/>
    <w:rsid w:val="5E4C10B3"/>
    <w:rsid w:val="5E5127F9"/>
    <w:rsid w:val="5E5132EC"/>
    <w:rsid w:val="5E547F68"/>
    <w:rsid w:val="5E6C7060"/>
    <w:rsid w:val="5E745F14"/>
    <w:rsid w:val="5E7971E5"/>
    <w:rsid w:val="5E851E72"/>
    <w:rsid w:val="5E8A5738"/>
    <w:rsid w:val="5E8C5954"/>
    <w:rsid w:val="5E941B9A"/>
    <w:rsid w:val="5E99597B"/>
    <w:rsid w:val="5E9A6159"/>
    <w:rsid w:val="5EA12C1A"/>
    <w:rsid w:val="5EA62EF7"/>
    <w:rsid w:val="5EAA7B88"/>
    <w:rsid w:val="5EAB349A"/>
    <w:rsid w:val="5EAB402C"/>
    <w:rsid w:val="5EB15B51"/>
    <w:rsid w:val="5EB6652D"/>
    <w:rsid w:val="5EBA517D"/>
    <w:rsid w:val="5EC075BB"/>
    <w:rsid w:val="5EC450EE"/>
    <w:rsid w:val="5EC96260"/>
    <w:rsid w:val="5ED115B9"/>
    <w:rsid w:val="5ED30E8D"/>
    <w:rsid w:val="5ED75432"/>
    <w:rsid w:val="5EDE253E"/>
    <w:rsid w:val="5EE27322"/>
    <w:rsid w:val="5EE37062"/>
    <w:rsid w:val="5EE43E9B"/>
    <w:rsid w:val="5EE85C1C"/>
    <w:rsid w:val="5EEC4DA1"/>
    <w:rsid w:val="5EED5BA7"/>
    <w:rsid w:val="5EF07C91"/>
    <w:rsid w:val="5EFF6126"/>
    <w:rsid w:val="5F0715BE"/>
    <w:rsid w:val="5F150990"/>
    <w:rsid w:val="5F190344"/>
    <w:rsid w:val="5F1A4D0E"/>
    <w:rsid w:val="5F1C521A"/>
    <w:rsid w:val="5F203BE5"/>
    <w:rsid w:val="5F265461"/>
    <w:rsid w:val="5F281498"/>
    <w:rsid w:val="5F2B2A77"/>
    <w:rsid w:val="5F3129DD"/>
    <w:rsid w:val="5F3B6A32"/>
    <w:rsid w:val="5F3B7727"/>
    <w:rsid w:val="5F3E7162"/>
    <w:rsid w:val="5F440A6B"/>
    <w:rsid w:val="5F45519E"/>
    <w:rsid w:val="5F4678B1"/>
    <w:rsid w:val="5F4F79F0"/>
    <w:rsid w:val="5F5E109E"/>
    <w:rsid w:val="5F61293D"/>
    <w:rsid w:val="5F646765"/>
    <w:rsid w:val="5F667638"/>
    <w:rsid w:val="5F692089"/>
    <w:rsid w:val="5F697A43"/>
    <w:rsid w:val="5F796DF2"/>
    <w:rsid w:val="5F7C184F"/>
    <w:rsid w:val="5F7C32D2"/>
    <w:rsid w:val="5F84662B"/>
    <w:rsid w:val="5F8623A3"/>
    <w:rsid w:val="5F88611B"/>
    <w:rsid w:val="5F887EC9"/>
    <w:rsid w:val="5F8F74AA"/>
    <w:rsid w:val="5F931795"/>
    <w:rsid w:val="5F993E84"/>
    <w:rsid w:val="5FA171DD"/>
    <w:rsid w:val="5FA8056B"/>
    <w:rsid w:val="5FAD04CC"/>
    <w:rsid w:val="5FAD7930"/>
    <w:rsid w:val="5FAF18FA"/>
    <w:rsid w:val="5FB011CE"/>
    <w:rsid w:val="5FB5629C"/>
    <w:rsid w:val="5FC058B5"/>
    <w:rsid w:val="5FCF0430"/>
    <w:rsid w:val="5FD01870"/>
    <w:rsid w:val="5FD32821"/>
    <w:rsid w:val="5FD667B9"/>
    <w:rsid w:val="5FDA1C75"/>
    <w:rsid w:val="5FDE3F8D"/>
    <w:rsid w:val="5FEA2932"/>
    <w:rsid w:val="5FF00F0B"/>
    <w:rsid w:val="5FF23595"/>
    <w:rsid w:val="5FF27A39"/>
    <w:rsid w:val="5FF36AFF"/>
    <w:rsid w:val="5FF4555F"/>
    <w:rsid w:val="5FFA1888"/>
    <w:rsid w:val="5FFB79CA"/>
    <w:rsid w:val="60001041"/>
    <w:rsid w:val="60003F04"/>
    <w:rsid w:val="60011A2A"/>
    <w:rsid w:val="60067040"/>
    <w:rsid w:val="600734E4"/>
    <w:rsid w:val="60095A9E"/>
    <w:rsid w:val="600960AF"/>
    <w:rsid w:val="6017124D"/>
    <w:rsid w:val="601C6864"/>
    <w:rsid w:val="601E082E"/>
    <w:rsid w:val="60212F1C"/>
    <w:rsid w:val="6023073C"/>
    <w:rsid w:val="602A5424"/>
    <w:rsid w:val="60341DFF"/>
    <w:rsid w:val="6037369D"/>
    <w:rsid w:val="603B13E0"/>
    <w:rsid w:val="60501C67"/>
    <w:rsid w:val="605063DF"/>
    <w:rsid w:val="60561D75"/>
    <w:rsid w:val="605C64DD"/>
    <w:rsid w:val="605E3679"/>
    <w:rsid w:val="605F57DA"/>
    <w:rsid w:val="60605DBF"/>
    <w:rsid w:val="60805044"/>
    <w:rsid w:val="608D12DB"/>
    <w:rsid w:val="60997EB4"/>
    <w:rsid w:val="609E3AA7"/>
    <w:rsid w:val="60AC5E39"/>
    <w:rsid w:val="60AD390E"/>
    <w:rsid w:val="60AE1BB1"/>
    <w:rsid w:val="60B847DE"/>
    <w:rsid w:val="60B947C9"/>
    <w:rsid w:val="60BF5B6D"/>
    <w:rsid w:val="60C2565D"/>
    <w:rsid w:val="60C56BDC"/>
    <w:rsid w:val="60C64578"/>
    <w:rsid w:val="60C80E91"/>
    <w:rsid w:val="60CD6B00"/>
    <w:rsid w:val="60D1764E"/>
    <w:rsid w:val="60D26B4A"/>
    <w:rsid w:val="60D3575A"/>
    <w:rsid w:val="60D46326"/>
    <w:rsid w:val="60DA29A7"/>
    <w:rsid w:val="60E530F9"/>
    <w:rsid w:val="60E6759D"/>
    <w:rsid w:val="60EA0710"/>
    <w:rsid w:val="60F037E4"/>
    <w:rsid w:val="60FB291D"/>
    <w:rsid w:val="60FD0443"/>
    <w:rsid w:val="60FF5E9B"/>
    <w:rsid w:val="61092C50"/>
    <w:rsid w:val="610F0176"/>
    <w:rsid w:val="611543D1"/>
    <w:rsid w:val="6117728B"/>
    <w:rsid w:val="61190304"/>
    <w:rsid w:val="61247DC5"/>
    <w:rsid w:val="61251748"/>
    <w:rsid w:val="612E593F"/>
    <w:rsid w:val="613D10EA"/>
    <w:rsid w:val="613F4944"/>
    <w:rsid w:val="61454633"/>
    <w:rsid w:val="61460D58"/>
    <w:rsid w:val="614B5652"/>
    <w:rsid w:val="615362B5"/>
    <w:rsid w:val="615F5AD8"/>
    <w:rsid w:val="617226F2"/>
    <w:rsid w:val="617E5752"/>
    <w:rsid w:val="618378A8"/>
    <w:rsid w:val="61842A3D"/>
    <w:rsid w:val="61882403"/>
    <w:rsid w:val="619568CD"/>
    <w:rsid w:val="619603DB"/>
    <w:rsid w:val="61984DF6"/>
    <w:rsid w:val="61A84853"/>
    <w:rsid w:val="61AD3C17"/>
    <w:rsid w:val="61B256D1"/>
    <w:rsid w:val="61B84E6A"/>
    <w:rsid w:val="61BA4586"/>
    <w:rsid w:val="61BE1664"/>
    <w:rsid w:val="61BE7D2A"/>
    <w:rsid w:val="61D2367E"/>
    <w:rsid w:val="61D531FE"/>
    <w:rsid w:val="61DE2022"/>
    <w:rsid w:val="61E627A8"/>
    <w:rsid w:val="61F2297E"/>
    <w:rsid w:val="61F23F94"/>
    <w:rsid w:val="61FE6777"/>
    <w:rsid w:val="620514A4"/>
    <w:rsid w:val="62090567"/>
    <w:rsid w:val="621023F8"/>
    <w:rsid w:val="62104EDF"/>
    <w:rsid w:val="62193481"/>
    <w:rsid w:val="62201702"/>
    <w:rsid w:val="62210161"/>
    <w:rsid w:val="62270F23"/>
    <w:rsid w:val="622A5268"/>
    <w:rsid w:val="622B7CBD"/>
    <w:rsid w:val="622C1E3E"/>
    <w:rsid w:val="62324E78"/>
    <w:rsid w:val="62326812"/>
    <w:rsid w:val="62377985"/>
    <w:rsid w:val="62410803"/>
    <w:rsid w:val="624502F4"/>
    <w:rsid w:val="62456545"/>
    <w:rsid w:val="627511AF"/>
    <w:rsid w:val="627B5AC3"/>
    <w:rsid w:val="62856942"/>
    <w:rsid w:val="629372B1"/>
    <w:rsid w:val="629468C0"/>
    <w:rsid w:val="62970EE5"/>
    <w:rsid w:val="62981979"/>
    <w:rsid w:val="629923ED"/>
    <w:rsid w:val="629D1EDE"/>
    <w:rsid w:val="62A0577C"/>
    <w:rsid w:val="62A06EB6"/>
    <w:rsid w:val="62A56FE4"/>
    <w:rsid w:val="62A573BE"/>
    <w:rsid w:val="62A80882"/>
    <w:rsid w:val="62B57DB5"/>
    <w:rsid w:val="62B611F1"/>
    <w:rsid w:val="62BF3354"/>
    <w:rsid w:val="62C14FC9"/>
    <w:rsid w:val="62C27B96"/>
    <w:rsid w:val="62CC5D8F"/>
    <w:rsid w:val="62CE0974"/>
    <w:rsid w:val="62DD22DA"/>
    <w:rsid w:val="62E0024A"/>
    <w:rsid w:val="62E27476"/>
    <w:rsid w:val="62E66DD3"/>
    <w:rsid w:val="62FB633C"/>
    <w:rsid w:val="62FE553A"/>
    <w:rsid w:val="63041F5D"/>
    <w:rsid w:val="630B232D"/>
    <w:rsid w:val="63102896"/>
    <w:rsid w:val="63114EA6"/>
    <w:rsid w:val="63127C48"/>
    <w:rsid w:val="63135514"/>
    <w:rsid w:val="634219A9"/>
    <w:rsid w:val="634265E1"/>
    <w:rsid w:val="63463232"/>
    <w:rsid w:val="635316E1"/>
    <w:rsid w:val="63536A40"/>
    <w:rsid w:val="63591084"/>
    <w:rsid w:val="635C0B38"/>
    <w:rsid w:val="635F53E5"/>
    <w:rsid w:val="63604CB9"/>
    <w:rsid w:val="636B19CD"/>
    <w:rsid w:val="636C3924"/>
    <w:rsid w:val="637349EC"/>
    <w:rsid w:val="637444F9"/>
    <w:rsid w:val="637716C3"/>
    <w:rsid w:val="637F3391"/>
    <w:rsid w:val="638135AD"/>
    <w:rsid w:val="63817A26"/>
    <w:rsid w:val="63830457"/>
    <w:rsid w:val="63846E1B"/>
    <w:rsid w:val="639A641D"/>
    <w:rsid w:val="63A70B3A"/>
    <w:rsid w:val="63A86D8C"/>
    <w:rsid w:val="63AE41EB"/>
    <w:rsid w:val="63B35731"/>
    <w:rsid w:val="63BF40D6"/>
    <w:rsid w:val="63C24031"/>
    <w:rsid w:val="63CD38F1"/>
    <w:rsid w:val="63D062E3"/>
    <w:rsid w:val="63DA4A6C"/>
    <w:rsid w:val="63E36C50"/>
    <w:rsid w:val="63E61662"/>
    <w:rsid w:val="63E82E91"/>
    <w:rsid w:val="63F14DDB"/>
    <w:rsid w:val="63FE4BFE"/>
    <w:rsid w:val="64034CF8"/>
    <w:rsid w:val="64045B83"/>
    <w:rsid w:val="64063FB3"/>
    <w:rsid w:val="6409723D"/>
    <w:rsid w:val="640F1388"/>
    <w:rsid w:val="64133D6A"/>
    <w:rsid w:val="6414138E"/>
    <w:rsid w:val="64155AA4"/>
    <w:rsid w:val="641724DD"/>
    <w:rsid w:val="641C5084"/>
    <w:rsid w:val="641F5EAD"/>
    <w:rsid w:val="64202DC6"/>
    <w:rsid w:val="64267CB1"/>
    <w:rsid w:val="642729F9"/>
    <w:rsid w:val="642B1D6C"/>
    <w:rsid w:val="643935DF"/>
    <w:rsid w:val="643C1282"/>
    <w:rsid w:val="643E4FFA"/>
    <w:rsid w:val="64410902"/>
    <w:rsid w:val="6445410C"/>
    <w:rsid w:val="644D156E"/>
    <w:rsid w:val="644F09B6"/>
    <w:rsid w:val="64516D3E"/>
    <w:rsid w:val="64540CC2"/>
    <w:rsid w:val="64682D09"/>
    <w:rsid w:val="647B7FFD"/>
    <w:rsid w:val="64857591"/>
    <w:rsid w:val="648D420D"/>
    <w:rsid w:val="648D4DC3"/>
    <w:rsid w:val="6492732E"/>
    <w:rsid w:val="64937B40"/>
    <w:rsid w:val="64964E36"/>
    <w:rsid w:val="64970025"/>
    <w:rsid w:val="649C7F73"/>
    <w:rsid w:val="64A77232"/>
    <w:rsid w:val="64A853C4"/>
    <w:rsid w:val="64A87A3E"/>
    <w:rsid w:val="64AC6408"/>
    <w:rsid w:val="64B13A1E"/>
    <w:rsid w:val="64B4350F"/>
    <w:rsid w:val="64C10B7B"/>
    <w:rsid w:val="64C32220"/>
    <w:rsid w:val="64C37BF6"/>
    <w:rsid w:val="64C72A0B"/>
    <w:rsid w:val="64D01D48"/>
    <w:rsid w:val="64D43BB1"/>
    <w:rsid w:val="64D616D7"/>
    <w:rsid w:val="64DE2339"/>
    <w:rsid w:val="64E414E0"/>
    <w:rsid w:val="64E813DB"/>
    <w:rsid w:val="64EB7DD2"/>
    <w:rsid w:val="64F210E5"/>
    <w:rsid w:val="64FF0C2E"/>
    <w:rsid w:val="650606C1"/>
    <w:rsid w:val="650A0BA4"/>
    <w:rsid w:val="65130235"/>
    <w:rsid w:val="651B21D8"/>
    <w:rsid w:val="652341F0"/>
    <w:rsid w:val="65293EFC"/>
    <w:rsid w:val="652C15E3"/>
    <w:rsid w:val="652E32C1"/>
    <w:rsid w:val="65312DB1"/>
    <w:rsid w:val="65314AB8"/>
    <w:rsid w:val="653463FD"/>
    <w:rsid w:val="653C786E"/>
    <w:rsid w:val="65455984"/>
    <w:rsid w:val="65491EA9"/>
    <w:rsid w:val="654C3747"/>
    <w:rsid w:val="65524A6E"/>
    <w:rsid w:val="655D5954"/>
    <w:rsid w:val="6562740E"/>
    <w:rsid w:val="65644F35"/>
    <w:rsid w:val="65690C5E"/>
    <w:rsid w:val="656B25DE"/>
    <w:rsid w:val="6578278E"/>
    <w:rsid w:val="657A4758"/>
    <w:rsid w:val="65890608"/>
    <w:rsid w:val="65966BFC"/>
    <w:rsid w:val="65971D5F"/>
    <w:rsid w:val="659770B8"/>
    <w:rsid w:val="65991807"/>
    <w:rsid w:val="65A43583"/>
    <w:rsid w:val="65B512EC"/>
    <w:rsid w:val="65B55790"/>
    <w:rsid w:val="65BC6B1F"/>
    <w:rsid w:val="65BE6B77"/>
    <w:rsid w:val="65C42B4E"/>
    <w:rsid w:val="65C44787"/>
    <w:rsid w:val="65C9123C"/>
    <w:rsid w:val="65CC2343"/>
    <w:rsid w:val="65D0360F"/>
    <w:rsid w:val="65D34B1C"/>
    <w:rsid w:val="65E10333"/>
    <w:rsid w:val="65EF0590"/>
    <w:rsid w:val="65F4462B"/>
    <w:rsid w:val="65FF4C5D"/>
    <w:rsid w:val="660015B1"/>
    <w:rsid w:val="660226AB"/>
    <w:rsid w:val="660559C1"/>
    <w:rsid w:val="66091638"/>
    <w:rsid w:val="660E4EA0"/>
    <w:rsid w:val="660F796A"/>
    <w:rsid w:val="662270C4"/>
    <w:rsid w:val="662621EA"/>
    <w:rsid w:val="66264F05"/>
    <w:rsid w:val="66344907"/>
    <w:rsid w:val="6635067F"/>
    <w:rsid w:val="663703FD"/>
    <w:rsid w:val="66394DEE"/>
    <w:rsid w:val="663B1C63"/>
    <w:rsid w:val="66407F82"/>
    <w:rsid w:val="66415276"/>
    <w:rsid w:val="664219D3"/>
    <w:rsid w:val="664A237C"/>
    <w:rsid w:val="664D7D9C"/>
    <w:rsid w:val="664E34EF"/>
    <w:rsid w:val="665C3A62"/>
    <w:rsid w:val="665F1C74"/>
    <w:rsid w:val="666A657B"/>
    <w:rsid w:val="66730C34"/>
    <w:rsid w:val="667F18FA"/>
    <w:rsid w:val="667F75BE"/>
    <w:rsid w:val="66A03D4A"/>
    <w:rsid w:val="66A43656"/>
    <w:rsid w:val="66A575B3"/>
    <w:rsid w:val="66AC6E68"/>
    <w:rsid w:val="66B45A48"/>
    <w:rsid w:val="66B5531C"/>
    <w:rsid w:val="66C806BD"/>
    <w:rsid w:val="66E04A8F"/>
    <w:rsid w:val="66E225B5"/>
    <w:rsid w:val="66E31E89"/>
    <w:rsid w:val="66E3632D"/>
    <w:rsid w:val="66E36EB5"/>
    <w:rsid w:val="66E83943"/>
    <w:rsid w:val="66E97CC5"/>
    <w:rsid w:val="66ED148A"/>
    <w:rsid w:val="66EF7312"/>
    <w:rsid w:val="66F44D63"/>
    <w:rsid w:val="66FB3677"/>
    <w:rsid w:val="66FD73EF"/>
    <w:rsid w:val="6712276E"/>
    <w:rsid w:val="671E598E"/>
    <w:rsid w:val="672B514D"/>
    <w:rsid w:val="672C1A82"/>
    <w:rsid w:val="673426E5"/>
    <w:rsid w:val="673812B4"/>
    <w:rsid w:val="6764121C"/>
    <w:rsid w:val="67680F2A"/>
    <w:rsid w:val="67760F4F"/>
    <w:rsid w:val="677E0BCC"/>
    <w:rsid w:val="67822F4A"/>
    <w:rsid w:val="67851681"/>
    <w:rsid w:val="678673E4"/>
    <w:rsid w:val="67931B01"/>
    <w:rsid w:val="67957E0D"/>
    <w:rsid w:val="67A04650"/>
    <w:rsid w:val="67AC5587"/>
    <w:rsid w:val="67B01AFC"/>
    <w:rsid w:val="67B0620F"/>
    <w:rsid w:val="67C41CBB"/>
    <w:rsid w:val="67CB129B"/>
    <w:rsid w:val="67D60B2D"/>
    <w:rsid w:val="67D96418"/>
    <w:rsid w:val="67E22141"/>
    <w:rsid w:val="67E914B3"/>
    <w:rsid w:val="67F105D6"/>
    <w:rsid w:val="67F72090"/>
    <w:rsid w:val="67FC76A6"/>
    <w:rsid w:val="68014D26"/>
    <w:rsid w:val="68040309"/>
    <w:rsid w:val="6809398D"/>
    <w:rsid w:val="680F0D3C"/>
    <w:rsid w:val="681B32D8"/>
    <w:rsid w:val="682747B8"/>
    <w:rsid w:val="68297331"/>
    <w:rsid w:val="682A1594"/>
    <w:rsid w:val="682C554B"/>
    <w:rsid w:val="683A1F7D"/>
    <w:rsid w:val="684B418A"/>
    <w:rsid w:val="68577E81"/>
    <w:rsid w:val="68631F9E"/>
    <w:rsid w:val="686B207C"/>
    <w:rsid w:val="687D6223"/>
    <w:rsid w:val="68817BAC"/>
    <w:rsid w:val="6899033F"/>
    <w:rsid w:val="68994EF5"/>
    <w:rsid w:val="689C49E5"/>
    <w:rsid w:val="689C6793"/>
    <w:rsid w:val="68A13DAA"/>
    <w:rsid w:val="68B03FED"/>
    <w:rsid w:val="68B44EF0"/>
    <w:rsid w:val="68C006D4"/>
    <w:rsid w:val="68C66398"/>
    <w:rsid w:val="68C93662"/>
    <w:rsid w:val="68CA77A4"/>
    <w:rsid w:val="68CC52CB"/>
    <w:rsid w:val="68CF6B69"/>
    <w:rsid w:val="68D65429"/>
    <w:rsid w:val="68E82E72"/>
    <w:rsid w:val="68EF0FB9"/>
    <w:rsid w:val="68F63773"/>
    <w:rsid w:val="68F93BE6"/>
    <w:rsid w:val="68FA5E59"/>
    <w:rsid w:val="68FB18DD"/>
    <w:rsid w:val="69006D97"/>
    <w:rsid w:val="69010518"/>
    <w:rsid w:val="69026B93"/>
    <w:rsid w:val="690305C1"/>
    <w:rsid w:val="690507DD"/>
    <w:rsid w:val="690600B1"/>
    <w:rsid w:val="69084D97"/>
    <w:rsid w:val="690F781B"/>
    <w:rsid w:val="69146C72"/>
    <w:rsid w:val="691746E1"/>
    <w:rsid w:val="691B0000"/>
    <w:rsid w:val="69211740"/>
    <w:rsid w:val="6936674C"/>
    <w:rsid w:val="69421E14"/>
    <w:rsid w:val="69440073"/>
    <w:rsid w:val="695D23C7"/>
    <w:rsid w:val="69614DFF"/>
    <w:rsid w:val="69735746"/>
    <w:rsid w:val="69747710"/>
    <w:rsid w:val="697C50FB"/>
    <w:rsid w:val="697D4817"/>
    <w:rsid w:val="698138EA"/>
    <w:rsid w:val="6981433F"/>
    <w:rsid w:val="698F62F8"/>
    <w:rsid w:val="699459C4"/>
    <w:rsid w:val="69974E78"/>
    <w:rsid w:val="69AA3132"/>
    <w:rsid w:val="69AC6EAA"/>
    <w:rsid w:val="69B600E5"/>
    <w:rsid w:val="69CA7330"/>
    <w:rsid w:val="69CE0BCF"/>
    <w:rsid w:val="69D75E91"/>
    <w:rsid w:val="69E105C7"/>
    <w:rsid w:val="69EE301F"/>
    <w:rsid w:val="69F04FE9"/>
    <w:rsid w:val="69F34ED6"/>
    <w:rsid w:val="69F82C36"/>
    <w:rsid w:val="69FD33AB"/>
    <w:rsid w:val="6A0B1E23"/>
    <w:rsid w:val="6A0C16F7"/>
    <w:rsid w:val="6A132A85"/>
    <w:rsid w:val="6A1D07AC"/>
    <w:rsid w:val="6A1F58CE"/>
    <w:rsid w:val="6A221DEB"/>
    <w:rsid w:val="6A273D6D"/>
    <w:rsid w:val="6A3F1ACC"/>
    <w:rsid w:val="6A520F40"/>
    <w:rsid w:val="6A537326"/>
    <w:rsid w:val="6A6606CE"/>
    <w:rsid w:val="6A707ED8"/>
    <w:rsid w:val="6A760816"/>
    <w:rsid w:val="6A806406"/>
    <w:rsid w:val="6A8E441C"/>
    <w:rsid w:val="6A907BF0"/>
    <w:rsid w:val="6A927CA8"/>
    <w:rsid w:val="6A995680"/>
    <w:rsid w:val="6AAC1383"/>
    <w:rsid w:val="6AAC6B9E"/>
    <w:rsid w:val="6AAD2EDA"/>
    <w:rsid w:val="6AAF69A7"/>
    <w:rsid w:val="6AB97AD1"/>
    <w:rsid w:val="6ABC136F"/>
    <w:rsid w:val="6ABF2FE7"/>
    <w:rsid w:val="6AC10733"/>
    <w:rsid w:val="6AC50223"/>
    <w:rsid w:val="6ACB15B2"/>
    <w:rsid w:val="6ACE3875"/>
    <w:rsid w:val="6AD246EE"/>
    <w:rsid w:val="6AD55F8D"/>
    <w:rsid w:val="6AD902FE"/>
    <w:rsid w:val="6ADA2CA1"/>
    <w:rsid w:val="6AEA3E69"/>
    <w:rsid w:val="6AF34616"/>
    <w:rsid w:val="6AF34882"/>
    <w:rsid w:val="6B054AC4"/>
    <w:rsid w:val="6B0A0803"/>
    <w:rsid w:val="6B0D754B"/>
    <w:rsid w:val="6B151B7B"/>
    <w:rsid w:val="6B19056F"/>
    <w:rsid w:val="6B222D57"/>
    <w:rsid w:val="6B234F4A"/>
    <w:rsid w:val="6B2D401B"/>
    <w:rsid w:val="6B2D5DC9"/>
    <w:rsid w:val="6B2D76DD"/>
    <w:rsid w:val="6B376C47"/>
    <w:rsid w:val="6B3B2294"/>
    <w:rsid w:val="6B460C38"/>
    <w:rsid w:val="6B523D5A"/>
    <w:rsid w:val="6B574BF4"/>
    <w:rsid w:val="6B5B46E4"/>
    <w:rsid w:val="6B7203BB"/>
    <w:rsid w:val="6B7632CC"/>
    <w:rsid w:val="6B83149A"/>
    <w:rsid w:val="6B865118"/>
    <w:rsid w:val="6B871777"/>
    <w:rsid w:val="6B8C2AEF"/>
    <w:rsid w:val="6B8F63AA"/>
    <w:rsid w:val="6B9607BE"/>
    <w:rsid w:val="6B9A6192"/>
    <w:rsid w:val="6B9B0F84"/>
    <w:rsid w:val="6BA33D7F"/>
    <w:rsid w:val="6BA77061"/>
    <w:rsid w:val="6BAF4A30"/>
    <w:rsid w:val="6BB36E88"/>
    <w:rsid w:val="6BBF210A"/>
    <w:rsid w:val="6BC02799"/>
    <w:rsid w:val="6BC0346B"/>
    <w:rsid w:val="6BC64931"/>
    <w:rsid w:val="6BC71D79"/>
    <w:rsid w:val="6BCB7818"/>
    <w:rsid w:val="6BCE3108"/>
    <w:rsid w:val="6BD91AAD"/>
    <w:rsid w:val="6BEC4054"/>
    <w:rsid w:val="6BF32268"/>
    <w:rsid w:val="6BFC2786"/>
    <w:rsid w:val="6BFD579B"/>
    <w:rsid w:val="6C0D5A20"/>
    <w:rsid w:val="6C106849"/>
    <w:rsid w:val="6C117498"/>
    <w:rsid w:val="6C1D408F"/>
    <w:rsid w:val="6C1E03F6"/>
    <w:rsid w:val="6C25596A"/>
    <w:rsid w:val="6C2C2459"/>
    <w:rsid w:val="6C361283"/>
    <w:rsid w:val="6C3A079D"/>
    <w:rsid w:val="6C3D64DF"/>
    <w:rsid w:val="6C4B7810"/>
    <w:rsid w:val="6C691082"/>
    <w:rsid w:val="6C693A2C"/>
    <w:rsid w:val="6C6A1D7E"/>
    <w:rsid w:val="6C7041BF"/>
    <w:rsid w:val="6C7216FC"/>
    <w:rsid w:val="6C7E3795"/>
    <w:rsid w:val="6C84053E"/>
    <w:rsid w:val="6C887360"/>
    <w:rsid w:val="6C8E11F8"/>
    <w:rsid w:val="6C8E6D3B"/>
    <w:rsid w:val="6C9746BD"/>
    <w:rsid w:val="6C9A59EB"/>
    <w:rsid w:val="6CA95923"/>
    <w:rsid w:val="6CAF118B"/>
    <w:rsid w:val="6CB33C5E"/>
    <w:rsid w:val="6CCE0EE6"/>
    <w:rsid w:val="6CD429A0"/>
    <w:rsid w:val="6CDA3D2E"/>
    <w:rsid w:val="6CDC1854"/>
    <w:rsid w:val="6CDD66D0"/>
    <w:rsid w:val="6CE4695B"/>
    <w:rsid w:val="6CEA0CB0"/>
    <w:rsid w:val="6CF03552"/>
    <w:rsid w:val="6CF05300"/>
    <w:rsid w:val="6CF36A4E"/>
    <w:rsid w:val="6D0A4613"/>
    <w:rsid w:val="6D0E7D64"/>
    <w:rsid w:val="6D1159A2"/>
    <w:rsid w:val="6D17288C"/>
    <w:rsid w:val="6D241F19"/>
    <w:rsid w:val="6D295025"/>
    <w:rsid w:val="6D2952A3"/>
    <w:rsid w:val="6D297CD2"/>
    <w:rsid w:val="6D396896"/>
    <w:rsid w:val="6D396CA7"/>
    <w:rsid w:val="6D401DE3"/>
    <w:rsid w:val="6D46263C"/>
    <w:rsid w:val="6D476454"/>
    <w:rsid w:val="6D490DE7"/>
    <w:rsid w:val="6D4B2536"/>
    <w:rsid w:val="6D505D9E"/>
    <w:rsid w:val="6D555DAC"/>
    <w:rsid w:val="6D5B6C1D"/>
    <w:rsid w:val="6D5E6C64"/>
    <w:rsid w:val="6D67149A"/>
    <w:rsid w:val="6D6A7E66"/>
    <w:rsid w:val="6D7101EF"/>
    <w:rsid w:val="6D761442"/>
    <w:rsid w:val="6D77332B"/>
    <w:rsid w:val="6D7962BE"/>
    <w:rsid w:val="6D7C4ED1"/>
    <w:rsid w:val="6D8C4E98"/>
    <w:rsid w:val="6D8C5028"/>
    <w:rsid w:val="6D99255B"/>
    <w:rsid w:val="6D9B170F"/>
    <w:rsid w:val="6DA716ED"/>
    <w:rsid w:val="6DAC1227"/>
    <w:rsid w:val="6DB07064"/>
    <w:rsid w:val="6DB620A5"/>
    <w:rsid w:val="6DC26C9C"/>
    <w:rsid w:val="6DC72298"/>
    <w:rsid w:val="6DD1441F"/>
    <w:rsid w:val="6DD72987"/>
    <w:rsid w:val="6DDB7D5E"/>
    <w:rsid w:val="6DDD2506"/>
    <w:rsid w:val="6DDD256B"/>
    <w:rsid w:val="6DE34497"/>
    <w:rsid w:val="6DE704B1"/>
    <w:rsid w:val="6DE97B69"/>
    <w:rsid w:val="6DEA4515"/>
    <w:rsid w:val="6DEC5AC7"/>
    <w:rsid w:val="6DF1132F"/>
    <w:rsid w:val="6DF17581"/>
    <w:rsid w:val="6DF30C26"/>
    <w:rsid w:val="6DFA4688"/>
    <w:rsid w:val="6E045599"/>
    <w:rsid w:val="6E0F4F1A"/>
    <w:rsid w:val="6E16692B"/>
    <w:rsid w:val="6E1C1EEA"/>
    <w:rsid w:val="6E1E369F"/>
    <w:rsid w:val="6E2434B3"/>
    <w:rsid w:val="6E2C680B"/>
    <w:rsid w:val="6E356DE0"/>
    <w:rsid w:val="6E3776AA"/>
    <w:rsid w:val="6E39307B"/>
    <w:rsid w:val="6E3A33C0"/>
    <w:rsid w:val="6E3B25AB"/>
    <w:rsid w:val="6E4325C4"/>
    <w:rsid w:val="6E4A7CF8"/>
    <w:rsid w:val="6E531FEA"/>
    <w:rsid w:val="6E5D4C17"/>
    <w:rsid w:val="6E5F098F"/>
    <w:rsid w:val="6E600263"/>
    <w:rsid w:val="6E611FA0"/>
    <w:rsid w:val="6E697118"/>
    <w:rsid w:val="6E75503C"/>
    <w:rsid w:val="6E7767A1"/>
    <w:rsid w:val="6E7A7FD0"/>
    <w:rsid w:val="6E80101B"/>
    <w:rsid w:val="6E851A78"/>
    <w:rsid w:val="6E875598"/>
    <w:rsid w:val="6E892224"/>
    <w:rsid w:val="6E963C85"/>
    <w:rsid w:val="6E9709DF"/>
    <w:rsid w:val="6E9D3438"/>
    <w:rsid w:val="6E9F0D8B"/>
    <w:rsid w:val="6EA52037"/>
    <w:rsid w:val="6EA6036C"/>
    <w:rsid w:val="6EA75E92"/>
    <w:rsid w:val="6EAC7DA4"/>
    <w:rsid w:val="6EAE5472"/>
    <w:rsid w:val="6EB256A9"/>
    <w:rsid w:val="6EB831D2"/>
    <w:rsid w:val="6EB83BFB"/>
    <w:rsid w:val="6ECC76A7"/>
    <w:rsid w:val="6ECD4377"/>
    <w:rsid w:val="6ED254D5"/>
    <w:rsid w:val="6EDA3413"/>
    <w:rsid w:val="6EEE586F"/>
    <w:rsid w:val="6EF70BC7"/>
    <w:rsid w:val="6EFC7F8C"/>
    <w:rsid w:val="6EFE0E98"/>
    <w:rsid w:val="6F0247A4"/>
    <w:rsid w:val="6F046FF9"/>
    <w:rsid w:val="6F062BB9"/>
    <w:rsid w:val="6F06705D"/>
    <w:rsid w:val="6F0B6421"/>
    <w:rsid w:val="6F104249"/>
    <w:rsid w:val="6F17672B"/>
    <w:rsid w:val="6F197EA7"/>
    <w:rsid w:val="6F1F4CEB"/>
    <w:rsid w:val="6F221091"/>
    <w:rsid w:val="6F265009"/>
    <w:rsid w:val="6F273343"/>
    <w:rsid w:val="6F2C13F5"/>
    <w:rsid w:val="6F2C770E"/>
    <w:rsid w:val="6F3565C2"/>
    <w:rsid w:val="6F3B6D06"/>
    <w:rsid w:val="6F3C4AC2"/>
    <w:rsid w:val="6F4147F7"/>
    <w:rsid w:val="6F472915"/>
    <w:rsid w:val="6F5002D8"/>
    <w:rsid w:val="6F51652A"/>
    <w:rsid w:val="6F54601A"/>
    <w:rsid w:val="6F6A1399"/>
    <w:rsid w:val="6F6C08B9"/>
    <w:rsid w:val="6F711689"/>
    <w:rsid w:val="6F743FC6"/>
    <w:rsid w:val="6F795A80"/>
    <w:rsid w:val="6F7A346D"/>
    <w:rsid w:val="6F7A39FD"/>
    <w:rsid w:val="6F7E7C9B"/>
    <w:rsid w:val="6F823ECC"/>
    <w:rsid w:val="6F881820"/>
    <w:rsid w:val="6F92269E"/>
    <w:rsid w:val="6F984159"/>
    <w:rsid w:val="6F9B6AE5"/>
    <w:rsid w:val="6F9E1043"/>
    <w:rsid w:val="6FA50623"/>
    <w:rsid w:val="6FAF4FFE"/>
    <w:rsid w:val="6FB22D40"/>
    <w:rsid w:val="6FB645DF"/>
    <w:rsid w:val="6FB91458"/>
    <w:rsid w:val="6FB940CF"/>
    <w:rsid w:val="6FBD6CD1"/>
    <w:rsid w:val="6FC50CC6"/>
    <w:rsid w:val="6FD74555"/>
    <w:rsid w:val="6FDB4045"/>
    <w:rsid w:val="6FE80510"/>
    <w:rsid w:val="6FE8491E"/>
    <w:rsid w:val="6FEB5E87"/>
    <w:rsid w:val="6FF2313D"/>
    <w:rsid w:val="6FFA1703"/>
    <w:rsid w:val="6FFD4D9E"/>
    <w:rsid w:val="70025D58"/>
    <w:rsid w:val="70053E82"/>
    <w:rsid w:val="70151F71"/>
    <w:rsid w:val="701B08E6"/>
    <w:rsid w:val="702B530B"/>
    <w:rsid w:val="70310109"/>
    <w:rsid w:val="7036788E"/>
    <w:rsid w:val="70383246"/>
    <w:rsid w:val="703D260A"/>
    <w:rsid w:val="70433998"/>
    <w:rsid w:val="704508E5"/>
    <w:rsid w:val="70480FAF"/>
    <w:rsid w:val="7049096A"/>
    <w:rsid w:val="70673B2B"/>
    <w:rsid w:val="70730315"/>
    <w:rsid w:val="70820965"/>
    <w:rsid w:val="708446DD"/>
    <w:rsid w:val="70883B9D"/>
    <w:rsid w:val="70887E51"/>
    <w:rsid w:val="708B7819"/>
    <w:rsid w:val="709A551D"/>
    <w:rsid w:val="70AE175A"/>
    <w:rsid w:val="70B14DA6"/>
    <w:rsid w:val="70B7060E"/>
    <w:rsid w:val="70BA2B7E"/>
    <w:rsid w:val="70BA3C5B"/>
    <w:rsid w:val="70BC3E77"/>
    <w:rsid w:val="70BD199D"/>
    <w:rsid w:val="70C73471"/>
    <w:rsid w:val="70CB5E68"/>
    <w:rsid w:val="70D61991"/>
    <w:rsid w:val="70DC41C6"/>
    <w:rsid w:val="70E138DD"/>
    <w:rsid w:val="70E60EF4"/>
    <w:rsid w:val="70E92792"/>
    <w:rsid w:val="70E94540"/>
    <w:rsid w:val="70F024E8"/>
    <w:rsid w:val="70F05252"/>
    <w:rsid w:val="70FC1DE6"/>
    <w:rsid w:val="70FD7FEB"/>
    <w:rsid w:val="71000A51"/>
    <w:rsid w:val="71092ED4"/>
    <w:rsid w:val="710B095A"/>
    <w:rsid w:val="71110778"/>
    <w:rsid w:val="71143AA9"/>
    <w:rsid w:val="71196D38"/>
    <w:rsid w:val="711A0B9D"/>
    <w:rsid w:val="71357785"/>
    <w:rsid w:val="713C78A1"/>
    <w:rsid w:val="714177A7"/>
    <w:rsid w:val="71453E6C"/>
    <w:rsid w:val="714A55F4"/>
    <w:rsid w:val="71534439"/>
    <w:rsid w:val="715A71EC"/>
    <w:rsid w:val="715F105E"/>
    <w:rsid w:val="71614A1E"/>
    <w:rsid w:val="716562BC"/>
    <w:rsid w:val="71722787"/>
    <w:rsid w:val="717952C7"/>
    <w:rsid w:val="717C53B4"/>
    <w:rsid w:val="71866233"/>
    <w:rsid w:val="71867FE1"/>
    <w:rsid w:val="718D75C1"/>
    <w:rsid w:val="718D7BCE"/>
    <w:rsid w:val="719426FE"/>
    <w:rsid w:val="7194538F"/>
    <w:rsid w:val="719713F5"/>
    <w:rsid w:val="719B2E25"/>
    <w:rsid w:val="71A322AC"/>
    <w:rsid w:val="71A62431"/>
    <w:rsid w:val="71B43C30"/>
    <w:rsid w:val="71B7463E"/>
    <w:rsid w:val="71C34D91"/>
    <w:rsid w:val="71C50B09"/>
    <w:rsid w:val="71D451F0"/>
    <w:rsid w:val="71E963C9"/>
    <w:rsid w:val="71EF53EB"/>
    <w:rsid w:val="71F03973"/>
    <w:rsid w:val="71FA003D"/>
    <w:rsid w:val="71FA2E59"/>
    <w:rsid w:val="72127391"/>
    <w:rsid w:val="72163DEB"/>
    <w:rsid w:val="721719F8"/>
    <w:rsid w:val="721E646B"/>
    <w:rsid w:val="722259B7"/>
    <w:rsid w:val="72330D72"/>
    <w:rsid w:val="72335600"/>
    <w:rsid w:val="7239784C"/>
    <w:rsid w:val="72403536"/>
    <w:rsid w:val="72412263"/>
    <w:rsid w:val="725618E7"/>
    <w:rsid w:val="72597CE5"/>
    <w:rsid w:val="725A3947"/>
    <w:rsid w:val="725B146D"/>
    <w:rsid w:val="725D51E5"/>
    <w:rsid w:val="725F46DB"/>
    <w:rsid w:val="726C7AEF"/>
    <w:rsid w:val="726E28BB"/>
    <w:rsid w:val="726F4F19"/>
    <w:rsid w:val="727B566C"/>
    <w:rsid w:val="727C1491"/>
    <w:rsid w:val="727D3192"/>
    <w:rsid w:val="7289422C"/>
    <w:rsid w:val="72936E59"/>
    <w:rsid w:val="72B27DED"/>
    <w:rsid w:val="72B566B1"/>
    <w:rsid w:val="72B62B48"/>
    <w:rsid w:val="72B768CA"/>
    <w:rsid w:val="72BB3CBA"/>
    <w:rsid w:val="72BC0BF9"/>
    <w:rsid w:val="72C41013"/>
    <w:rsid w:val="72C76B03"/>
    <w:rsid w:val="72D14842"/>
    <w:rsid w:val="72D37256"/>
    <w:rsid w:val="72D60D73"/>
    <w:rsid w:val="72ED5B8D"/>
    <w:rsid w:val="72F316A6"/>
    <w:rsid w:val="72FA6ED8"/>
    <w:rsid w:val="72FD42D3"/>
    <w:rsid w:val="730456BB"/>
    <w:rsid w:val="730D6C0C"/>
    <w:rsid w:val="73115E73"/>
    <w:rsid w:val="73200009"/>
    <w:rsid w:val="73247AB1"/>
    <w:rsid w:val="732B0E40"/>
    <w:rsid w:val="734354C1"/>
    <w:rsid w:val="73470BCB"/>
    <w:rsid w:val="7349576A"/>
    <w:rsid w:val="734D22BF"/>
    <w:rsid w:val="735859AD"/>
    <w:rsid w:val="73597B32"/>
    <w:rsid w:val="735A34D3"/>
    <w:rsid w:val="735A511C"/>
    <w:rsid w:val="735D2FC3"/>
    <w:rsid w:val="7363394A"/>
    <w:rsid w:val="736E1F2C"/>
    <w:rsid w:val="737027D3"/>
    <w:rsid w:val="73703C5B"/>
    <w:rsid w:val="737431A0"/>
    <w:rsid w:val="737A3B75"/>
    <w:rsid w:val="737B5663"/>
    <w:rsid w:val="737C169B"/>
    <w:rsid w:val="73832A2A"/>
    <w:rsid w:val="73890598"/>
    <w:rsid w:val="73891B3E"/>
    <w:rsid w:val="738B0DA0"/>
    <w:rsid w:val="739764D5"/>
    <w:rsid w:val="73A3155A"/>
    <w:rsid w:val="73A56E44"/>
    <w:rsid w:val="73A6496A"/>
    <w:rsid w:val="73B230BD"/>
    <w:rsid w:val="73B9469D"/>
    <w:rsid w:val="73C041F3"/>
    <w:rsid w:val="73CB65DE"/>
    <w:rsid w:val="73CE2914"/>
    <w:rsid w:val="73CF5C6F"/>
    <w:rsid w:val="73CF5E6E"/>
    <w:rsid w:val="73DC0680"/>
    <w:rsid w:val="73EC2CE6"/>
    <w:rsid w:val="73F05BE5"/>
    <w:rsid w:val="74161AF0"/>
    <w:rsid w:val="7423420D"/>
    <w:rsid w:val="7425049B"/>
    <w:rsid w:val="7431692A"/>
    <w:rsid w:val="74393A30"/>
    <w:rsid w:val="74425093"/>
    <w:rsid w:val="74484AA2"/>
    <w:rsid w:val="7449003A"/>
    <w:rsid w:val="744C5512"/>
    <w:rsid w:val="745F24CF"/>
    <w:rsid w:val="74707384"/>
    <w:rsid w:val="74707A28"/>
    <w:rsid w:val="74714F78"/>
    <w:rsid w:val="747F401A"/>
    <w:rsid w:val="74904B57"/>
    <w:rsid w:val="749E3893"/>
    <w:rsid w:val="74A013B9"/>
    <w:rsid w:val="74A810B4"/>
    <w:rsid w:val="74AB7F91"/>
    <w:rsid w:val="74AC4202"/>
    <w:rsid w:val="74BE5525"/>
    <w:rsid w:val="74C55558"/>
    <w:rsid w:val="74C9722F"/>
    <w:rsid w:val="74D6302D"/>
    <w:rsid w:val="74D86DA5"/>
    <w:rsid w:val="74DA2B1D"/>
    <w:rsid w:val="74DD260E"/>
    <w:rsid w:val="74E01FC7"/>
    <w:rsid w:val="74EE65C9"/>
    <w:rsid w:val="74F51705"/>
    <w:rsid w:val="75001F88"/>
    <w:rsid w:val="750162FC"/>
    <w:rsid w:val="750513B9"/>
    <w:rsid w:val="75096F5F"/>
    <w:rsid w:val="750B23F3"/>
    <w:rsid w:val="750E27C7"/>
    <w:rsid w:val="75101554"/>
    <w:rsid w:val="75114065"/>
    <w:rsid w:val="75153B55"/>
    <w:rsid w:val="75194C2E"/>
    <w:rsid w:val="751D0282"/>
    <w:rsid w:val="75330480"/>
    <w:rsid w:val="753517C8"/>
    <w:rsid w:val="75412B9C"/>
    <w:rsid w:val="75443288"/>
    <w:rsid w:val="7544443B"/>
    <w:rsid w:val="75514610"/>
    <w:rsid w:val="755328D0"/>
    <w:rsid w:val="755A171E"/>
    <w:rsid w:val="755C79D6"/>
    <w:rsid w:val="75640639"/>
    <w:rsid w:val="756D573F"/>
    <w:rsid w:val="75720FA8"/>
    <w:rsid w:val="757545F4"/>
    <w:rsid w:val="757C7A9C"/>
    <w:rsid w:val="758461E8"/>
    <w:rsid w:val="758C30DA"/>
    <w:rsid w:val="75A30A62"/>
    <w:rsid w:val="75A84B9C"/>
    <w:rsid w:val="75AA6994"/>
    <w:rsid w:val="75AD2855"/>
    <w:rsid w:val="75AD3D8E"/>
    <w:rsid w:val="75B87F01"/>
    <w:rsid w:val="75BA4BA7"/>
    <w:rsid w:val="75BC277D"/>
    <w:rsid w:val="75BF3AC1"/>
    <w:rsid w:val="75CB4B5C"/>
    <w:rsid w:val="75CB706E"/>
    <w:rsid w:val="75CD0C8A"/>
    <w:rsid w:val="75D037E8"/>
    <w:rsid w:val="75D532E5"/>
    <w:rsid w:val="75DC2DB7"/>
    <w:rsid w:val="75DE2752"/>
    <w:rsid w:val="75E023B5"/>
    <w:rsid w:val="75E31EA6"/>
    <w:rsid w:val="75E32B1D"/>
    <w:rsid w:val="75E35A02"/>
    <w:rsid w:val="75E83018"/>
    <w:rsid w:val="75EB2B08"/>
    <w:rsid w:val="75ED062E"/>
    <w:rsid w:val="75F031A2"/>
    <w:rsid w:val="75F220E9"/>
    <w:rsid w:val="75F35AFA"/>
    <w:rsid w:val="75F66D26"/>
    <w:rsid w:val="7612587E"/>
    <w:rsid w:val="76242558"/>
    <w:rsid w:val="7629332B"/>
    <w:rsid w:val="762F4B6E"/>
    <w:rsid w:val="76366080"/>
    <w:rsid w:val="763D5565"/>
    <w:rsid w:val="764721C1"/>
    <w:rsid w:val="76490BE8"/>
    <w:rsid w:val="764979B2"/>
    <w:rsid w:val="764A3CD3"/>
    <w:rsid w:val="764B1A5E"/>
    <w:rsid w:val="765035EC"/>
    <w:rsid w:val="765B5EE0"/>
    <w:rsid w:val="765F3B48"/>
    <w:rsid w:val="76633CEC"/>
    <w:rsid w:val="76635F23"/>
    <w:rsid w:val="766A6123"/>
    <w:rsid w:val="766C22C4"/>
    <w:rsid w:val="766E3BB5"/>
    <w:rsid w:val="767174B1"/>
    <w:rsid w:val="76935963"/>
    <w:rsid w:val="7697063C"/>
    <w:rsid w:val="769B262C"/>
    <w:rsid w:val="769D02A6"/>
    <w:rsid w:val="769D3E02"/>
    <w:rsid w:val="76B11EAD"/>
    <w:rsid w:val="76B65034"/>
    <w:rsid w:val="76C3664E"/>
    <w:rsid w:val="76C45E58"/>
    <w:rsid w:val="76C84CCD"/>
    <w:rsid w:val="76C975D8"/>
    <w:rsid w:val="76CD220E"/>
    <w:rsid w:val="76CE0460"/>
    <w:rsid w:val="76D35A76"/>
    <w:rsid w:val="76D63928"/>
    <w:rsid w:val="76E44D42"/>
    <w:rsid w:val="76F01E2B"/>
    <w:rsid w:val="76F22868"/>
    <w:rsid w:val="76F61765"/>
    <w:rsid w:val="76F71810"/>
    <w:rsid w:val="76FA1255"/>
    <w:rsid w:val="76FB321F"/>
    <w:rsid w:val="770B16B4"/>
    <w:rsid w:val="770E29B0"/>
    <w:rsid w:val="771437FA"/>
    <w:rsid w:val="771D3195"/>
    <w:rsid w:val="772334E2"/>
    <w:rsid w:val="77264C34"/>
    <w:rsid w:val="772919B5"/>
    <w:rsid w:val="772A69D9"/>
    <w:rsid w:val="772C3EBC"/>
    <w:rsid w:val="772C5186"/>
    <w:rsid w:val="772E7150"/>
    <w:rsid w:val="77381836"/>
    <w:rsid w:val="773A5AF5"/>
    <w:rsid w:val="773B6955"/>
    <w:rsid w:val="77407E24"/>
    <w:rsid w:val="774B32A4"/>
    <w:rsid w:val="775A7F45"/>
    <w:rsid w:val="775F730A"/>
    <w:rsid w:val="7763329E"/>
    <w:rsid w:val="77672932"/>
    <w:rsid w:val="776C1A27"/>
    <w:rsid w:val="777234E1"/>
    <w:rsid w:val="77774E17"/>
    <w:rsid w:val="777D48CF"/>
    <w:rsid w:val="777D59E2"/>
    <w:rsid w:val="77822FF8"/>
    <w:rsid w:val="77845AF5"/>
    <w:rsid w:val="7785279A"/>
    <w:rsid w:val="77860D3A"/>
    <w:rsid w:val="778E7BEF"/>
    <w:rsid w:val="77933457"/>
    <w:rsid w:val="779C3BC2"/>
    <w:rsid w:val="77B12F20"/>
    <w:rsid w:val="77BF2B51"/>
    <w:rsid w:val="77CA6CE6"/>
    <w:rsid w:val="77D505FD"/>
    <w:rsid w:val="77E56CCE"/>
    <w:rsid w:val="77E912C9"/>
    <w:rsid w:val="77EE04EA"/>
    <w:rsid w:val="77FC724F"/>
    <w:rsid w:val="77FE6B23"/>
    <w:rsid w:val="78075CB1"/>
    <w:rsid w:val="78087C0A"/>
    <w:rsid w:val="78124286"/>
    <w:rsid w:val="781B5927"/>
    <w:rsid w:val="781F21F0"/>
    <w:rsid w:val="78270901"/>
    <w:rsid w:val="78276E11"/>
    <w:rsid w:val="782F4F2E"/>
    <w:rsid w:val="78306EF8"/>
    <w:rsid w:val="7842068E"/>
    <w:rsid w:val="784838CF"/>
    <w:rsid w:val="78485DD1"/>
    <w:rsid w:val="784B0AE0"/>
    <w:rsid w:val="785823E7"/>
    <w:rsid w:val="786127B1"/>
    <w:rsid w:val="78654DF4"/>
    <w:rsid w:val="78713799"/>
    <w:rsid w:val="78811502"/>
    <w:rsid w:val="78812076"/>
    <w:rsid w:val="78941235"/>
    <w:rsid w:val="789C676E"/>
    <w:rsid w:val="78A75963"/>
    <w:rsid w:val="78AF606F"/>
    <w:rsid w:val="78B96EEE"/>
    <w:rsid w:val="78BB0D0B"/>
    <w:rsid w:val="78C0202A"/>
    <w:rsid w:val="78CC6C21"/>
    <w:rsid w:val="78D05664"/>
    <w:rsid w:val="78D41CE1"/>
    <w:rsid w:val="78D45AD6"/>
    <w:rsid w:val="78E0447A"/>
    <w:rsid w:val="78E131DA"/>
    <w:rsid w:val="78E51A91"/>
    <w:rsid w:val="78E83CFA"/>
    <w:rsid w:val="78EA5A5D"/>
    <w:rsid w:val="78EF0B61"/>
    <w:rsid w:val="78F41CD4"/>
    <w:rsid w:val="78F9378E"/>
    <w:rsid w:val="78FC2C2F"/>
    <w:rsid w:val="79002D6F"/>
    <w:rsid w:val="79026409"/>
    <w:rsid w:val="79055F45"/>
    <w:rsid w:val="79112886"/>
    <w:rsid w:val="79202AC9"/>
    <w:rsid w:val="792425B9"/>
    <w:rsid w:val="79246A5D"/>
    <w:rsid w:val="79282343"/>
    <w:rsid w:val="79296317"/>
    <w:rsid w:val="79382508"/>
    <w:rsid w:val="79450781"/>
    <w:rsid w:val="79464C25"/>
    <w:rsid w:val="794838A7"/>
    <w:rsid w:val="794B0B5D"/>
    <w:rsid w:val="794B26E7"/>
    <w:rsid w:val="79507852"/>
    <w:rsid w:val="79567142"/>
    <w:rsid w:val="795B1D53"/>
    <w:rsid w:val="79712931"/>
    <w:rsid w:val="797F3C93"/>
    <w:rsid w:val="798B6ADC"/>
    <w:rsid w:val="798E2128"/>
    <w:rsid w:val="798E3ED6"/>
    <w:rsid w:val="79981F9F"/>
    <w:rsid w:val="799B65F3"/>
    <w:rsid w:val="799F4335"/>
    <w:rsid w:val="79A656C4"/>
    <w:rsid w:val="79A74F98"/>
    <w:rsid w:val="79A86EA8"/>
    <w:rsid w:val="79AB5FAA"/>
    <w:rsid w:val="79AE4579"/>
    <w:rsid w:val="79B24069"/>
    <w:rsid w:val="79B55907"/>
    <w:rsid w:val="79BD2A0E"/>
    <w:rsid w:val="79D91C32"/>
    <w:rsid w:val="79D97847"/>
    <w:rsid w:val="79E81839"/>
    <w:rsid w:val="79F124F2"/>
    <w:rsid w:val="79F30625"/>
    <w:rsid w:val="79F765B1"/>
    <w:rsid w:val="79F97B32"/>
    <w:rsid w:val="7A0805B0"/>
    <w:rsid w:val="7A274AFF"/>
    <w:rsid w:val="7A356A48"/>
    <w:rsid w:val="7A3727C0"/>
    <w:rsid w:val="7A3B2C48"/>
    <w:rsid w:val="7A3B3A4A"/>
    <w:rsid w:val="7A3F18B6"/>
    <w:rsid w:val="7A43762E"/>
    <w:rsid w:val="7A4D1FE3"/>
    <w:rsid w:val="7A522F3E"/>
    <w:rsid w:val="7A5C2227"/>
    <w:rsid w:val="7A611196"/>
    <w:rsid w:val="7A6730A5"/>
    <w:rsid w:val="7A697FEA"/>
    <w:rsid w:val="7A6E15F9"/>
    <w:rsid w:val="7A7D43E3"/>
    <w:rsid w:val="7A831561"/>
    <w:rsid w:val="7A835A05"/>
    <w:rsid w:val="7A8F50A7"/>
    <w:rsid w:val="7A8F6158"/>
    <w:rsid w:val="7A990D85"/>
    <w:rsid w:val="7A993074"/>
    <w:rsid w:val="7AA01F48"/>
    <w:rsid w:val="7AA144D1"/>
    <w:rsid w:val="7AA37705"/>
    <w:rsid w:val="7AB22BAA"/>
    <w:rsid w:val="7AB234F8"/>
    <w:rsid w:val="7AB5361F"/>
    <w:rsid w:val="7ABD0F17"/>
    <w:rsid w:val="7ACD4A84"/>
    <w:rsid w:val="7AD85D51"/>
    <w:rsid w:val="7AE16415"/>
    <w:rsid w:val="7AE432DC"/>
    <w:rsid w:val="7AE61EA7"/>
    <w:rsid w:val="7AE67A67"/>
    <w:rsid w:val="7AEB37F7"/>
    <w:rsid w:val="7AF366E7"/>
    <w:rsid w:val="7AF67F85"/>
    <w:rsid w:val="7AFB1A3F"/>
    <w:rsid w:val="7AFC04F8"/>
    <w:rsid w:val="7AFD3B1B"/>
    <w:rsid w:val="7B09415C"/>
    <w:rsid w:val="7B0A05EE"/>
    <w:rsid w:val="7B15384A"/>
    <w:rsid w:val="7B1571DE"/>
    <w:rsid w:val="7B173BCD"/>
    <w:rsid w:val="7B22521E"/>
    <w:rsid w:val="7B276391"/>
    <w:rsid w:val="7B292109"/>
    <w:rsid w:val="7B2C1BF9"/>
    <w:rsid w:val="7B3D06D4"/>
    <w:rsid w:val="7B3F7B7E"/>
    <w:rsid w:val="7B401E98"/>
    <w:rsid w:val="7B454A69"/>
    <w:rsid w:val="7B4E1B6F"/>
    <w:rsid w:val="7B5353D8"/>
    <w:rsid w:val="7B5712A7"/>
    <w:rsid w:val="7B590514"/>
    <w:rsid w:val="7B5F5B2A"/>
    <w:rsid w:val="7B666C27"/>
    <w:rsid w:val="7B6A2721"/>
    <w:rsid w:val="7B7009C4"/>
    <w:rsid w:val="7B7742B6"/>
    <w:rsid w:val="7B783090"/>
    <w:rsid w:val="7B790813"/>
    <w:rsid w:val="7B827881"/>
    <w:rsid w:val="7B907FDF"/>
    <w:rsid w:val="7B9176A4"/>
    <w:rsid w:val="7B9652C4"/>
    <w:rsid w:val="7B9854E0"/>
    <w:rsid w:val="7B9F23CB"/>
    <w:rsid w:val="7BAE39E0"/>
    <w:rsid w:val="7BB45D05"/>
    <w:rsid w:val="7BB7446A"/>
    <w:rsid w:val="7BC96E99"/>
    <w:rsid w:val="7BD5403F"/>
    <w:rsid w:val="7BDF310F"/>
    <w:rsid w:val="7BE20509"/>
    <w:rsid w:val="7BE71528"/>
    <w:rsid w:val="7BF24489"/>
    <w:rsid w:val="7BFF2E69"/>
    <w:rsid w:val="7C0C5586"/>
    <w:rsid w:val="7C10151B"/>
    <w:rsid w:val="7C1A5EF5"/>
    <w:rsid w:val="7C3945CD"/>
    <w:rsid w:val="7C394D35"/>
    <w:rsid w:val="7C407D3A"/>
    <w:rsid w:val="7C41282C"/>
    <w:rsid w:val="7C443999"/>
    <w:rsid w:val="7C477EA4"/>
    <w:rsid w:val="7C4D5033"/>
    <w:rsid w:val="7C4E444D"/>
    <w:rsid w:val="7C505F25"/>
    <w:rsid w:val="7C536DC0"/>
    <w:rsid w:val="7C564767"/>
    <w:rsid w:val="7C5A082F"/>
    <w:rsid w:val="7C5F1B5A"/>
    <w:rsid w:val="7C615707"/>
    <w:rsid w:val="7C651C34"/>
    <w:rsid w:val="7C652646"/>
    <w:rsid w:val="7C660A57"/>
    <w:rsid w:val="7C6D5616"/>
    <w:rsid w:val="7C896BD7"/>
    <w:rsid w:val="7C8B5068"/>
    <w:rsid w:val="7C8B61EF"/>
    <w:rsid w:val="7C8D489B"/>
    <w:rsid w:val="7C9021AF"/>
    <w:rsid w:val="7C99506C"/>
    <w:rsid w:val="7CA67789"/>
    <w:rsid w:val="7CA75A76"/>
    <w:rsid w:val="7CAB2205"/>
    <w:rsid w:val="7CAB4D9F"/>
    <w:rsid w:val="7CAC4E5A"/>
    <w:rsid w:val="7CC04CEF"/>
    <w:rsid w:val="7CC320E9"/>
    <w:rsid w:val="7CC4169E"/>
    <w:rsid w:val="7CC55E61"/>
    <w:rsid w:val="7CC83BA3"/>
    <w:rsid w:val="7CD71D0F"/>
    <w:rsid w:val="7CDE1C69"/>
    <w:rsid w:val="7CDE6F23"/>
    <w:rsid w:val="7CE84977"/>
    <w:rsid w:val="7CEC7892"/>
    <w:rsid w:val="7CEF121E"/>
    <w:rsid w:val="7CEF6ED5"/>
    <w:rsid w:val="7CF259EC"/>
    <w:rsid w:val="7CF6426C"/>
    <w:rsid w:val="7CF85B69"/>
    <w:rsid w:val="7D012C11"/>
    <w:rsid w:val="7D031673"/>
    <w:rsid w:val="7D305FDE"/>
    <w:rsid w:val="7D3272C1"/>
    <w:rsid w:val="7D355DDF"/>
    <w:rsid w:val="7D3F20B7"/>
    <w:rsid w:val="7D46356F"/>
    <w:rsid w:val="7D480840"/>
    <w:rsid w:val="7D4C20DE"/>
    <w:rsid w:val="7D4F7E21"/>
    <w:rsid w:val="7D592A4D"/>
    <w:rsid w:val="7D641E37"/>
    <w:rsid w:val="7D6E64F9"/>
    <w:rsid w:val="7D7E5AF1"/>
    <w:rsid w:val="7D8442D2"/>
    <w:rsid w:val="7D871368"/>
    <w:rsid w:val="7D913F95"/>
    <w:rsid w:val="7D95465E"/>
    <w:rsid w:val="7D9A6D7A"/>
    <w:rsid w:val="7DA5350B"/>
    <w:rsid w:val="7DD345AE"/>
    <w:rsid w:val="7DD81BC4"/>
    <w:rsid w:val="7DD87AB4"/>
    <w:rsid w:val="7DE40569"/>
    <w:rsid w:val="7DF82266"/>
    <w:rsid w:val="7E081F37"/>
    <w:rsid w:val="7E090FD2"/>
    <w:rsid w:val="7E0E3838"/>
    <w:rsid w:val="7E110BB2"/>
    <w:rsid w:val="7E192C83"/>
    <w:rsid w:val="7E1D1CCD"/>
    <w:rsid w:val="7E1D2997"/>
    <w:rsid w:val="7E285CCD"/>
    <w:rsid w:val="7E2A13A3"/>
    <w:rsid w:val="7E4234E1"/>
    <w:rsid w:val="7E484343"/>
    <w:rsid w:val="7E494870"/>
    <w:rsid w:val="7E5E47BF"/>
    <w:rsid w:val="7E5E656D"/>
    <w:rsid w:val="7E60583E"/>
    <w:rsid w:val="7E6E42D6"/>
    <w:rsid w:val="7E755665"/>
    <w:rsid w:val="7E773953"/>
    <w:rsid w:val="7E865AC4"/>
    <w:rsid w:val="7E896AD1"/>
    <w:rsid w:val="7E8D5BC4"/>
    <w:rsid w:val="7EA877E8"/>
    <w:rsid w:val="7EA87821"/>
    <w:rsid w:val="7EB260E3"/>
    <w:rsid w:val="7EB4068F"/>
    <w:rsid w:val="7EC143E4"/>
    <w:rsid w:val="7ED405DD"/>
    <w:rsid w:val="7ED625A7"/>
    <w:rsid w:val="7ED700CE"/>
    <w:rsid w:val="7EE91B44"/>
    <w:rsid w:val="7EEA7964"/>
    <w:rsid w:val="7EF20BD8"/>
    <w:rsid w:val="7EF25CF4"/>
    <w:rsid w:val="7F0A3FFF"/>
    <w:rsid w:val="7F11490F"/>
    <w:rsid w:val="7F19125E"/>
    <w:rsid w:val="7F206EB7"/>
    <w:rsid w:val="7F2350C1"/>
    <w:rsid w:val="7F2476BA"/>
    <w:rsid w:val="7F283670"/>
    <w:rsid w:val="7F2A28F3"/>
    <w:rsid w:val="7F2B5928"/>
    <w:rsid w:val="7F3E014D"/>
    <w:rsid w:val="7F4263D6"/>
    <w:rsid w:val="7F5160D2"/>
    <w:rsid w:val="7F58120E"/>
    <w:rsid w:val="7F592821"/>
    <w:rsid w:val="7F5D2459"/>
    <w:rsid w:val="7F6531DB"/>
    <w:rsid w:val="7F753532"/>
    <w:rsid w:val="7F7F0611"/>
    <w:rsid w:val="7F81059C"/>
    <w:rsid w:val="7F8813C8"/>
    <w:rsid w:val="7F963AE5"/>
    <w:rsid w:val="7FA100BA"/>
    <w:rsid w:val="7FB5023B"/>
    <w:rsid w:val="7FB623D9"/>
    <w:rsid w:val="7FBA3EA2"/>
    <w:rsid w:val="7FCB4751"/>
    <w:rsid w:val="7FCB7C32"/>
    <w:rsid w:val="7FCD59AE"/>
    <w:rsid w:val="7FD4460D"/>
    <w:rsid w:val="7FD94E6C"/>
    <w:rsid w:val="7FDC1686"/>
    <w:rsid w:val="7FEA3E31"/>
    <w:rsid w:val="7FF30F37"/>
    <w:rsid w:val="7FF31F08"/>
    <w:rsid w:val="7FF32CE5"/>
    <w:rsid w:val="7FF627D5"/>
    <w:rsid w:val="7FF92801"/>
    <w:rsid w:val="7FFB7DEC"/>
    <w:rsid w:val="7FFC01F5"/>
    <w:rsid w:val="DBD7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99"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60"/>
    <w:autoRedefine/>
    <w:qFormat/>
    <w:uiPriority w:val="0"/>
    <w:pPr>
      <w:keepNext/>
      <w:keepLines/>
      <w:ind w:firstLine="0" w:firstLineChars="0"/>
      <w:jc w:val="center"/>
      <w:outlineLvl w:val="0"/>
    </w:pPr>
    <w:rPr>
      <w:b/>
      <w:bCs/>
      <w:kern w:val="44"/>
      <w:sz w:val="32"/>
      <w:szCs w:val="52"/>
    </w:rPr>
  </w:style>
  <w:style w:type="paragraph" w:styleId="4">
    <w:name w:val="heading 2"/>
    <w:basedOn w:val="1"/>
    <w:next w:val="1"/>
    <w:link w:val="61"/>
    <w:autoRedefine/>
    <w:qFormat/>
    <w:uiPriority w:val="0"/>
    <w:pPr>
      <w:keepNext/>
      <w:keepLines/>
      <w:ind w:firstLine="0" w:firstLineChars="0"/>
      <w:jc w:val="left"/>
      <w:outlineLvl w:val="1"/>
    </w:pPr>
    <w:rPr>
      <w:rFonts w:ascii="Cambria" w:hAnsi="Cambria"/>
      <w:b/>
      <w:bCs/>
      <w:sz w:val="28"/>
      <w:szCs w:val="32"/>
    </w:rPr>
  </w:style>
  <w:style w:type="paragraph" w:styleId="5">
    <w:name w:val="heading 3"/>
    <w:basedOn w:val="1"/>
    <w:next w:val="1"/>
    <w:link w:val="62"/>
    <w:autoRedefine/>
    <w:qFormat/>
    <w:uiPriority w:val="0"/>
    <w:pPr>
      <w:keepNext/>
      <w:keepLines/>
      <w:ind w:firstLine="0" w:firstLineChars="0"/>
      <w:outlineLvl w:val="2"/>
    </w:pPr>
    <w:rPr>
      <w:b/>
      <w:bCs/>
      <w:szCs w:val="32"/>
    </w:rPr>
  </w:style>
  <w:style w:type="paragraph" w:styleId="6">
    <w:name w:val="heading 4"/>
    <w:basedOn w:val="1"/>
    <w:next w:val="1"/>
    <w:link w:val="63"/>
    <w:autoRedefine/>
    <w:qFormat/>
    <w:uiPriority w:val="0"/>
    <w:pPr>
      <w:keepNext/>
      <w:keepLines/>
      <w:outlineLvl w:val="3"/>
    </w:pPr>
    <w:rPr>
      <w:b/>
      <w:bCs/>
      <w:szCs w:val="28"/>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9"/>
    <w:autoRedefine/>
    <w:qFormat/>
    <w:uiPriority w:val="0"/>
    <w:pPr>
      <w:adjustRightInd w:val="0"/>
      <w:spacing w:line="315" w:lineRule="atLeast"/>
      <w:ind w:firstLine="0" w:firstLineChars="0"/>
      <w:jc w:val="left"/>
    </w:pPr>
    <w:rPr>
      <w:rFonts w:ascii="仿宋_GB2312" w:hAnsi="Times New Roman" w:eastAsia="仿宋_GB2312"/>
      <w:kern w:val="0"/>
      <w:sz w:val="28"/>
      <w:szCs w:val="20"/>
    </w:rPr>
  </w:style>
  <w:style w:type="paragraph" w:styleId="7">
    <w:name w:val="toc 7"/>
    <w:basedOn w:val="1"/>
    <w:next w:val="1"/>
    <w:autoRedefine/>
    <w:qFormat/>
    <w:uiPriority w:val="0"/>
    <w:pPr>
      <w:spacing w:line="240" w:lineRule="auto"/>
      <w:ind w:left="1260" w:firstLine="0" w:firstLineChars="0"/>
      <w:jc w:val="left"/>
    </w:pPr>
    <w:rPr>
      <w:rFonts w:ascii="Times New Roman" w:hAnsi="Times New Roman"/>
      <w:szCs w:val="21"/>
    </w:rPr>
  </w:style>
  <w:style w:type="paragraph" w:styleId="8">
    <w:name w:val="Normal Indent"/>
    <w:basedOn w:val="1"/>
    <w:next w:val="1"/>
    <w:link w:val="64"/>
    <w:autoRedefine/>
    <w:qFormat/>
    <w:uiPriority w:val="0"/>
    <w:pPr>
      <w:spacing w:line="240" w:lineRule="auto"/>
      <w:ind w:firstLine="420" w:firstLineChars="0"/>
    </w:pPr>
    <w:rPr>
      <w:rFonts w:ascii="Times New Roman" w:hAnsi="Times New Roman"/>
      <w:sz w:val="21"/>
    </w:rPr>
  </w:style>
  <w:style w:type="paragraph" w:styleId="9">
    <w:name w:val="Document Map"/>
    <w:basedOn w:val="1"/>
    <w:link w:val="65"/>
    <w:autoRedefine/>
    <w:qFormat/>
    <w:uiPriority w:val="0"/>
    <w:rPr>
      <w:rFonts w:hAnsi="Times New Roman"/>
      <w:kern w:val="0"/>
      <w:sz w:val="18"/>
      <w:szCs w:val="18"/>
    </w:rPr>
  </w:style>
  <w:style w:type="paragraph" w:styleId="10">
    <w:name w:val="toa heading"/>
    <w:basedOn w:val="1"/>
    <w:next w:val="1"/>
    <w:autoRedefine/>
    <w:qFormat/>
    <w:uiPriority w:val="0"/>
    <w:pPr>
      <w:widowControl/>
      <w:spacing w:before="120"/>
      <w:jc w:val="left"/>
    </w:pPr>
    <w:rPr>
      <w:rFonts w:ascii="Arial" w:hAnsi="Arial"/>
      <w:szCs w:val="20"/>
    </w:rPr>
  </w:style>
  <w:style w:type="paragraph" w:styleId="11">
    <w:name w:val="annotation text"/>
    <w:basedOn w:val="1"/>
    <w:link w:val="66"/>
    <w:autoRedefine/>
    <w:qFormat/>
    <w:uiPriority w:val="0"/>
    <w:pPr>
      <w:spacing w:line="240" w:lineRule="auto"/>
      <w:ind w:firstLine="0" w:firstLineChars="0"/>
      <w:jc w:val="left"/>
    </w:pPr>
    <w:rPr>
      <w:rFonts w:ascii="Times New Roman" w:hAnsi="Times New Roman"/>
      <w:sz w:val="21"/>
    </w:rPr>
  </w:style>
  <w:style w:type="paragraph" w:styleId="12">
    <w:name w:val="Body Text 3"/>
    <w:basedOn w:val="1"/>
    <w:link w:val="67"/>
    <w:autoRedefine/>
    <w:qFormat/>
    <w:uiPriority w:val="0"/>
    <w:pPr>
      <w:spacing w:line="440" w:lineRule="atLeast"/>
      <w:ind w:firstLine="0" w:firstLineChars="0"/>
      <w:jc w:val="center"/>
    </w:pPr>
    <w:rPr>
      <w:rFonts w:ascii="楷体_GB2312" w:hAnsi="Times New Roman" w:eastAsia="楷体_GB2312"/>
      <w:b/>
      <w:color w:val="000000"/>
      <w:sz w:val="30"/>
    </w:rPr>
  </w:style>
  <w:style w:type="paragraph" w:styleId="13">
    <w:name w:val="List Bullet 3"/>
    <w:basedOn w:val="1"/>
    <w:autoRedefine/>
    <w:qFormat/>
    <w:uiPriority w:val="0"/>
    <w:pPr>
      <w:numPr>
        <w:ilvl w:val="0"/>
        <w:numId w:val="1"/>
      </w:numPr>
      <w:tabs>
        <w:tab w:val="left" w:pos="720"/>
      </w:tabs>
      <w:spacing w:line="240" w:lineRule="auto"/>
      <w:ind w:firstLine="0" w:firstLineChars="0"/>
    </w:pPr>
    <w:rPr>
      <w:rFonts w:ascii="Times New Roman" w:hAnsi="Times New Roman"/>
    </w:rPr>
  </w:style>
  <w:style w:type="paragraph" w:styleId="14">
    <w:name w:val="Body Text Indent"/>
    <w:basedOn w:val="1"/>
    <w:next w:val="15"/>
    <w:link w:val="68"/>
    <w:autoRedefine/>
    <w:qFormat/>
    <w:uiPriority w:val="0"/>
    <w:pPr>
      <w:widowControl/>
      <w:autoSpaceDE w:val="0"/>
      <w:autoSpaceDN w:val="0"/>
      <w:snapToGrid w:val="0"/>
      <w:spacing w:before="120" w:line="400" w:lineRule="atLeast"/>
      <w:ind w:firstLine="570" w:firstLineChars="0"/>
    </w:pPr>
    <w:rPr>
      <w:rFonts w:hAnsi="Times New Roman"/>
      <w:kern w:val="0"/>
      <w:szCs w:val="20"/>
    </w:rPr>
  </w:style>
  <w:style w:type="paragraph" w:styleId="15">
    <w:name w:val="envelope return"/>
    <w:basedOn w:val="1"/>
    <w:autoRedefine/>
    <w:qFormat/>
    <w:uiPriority w:val="99"/>
    <w:pPr>
      <w:snapToGrid w:val="0"/>
    </w:pPr>
    <w:rPr>
      <w:rFonts w:ascii="Arial" w:hAnsi="Arial"/>
    </w:rPr>
  </w:style>
  <w:style w:type="paragraph" w:styleId="16">
    <w:name w:val="List 2"/>
    <w:basedOn w:val="1"/>
    <w:autoRedefine/>
    <w:qFormat/>
    <w:uiPriority w:val="0"/>
    <w:pPr>
      <w:spacing w:line="240" w:lineRule="auto"/>
      <w:ind w:left="100" w:leftChars="200" w:hanging="200" w:hangingChars="200"/>
    </w:pPr>
    <w:rPr>
      <w:rFonts w:ascii="Times New Roman" w:hAnsi="Times New Roman"/>
    </w:rPr>
  </w:style>
  <w:style w:type="paragraph" w:styleId="17">
    <w:name w:val="List Bullet 2"/>
    <w:basedOn w:val="1"/>
    <w:next w:val="13"/>
    <w:autoRedefine/>
    <w:qFormat/>
    <w:uiPriority w:val="0"/>
    <w:pPr>
      <w:numPr>
        <w:ilvl w:val="0"/>
        <w:numId w:val="2"/>
      </w:numPr>
      <w:tabs>
        <w:tab w:val="left" w:pos="780"/>
      </w:tabs>
      <w:spacing w:after="100" w:afterAutospacing="1" w:line="240" w:lineRule="auto"/>
      <w:ind w:firstLine="0" w:firstLineChars="0"/>
    </w:pPr>
    <w:rPr>
      <w:rFonts w:ascii="Times New Roman" w:hAnsi="Times New Roman" w:eastAsia="仿宋_GB2312"/>
    </w:rPr>
  </w:style>
  <w:style w:type="paragraph" w:styleId="18">
    <w:name w:val="toc 5"/>
    <w:basedOn w:val="1"/>
    <w:next w:val="1"/>
    <w:autoRedefine/>
    <w:qFormat/>
    <w:uiPriority w:val="0"/>
    <w:pPr>
      <w:spacing w:line="240" w:lineRule="auto"/>
      <w:ind w:left="840" w:firstLine="0" w:firstLineChars="0"/>
      <w:jc w:val="left"/>
    </w:pPr>
    <w:rPr>
      <w:rFonts w:ascii="Times New Roman" w:hAnsi="Times New Roman"/>
      <w:szCs w:val="21"/>
    </w:rPr>
  </w:style>
  <w:style w:type="paragraph" w:styleId="19">
    <w:name w:val="toc 3"/>
    <w:basedOn w:val="1"/>
    <w:next w:val="1"/>
    <w:autoRedefine/>
    <w:qFormat/>
    <w:uiPriority w:val="0"/>
    <w:pPr>
      <w:spacing w:line="240" w:lineRule="auto"/>
      <w:ind w:left="420" w:firstLine="0" w:firstLineChars="0"/>
      <w:jc w:val="left"/>
    </w:pPr>
    <w:rPr>
      <w:rFonts w:ascii="Times New Roman" w:hAnsi="Times New Roman"/>
      <w:i/>
      <w:iCs/>
    </w:rPr>
  </w:style>
  <w:style w:type="paragraph" w:styleId="20">
    <w:name w:val="Plain Text"/>
    <w:basedOn w:val="1"/>
    <w:link w:val="69"/>
    <w:autoRedefine/>
    <w:qFormat/>
    <w:uiPriority w:val="0"/>
    <w:pPr>
      <w:spacing w:line="240" w:lineRule="auto"/>
      <w:ind w:firstLine="0" w:firstLineChars="0"/>
    </w:pPr>
    <w:rPr>
      <w:rFonts w:hAnsi="Courier New"/>
      <w:sz w:val="21"/>
      <w:szCs w:val="20"/>
    </w:rPr>
  </w:style>
  <w:style w:type="paragraph" w:styleId="21">
    <w:name w:val="toc 8"/>
    <w:basedOn w:val="1"/>
    <w:next w:val="1"/>
    <w:autoRedefine/>
    <w:qFormat/>
    <w:uiPriority w:val="0"/>
    <w:pPr>
      <w:spacing w:line="240" w:lineRule="auto"/>
      <w:ind w:left="1470" w:firstLine="0" w:firstLineChars="0"/>
      <w:jc w:val="left"/>
    </w:pPr>
    <w:rPr>
      <w:rFonts w:ascii="Times New Roman" w:hAnsi="Times New Roman"/>
      <w:szCs w:val="21"/>
    </w:rPr>
  </w:style>
  <w:style w:type="paragraph" w:styleId="22">
    <w:name w:val="Date"/>
    <w:basedOn w:val="1"/>
    <w:next w:val="1"/>
    <w:link w:val="70"/>
    <w:autoRedefine/>
    <w:qFormat/>
    <w:uiPriority w:val="0"/>
    <w:pPr>
      <w:spacing w:line="240" w:lineRule="auto"/>
      <w:ind w:left="100" w:leftChars="2500" w:firstLine="0" w:firstLineChars="0"/>
    </w:pPr>
    <w:rPr>
      <w:rFonts w:ascii="Times New Roman" w:hAnsi="Times New Roman"/>
      <w:color w:val="000000"/>
    </w:rPr>
  </w:style>
  <w:style w:type="paragraph" w:styleId="23">
    <w:name w:val="Body Text Indent 2"/>
    <w:basedOn w:val="1"/>
    <w:next w:val="24"/>
    <w:link w:val="71"/>
    <w:autoRedefine/>
    <w:qFormat/>
    <w:uiPriority w:val="0"/>
    <w:pPr>
      <w:widowControl/>
      <w:spacing w:line="480" w:lineRule="atLeast"/>
      <w:ind w:firstLine="480" w:firstLineChars="0"/>
    </w:pPr>
    <w:rPr>
      <w:rFonts w:hAnsi="Times New Roman"/>
      <w:kern w:val="0"/>
      <w:szCs w:val="20"/>
    </w:rPr>
  </w:style>
  <w:style w:type="paragraph" w:customStyle="1" w:styleId="24">
    <w:name w:val="z正文"/>
    <w:basedOn w:val="20"/>
    <w:autoRedefine/>
    <w:qFormat/>
    <w:uiPriority w:val="99"/>
    <w:pPr>
      <w:tabs>
        <w:tab w:val="left" w:pos="525"/>
      </w:tabs>
      <w:snapToGrid w:val="0"/>
      <w:spacing w:line="360" w:lineRule="auto"/>
    </w:pPr>
    <w:rPr>
      <w:rFonts w:hAnsi="宋体"/>
      <w:sz w:val="24"/>
    </w:rPr>
  </w:style>
  <w:style w:type="paragraph" w:styleId="25">
    <w:name w:val="Balloon Text"/>
    <w:basedOn w:val="1"/>
    <w:link w:val="72"/>
    <w:autoRedefine/>
    <w:qFormat/>
    <w:uiPriority w:val="0"/>
    <w:rPr>
      <w:rFonts w:ascii="Times New Roman" w:hAnsi="Times New Roman"/>
      <w:kern w:val="0"/>
      <w:sz w:val="18"/>
      <w:szCs w:val="18"/>
    </w:rPr>
  </w:style>
  <w:style w:type="paragraph" w:styleId="26">
    <w:name w:val="footer"/>
    <w:basedOn w:val="1"/>
    <w:link w:val="73"/>
    <w:autoRedefine/>
    <w:qFormat/>
    <w:uiPriority w:val="99"/>
    <w:pPr>
      <w:tabs>
        <w:tab w:val="center" w:pos="4153"/>
        <w:tab w:val="right" w:pos="8306"/>
      </w:tabs>
      <w:snapToGrid w:val="0"/>
      <w:jc w:val="left"/>
    </w:pPr>
    <w:rPr>
      <w:rFonts w:ascii="Times New Roman" w:hAnsi="Times New Roman"/>
      <w:kern w:val="0"/>
      <w:sz w:val="18"/>
      <w:szCs w:val="18"/>
    </w:rPr>
  </w:style>
  <w:style w:type="paragraph" w:styleId="27">
    <w:name w:val="header"/>
    <w:basedOn w:val="1"/>
    <w:link w:val="74"/>
    <w:autoRedefine/>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28">
    <w:name w:val="toc 1"/>
    <w:basedOn w:val="1"/>
    <w:next w:val="1"/>
    <w:autoRedefine/>
    <w:qFormat/>
    <w:uiPriority w:val="0"/>
    <w:pPr>
      <w:tabs>
        <w:tab w:val="right" w:leader="dot" w:pos="8296"/>
      </w:tabs>
      <w:ind w:firstLine="0" w:firstLineChars="0"/>
    </w:pPr>
    <w:rPr>
      <w:rFonts w:ascii="Times New Roman" w:hAnsi="Times New Roman"/>
    </w:rPr>
  </w:style>
  <w:style w:type="paragraph" w:styleId="29">
    <w:name w:val="toc 4"/>
    <w:basedOn w:val="1"/>
    <w:next w:val="1"/>
    <w:autoRedefine/>
    <w:qFormat/>
    <w:uiPriority w:val="0"/>
    <w:pPr>
      <w:spacing w:line="240" w:lineRule="auto"/>
      <w:ind w:left="630" w:firstLine="0" w:firstLineChars="0"/>
      <w:jc w:val="left"/>
    </w:pPr>
    <w:rPr>
      <w:rFonts w:ascii="Times New Roman" w:hAnsi="Times New Roman"/>
      <w:szCs w:val="21"/>
    </w:rPr>
  </w:style>
  <w:style w:type="paragraph" w:styleId="30">
    <w:name w:val="List"/>
    <w:basedOn w:val="1"/>
    <w:autoRedefine/>
    <w:qFormat/>
    <w:uiPriority w:val="0"/>
    <w:pPr>
      <w:spacing w:line="240" w:lineRule="auto"/>
      <w:ind w:left="420" w:hanging="420" w:firstLineChars="0"/>
    </w:pPr>
    <w:rPr>
      <w:rFonts w:ascii="Times New Roman" w:hAnsi="Times New Roman"/>
      <w:szCs w:val="20"/>
    </w:rPr>
  </w:style>
  <w:style w:type="paragraph" w:styleId="31">
    <w:name w:val="toc 6"/>
    <w:basedOn w:val="1"/>
    <w:next w:val="1"/>
    <w:autoRedefine/>
    <w:qFormat/>
    <w:uiPriority w:val="0"/>
    <w:pPr>
      <w:spacing w:line="240" w:lineRule="auto"/>
      <w:ind w:left="1050" w:firstLine="0" w:firstLineChars="0"/>
      <w:jc w:val="left"/>
    </w:pPr>
    <w:rPr>
      <w:rFonts w:ascii="Times New Roman" w:hAnsi="Times New Roman"/>
      <w:szCs w:val="21"/>
    </w:rPr>
  </w:style>
  <w:style w:type="paragraph" w:styleId="32">
    <w:name w:val="Body Text Indent 3"/>
    <w:basedOn w:val="1"/>
    <w:link w:val="75"/>
    <w:autoRedefine/>
    <w:qFormat/>
    <w:uiPriority w:val="0"/>
    <w:pPr>
      <w:autoSpaceDE w:val="0"/>
      <w:autoSpaceDN w:val="0"/>
      <w:spacing w:line="400" w:lineRule="atLeast"/>
      <w:ind w:firstLine="443"/>
    </w:pPr>
    <w:rPr>
      <w:rFonts w:ascii="Times New Roman" w:hAnsi="Times New Roman" w:eastAsia="黑体"/>
      <w:color w:val="000000"/>
    </w:rPr>
  </w:style>
  <w:style w:type="paragraph" w:styleId="33">
    <w:name w:val="index 7"/>
    <w:basedOn w:val="1"/>
    <w:next w:val="1"/>
    <w:autoRedefine/>
    <w:semiHidden/>
    <w:qFormat/>
    <w:uiPriority w:val="99"/>
    <w:pPr>
      <w:ind w:left="1200" w:leftChars="1200"/>
    </w:pPr>
  </w:style>
  <w:style w:type="paragraph" w:styleId="34">
    <w:name w:val="toc 2"/>
    <w:basedOn w:val="1"/>
    <w:next w:val="1"/>
    <w:autoRedefine/>
    <w:qFormat/>
    <w:uiPriority w:val="0"/>
    <w:pPr>
      <w:tabs>
        <w:tab w:val="right" w:leader="dot" w:pos="8296"/>
      </w:tabs>
      <w:ind w:left="420" w:leftChars="200" w:firstLine="0" w:firstLineChars="0"/>
    </w:pPr>
    <w:rPr>
      <w:rFonts w:ascii="Times New Roman" w:hAnsi="Times New Roman"/>
    </w:rPr>
  </w:style>
  <w:style w:type="paragraph" w:styleId="35">
    <w:name w:val="toc 9"/>
    <w:basedOn w:val="1"/>
    <w:next w:val="1"/>
    <w:autoRedefine/>
    <w:qFormat/>
    <w:uiPriority w:val="0"/>
    <w:pPr>
      <w:spacing w:line="240" w:lineRule="auto"/>
      <w:ind w:left="1680" w:firstLine="0" w:firstLineChars="0"/>
      <w:jc w:val="left"/>
    </w:pPr>
    <w:rPr>
      <w:rFonts w:ascii="Times New Roman" w:hAnsi="Times New Roman"/>
      <w:szCs w:val="21"/>
    </w:rPr>
  </w:style>
  <w:style w:type="paragraph" w:styleId="36">
    <w:name w:val="Body Text 2"/>
    <w:basedOn w:val="1"/>
    <w:link w:val="76"/>
    <w:autoRedefine/>
    <w:qFormat/>
    <w:uiPriority w:val="0"/>
    <w:pPr>
      <w:spacing w:line="240" w:lineRule="auto"/>
      <w:ind w:firstLine="0" w:firstLineChars="0"/>
    </w:pPr>
    <w:rPr>
      <w:rFonts w:ascii="Times New Roman" w:hAnsi="Times New Roman"/>
      <w:b/>
      <w:bCs/>
      <w:color w:val="000000"/>
      <w:sz w:val="28"/>
    </w:rPr>
  </w:style>
  <w:style w:type="paragraph" w:styleId="37">
    <w:name w:val="HTML Preformatted"/>
    <w:basedOn w:val="1"/>
    <w:link w:val="7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kern w:val="0"/>
      <w:sz w:val="20"/>
      <w:szCs w:val="20"/>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kern w:val="0"/>
    </w:rPr>
  </w:style>
  <w:style w:type="paragraph" w:styleId="39">
    <w:name w:val="Title"/>
    <w:basedOn w:val="1"/>
    <w:link w:val="78"/>
    <w:autoRedefine/>
    <w:qFormat/>
    <w:uiPriority w:val="0"/>
    <w:pPr>
      <w:spacing w:line="240" w:lineRule="auto"/>
      <w:ind w:firstLine="0" w:firstLineChars="0"/>
      <w:jc w:val="center"/>
    </w:pPr>
    <w:rPr>
      <w:rFonts w:ascii="Times New Roman" w:hAnsi="Times New Roman"/>
      <w:sz w:val="30"/>
    </w:rPr>
  </w:style>
  <w:style w:type="paragraph" w:styleId="40">
    <w:name w:val="annotation subject"/>
    <w:basedOn w:val="11"/>
    <w:next w:val="11"/>
    <w:link w:val="79"/>
    <w:autoRedefine/>
    <w:qFormat/>
    <w:uiPriority w:val="0"/>
    <w:rPr>
      <w:b/>
      <w:bCs/>
    </w:rPr>
  </w:style>
  <w:style w:type="paragraph" w:styleId="41">
    <w:name w:val="Body Text First Indent"/>
    <w:basedOn w:val="2"/>
    <w:next w:val="31"/>
    <w:autoRedefine/>
    <w:qFormat/>
    <w:uiPriority w:val="0"/>
    <w:pPr>
      <w:adjustRightInd/>
      <w:spacing w:after="120" w:line="240" w:lineRule="auto"/>
      <w:ind w:firstLine="420" w:firstLineChars="100"/>
      <w:jc w:val="both"/>
    </w:pPr>
    <w:rPr>
      <w:rFonts w:ascii="Times New Roman" w:hAnsi="金山简黑体" w:eastAsia="金山简黑体" w:cs="宋体"/>
      <w:spacing w:val="-8"/>
      <w:kern w:val="2"/>
      <w:sz w:val="21"/>
      <w:szCs w:val="24"/>
    </w:rPr>
  </w:style>
  <w:style w:type="paragraph" w:styleId="42">
    <w:name w:val="Body Text First Indent 2"/>
    <w:basedOn w:val="14"/>
    <w:next w:val="43"/>
    <w:autoRedefine/>
    <w:qFormat/>
    <w:uiPriority w:val="0"/>
    <w:pPr>
      <w:ind w:firstLine="420" w:firstLineChars="200"/>
    </w:pPr>
    <w:rPr>
      <w:rFonts w:ascii="Times New Roman"/>
    </w:rPr>
  </w:style>
  <w:style w:type="paragraph" w:customStyle="1" w:styleId="43">
    <w:name w:val="xl53"/>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rPr>
  </w:style>
  <w:style w:type="table" w:styleId="45">
    <w:name w:val="Table Grid"/>
    <w:basedOn w:val="4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0"/>
    <w:rPr>
      <w:rFonts w:ascii="Times New Roman" w:hAnsi="Times New Roman" w:eastAsia="宋体" w:cs="Times New Roman"/>
      <w:b/>
    </w:rPr>
  </w:style>
  <w:style w:type="character" w:styleId="48">
    <w:name w:val="page number"/>
    <w:autoRedefine/>
    <w:qFormat/>
    <w:uiPriority w:val="0"/>
    <w:rPr>
      <w:rFonts w:ascii="Times New Roman" w:hAnsi="Times New Roman" w:eastAsia="宋体" w:cs="Times New Roman"/>
    </w:rPr>
  </w:style>
  <w:style w:type="character" w:styleId="49">
    <w:name w:val="FollowedHyperlink"/>
    <w:autoRedefine/>
    <w:qFormat/>
    <w:uiPriority w:val="0"/>
    <w:rPr>
      <w:rFonts w:ascii="Times New Roman" w:hAnsi="Times New Roman" w:eastAsia="宋体" w:cs="Times New Roman"/>
      <w:color w:val="800080"/>
      <w:u w:val="single"/>
    </w:rPr>
  </w:style>
  <w:style w:type="character" w:styleId="50">
    <w:name w:val="Emphasis"/>
    <w:autoRedefine/>
    <w:qFormat/>
    <w:uiPriority w:val="0"/>
  </w:style>
  <w:style w:type="character" w:styleId="51">
    <w:name w:val="HTML Variable"/>
    <w:autoRedefine/>
    <w:qFormat/>
    <w:uiPriority w:val="0"/>
  </w:style>
  <w:style w:type="character" w:styleId="52">
    <w:name w:val="Hyperlink"/>
    <w:autoRedefine/>
    <w:qFormat/>
    <w:uiPriority w:val="0"/>
    <w:rPr>
      <w:rFonts w:ascii="Times New Roman" w:hAnsi="Times New Roman" w:eastAsia="宋体" w:cs="Times New Roman"/>
      <w:color w:val="0000FF"/>
      <w:u w:val="single"/>
    </w:rPr>
  </w:style>
  <w:style w:type="character" w:styleId="53">
    <w:name w:val="annotation reference"/>
    <w:autoRedefine/>
    <w:qFormat/>
    <w:uiPriority w:val="0"/>
    <w:rPr>
      <w:rFonts w:ascii="Times New Roman" w:hAnsi="Times New Roman" w:eastAsia="宋体" w:cs="Times New Roman"/>
      <w:sz w:val="21"/>
      <w:szCs w:val="21"/>
    </w:rPr>
  </w:style>
  <w:style w:type="paragraph" w:customStyle="1" w:styleId="54">
    <w:name w:val="一级条标题"/>
    <w:basedOn w:val="55"/>
    <w:next w:val="56"/>
    <w:qFormat/>
    <w:uiPriority w:val="0"/>
    <w:pPr>
      <w:tabs>
        <w:tab w:val="left" w:pos="1260"/>
        <w:tab w:val="left" w:pos="1680"/>
      </w:tabs>
      <w:spacing w:before="0" w:beforeLines="0" w:after="0" w:afterLines="0"/>
      <w:ind w:left="1680"/>
      <w:outlineLvl w:val="2"/>
    </w:pPr>
  </w:style>
  <w:style w:type="paragraph" w:customStyle="1" w:styleId="55">
    <w:name w:val="章标题"/>
    <w:next w:val="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Heading3"/>
    <w:basedOn w:val="1"/>
    <w:next w:val="1"/>
    <w:qFormat/>
    <w:uiPriority w:val="0"/>
    <w:pPr>
      <w:spacing w:before="120" w:after="120" w:line="300" w:lineRule="auto"/>
    </w:pPr>
    <w:rPr>
      <w:szCs w:val="20"/>
    </w:rPr>
  </w:style>
  <w:style w:type="paragraph" w:customStyle="1" w:styleId="58">
    <w:name w:val="正文首行缩进两字"/>
    <w:autoRedefine/>
    <w:qFormat/>
    <w:uiPriority w:val="99"/>
    <w:pPr>
      <w:spacing w:line="360" w:lineRule="auto"/>
    </w:pPr>
    <w:rPr>
      <w:rFonts w:ascii="Times New Roman" w:hAnsi="Times New Roman" w:eastAsia="宋体" w:cs="Times New Roman"/>
      <w:color w:val="000000"/>
      <w:sz w:val="24"/>
      <w:szCs w:val="24"/>
      <w:lang w:val="en-US" w:eastAsia="zh-CN" w:bidi="ar-SA"/>
    </w:rPr>
  </w:style>
  <w:style w:type="character" w:customStyle="1" w:styleId="59">
    <w:name w:val="正文文本 字符"/>
    <w:link w:val="2"/>
    <w:autoRedefine/>
    <w:qFormat/>
    <w:uiPriority w:val="0"/>
    <w:rPr>
      <w:rFonts w:ascii="仿宋_GB2312" w:hAnsi="Times New Roman" w:eastAsia="仿宋_GB2312" w:cs="Times New Roman"/>
      <w:sz w:val="28"/>
    </w:rPr>
  </w:style>
  <w:style w:type="character" w:customStyle="1" w:styleId="60">
    <w:name w:val="标题 1 字符"/>
    <w:link w:val="3"/>
    <w:autoRedefine/>
    <w:qFormat/>
    <w:uiPriority w:val="0"/>
    <w:rPr>
      <w:rFonts w:ascii="宋体" w:hAnsi="宋体" w:eastAsia="宋体" w:cs="宋体"/>
      <w:b/>
      <w:bCs/>
      <w:kern w:val="44"/>
      <w:sz w:val="32"/>
      <w:szCs w:val="52"/>
    </w:rPr>
  </w:style>
  <w:style w:type="character" w:customStyle="1" w:styleId="61">
    <w:name w:val="标题 2 字符"/>
    <w:link w:val="4"/>
    <w:autoRedefine/>
    <w:qFormat/>
    <w:uiPriority w:val="0"/>
    <w:rPr>
      <w:rFonts w:ascii="Cambria" w:hAnsi="Cambria" w:eastAsia="宋体" w:cs="Times New Roman"/>
      <w:b/>
      <w:bCs/>
      <w:kern w:val="2"/>
      <w:sz w:val="28"/>
      <w:szCs w:val="32"/>
    </w:rPr>
  </w:style>
  <w:style w:type="character" w:customStyle="1" w:styleId="62">
    <w:name w:val="标题 3 字符1"/>
    <w:link w:val="5"/>
    <w:autoRedefine/>
    <w:qFormat/>
    <w:uiPriority w:val="0"/>
    <w:rPr>
      <w:rFonts w:ascii="宋体" w:hAnsi="宋体" w:eastAsia="宋体" w:cs="Times New Roman"/>
      <w:b/>
      <w:bCs/>
      <w:kern w:val="2"/>
      <w:sz w:val="21"/>
      <w:szCs w:val="32"/>
    </w:rPr>
  </w:style>
  <w:style w:type="character" w:customStyle="1" w:styleId="63">
    <w:name w:val="标题 4 字符"/>
    <w:link w:val="6"/>
    <w:autoRedefine/>
    <w:qFormat/>
    <w:uiPriority w:val="0"/>
    <w:rPr>
      <w:rFonts w:ascii="宋体" w:hAnsi="宋体" w:eastAsia="宋体" w:cs="Times New Roman"/>
      <w:b/>
      <w:bCs/>
      <w:kern w:val="2"/>
      <w:sz w:val="24"/>
      <w:szCs w:val="28"/>
    </w:rPr>
  </w:style>
  <w:style w:type="character" w:customStyle="1" w:styleId="64">
    <w:name w:val="正文缩进 字符"/>
    <w:link w:val="8"/>
    <w:autoRedefine/>
    <w:qFormat/>
    <w:uiPriority w:val="0"/>
    <w:rPr>
      <w:rFonts w:ascii="Times New Roman" w:hAnsi="Times New Roman" w:eastAsia="宋体" w:cs="Times New Roman"/>
      <w:kern w:val="2"/>
      <w:sz w:val="21"/>
      <w:szCs w:val="24"/>
    </w:rPr>
  </w:style>
  <w:style w:type="character" w:customStyle="1" w:styleId="65">
    <w:name w:val="文档结构图 字符"/>
    <w:link w:val="9"/>
    <w:autoRedefine/>
    <w:qFormat/>
    <w:uiPriority w:val="0"/>
    <w:rPr>
      <w:rFonts w:ascii="宋体" w:hAnsi="Times New Roman" w:eastAsia="宋体" w:cs="Times New Roman"/>
      <w:sz w:val="18"/>
      <w:szCs w:val="18"/>
    </w:rPr>
  </w:style>
  <w:style w:type="character" w:customStyle="1" w:styleId="66">
    <w:name w:val="批注文字 字符"/>
    <w:link w:val="11"/>
    <w:autoRedefine/>
    <w:qFormat/>
    <w:uiPriority w:val="0"/>
    <w:rPr>
      <w:rFonts w:ascii="Times New Roman" w:hAnsi="Times New Roman" w:eastAsia="宋体" w:cs="Times New Roman"/>
      <w:kern w:val="2"/>
      <w:sz w:val="21"/>
      <w:szCs w:val="24"/>
    </w:rPr>
  </w:style>
  <w:style w:type="character" w:customStyle="1" w:styleId="67">
    <w:name w:val="正文文本 3 字符"/>
    <w:link w:val="12"/>
    <w:autoRedefine/>
    <w:qFormat/>
    <w:uiPriority w:val="0"/>
    <w:rPr>
      <w:rFonts w:ascii="楷体_GB2312" w:hAnsi="Times New Roman" w:eastAsia="楷体_GB2312" w:cs="Times New Roman"/>
      <w:b/>
      <w:color w:val="000000"/>
      <w:kern w:val="2"/>
      <w:sz w:val="30"/>
      <w:szCs w:val="24"/>
    </w:rPr>
  </w:style>
  <w:style w:type="character" w:customStyle="1" w:styleId="68">
    <w:name w:val="正文文本缩进 字符1"/>
    <w:link w:val="14"/>
    <w:autoRedefine/>
    <w:qFormat/>
    <w:uiPriority w:val="0"/>
    <w:rPr>
      <w:rFonts w:ascii="宋体" w:hAnsi="Times New Roman" w:eastAsia="宋体" w:cs="Times New Roman"/>
      <w:sz w:val="24"/>
    </w:rPr>
  </w:style>
  <w:style w:type="character" w:customStyle="1" w:styleId="69">
    <w:name w:val="纯文本 字符1"/>
    <w:link w:val="20"/>
    <w:autoRedefine/>
    <w:qFormat/>
    <w:uiPriority w:val="0"/>
    <w:rPr>
      <w:rFonts w:ascii="宋体" w:hAnsi="Courier New" w:eastAsia="宋体" w:cs="Times New Roman"/>
      <w:kern w:val="2"/>
      <w:sz w:val="21"/>
    </w:rPr>
  </w:style>
  <w:style w:type="character" w:customStyle="1" w:styleId="70">
    <w:name w:val="日期 字符"/>
    <w:link w:val="22"/>
    <w:autoRedefine/>
    <w:qFormat/>
    <w:uiPriority w:val="0"/>
    <w:rPr>
      <w:rFonts w:ascii="Times New Roman" w:hAnsi="Times New Roman" w:eastAsia="宋体" w:cs="Times New Roman"/>
      <w:color w:val="000000"/>
      <w:kern w:val="2"/>
      <w:sz w:val="24"/>
      <w:szCs w:val="24"/>
    </w:rPr>
  </w:style>
  <w:style w:type="character" w:customStyle="1" w:styleId="71">
    <w:name w:val="正文文本缩进 2 字符"/>
    <w:link w:val="23"/>
    <w:autoRedefine/>
    <w:qFormat/>
    <w:uiPriority w:val="0"/>
    <w:rPr>
      <w:rFonts w:ascii="宋体" w:hAnsi="Times New Roman" w:eastAsia="宋体" w:cs="Times New Roman"/>
      <w:sz w:val="24"/>
    </w:rPr>
  </w:style>
  <w:style w:type="character" w:customStyle="1" w:styleId="72">
    <w:name w:val="批注框文本 字符"/>
    <w:link w:val="25"/>
    <w:autoRedefine/>
    <w:qFormat/>
    <w:uiPriority w:val="0"/>
    <w:rPr>
      <w:rFonts w:ascii="Times New Roman" w:hAnsi="Times New Roman" w:eastAsia="宋体" w:cs="Times New Roman"/>
      <w:sz w:val="18"/>
      <w:szCs w:val="18"/>
    </w:rPr>
  </w:style>
  <w:style w:type="character" w:customStyle="1" w:styleId="73">
    <w:name w:val="页脚 字符1"/>
    <w:link w:val="26"/>
    <w:autoRedefine/>
    <w:qFormat/>
    <w:uiPriority w:val="99"/>
    <w:rPr>
      <w:rFonts w:ascii="Times New Roman" w:hAnsi="Times New Roman" w:eastAsia="宋体" w:cs="Times New Roman"/>
      <w:sz w:val="18"/>
      <w:szCs w:val="18"/>
    </w:rPr>
  </w:style>
  <w:style w:type="character" w:customStyle="1" w:styleId="74">
    <w:name w:val="页眉 字符1"/>
    <w:link w:val="27"/>
    <w:autoRedefine/>
    <w:qFormat/>
    <w:uiPriority w:val="0"/>
    <w:rPr>
      <w:rFonts w:ascii="Times New Roman" w:hAnsi="Times New Roman" w:eastAsia="宋体" w:cs="Times New Roman"/>
      <w:sz w:val="18"/>
      <w:szCs w:val="18"/>
    </w:rPr>
  </w:style>
  <w:style w:type="character" w:customStyle="1" w:styleId="75">
    <w:name w:val="正文文本缩进 3 字符"/>
    <w:link w:val="32"/>
    <w:autoRedefine/>
    <w:qFormat/>
    <w:uiPriority w:val="0"/>
    <w:rPr>
      <w:rFonts w:ascii="Times New Roman" w:hAnsi="Times New Roman" w:eastAsia="黑体" w:cs="Times New Roman"/>
      <w:color w:val="000000"/>
      <w:kern w:val="2"/>
      <w:sz w:val="24"/>
      <w:szCs w:val="24"/>
    </w:rPr>
  </w:style>
  <w:style w:type="character" w:customStyle="1" w:styleId="76">
    <w:name w:val="正文文本 2 字符"/>
    <w:link w:val="36"/>
    <w:autoRedefine/>
    <w:qFormat/>
    <w:uiPriority w:val="0"/>
    <w:rPr>
      <w:rFonts w:ascii="Times New Roman" w:hAnsi="Times New Roman" w:eastAsia="宋体" w:cs="Times New Roman"/>
      <w:b/>
      <w:bCs/>
      <w:color w:val="000000"/>
      <w:kern w:val="2"/>
      <w:sz w:val="28"/>
      <w:szCs w:val="24"/>
    </w:rPr>
  </w:style>
  <w:style w:type="character" w:customStyle="1" w:styleId="77">
    <w:name w:val="HTML 预设格式 字符"/>
    <w:link w:val="37"/>
    <w:autoRedefine/>
    <w:qFormat/>
    <w:uiPriority w:val="0"/>
    <w:rPr>
      <w:rFonts w:ascii="Arial Unicode MS" w:hAnsi="Arial Unicode MS" w:eastAsia="Arial Unicode MS" w:cs="Arial Unicode MS"/>
    </w:rPr>
  </w:style>
  <w:style w:type="character" w:customStyle="1" w:styleId="78">
    <w:name w:val="标题 字符"/>
    <w:link w:val="39"/>
    <w:autoRedefine/>
    <w:qFormat/>
    <w:uiPriority w:val="0"/>
    <w:rPr>
      <w:rFonts w:ascii="Times New Roman" w:hAnsi="Times New Roman" w:eastAsia="宋体" w:cs="Times New Roman"/>
      <w:kern w:val="2"/>
      <w:sz w:val="30"/>
      <w:szCs w:val="24"/>
    </w:rPr>
  </w:style>
  <w:style w:type="character" w:customStyle="1" w:styleId="79">
    <w:name w:val="批注主题 字符"/>
    <w:link w:val="40"/>
    <w:autoRedefine/>
    <w:qFormat/>
    <w:uiPriority w:val="0"/>
    <w:rPr>
      <w:rFonts w:ascii="Times New Roman" w:hAnsi="Times New Roman" w:eastAsia="宋体" w:cs="Times New Roman"/>
      <w:b/>
      <w:bCs/>
      <w:kern w:val="2"/>
      <w:sz w:val="21"/>
      <w:szCs w:val="24"/>
    </w:rPr>
  </w:style>
  <w:style w:type="paragraph" w:customStyle="1" w:styleId="80">
    <w:name w:val="Default"/>
    <w:next w:val="81"/>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81">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2">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4">
    <w:name w:val="huei12b1"/>
    <w:autoRedefine/>
    <w:qFormat/>
    <w:uiPriority w:val="0"/>
    <w:rPr>
      <w:rFonts w:ascii="Times New Roman" w:hAnsi="Times New Roman" w:eastAsia="宋体" w:cs="Times New Roman"/>
      <w:b/>
      <w:bCs/>
      <w:color w:val="333333"/>
      <w:sz w:val="20"/>
      <w:szCs w:val="20"/>
    </w:rPr>
  </w:style>
  <w:style w:type="character" w:customStyle="1" w:styleId="85">
    <w:name w:val="font101"/>
    <w:autoRedefine/>
    <w:qFormat/>
    <w:uiPriority w:val="0"/>
    <w:rPr>
      <w:rFonts w:hint="eastAsia" w:ascii="宋体" w:hAnsi="宋体" w:eastAsia="宋体" w:cs="宋体"/>
      <w:color w:val="000000"/>
      <w:sz w:val="18"/>
      <w:szCs w:val="18"/>
      <w:u w:val="none"/>
    </w:rPr>
  </w:style>
  <w:style w:type="character" w:customStyle="1" w:styleId="86">
    <w:name w:val="content"/>
    <w:autoRedefine/>
    <w:qFormat/>
    <w:uiPriority w:val="0"/>
    <w:rPr>
      <w:rFonts w:ascii="Times New Roman" w:hAnsi="Times New Roman" w:eastAsia="宋体" w:cs="Times New Roman"/>
    </w:rPr>
  </w:style>
  <w:style w:type="character" w:customStyle="1" w:styleId="87">
    <w:name w:val="标题 3 字符"/>
    <w:autoRedefine/>
    <w:qFormat/>
    <w:uiPriority w:val="0"/>
    <w:rPr>
      <w:rFonts w:ascii="Times New Roman" w:hAnsi="Times New Roman" w:eastAsia="宋体" w:cs="Times New Roman"/>
      <w:b/>
      <w:bCs/>
      <w:kern w:val="2"/>
      <w:sz w:val="24"/>
      <w:szCs w:val="32"/>
    </w:rPr>
  </w:style>
  <w:style w:type="character" w:customStyle="1" w:styleId="88">
    <w:name w:val="search_content1"/>
    <w:autoRedefine/>
    <w:qFormat/>
    <w:uiPriority w:val="0"/>
    <w:rPr>
      <w:rFonts w:ascii="Times New Roman" w:hAnsi="Times New Roman" w:eastAsia="宋体" w:cs="Times New Roman"/>
      <w:sz w:val="20"/>
      <w:szCs w:val="20"/>
    </w:rPr>
  </w:style>
  <w:style w:type="character" w:customStyle="1" w:styleId="89">
    <w:name w:val="apple-converted-space"/>
    <w:autoRedefine/>
    <w:qFormat/>
    <w:uiPriority w:val="0"/>
    <w:rPr>
      <w:rFonts w:ascii="Times New Roman" w:hAnsi="Times New Roman" w:eastAsia="宋体" w:cs="Times New Roman"/>
    </w:rPr>
  </w:style>
  <w:style w:type="character" w:customStyle="1" w:styleId="90">
    <w:name w:val="s"/>
    <w:autoRedefine/>
    <w:qFormat/>
    <w:uiPriority w:val="0"/>
    <w:rPr>
      <w:rFonts w:ascii="Times New Roman" w:hAnsi="Times New Roman" w:eastAsia="宋体" w:cs="Times New Roman"/>
    </w:rPr>
  </w:style>
  <w:style w:type="character" w:customStyle="1" w:styleId="91">
    <w:name w:val="页眉 字符"/>
    <w:autoRedefine/>
    <w:qFormat/>
    <w:uiPriority w:val="99"/>
    <w:rPr>
      <w:rFonts w:ascii="Times New Roman" w:hAnsi="Times New Roman" w:eastAsia="宋体" w:cs="Times New Roman"/>
      <w:kern w:val="2"/>
      <w:sz w:val="18"/>
      <w:lang w:val="en-US" w:eastAsia="zh-CN" w:bidi="ar-SA"/>
    </w:rPr>
  </w:style>
  <w:style w:type="character" w:customStyle="1" w:styleId="92">
    <w:name w:val="Char Char2"/>
    <w:autoRedefine/>
    <w:qFormat/>
    <w:uiPriority w:val="0"/>
    <w:rPr>
      <w:rFonts w:hint="eastAsia" w:ascii="宋体" w:hAnsi="Courier New" w:eastAsia="宋体" w:cs="Times New Roman"/>
      <w:kern w:val="2"/>
      <w:sz w:val="21"/>
    </w:rPr>
  </w:style>
  <w:style w:type="character" w:customStyle="1" w:styleId="93">
    <w:name w:val="font61"/>
    <w:autoRedefine/>
    <w:qFormat/>
    <w:uiPriority w:val="0"/>
    <w:rPr>
      <w:rFonts w:hint="eastAsia" w:ascii="宋体" w:hAnsi="宋体" w:eastAsia="宋体" w:cs="宋体"/>
      <w:color w:val="000000"/>
      <w:sz w:val="18"/>
      <w:szCs w:val="18"/>
      <w:u w:val="none"/>
    </w:rPr>
  </w:style>
  <w:style w:type="character" w:customStyle="1" w:styleId="94">
    <w:name w:val="l17"/>
    <w:autoRedefine/>
    <w:qFormat/>
    <w:uiPriority w:val="0"/>
    <w:rPr>
      <w:rFonts w:ascii="Times New Roman" w:hAnsi="Times New Roman" w:eastAsia="宋体" w:cs="Times New Roman"/>
    </w:rPr>
  </w:style>
  <w:style w:type="character" w:customStyle="1" w:styleId="95">
    <w:name w:val="纯文本 字符"/>
    <w:autoRedefine/>
    <w:qFormat/>
    <w:uiPriority w:val="0"/>
    <w:rPr>
      <w:rFonts w:ascii="宋体" w:hAnsi="Courier New" w:eastAsia="宋体" w:cs="Courier New"/>
      <w:kern w:val="2"/>
      <w:sz w:val="21"/>
      <w:szCs w:val="21"/>
      <w:lang w:val="en-US" w:eastAsia="zh-CN" w:bidi="ar-SA"/>
    </w:rPr>
  </w:style>
  <w:style w:type="character" w:customStyle="1" w:styleId="96">
    <w:name w:val="Char Char"/>
    <w:autoRedefine/>
    <w:qFormat/>
    <w:uiPriority w:val="0"/>
    <w:rPr>
      <w:rFonts w:hint="eastAsia" w:ascii="宋体" w:hAnsi="Courier New" w:eastAsia="宋体" w:cs="Times New Roman"/>
      <w:kern w:val="2"/>
      <w:sz w:val="21"/>
      <w:lang w:val="en-US" w:eastAsia="zh-CN" w:bidi="ar-SA"/>
    </w:rPr>
  </w:style>
  <w:style w:type="character" w:customStyle="1" w:styleId="97">
    <w:name w:val="unnamed51"/>
    <w:autoRedefine/>
    <w:qFormat/>
    <w:uiPriority w:val="0"/>
    <w:rPr>
      <w:rFonts w:ascii="Times New Roman" w:hAnsi="Times New Roman" w:eastAsia="宋体" w:cs="Times New Roman"/>
      <w:sz w:val="22"/>
      <w:szCs w:val="22"/>
    </w:rPr>
  </w:style>
  <w:style w:type="character" w:customStyle="1" w:styleId="98">
    <w:name w:val="正文文本首行缩进 字符"/>
    <w:link w:val="99"/>
    <w:autoRedefine/>
    <w:qFormat/>
    <w:uiPriority w:val="0"/>
    <w:rPr>
      <w:rFonts w:ascii="Times New Roman" w:hAnsi="Times New Roman" w:eastAsia="仿宋_GB2312" w:cs="Times New Roman"/>
      <w:kern w:val="2"/>
      <w:sz w:val="21"/>
      <w:szCs w:val="24"/>
    </w:rPr>
  </w:style>
  <w:style w:type="paragraph" w:customStyle="1" w:styleId="99">
    <w:name w:val="正文文本首行缩进1"/>
    <w:basedOn w:val="2"/>
    <w:link w:val="98"/>
    <w:autoRedefine/>
    <w:qFormat/>
    <w:uiPriority w:val="0"/>
    <w:pPr>
      <w:adjustRightInd/>
      <w:spacing w:after="120" w:line="240" w:lineRule="auto"/>
      <w:ind w:firstLine="420" w:firstLineChars="100"/>
      <w:jc w:val="both"/>
    </w:pPr>
    <w:rPr>
      <w:rFonts w:ascii="Times New Roman" w:eastAsia="宋体"/>
      <w:kern w:val="2"/>
      <w:sz w:val="21"/>
      <w:szCs w:val="24"/>
    </w:rPr>
  </w:style>
  <w:style w:type="character" w:customStyle="1" w:styleId="100">
    <w:name w:val="font11"/>
    <w:autoRedefine/>
    <w:qFormat/>
    <w:uiPriority w:val="0"/>
    <w:rPr>
      <w:rFonts w:hint="eastAsia" w:ascii="宋体" w:hAnsi="宋体" w:eastAsia="宋体" w:cs="宋体"/>
      <w:color w:val="000000"/>
      <w:sz w:val="40"/>
      <w:szCs w:val="40"/>
      <w:u w:val="none"/>
    </w:rPr>
  </w:style>
  <w:style w:type="character" w:customStyle="1" w:styleId="101">
    <w:name w:val="font31"/>
    <w:autoRedefine/>
    <w:qFormat/>
    <w:uiPriority w:val="0"/>
    <w:rPr>
      <w:rFonts w:hint="eastAsia" w:ascii="宋体" w:hAnsi="宋体" w:eastAsia="宋体" w:cs="宋体"/>
      <w:color w:val="000000"/>
      <w:sz w:val="20"/>
      <w:szCs w:val="20"/>
      <w:u w:val="none"/>
    </w:rPr>
  </w:style>
  <w:style w:type="character" w:customStyle="1" w:styleId="102">
    <w:name w:val="纯文本 Char"/>
    <w:autoRedefine/>
    <w:qFormat/>
    <w:uiPriority w:val="0"/>
    <w:rPr>
      <w:rFonts w:ascii="宋体" w:hAnsi="Courier New" w:eastAsia="宋体" w:cs="Courier New"/>
      <w:kern w:val="2"/>
      <w:sz w:val="21"/>
      <w:szCs w:val="21"/>
    </w:rPr>
  </w:style>
  <w:style w:type="character" w:customStyle="1" w:styleId="103">
    <w:name w:val="页脚 字符"/>
    <w:autoRedefine/>
    <w:qFormat/>
    <w:uiPriority w:val="99"/>
    <w:rPr>
      <w:rFonts w:ascii="Times New Roman" w:hAnsi="Times New Roman" w:eastAsia="宋体" w:cs="Times New Roman"/>
      <w:kern w:val="2"/>
      <w:sz w:val="18"/>
      <w:lang w:val="en-US" w:eastAsia="zh-CN" w:bidi="ar-SA"/>
    </w:rPr>
  </w:style>
  <w:style w:type="character" w:customStyle="1" w:styleId="104">
    <w:name w:val="Char Char3"/>
    <w:autoRedefine/>
    <w:qFormat/>
    <w:uiPriority w:val="0"/>
    <w:rPr>
      <w:rFonts w:hint="eastAsia" w:ascii="宋体" w:hAnsi="Courier New" w:eastAsia="宋体" w:cs="Times New Roman"/>
      <w:kern w:val="2"/>
      <w:sz w:val="21"/>
      <w:lang w:val="en-US" w:eastAsia="zh-CN" w:bidi="ar-SA"/>
    </w:rPr>
  </w:style>
  <w:style w:type="character" w:customStyle="1" w:styleId="105">
    <w:name w:val="unnamed1"/>
    <w:autoRedefine/>
    <w:qFormat/>
    <w:uiPriority w:val="0"/>
    <w:rPr>
      <w:rFonts w:ascii="Times New Roman" w:hAnsi="Times New Roman" w:eastAsia="宋体" w:cs="Times New Roman"/>
    </w:rPr>
  </w:style>
  <w:style w:type="character" w:customStyle="1" w:styleId="106">
    <w:name w:val="search_result_snap1"/>
    <w:autoRedefine/>
    <w:qFormat/>
    <w:uiPriority w:val="0"/>
    <w:rPr>
      <w:rFonts w:ascii="Times New Roman" w:hAnsi="Times New Roman" w:eastAsia="宋体" w:cs="Times New Roman"/>
      <w:sz w:val="21"/>
      <w:szCs w:val="21"/>
    </w:rPr>
  </w:style>
  <w:style w:type="character" w:customStyle="1" w:styleId="107">
    <w:name w:val="不明显强调1"/>
    <w:autoRedefine/>
    <w:qFormat/>
    <w:uiPriority w:val="0"/>
    <w:rPr>
      <w:rFonts w:ascii="Times New Roman" w:hAnsi="Times New Roman" w:eastAsia="宋体" w:cs="Times New Roman"/>
      <w:i/>
      <w:iCs/>
      <w:color w:val="808080"/>
    </w:rPr>
  </w:style>
  <w:style w:type="character" w:customStyle="1" w:styleId="108">
    <w:name w:val="正文文本缩进 字符"/>
    <w:autoRedefine/>
    <w:qFormat/>
    <w:uiPriority w:val="0"/>
    <w:rPr>
      <w:rFonts w:ascii="仿宋_GB2312" w:hAnsi="Times New Roman" w:eastAsia="仿宋_GB2312" w:cs="Times New Roman"/>
      <w:kern w:val="2"/>
      <w:sz w:val="28"/>
      <w:lang w:val="en-US" w:eastAsia="zh-CN" w:bidi="ar-SA"/>
    </w:rPr>
  </w:style>
  <w:style w:type="character" w:customStyle="1" w:styleId="109">
    <w:name w:val="(aNormal) + 宋体 Char"/>
    <w:link w:val="110"/>
    <w:autoRedefine/>
    <w:qFormat/>
    <w:uiPriority w:val="0"/>
    <w:rPr>
      <w:rFonts w:ascii="宋体" w:hAnsi="宋体" w:eastAsia="宋体" w:cs="Times New Roman"/>
      <w:lang w:val="en-GB"/>
    </w:rPr>
  </w:style>
  <w:style w:type="paragraph" w:customStyle="1" w:styleId="110">
    <w:name w:val="(aNormal) + 宋体"/>
    <w:basedOn w:val="1"/>
    <w:link w:val="109"/>
    <w:autoRedefine/>
    <w:qFormat/>
    <w:uiPriority w:val="0"/>
    <w:pPr>
      <w:widowControl/>
      <w:spacing w:before="240" w:after="120" w:line="240" w:lineRule="auto"/>
      <w:ind w:firstLine="0" w:firstLineChars="0"/>
    </w:pPr>
    <w:rPr>
      <w:kern w:val="0"/>
      <w:sz w:val="20"/>
      <w:szCs w:val="20"/>
      <w:lang w:val="en-GB"/>
    </w:rPr>
  </w:style>
  <w:style w:type="character" w:customStyle="1" w:styleId="111">
    <w:name w:val="hei16b1"/>
    <w:autoRedefine/>
    <w:qFormat/>
    <w:uiPriority w:val="0"/>
    <w:rPr>
      <w:rFonts w:hint="default" w:ascii="Arial" w:hAnsi="Arial" w:eastAsia="宋体" w:cs="Arial"/>
      <w:b/>
      <w:bCs/>
      <w:color w:val="000000"/>
      <w:sz w:val="24"/>
      <w:szCs w:val="24"/>
    </w:rPr>
  </w:style>
  <w:style w:type="character" w:customStyle="1" w:styleId="112">
    <w:name w:val="无间隔 Char"/>
    <w:link w:val="113"/>
    <w:autoRedefine/>
    <w:qFormat/>
    <w:uiPriority w:val="0"/>
    <w:rPr>
      <w:rFonts w:ascii="Times New Roman" w:hAnsi="Times New Roman" w:eastAsia="宋体" w:cs="Calibri"/>
      <w:kern w:val="2"/>
      <w:sz w:val="21"/>
      <w:szCs w:val="22"/>
      <w:lang w:val="en-US" w:eastAsia="zh-CN" w:bidi="ar-SA"/>
    </w:rPr>
  </w:style>
  <w:style w:type="paragraph" w:customStyle="1" w:styleId="113">
    <w:name w:val="无间隔1"/>
    <w:link w:val="112"/>
    <w:autoRedefine/>
    <w:qFormat/>
    <w:uiPriority w:val="0"/>
    <w:pPr>
      <w:widowControl w:val="0"/>
      <w:jc w:val="both"/>
    </w:pPr>
    <w:rPr>
      <w:rFonts w:ascii="Times New Roman" w:hAnsi="Times New Roman" w:eastAsia="宋体" w:cs="Calibri"/>
      <w:kern w:val="2"/>
      <w:sz w:val="21"/>
      <w:szCs w:val="22"/>
      <w:lang w:val="en-US" w:eastAsia="zh-CN" w:bidi="ar-SA"/>
    </w:rPr>
  </w:style>
  <w:style w:type="character" w:customStyle="1" w:styleId="114">
    <w:name w:val="wz1"/>
    <w:autoRedefine/>
    <w:qFormat/>
    <w:uiPriority w:val="0"/>
    <w:rPr>
      <w:rFonts w:ascii="Times New Roman" w:hAnsi="Times New Roman" w:eastAsia="宋体" w:cs="Times New Roman"/>
    </w:rPr>
  </w:style>
  <w:style w:type="character" w:customStyle="1" w:styleId="115">
    <w:name w:val="button1"/>
    <w:autoRedefine/>
    <w:qFormat/>
    <w:uiPriority w:val="0"/>
    <w:rPr>
      <w:rFonts w:hint="default" w:ascii="Verdana" w:hAnsi="Verdana" w:eastAsia="宋体" w:cs="Times New Roman"/>
      <w:b/>
      <w:bCs/>
      <w:sz w:val="20"/>
      <w:szCs w:val="20"/>
    </w:rPr>
  </w:style>
  <w:style w:type="character" w:customStyle="1" w:styleId="116">
    <w:name w:val="body001"/>
    <w:autoRedefine/>
    <w:qFormat/>
    <w:uiPriority w:val="0"/>
    <w:rPr>
      <w:rFonts w:hint="default" w:ascii="ˎ̥" w:hAnsi="ˎ̥" w:eastAsia="宋体" w:cs="Times New Roman"/>
      <w:color w:val="333333"/>
      <w:sz w:val="18"/>
      <w:szCs w:val="18"/>
    </w:rPr>
  </w:style>
  <w:style w:type="character" w:customStyle="1" w:styleId="117">
    <w:name w:val="font71"/>
    <w:autoRedefine/>
    <w:qFormat/>
    <w:uiPriority w:val="0"/>
    <w:rPr>
      <w:rFonts w:ascii="Arial" w:hAnsi="Arial" w:eastAsia="宋体" w:cs="Arial"/>
      <w:b/>
      <w:color w:val="333333"/>
      <w:sz w:val="20"/>
      <w:szCs w:val="20"/>
      <w:u w:val="none"/>
    </w:rPr>
  </w:style>
  <w:style w:type="character" w:customStyle="1" w:styleId="118">
    <w:name w:val="style8"/>
    <w:autoRedefine/>
    <w:qFormat/>
    <w:uiPriority w:val="0"/>
    <w:rPr>
      <w:rFonts w:ascii="Times New Roman" w:hAnsi="Times New Roman" w:eastAsia="宋体" w:cs="Times New Roman"/>
    </w:rPr>
  </w:style>
  <w:style w:type="character" w:customStyle="1" w:styleId="119">
    <w:name w:val="style1"/>
    <w:autoRedefine/>
    <w:qFormat/>
    <w:uiPriority w:val="0"/>
    <w:rPr>
      <w:rFonts w:ascii="Times New Roman" w:hAnsi="Times New Roman" w:eastAsia="宋体" w:cs="Times New Roman"/>
    </w:rPr>
  </w:style>
  <w:style w:type="character" w:customStyle="1" w:styleId="120">
    <w:name w:val="标题 Char"/>
    <w:autoRedefine/>
    <w:qFormat/>
    <w:uiPriority w:val="0"/>
    <w:rPr>
      <w:rFonts w:ascii="Cambria" w:hAnsi="Cambria" w:eastAsia="宋体" w:cs="Times New Roman"/>
      <w:b/>
      <w:bCs/>
      <w:kern w:val="2"/>
      <w:sz w:val="32"/>
      <w:szCs w:val="32"/>
    </w:rPr>
  </w:style>
  <w:style w:type="character" w:customStyle="1" w:styleId="121">
    <w:name w:val="font01"/>
    <w:basedOn w:val="46"/>
    <w:autoRedefine/>
    <w:qFormat/>
    <w:uiPriority w:val="0"/>
    <w:rPr>
      <w:rFonts w:hint="eastAsia" w:ascii="宋体" w:hAnsi="宋体" w:eastAsia="宋体" w:cs="宋体"/>
      <w:b/>
      <w:color w:val="333333"/>
      <w:sz w:val="20"/>
      <w:szCs w:val="20"/>
      <w:u w:val="none"/>
    </w:rPr>
  </w:style>
  <w:style w:type="paragraph" w:customStyle="1" w:styleId="122">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rPr>
  </w:style>
  <w:style w:type="paragraph" w:customStyle="1" w:styleId="123">
    <w:name w:val="默认段落字体 Para Char"/>
    <w:basedOn w:val="1"/>
    <w:autoRedefine/>
    <w:qFormat/>
    <w:uiPriority w:val="0"/>
    <w:pPr>
      <w:spacing w:line="240" w:lineRule="auto"/>
      <w:ind w:firstLine="0" w:firstLineChars="0"/>
    </w:pPr>
    <w:rPr>
      <w:rFonts w:ascii="Times New Roman" w:hAnsi="Times New Roman"/>
    </w:rPr>
  </w:style>
  <w:style w:type="paragraph" w:customStyle="1" w:styleId="124">
    <w:name w:val="table_lines"/>
    <w:basedOn w:val="1"/>
    <w:autoRedefine/>
    <w:qFormat/>
    <w:uiPriority w:val="0"/>
    <w:pPr>
      <w:widowControl/>
      <w:spacing w:line="240" w:lineRule="auto"/>
      <w:ind w:firstLine="0" w:firstLineChars="0"/>
      <w:jc w:val="left"/>
    </w:pPr>
    <w:rPr>
      <w:rFonts w:ascii="Times New Roman" w:hAnsi="Times New Roman"/>
      <w:kern w:val="0"/>
      <w:sz w:val="20"/>
      <w:szCs w:val="20"/>
      <w:lang w:val="de-DE" w:eastAsia="de-DE"/>
    </w:rPr>
  </w:style>
  <w:style w:type="paragraph" w:customStyle="1" w:styleId="125">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2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2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kern w:val="0"/>
      <w:sz w:val="18"/>
      <w:szCs w:val="18"/>
    </w:rPr>
  </w:style>
  <w:style w:type="paragraph" w:customStyle="1" w:styleId="128">
    <w:name w:val="1"/>
    <w:basedOn w:val="1"/>
    <w:next w:val="38"/>
    <w:autoRedefine/>
    <w:qFormat/>
    <w:uiPriority w:val="0"/>
    <w:pPr>
      <w:widowControl/>
      <w:spacing w:before="100" w:beforeAutospacing="1" w:after="100" w:afterAutospacing="1" w:line="240" w:lineRule="auto"/>
      <w:ind w:firstLine="0" w:firstLineChars="0"/>
      <w:jc w:val="left"/>
    </w:pPr>
    <w:rPr>
      <w:kern w:val="0"/>
    </w:rPr>
  </w:style>
  <w:style w:type="paragraph" w:customStyle="1" w:styleId="129">
    <w:name w:val="head 1.1"/>
    <w:basedOn w:val="130"/>
    <w:autoRedefine/>
    <w:qFormat/>
    <w:uiPriority w:val="0"/>
    <w:pPr>
      <w:numPr>
        <w:ilvl w:val="1"/>
        <w:numId w:val="3"/>
      </w:numPr>
      <w:spacing w:before="260" w:after="260" w:line="240" w:lineRule="auto"/>
      <w:ind w:firstLine="0" w:firstLineChars="0"/>
    </w:pPr>
    <w:rPr>
      <w:rFonts w:ascii="宋体" w:hAnsi="宋体"/>
      <w:bCs/>
      <w:szCs w:val="22"/>
    </w:rPr>
  </w:style>
  <w:style w:type="paragraph" w:customStyle="1" w:styleId="130">
    <w:name w:val="列表段落1"/>
    <w:basedOn w:val="1"/>
    <w:autoRedefine/>
    <w:qFormat/>
    <w:uiPriority w:val="0"/>
    <w:pPr>
      <w:ind w:firstLine="420"/>
    </w:pPr>
    <w:rPr>
      <w:rFonts w:ascii="Times New Roman" w:hAnsi="Times New Roman"/>
    </w:rPr>
  </w:style>
  <w:style w:type="paragraph" w:customStyle="1" w:styleId="13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32">
    <w:name w:val="_Style 40"/>
    <w:basedOn w:val="1"/>
    <w:autoRedefine/>
    <w:qFormat/>
    <w:uiPriority w:val="0"/>
    <w:pPr>
      <w:spacing w:line="240" w:lineRule="auto"/>
      <w:ind w:firstLine="0" w:firstLineChars="0"/>
    </w:pPr>
    <w:rPr>
      <w:rFonts w:ascii="Times New Roman" w:hAnsi="Times New Roman"/>
    </w:rPr>
  </w:style>
  <w:style w:type="paragraph" w:customStyle="1" w:styleId="133">
    <w:name w:val="正文段"/>
    <w:basedOn w:val="1"/>
    <w:autoRedefine/>
    <w:qFormat/>
    <w:uiPriority w:val="0"/>
    <w:pPr>
      <w:widowControl/>
      <w:snapToGrid w:val="0"/>
      <w:spacing w:after="50" w:afterLines="50"/>
    </w:pPr>
    <w:rPr>
      <w:rFonts w:ascii="Times New Roman" w:hAnsi="Times New Roman"/>
      <w:kern w:val="0"/>
    </w:rPr>
  </w:style>
  <w:style w:type="paragraph" w:customStyle="1" w:styleId="134">
    <w:name w:val="Proposals body"/>
    <w:basedOn w:val="1"/>
    <w:next w:val="1"/>
    <w:autoRedefine/>
    <w:qFormat/>
    <w:uiPriority w:val="0"/>
    <w:pPr>
      <w:widowControl/>
      <w:snapToGrid w:val="0"/>
      <w:ind w:firstLine="0" w:firstLineChars="0"/>
      <w:jc w:val="left"/>
    </w:pPr>
    <w:rPr>
      <w:rFonts w:hAnsi="Times New Roman"/>
      <w:color w:val="000000"/>
      <w:kern w:val="0"/>
      <w:szCs w:val="20"/>
    </w:rPr>
  </w:style>
  <w:style w:type="paragraph" w:customStyle="1" w:styleId="135">
    <w:name w:val="Char1 Char Char"/>
    <w:basedOn w:val="1"/>
    <w:autoRedefine/>
    <w:qFormat/>
    <w:uiPriority w:val="0"/>
    <w:pPr>
      <w:widowControl/>
      <w:spacing w:after="160"/>
      <w:jc w:val="left"/>
    </w:pPr>
    <w:rPr>
      <w:rFonts w:ascii="Verdana" w:hAnsi="Verdana" w:eastAsia="黑体"/>
      <w:kern w:val="0"/>
      <w:szCs w:val="20"/>
      <w:lang w:eastAsia="en-US"/>
    </w:rPr>
  </w:style>
  <w:style w:type="paragraph" w:customStyle="1" w:styleId="136">
    <w:name w:val="列出段落1"/>
    <w:basedOn w:val="1"/>
    <w:autoRedefine/>
    <w:qFormat/>
    <w:uiPriority w:val="0"/>
    <w:pPr>
      <w:spacing w:line="240" w:lineRule="auto"/>
      <w:ind w:firstLine="420"/>
    </w:pPr>
    <w:rPr>
      <w:rFonts w:ascii="Times New Roman" w:hAnsi="Times New Roman"/>
    </w:rPr>
  </w:style>
  <w:style w:type="paragraph" w:customStyle="1" w:styleId="137">
    <w:name w:val="小标题2"/>
    <w:basedOn w:val="1"/>
    <w:next w:val="1"/>
    <w:autoRedefine/>
    <w:qFormat/>
    <w:uiPriority w:val="0"/>
    <w:pPr>
      <w:spacing w:beforeLines="20" w:afterLines="20" w:line="400" w:lineRule="exact"/>
    </w:pPr>
    <w:rPr>
      <w:rFonts w:ascii="Times New Roman" w:hAnsi="Times New Roman" w:eastAsia="楷体_GB2312"/>
    </w:rPr>
  </w:style>
  <w:style w:type="paragraph" w:customStyle="1" w:styleId="138">
    <w:name w:val="Char Char Char Char Char Char Char"/>
    <w:basedOn w:val="1"/>
    <w:autoRedefine/>
    <w:qFormat/>
    <w:uiPriority w:val="0"/>
    <w:pPr>
      <w:tabs>
        <w:tab w:val="left" w:pos="432"/>
      </w:tabs>
      <w:spacing w:line="240" w:lineRule="auto"/>
      <w:ind w:left="432" w:hanging="432" w:firstLineChars="0"/>
    </w:pPr>
    <w:rPr>
      <w:rFonts w:ascii="Tahoma" w:hAnsi="Tahoma"/>
      <w:szCs w:val="20"/>
    </w:rPr>
  </w:style>
  <w:style w:type="paragraph" w:customStyle="1" w:styleId="13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40">
    <w:name w:val="样式1"/>
    <w:basedOn w:val="1"/>
    <w:autoRedefine/>
    <w:qFormat/>
    <w:uiPriority w:val="0"/>
    <w:pPr>
      <w:spacing w:line="360" w:lineRule="exact"/>
    </w:pPr>
    <w:rPr>
      <w:rFonts w:ascii="Arial" w:hAnsi="Arial"/>
      <w:sz w:val="21"/>
    </w:rPr>
  </w:style>
  <w:style w:type="paragraph" w:customStyle="1" w:styleId="141">
    <w:name w:val="正文格式"/>
    <w:basedOn w:val="1"/>
    <w:autoRedefine/>
    <w:qFormat/>
    <w:uiPriority w:val="0"/>
    <w:pPr>
      <w:widowControl/>
      <w:adjustRightInd w:val="0"/>
      <w:snapToGrid w:val="0"/>
      <w:ind w:firstLine="482" w:firstLineChars="0"/>
    </w:pPr>
    <w:rPr>
      <w:rFonts w:ascii="Times New Roman" w:hAnsi="Times New Roman"/>
      <w:kern w:val="0"/>
      <w:szCs w:val="20"/>
    </w:rPr>
  </w:style>
  <w:style w:type="paragraph" w:customStyle="1" w:styleId="142">
    <w:name w:val="TOC 标题1"/>
    <w:basedOn w:val="4"/>
    <w:next w:val="1"/>
    <w:autoRedefine/>
    <w:qFormat/>
    <w:uiPriority w:val="0"/>
    <w:pPr>
      <w:widowControl/>
      <w:spacing w:line="240" w:lineRule="auto"/>
      <w:outlineLvl w:val="9"/>
    </w:pPr>
    <w:rPr>
      <w:rFonts w:ascii="Times New Roman" w:hAnsi="Times New Roman"/>
      <w:kern w:val="0"/>
      <w:sz w:val="21"/>
      <w:szCs w:val="28"/>
    </w:rPr>
  </w:style>
  <w:style w:type="paragraph" w:customStyle="1" w:styleId="143">
    <w:name w:val="表格"/>
    <w:basedOn w:val="2"/>
    <w:next w:val="1"/>
    <w:autoRedefine/>
    <w:qFormat/>
    <w:uiPriority w:val="0"/>
    <w:pPr>
      <w:spacing w:line="240" w:lineRule="auto"/>
      <w:jc w:val="center"/>
    </w:pPr>
    <w:rPr>
      <w:rFonts w:ascii="Times New Roman" w:eastAsia="宋体"/>
    </w:rPr>
  </w:style>
  <w:style w:type="paragraph" w:customStyle="1" w:styleId="144">
    <w:name w:val="Char1"/>
    <w:basedOn w:val="1"/>
    <w:autoRedefine/>
    <w:qFormat/>
    <w:uiPriority w:val="0"/>
    <w:rPr>
      <w:rFonts w:ascii="Tahoma" w:hAnsi="Tahoma"/>
      <w:szCs w:val="20"/>
    </w:rPr>
  </w:style>
  <w:style w:type="paragraph" w:customStyle="1" w:styleId="14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46">
    <w:name w:val="正文－恩普"/>
    <w:basedOn w:val="8"/>
    <w:autoRedefine/>
    <w:qFormat/>
    <w:uiPriority w:val="0"/>
    <w:pPr>
      <w:widowControl/>
      <w:spacing w:afterLines="50" w:line="360" w:lineRule="auto"/>
      <w:ind w:firstLine="480" w:firstLineChars="200"/>
      <w:jc w:val="left"/>
    </w:pPr>
  </w:style>
  <w:style w:type="paragraph" w:customStyle="1" w:styleId="147">
    <w:name w:val="正文2"/>
    <w:basedOn w:val="1"/>
    <w:autoRedefine/>
    <w:qFormat/>
    <w:uiPriority w:val="0"/>
    <w:pPr>
      <w:spacing w:before="156"/>
      <w:ind w:firstLine="510"/>
    </w:pPr>
    <w:rPr>
      <w:rFonts w:ascii="MT Extra" w:hAnsi="MT Extra" w:cs="MT Extra"/>
    </w:rPr>
  </w:style>
  <w:style w:type="paragraph" w:customStyle="1" w:styleId="148">
    <w:name w:val="Char Char Char"/>
    <w:basedOn w:val="1"/>
    <w:autoRedefine/>
    <w:qFormat/>
    <w:uiPriority w:val="0"/>
    <w:pPr>
      <w:spacing w:line="240" w:lineRule="auto"/>
      <w:ind w:firstLine="0" w:firstLineChars="0"/>
    </w:pPr>
    <w:rPr>
      <w:rFonts w:ascii="Tahoma" w:hAnsi="Tahoma"/>
      <w:szCs w:val="20"/>
    </w:rPr>
  </w:style>
  <w:style w:type="paragraph" w:customStyle="1" w:styleId="149">
    <w:name w:val="Char Char Char Char Char Char"/>
    <w:basedOn w:val="1"/>
    <w:autoRedefine/>
    <w:qFormat/>
    <w:uiPriority w:val="0"/>
    <w:pPr>
      <w:spacing w:line="240" w:lineRule="auto"/>
    </w:pPr>
    <w:rPr>
      <w:rFonts w:ascii="Tahoma" w:hAnsi="Tahoma"/>
      <w:szCs w:val="20"/>
    </w:rPr>
  </w:style>
  <w:style w:type="paragraph" w:customStyle="1" w:styleId="150">
    <w:name w:val="Char2"/>
    <w:basedOn w:val="1"/>
    <w:autoRedefine/>
    <w:qFormat/>
    <w:uiPriority w:val="0"/>
    <w:pPr>
      <w:spacing w:line="240" w:lineRule="auto"/>
      <w:ind w:firstLine="0" w:firstLineChars="0"/>
    </w:pPr>
    <w:rPr>
      <w:rFonts w:ascii="仿宋_GB2312" w:hAnsi="Times New Roman" w:eastAsia="仿宋_GB2312"/>
      <w:b/>
      <w:sz w:val="32"/>
      <w:szCs w:val="32"/>
    </w:rPr>
  </w:style>
  <w:style w:type="paragraph" w:customStyle="1" w:styleId="15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52">
    <w:name w:val="p0"/>
    <w:basedOn w:val="1"/>
    <w:autoRedefine/>
    <w:qFormat/>
    <w:uiPriority w:val="0"/>
    <w:pPr>
      <w:widowControl/>
      <w:spacing w:line="240" w:lineRule="auto"/>
      <w:ind w:firstLine="0" w:firstLineChars="0"/>
    </w:pPr>
    <w:rPr>
      <w:rFonts w:ascii="Times New Roman" w:hAnsi="Times New Roman"/>
      <w:kern w:val="0"/>
      <w:szCs w:val="21"/>
    </w:rPr>
  </w:style>
  <w:style w:type="paragraph" w:customStyle="1" w:styleId="153">
    <w:name w:val="正文1"/>
    <w:basedOn w:val="1"/>
    <w:autoRedefine/>
    <w:qFormat/>
    <w:uiPriority w:val="0"/>
    <w:pPr>
      <w:widowControl/>
      <w:spacing w:after="200" w:line="300" w:lineRule="atLeast"/>
      <w:jc w:val="left"/>
    </w:pPr>
    <w:rPr>
      <w:rFonts w:ascii="Times New Roman" w:hAnsi="Times New Roman" w:cs="宋体"/>
      <w:kern w:val="0"/>
      <w:sz w:val="22"/>
      <w:szCs w:val="22"/>
    </w:rPr>
  </w:style>
  <w:style w:type="paragraph" w:customStyle="1" w:styleId="154">
    <w:name w:val="Char Char Char Char"/>
    <w:basedOn w:val="1"/>
    <w:autoRedefine/>
    <w:qFormat/>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55">
    <w:name w:val="0"/>
    <w:basedOn w:val="1"/>
    <w:autoRedefine/>
    <w:qFormat/>
    <w:uiPriority w:val="0"/>
    <w:pPr>
      <w:widowControl/>
    </w:pPr>
    <w:rPr>
      <w:rFonts w:ascii="Times New Roman" w:hAnsi="Times New Roman"/>
      <w:kern w:val="0"/>
      <w:szCs w:val="21"/>
    </w:rPr>
  </w:style>
  <w:style w:type="paragraph" w:customStyle="1" w:styleId="156">
    <w:name w:val="Char Char Char Char Char Char Char Char"/>
    <w:basedOn w:val="1"/>
    <w:autoRedefine/>
    <w:qFormat/>
    <w:uiPriority w:val="0"/>
    <w:pPr>
      <w:tabs>
        <w:tab w:val="left" w:pos="360"/>
      </w:tabs>
      <w:spacing w:line="240" w:lineRule="auto"/>
      <w:ind w:firstLine="0" w:firstLineChars="0"/>
    </w:pPr>
    <w:rPr>
      <w:rFonts w:ascii="Times New Roman" w:hAnsi="Times New Roman"/>
      <w:szCs w:val="20"/>
    </w:rPr>
  </w:style>
  <w:style w:type="paragraph" w:customStyle="1" w:styleId="157">
    <w:name w:val="表内文字"/>
    <w:basedOn w:val="1"/>
    <w:autoRedefine/>
    <w:qFormat/>
    <w:uiPriority w:val="0"/>
    <w:pPr>
      <w:tabs>
        <w:tab w:val="left" w:pos="1418"/>
      </w:tabs>
      <w:ind w:firstLine="0" w:firstLineChars="0"/>
      <w:jc w:val="center"/>
    </w:pPr>
    <w:rPr>
      <w:rFonts w:ascii="仿宋_GB2312" w:hAnsi="Times New Roman" w:eastAsia="仿宋_GB2312"/>
      <w:spacing w:val="-20"/>
      <w:kern w:val="0"/>
    </w:rPr>
  </w:style>
  <w:style w:type="paragraph" w:customStyle="1" w:styleId="158">
    <w:name w:val="font6"/>
    <w:basedOn w:val="1"/>
    <w:autoRedefine/>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59">
    <w:name w:val="xl82"/>
    <w:basedOn w:val="1"/>
    <w:autoRedefine/>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1">
    <w:name w:val="Char Char Char Char Char Char Char Char Char Char Char Char Char"/>
    <w:basedOn w:val="1"/>
    <w:autoRedefine/>
    <w:qFormat/>
    <w:uiPriority w:val="0"/>
    <w:pPr>
      <w:spacing w:line="240" w:lineRule="auto"/>
      <w:ind w:firstLine="0" w:firstLineChars="0"/>
    </w:pPr>
    <w:rPr>
      <w:rFonts w:ascii="Tahoma" w:hAnsi="Tahoma"/>
      <w:szCs w:val="20"/>
    </w:rPr>
  </w:style>
  <w:style w:type="paragraph" w:customStyle="1" w:styleId="162">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b/>
      <w:bCs/>
      <w:color w:val="000000"/>
      <w:kern w:val="0"/>
      <w:sz w:val="18"/>
      <w:szCs w:val="18"/>
    </w:rPr>
  </w:style>
  <w:style w:type="paragraph" w:customStyle="1" w:styleId="163">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16"/>
      <w:szCs w:val="16"/>
    </w:rPr>
  </w:style>
  <w:style w:type="paragraph" w:customStyle="1" w:styleId="164">
    <w:name w:val="trs_editor"/>
    <w:basedOn w:val="1"/>
    <w:autoRedefine/>
    <w:qFormat/>
    <w:uiPriority w:val="0"/>
    <w:pPr>
      <w:widowControl/>
      <w:spacing w:before="100" w:beforeAutospacing="1" w:after="100" w:afterAutospacing="1"/>
      <w:jc w:val="left"/>
    </w:pPr>
    <w:rPr>
      <w:rFonts w:cs="宋体"/>
      <w:kern w:val="0"/>
    </w:rPr>
  </w:style>
  <w:style w:type="paragraph" w:customStyle="1" w:styleId="165">
    <w:name w:val="font8"/>
    <w:basedOn w:val="1"/>
    <w:autoRedefine/>
    <w:qFormat/>
    <w:uiPriority w:val="0"/>
    <w:pPr>
      <w:widowControl/>
      <w:spacing w:before="100" w:beforeAutospacing="1" w:after="100" w:afterAutospacing="1" w:line="240" w:lineRule="auto"/>
      <w:ind w:firstLine="0" w:firstLineChars="0"/>
      <w:jc w:val="left"/>
    </w:pPr>
    <w:rPr>
      <w:rFonts w:ascii="Times New Roman" w:hAnsi="Times New Roman" w:cs="宋体"/>
      <w:color w:val="000000"/>
      <w:kern w:val="0"/>
      <w:sz w:val="18"/>
      <w:szCs w:val="18"/>
    </w:rPr>
  </w:style>
  <w:style w:type="paragraph" w:customStyle="1" w:styleId="16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kern w:val="0"/>
      <w:sz w:val="18"/>
      <w:szCs w:val="18"/>
    </w:rPr>
  </w:style>
  <w:style w:type="paragraph" w:customStyle="1" w:styleId="167">
    <w:name w:val="列出段落2"/>
    <w:basedOn w:val="1"/>
    <w:autoRedefine/>
    <w:qFormat/>
    <w:uiPriority w:val="99"/>
    <w:pPr>
      <w:ind w:firstLine="420"/>
    </w:pPr>
    <w:rPr>
      <w:rFonts w:ascii="Times New Roman" w:hAnsi="Times New Roman"/>
      <w:szCs w:val="22"/>
    </w:rPr>
  </w:style>
  <w:style w:type="paragraph" w:customStyle="1" w:styleId="168">
    <w:name w:val="p16"/>
    <w:basedOn w:val="1"/>
    <w:autoRedefine/>
    <w:qFormat/>
    <w:uiPriority w:val="0"/>
    <w:pPr>
      <w:widowControl/>
      <w:spacing w:line="240" w:lineRule="auto"/>
      <w:ind w:left="420" w:hanging="420" w:firstLineChars="0"/>
    </w:pPr>
    <w:rPr>
      <w:rFonts w:ascii="Times New Roman" w:hAnsi="Times New Roman"/>
      <w:kern w:val="0"/>
      <w:szCs w:val="21"/>
    </w:rPr>
  </w:style>
  <w:style w:type="paragraph" w:customStyle="1" w:styleId="169">
    <w:name w:val="font9"/>
    <w:basedOn w:val="1"/>
    <w:autoRedefine/>
    <w:qFormat/>
    <w:uiPriority w:val="0"/>
    <w:pPr>
      <w:widowControl/>
      <w:spacing w:before="100" w:beforeAutospacing="1" w:after="100" w:afterAutospacing="1" w:line="240" w:lineRule="auto"/>
      <w:ind w:firstLine="0" w:firstLineChars="0"/>
      <w:jc w:val="left"/>
    </w:pPr>
    <w:rPr>
      <w:rFonts w:ascii="Symbol" w:hAnsi="Symbol" w:cs="宋体"/>
      <w:color w:val="000000"/>
      <w:kern w:val="0"/>
      <w:sz w:val="18"/>
      <w:szCs w:val="18"/>
    </w:rPr>
  </w:style>
  <w:style w:type="paragraph" w:customStyle="1" w:styleId="170">
    <w:name w:val="样式3"/>
    <w:basedOn w:val="171"/>
    <w:autoRedefine/>
    <w:qFormat/>
    <w:uiPriority w:val="0"/>
    <w:pPr>
      <w:spacing w:line="240" w:lineRule="auto"/>
    </w:pPr>
  </w:style>
  <w:style w:type="paragraph" w:customStyle="1" w:styleId="171">
    <w:name w:val="样式2"/>
    <w:basedOn w:val="140"/>
    <w:autoRedefine/>
    <w:qFormat/>
    <w:uiPriority w:val="0"/>
    <w:pPr>
      <w:ind w:firstLine="0" w:firstLineChars="0"/>
    </w:pPr>
    <w:rPr>
      <w:rFonts w:ascii="Times New Roman" w:hAnsi="Times New Roman"/>
    </w:rPr>
  </w:style>
  <w:style w:type="paragraph" w:customStyle="1" w:styleId="172">
    <w:name w:val="xl25"/>
    <w:basedOn w:val="1"/>
    <w:autoRedefine/>
    <w:qFormat/>
    <w:uiPriority w:val="0"/>
    <w:pPr>
      <w:widowControl/>
      <w:spacing w:before="100" w:beforeAutospacing="1" w:after="100" w:afterAutospacing="1" w:line="240" w:lineRule="auto"/>
      <w:ind w:firstLine="0" w:firstLineChars="0"/>
      <w:jc w:val="center"/>
      <w:textAlignment w:val="center"/>
    </w:pPr>
    <w:rPr>
      <w:rFonts w:hint="eastAsia" w:ascii="楷体_GB2312" w:eastAsia="楷体_GB2312"/>
      <w:kern w:val="0"/>
    </w:rPr>
  </w:style>
  <w:style w:type="paragraph" w:customStyle="1" w:styleId="173">
    <w:name w:val="Horizontal Bar"/>
    <w:basedOn w:val="1"/>
    <w:autoRedefine/>
    <w:qFormat/>
    <w:uiPriority w:val="0"/>
    <w:pPr>
      <w:kinsoku w:val="0"/>
      <w:overflowPunct w:val="0"/>
      <w:topLinePunct/>
      <w:spacing w:line="0" w:lineRule="atLeast"/>
      <w:ind w:firstLine="0" w:firstLineChars="0"/>
      <w:jc w:val="left"/>
    </w:pPr>
    <w:rPr>
      <w:rFonts w:ascii="ScalaSansLF-Regular" w:hAnsi="ScalaSansLF-Regular" w:eastAsia="ScalaSansLF-Regular" w:cs="ScalaSansLF-Regular"/>
      <w:bCs/>
      <w:sz w:val="16"/>
      <w:szCs w:val="16"/>
      <w:lang w:eastAsia="ja-JP"/>
    </w:rPr>
  </w:style>
  <w:style w:type="paragraph" w:customStyle="1" w:styleId="174">
    <w:name w:val="head 1.1.1"/>
    <w:basedOn w:val="130"/>
    <w:autoRedefine/>
    <w:qFormat/>
    <w:uiPriority w:val="0"/>
    <w:pPr>
      <w:numPr>
        <w:ilvl w:val="2"/>
        <w:numId w:val="3"/>
      </w:numPr>
      <w:spacing w:line="240" w:lineRule="auto"/>
      <w:ind w:firstLine="0" w:firstLineChars="0"/>
    </w:pPr>
    <w:rPr>
      <w:bCs/>
      <w:szCs w:val="22"/>
    </w:rPr>
  </w:style>
  <w:style w:type="paragraph" w:customStyle="1" w:styleId="17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b/>
      <w:bCs/>
      <w:color w:val="000000"/>
      <w:kern w:val="0"/>
      <w:sz w:val="18"/>
      <w:szCs w:val="18"/>
    </w:rPr>
  </w:style>
  <w:style w:type="paragraph" w:customStyle="1" w:styleId="176">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77">
    <w:name w:val="Char Char Char Char Char Char Char Char Char Char"/>
    <w:basedOn w:val="9"/>
    <w:autoRedefine/>
    <w:qFormat/>
    <w:uiPriority w:val="0"/>
    <w:pPr>
      <w:shd w:val="clear" w:color="auto" w:fill="000080"/>
      <w:spacing w:line="240" w:lineRule="auto"/>
      <w:ind w:firstLine="0" w:firstLineChars="0"/>
    </w:pPr>
    <w:rPr>
      <w:rFonts w:ascii="Tahoma" w:hAnsi="Tahoma"/>
      <w:sz w:val="24"/>
      <w:szCs w:val="24"/>
    </w:rPr>
  </w:style>
  <w:style w:type="paragraph" w:customStyle="1" w:styleId="17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79">
    <w:name w:val="标题3"/>
    <w:basedOn w:val="5"/>
    <w:link w:val="180"/>
    <w:autoRedefine/>
    <w:qFormat/>
    <w:uiPriority w:val="0"/>
    <w:pPr>
      <w:spacing w:before="260" w:after="260" w:line="415" w:lineRule="auto"/>
    </w:pPr>
    <w:rPr>
      <w:sz w:val="28"/>
      <w:szCs w:val="28"/>
    </w:rPr>
  </w:style>
  <w:style w:type="character" w:customStyle="1" w:styleId="180">
    <w:name w:val="标题3 Char"/>
    <w:link w:val="179"/>
    <w:autoRedefine/>
    <w:qFormat/>
    <w:uiPriority w:val="0"/>
    <w:rPr>
      <w:rFonts w:ascii="宋体" w:hAnsi="宋体" w:eastAsia="宋体" w:cs="Times New Roman"/>
      <w:sz w:val="28"/>
      <w:szCs w:val="28"/>
    </w:rPr>
  </w:style>
  <w:style w:type="paragraph" w:customStyle="1" w:styleId="181">
    <w:name w:val="部分1"/>
    <w:basedOn w:val="1"/>
    <w:autoRedefine/>
    <w:qFormat/>
    <w:uiPriority w:val="0"/>
    <w:pPr>
      <w:keepNext/>
      <w:pageBreakBefore/>
      <w:tabs>
        <w:tab w:val="left" w:pos="720"/>
      </w:tabs>
      <w:jc w:val="center"/>
      <w:outlineLvl w:val="0"/>
    </w:pPr>
    <w:rPr>
      <w:rFonts w:ascii="Times New Roman" w:hAnsi="Times New Roman" w:eastAsia="黑体"/>
      <w:b/>
      <w:kern w:val="44"/>
      <w:sz w:val="36"/>
    </w:rPr>
  </w:style>
  <w:style w:type="paragraph" w:customStyle="1" w:styleId="182">
    <w:name w:val="font7"/>
    <w:basedOn w:val="1"/>
    <w:autoRedefine/>
    <w:qFormat/>
    <w:uiPriority w:val="0"/>
    <w:pPr>
      <w:widowControl/>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8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Times New Roman" w:hAnsi="Times New Roman"/>
      <w:color w:val="000000"/>
      <w:kern w:val="0"/>
      <w:sz w:val="18"/>
      <w:szCs w:val="18"/>
    </w:rPr>
  </w:style>
  <w:style w:type="paragraph" w:customStyle="1" w:styleId="184">
    <w:name w:val="四级目录 Char Char Char Char Char"/>
    <w:next w:val="1"/>
    <w:autoRedefine/>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8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86">
    <w:name w:val="样式4"/>
    <w:basedOn w:val="1"/>
    <w:autoRedefine/>
    <w:qFormat/>
    <w:uiPriority w:val="0"/>
    <w:pPr>
      <w:ind w:firstLine="0" w:firstLineChars="0"/>
      <w:jc w:val="center"/>
    </w:pPr>
    <w:rPr>
      <w:rFonts w:ascii="Times New Roman" w:hAnsi="Times New Roman"/>
      <w:sz w:val="20"/>
    </w:rPr>
  </w:style>
  <w:style w:type="paragraph" w:customStyle="1" w:styleId="187">
    <w:name w:val="默认段落字体 Para Char Char Char Char Char Char Char Char Char1 Char Char Char Char"/>
    <w:basedOn w:val="1"/>
    <w:autoRedefine/>
    <w:qFormat/>
    <w:uiPriority w:val="0"/>
    <w:rPr>
      <w:rFonts w:ascii="Tahoma" w:hAnsi="Tahoma"/>
      <w:szCs w:val="20"/>
    </w:rPr>
  </w:style>
  <w:style w:type="paragraph" w:customStyle="1" w:styleId="188">
    <w:name w:val="Char"/>
    <w:basedOn w:val="1"/>
    <w:autoRedefine/>
    <w:qFormat/>
    <w:uiPriority w:val="0"/>
    <w:pPr>
      <w:spacing w:line="240" w:lineRule="auto"/>
      <w:ind w:firstLine="0" w:firstLineChars="0"/>
    </w:pPr>
    <w:rPr>
      <w:rFonts w:ascii="仿宋_GB2312" w:hAnsi="Times New Roman" w:eastAsia="仿宋_GB2312"/>
      <w:b/>
      <w:sz w:val="32"/>
      <w:szCs w:val="32"/>
    </w:rPr>
  </w:style>
  <w:style w:type="paragraph" w:customStyle="1" w:styleId="189">
    <w:name w:val="_Style 3"/>
    <w:basedOn w:val="1"/>
    <w:next w:val="167"/>
    <w:autoRedefine/>
    <w:qFormat/>
    <w:uiPriority w:val="0"/>
    <w:pPr>
      <w:ind w:firstLine="420"/>
    </w:pPr>
    <w:rPr>
      <w:rFonts w:ascii="Times New Roman" w:hAnsi="Times New Roman"/>
      <w:szCs w:val="22"/>
    </w:rPr>
  </w:style>
  <w:style w:type="paragraph" w:customStyle="1" w:styleId="190">
    <w:name w:val="正文缩进1"/>
    <w:basedOn w:val="1"/>
    <w:next w:val="14"/>
    <w:autoRedefine/>
    <w:qFormat/>
    <w:uiPriority w:val="0"/>
    <w:pPr>
      <w:autoSpaceDE w:val="0"/>
      <w:autoSpaceDN w:val="0"/>
      <w:adjustRightInd w:val="0"/>
      <w:snapToGrid w:val="0"/>
      <w:spacing w:after="120"/>
      <w:ind w:left="420" w:firstLine="480" w:firstLineChars="0"/>
    </w:pPr>
    <w:rPr>
      <w:rFonts w:ascii="Times New Roman" w:hAnsi="Times New Roman"/>
      <w:szCs w:val="20"/>
    </w:rPr>
  </w:style>
  <w:style w:type="paragraph" w:customStyle="1" w:styleId="191">
    <w:name w:val="_Style 54"/>
    <w:basedOn w:val="1"/>
    <w:autoRedefine/>
    <w:qFormat/>
    <w:uiPriority w:val="0"/>
    <w:pPr>
      <w:spacing w:line="240" w:lineRule="auto"/>
      <w:ind w:firstLine="0" w:firstLineChars="0"/>
    </w:pPr>
    <w:rPr>
      <w:rFonts w:ascii="Times New Roman" w:hAnsi="Times New Roman"/>
    </w:rPr>
  </w:style>
  <w:style w:type="paragraph" w:customStyle="1" w:styleId="19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kern w:val="0"/>
      <w:sz w:val="18"/>
      <w:szCs w:val="18"/>
    </w:rPr>
  </w:style>
  <w:style w:type="paragraph" w:customStyle="1" w:styleId="193">
    <w:name w:val="_Style 185"/>
    <w:autoRedefine/>
    <w:qFormat/>
    <w:uiPriority w:val="0"/>
    <w:rPr>
      <w:rFonts w:ascii="Times New Roman" w:hAnsi="Times New Roman" w:eastAsia="宋体" w:cs="Times New Roman"/>
      <w:kern w:val="2"/>
      <w:sz w:val="24"/>
      <w:szCs w:val="24"/>
      <w:lang w:val="en-US" w:eastAsia="zh-CN" w:bidi="ar-SA"/>
    </w:rPr>
  </w:style>
  <w:style w:type="paragraph" w:customStyle="1" w:styleId="19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color w:val="000000"/>
      <w:kern w:val="0"/>
      <w:sz w:val="18"/>
      <w:szCs w:val="18"/>
    </w:rPr>
  </w:style>
  <w:style w:type="paragraph" w:customStyle="1" w:styleId="195">
    <w:name w:val="font5"/>
    <w:basedOn w:val="1"/>
    <w:autoRedefine/>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9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color w:val="000000"/>
      <w:kern w:val="0"/>
      <w:sz w:val="18"/>
      <w:szCs w:val="18"/>
    </w:rPr>
  </w:style>
  <w:style w:type="paragraph" w:customStyle="1" w:styleId="197">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98">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Times New Roman" w:hAnsi="Times New Roman"/>
      <w:color w:val="000000"/>
      <w:kern w:val="0"/>
      <w:sz w:val="18"/>
      <w:szCs w:val="18"/>
    </w:rPr>
  </w:style>
  <w:style w:type="paragraph" w:customStyle="1" w:styleId="199">
    <w:name w:val="文字"/>
    <w:basedOn w:val="1"/>
    <w:autoRedefine/>
    <w:qFormat/>
    <w:uiPriority w:val="0"/>
    <w:pPr>
      <w:tabs>
        <w:tab w:val="left" w:pos="8520"/>
      </w:tabs>
      <w:spacing w:line="312" w:lineRule="auto"/>
      <w:ind w:right="-210" w:firstLine="556" w:firstLineChars="0"/>
    </w:pPr>
    <w:rPr>
      <w:rFonts w:ascii="楷体_GB2312" w:hAnsi="Times New Roman" w:eastAsia="楷体_GB2312"/>
      <w:sz w:val="28"/>
      <w:szCs w:val="20"/>
    </w:rPr>
  </w:style>
  <w:style w:type="character" w:customStyle="1" w:styleId="200">
    <w:name w:val="on1"/>
    <w:autoRedefine/>
    <w:qFormat/>
    <w:uiPriority w:val="0"/>
  </w:style>
  <w:style w:type="character" w:customStyle="1" w:styleId="201">
    <w:name w:val="bulletintext1"/>
    <w:autoRedefine/>
    <w:qFormat/>
    <w:uiPriority w:val="0"/>
    <w:rPr>
      <w:color w:val="000000"/>
      <w:sz w:val="18"/>
      <w:szCs w:val="18"/>
    </w:rPr>
  </w:style>
  <w:style w:type="character" w:customStyle="1" w:styleId="202">
    <w:name w:val="font21"/>
    <w:basedOn w:val="46"/>
    <w:autoRedefine/>
    <w:qFormat/>
    <w:uiPriority w:val="0"/>
    <w:rPr>
      <w:rFonts w:hint="eastAsia" w:ascii="仿宋" w:hAnsi="仿宋" w:eastAsia="仿宋" w:cs="仿宋"/>
      <w:color w:val="000000"/>
      <w:sz w:val="24"/>
      <w:szCs w:val="24"/>
      <w:u w:val="none"/>
    </w:rPr>
  </w:style>
  <w:style w:type="paragraph" w:customStyle="1" w:styleId="203">
    <w:name w:val="_Style 1"/>
    <w:basedOn w:val="1"/>
    <w:autoRedefine/>
    <w:qFormat/>
    <w:uiPriority w:val="34"/>
    <w:pPr>
      <w:ind w:firstLine="420"/>
    </w:pPr>
    <w:rPr>
      <w:szCs w:val="21"/>
    </w:rPr>
  </w:style>
  <w:style w:type="paragraph" w:customStyle="1" w:styleId="204">
    <w:name w:val="样式 首行缩进:  2 字符"/>
    <w:basedOn w:val="1"/>
    <w:autoRedefine/>
    <w:qFormat/>
    <w:uiPriority w:val="0"/>
    <w:pPr>
      <w:ind w:firstLine="420"/>
    </w:pPr>
    <w:rPr>
      <w:rFonts w:eastAsia="楷体" w:cs="宋体"/>
      <w:szCs w:val="20"/>
    </w:rPr>
  </w:style>
  <w:style w:type="paragraph" w:customStyle="1" w:styleId="205">
    <w:name w:val="此正文"/>
    <w:basedOn w:val="1"/>
    <w:autoRedefine/>
    <w:qFormat/>
    <w:uiPriority w:val="0"/>
    <w:pPr>
      <w:ind w:firstLine="480"/>
    </w:pPr>
  </w:style>
  <w:style w:type="paragraph" w:customStyle="1" w:styleId="206">
    <w:name w:val="默认段落字体 Para Char Char Char Char Char Char Char Char"/>
    <w:basedOn w:val="1"/>
    <w:autoRedefine/>
    <w:qFormat/>
    <w:uiPriority w:val="0"/>
  </w:style>
  <w:style w:type="paragraph" w:customStyle="1" w:styleId="207">
    <w:name w:val="Normal Indent1"/>
    <w:basedOn w:val="1"/>
    <w:qFormat/>
    <w:uiPriority w:val="99"/>
    <w:pPr>
      <w:ind w:firstLine="420"/>
    </w:pPr>
  </w:style>
  <w:style w:type="paragraph" w:customStyle="1" w:styleId="208">
    <w:name w:val="纯文本1"/>
    <w:basedOn w:val="1"/>
    <w:qFormat/>
    <w:uiPriority w:val="99"/>
    <w:rPr>
      <w:rFonts w:hAnsi="Courier New"/>
      <w:kern w:val="0"/>
      <w:sz w:val="20"/>
    </w:rPr>
  </w:style>
  <w:style w:type="character" w:customStyle="1" w:styleId="209">
    <w:name w:val="font81"/>
    <w:basedOn w:val="46"/>
    <w:qFormat/>
    <w:uiPriority w:val="0"/>
    <w:rPr>
      <w:rFonts w:ascii="Calibri" w:hAnsi="Calibri" w:cs="Calibri"/>
      <w:b/>
      <w:bCs/>
      <w:color w:val="000000"/>
      <w:sz w:val="24"/>
      <w:szCs w:val="24"/>
      <w:u w:val="none"/>
    </w:rPr>
  </w:style>
  <w:style w:type="character" w:customStyle="1" w:styleId="210">
    <w:name w:val="font91"/>
    <w:basedOn w:val="46"/>
    <w:qFormat/>
    <w:uiPriority w:val="0"/>
    <w:rPr>
      <w:rFonts w:hint="default" w:ascii="Calibri" w:hAnsi="Calibri" w:cs="Calibri"/>
      <w:b/>
      <w:bCs/>
      <w:color w:val="000000"/>
      <w:sz w:val="24"/>
      <w:szCs w:val="24"/>
      <w:u w:val="none"/>
    </w:rPr>
  </w:style>
  <w:style w:type="paragraph" w:customStyle="1" w:styleId="211">
    <w:name w:val="Table Text"/>
    <w:basedOn w:val="1"/>
    <w:semiHidden/>
    <w:qFormat/>
    <w:uiPriority w:val="0"/>
    <w:rPr>
      <w:rFonts w:cs="宋体"/>
      <w:sz w:val="20"/>
      <w:szCs w:val="20"/>
      <w:lang w:eastAsia="en-US"/>
    </w:rPr>
  </w:style>
  <w:style w:type="paragraph" w:customStyle="1" w:styleId="212">
    <w:name w:val="正文空2字"/>
    <w:basedOn w:val="21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213">
    <w:name w:val="左对齐正文"/>
    <w:qFormat/>
    <w:uiPriority w:val="99"/>
    <w:rPr>
      <w:rFonts w:ascii="Calibri" w:hAnsi="Calibri" w:eastAsia="仿宋_GB2312" w:cs="Calibri"/>
      <w:kern w:val="2"/>
      <w:sz w:val="32"/>
      <w:szCs w:val="32"/>
      <w:lang w:val="en-US" w:eastAsia="zh-CN" w:bidi="ar-SA"/>
    </w:rPr>
  </w:style>
  <w:style w:type="table" w:customStyle="1" w:styleId="2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jpeg"/><Relationship Id="rId90" Type="http://schemas.openxmlformats.org/officeDocument/2006/relationships/image" Target="media/image68.png"/><Relationship Id="rId9" Type="http://schemas.openxmlformats.org/officeDocument/2006/relationships/footer" Target="footer2.xml"/><Relationship Id="rId89" Type="http://schemas.openxmlformats.org/officeDocument/2006/relationships/image" Target="media/image67.jpeg"/><Relationship Id="rId88" Type="http://schemas.openxmlformats.org/officeDocument/2006/relationships/image" Target="media/image66.jpeg"/><Relationship Id="rId87" Type="http://schemas.openxmlformats.org/officeDocument/2006/relationships/image" Target="media/image65.png"/><Relationship Id="rId86" Type="http://schemas.openxmlformats.org/officeDocument/2006/relationships/image" Target="media/image64.jpeg"/><Relationship Id="rId85" Type="http://schemas.openxmlformats.org/officeDocument/2006/relationships/image" Target="media/image63.jpeg"/><Relationship Id="rId84" Type="http://schemas.openxmlformats.org/officeDocument/2006/relationships/image" Target="media/image62.jpeg"/><Relationship Id="rId83" Type="http://schemas.openxmlformats.org/officeDocument/2006/relationships/image" Target="media/image61.jpeg"/><Relationship Id="rId82" Type="http://schemas.openxmlformats.org/officeDocument/2006/relationships/image" Target="media/image60.png"/><Relationship Id="rId81" Type="http://schemas.openxmlformats.org/officeDocument/2006/relationships/image" Target="media/image59.jpeg"/><Relationship Id="rId80" Type="http://schemas.openxmlformats.org/officeDocument/2006/relationships/image" Target="media/image58.jpeg"/><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jpeg"/><Relationship Id="rId77" Type="http://schemas.openxmlformats.org/officeDocument/2006/relationships/image" Target="media/image55.png"/><Relationship Id="rId76" Type="http://schemas.openxmlformats.org/officeDocument/2006/relationships/image" Target="media/image54.jpeg"/><Relationship Id="rId75" Type="http://schemas.openxmlformats.org/officeDocument/2006/relationships/image" Target="media/image53.png"/><Relationship Id="rId74" Type="http://schemas.openxmlformats.org/officeDocument/2006/relationships/image" Target="media/image52.jpeg"/><Relationship Id="rId73" Type="http://schemas.openxmlformats.org/officeDocument/2006/relationships/image" Target="media/image51.png"/><Relationship Id="rId72" Type="http://schemas.openxmlformats.org/officeDocument/2006/relationships/image" Target="media/image50.jpeg"/><Relationship Id="rId71" Type="http://schemas.openxmlformats.org/officeDocument/2006/relationships/image" Target="media/image49.png"/><Relationship Id="rId70" Type="http://schemas.openxmlformats.org/officeDocument/2006/relationships/image" Target="media/image48.jpe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jpeg"/><Relationship Id="rId67" Type="http://schemas.openxmlformats.org/officeDocument/2006/relationships/image" Target="media/image45.png"/><Relationship Id="rId66" Type="http://schemas.openxmlformats.org/officeDocument/2006/relationships/image" Target="media/image44.jpe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jpeg"/><Relationship Id="rId62" Type="http://schemas.openxmlformats.org/officeDocument/2006/relationships/image" Target="media/image40.png"/><Relationship Id="rId61" Type="http://schemas.openxmlformats.org/officeDocument/2006/relationships/image" Target="media/image39.jpe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media/image33.png"/><Relationship Id="rId54" Type="http://schemas.openxmlformats.org/officeDocument/2006/relationships/image" Target="media/image32.jpeg"/><Relationship Id="rId53" Type="http://schemas.openxmlformats.org/officeDocument/2006/relationships/image" Target="media/image31.png"/><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png"/><Relationship Id="rId47" Type="http://schemas.openxmlformats.org/officeDocument/2006/relationships/image" Target="media/image25.jpeg"/><Relationship Id="rId46" Type="http://schemas.openxmlformats.org/officeDocument/2006/relationships/image" Target="media/image24.png"/><Relationship Id="rId45" Type="http://schemas.openxmlformats.org/officeDocument/2006/relationships/image" Target="media/image23.jpeg"/><Relationship Id="rId44" Type="http://schemas.openxmlformats.org/officeDocument/2006/relationships/image" Target="media/image22.png"/><Relationship Id="rId43" Type="http://schemas.openxmlformats.org/officeDocument/2006/relationships/image" Target="media/image21.jpe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126</Pages>
  <Words>18781</Words>
  <Characters>21188</Characters>
  <Lines>1</Lines>
  <Paragraphs>1</Paragraphs>
  <TotalTime>2</TotalTime>
  <ScaleCrop>false</ScaleCrop>
  <LinksUpToDate>false</LinksUpToDate>
  <CharactersWithSpaces>21641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2024-12-26T05:35:00Z</dcterms:created>
  <dc:creator>Administrator</dc:creator>
  <cp:lastModifiedBy>徐敬琪</cp:lastModifiedBy>
  <cp:lastPrinted>2025-01-02T06:48:00Z</cp:lastPrinted>
  <dcterms:modified xsi:type="dcterms:W3CDTF">2025-01-04T02:10:25Z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E51D1488EC0543A28776C70B93494450_13</vt:lpwstr>
  </property>
  <property fmtid="{D5CDD505-2E9C-101B-9397-08002B2CF9AE}" pid="4" name="commondata">
    <vt:lpwstr>eyJoZGlkIjoiNDFiMTYwZWIzMTJiMzU2MDhiNmNlNmMzMWM5MjdmYjkifQ==</vt:lpwstr>
  </property>
  <property fmtid="{D5CDD505-2E9C-101B-9397-08002B2CF9AE}" pid="5" name="KSOTemplateDocerSaveRecord">
    <vt:lpwstr>eyJoZGlkIjoiNWZkNjA2YzQ4YjM4MzJhY2FhNjQwYzcxZGFmNTE5NWUiLCJ1c2VySWQiOiIxMjQxNjAwMjgyIn0=</vt:lpwstr>
  </property>
</Properties>
</file>