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5739CB">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hint="eastAsia" w:eastAsia="宋体" w:cs="宋体"/>
          <w:b/>
          <w:color w:val="auto"/>
          <w:sz w:val="44"/>
          <w:szCs w:val="44"/>
          <w:highlight w:val="none"/>
          <w:lang w:eastAsia="zh-CN"/>
        </w:rPr>
      </w:pPr>
      <w:r>
        <w:rPr>
          <w:rFonts w:hint="eastAsia" w:cs="宋体"/>
          <w:b/>
          <w:color w:val="auto"/>
          <w:sz w:val="44"/>
          <w:szCs w:val="44"/>
          <w:highlight w:val="none"/>
        </w:rPr>
        <w:t>长兴县</w:t>
      </w:r>
      <w:r>
        <w:rPr>
          <w:rFonts w:hint="eastAsia" w:cs="宋体"/>
          <w:b/>
          <w:color w:val="auto"/>
          <w:sz w:val="44"/>
          <w:szCs w:val="44"/>
          <w:highlight w:val="none"/>
          <w:lang w:eastAsia="zh-CN"/>
        </w:rPr>
        <w:t>学校视频监控升级采购项目</w:t>
      </w:r>
    </w:p>
    <w:p w14:paraId="4C3A05AF">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cs="宋体"/>
          <w:color w:val="auto"/>
          <w:sz w:val="32"/>
          <w:szCs w:val="32"/>
          <w:highlight w:val="none"/>
        </w:rPr>
      </w:pPr>
      <w:r>
        <w:rPr>
          <w:rFonts w:hint="eastAsia"/>
          <w:b/>
          <w:color w:val="auto"/>
          <w:sz w:val="32"/>
          <w:szCs w:val="32"/>
          <w:highlight w:val="none"/>
        </w:rPr>
        <w:t>（采购计划文号：</w:t>
      </w:r>
      <w:r>
        <w:rPr>
          <w:rFonts w:hint="eastAsia"/>
          <w:b/>
          <w:color w:val="auto"/>
          <w:sz w:val="32"/>
          <w:szCs w:val="32"/>
          <w:highlight w:val="none"/>
          <w:lang w:eastAsia="zh-CN"/>
        </w:rPr>
        <w:t>临</w:t>
      </w:r>
      <w:r>
        <w:rPr>
          <w:rFonts w:hint="eastAsia"/>
          <w:b/>
          <w:color w:val="auto"/>
          <w:sz w:val="32"/>
          <w:szCs w:val="32"/>
          <w:highlight w:val="none"/>
        </w:rPr>
        <w:t>[2024]</w:t>
      </w:r>
      <w:r>
        <w:rPr>
          <w:rFonts w:hint="eastAsia"/>
          <w:b/>
          <w:color w:val="auto"/>
          <w:sz w:val="32"/>
          <w:szCs w:val="32"/>
          <w:highlight w:val="none"/>
          <w:lang w:val="en-US" w:eastAsia="zh-CN"/>
        </w:rPr>
        <w:t>4323</w:t>
      </w:r>
      <w:r>
        <w:rPr>
          <w:rFonts w:hint="eastAsia"/>
          <w:b/>
          <w:color w:val="auto"/>
          <w:sz w:val="32"/>
          <w:szCs w:val="32"/>
          <w:highlight w:val="none"/>
        </w:rPr>
        <w:t>号）</w:t>
      </w:r>
    </w:p>
    <w:p w14:paraId="2709D340">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cs="宋体"/>
          <w:b/>
          <w:bCs/>
          <w:color w:val="auto"/>
          <w:highlight w:val="none"/>
        </w:rPr>
      </w:pPr>
      <w:r>
        <w:rPr>
          <w:rFonts w:hint="eastAsia" w:cs="宋体"/>
          <w:b/>
          <w:bCs/>
          <w:color w:val="auto"/>
          <w:sz w:val="32"/>
          <w:szCs w:val="32"/>
          <w:highlight w:val="none"/>
        </w:rPr>
        <w:t>（电子全流程）</w:t>
      </w:r>
    </w:p>
    <w:p w14:paraId="684830FE">
      <w:pPr>
        <w:ind w:firstLine="480"/>
        <w:rPr>
          <w:rFonts w:cs="宋体"/>
          <w:color w:val="auto"/>
          <w:highlight w:val="none"/>
        </w:rPr>
      </w:pPr>
    </w:p>
    <w:p w14:paraId="3B4A87C4">
      <w:pPr>
        <w:pStyle w:val="2"/>
        <w:rPr>
          <w:color w:val="auto"/>
          <w:highlight w:val="none"/>
        </w:rPr>
      </w:pPr>
    </w:p>
    <w:p w14:paraId="5D0684DE">
      <w:pPr>
        <w:ind w:firstLine="480"/>
        <w:rPr>
          <w:rFonts w:cs="宋体"/>
          <w:color w:val="auto"/>
          <w:highlight w:val="none"/>
        </w:rPr>
      </w:pPr>
    </w:p>
    <w:p w14:paraId="38C85346">
      <w:pPr>
        <w:ind w:firstLine="480"/>
        <w:rPr>
          <w:rFonts w:cs="宋体"/>
          <w:color w:val="auto"/>
          <w:highlight w:val="none"/>
        </w:rPr>
      </w:pPr>
    </w:p>
    <w:p w14:paraId="3DFD615C">
      <w:pPr>
        <w:adjustRightInd w:val="0"/>
        <w:snapToGrid w:val="0"/>
        <w:ind w:firstLine="0" w:firstLineChars="0"/>
        <w:jc w:val="center"/>
        <w:rPr>
          <w:rFonts w:cs="宋体"/>
          <w:b/>
          <w:color w:val="auto"/>
          <w:sz w:val="21"/>
          <w:szCs w:val="21"/>
          <w:highlight w:val="none"/>
        </w:rPr>
      </w:pPr>
      <w:r>
        <w:rPr>
          <w:rFonts w:hint="eastAsia" w:cs="宋体"/>
          <w:b/>
          <w:color w:val="auto"/>
          <w:sz w:val="84"/>
          <w:szCs w:val="84"/>
          <w:highlight w:val="none"/>
        </w:rPr>
        <w:t>公开招标文件</w:t>
      </w:r>
    </w:p>
    <w:p w14:paraId="7F0119EC">
      <w:pPr>
        <w:adjustRightInd w:val="0"/>
        <w:snapToGrid w:val="0"/>
        <w:ind w:firstLine="422"/>
        <w:jc w:val="center"/>
        <w:rPr>
          <w:rFonts w:cs="宋体"/>
          <w:b/>
          <w:color w:val="auto"/>
          <w:sz w:val="21"/>
          <w:szCs w:val="21"/>
          <w:highlight w:val="none"/>
        </w:rPr>
      </w:pPr>
    </w:p>
    <w:p w14:paraId="323E4896">
      <w:pPr>
        <w:adjustRightInd w:val="0"/>
        <w:snapToGrid w:val="0"/>
        <w:ind w:firstLine="422"/>
        <w:jc w:val="center"/>
        <w:rPr>
          <w:rFonts w:cs="宋体"/>
          <w:b/>
          <w:color w:val="auto"/>
          <w:sz w:val="21"/>
          <w:szCs w:val="21"/>
          <w:highlight w:val="none"/>
        </w:rPr>
      </w:pPr>
    </w:p>
    <w:p w14:paraId="10E9281D">
      <w:pPr>
        <w:adjustRightInd w:val="0"/>
        <w:snapToGrid w:val="0"/>
        <w:ind w:firstLine="422"/>
        <w:jc w:val="center"/>
        <w:rPr>
          <w:rFonts w:cs="宋体"/>
          <w:b/>
          <w:color w:val="auto"/>
          <w:sz w:val="21"/>
          <w:szCs w:val="21"/>
          <w:highlight w:val="none"/>
        </w:rPr>
      </w:pPr>
    </w:p>
    <w:p w14:paraId="043DAFF1">
      <w:pPr>
        <w:adjustRightInd w:val="0"/>
        <w:snapToGrid w:val="0"/>
        <w:ind w:firstLine="422"/>
        <w:jc w:val="center"/>
        <w:rPr>
          <w:rFonts w:cs="宋体"/>
          <w:b/>
          <w:color w:val="auto"/>
          <w:sz w:val="21"/>
          <w:szCs w:val="21"/>
          <w:highlight w:val="none"/>
        </w:rPr>
      </w:pPr>
    </w:p>
    <w:p w14:paraId="25164B65">
      <w:pPr>
        <w:adjustRightInd w:val="0"/>
        <w:snapToGrid w:val="0"/>
        <w:ind w:firstLine="422"/>
        <w:jc w:val="center"/>
        <w:rPr>
          <w:rFonts w:cs="宋体"/>
          <w:b/>
          <w:color w:val="auto"/>
          <w:sz w:val="21"/>
          <w:szCs w:val="21"/>
          <w:highlight w:val="none"/>
        </w:rPr>
      </w:pPr>
    </w:p>
    <w:p w14:paraId="70A7AB22">
      <w:pPr>
        <w:adjustRightInd w:val="0"/>
        <w:snapToGrid w:val="0"/>
        <w:ind w:firstLine="422"/>
        <w:jc w:val="center"/>
        <w:rPr>
          <w:rFonts w:cs="宋体"/>
          <w:b/>
          <w:color w:val="auto"/>
          <w:sz w:val="21"/>
          <w:szCs w:val="21"/>
          <w:highlight w:val="none"/>
        </w:rPr>
      </w:pPr>
    </w:p>
    <w:p w14:paraId="5F590CDB">
      <w:pPr>
        <w:adjustRightInd w:val="0"/>
        <w:snapToGrid w:val="0"/>
        <w:spacing w:line="480" w:lineRule="auto"/>
        <w:ind w:firstLine="960" w:firstLineChars="300"/>
        <w:rPr>
          <w:rFonts w:hint="eastAsia" w:eastAsia="宋体" w:cs="宋体"/>
          <w:color w:val="auto"/>
          <w:sz w:val="32"/>
          <w:szCs w:val="32"/>
          <w:highlight w:val="none"/>
          <w:u w:val="single"/>
          <w:lang w:val="en-US" w:eastAsia="zh-CN"/>
        </w:rPr>
      </w:pPr>
      <w:r>
        <w:rPr>
          <w:rFonts w:hint="eastAsia" w:cs="宋体"/>
          <w:color w:val="auto"/>
          <w:sz w:val="32"/>
          <w:szCs w:val="32"/>
          <w:highlight w:val="none"/>
        </w:rPr>
        <w:t>项 目  编 号：</w:t>
      </w:r>
      <w:r>
        <w:rPr>
          <w:rFonts w:hint="eastAsia" w:cs="宋体"/>
          <w:color w:val="auto"/>
          <w:sz w:val="32"/>
          <w:szCs w:val="32"/>
          <w:highlight w:val="none"/>
          <w:u w:val="single"/>
        </w:rPr>
        <w:t>ZJZX-CXJ</w:t>
      </w:r>
      <w:r>
        <w:rPr>
          <w:rFonts w:hint="eastAsia" w:cs="宋体"/>
          <w:color w:val="auto"/>
          <w:sz w:val="32"/>
          <w:szCs w:val="32"/>
          <w:highlight w:val="none"/>
          <w:u w:val="single"/>
          <w:lang w:val="en-US" w:eastAsia="zh-CN"/>
        </w:rPr>
        <w:t>Y</w:t>
      </w:r>
      <w:r>
        <w:rPr>
          <w:rFonts w:hint="eastAsia" w:cs="宋体"/>
          <w:color w:val="auto"/>
          <w:sz w:val="32"/>
          <w:szCs w:val="32"/>
          <w:highlight w:val="none"/>
          <w:u w:val="single"/>
        </w:rPr>
        <w:t>-202400</w:t>
      </w:r>
      <w:r>
        <w:rPr>
          <w:rFonts w:hint="eastAsia" w:cs="宋体"/>
          <w:color w:val="auto"/>
          <w:sz w:val="32"/>
          <w:szCs w:val="32"/>
          <w:highlight w:val="none"/>
          <w:u w:val="single"/>
          <w:lang w:val="en-US" w:eastAsia="zh-CN"/>
        </w:rPr>
        <w:t>1</w:t>
      </w:r>
    </w:p>
    <w:p w14:paraId="4C142FDC">
      <w:pPr>
        <w:adjustRightInd w:val="0"/>
        <w:snapToGrid w:val="0"/>
        <w:spacing w:line="480" w:lineRule="auto"/>
        <w:ind w:firstLine="960" w:firstLineChars="300"/>
        <w:rPr>
          <w:rFonts w:cs="宋体"/>
          <w:color w:val="auto"/>
          <w:sz w:val="32"/>
          <w:szCs w:val="32"/>
          <w:highlight w:val="none"/>
        </w:rPr>
      </w:pPr>
      <w:r>
        <w:rPr>
          <w:rFonts w:hint="eastAsia" w:cs="宋体"/>
          <w:color w:val="auto"/>
          <w:sz w:val="32"/>
          <w:szCs w:val="32"/>
          <w:highlight w:val="none"/>
        </w:rPr>
        <w:t>采   购   人：</w:t>
      </w:r>
      <w:r>
        <w:rPr>
          <w:rFonts w:hint="eastAsia" w:cs="宋体"/>
          <w:color w:val="auto"/>
          <w:sz w:val="32"/>
          <w:szCs w:val="32"/>
          <w:highlight w:val="none"/>
          <w:u w:val="single"/>
        </w:rPr>
        <w:t>长兴县</w:t>
      </w:r>
      <w:r>
        <w:rPr>
          <w:rFonts w:hint="eastAsia" w:cs="宋体"/>
          <w:color w:val="auto"/>
          <w:sz w:val="32"/>
          <w:szCs w:val="32"/>
          <w:highlight w:val="none"/>
          <w:u w:val="single"/>
          <w:lang w:eastAsia="zh-CN"/>
        </w:rPr>
        <w:t>教育</w:t>
      </w:r>
      <w:r>
        <w:rPr>
          <w:rFonts w:hint="eastAsia" w:cs="宋体"/>
          <w:color w:val="auto"/>
          <w:sz w:val="32"/>
          <w:szCs w:val="32"/>
          <w:highlight w:val="none"/>
          <w:u w:val="single"/>
        </w:rPr>
        <w:t>局（盖章）</w:t>
      </w:r>
    </w:p>
    <w:p w14:paraId="6ACD9ADE">
      <w:pPr>
        <w:adjustRightInd w:val="0"/>
        <w:snapToGrid w:val="0"/>
        <w:spacing w:line="480" w:lineRule="auto"/>
        <w:ind w:firstLine="960" w:firstLineChars="300"/>
        <w:rPr>
          <w:rFonts w:cs="宋体"/>
          <w:color w:val="auto"/>
          <w:sz w:val="32"/>
          <w:szCs w:val="32"/>
          <w:highlight w:val="none"/>
        </w:rPr>
      </w:pPr>
      <w:r>
        <w:rPr>
          <w:rFonts w:hint="eastAsia" w:cs="宋体"/>
          <w:color w:val="auto"/>
          <w:sz w:val="32"/>
          <w:szCs w:val="32"/>
          <w:highlight w:val="none"/>
        </w:rPr>
        <w:t>采购代理机构：</w:t>
      </w:r>
      <w:r>
        <w:rPr>
          <w:rFonts w:hint="eastAsia" w:cs="宋体"/>
          <w:color w:val="auto"/>
          <w:sz w:val="32"/>
          <w:szCs w:val="32"/>
          <w:highlight w:val="none"/>
          <w:u w:val="single"/>
        </w:rPr>
        <w:t>浙江致信招标代理有限公司（盖章）</w:t>
      </w:r>
    </w:p>
    <w:p w14:paraId="042AF982">
      <w:pPr>
        <w:snapToGrid w:val="0"/>
        <w:spacing w:line="480" w:lineRule="auto"/>
        <w:ind w:firstLine="0" w:firstLineChars="0"/>
        <w:jc w:val="center"/>
        <w:rPr>
          <w:rFonts w:hint="eastAsia" w:cs="宋体"/>
          <w:color w:val="auto"/>
          <w:sz w:val="32"/>
          <w:szCs w:val="32"/>
          <w:highlight w:val="none"/>
        </w:rPr>
      </w:pPr>
    </w:p>
    <w:p w14:paraId="397D9C23">
      <w:pPr>
        <w:snapToGrid w:val="0"/>
        <w:spacing w:line="480" w:lineRule="auto"/>
        <w:ind w:firstLine="0" w:firstLineChars="0"/>
        <w:jc w:val="center"/>
        <w:rPr>
          <w:rFonts w:cs="宋体"/>
          <w:b/>
          <w:bCs/>
          <w:color w:val="auto"/>
          <w:sz w:val="32"/>
          <w:szCs w:val="32"/>
          <w:highlight w:val="none"/>
        </w:rPr>
      </w:pPr>
      <w:r>
        <w:rPr>
          <w:rFonts w:hint="eastAsia" w:cs="宋体"/>
          <w:color w:val="auto"/>
          <w:sz w:val="32"/>
          <w:szCs w:val="32"/>
          <w:highlight w:val="none"/>
        </w:rPr>
        <w:t>2024年</w:t>
      </w:r>
      <w:r>
        <w:rPr>
          <w:rFonts w:hint="eastAsia" w:cs="宋体"/>
          <w:color w:val="auto"/>
          <w:sz w:val="32"/>
          <w:szCs w:val="32"/>
          <w:highlight w:val="none"/>
          <w:lang w:val="en-US" w:eastAsia="zh-CN"/>
        </w:rPr>
        <w:t>9</w:t>
      </w:r>
      <w:r>
        <w:rPr>
          <w:rFonts w:hint="eastAsia" w:cs="宋体"/>
          <w:color w:val="auto"/>
          <w:sz w:val="32"/>
          <w:szCs w:val="32"/>
          <w:highlight w:val="none"/>
        </w:rPr>
        <w:t>月</w:t>
      </w:r>
    </w:p>
    <w:p w14:paraId="0690EA94">
      <w:pPr>
        <w:pStyle w:val="76"/>
        <w:rPr>
          <w:rFonts w:ascii="宋体" w:hAnsi="宋体" w:eastAsia="宋体" w:cs="宋体"/>
          <w:color w:val="auto"/>
          <w:highlight w:val="none"/>
        </w:rPr>
      </w:pPr>
    </w:p>
    <w:p w14:paraId="4983D873">
      <w:pPr>
        <w:snapToGrid w:val="0"/>
        <w:ind w:firstLine="482"/>
        <w:rPr>
          <w:rFonts w:cs="宋体"/>
          <w:b/>
          <w:bCs/>
          <w:color w:val="auto"/>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080" w:bottom="1440" w:left="1080" w:header="851" w:footer="992" w:gutter="0"/>
          <w:pgNumType w:start="1"/>
          <w:cols w:space="720" w:num="1"/>
          <w:docGrid w:type="lines" w:linePitch="312" w:charSpace="0"/>
        </w:sectPr>
      </w:pPr>
    </w:p>
    <w:p w14:paraId="424B0779">
      <w:pPr>
        <w:pStyle w:val="34"/>
        <w:keepNext w:val="0"/>
        <w:keepLines w:val="0"/>
        <w:pageBreakBefore w:val="0"/>
        <w:widowControl w:val="0"/>
        <w:tabs>
          <w:tab w:val="right" w:leader="dot" w:pos="8306"/>
          <w:tab w:val="clear" w:pos="8296"/>
        </w:tabs>
        <w:kinsoku/>
        <w:wordWrap/>
        <w:overflowPunct/>
        <w:topLinePunct w:val="0"/>
        <w:autoSpaceDE/>
        <w:autoSpaceDN/>
        <w:bidi w:val="0"/>
        <w:adjustRightInd w:val="0"/>
        <w:snapToGrid/>
        <w:ind w:left="0" w:leftChars="0" w:firstLine="0" w:firstLineChars="0"/>
        <w:jc w:val="center"/>
        <w:textAlignment w:val="auto"/>
        <w:rPr>
          <w:rFonts w:ascii="宋体" w:hAnsi="宋体" w:cs="宋体"/>
          <w:b/>
          <w:bCs/>
          <w:color w:val="auto"/>
          <w:sz w:val="36"/>
          <w:szCs w:val="36"/>
          <w:highlight w:val="none"/>
          <w:lang w:val="zh-CN"/>
        </w:rPr>
      </w:pPr>
      <w:bookmarkStart w:id="0" w:name="_Toc32639"/>
      <w:r>
        <w:rPr>
          <w:rFonts w:hint="eastAsia" w:ascii="宋体" w:hAnsi="宋体" w:cs="宋体"/>
          <w:b/>
          <w:bCs/>
          <w:color w:val="auto"/>
          <w:sz w:val="36"/>
          <w:szCs w:val="36"/>
          <w:highlight w:val="none"/>
          <w:lang w:val="zh-CN"/>
        </w:rPr>
        <w:t>目</w:t>
      </w:r>
      <w:r>
        <w:rPr>
          <w:rFonts w:hint="eastAsia" w:ascii="宋体" w:hAnsi="宋体" w:cs="宋体"/>
          <w:b/>
          <w:bCs/>
          <w:color w:val="auto"/>
          <w:sz w:val="36"/>
          <w:szCs w:val="36"/>
          <w:highlight w:val="none"/>
        </w:rPr>
        <w:t xml:space="preserve">  </w:t>
      </w:r>
      <w:r>
        <w:rPr>
          <w:rFonts w:hint="eastAsia" w:ascii="宋体" w:hAnsi="宋体" w:cs="宋体"/>
          <w:b/>
          <w:bCs/>
          <w:color w:val="auto"/>
          <w:sz w:val="36"/>
          <w:szCs w:val="36"/>
          <w:highlight w:val="none"/>
          <w:lang w:val="zh-CN"/>
        </w:rPr>
        <w:t>录</w:t>
      </w:r>
      <w:bookmarkEnd w:id="0"/>
    </w:p>
    <w:p w14:paraId="739AD7E2">
      <w:pPr>
        <w:pStyle w:val="2"/>
        <w:tabs>
          <w:tab w:val="right" w:leader="dot" w:pos="9746"/>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"1-2"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_Toc3687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_Toc3687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FFC653">
      <w:pPr>
        <w:pStyle w:val="2"/>
        <w:tabs>
          <w:tab w:val="right" w:leader="dot" w:pos="9746"/>
          <w:tab w:val="clear" w:pos="829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_Toc28843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_Toc28843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894C60F">
      <w:pPr>
        <w:pStyle w:val="2"/>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42</w:t>
      </w:r>
    </w:p>
    <w:p w14:paraId="2F81A62E">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_Toc32651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前 附 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42</w:t>
      </w:r>
    </w:p>
    <w:p w14:paraId="63FE2920">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_Toc24542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第一节 总 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46</w:t>
      </w:r>
    </w:p>
    <w:p w14:paraId="5C6BABF7">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_Toc15413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第二节 招标文件的构成、澄清、修改</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50</w:t>
      </w:r>
    </w:p>
    <w:p w14:paraId="7083B9BD">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第三节 投标文件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50</w:t>
      </w:r>
    </w:p>
    <w:p w14:paraId="4D521324">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_Toc16619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第四节 投标文件的递交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54</w:t>
      </w:r>
    </w:p>
    <w:p w14:paraId="25ABA48A">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_Toc25038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第五节 开 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54</w:t>
      </w:r>
    </w:p>
    <w:p w14:paraId="38E3E3CE">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_Toc5279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第六节 评 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56</w:t>
      </w:r>
    </w:p>
    <w:p w14:paraId="7936CD49">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第七节 定 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59</w:t>
      </w:r>
    </w:p>
    <w:p w14:paraId="6C0E6AD6">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第八节 授予合同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59</w:t>
      </w:r>
    </w:p>
    <w:p w14:paraId="45F196A1">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_Toc24973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第九节 电子交易活动的中止</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60</w:t>
      </w:r>
    </w:p>
    <w:p w14:paraId="3A307D6C">
      <w:pPr>
        <w:pStyle w:val="2"/>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_Toc32498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61</w:t>
      </w:r>
    </w:p>
    <w:p w14:paraId="513CC1E5">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_Toc13943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一、评分总则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61</w:t>
      </w:r>
    </w:p>
    <w:p w14:paraId="5886FB40">
      <w:pPr>
        <w:pStyle w:val="34"/>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_Toc3775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二、评分内容及标准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61</w:t>
      </w:r>
    </w:p>
    <w:p w14:paraId="4878CAFC">
      <w:pPr>
        <w:pStyle w:val="2"/>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第五章 </w:t>
      </w:r>
      <w:r>
        <w:rPr>
          <w:rFonts w:hint="eastAsia" w:ascii="宋体" w:hAnsi="宋体" w:eastAsia="宋体" w:cs="宋体"/>
          <w:bCs/>
          <w:color w:val="auto"/>
          <w:sz w:val="28"/>
          <w:szCs w:val="28"/>
          <w:highlight w:val="none"/>
        </w:rPr>
        <w:t>合同主要格式及条款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64</w:t>
      </w:r>
    </w:p>
    <w:p w14:paraId="270B224D">
      <w:pPr>
        <w:pStyle w:val="2"/>
        <w:tabs>
          <w:tab w:val="right" w:leader="dot" w:pos="9746"/>
          <w:tab w:val="clear" w:pos="8296"/>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_Toc15325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70</w:t>
      </w:r>
    </w:p>
    <w:p w14:paraId="741C5218">
      <w:pPr>
        <w:pStyle w:val="34"/>
        <w:tabs>
          <w:tab w:val="right" w:leader="dot" w:pos="9060"/>
          <w:tab w:val="clear" w:pos="8296"/>
        </w:tabs>
        <w:ind w:left="48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112AE2DB">
      <w:pPr>
        <w:pStyle w:val="3"/>
        <w:rPr>
          <w:rFonts w:hint="eastAsia" w:ascii="宋体" w:hAnsi="宋体" w:eastAsia="宋体" w:cs="宋体"/>
          <w:color w:val="auto"/>
          <w:sz w:val="28"/>
          <w:szCs w:val="28"/>
          <w:highlight w:val="none"/>
        </w:rPr>
        <w:sectPr>
          <w:footerReference r:id="rId11" w:type="default"/>
          <w:pgSz w:w="11906" w:h="16838"/>
          <w:pgMar w:top="1440" w:right="1080" w:bottom="1440" w:left="1080" w:header="170" w:footer="567" w:gutter="0"/>
          <w:pgNumType w:start="1"/>
          <w:cols w:space="720" w:num="1"/>
          <w:docGrid w:linePitch="381" w:charSpace="0"/>
        </w:sectPr>
      </w:pPr>
      <w:bookmarkStart w:id="1" w:name="_Toc12653"/>
      <w:bookmarkStart w:id="2" w:name="_Toc4470"/>
      <w:bookmarkStart w:id="3" w:name="_Toc452457411"/>
    </w:p>
    <w:p w14:paraId="51FCBAB0">
      <w:pPr>
        <w:pStyle w:val="3"/>
        <w:spacing w:line="480" w:lineRule="auto"/>
        <w:rPr>
          <w:rFonts w:cs="宋体"/>
          <w:color w:val="auto"/>
          <w:highlight w:val="none"/>
        </w:rPr>
      </w:pPr>
      <w:bookmarkStart w:id="4" w:name="_Toc27621"/>
      <w:r>
        <w:rPr>
          <w:rFonts w:hint="eastAsia" w:cs="宋体"/>
          <w:color w:val="auto"/>
          <w:highlight w:val="none"/>
        </w:rPr>
        <w:t>电子交易须知</w:t>
      </w:r>
      <w:bookmarkEnd w:id="4"/>
    </w:p>
    <w:p w14:paraId="1870CDEE">
      <w:pPr>
        <w:keepNext w:val="0"/>
        <w:keepLines w:val="0"/>
        <w:pageBreakBefore w:val="0"/>
        <w:widowControl w:val="0"/>
        <w:kinsoku/>
        <w:wordWrap/>
        <w:overflowPunct/>
        <w:topLinePunct w:val="0"/>
        <w:autoSpaceDE/>
        <w:autoSpaceDN/>
        <w:bidi w:val="0"/>
        <w:adjustRightInd/>
        <w:snapToGrid/>
        <w:spacing w:line="560" w:lineRule="exact"/>
        <w:ind w:firstLine="458"/>
        <w:jc w:val="left"/>
        <w:textAlignment w:val="auto"/>
        <w:rPr>
          <w:rFonts w:cs="宋体"/>
          <w:b/>
          <w:bCs/>
          <w:color w:val="auto"/>
          <w:spacing w:val="-6"/>
          <w:highlight w:val="none"/>
        </w:rPr>
      </w:pPr>
      <w:r>
        <w:rPr>
          <w:rFonts w:hint="eastAsia" w:cs="宋体"/>
          <w:b/>
          <w:bCs/>
          <w:color w:val="auto"/>
          <w:spacing w:val="-6"/>
          <w:highlight w:val="none"/>
        </w:rPr>
        <w:t>1、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w:t>
      </w:r>
    </w:p>
    <w:p w14:paraId="7B876B70">
      <w:pPr>
        <w:keepNext w:val="0"/>
        <w:keepLines w:val="0"/>
        <w:pageBreakBefore w:val="0"/>
        <w:widowControl w:val="0"/>
        <w:kinsoku/>
        <w:wordWrap/>
        <w:overflowPunct/>
        <w:topLinePunct w:val="0"/>
        <w:autoSpaceDE/>
        <w:autoSpaceDN/>
        <w:bidi w:val="0"/>
        <w:adjustRightInd/>
        <w:snapToGrid/>
        <w:spacing w:line="560" w:lineRule="exact"/>
        <w:ind w:firstLine="458"/>
        <w:jc w:val="left"/>
        <w:textAlignment w:val="auto"/>
        <w:rPr>
          <w:rFonts w:cs="宋体"/>
          <w:b/>
          <w:bCs/>
          <w:color w:val="auto"/>
          <w:spacing w:val="-6"/>
          <w:highlight w:val="none"/>
        </w:rPr>
      </w:pPr>
      <w:r>
        <w:rPr>
          <w:rFonts w:hint="eastAsia" w:cs="宋体"/>
          <w:b/>
          <w:bCs/>
          <w:color w:val="auto"/>
          <w:spacing w:val="-6"/>
          <w:highlight w:val="none"/>
        </w:rPr>
        <w:t>2、供应商编制电子投标文件应安装“电子交易客户端”软件，并按照本招标文件和电子交易平台的要求编制并加密投标文件。未按规定加密的投标文件，将被电子交易平台拒收。“电子交易客户端”请供应商自行前往“浙江政府采购网（zfcg.czt.zj.gov.cn）—下载专区—电子交易客户端”版块获取。</w:t>
      </w:r>
    </w:p>
    <w:p w14:paraId="3BCADFE2">
      <w:pPr>
        <w:keepNext w:val="0"/>
        <w:keepLines w:val="0"/>
        <w:pageBreakBefore w:val="0"/>
        <w:widowControl w:val="0"/>
        <w:kinsoku/>
        <w:wordWrap/>
        <w:overflowPunct/>
        <w:topLinePunct w:val="0"/>
        <w:autoSpaceDE/>
        <w:autoSpaceDN/>
        <w:bidi w:val="0"/>
        <w:adjustRightInd/>
        <w:snapToGrid/>
        <w:spacing w:line="560" w:lineRule="exact"/>
        <w:ind w:firstLine="458"/>
        <w:jc w:val="left"/>
        <w:textAlignment w:val="auto"/>
        <w:rPr>
          <w:rFonts w:cs="宋体"/>
          <w:b/>
          <w:bCs/>
          <w:color w:val="auto"/>
          <w:spacing w:val="-6"/>
          <w:highlight w:val="none"/>
        </w:rPr>
      </w:pPr>
      <w:r>
        <w:rPr>
          <w:rFonts w:hint="eastAsia" w:cs="宋体"/>
          <w:b/>
          <w:bCs/>
          <w:color w:val="auto"/>
          <w:spacing w:val="-6"/>
          <w:highlight w:val="none"/>
        </w:rPr>
        <w:t>3、供应商应当在递交投标文件截止时间前，将“电子交易客户端”生成的“电子加密投标文件”上传电子交易平台。</w:t>
      </w:r>
    </w:p>
    <w:p w14:paraId="4790A9E2">
      <w:pPr>
        <w:keepNext w:val="0"/>
        <w:keepLines w:val="0"/>
        <w:pageBreakBefore w:val="0"/>
        <w:widowControl w:val="0"/>
        <w:kinsoku/>
        <w:wordWrap/>
        <w:overflowPunct/>
        <w:topLinePunct w:val="0"/>
        <w:autoSpaceDE/>
        <w:autoSpaceDN/>
        <w:bidi w:val="0"/>
        <w:adjustRightInd/>
        <w:snapToGrid/>
        <w:spacing w:line="560" w:lineRule="exact"/>
        <w:ind w:firstLine="458"/>
        <w:jc w:val="left"/>
        <w:textAlignment w:val="auto"/>
        <w:rPr>
          <w:rFonts w:cs="宋体"/>
          <w:b/>
          <w:bCs/>
          <w:color w:val="auto"/>
          <w:spacing w:val="-6"/>
          <w:highlight w:val="none"/>
        </w:rPr>
      </w:pPr>
      <w:r>
        <w:rPr>
          <w:rFonts w:hint="eastAsia" w:cs="宋体"/>
          <w:b/>
          <w:bCs/>
          <w:color w:val="auto"/>
          <w:spacing w:val="-6"/>
          <w:highlight w:val="none"/>
        </w:rPr>
        <w:t>4、“电子备份投标文件”是指与“电子加密投标文件”同时生成的数据电文形式的投标文件。供应商在电子交易平台上传“电子加密投标文件”后，还可以邮寄或送达的方式在递交投标文件截止时间前提交以介质（U盘）存储的“电子备份投标文件”。“电子备份投标文件”应当密封包装并在包装上标注采购项目编号、项目名称、投标人名称等并加盖公章。</w:t>
      </w:r>
    </w:p>
    <w:p w14:paraId="53B1CA19">
      <w:pPr>
        <w:keepNext w:val="0"/>
        <w:keepLines w:val="0"/>
        <w:pageBreakBefore w:val="0"/>
        <w:widowControl w:val="0"/>
        <w:kinsoku/>
        <w:wordWrap/>
        <w:overflowPunct/>
        <w:topLinePunct w:val="0"/>
        <w:autoSpaceDE/>
        <w:autoSpaceDN/>
        <w:bidi w:val="0"/>
        <w:adjustRightInd/>
        <w:snapToGrid/>
        <w:spacing w:line="560" w:lineRule="exact"/>
        <w:ind w:firstLine="458"/>
        <w:jc w:val="left"/>
        <w:textAlignment w:val="auto"/>
        <w:rPr>
          <w:rFonts w:cs="宋体"/>
          <w:b/>
          <w:bCs/>
          <w:color w:val="auto"/>
          <w:spacing w:val="-6"/>
          <w:highlight w:val="none"/>
        </w:rPr>
      </w:pPr>
      <w:r>
        <w:rPr>
          <w:rFonts w:hint="eastAsia" w:cs="宋体"/>
          <w:b/>
          <w:bCs/>
          <w:color w:val="auto"/>
          <w:spacing w:val="-6"/>
          <w:highlight w:val="none"/>
        </w:rPr>
        <w:t>5、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招标人、招标代理机构不强制或变相强制投标人提交“电子备份投标文件”。未上传“电子加密投标文件”，仅提交“电子备份投标文件”的，投标无效。</w:t>
      </w:r>
    </w:p>
    <w:p w14:paraId="28AEBB2C">
      <w:pPr>
        <w:keepNext w:val="0"/>
        <w:keepLines w:val="0"/>
        <w:pageBreakBefore w:val="0"/>
        <w:widowControl w:val="0"/>
        <w:kinsoku/>
        <w:wordWrap/>
        <w:overflowPunct/>
        <w:topLinePunct w:val="0"/>
        <w:autoSpaceDE/>
        <w:autoSpaceDN/>
        <w:bidi w:val="0"/>
        <w:adjustRightInd/>
        <w:snapToGrid/>
        <w:spacing w:line="560" w:lineRule="exact"/>
        <w:ind w:firstLine="458"/>
        <w:jc w:val="left"/>
        <w:textAlignment w:val="auto"/>
        <w:rPr>
          <w:rFonts w:cs="宋体"/>
          <w:color w:val="auto"/>
          <w:highlight w:val="none"/>
        </w:rPr>
      </w:pPr>
      <w:r>
        <w:rPr>
          <w:rFonts w:hint="eastAsia" w:cs="宋体"/>
          <w:b/>
          <w:bCs/>
          <w:color w:val="auto"/>
          <w:spacing w:val="-6"/>
          <w:highlight w:val="none"/>
        </w:rPr>
        <w:t>6、供应商在参加电子交易过程中,可登录电子交易平台“帮助文档”版面获取《电子交易管理操作指南》，或致电平台95763获取相关服务支持。</w:t>
      </w:r>
      <w:r>
        <w:rPr>
          <w:rFonts w:hint="eastAsia" w:cs="宋体"/>
          <w:color w:val="auto"/>
          <w:highlight w:val="none"/>
        </w:rPr>
        <w:t xml:space="preserve"> </w:t>
      </w:r>
    </w:p>
    <w:p w14:paraId="5C9D294F">
      <w:pPr>
        <w:pStyle w:val="3"/>
        <w:numPr>
          <w:ilvl w:val="0"/>
          <w:numId w:val="4"/>
        </w:numPr>
        <w:rPr>
          <w:rFonts w:cs="宋体"/>
          <w:color w:val="auto"/>
          <w:highlight w:val="none"/>
        </w:rPr>
        <w:sectPr>
          <w:footerReference r:id="rId12" w:type="default"/>
          <w:pgSz w:w="11906" w:h="16838"/>
          <w:pgMar w:top="1440" w:right="1080" w:bottom="1440" w:left="1080" w:header="170" w:footer="567" w:gutter="0"/>
          <w:pgNumType w:start="1"/>
          <w:cols w:space="720" w:num="1"/>
          <w:docGrid w:linePitch="381" w:charSpace="0"/>
        </w:sectPr>
      </w:pPr>
    </w:p>
    <w:p w14:paraId="4B882A17">
      <w:pPr>
        <w:pStyle w:val="3"/>
        <w:numPr>
          <w:ilvl w:val="0"/>
          <w:numId w:val="4"/>
        </w:numPr>
        <w:rPr>
          <w:rFonts w:cs="宋体"/>
          <w:color w:val="auto"/>
          <w:highlight w:val="none"/>
        </w:rPr>
      </w:pPr>
      <w:bookmarkStart w:id="5" w:name="_Toc3687"/>
      <w:r>
        <w:rPr>
          <w:rFonts w:hint="eastAsia" w:cs="宋体"/>
          <w:color w:val="auto"/>
          <w:highlight w:val="none"/>
        </w:rPr>
        <w:t>招标公告</w:t>
      </w:r>
      <w:bookmarkEnd w:id="1"/>
      <w:bookmarkEnd w:id="2"/>
      <w:bookmarkEnd w:id="5"/>
    </w:p>
    <w:tbl>
      <w:tblPr>
        <w:tblStyle w:val="44"/>
        <w:tblW w:w="100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6E36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0065" w:type="dxa"/>
          </w:tcPr>
          <w:p w14:paraId="19183E1E">
            <w:pPr>
              <w:spacing w:line="440" w:lineRule="exact"/>
              <w:ind w:firstLine="480"/>
              <w:rPr>
                <w:color w:val="auto"/>
                <w:highlight w:val="none"/>
              </w:rPr>
            </w:pPr>
            <w:r>
              <w:rPr>
                <w:rFonts w:hint="eastAsia"/>
                <w:color w:val="auto"/>
                <w:highlight w:val="none"/>
              </w:rPr>
              <w:t>项目概况</w:t>
            </w:r>
          </w:p>
          <w:p w14:paraId="7E3B0D91">
            <w:pPr>
              <w:spacing w:line="440" w:lineRule="exact"/>
              <w:ind w:firstLine="480"/>
              <w:rPr>
                <w:color w:val="auto"/>
                <w:highlight w:val="none"/>
              </w:rPr>
            </w:pPr>
            <w:r>
              <w:rPr>
                <w:rFonts w:hint="eastAsia"/>
                <w:color w:val="auto"/>
                <w:highlight w:val="none"/>
              </w:rPr>
              <w:t>长兴县</w:t>
            </w:r>
            <w:r>
              <w:rPr>
                <w:rFonts w:hint="eastAsia"/>
                <w:color w:val="auto"/>
                <w:highlight w:val="none"/>
                <w:lang w:eastAsia="zh-CN"/>
              </w:rPr>
              <w:t>学校视频监控升级采购</w:t>
            </w:r>
            <w:r>
              <w:rPr>
                <w:rFonts w:hint="eastAsia"/>
                <w:color w:val="auto"/>
                <w:highlight w:val="none"/>
              </w:rPr>
              <w:t>项目的潜在投标人应在浙江政府采购网（http://zfcg.czt.zj.gov.cn）获取（下载）招标文件，并于2024年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11</w:t>
            </w:r>
            <w:r>
              <w:rPr>
                <w:rFonts w:hint="eastAsia"/>
                <w:color w:val="auto"/>
                <w:highlight w:val="none"/>
              </w:rPr>
              <w:t>日</w:t>
            </w:r>
            <w:r>
              <w:rPr>
                <w:rFonts w:hint="eastAsia"/>
                <w:color w:val="auto"/>
                <w:highlight w:val="none"/>
                <w:lang w:eastAsia="zh-CN"/>
              </w:rPr>
              <w:t>上午</w:t>
            </w:r>
            <w:r>
              <w:rPr>
                <w:rFonts w:hint="eastAsia"/>
                <w:color w:val="auto"/>
                <w:highlight w:val="none"/>
                <w:lang w:val="en-US" w:eastAsia="zh-CN"/>
              </w:rPr>
              <w:t>09</w:t>
            </w:r>
            <w:r>
              <w:rPr>
                <w:rFonts w:hint="eastAsia"/>
                <w:color w:val="auto"/>
                <w:highlight w:val="none"/>
              </w:rPr>
              <w:t>:00（北京时间）前递交（上传）投标文件。</w:t>
            </w:r>
          </w:p>
        </w:tc>
      </w:tr>
    </w:tbl>
    <w:p w14:paraId="73C8075A">
      <w:pPr>
        <w:spacing w:line="460" w:lineRule="exact"/>
        <w:ind w:firstLine="0" w:firstLineChars="0"/>
        <w:rPr>
          <w:b/>
          <w:bCs/>
          <w:color w:val="auto"/>
          <w:highlight w:val="none"/>
        </w:rPr>
      </w:pPr>
      <w:bookmarkStart w:id="6" w:name="_Toc29586"/>
      <w:r>
        <w:rPr>
          <w:rFonts w:hint="eastAsia"/>
          <w:b/>
          <w:bCs/>
          <w:color w:val="auto"/>
          <w:highlight w:val="none"/>
        </w:rPr>
        <w:t>一、项目</w:t>
      </w:r>
      <w:bookmarkEnd w:id="6"/>
      <w:r>
        <w:rPr>
          <w:rFonts w:hint="eastAsia"/>
          <w:b/>
          <w:bCs/>
          <w:color w:val="auto"/>
          <w:highlight w:val="none"/>
        </w:rPr>
        <w:t>基本情况</w:t>
      </w:r>
    </w:p>
    <w:p w14:paraId="64004106">
      <w:pPr>
        <w:spacing w:line="460" w:lineRule="exact"/>
        <w:ind w:firstLine="480"/>
        <w:rPr>
          <w:rFonts w:hint="eastAsia" w:eastAsia="宋体"/>
          <w:color w:val="auto"/>
          <w:highlight w:val="none"/>
          <w:lang w:val="en-US" w:eastAsia="zh-CN"/>
        </w:rPr>
      </w:pPr>
      <w:r>
        <w:rPr>
          <w:rFonts w:hint="eastAsia"/>
          <w:color w:val="auto"/>
          <w:highlight w:val="none"/>
        </w:rPr>
        <w:t>项目编号：ZJZX-CXJ</w:t>
      </w:r>
      <w:r>
        <w:rPr>
          <w:rFonts w:hint="eastAsia"/>
          <w:color w:val="auto"/>
          <w:highlight w:val="none"/>
          <w:lang w:val="en-US" w:eastAsia="zh-CN"/>
        </w:rPr>
        <w:t>Y</w:t>
      </w:r>
      <w:r>
        <w:rPr>
          <w:rFonts w:hint="eastAsia"/>
          <w:color w:val="auto"/>
          <w:highlight w:val="none"/>
        </w:rPr>
        <w:t>-202400</w:t>
      </w:r>
      <w:r>
        <w:rPr>
          <w:rFonts w:hint="eastAsia"/>
          <w:color w:val="auto"/>
          <w:highlight w:val="none"/>
          <w:lang w:val="en-US" w:eastAsia="zh-CN"/>
        </w:rPr>
        <w:t>1</w:t>
      </w:r>
    </w:p>
    <w:p w14:paraId="1B5914C9">
      <w:pPr>
        <w:spacing w:line="460" w:lineRule="exact"/>
        <w:ind w:firstLine="480"/>
        <w:rPr>
          <w:color w:val="auto"/>
          <w:highlight w:val="none"/>
        </w:rPr>
      </w:pPr>
      <w:bookmarkStart w:id="7" w:name="_Toc11203"/>
      <w:r>
        <w:rPr>
          <w:rFonts w:hint="eastAsia"/>
          <w:color w:val="auto"/>
          <w:highlight w:val="none"/>
        </w:rPr>
        <w:t>项目名称：</w:t>
      </w:r>
      <w:bookmarkEnd w:id="7"/>
      <w:r>
        <w:rPr>
          <w:rFonts w:hint="eastAsia"/>
          <w:color w:val="auto"/>
          <w:highlight w:val="none"/>
        </w:rPr>
        <w:t>长兴县</w:t>
      </w:r>
      <w:r>
        <w:rPr>
          <w:rFonts w:hint="eastAsia"/>
          <w:color w:val="auto"/>
          <w:highlight w:val="none"/>
          <w:lang w:eastAsia="zh-CN"/>
        </w:rPr>
        <w:t>学校视频监控升级采购</w:t>
      </w:r>
      <w:r>
        <w:rPr>
          <w:rFonts w:hint="eastAsia"/>
          <w:color w:val="auto"/>
          <w:highlight w:val="none"/>
        </w:rPr>
        <w:t>项目</w:t>
      </w:r>
    </w:p>
    <w:p w14:paraId="7D94FD56">
      <w:pPr>
        <w:spacing w:line="460" w:lineRule="exact"/>
        <w:ind w:firstLine="480"/>
        <w:rPr>
          <w:rFonts w:hint="default"/>
          <w:color w:val="auto"/>
          <w:highlight w:val="none"/>
          <w:lang w:val="en-US"/>
        </w:rPr>
      </w:pPr>
      <w:r>
        <w:rPr>
          <w:rFonts w:hint="eastAsia"/>
          <w:color w:val="auto"/>
          <w:highlight w:val="none"/>
        </w:rPr>
        <w:t>预算金额（元）：</w:t>
      </w:r>
      <w:r>
        <w:rPr>
          <w:rFonts w:hint="eastAsia"/>
          <w:color w:val="auto"/>
          <w:highlight w:val="none"/>
          <w:lang w:val="en-US" w:eastAsia="zh-CN"/>
        </w:rPr>
        <w:t>3168010</w:t>
      </w:r>
    </w:p>
    <w:p w14:paraId="3550F4E2">
      <w:pPr>
        <w:spacing w:line="460" w:lineRule="exact"/>
        <w:ind w:firstLine="48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3168010</w:t>
      </w:r>
    </w:p>
    <w:p w14:paraId="44929178">
      <w:pPr>
        <w:spacing w:line="460" w:lineRule="exact"/>
        <w:ind w:firstLine="480"/>
        <w:rPr>
          <w:color w:val="auto"/>
          <w:highlight w:val="none"/>
        </w:rPr>
      </w:pPr>
      <w:r>
        <w:rPr>
          <w:rFonts w:hint="eastAsia"/>
          <w:color w:val="auto"/>
          <w:highlight w:val="none"/>
        </w:rPr>
        <w:t>采购需求：</w:t>
      </w:r>
    </w:p>
    <w:p w14:paraId="57AC40DF">
      <w:pPr>
        <w:spacing w:line="460" w:lineRule="exact"/>
        <w:ind w:firstLine="480"/>
        <w:rPr>
          <w:color w:val="auto"/>
          <w:highlight w:val="none"/>
        </w:rPr>
      </w:pPr>
      <w:r>
        <w:rPr>
          <w:rFonts w:hint="eastAsia"/>
          <w:color w:val="auto"/>
          <w:highlight w:val="none"/>
        </w:rPr>
        <w:t>标项一：</w:t>
      </w:r>
    </w:p>
    <w:p w14:paraId="5E7AC9EA">
      <w:pPr>
        <w:spacing w:line="460" w:lineRule="exact"/>
        <w:ind w:firstLine="480"/>
        <w:rPr>
          <w:color w:val="auto"/>
          <w:highlight w:val="none"/>
        </w:rPr>
      </w:pPr>
      <w:r>
        <w:rPr>
          <w:rFonts w:hint="eastAsia"/>
          <w:color w:val="auto"/>
          <w:highlight w:val="none"/>
        </w:rPr>
        <w:t>标项名称：长兴县</w:t>
      </w:r>
      <w:r>
        <w:rPr>
          <w:rFonts w:hint="eastAsia"/>
          <w:color w:val="auto"/>
          <w:highlight w:val="none"/>
          <w:lang w:eastAsia="zh-CN"/>
        </w:rPr>
        <w:t>学校视频监控升级采购</w:t>
      </w:r>
      <w:r>
        <w:rPr>
          <w:rFonts w:hint="eastAsia"/>
          <w:color w:val="auto"/>
          <w:highlight w:val="none"/>
        </w:rPr>
        <w:t>项目</w:t>
      </w:r>
    </w:p>
    <w:p w14:paraId="72B120F3">
      <w:pPr>
        <w:spacing w:line="460" w:lineRule="exact"/>
        <w:ind w:firstLine="480"/>
        <w:rPr>
          <w:color w:val="auto"/>
          <w:highlight w:val="none"/>
        </w:rPr>
      </w:pPr>
      <w:r>
        <w:rPr>
          <w:rFonts w:hint="eastAsia"/>
          <w:color w:val="auto"/>
          <w:highlight w:val="none"/>
        </w:rPr>
        <w:t>数量：1批</w:t>
      </w:r>
    </w:p>
    <w:p w14:paraId="6734E339">
      <w:pPr>
        <w:spacing w:line="460" w:lineRule="exact"/>
        <w:ind w:firstLine="480"/>
        <w:rPr>
          <w:color w:val="auto"/>
          <w:highlight w:val="none"/>
        </w:rPr>
      </w:pPr>
      <w:r>
        <w:rPr>
          <w:rFonts w:hint="eastAsia"/>
          <w:color w:val="auto"/>
          <w:highlight w:val="none"/>
        </w:rPr>
        <w:t>预算金额（元）：</w:t>
      </w:r>
      <w:r>
        <w:rPr>
          <w:rFonts w:hint="eastAsia"/>
          <w:color w:val="auto"/>
          <w:highlight w:val="none"/>
          <w:lang w:val="en-US" w:eastAsia="zh-CN"/>
        </w:rPr>
        <w:t>3168010</w:t>
      </w:r>
    </w:p>
    <w:p w14:paraId="4E221765">
      <w:pPr>
        <w:spacing w:line="460" w:lineRule="exact"/>
        <w:ind w:firstLine="480"/>
        <w:rPr>
          <w:color w:val="auto"/>
          <w:highlight w:val="none"/>
        </w:rPr>
      </w:pPr>
      <w:r>
        <w:rPr>
          <w:rFonts w:hint="eastAsia"/>
          <w:color w:val="auto"/>
          <w:highlight w:val="none"/>
        </w:rPr>
        <w:t>最高限价（元）：</w:t>
      </w:r>
      <w:r>
        <w:rPr>
          <w:rFonts w:hint="eastAsia"/>
          <w:color w:val="auto"/>
          <w:highlight w:val="none"/>
          <w:lang w:val="en-US" w:eastAsia="zh-CN"/>
        </w:rPr>
        <w:t>3168010</w:t>
      </w:r>
    </w:p>
    <w:p w14:paraId="0A77496B">
      <w:pPr>
        <w:spacing w:line="460" w:lineRule="exact"/>
        <w:ind w:firstLine="480"/>
        <w:rPr>
          <w:color w:val="auto"/>
          <w:highlight w:val="none"/>
        </w:rPr>
      </w:pPr>
      <w:r>
        <w:rPr>
          <w:rFonts w:hint="eastAsia"/>
          <w:color w:val="auto"/>
          <w:highlight w:val="none"/>
        </w:rPr>
        <w:t>简要规格描述或项目基本概况介绍、用途：详见“招标文件-采购需求”</w:t>
      </w:r>
    </w:p>
    <w:p w14:paraId="6B0A2F37">
      <w:pPr>
        <w:spacing w:line="460" w:lineRule="exact"/>
        <w:ind w:firstLine="480"/>
        <w:rPr>
          <w:color w:val="auto"/>
          <w:highlight w:val="none"/>
        </w:rPr>
      </w:pPr>
      <w:r>
        <w:rPr>
          <w:rFonts w:hint="eastAsia"/>
          <w:color w:val="auto"/>
          <w:highlight w:val="none"/>
        </w:rPr>
        <w:t>备注：/</w:t>
      </w:r>
    </w:p>
    <w:p w14:paraId="08D75A8F">
      <w:pPr>
        <w:spacing w:line="460" w:lineRule="exact"/>
        <w:ind w:firstLine="480"/>
        <w:rPr>
          <w:color w:val="auto"/>
          <w:highlight w:val="none"/>
        </w:rPr>
      </w:pPr>
      <w:r>
        <w:rPr>
          <w:rFonts w:hint="eastAsia"/>
          <w:color w:val="auto"/>
          <w:highlight w:val="none"/>
        </w:rPr>
        <w:t>合同履约期限：合同生效后</w:t>
      </w:r>
      <w:r>
        <w:rPr>
          <w:rFonts w:hint="eastAsia"/>
          <w:color w:val="auto"/>
          <w:highlight w:val="none"/>
          <w:lang w:val="en-US" w:eastAsia="zh-CN"/>
        </w:rPr>
        <w:t>45</w:t>
      </w:r>
      <w:r>
        <w:rPr>
          <w:rFonts w:hint="eastAsia"/>
          <w:color w:val="auto"/>
          <w:highlight w:val="none"/>
        </w:rPr>
        <w:t>日内履约完毕。</w:t>
      </w:r>
    </w:p>
    <w:p w14:paraId="71F09C1E">
      <w:pPr>
        <w:spacing w:line="460" w:lineRule="exact"/>
        <w:ind w:firstLine="480"/>
        <w:rPr>
          <w:color w:val="auto"/>
          <w:highlight w:val="none"/>
        </w:rPr>
      </w:pPr>
      <w:r>
        <w:rPr>
          <w:rFonts w:hint="eastAsia"/>
        </w:rPr>
        <w:t>本项目（是/否）接受联合体投标：</w:t>
      </w:r>
      <w:r>
        <w:rPr>
          <w:rFonts w:hint="eastAsia" w:cs="宋体"/>
          <w:color w:val="000000"/>
          <w:lang w:eastAsia="zh-CN"/>
        </w:rPr>
        <w:t>□</w:t>
      </w:r>
      <w:r>
        <w:rPr>
          <w:rFonts w:hint="eastAsia" w:cs="宋体"/>
        </w:rPr>
        <w:t>是；</w:t>
      </w:r>
      <w:r>
        <w:rPr>
          <w:rFonts w:hint="eastAsia" w:cs="宋体"/>
          <w:color w:val="auto"/>
          <w:highlight w:val="none"/>
          <w:lang w:eastAsia="zh-CN"/>
        </w:rPr>
        <w:t>☑</w:t>
      </w:r>
      <w:r>
        <w:rPr>
          <w:rFonts w:hint="eastAsia" w:cs="宋体"/>
        </w:rPr>
        <w:t>否</w:t>
      </w:r>
      <w:r>
        <w:rPr>
          <w:rFonts w:hint="eastAsia"/>
        </w:rPr>
        <w:t>。</w:t>
      </w:r>
    </w:p>
    <w:p w14:paraId="09B2F555">
      <w:pPr>
        <w:spacing w:line="460" w:lineRule="exact"/>
        <w:ind w:firstLine="0" w:firstLineChars="0"/>
        <w:rPr>
          <w:b/>
          <w:bCs/>
          <w:color w:val="auto"/>
          <w:highlight w:val="none"/>
        </w:rPr>
      </w:pPr>
      <w:bookmarkStart w:id="8" w:name="_Toc24393"/>
      <w:r>
        <w:rPr>
          <w:rFonts w:hint="eastAsia"/>
          <w:b/>
          <w:bCs/>
          <w:color w:val="auto"/>
          <w:highlight w:val="none"/>
        </w:rPr>
        <w:t>二、申请人的资格要求:</w:t>
      </w:r>
      <w:bookmarkEnd w:id="8"/>
    </w:p>
    <w:p w14:paraId="05264732">
      <w:pPr>
        <w:spacing w:line="460" w:lineRule="exact"/>
        <w:ind w:firstLine="48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FC741E7">
      <w:pPr>
        <w:spacing w:line="460" w:lineRule="exact"/>
        <w:ind w:firstLine="480"/>
        <w:rPr>
          <w:color w:val="auto"/>
          <w:highlight w:val="none"/>
        </w:rPr>
      </w:pPr>
      <w:r>
        <w:rPr>
          <w:rFonts w:hint="eastAsia"/>
          <w:color w:val="auto"/>
          <w:highlight w:val="none"/>
          <w:lang w:val="en-US" w:eastAsia="zh-CN"/>
        </w:rPr>
        <w:t>2</w:t>
      </w:r>
      <w:r>
        <w:rPr>
          <w:rFonts w:hint="eastAsia"/>
          <w:color w:val="auto"/>
          <w:highlight w:val="none"/>
        </w:rPr>
        <w:t>.落实政府采购政策需满足的资格要求：</w:t>
      </w:r>
      <w:r>
        <w:rPr>
          <w:rFonts w:hint="eastAsia"/>
          <w:color w:val="auto"/>
          <w:highlight w:val="none"/>
          <w:lang w:val="en-US" w:eastAsia="zh-CN"/>
        </w:rPr>
        <w:t>无</w:t>
      </w:r>
      <w:r>
        <w:rPr>
          <w:rFonts w:hint="eastAsia" w:cs="宋体"/>
          <w:color w:val="auto"/>
          <w:szCs w:val="20"/>
          <w:highlight w:val="none"/>
        </w:rPr>
        <w:t>。</w:t>
      </w:r>
    </w:p>
    <w:p w14:paraId="6E9FCB31">
      <w:pPr>
        <w:spacing w:line="460" w:lineRule="exact"/>
        <w:ind w:firstLine="480"/>
        <w:rPr>
          <w:color w:val="auto"/>
          <w:highlight w:val="none"/>
        </w:rPr>
      </w:pPr>
      <w:r>
        <w:rPr>
          <w:rFonts w:hint="eastAsia"/>
          <w:color w:val="auto"/>
          <w:highlight w:val="none"/>
          <w:lang w:val="en-US" w:eastAsia="zh-CN"/>
        </w:rPr>
        <w:t>3</w:t>
      </w:r>
      <w:r>
        <w:rPr>
          <w:rFonts w:hint="eastAsia"/>
          <w:color w:val="auto"/>
          <w:highlight w:val="none"/>
        </w:rPr>
        <w:t>.本项目的特定资格要求：</w:t>
      </w:r>
      <w:r>
        <w:rPr>
          <w:rFonts w:hint="eastAsia"/>
          <w:color w:val="auto"/>
          <w:highlight w:val="none"/>
          <w:lang w:val="en-US" w:eastAsia="zh-CN"/>
        </w:rPr>
        <w:t>无</w:t>
      </w:r>
      <w:r>
        <w:rPr>
          <w:rFonts w:hint="eastAsia"/>
          <w:color w:val="auto"/>
          <w:highlight w:val="none"/>
        </w:rPr>
        <w:t>。</w:t>
      </w:r>
    </w:p>
    <w:p w14:paraId="1A7D3BA4">
      <w:pPr>
        <w:spacing w:line="460" w:lineRule="exact"/>
        <w:ind w:firstLine="480" w:firstLineChars="200"/>
        <w:rPr>
          <w:rFonts w:hint="eastAsia" w:eastAsia="宋体"/>
          <w:b w:val="0"/>
          <w:bCs w:val="0"/>
          <w:color w:val="auto"/>
          <w:highlight w:val="none"/>
          <w:lang w:val="en-US" w:eastAsia="zh-CN"/>
        </w:rPr>
      </w:pPr>
      <w:r>
        <w:rPr>
          <w:rFonts w:hint="eastAsia"/>
          <w:b w:val="0"/>
          <w:bCs w:val="0"/>
          <w:color w:val="auto"/>
          <w:highlight w:val="none"/>
          <w:lang w:val="en-US" w:eastAsia="zh-CN"/>
        </w:rPr>
        <w:t>4.特别说明：本项目不专门面向中小企业。</w:t>
      </w:r>
    </w:p>
    <w:p w14:paraId="3B3010A6">
      <w:pPr>
        <w:spacing w:line="460" w:lineRule="exact"/>
        <w:ind w:firstLine="0" w:firstLineChars="0"/>
        <w:rPr>
          <w:b/>
          <w:bCs/>
          <w:color w:val="auto"/>
          <w:highlight w:val="none"/>
        </w:rPr>
      </w:pPr>
      <w:r>
        <w:rPr>
          <w:rFonts w:hint="eastAsia"/>
          <w:b/>
          <w:bCs/>
          <w:color w:val="auto"/>
          <w:highlight w:val="none"/>
        </w:rPr>
        <w:t>三、获取招标文件</w:t>
      </w:r>
    </w:p>
    <w:p w14:paraId="5C4199A8">
      <w:pPr>
        <w:spacing w:line="460" w:lineRule="exact"/>
        <w:ind w:firstLine="480"/>
        <w:rPr>
          <w:color w:val="auto"/>
          <w:highlight w:val="none"/>
        </w:rPr>
      </w:pPr>
      <w:r>
        <w:rPr>
          <w:rFonts w:hint="eastAsia"/>
          <w:color w:val="auto"/>
          <w:highlight w:val="none"/>
        </w:rPr>
        <w:t>1.时间：/至2024年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11</w:t>
      </w:r>
      <w:r>
        <w:rPr>
          <w:rFonts w:hint="eastAsia"/>
          <w:color w:val="auto"/>
          <w:highlight w:val="none"/>
        </w:rPr>
        <w:t>日，每天上午00:00至12:00，下午12:00至23:59（北京时间，线上获取法定节假日均可，线下获取文件法定节假日除外）。</w:t>
      </w:r>
    </w:p>
    <w:p w14:paraId="625103A7">
      <w:pPr>
        <w:spacing w:line="460" w:lineRule="exact"/>
        <w:ind w:firstLine="480"/>
        <w:rPr>
          <w:color w:val="auto"/>
          <w:highlight w:val="none"/>
        </w:rPr>
      </w:pPr>
      <w:r>
        <w:rPr>
          <w:rFonts w:hint="eastAsia"/>
          <w:color w:val="auto"/>
          <w:highlight w:val="none"/>
        </w:rPr>
        <w:t>2.地点（网址）：浙江政府采购网（http://zfcg.czt.zj.gov.cn）</w:t>
      </w:r>
    </w:p>
    <w:p w14:paraId="70750CE7">
      <w:pPr>
        <w:spacing w:line="460" w:lineRule="exact"/>
        <w:ind w:firstLine="480"/>
        <w:rPr>
          <w:color w:val="auto"/>
          <w:highlight w:val="none"/>
        </w:rPr>
      </w:pPr>
      <w:r>
        <w:rPr>
          <w:rFonts w:hint="eastAsia"/>
          <w:color w:val="auto"/>
          <w:highlight w:val="none"/>
        </w:rPr>
        <w:t>3.方式：供应商登录政采云平台https://www.zcygov.cn/在线申请获取采购文件（进入“项目采购”应用，在获取采购文件菜单中选择项目，申请获取采购文件）</w:t>
      </w:r>
    </w:p>
    <w:p w14:paraId="63FD070C">
      <w:pPr>
        <w:spacing w:line="460" w:lineRule="exact"/>
        <w:ind w:firstLine="480"/>
        <w:rPr>
          <w:color w:val="auto"/>
          <w:highlight w:val="none"/>
        </w:rPr>
      </w:pPr>
      <w:r>
        <w:rPr>
          <w:rFonts w:hint="eastAsia"/>
          <w:color w:val="auto"/>
          <w:highlight w:val="none"/>
        </w:rPr>
        <w:t>4.售价（元）：0</w:t>
      </w:r>
    </w:p>
    <w:p w14:paraId="70C7DF7B">
      <w:pPr>
        <w:spacing w:line="460" w:lineRule="exact"/>
        <w:ind w:firstLine="0" w:firstLineChars="0"/>
        <w:rPr>
          <w:b/>
          <w:bCs/>
          <w:color w:val="auto"/>
          <w:highlight w:val="none"/>
        </w:rPr>
      </w:pPr>
      <w:bookmarkStart w:id="9" w:name="_Toc1080"/>
      <w:r>
        <w:rPr>
          <w:rFonts w:hint="eastAsia"/>
          <w:b/>
          <w:bCs/>
          <w:color w:val="auto"/>
          <w:highlight w:val="none"/>
        </w:rPr>
        <w:t>四、</w:t>
      </w:r>
      <w:r>
        <w:rPr>
          <w:rFonts w:hint="eastAsia"/>
          <w:b/>
          <w:bCs/>
          <w:color w:val="auto"/>
          <w:highlight w:val="none"/>
          <w:lang w:eastAsia="zh-CN"/>
        </w:rPr>
        <w:t>提交</w:t>
      </w:r>
      <w:r>
        <w:rPr>
          <w:rFonts w:hint="eastAsia"/>
          <w:b/>
          <w:bCs/>
          <w:color w:val="auto"/>
          <w:highlight w:val="none"/>
        </w:rPr>
        <w:t>投标文件截止时间、开标时间和地点</w:t>
      </w:r>
      <w:bookmarkEnd w:id="9"/>
    </w:p>
    <w:p w14:paraId="403F4D7D">
      <w:pPr>
        <w:spacing w:line="460" w:lineRule="exact"/>
        <w:ind w:firstLine="480"/>
        <w:rPr>
          <w:color w:val="auto"/>
          <w:highlight w:val="none"/>
        </w:rPr>
      </w:pPr>
      <w:bookmarkStart w:id="10" w:name="_Toc2231"/>
      <w:r>
        <w:rPr>
          <w:rFonts w:hint="eastAsia"/>
          <w:color w:val="auto"/>
          <w:highlight w:val="none"/>
        </w:rPr>
        <w:t>1.提交截止时间：</w:t>
      </w:r>
      <w:r>
        <w:rPr>
          <w:rFonts w:hint="eastAsia"/>
          <w:b/>
          <w:bCs/>
          <w:color w:val="auto"/>
          <w:highlight w:val="none"/>
          <w:u w:val="single"/>
        </w:rPr>
        <w:t>2024年</w:t>
      </w:r>
      <w:r>
        <w:rPr>
          <w:rFonts w:hint="eastAsia"/>
          <w:b/>
          <w:bCs/>
          <w:color w:val="auto"/>
          <w:highlight w:val="none"/>
          <w:u w:val="single"/>
          <w:lang w:val="en-US" w:eastAsia="zh-CN"/>
        </w:rPr>
        <w:t>10</w:t>
      </w:r>
      <w:r>
        <w:rPr>
          <w:rFonts w:hint="eastAsia"/>
          <w:b/>
          <w:bCs/>
          <w:color w:val="auto"/>
          <w:highlight w:val="none"/>
          <w:u w:val="single"/>
        </w:rPr>
        <w:t>月</w:t>
      </w:r>
      <w:r>
        <w:rPr>
          <w:rFonts w:hint="eastAsia"/>
          <w:b/>
          <w:bCs/>
          <w:color w:val="auto"/>
          <w:highlight w:val="none"/>
          <w:u w:val="single"/>
          <w:lang w:val="en-US" w:eastAsia="zh-CN"/>
        </w:rPr>
        <w:t>11</w:t>
      </w:r>
      <w:r>
        <w:rPr>
          <w:rFonts w:hint="eastAsia"/>
          <w:b/>
          <w:bCs/>
          <w:color w:val="auto"/>
          <w:highlight w:val="none"/>
          <w:u w:val="single"/>
        </w:rPr>
        <w:t>日</w:t>
      </w:r>
      <w:r>
        <w:rPr>
          <w:rFonts w:hint="eastAsia"/>
          <w:b/>
          <w:bCs/>
          <w:color w:val="auto"/>
          <w:highlight w:val="none"/>
          <w:u w:val="single"/>
          <w:lang w:eastAsia="zh-CN"/>
        </w:rPr>
        <w:t>上午</w:t>
      </w:r>
      <w:r>
        <w:rPr>
          <w:rFonts w:hint="eastAsia"/>
          <w:b/>
          <w:bCs/>
          <w:color w:val="auto"/>
          <w:highlight w:val="none"/>
          <w:u w:val="single"/>
          <w:lang w:val="en-US" w:eastAsia="zh-CN"/>
        </w:rPr>
        <w:t>09</w:t>
      </w:r>
      <w:r>
        <w:rPr>
          <w:rFonts w:hint="eastAsia"/>
          <w:b/>
          <w:bCs/>
          <w:color w:val="auto"/>
          <w:highlight w:val="none"/>
          <w:u w:val="single"/>
        </w:rPr>
        <w:t>:00</w:t>
      </w:r>
      <w:r>
        <w:rPr>
          <w:rFonts w:hint="eastAsia"/>
          <w:color w:val="auto"/>
          <w:highlight w:val="none"/>
        </w:rPr>
        <w:t>（北京时间）</w:t>
      </w:r>
    </w:p>
    <w:p w14:paraId="1E238F1F">
      <w:pPr>
        <w:spacing w:line="460" w:lineRule="exact"/>
        <w:ind w:firstLine="480"/>
        <w:rPr>
          <w:color w:val="auto"/>
          <w:highlight w:val="none"/>
        </w:rPr>
      </w:pPr>
      <w:r>
        <w:rPr>
          <w:rFonts w:hint="eastAsia"/>
          <w:color w:val="auto"/>
          <w:highlight w:val="none"/>
        </w:rPr>
        <w:t>2.投标地点（网址）：政采云平台（https://www.zcygov.cn/）</w:t>
      </w:r>
    </w:p>
    <w:p w14:paraId="508FD34E">
      <w:pPr>
        <w:spacing w:line="460" w:lineRule="exact"/>
        <w:ind w:firstLine="480"/>
        <w:rPr>
          <w:color w:val="auto"/>
          <w:highlight w:val="none"/>
        </w:rPr>
      </w:pPr>
      <w:r>
        <w:rPr>
          <w:rFonts w:hint="eastAsia"/>
          <w:color w:val="auto"/>
          <w:highlight w:val="none"/>
        </w:rPr>
        <w:t>3.开标时间：</w:t>
      </w:r>
      <w:r>
        <w:rPr>
          <w:rFonts w:hint="eastAsia"/>
          <w:b/>
          <w:bCs/>
          <w:color w:val="auto"/>
          <w:highlight w:val="none"/>
          <w:u w:val="single"/>
        </w:rPr>
        <w:t>2024年</w:t>
      </w:r>
      <w:r>
        <w:rPr>
          <w:rFonts w:hint="eastAsia"/>
          <w:b/>
          <w:bCs/>
          <w:color w:val="auto"/>
          <w:highlight w:val="none"/>
          <w:u w:val="single"/>
          <w:lang w:val="en-US" w:eastAsia="zh-CN"/>
        </w:rPr>
        <w:t>10</w:t>
      </w:r>
      <w:r>
        <w:rPr>
          <w:rFonts w:hint="eastAsia"/>
          <w:b/>
          <w:bCs/>
          <w:color w:val="auto"/>
          <w:highlight w:val="none"/>
          <w:u w:val="single"/>
        </w:rPr>
        <w:t>月</w:t>
      </w:r>
      <w:r>
        <w:rPr>
          <w:rFonts w:hint="eastAsia"/>
          <w:b/>
          <w:bCs/>
          <w:color w:val="auto"/>
          <w:highlight w:val="none"/>
          <w:u w:val="single"/>
          <w:lang w:val="en-US" w:eastAsia="zh-CN"/>
        </w:rPr>
        <w:t>11</w:t>
      </w:r>
      <w:r>
        <w:rPr>
          <w:rFonts w:hint="eastAsia"/>
          <w:b/>
          <w:bCs/>
          <w:color w:val="auto"/>
          <w:highlight w:val="none"/>
          <w:u w:val="single"/>
        </w:rPr>
        <w:t>日</w:t>
      </w:r>
      <w:r>
        <w:rPr>
          <w:rFonts w:hint="eastAsia"/>
          <w:b/>
          <w:bCs/>
          <w:color w:val="auto"/>
          <w:highlight w:val="none"/>
          <w:u w:val="single"/>
          <w:lang w:eastAsia="zh-CN"/>
        </w:rPr>
        <w:t>上午</w:t>
      </w:r>
      <w:r>
        <w:rPr>
          <w:rFonts w:hint="eastAsia"/>
          <w:b/>
          <w:bCs/>
          <w:color w:val="auto"/>
          <w:highlight w:val="none"/>
          <w:u w:val="single"/>
          <w:lang w:val="en-US" w:eastAsia="zh-CN"/>
        </w:rPr>
        <w:t>09</w:t>
      </w:r>
      <w:r>
        <w:rPr>
          <w:rFonts w:hint="eastAsia"/>
          <w:b/>
          <w:bCs/>
          <w:color w:val="auto"/>
          <w:highlight w:val="none"/>
          <w:u w:val="single"/>
        </w:rPr>
        <w:t>:00</w:t>
      </w:r>
      <w:r>
        <w:rPr>
          <w:rFonts w:hint="eastAsia"/>
          <w:color w:val="auto"/>
          <w:highlight w:val="none"/>
        </w:rPr>
        <w:t>（北京时间）</w:t>
      </w:r>
    </w:p>
    <w:p w14:paraId="7C31B742">
      <w:pPr>
        <w:spacing w:line="460" w:lineRule="exact"/>
        <w:ind w:firstLine="480"/>
        <w:rPr>
          <w:color w:val="auto"/>
          <w:highlight w:val="none"/>
        </w:rPr>
      </w:pPr>
      <w:r>
        <w:rPr>
          <w:rFonts w:hint="eastAsia"/>
          <w:color w:val="auto"/>
          <w:highlight w:val="none"/>
        </w:rPr>
        <w:t>4.开标地点（网址）：</w:t>
      </w:r>
      <w:bookmarkEnd w:id="10"/>
      <w:r>
        <w:rPr>
          <w:rFonts w:hint="eastAsia"/>
          <w:color w:val="auto"/>
          <w:highlight w:val="none"/>
        </w:rPr>
        <w:t>政采云平台（https://www.zcygov.cn/）</w:t>
      </w:r>
    </w:p>
    <w:p w14:paraId="36BD684E">
      <w:pPr>
        <w:spacing w:line="460" w:lineRule="exact"/>
        <w:ind w:firstLine="0" w:firstLineChars="0"/>
        <w:rPr>
          <w:b/>
          <w:bCs/>
          <w:color w:val="auto"/>
          <w:highlight w:val="none"/>
        </w:rPr>
      </w:pPr>
      <w:r>
        <w:rPr>
          <w:rFonts w:hint="eastAsia"/>
          <w:b/>
          <w:bCs/>
          <w:color w:val="auto"/>
          <w:highlight w:val="none"/>
        </w:rPr>
        <w:t>五、公告期限</w:t>
      </w:r>
    </w:p>
    <w:p w14:paraId="45F91151">
      <w:pPr>
        <w:spacing w:line="460" w:lineRule="exact"/>
        <w:ind w:firstLine="480"/>
        <w:rPr>
          <w:color w:val="auto"/>
          <w:highlight w:val="none"/>
        </w:rPr>
      </w:pPr>
      <w:r>
        <w:rPr>
          <w:rFonts w:hint="eastAsia"/>
          <w:color w:val="auto"/>
          <w:highlight w:val="none"/>
        </w:rPr>
        <w:t>自本公告发布之日起5个工作日。</w:t>
      </w:r>
    </w:p>
    <w:p w14:paraId="53C702AD">
      <w:pPr>
        <w:spacing w:line="460" w:lineRule="exact"/>
        <w:ind w:firstLine="0" w:firstLineChars="0"/>
        <w:rPr>
          <w:b/>
          <w:bCs/>
          <w:color w:val="auto"/>
          <w:highlight w:val="none"/>
        </w:rPr>
      </w:pPr>
      <w:bookmarkStart w:id="11" w:name="_Toc6191"/>
      <w:r>
        <w:rPr>
          <w:rFonts w:hint="eastAsia"/>
          <w:b/>
          <w:bCs/>
          <w:color w:val="auto"/>
          <w:highlight w:val="none"/>
        </w:rPr>
        <w:t>六、其他补充事宜：</w:t>
      </w:r>
      <w:bookmarkEnd w:id="11"/>
    </w:p>
    <w:p w14:paraId="11474833">
      <w:pPr>
        <w:spacing w:line="460" w:lineRule="exact"/>
        <w:ind w:firstLine="480"/>
        <w:rPr>
          <w:rFonts w:cs="宋体"/>
          <w:color w:val="auto"/>
          <w:highlight w:val="none"/>
        </w:rPr>
      </w:pPr>
      <w:r>
        <w:rPr>
          <w:rFonts w:hint="eastAsia" w:cs="宋体"/>
          <w:color w:val="auto"/>
          <w:highlight w:val="none"/>
          <w:lang w:bidi="ar"/>
        </w:rPr>
        <w:t>1.</w:t>
      </w:r>
      <w:r>
        <w:rPr>
          <w:rFonts w:hint="eastAsia"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0ABB336">
      <w:pPr>
        <w:spacing w:line="460" w:lineRule="exact"/>
        <w:ind w:firstLine="480"/>
        <w:rPr>
          <w:rFonts w:cs="宋体"/>
          <w:color w:val="auto"/>
          <w:highlight w:val="none"/>
        </w:rPr>
      </w:pPr>
      <w:r>
        <w:rPr>
          <w:rFonts w:hint="eastAsia" w:cs="宋体"/>
          <w:color w:val="auto"/>
          <w:highlight w:val="none"/>
          <w:lang w:bidi="ar"/>
        </w:rPr>
        <w:t>2.</w:t>
      </w:r>
      <w:r>
        <w:rPr>
          <w:rFonts w:hint="eastAsia"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F70E19">
      <w:pPr>
        <w:pStyle w:val="14"/>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招标人提出质疑，对其他内容的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质疑函范本、投诉书范本请到浙江政府采购网下载专区下载。</w:t>
      </w:r>
    </w:p>
    <w:p w14:paraId="62560566">
      <w:pPr>
        <w:spacing w:line="460" w:lineRule="exact"/>
        <w:ind w:firstLine="480"/>
        <w:rPr>
          <w:rFonts w:cs="宋体"/>
          <w:color w:val="auto"/>
          <w:highlight w:val="none"/>
        </w:rPr>
      </w:pPr>
      <w:r>
        <w:rPr>
          <w:rFonts w:hint="eastAsia"/>
          <w:color w:val="auto"/>
          <w:highlight w:val="none"/>
        </w:rPr>
        <w:t>4.</w:t>
      </w:r>
      <w:r>
        <w:rPr>
          <w:rFonts w:hint="eastAsia" w:cs="宋体"/>
          <w:color w:val="auto"/>
          <w:highlight w:val="none"/>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23A80102">
      <w:pPr>
        <w:spacing w:line="460" w:lineRule="exact"/>
        <w:ind w:firstLine="480"/>
        <w:rPr>
          <w:rFonts w:cs="宋体"/>
          <w:color w:val="auto"/>
          <w:highlight w:val="none"/>
        </w:rPr>
      </w:pPr>
      <w:r>
        <w:rPr>
          <w:rFonts w:hint="eastAsia" w:cs="宋体"/>
          <w:color w:val="auto"/>
          <w:highlight w:val="none"/>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3AE77ABE">
      <w:pPr>
        <w:spacing w:line="460" w:lineRule="exact"/>
        <w:ind w:firstLine="480"/>
        <w:rPr>
          <w:rFonts w:cs="宋体"/>
          <w:color w:val="auto"/>
          <w:highlight w:val="none"/>
        </w:rPr>
      </w:pPr>
      <w:r>
        <w:rPr>
          <w:rFonts w:hint="eastAsia" w:cs="宋体"/>
          <w:color w:val="auto"/>
          <w:highlight w:val="none"/>
        </w:rPr>
        <w:t>（3）单位负责人为同一人或者存在直接控股、管理关系的不同供应商，不得同时参加同一合同项下的投标。</w:t>
      </w:r>
    </w:p>
    <w:p w14:paraId="0AE99E18">
      <w:pPr>
        <w:spacing w:line="460" w:lineRule="exact"/>
        <w:ind w:firstLine="480"/>
        <w:rPr>
          <w:rFonts w:cs="宋体"/>
          <w:color w:val="auto"/>
          <w:highlight w:val="none"/>
        </w:rPr>
      </w:pPr>
      <w:r>
        <w:rPr>
          <w:rFonts w:hint="eastAsia" w:cs="宋体"/>
          <w:color w:val="auto"/>
          <w:highlight w:val="none"/>
        </w:rPr>
        <w:t>（4）为项目提供整体设计、规范编制或者项目管理、监理、检测等服务的供应商，不得参加该项目的投标。</w:t>
      </w:r>
    </w:p>
    <w:p w14:paraId="4E6C6086">
      <w:pPr>
        <w:spacing w:line="460" w:lineRule="exact"/>
        <w:ind w:firstLine="0" w:firstLineChars="0"/>
        <w:rPr>
          <w:b/>
          <w:bCs/>
          <w:color w:val="auto"/>
          <w:highlight w:val="none"/>
        </w:rPr>
      </w:pPr>
      <w:bookmarkStart w:id="12" w:name="_Toc5293"/>
      <w:r>
        <w:rPr>
          <w:rFonts w:hint="eastAsia"/>
          <w:b/>
          <w:bCs/>
          <w:color w:val="auto"/>
          <w:highlight w:val="none"/>
        </w:rPr>
        <w:t>七、</w:t>
      </w:r>
      <w:bookmarkEnd w:id="12"/>
      <w:r>
        <w:rPr>
          <w:rFonts w:hint="eastAsia"/>
          <w:b/>
          <w:bCs/>
          <w:color w:val="auto"/>
          <w:highlight w:val="none"/>
        </w:rPr>
        <w:t>对本次招标提出询问、质疑、投诉，请按以下方式联系</w:t>
      </w:r>
    </w:p>
    <w:p w14:paraId="457CA04D">
      <w:pPr>
        <w:spacing w:line="460" w:lineRule="exact"/>
        <w:ind w:firstLine="480"/>
        <w:rPr>
          <w:color w:val="auto"/>
          <w:highlight w:val="none"/>
        </w:rPr>
      </w:pPr>
      <w:r>
        <w:rPr>
          <w:rFonts w:hint="eastAsia"/>
          <w:color w:val="auto"/>
          <w:highlight w:val="none"/>
        </w:rPr>
        <w:t>1.</w:t>
      </w:r>
      <w:r>
        <w:rPr>
          <w:rFonts w:hint="eastAsia"/>
          <w:color w:val="auto"/>
          <w:highlight w:val="none"/>
          <w:lang w:eastAsia="zh-CN"/>
        </w:rPr>
        <w:t>招标人</w:t>
      </w:r>
      <w:r>
        <w:rPr>
          <w:rFonts w:hint="eastAsia"/>
          <w:color w:val="auto"/>
          <w:highlight w:val="none"/>
        </w:rPr>
        <w:t>信息</w:t>
      </w:r>
    </w:p>
    <w:p w14:paraId="42F6B287">
      <w:pPr>
        <w:spacing w:line="460" w:lineRule="exact"/>
        <w:ind w:firstLine="480"/>
        <w:rPr>
          <w:rFonts w:cs="宋体"/>
          <w:color w:val="auto"/>
          <w:highlight w:val="none"/>
        </w:rPr>
      </w:pPr>
      <w:r>
        <w:rPr>
          <w:rFonts w:hint="eastAsia" w:cs="宋体"/>
          <w:color w:val="auto"/>
          <w:highlight w:val="none"/>
        </w:rPr>
        <w:t>名称：长兴县</w:t>
      </w:r>
      <w:r>
        <w:rPr>
          <w:rFonts w:hint="eastAsia" w:cs="宋体"/>
          <w:color w:val="auto"/>
          <w:highlight w:val="none"/>
          <w:lang w:eastAsia="zh-CN"/>
        </w:rPr>
        <w:t>教育</w:t>
      </w:r>
      <w:r>
        <w:rPr>
          <w:rFonts w:hint="eastAsia" w:cs="宋体"/>
          <w:color w:val="auto"/>
          <w:highlight w:val="none"/>
        </w:rPr>
        <w:t>局</w:t>
      </w:r>
    </w:p>
    <w:p w14:paraId="2774A6E0">
      <w:pPr>
        <w:spacing w:line="460" w:lineRule="exact"/>
        <w:ind w:firstLine="480"/>
        <w:rPr>
          <w:rFonts w:hint="default" w:eastAsia="宋体" w:cs="宋体"/>
          <w:color w:val="auto"/>
          <w:highlight w:val="none"/>
          <w:lang w:val="en-US" w:eastAsia="zh-CN"/>
        </w:rPr>
      </w:pPr>
      <w:r>
        <w:rPr>
          <w:rFonts w:hint="eastAsia" w:cs="宋体"/>
          <w:color w:val="auto"/>
          <w:highlight w:val="none"/>
        </w:rPr>
        <w:t>地址：浙江省长兴县</w:t>
      </w:r>
      <w:r>
        <w:rPr>
          <w:rFonts w:hint="eastAsia" w:cs="宋体"/>
          <w:color w:val="auto"/>
          <w:highlight w:val="none"/>
          <w:lang w:val="en-US" w:eastAsia="zh-CN"/>
        </w:rPr>
        <w:t>金陵北路25号</w:t>
      </w:r>
    </w:p>
    <w:p w14:paraId="37251BB9">
      <w:pPr>
        <w:spacing w:line="460" w:lineRule="exact"/>
        <w:ind w:firstLine="480"/>
        <w:rPr>
          <w:rFonts w:hint="default" w:eastAsia="宋体" w:cs="宋体"/>
          <w:color w:val="auto"/>
          <w:highlight w:val="none"/>
          <w:lang w:val="en-US" w:eastAsia="zh-CN"/>
        </w:rPr>
      </w:pPr>
      <w:r>
        <w:rPr>
          <w:rFonts w:hint="eastAsia" w:cs="宋体"/>
          <w:color w:val="auto"/>
          <w:highlight w:val="none"/>
        </w:rPr>
        <w:t>项目联系人（询问）：</w:t>
      </w:r>
      <w:r>
        <w:rPr>
          <w:rFonts w:hint="eastAsia" w:cs="宋体"/>
          <w:color w:val="auto"/>
          <w:highlight w:val="none"/>
          <w:lang w:val="en-US" w:eastAsia="zh-CN"/>
        </w:rPr>
        <w:t>吴老师</w:t>
      </w:r>
    </w:p>
    <w:p w14:paraId="7610EA36">
      <w:pPr>
        <w:spacing w:line="460" w:lineRule="exact"/>
        <w:ind w:firstLine="480"/>
        <w:rPr>
          <w:rFonts w:hint="default" w:eastAsia="宋体" w:cs="宋体"/>
          <w:color w:val="auto"/>
          <w:highlight w:val="none"/>
          <w:lang w:val="en-US" w:eastAsia="zh-CN"/>
        </w:rPr>
      </w:pPr>
      <w:r>
        <w:rPr>
          <w:rFonts w:hint="eastAsia" w:cs="宋体"/>
          <w:color w:val="auto"/>
          <w:highlight w:val="none"/>
        </w:rPr>
        <w:t>项目联系方式（询问）：</w:t>
      </w:r>
      <w:r>
        <w:rPr>
          <w:rFonts w:hint="eastAsia" w:cs="宋体"/>
          <w:color w:val="auto"/>
          <w:highlight w:val="none"/>
          <w:lang w:val="en-US" w:eastAsia="zh-CN"/>
        </w:rPr>
        <w:t>0572-6228923</w:t>
      </w:r>
    </w:p>
    <w:p w14:paraId="5F4A5887">
      <w:pPr>
        <w:spacing w:line="460" w:lineRule="exact"/>
        <w:ind w:firstLine="480"/>
        <w:rPr>
          <w:rFonts w:hint="default" w:eastAsia="宋体" w:cs="宋体"/>
          <w:color w:val="auto"/>
          <w:highlight w:val="none"/>
          <w:lang w:val="en-US" w:eastAsia="zh-CN"/>
        </w:rPr>
      </w:pPr>
      <w:r>
        <w:rPr>
          <w:rFonts w:hint="eastAsia" w:cs="宋体"/>
          <w:color w:val="auto"/>
          <w:highlight w:val="none"/>
        </w:rPr>
        <w:t>质疑联系人：</w:t>
      </w:r>
      <w:r>
        <w:rPr>
          <w:rFonts w:hint="eastAsia" w:cs="宋体"/>
          <w:color w:val="auto"/>
          <w:highlight w:val="none"/>
          <w:lang w:val="en-US" w:eastAsia="zh-CN"/>
        </w:rPr>
        <w:t>周老师</w:t>
      </w:r>
    </w:p>
    <w:p w14:paraId="2AE6CF15">
      <w:pPr>
        <w:spacing w:line="460" w:lineRule="exact"/>
        <w:ind w:firstLine="480"/>
        <w:rPr>
          <w:rFonts w:hint="default" w:eastAsia="宋体"/>
          <w:color w:val="auto"/>
          <w:highlight w:val="none"/>
          <w:lang w:val="en-US" w:eastAsia="zh-CN"/>
        </w:rPr>
      </w:pPr>
      <w:r>
        <w:rPr>
          <w:rFonts w:hint="eastAsia" w:cs="宋体"/>
          <w:color w:val="auto"/>
          <w:highlight w:val="none"/>
        </w:rPr>
        <w:t>质疑联系方式：</w:t>
      </w:r>
      <w:r>
        <w:rPr>
          <w:rFonts w:hint="eastAsia" w:cs="宋体"/>
          <w:color w:val="auto"/>
          <w:highlight w:val="none"/>
          <w:lang w:val="en-US" w:eastAsia="zh-CN"/>
        </w:rPr>
        <w:t>0572-6670753</w:t>
      </w:r>
    </w:p>
    <w:p w14:paraId="3747FDF8">
      <w:pPr>
        <w:spacing w:line="460" w:lineRule="exact"/>
        <w:ind w:firstLine="480"/>
        <w:rPr>
          <w:color w:val="auto"/>
          <w:highlight w:val="none"/>
        </w:rPr>
      </w:pPr>
      <w:r>
        <w:rPr>
          <w:rFonts w:hint="eastAsia"/>
          <w:color w:val="auto"/>
          <w:highlight w:val="none"/>
        </w:rPr>
        <w:t>2.采购代理机构信息</w:t>
      </w:r>
    </w:p>
    <w:p w14:paraId="25CC8D7A">
      <w:pPr>
        <w:spacing w:line="460" w:lineRule="exact"/>
        <w:ind w:firstLine="480"/>
        <w:rPr>
          <w:color w:val="auto"/>
          <w:highlight w:val="none"/>
        </w:rPr>
      </w:pPr>
      <w:r>
        <w:rPr>
          <w:rFonts w:hint="eastAsia"/>
          <w:color w:val="auto"/>
          <w:highlight w:val="none"/>
        </w:rPr>
        <w:t>名称：浙江致信招标代理有限公司</w:t>
      </w:r>
    </w:p>
    <w:p w14:paraId="55A1DCB4">
      <w:pPr>
        <w:spacing w:line="460" w:lineRule="exact"/>
        <w:ind w:firstLine="480"/>
        <w:rPr>
          <w:color w:val="auto"/>
          <w:highlight w:val="none"/>
        </w:rPr>
      </w:pPr>
      <w:r>
        <w:rPr>
          <w:rFonts w:hint="eastAsia"/>
          <w:color w:val="auto"/>
          <w:highlight w:val="none"/>
        </w:rPr>
        <w:t>地址：湖州市康山街道嘉年华国际广场C座C1805室</w:t>
      </w:r>
    </w:p>
    <w:p w14:paraId="568B5A6B">
      <w:pPr>
        <w:spacing w:line="460" w:lineRule="exact"/>
        <w:ind w:firstLine="480"/>
        <w:rPr>
          <w:rFonts w:hint="eastAsia" w:eastAsia="宋体"/>
          <w:color w:val="auto"/>
          <w:highlight w:val="none"/>
          <w:lang w:eastAsia="zh-CN"/>
        </w:rPr>
      </w:pPr>
      <w:r>
        <w:rPr>
          <w:rFonts w:hint="eastAsia"/>
          <w:color w:val="auto"/>
          <w:highlight w:val="none"/>
        </w:rPr>
        <w:t>项目联系人（询问）：徐</w:t>
      </w:r>
      <w:r>
        <w:rPr>
          <w:rFonts w:hint="eastAsia"/>
          <w:color w:val="auto"/>
          <w:highlight w:val="none"/>
          <w:lang w:eastAsia="zh-CN"/>
        </w:rPr>
        <w:t>工</w:t>
      </w:r>
    </w:p>
    <w:p w14:paraId="1D6B37D4">
      <w:pPr>
        <w:spacing w:line="460" w:lineRule="exact"/>
        <w:ind w:firstLine="480"/>
        <w:rPr>
          <w:color w:val="auto"/>
          <w:highlight w:val="none"/>
        </w:rPr>
      </w:pPr>
      <w:r>
        <w:rPr>
          <w:rFonts w:hint="eastAsia"/>
          <w:color w:val="auto"/>
          <w:highlight w:val="none"/>
        </w:rPr>
        <w:t>项目联系方式（询问）：0572-2038559</w:t>
      </w:r>
    </w:p>
    <w:p w14:paraId="6277A76C">
      <w:pPr>
        <w:spacing w:line="460" w:lineRule="exact"/>
        <w:ind w:firstLine="480"/>
        <w:rPr>
          <w:rFonts w:hint="eastAsia" w:eastAsia="宋体"/>
          <w:color w:val="auto"/>
          <w:highlight w:val="none"/>
          <w:lang w:eastAsia="zh-CN"/>
        </w:rPr>
      </w:pPr>
      <w:r>
        <w:rPr>
          <w:rFonts w:hint="eastAsia"/>
          <w:color w:val="auto"/>
          <w:highlight w:val="none"/>
        </w:rPr>
        <w:t>质疑联系人：俞</w:t>
      </w:r>
      <w:r>
        <w:rPr>
          <w:rFonts w:hint="eastAsia"/>
          <w:color w:val="auto"/>
          <w:highlight w:val="none"/>
          <w:lang w:eastAsia="zh-CN"/>
        </w:rPr>
        <w:t>工</w:t>
      </w:r>
    </w:p>
    <w:p w14:paraId="4112118A">
      <w:pPr>
        <w:spacing w:line="460" w:lineRule="exact"/>
        <w:ind w:firstLine="480"/>
        <w:rPr>
          <w:color w:val="auto"/>
          <w:highlight w:val="none"/>
        </w:rPr>
      </w:pPr>
      <w:r>
        <w:rPr>
          <w:rFonts w:hint="eastAsia"/>
          <w:color w:val="auto"/>
          <w:highlight w:val="none"/>
        </w:rPr>
        <w:t>质疑联系方式：0571-88026807</w:t>
      </w:r>
    </w:p>
    <w:p w14:paraId="78C59141">
      <w:pPr>
        <w:spacing w:line="460" w:lineRule="exact"/>
        <w:ind w:firstLine="480"/>
        <w:rPr>
          <w:color w:val="auto"/>
          <w:highlight w:val="none"/>
        </w:rPr>
      </w:pPr>
      <w:r>
        <w:rPr>
          <w:rFonts w:hint="eastAsia"/>
          <w:color w:val="auto"/>
          <w:highlight w:val="none"/>
          <w:lang w:val="en-US" w:eastAsia="zh-CN"/>
        </w:rPr>
        <w:t>3.</w:t>
      </w:r>
      <w:r>
        <w:rPr>
          <w:rFonts w:hint="eastAsia"/>
          <w:color w:val="auto"/>
          <w:highlight w:val="none"/>
        </w:rPr>
        <w:t>同级政府采购监督管理部门</w:t>
      </w:r>
    </w:p>
    <w:p w14:paraId="77CD8FA6">
      <w:pPr>
        <w:spacing w:line="460" w:lineRule="exact"/>
        <w:ind w:firstLine="480"/>
        <w:rPr>
          <w:rFonts w:cs="宋体"/>
          <w:color w:val="auto"/>
          <w:highlight w:val="none"/>
        </w:rPr>
      </w:pPr>
      <w:r>
        <w:rPr>
          <w:rFonts w:hint="eastAsia" w:cs="宋体"/>
          <w:color w:val="auto"/>
          <w:highlight w:val="none"/>
        </w:rPr>
        <w:t>名称：长兴县财政局</w:t>
      </w:r>
    </w:p>
    <w:p w14:paraId="50FCED8D">
      <w:pPr>
        <w:spacing w:line="460" w:lineRule="exact"/>
        <w:ind w:firstLine="480"/>
        <w:rPr>
          <w:rFonts w:cs="宋体"/>
          <w:color w:val="auto"/>
          <w:highlight w:val="none"/>
        </w:rPr>
      </w:pPr>
      <w:r>
        <w:rPr>
          <w:rFonts w:hint="eastAsia" w:cs="宋体"/>
          <w:color w:val="auto"/>
          <w:highlight w:val="none"/>
        </w:rPr>
        <w:t>地址：长兴县龙山街道锦绣路6号兴国商务楼1号楼1305室</w:t>
      </w:r>
    </w:p>
    <w:p w14:paraId="5EFFB9BF">
      <w:pPr>
        <w:spacing w:line="460" w:lineRule="exact"/>
        <w:ind w:firstLine="480"/>
        <w:rPr>
          <w:rFonts w:hint="eastAsia" w:eastAsia="宋体" w:cs="宋体"/>
          <w:color w:val="auto"/>
          <w:highlight w:val="none"/>
          <w:lang w:eastAsia="zh-CN"/>
        </w:rPr>
      </w:pPr>
      <w:r>
        <w:rPr>
          <w:rFonts w:hint="eastAsia" w:cs="宋体"/>
          <w:color w:val="auto"/>
          <w:highlight w:val="none"/>
        </w:rPr>
        <w:t>联系人：佘</w:t>
      </w:r>
      <w:r>
        <w:rPr>
          <w:rFonts w:hint="eastAsia" w:cs="宋体"/>
          <w:color w:val="auto"/>
          <w:highlight w:val="none"/>
          <w:lang w:val="en-US" w:eastAsia="zh-CN"/>
        </w:rPr>
        <w:t>科</w:t>
      </w:r>
    </w:p>
    <w:p w14:paraId="73ED0897">
      <w:pPr>
        <w:spacing w:line="460" w:lineRule="exact"/>
        <w:ind w:firstLine="480"/>
        <w:rPr>
          <w:color w:val="auto"/>
          <w:highlight w:val="none"/>
        </w:rPr>
      </w:pPr>
      <w:r>
        <w:rPr>
          <w:rFonts w:hint="eastAsia" w:cs="宋体"/>
          <w:color w:val="auto"/>
          <w:highlight w:val="none"/>
        </w:rPr>
        <w:t>监督投诉电话：0572-6027789</w:t>
      </w:r>
    </w:p>
    <w:p w14:paraId="45EF2EB2">
      <w:pPr>
        <w:pStyle w:val="38"/>
        <w:spacing w:before="75" w:beforeAutospacing="0" w:after="75" w:afterAutospacing="0" w:line="480" w:lineRule="exact"/>
        <w:ind w:firstLine="480"/>
        <w:rPr>
          <w:rFonts w:cs="宋体"/>
          <w:color w:val="auto"/>
          <w:highlight w:val="none"/>
        </w:rPr>
      </w:pPr>
    </w:p>
    <w:p w14:paraId="0C5D71ED">
      <w:pPr>
        <w:spacing w:line="360" w:lineRule="auto"/>
        <w:ind w:firstLine="480"/>
        <w:rPr>
          <w:rFonts w:cs="宋体"/>
          <w:color w:val="auto"/>
          <w:highlight w:val="none"/>
        </w:rPr>
      </w:pPr>
      <w:r>
        <w:rPr>
          <w:rFonts w:hint="eastAsia" w:cs="宋体"/>
          <w:color w:val="auto"/>
          <w:highlight w:val="none"/>
        </w:rPr>
        <w:t>提示：若对项目采购电子交易系统操作有疑问，可登录政采云（https://www.zcygov.cn/），点击右侧咨询小采，获取采小蜜智能服务管家帮助，或拨打政采云服务热线95763获取热线服务帮助。</w:t>
      </w:r>
    </w:p>
    <w:p w14:paraId="0A5AC693">
      <w:pPr>
        <w:bidi w:val="0"/>
        <w:spacing w:line="360" w:lineRule="auto"/>
        <w:rPr>
          <w:rFonts w:cs="宋体"/>
          <w:color w:val="auto"/>
          <w:highlight w:val="none"/>
        </w:rPr>
      </w:pPr>
      <w:r>
        <w:rPr>
          <w:rFonts w:hint="eastAsia"/>
        </w:rPr>
        <w:t>CA问题联系电话（人工）：汇信CA 400-888-4636；天谷CA 400-087-8198</w:t>
      </w:r>
    </w:p>
    <w:p w14:paraId="5B172B04">
      <w:pPr>
        <w:pStyle w:val="76"/>
        <w:rPr>
          <w:rFonts w:ascii="宋体" w:hAnsi="宋体" w:eastAsia="宋体" w:cs="宋体"/>
          <w:color w:val="auto"/>
          <w:sz w:val="21"/>
          <w:szCs w:val="21"/>
          <w:highlight w:val="none"/>
        </w:rPr>
        <w:sectPr>
          <w:footerReference r:id="rId13" w:type="default"/>
          <w:pgSz w:w="11906" w:h="16838"/>
          <w:pgMar w:top="1440" w:right="1080" w:bottom="1440" w:left="1080" w:header="170" w:footer="567" w:gutter="0"/>
          <w:pgNumType w:fmt="decimal" w:start="1"/>
          <w:cols w:space="720" w:num="1"/>
          <w:docGrid w:linePitch="381" w:charSpace="0"/>
        </w:sectPr>
      </w:pPr>
    </w:p>
    <w:bookmarkEnd w:id="3"/>
    <w:p w14:paraId="202F97F8">
      <w:pPr>
        <w:pStyle w:val="3"/>
        <w:numPr>
          <w:ilvl w:val="0"/>
          <w:numId w:val="5"/>
        </w:numPr>
        <w:rPr>
          <w:rFonts w:cs="宋体"/>
          <w:color w:val="auto"/>
          <w:szCs w:val="32"/>
          <w:highlight w:val="none"/>
        </w:rPr>
      </w:pPr>
      <w:bookmarkStart w:id="13" w:name="_Toc8514"/>
      <w:bookmarkStart w:id="14" w:name="_Toc28843"/>
      <w:r>
        <w:rPr>
          <w:rFonts w:hint="eastAsia" w:cs="宋体"/>
          <w:color w:val="auto"/>
          <w:szCs w:val="32"/>
          <w:highlight w:val="none"/>
        </w:rPr>
        <w:t>采购需求</w:t>
      </w:r>
      <w:bookmarkEnd w:id="13"/>
      <w:bookmarkEnd w:id="14"/>
    </w:p>
    <w:p w14:paraId="34BC767F">
      <w:pPr>
        <w:keepNext w:val="0"/>
        <w:keepLines w:val="0"/>
        <w:pageBreakBefore w:val="0"/>
        <w:widowControl w:val="0"/>
        <w:kinsoku/>
        <w:wordWrap/>
        <w:overflowPunct/>
        <w:topLinePunct w:val="0"/>
        <w:autoSpaceDE/>
        <w:autoSpaceDN/>
        <w:bidi w:val="0"/>
        <w:adjustRightInd/>
        <w:spacing w:line="500" w:lineRule="exact"/>
        <w:ind w:left="0" w:leftChars="0" w:firstLine="0" w:firstLineChars="0"/>
        <w:textAlignment w:val="auto"/>
        <w:rPr>
          <w:color w:val="auto"/>
          <w:highlight w:val="none"/>
        </w:rPr>
      </w:pPr>
      <w:bookmarkStart w:id="15" w:name="_Toc6271"/>
      <w:bookmarkStart w:id="16" w:name="_Toc21112"/>
      <w:bookmarkStart w:id="17" w:name="_Toc18187"/>
      <w:bookmarkStart w:id="18" w:name="_Toc450840085"/>
      <w:r>
        <w:rPr>
          <w:rFonts w:hint="eastAsia"/>
          <w:b/>
          <w:bCs/>
        </w:rPr>
        <w:t>一、项目概况</w:t>
      </w:r>
      <w:bookmarkEnd w:id="15"/>
    </w:p>
    <w:p w14:paraId="05E98C10">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eastAsia="宋体" w:cs="宋体"/>
          <w:color w:val="auto"/>
          <w:highlight w:val="none"/>
          <w:lang w:val="en-US" w:eastAsia="zh-CN"/>
        </w:rPr>
      </w:pPr>
      <w:r>
        <w:rPr>
          <w:rFonts w:hint="eastAsia" w:cs="宋体"/>
          <w:color w:val="auto"/>
          <w:highlight w:val="none"/>
        </w:rPr>
        <w:t>项目编号：ZJZX-CXJ</w:t>
      </w:r>
      <w:r>
        <w:rPr>
          <w:rFonts w:hint="eastAsia" w:cs="宋体"/>
          <w:color w:val="auto"/>
          <w:highlight w:val="none"/>
          <w:lang w:val="en-US" w:eastAsia="zh-CN"/>
        </w:rPr>
        <w:t>Y</w:t>
      </w:r>
      <w:r>
        <w:rPr>
          <w:rFonts w:hint="eastAsia" w:cs="宋体"/>
          <w:color w:val="auto"/>
          <w:highlight w:val="none"/>
        </w:rPr>
        <w:t>-202400</w:t>
      </w:r>
      <w:r>
        <w:rPr>
          <w:rFonts w:hint="eastAsia" w:cs="宋体"/>
          <w:color w:val="auto"/>
          <w:highlight w:val="none"/>
          <w:lang w:val="en-US" w:eastAsia="zh-CN"/>
        </w:rPr>
        <w:t>1</w:t>
      </w:r>
    </w:p>
    <w:p w14:paraId="5DF07344">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cs="宋体"/>
          <w:color w:val="auto"/>
          <w:highlight w:val="none"/>
        </w:rPr>
      </w:pPr>
      <w:r>
        <w:rPr>
          <w:rFonts w:hint="eastAsia" w:cs="宋体"/>
          <w:color w:val="auto"/>
          <w:highlight w:val="none"/>
        </w:rPr>
        <w:t>项目名称：</w:t>
      </w:r>
      <w:r>
        <w:rPr>
          <w:rFonts w:hint="eastAsia"/>
          <w:color w:val="auto"/>
          <w:highlight w:val="none"/>
        </w:rPr>
        <w:t>长兴县</w:t>
      </w:r>
      <w:r>
        <w:rPr>
          <w:rFonts w:hint="eastAsia"/>
          <w:color w:val="auto"/>
          <w:highlight w:val="none"/>
          <w:lang w:eastAsia="zh-CN"/>
        </w:rPr>
        <w:t>学校视频监控升级采购</w:t>
      </w:r>
      <w:r>
        <w:rPr>
          <w:rFonts w:hint="eastAsia"/>
          <w:color w:val="auto"/>
          <w:highlight w:val="none"/>
        </w:rPr>
        <w:t>项目</w:t>
      </w:r>
    </w:p>
    <w:p w14:paraId="7C4FE476">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default" w:eastAsia="宋体" w:cs="宋体"/>
          <w:color w:val="auto"/>
          <w:highlight w:val="none"/>
          <w:lang w:val="en-US" w:eastAsia="zh-CN"/>
        </w:rPr>
      </w:pPr>
      <w:r>
        <w:rPr>
          <w:rFonts w:hint="eastAsia" w:cs="宋体"/>
          <w:color w:val="auto"/>
          <w:highlight w:val="none"/>
        </w:rPr>
        <w:t>预算金额/最高限价：</w:t>
      </w:r>
      <w:r>
        <w:rPr>
          <w:rFonts w:hint="eastAsia"/>
          <w:color w:val="auto"/>
          <w:highlight w:val="none"/>
          <w:lang w:val="en-US" w:eastAsia="zh-CN"/>
        </w:rPr>
        <w:t>3168010</w:t>
      </w:r>
      <w:r>
        <w:rPr>
          <w:rFonts w:hint="eastAsia" w:cs="宋体"/>
          <w:color w:val="auto"/>
          <w:highlight w:val="none"/>
          <w:lang w:val="en-US" w:eastAsia="zh-CN"/>
        </w:rPr>
        <w:t>元</w:t>
      </w:r>
    </w:p>
    <w:p w14:paraId="60F808A0">
      <w:pPr>
        <w:keepNext w:val="0"/>
        <w:keepLines w:val="0"/>
        <w:pageBreakBefore w:val="0"/>
        <w:widowControl w:val="0"/>
        <w:kinsoku/>
        <w:wordWrap/>
        <w:overflowPunct/>
        <w:topLinePunct w:val="0"/>
        <w:autoSpaceDE/>
        <w:autoSpaceDN/>
        <w:bidi w:val="0"/>
        <w:adjustRightInd/>
        <w:spacing w:line="500" w:lineRule="exact"/>
        <w:ind w:left="0" w:leftChars="0" w:firstLine="0" w:firstLineChars="0"/>
        <w:textAlignment w:val="auto"/>
        <w:rPr>
          <w:color w:val="auto"/>
          <w:highlight w:val="none"/>
        </w:rPr>
      </w:pPr>
      <w:bookmarkStart w:id="19" w:name="_Toc8917"/>
      <w:r>
        <w:rPr>
          <w:rFonts w:hint="eastAsia"/>
          <w:b/>
          <w:bCs/>
        </w:rPr>
        <w:t>二、采购范围</w:t>
      </w:r>
      <w:bookmarkEnd w:id="19"/>
    </w:p>
    <w:p w14:paraId="48E4B2C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default"/>
          <w:b w:val="0"/>
          <w:bCs w:val="0"/>
          <w:lang w:val="en-US" w:eastAsia="zh-CN"/>
        </w:rPr>
      </w:pPr>
      <w:bookmarkStart w:id="20" w:name="_Toc30034"/>
      <w:r>
        <w:rPr>
          <w:rFonts w:hint="eastAsia"/>
          <w:b w:val="0"/>
          <w:bCs w:val="0"/>
          <w:lang w:val="en-US" w:eastAsia="zh-CN"/>
        </w:rPr>
        <w:t>因日常教学需要，采购人对长兴县各类学校的视频监控进行升级改造，其中包括高中、中职5所；义务段（初中、小学）27所；公办幼儿园1所。采购范围包括学校视频监控部分硬件更换及相关软件升级，具体采购内容详见“采购内容清单”。</w:t>
      </w:r>
    </w:p>
    <w:p w14:paraId="420678E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color w:val="auto"/>
          <w:highlight w:val="none"/>
        </w:rPr>
      </w:pPr>
      <w:r>
        <w:rPr>
          <w:rFonts w:hint="eastAsia"/>
          <w:b/>
          <w:bCs/>
          <w:lang w:val="en-US" w:eastAsia="zh-CN"/>
        </w:rPr>
        <w:t>三</w:t>
      </w:r>
      <w:r>
        <w:rPr>
          <w:rFonts w:hint="eastAsia"/>
          <w:b/>
          <w:bCs/>
        </w:rPr>
        <w:t>、采购说明</w:t>
      </w:r>
      <w:bookmarkEnd w:id="20"/>
    </w:p>
    <w:p w14:paraId="02EC032E">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 xml:space="preserve">1.本技术规范要求提出的是最低限度的基本技术要求，并未对所有技术细节作出规定，供应商应提供符合本技术要求和国家标准、行业标准的优质产品。 </w:t>
      </w:r>
    </w:p>
    <w:p w14:paraId="227E22E8">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 xml:space="preserve">2.技术要求及标准的执行 </w:t>
      </w:r>
    </w:p>
    <w:p w14:paraId="29385606">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 xml:space="preserve">供应商提供的产品应标明所执行的质量标准，若同一标准已颁发新标准，则按最新标准执行。若同一产品同时有几个标准（国际标准、国家标准、行业标准、企业标准等），则按最高层次的标准执行。 </w:t>
      </w:r>
    </w:p>
    <w:p w14:paraId="0F09F466">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3.供应商须按国家有关规定及标准完成本次采购产品的供货、运输、装卸、就位、安装、调试、技术培训、检验、通过有关部门验收、维保期服务、产品维修等各项工作，并保证产品使用的安全性。</w:t>
      </w:r>
      <w:r>
        <w:rPr>
          <w:rFonts w:hint="eastAsia" w:cs="宋体"/>
          <w:color w:val="auto"/>
          <w:highlight w:val="none"/>
          <w:lang w:eastAsia="zh-CN"/>
        </w:rPr>
        <w:t>中标人</w:t>
      </w:r>
      <w:r>
        <w:rPr>
          <w:rFonts w:hint="eastAsia" w:cs="宋体"/>
          <w:color w:val="auto"/>
          <w:highlight w:val="none"/>
        </w:rPr>
        <w:t>及制造商对中标产品的安全性能与可靠性负全部责任。</w:t>
      </w:r>
      <w:r>
        <w:rPr>
          <w:rFonts w:hint="eastAsia" w:cs="宋体"/>
          <w:color w:val="auto"/>
          <w:highlight w:val="none"/>
          <w:lang w:eastAsia="zh-CN"/>
        </w:rPr>
        <w:t>中标人</w:t>
      </w:r>
      <w:r>
        <w:rPr>
          <w:rFonts w:hint="eastAsia" w:cs="宋体"/>
          <w:color w:val="auto"/>
          <w:highlight w:val="none"/>
        </w:rPr>
        <w:t>须随产品提供出厂合格证书、安装及使用维护保养说明书、零部件质量合格证明和符合国家有关规定的行政许可证明文件等技术资料。</w:t>
      </w:r>
    </w:p>
    <w:p w14:paraId="010880F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color w:val="auto"/>
          <w:highlight w:val="none"/>
          <w:lang w:eastAsia="zh-CN"/>
        </w:rPr>
      </w:pPr>
      <w:bookmarkStart w:id="21" w:name="_Toc1171"/>
      <w:r>
        <w:rPr>
          <w:rFonts w:hint="eastAsia"/>
          <w:b/>
          <w:bCs/>
          <w:lang w:val="en-US" w:eastAsia="zh-CN"/>
        </w:rPr>
        <w:t>四</w:t>
      </w:r>
      <w:r>
        <w:rPr>
          <w:rFonts w:hint="eastAsia"/>
          <w:b/>
          <w:bCs/>
        </w:rPr>
        <w:t>、采购内容清单</w:t>
      </w:r>
      <w:bookmarkEnd w:id="21"/>
      <w:r>
        <w:rPr>
          <w:rFonts w:hint="eastAsia"/>
          <w:b/>
          <w:bCs/>
          <w:lang w:eastAsia="zh-CN"/>
        </w:rPr>
        <w:t>（见下表）</w:t>
      </w:r>
    </w:p>
    <w:p w14:paraId="445DE5A9">
      <w:pPr>
        <w:spacing w:line="460" w:lineRule="exact"/>
        <w:ind w:firstLine="0" w:firstLineChars="0"/>
        <w:rPr>
          <w:b/>
          <w:bCs/>
          <w:color w:val="auto"/>
          <w:highlight w:val="none"/>
        </w:rPr>
        <w:sectPr>
          <w:footerReference r:id="rId14" w:type="default"/>
          <w:pgSz w:w="11906" w:h="16838"/>
          <w:pgMar w:top="1440" w:right="1080" w:bottom="1440" w:left="1080" w:header="170" w:footer="567" w:gutter="0"/>
          <w:pgNumType w:fmt="decimal"/>
          <w:cols w:space="720" w:num="1"/>
          <w:docGrid w:linePitch="381" w:charSpace="0"/>
        </w:sectPr>
      </w:pPr>
    </w:p>
    <w:tbl>
      <w:tblPr>
        <w:tblStyle w:val="43"/>
        <w:tblW w:w="15395" w:type="dxa"/>
        <w:tblInd w:w="-3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8"/>
        <w:gridCol w:w="714"/>
        <w:gridCol w:w="1309"/>
        <w:gridCol w:w="8454"/>
        <w:gridCol w:w="1923"/>
        <w:gridCol w:w="832"/>
        <w:gridCol w:w="845"/>
      </w:tblGrid>
      <w:tr w14:paraId="4ABC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F26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学校名称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708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81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D90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E40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E42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543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5D32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39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DD39">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b/>
                <w:bCs/>
                <w:i w:val="0"/>
                <w:iCs w:val="0"/>
                <w:color w:val="171A1D"/>
                <w:sz w:val="21"/>
                <w:szCs w:val="21"/>
                <w:u w:val="none"/>
              </w:rPr>
            </w:pPr>
            <w:r>
              <w:rPr>
                <w:rFonts w:hint="eastAsia" w:ascii="宋体" w:hAnsi="宋体" w:eastAsia="宋体" w:cs="宋体"/>
                <w:b/>
                <w:bCs/>
                <w:i w:val="0"/>
                <w:iCs w:val="0"/>
                <w:color w:val="171A1D"/>
                <w:kern w:val="0"/>
                <w:sz w:val="21"/>
                <w:szCs w:val="21"/>
                <w:u w:val="none"/>
                <w:lang w:val="en-US" w:eastAsia="zh-CN" w:bidi="ar"/>
              </w:rPr>
              <w:t>高中、中职</w:t>
            </w:r>
          </w:p>
        </w:tc>
      </w:tr>
      <w:tr w14:paraId="22D5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B789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长兴中学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D40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7DE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磁盘阵列CVR存储</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CC3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机架式/8U 48盘位/520路（1040Mbps带宽）接入/企业级SATA硬盘/64位多核处理器/4GB缓存（可扩展至64GB）/2个千兆数据网口（可扩展2千兆网口或2万兆光口）/1个千兆管理网口/冗余电源/网络协议：RTSP/ONVIF/PSIA/（GB/T28181）</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262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9DE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AD7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F5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F85BF">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A59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6E4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8454" w:type="dxa"/>
            <w:tcBorders>
              <w:top w:val="nil"/>
              <w:left w:val="single" w:color="000000" w:sz="4" w:space="0"/>
              <w:bottom w:val="single" w:color="auto" w:sz="4" w:space="0"/>
              <w:right w:val="single" w:color="000000" w:sz="4" w:space="0"/>
            </w:tcBorders>
            <w:shd w:val="clear" w:color="auto" w:fill="auto"/>
            <w:vAlign w:val="center"/>
          </w:tcPr>
          <w:p w14:paraId="653EF36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16TB容量，3.5英寸，SATA3.0接口，7200RPM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氦气盘， CMR传统磁记录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传输速率270 MB/s，流畅存储视频有效防止丢帧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MTBF可达2,500,000小时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满足数据严苛的7*24小时运行可靠性、安全性的需求</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458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7D3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166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4F4F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7F909">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F74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9" w:type="dxa"/>
            <w:tcBorders>
              <w:top w:val="single" w:color="000000" w:sz="4" w:space="0"/>
              <w:left w:val="single" w:color="000000" w:sz="4" w:space="0"/>
              <w:bottom w:val="single" w:color="000000" w:sz="4" w:space="0"/>
              <w:right w:val="single" w:color="auto" w:sz="4" w:space="0"/>
            </w:tcBorders>
            <w:shd w:val="clear" w:color="auto" w:fill="auto"/>
            <w:vAlign w:val="center"/>
          </w:tcPr>
          <w:p w14:paraId="610BBD9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解码器</w:t>
            </w:r>
          </w:p>
        </w:tc>
        <w:tc>
          <w:tcPr>
            <w:tcW w:w="8454" w:type="dxa"/>
            <w:tcBorders>
              <w:top w:val="single" w:color="auto" w:sz="4" w:space="0"/>
              <w:left w:val="single" w:color="auto" w:sz="4" w:space="0"/>
              <w:bottom w:val="single" w:color="auto" w:sz="4" w:space="0"/>
              <w:right w:val="single" w:color="auto" w:sz="4" w:space="0"/>
            </w:tcBorders>
            <w:shd w:val="clear" w:color="auto" w:fill="auto"/>
            <w:vAlign w:val="center"/>
          </w:tcPr>
          <w:p w14:paraId="5D64265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超高清解码器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•支持电脑、视频会议终端等视频输入信号源，支持2路1080P@50/60 或1路4K@30，通过HDMI 1.4本地输入，HDMI可内嵌音频</w:t>
            </w:r>
          </w:p>
          <w:p w14:paraId="72DE465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•支持网络IPC、NVR等设备类型作为网络信号源输入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•支持HDMI 1.4视频信号输出，支持4K分辨率（3840 × 2160@30 Hz）超高清输出，输出采用帧同步技术，保证所有输出口的图像完全同步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•支持两种音频输出方式：HDMI内嵌音频和外置音频输出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视频编解码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•采用H.264/H.265编码标准，默认采用H.265，支持子码流及主码流编码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•支持网络设备解码，支持H.264、H.265、Smart264、Smart265、MJPEG、HIK264等主流码流格式，支持PS、TS、ES、RTP等主流封装格式，支持子码流及主码流切换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•最大支持3200w分辨率解码，具有128个解码通道，支持128路200W视频同时解码上墙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•支持加密码流、多轨码流、智能码流解码；支持码流修改和切换；支持解码异常提示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电视墙功能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•支持单面电视墙拼接、开窗、窗口跨屏漫游、场景轮巡和窗口轮巡功能，单屏支持3个1080P或2个4K图层，单窗口支持1/4/6/8/9/16/25窗口分屏功能，整机最大支持64个场景，整机支持256个平台预案轮巡组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•支持RTP\RTSP协议进行网络源预览，可通过smartwall客户端进行桌面投屏上墙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•支持电视墙界面对网络信号源云台八个方向、自动扫描、光圈、调焦、聚焦、调用预置点等操作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•支持电视墙窗口开始/停止预览、开始/停止解码、开始/停止轮巡、打开/关闭声音、置顶、置底等操作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视频解码格式：H.264，H.265，Smart264，Smart265，MJPEG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解码分辨率：最高3200W像素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视频解码通道：256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视频解码能力：H.264/H.265：支持8路3200 W，或8路2400 W，或16路1200 W，或32路800 W，或40路600W，或64路400 W，或128路1080P，或256路720P及以下分辨率实时解码（每4个输出口一组，共享解码能力）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MJPEG：16路1080P及以下分辨率实时解码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HIK264：8路720P及以下分辨率实时解码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单口画面分割数：1,2,4,6,8,9,12,16,25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场景数量：64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视频输出分辨率：3840 × 2160@30 Hz、2560 × 1440@30 Hz、1920 × 1200@60 Hz、1920 × 1080@60 Hz、1920 × 1080@50 Hz、1680 × 1050@60 Hz、1600 × 1200@60 Hz、1280 × 1024@60 Hz、1280 × 720@60 Hz、1280 × 720@50 Hz、1024 × 768@60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视频输出接口类型：16路HDMI 1.4，支持4K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视频输入分辨率：3840×2160@30Hz、1920×1200@60Hz、1920×1080@60Hz、1920×1080@50Hz、1280×720@60Hz、1280×720@50Hz、1600×1200@60Hz、1280×960@60Hz、1680×1050@60Hz、1440×900@60Hz、1366×768@60Hz、1280×1024@60Hz、1024×768@60Hz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视频输入接口：2路HDMI 1.4，最大支持4K（仅奇数口）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音频输入接口：2路HDMI内嵌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音频输出接口：16路HDMI内嵌或DB15转BNC独立音频输出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音频解码格式：G711-A，G711-U，G722.1，G726-16/U/A，MPEG，AAC-LC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产品尺寸（宽x高x深）：440 mm × 88 mm × 321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 6.40 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功耗：＜150 W </w:t>
            </w:r>
          </w:p>
        </w:tc>
        <w:tc>
          <w:tcPr>
            <w:tcW w:w="1923" w:type="dxa"/>
            <w:tcBorders>
              <w:top w:val="single" w:color="000000" w:sz="4" w:space="0"/>
              <w:left w:val="single" w:color="auto" w:sz="4" w:space="0"/>
              <w:bottom w:val="single" w:color="000000" w:sz="4" w:space="0"/>
              <w:right w:val="single" w:color="000000" w:sz="4" w:space="0"/>
            </w:tcBorders>
            <w:shd w:val="clear" w:color="auto" w:fill="auto"/>
            <w:vAlign w:val="center"/>
          </w:tcPr>
          <w:p w14:paraId="3A10A66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16路输出</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17A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05F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23E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4"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F7957">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DAC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33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auto" w:sz="4" w:space="0"/>
              <w:left w:val="single" w:color="000000" w:sz="4" w:space="0"/>
              <w:bottom w:val="single" w:color="auto" w:sz="4" w:space="0"/>
              <w:right w:val="single" w:color="000000" w:sz="4" w:space="0"/>
            </w:tcBorders>
            <w:shd w:val="clear" w:color="auto" w:fill="auto"/>
            <w:vAlign w:val="center"/>
          </w:tcPr>
          <w:p w14:paraId="7019CE6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4DF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346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A2E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5084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AEF86">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A81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09" w:type="dxa"/>
            <w:tcBorders>
              <w:top w:val="single" w:color="000000" w:sz="4" w:space="0"/>
              <w:left w:val="single" w:color="000000" w:sz="4" w:space="0"/>
              <w:bottom w:val="single" w:color="000000" w:sz="4" w:space="0"/>
              <w:right w:val="single" w:color="auto" w:sz="4" w:space="0"/>
            </w:tcBorders>
            <w:shd w:val="clear" w:color="auto" w:fill="auto"/>
            <w:vAlign w:val="center"/>
          </w:tcPr>
          <w:p w14:paraId="738C3B0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auto" w:sz="4" w:space="0"/>
              <w:left w:val="single" w:color="auto" w:sz="4" w:space="0"/>
              <w:bottom w:val="single" w:color="auto" w:sz="4" w:space="0"/>
              <w:right w:val="single" w:color="auto" w:sz="4" w:space="0"/>
            </w:tcBorders>
            <w:shd w:val="clear" w:color="auto" w:fill="auto"/>
            <w:vAlign w:val="center"/>
          </w:tcPr>
          <w:p w14:paraId="213BA71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auto" w:sz="4" w:space="0"/>
              <w:bottom w:val="single" w:color="000000" w:sz="4" w:space="0"/>
              <w:right w:val="single" w:color="000000" w:sz="4" w:space="0"/>
            </w:tcBorders>
            <w:shd w:val="clear" w:color="auto" w:fill="auto"/>
            <w:vAlign w:val="center"/>
          </w:tcPr>
          <w:p w14:paraId="34D42CF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FDC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C3D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7C49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3913">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A5B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09" w:type="dxa"/>
            <w:tcBorders>
              <w:top w:val="single" w:color="000000" w:sz="4" w:space="0"/>
              <w:left w:val="single" w:color="000000" w:sz="4" w:space="0"/>
              <w:bottom w:val="single" w:color="000000" w:sz="4" w:space="0"/>
              <w:right w:val="single" w:color="auto" w:sz="4" w:space="0"/>
            </w:tcBorders>
            <w:shd w:val="clear" w:color="auto" w:fill="auto"/>
            <w:vAlign w:val="center"/>
          </w:tcPr>
          <w:p w14:paraId="5EAADA3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auto" w:sz="4" w:space="0"/>
              <w:left w:val="single" w:color="auto" w:sz="4" w:space="0"/>
              <w:bottom w:val="single" w:color="auto" w:sz="4" w:space="0"/>
              <w:right w:val="single" w:color="auto" w:sz="4" w:space="0"/>
            </w:tcBorders>
            <w:shd w:val="clear" w:color="auto" w:fill="auto"/>
            <w:vAlign w:val="center"/>
          </w:tcPr>
          <w:p w14:paraId="3CD52E2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auto" w:sz="4" w:space="0"/>
              <w:bottom w:val="single" w:color="000000" w:sz="4" w:space="0"/>
              <w:right w:val="single" w:color="000000" w:sz="4" w:space="0"/>
            </w:tcBorders>
            <w:shd w:val="clear" w:color="auto" w:fill="auto"/>
            <w:vAlign w:val="center"/>
          </w:tcPr>
          <w:p w14:paraId="01F752A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725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327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F79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539A2">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092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EEB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auto" w:sz="4" w:space="0"/>
              <w:left w:val="single" w:color="000000" w:sz="4" w:space="0"/>
              <w:bottom w:val="single" w:color="000000" w:sz="4" w:space="0"/>
              <w:right w:val="single" w:color="000000" w:sz="4" w:space="0"/>
            </w:tcBorders>
            <w:shd w:val="clear" w:color="auto" w:fill="auto"/>
            <w:vAlign w:val="center"/>
          </w:tcPr>
          <w:p w14:paraId="0C1D1B2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DS80HKVS-VH1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8F9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418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224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2B35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D73C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金陵高中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31E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558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w:t>
            </w:r>
          </w:p>
          <w:p w14:paraId="65F7C1D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97D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24盘位磁盘阵列；1024Mbps接入带宽，2个千兆数据口，1个千兆管理口，支持视频流和图片、视频文件进行混合直写存储，8U 机架式48盘位，冗余电源，支持SATA硬盘，64位多核处理器，4GB高速缓存（可扩展到32GB）,设备自带48块6T企业级磁盘，支持RAID 0、1、3、5、6、10、50，60、JBOD模式，网络协议：RTSP/ONVIF/PSIA/SIP（GB/T28181）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网络中断后重新恢复，设备可续存断网期间存储在前端设备中的录像文件，并可通过IE浏览器设置自动回传和手动回传。支持256路4M的录像回传。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提供多设备同步升级功能，可以通过一键式操作对整个局域网内的所有设备同步升级。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设备可同时支持视频、图片、智能流和文件直写存储。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支持多路文件采用非NAS方式直接上传存储，且速度可设置。</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838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DS-96128N-HM24R</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D24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1CE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72C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2223E">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E54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2E3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企业</w:t>
            </w:r>
            <w:r>
              <w:rPr>
                <w:rFonts w:hint="eastAsia" w:ascii="宋体" w:hAnsi="宋体" w:eastAsia="宋体" w:cs="宋体"/>
                <w:i w:val="0"/>
                <w:iCs w:val="0"/>
                <w:color w:val="000000"/>
                <w:kern w:val="0"/>
                <w:sz w:val="21"/>
                <w:szCs w:val="21"/>
                <w:u w:val="none"/>
                <w:lang w:val="en-US" w:eastAsia="zh-CN" w:bidi="ar"/>
              </w:rPr>
              <w:t>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87A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企业级硬盘12T 256MB 7200RPM CMR垂直 SATA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12T容量 需要企业级硬盘</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644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FF0000"/>
                <w:sz w:val="21"/>
                <w:szCs w:val="21"/>
                <w:highlight w:val="green"/>
                <w:u w:val="none"/>
              </w:rPr>
            </w:pPr>
            <w:r>
              <w:rPr>
                <w:rFonts w:hint="eastAsia" w:ascii="宋体" w:hAnsi="宋体" w:eastAsia="宋体" w:cs="宋体"/>
                <w:i w:val="0"/>
                <w:iCs w:val="0"/>
                <w:color w:val="auto"/>
                <w:kern w:val="0"/>
                <w:sz w:val="21"/>
                <w:szCs w:val="21"/>
                <w:highlight w:val="none"/>
                <w:u w:val="none"/>
                <w:lang w:val="en-US" w:eastAsia="zh-CN" w:bidi="ar"/>
              </w:rPr>
              <w:t>12T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5BC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B67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27E7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FF916">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61F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765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解码器</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C1A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高清视音频解码器，采用Linux操作系统，运行稳定可靠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输入接口：支持一路VGA和一路DVI接入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输出接口：支持16路HDMI和8路BNC输出，HDMI（可以转DVI-D）（奇数口）输出分辨率最高支持4K（3840*2160@30HZ）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编码格式：支持H.265、H.264、MPEG4、MJPEG等主流的编码格式；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封装格式：支持PS、RTP、TS、ES等主流的封装格式；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音频解码：支持G.722、G.711A、G.726、G.711U、MPEG2-L2、AAC音频格式的解码；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解码能力：支持16路1200W，或32路800W，或48路500W，或80路300W，或128路1080P及以下分辨率同时实时解码；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画面分割：支持1、2、4、6、8、9、10、12、16、25、36画面分割显示。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网络接口：2光口，2电口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音频接口：支持16路音频输出，1路对讲输入，1路对讲输出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串行接口：一个标准232接口（RJ45）、一个标准485接口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报警接口：8路报警输入，8路报警输出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产品尺寸：440mm(宽)×80mm(高)×311mm(深)</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2E2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FF0000"/>
                <w:sz w:val="21"/>
                <w:szCs w:val="21"/>
                <w:highlight w:val="green"/>
                <w:u w:val="none"/>
              </w:rPr>
            </w:pPr>
            <w:r>
              <w:rPr>
                <w:rFonts w:hint="eastAsia" w:ascii="宋体" w:hAnsi="宋体" w:eastAsia="宋体" w:cs="宋体"/>
                <w:i w:val="0"/>
                <w:iCs w:val="0"/>
                <w:color w:val="000000"/>
                <w:kern w:val="0"/>
                <w:sz w:val="21"/>
                <w:szCs w:val="21"/>
                <w:u w:val="none"/>
                <w:lang w:val="en-US" w:eastAsia="zh-CN" w:bidi="ar"/>
              </w:rPr>
              <w:t>超高清解码器</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747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80F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74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F234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A82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09B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lang w:eastAsia="zh-CN"/>
              </w:rPr>
            </w:pPr>
            <w:r>
              <w:rPr>
                <w:rFonts w:hint="eastAsia" w:cs="宋体"/>
                <w:i w:val="0"/>
                <w:iCs w:val="0"/>
                <w:color w:val="auto"/>
                <w:sz w:val="21"/>
                <w:szCs w:val="21"/>
                <w:highlight w:val="none"/>
                <w:u w:val="none"/>
                <w:lang w:eastAsia="zh-CN"/>
              </w:rPr>
              <w:t>服务器</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1E6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2U单路标准机架式服务器</w:t>
            </w:r>
          </w:p>
          <w:p w14:paraId="04404F8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CPU：配置1颗intel至强4510处理器，核数≥12核，主频≥2.4GHz</w:t>
            </w:r>
          </w:p>
          <w:p w14:paraId="563DD19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内存：配置64G DDR5，8根内存插槽，最大支持扩展至1TB内存</w:t>
            </w:r>
          </w:p>
          <w:p w14:paraId="013755F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硬盘：配置2块1.2T 10K 2.5寸 SAS硬盘，默认支持8个3.5寸/2.5寸硬盘，可选最大支持12个3.5寸/2.5寸硬盘，可选兼容4个NVMe硬盘</w:t>
            </w:r>
          </w:p>
          <w:p w14:paraId="5D8C205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eastAsia="宋体"/>
                <w:sz w:val="21"/>
                <w:szCs w:val="21"/>
                <w:lang w:eastAsia="zh-CN"/>
              </w:rPr>
            </w:pPr>
            <w:r>
              <w:rPr>
                <w:rFonts w:hint="eastAsia"/>
                <w:sz w:val="21"/>
                <w:szCs w:val="21"/>
              </w:rPr>
              <w:t>阵列卡：配置SAS+HBA卡，支持RAID 0/1/10</w:t>
            </w:r>
            <w:r>
              <w:rPr>
                <w:rFonts w:hint="eastAsia"/>
                <w:sz w:val="21"/>
                <w:szCs w:val="21"/>
                <w:lang w:eastAsia="zh-CN"/>
              </w:rPr>
              <w:t>；</w:t>
            </w:r>
          </w:p>
          <w:p w14:paraId="0047A17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PCIE扩展：支持4个PCIe扩展插槽（包括1个OCP 插槽），其中2个PCIe 5.0</w:t>
            </w:r>
          </w:p>
          <w:p w14:paraId="71D02A5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网口：板载2个千兆电口； 支持选配10GbE、25GbE SFP+等多种网络接口</w:t>
            </w:r>
          </w:p>
          <w:p w14:paraId="2AB2957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其他接口：1个RJ45管理接口，后置2个USB 3.0接口，前置2个USB2.0接口，1个VGA接口</w:t>
            </w:r>
          </w:p>
          <w:p w14:paraId="5C38067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电源：标配550W（1+1）高效白金热插拔冗余电源</w:t>
            </w:r>
          </w:p>
          <w:p w14:paraId="169A577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机箱规格：87mm(高)x 466mm(宽)x680mm(深)</w:t>
            </w:r>
          </w:p>
          <w:p w14:paraId="2AEFBB7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1、支持系统内的组织、人员、车辆、用户、角色、认证、区域等的配置和管理；</w:t>
            </w:r>
          </w:p>
          <w:p w14:paraId="0046E75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2、包含图上监控、事件联动、视频网管、门禁网管、停车场网管、紧急报警、违停球接入等功能。</w:t>
            </w:r>
          </w:p>
          <w:p w14:paraId="58B1DAE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3、支持前端编码设备的集中管理；</w:t>
            </w:r>
          </w:p>
          <w:p w14:paraId="24A59D6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4、支持视频预览、录像回放、图片查看、解码上墙等功能；</w:t>
            </w:r>
          </w:p>
          <w:p w14:paraId="561A6DA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5、用于平台对外标准化互联互通（跨网、异构）的组件。支持通用视频联网标准协（GB/T28181、DB33/T629）,提供支持其他联网标准的扩展能力。</w:t>
            </w:r>
          </w:p>
          <w:p w14:paraId="60FAB6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6、为园区、小区、企业等安防区域提供门禁服务，支持卡片、指纹、人脸三种权限介质；</w:t>
            </w:r>
          </w:p>
          <w:p w14:paraId="124169B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7、特殊卡应用、多重认证、首卡常开、反潜回、多门互锁、门常开常闭等多种高级业务应用场景；</w:t>
            </w:r>
          </w:p>
          <w:p w14:paraId="3E03391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8、支持准确记录识别诸如卡号、车牌号等验证凭据，确保车辆的进出有据可查、可控，保障车辆快速通过道闸，支撑停车场的高效和安全运转</w:t>
            </w:r>
          </w:p>
          <w:p w14:paraId="2590838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9、支持车辆分组管理和充值管理；</w:t>
            </w:r>
          </w:p>
          <w:p w14:paraId="10807EA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10、支持放行规则、收费规则、优惠规则的配置；</w:t>
            </w:r>
          </w:p>
          <w:p w14:paraId="1E3220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11、支持信息记录的查询和统计分析；</w:t>
            </w:r>
          </w:p>
          <w:p w14:paraId="57EB1BD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12、支持访客预约、来访记录查询、访客权限管理</w:t>
            </w:r>
          </w:p>
          <w:p w14:paraId="4ABDA66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14、设备参数</w:t>
            </w:r>
          </w:p>
          <w:p w14:paraId="4294244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主处理器：64位高性能多核处理器；</w:t>
            </w:r>
          </w:p>
          <w:p w14:paraId="2AB43A8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操作系统：国产操作系统；</w:t>
            </w:r>
          </w:p>
          <w:p w14:paraId="5E3ADBB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控制器：单控制器；</w:t>
            </w:r>
          </w:p>
          <w:p w14:paraId="701A2EC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高速缓存：标配8GB，可扩展至64GB；</w:t>
            </w:r>
          </w:p>
          <w:p w14:paraId="1BB5488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视频直存（私有协议）：320路（800Mbps）接入，320路（800Mbps） 存储，320路（800Mbps） 转发，32路（64Mbps）网络回放；</w:t>
            </w:r>
          </w:p>
          <w:p w14:paraId="38EB42F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硬盘接口：36个；SATA；单盘最大支持20TB；支持热插拔；支持CMR；（硬盘型号参考配套产品）</w:t>
            </w:r>
          </w:p>
          <w:p w14:paraId="67E1764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硬盘参数</w:t>
            </w:r>
          </w:p>
          <w:p w14:paraId="78FC8C4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单盘容量：16TB；</w:t>
            </w:r>
          </w:p>
          <w:p w14:paraId="0388154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硬盘接口：SATA；</w:t>
            </w:r>
          </w:p>
          <w:p w14:paraId="391A7A4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转速：7200RPM；</w:t>
            </w:r>
          </w:p>
          <w:p w14:paraId="3545D9D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auto"/>
                <w:sz w:val="21"/>
                <w:szCs w:val="21"/>
                <w:u w:val="none"/>
              </w:rPr>
            </w:pPr>
            <w:r>
              <w:rPr>
                <w:rFonts w:hint="eastAsia"/>
                <w:sz w:val="21"/>
                <w:szCs w:val="21"/>
              </w:rPr>
              <w:t>缓存：256MB</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5FD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auto"/>
                <w:sz w:val="21"/>
                <w:szCs w:val="21"/>
                <w:u w:val="none"/>
                <w:lang w:eastAsia="zh-CN"/>
              </w:rPr>
            </w:pPr>
            <w:r>
              <w:rPr>
                <w:rFonts w:hint="eastAsia" w:cs="宋体"/>
                <w:i w:val="0"/>
                <w:iCs w:val="0"/>
                <w:color w:val="auto"/>
                <w:sz w:val="21"/>
                <w:szCs w:val="21"/>
                <w:u w:val="none"/>
                <w:lang w:eastAsia="zh-CN"/>
              </w:rPr>
              <w:t>服务器</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292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lang w:eastAsia="zh-CN"/>
              </w:rPr>
            </w:pPr>
            <w:r>
              <w:rPr>
                <w:rFonts w:hint="eastAsia" w:cs="宋体"/>
                <w:i w:val="0"/>
                <w:iCs w:val="0"/>
                <w:color w:val="000000"/>
                <w:sz w:val="21"/>
                <w:szCs w:val="21"/>
                <w:u w:val="none"/>
                <w:lang w:eastAsia="zh-CN"/>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2CC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56F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282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太湖高中</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C62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9A1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网络视频存储服务器（含16TB硬盘36块)</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855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主处理器：64位高性能多核处理器；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操作系统：国产操作系统；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控制器：单控制器；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高速缓存：标配8GB，可扩展至64GB；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视频直存（私有协议）：320路（800Mbps）接入，320路（800Mbps） 存储，320路（800Mbps） 转发，32路（64Mbps）网络回放；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硬盘接口：36个；SATA；单盘最大支持20TB；支持热插拔；支持CMR；（硬盘型号参考配套产品）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单盘容量：16TB；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硬盘接口：SATA；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缓存：256MB</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D8A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320路36槽位/16TB硬盘</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935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F82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34D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3F56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长兴技师</w:t>
            </w:r>
          </w:p>
          <w:p w14:paraId="1142E38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C5F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BC5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存储服务器</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0AA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RAID即建即用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RAID创建后可以直接使用，无需等待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集群服务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支持N+M集群功能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抽帧存储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支持抽帧存储功能，支持时间及抽帧率可设定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IPSAN功能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支持逻辑卷的动态在线扩展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IPSAN模式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支持IPSAN直存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RAID写同步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支持RAID写同步技术,确保数据安全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RAID重建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支持动态调整RAID重建速度，保证系统负载均衡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断网续传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支持前端断网时间段内SD卡中的录像回传到设备中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流媒体协议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Onvif</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GB28181等接入协议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网口特性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支持负载均衡、容错等网口绑定模式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录像回放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支持WEB端录像回放； 支持录像秒级检索； 回放速度可调节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一键RAID功能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支持一键快速创建RAID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视频流模式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支持视频流直存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前智能接入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支持MPEG4、MJPEG、H.264、H.265、SVAC编码格式的前端网络摄像机接入 支持双目、三目、热成像、守望者系列等前端网络摄像机接入 支持前智能人脸检测、人体检测、通用行为分析、车辆检测</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58D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512路48槽位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1D6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005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9C0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9B99B">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92D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92C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存储服务器</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3EF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RAID即建即用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RAID创建后可以直接使用，无需等待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集群服务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支持N+M集群功能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抽帧存储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支持抽帧存储功能，支持时间及抽帧率可设定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IPSAN功能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支持逻辑卷的动态在线扩展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IPSAN模式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支持IPSAN直存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RAID写同步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支持RAID写同步技术,确保数据安全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RAID重建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支持动态调整RAID重建速度，保证系统负载均衡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断网续传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支持前端断网时间段内SD卡中的录像回传到设备中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流媒体协议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Onvif</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GB28181等接入协议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网口特性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支持负载均衡、容错等网口绑定模式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录像回放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支持WEB端录像回放； 支持录像秒级检索； 回放速度可调节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一键RAID功能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支持一键快速创建RAID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视频流模式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支持视频流直存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前智能接入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支持MPEG4、MJPEG、H.264、H.265、SVAC编码格式的前端网络摄像机接入 支持双目、三目、热成像、守望者系列等前端网络摄像机接入 支持前智能人脸检测、人体检测、通用行为分析、车辆检测</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3C1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512路36槽位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0F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76B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3D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EEA71">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21E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CD2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2D0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工业级嵌入式微控制器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嵌入式Linux操作系统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WEB、本地GUI多路回放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最大支持8路回放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录像方式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录像方式和优先级：手动录像&gt;报警录像&gt;动态检测录像&gt;定时录像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本机硬盘、网络等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备份方式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硬盘、外接USB存储设备</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394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D41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75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651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3088">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C4E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F8C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10D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容量为8TB，‌转速为5400rpm，‌缓存容量为256MB，‌硬盘尺寸为3.5英寸，‌接口标准为S-ATA III</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40A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072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939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r>
      <w:tr w14:paraId="1863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18" w:type="dxa"/>
            <w:tcBorders>
              <w:top w:val="single" w:color="000000" w:sz="4" w:space="0"/>
              <w:left w:val="single" w:color="000000" w:sz="4" w:space="0"/>
              <w:bottom w:val="single" w:color="auto" w:sz="4" w:space="0"/>
              <w:right w:val="single" w:color="000000" w:sz="4" w:space="0"/>
            </w:tcBorders>
            <w:shd w:val="clear" w:color="auto" w:fill="auto"/>
            <w:vAlign w:val="center"/>
          </w:tcPr>
          <w:p w14:paraId="053C522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职教中心</w:t>
            </w:r>
          </w:p>
        </w:tc>
        <w:tc>
          <w:tcPr>
            <w:tcW w:w="714" w:type="dxa"/>
            <w:tcBorders>
              <w:top w:val="single" w:color="000000" w:sz="4" w:space="0"/>
              <w:left w:val="single" w:color="000000" w:sz="4" w:space="0"/>
              <w:bottom w:val="single" w:color="auto" w:sz="4" w:space="0"/>
              <w:right w:val="single" w:color="000000" w:sz="4" w:space="0"/>
            </w:tcBorders>
            <w:shd w:val="clear" w:color="auto" w:fill="auto"/>
            <w:vAlign w:val="center"/>
          </w:tcPr>
          <w:p w14:paraId="70D5A10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auto" w:sz="4" w:space="0"/>
              <w:right w:val="single" w:color="000000" w:sz="4" w:space="0"/>
            </w:tcBorders>
            <w:shd w:val="clear" w:color="auto" w:fill="auto"/>
            <w:vAlign w:val="center"/>
          </w:tcPr>
          <w:p w14:paraId="6E177A7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8454" w:type="dxa"/>
            <w:tcBorders>
              <w:top w:val="single" w:color="000000" w:sz="4" w:space="0"/>
              <w:left w:val="single" w:color="000000" w:sz="4" w:space="0"/>
              <w:bottom w:val="single" w:color="auto" w:sz="4" w:space="0"/>
              <w:right w:val="single" w:color="000000" w:sz="4" w:space="0"/>
            </w:tcBorders>
            <w:shd w:val="clear" w:color="auto" w:fill="auto"/>
            <w:vAlign w:val="center"/>
          </w:tcPr>
          <w:p w14:paraId="0D071FD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企业级硬盘 12T 256MB 7200RPM CMR垂直 SATA（需支持DS-A80624S）</w:t>
            </w:r>
          </w:p>
          <w:p w14:paraId="21779FBC">
            <w:pPr>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default" w:eastAsia="宋体"/>
                <w:sz w:val="21"/>
                <w:szCs w:val="21"/>
                <w:lang w:val="en-US" w:eastAsia="zh-CN"/>
              </w:rPr>
            </w:pPr>
            <w:r>
              <w:rPr>
                <w:rFonts w:hint="eastAsia"/>
                <w:sz w:val="21"/>
                <w:szCs w:val="21"/>
                <w:lang w:val="en-US" w:eastAsia="zh-CN"/>
              </w:rPr>
              <w:t xml:space="preserve">12T容量 </w:t>
            </w:r>
          </w:p>
        </w:tc>
        <w:tc>
          <w:tcPr>
            <w:tcW w:w="1923" w:type="dxa"/>
            <w:tcBorders>
              <w:top w:val="single" w:color="000000" w:sz="4" w:space="0"/>
              <w:left w:val="single" w:color="000000" w:sz="4" w:space="0"/>
              <w:bottom w:val="single" w:color="auto" w:sz="4" w:space="0"/>
              <w:right w:val="single" w:color="000000" w:sz="4" w:space="0"/>
            </w:tcBorders>
            <w:shd w:val="clear" w:color="auto" w:fill="auto"/>
            <w:vAlign w:val="center"/>
          </w:tcPr>
          <w:p w14:paraId="786C29E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T容量</w:t>
            </w:r>
          </w:p>
        </w:tc>
        <w:tc>
          <w:tcPr>
            <w:tcW w:w="832" w:type="dxa"/>
            <w:tcBorders>
              <w:top w:val="single" w:color="000000" w:sz="4" w:space="0"/>
              <w:left w:val="single" w:color="000000" w:sz="4" w:space="0"/>
              <w:bottom w:val="single" w:color="auto" w:sz="4" w:space="0"/>
              <w:right w:val="single" w:color="000000" w:sz="4" w:space="0"/>
            </w:tcBorders>
            <w:shd w:val="clear" w:color="auto" w:fill="auto"/>
            <w:vAlign w:val="center"/>
          </w:tcPr>
          <w:p w14:paraId="0247B79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auto" w:sz="4" w:space="0"/>
              <w:right w:val="single" w:color="000000" w:sz="4" w:space="0"/>
            </w:tcBorders>
            <w:shd w:val="clear" w:color="auto" w:fill="auto"/>
            <w:vAlign w:val="center"/>
          </w:tcPr>
          <w:p w14:paraId="6EDC4E3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r>
      <w:tr w14:paraId="0C0F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53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0770064">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b/>
                <w:bCs/>
                <w:i w:val="0"/>
                <w:iCs w:val="0"/>
                <w:color w:val="171A1D"/>
                <w:sz w:val="21"/>
                <w:szCs w:val="21"/>
                <w:u w:val="none"/>
              </w:rPr>
            </w:pPr>
            <w:r>
              <w:rPr>
                <w:rFonts w:hint="eastAsia" w:ascii="宋体" w:hAnsi="宋体" w:eastAsia="宋体" w:cs="宋体"/>
                <w:b/>
                <w:bCs/>
                <w:i w:val="0"/>
                <w:iCs w:val="0"/>
                <w:color w:val="171A1D"/>
                <w:kern w:val="0"/>
                <w:sz w:val="21"/>
                <w:szCs w:val="21"/>
                <w:u w:val="none"/>
                <w:lang w:val="en-US" w:eastAsia="zh-CN" w:bidi="ar"/>
              </w:rPr>
              <w:t>义务段（初中、小学）</w:t>
            </w:r>
          </w:p>
        </w:tc>
      </w:tr>
      <w:tr w14:paraId="54F4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1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08F27D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龙山中学</w:t>
            </w:r>
          </w:p>
        </w:tc>
        <w:tc>
          <w:tcPr>
            <w:tcW w:w="714" w:type="dxa"/>
            <w:tcBorders>
              <w:top w:val="single" w:color="auto" w:sz="4" w:space="0"/>
              <w:left w:val="single" w:color="000000" w:sz="4" w:space="0"/>
              <w:bottom w:val="single" w:color="auto" w:sz="4" w:space="0"/>
              <w:right w:val="single" w:color="000000" w:sz="4" w:space="0"/>
            </w:tcBorders>
            <w:shd w:val="clear" w:color="auto" w:fill="auto"/>
            <w:vAlign w:val="center"/>
          </w:tcPr>
          <w:p w14:paraId="35E2FE6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auto" w:sz="4" w:space="0"/>
              <w:left w:val="single" w:color="000000" w:sz="4" w:space="0"/>
              <w:bottom w:val="single" w:color="auto" w:sz="4" w:space="0"/>
              <w:right w:val="single" w:color="000000" w:sz="4" w:space="0"/>
            </w:tcBorders>
            <w:shd w:val="clear" w:color="auto" w:fill="auto"/>
            <w:vAlign w:val="center"/>
          </w:tcPr>
          <w:p w14:paraId="39AF0BB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auto" w:sz="4" w:space="0"/>
              <w:left w:val="single" w:color="000000" w:sz="4" w:space="0"/>
              <w:bottom w:val="single" w:color="auto" w:sz="4" w:space="0"/>
              <w:right w:val="single" w:color="000000" w:sz="4" w:space="0"/>
            </w:tcBorders>
            <w:shd w:val="clear" w:color="auto" w:fill="auto"/>
            <w:vAlign w:val="center"/>
          </w:tcPr>
          <w:p w14:paraId="3E80FAC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auto" w:sz="4" w:space="0"/>
              <w:left w:val="single" w:color="000000" w:sz="4" w:space="0"/>
              <w:bottom w:val="single" w:color="auto" w:sz="4" w:space="0"/>
              <w:right w:val="single" w:color="000000" w:sz="4" w:space="0"/>
            </w:tcBorders>
            <w:shd w:val="clear" w:color="auto" w:fill="auto"/>
            <w:vAlign w:val="center"/>
          </w:tcPr>
          <w:p w14:paraId="401428B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auto" w:sz="4" w:space="0"/>
              <w:left w:val="single" w:color="000000" w:sz="4" w:space="0"/>
              <w:bottom w:val="single" w:color="auto" w:sz="4" w:space="0"/>
              <w:right w:val="single" w:color="000000" w:sz="4" w:space="0"/>
            </w:tcBorders>
            <w:shd w:val="clear" w:color="auto" w:fill="auto"/>
            <w:vAlign w:val="center"/>
          </w:tcPr>
          <w:p w14:paraId="100ED33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auto" w:sz="4" w:space="0"/>
              <w:left w:val="single" w:color="000000" w:sz="4" w:space="0"/>
              <w:bottom w:val="single" w:color="auto" w:sz="4" w:space="0"/>
              <w:right w:val="single" w:color="000000" w:sz="4" w:space="0"/>
            </w:tcBorders>
            <w:shd w:val="clear" w:color="auto" w:fill="auto"/>
            <w:vAlign w:val="center"/>
          </w:tcPr>
          <w:p w14:paraId="4358556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993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1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03F7352">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auto" w:sz="4" w:space="0"/>
              <w:left w:val="single" w:color="000000" w:sz="4" w:space="0"/>
              <w:bottom w:val="single" w:color="000000" w:sz="4" w:space="0"/>
              <w:right w:val="single" w:color="000000" w:sz="4" w:space="0"/>
            </w:tcBorders>
            <w:shd w:val="clear" w:color="auto" w:fill="auto"/>
            <w:vAlign w:val="center"/>
          </w:tcPr>
          <w:p w14:paraId="4103E94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auto" w:sz="4" w:space="0"/>
              <w:left w:val="single" w:color="000000" w:sz="4" w:space="0"/>
              <w:bottom w:val="single" w:color="000000" w:sz="4" w:space="0"/>
              <w:right w:val="single" w:color="000000" w:sz="4" w:space="0"/>
            </w:tcBorders>
            <w:shd w:val="clear" w:color="auto" w:fill="auto"/>
            <w:vAlign w:val="center"/>
          </w:tcPr>
          <w:p w14:paraId="6F7A180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auto" w:sz="4" w:space="0"/>
              <w:left w:val="single" w:color="000000" w:sz="4" w:space="0"/>
              <w:bottom w:val="single" w:color="000000" w:sz="4" w:space="0"/>
              <w:right w:val="single" w:color="000000" w:sz="4" w:space="0"/>
            </w:tcBorders>
            <w:shd w:val="clear" w:color="auto" w:fill="auto"/>
            <w:vAlign w:val="center"/>
          </w:tcPr>
          <w:p w14:paraId="6D98553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容量为8TB，‌转速为5400rpm，‌缓存容量为256MB，‌硬盘尺寸为3.5英寸，‌接口标准为S-ATA III</w:t>
            </w:r>
          </w:p>
        </w:tc>
        <w:tc>
          <w:tcPr>
            <w:tcW w:w="1923" w:type="dxa"/>
            <w:tcBorders>
              <w:top w:val="single" w:color="auto" w:sz="4" w:space="0"/>
              <w:left w:val="single" w:color="000000" w:sz="4" w:space="0"/>
              <w:bottom w:val="single" w:color="000000" w:sz="4" w:space="0"/>
              <w:right w:val="single" w:color="000000" w:sz="4" w:space="0"/>
            </w:tcBorders>
            <w:shd w:val="clear" w:color="auto" w:fill="auto"/>
            <w:vAlign w:val="center"/>
          </w:tcPr>
          <w:p w14:paraId="317F919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auto" w:sz="4" w:space="0"/>
              <w:left w:val="single" w:color="000000" w:sz="4" w:space="0"/>
              <w:bottom w:val="single" w:color="000000" w:sz="4" w:space="0"/>
              <w:right w:val="single" w:color="000000" w:sz="4" w:space="0"/>
            </w:tcBorders>
            <w:shd w:val="clear" w:color="auto" w:fill="auto"/>
            <w:vAlign w:val="center"/>
          </w:tcPr>
          <w:p w14:paraId="7BD0820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auto" w:sz="4" w:space="0"/>
              <w:left w:val="single" w:color="000000" w:sz="4" w:space="0"/>
              <w:bottom w:val="single" w:color="000000" w:sz="4" w:space="0"/>
              <w:right w:val="single" w:color="000000" w:sz="4" w:space="0"/>
            </w:tcBorders>
            <w:shd w:val="clear" w:color="auto" w:fill="auto"/>
            <w:vAlign w:val="center"/>
          </w:tcPr>
          <w:p w14:paraId="0C39C35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47DF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3BE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56F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043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磁盘阵列存储(含24块8T企业级硬盘)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66D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规格：24盘位机架式磁盘阵列；1024Mbps接入带宽，2个千兆数据网口；支持视频流和图片、视频文件进行混合直写存储；4U24盘位，机架式、冗余电源、支持SATA硬盘；64位多核处理器，4GB高速缓存(可扩展到32GB)；24块8T企业级硬盘；支持RAID 0、1、3、5、6、10、50，60、JBOD模式；网络协议:RTSP/ONVIF/PSIA/SIP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(GB/T28181)】</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8A1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3C5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4CE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716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9"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0EEC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古城中学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DB1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E11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A99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可接驳符合 ONVIF、RTSP 标准及众多主流厂商的网络摄像机；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支持H.265、Smart265、H.264、Smart264编码的前端设备自适应接入；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支持最大网络接入带宽400Mbps，最大支持1200万像素高清网络视频的预览、存储与回放；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支持热成像相机的接入、存储、报警；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解码性能强劲，支持16路1080P解码；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支持2个HDMI与1个VGA同时输出，其中HDMI1与HDMI2异源，HDMI1与VGA1同源，HDMI1支持 4K 高清分辨率输出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支持16个SATA接口，最大支持满配12T硬盘；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支持硬盘配额和硬盘盘组两种存储模式，可对不同通道分配不同的 录像保存容量或周期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支持IP设备集中管理，包括IP设备参数配置、信息的导入/导出和升级等功能；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支持智能搜索、回放及备份功能，有效提高录像检索与回放效率；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支持最大16路多路同步回放；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支持萤石云服务及本地萤石云解绑，可实现手机远程预览回放；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支持萤石、ISUP5.0、GB28181-2016协议上平台，国标协议和ISUP或者国标协议和萤石可以同时开启；</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FFE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32路16槽位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096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2BB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E20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4AAC3">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97A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FD3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DF8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单盘容量：16TB；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缓存：256MB；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转速：5400RPM；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硬盘接口：SATA</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5CD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154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71E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471B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820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雉城中学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E5A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A4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99C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支持最大网络接入带宽400Mbps，最大支持1200万像素高清网络视频的预览、存储与回放；</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2C1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B91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6CE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497F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8C95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和平中学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2E3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7EF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122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可接驳符合 ONVIF、RTSP 标准及众多主流厂商的网络摄像机；</w:t>
            </w:r>
          </w:p>
          <w:p w14:paraId="741F513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支持H.265、Smart265、H.264、Smart264编码的前端设备自适应接入；</w:t>
            </w:r>
          </w:p>
          <w:p w14:paraId="3603885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支持最大网络接入带宽400Mbps，最大支持1200万像素高清网络视频的预览、存储与回放；</w:t>
            </w:r>
          </w:p>
          <w:p w14:paraId="2084EDB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支持热成像相机的接入、存储、报警；</w:t>
            </w:r>
          </w:p>
          <w:p w14:paraId="20E84FF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解码性能强劲，支持16路1080P解码；</w:t>
            </w:r>
          </w:p>
          <w:p w14:paraId="3D8D1E2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支持2个HDMI与1个VGA同时输出，其中HDMI1与HDMI2异源，HDMI1与VGA1同源，HDMI1支持 4K 高清分辨率输出</w:t>
            </w:r>
          </w:p>
          <w:p w14:paraId="36CBCC8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支持16个SATA接口，最大支持满配12T硬盘；</w:t>
            </w:r>
          </w:p>
          <w:p w14:paraId="6367C72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支持硬盘配额和硬盘盘组两种存储模式，可对不同通道分配不同的 录像保存容量或周期</w:t>
            </w:r>
          </w:p>
          <w:p w14:paraId="399FACE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支持IP设备集中管理，包括IP设备参数配置、信息的导入/导出和升级等功能；</w:t>
            </w:r>
          </w:p>
          <w:p w14:paraId="55BF107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支持智能搜索、回放及备份功能，有效提高录像检索与回放效率；</w:t>
            </w:r>
          </w:p>
          <w:p w14:paraId="5324507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支持最大16路多路同步回放；</w:t>
            </w:r>
          </w:p>
          <w:p w14:paraId="7CA3640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支持萤石云服务及本地萤石云解绑，可实现手机远程预览回放；</w:t>
            </w:r>
          </w:p>
          <w:p w14:paraId="62A383F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支持萤石、ISUP5.0、GB28181-2016协议上平台，国标协议和ISUP或者国标协议和萤石可以同时开启；</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AEC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32路16槽位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96F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234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F5C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42E9">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3BF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E74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185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单盘容量：16TB；</w:t>
            </w:r>
          </w:p>
          <w:p w14:paraId="758C718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缓存：256MB；</w:t>
            </w:r>
          </w:p>
          <w:p w14:paraId="2E71F9D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sz w:val="21"/>
                <w:szCs w:val="21"/>
              </w:rPr>
            </w:pPr>
            <w:r>
              <w:rPr>
                <w:rFonts w:hint="eastAsia"/>
                <w:sz w:val="21"/>
                <w:szCs w:val="21"/>
              </w:rPr>
              <w:t>转速：5400RPM；</w:t>
            </w:r>
          </w:p>
          <w:p w14:paraId="54EE91A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sz w:val="21"/>
                <w:szCs w:val="21"/>
              </w:rPr>
              <w:t>硬盘接口：SATA</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71A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0C4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5BD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735B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7ED4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洪桥中学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EAE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E29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247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支持2个HDMI与1个VGA同时输出，其中HDMI1与HDMI2异源，HDMI1与VGA1同源，HDMI1支持 4K 高清分辨率输出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744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238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5CC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3FDA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8142">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501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FF4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08C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支持16个SATA接口，最大支持满配12T硬盘；</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E53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BD1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548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r>
      <w:tr w14:paraId="3DADD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AA8E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泗安中学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E08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04D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0EA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可接驳符合 ONVIF、RTSP 标准及众多主流厂商的网络摄像机；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支持H.265、Smart265、H.264、Smart264编码的前端设备自适应接入；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支持最大网络接入带宽400Mbps，最大支持1200万像素高清网络视频的预览、存储与回放；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支持热成像相机的接入、存储、报警；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解码性能强劲，支持16路1080P解码；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支持2个HDMI与1个VGA同时输出，其中HDMI1与HDMI2异源，HDMI1与VGA1同源，HDMI1支持 4K 高清分辨率输出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支持16个SATA接口，最大支持满配12T硬盘；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支持硬盘配额和硬盘盘组两种存储模式，可对不同通道分配不同的 录像保存容量或周期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支持IP设备集中管理，包括IP设备参数配置、信息的导入/导出和升级等功能；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支持智能搜索、回放及备份功能，有效提高录像检索与回放效率；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支持最大16路多路同步回放；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支持萤石云服务及本地萤石云解绑，可实现手机远程预览回放；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支持萤石、ISUP5.0、GB28181-2016协议上平台，国标协议和ISUP或者国标协议和萤石可以同时开启；</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C57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32路16槽位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42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F19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E64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39F4D">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A3D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5CF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943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单盘容量：16TB；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缓存：256MB；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转速：5400RPM；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硬盘接口：SATA</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7AF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166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496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37DC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2B70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实验小学</w:t>
            </w:r>
          </w:p>
          <w:p w14:paraId="27BF56E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金陵校区</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F21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BE0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9E0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3U机架式16盘位嵌入式网络硬盘录像机，采用短机箱设计，搭载高性能ATX电源</w:t>
            </w:r>
          </w:p>
          <w:p w14:paraId="0386F1F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【硬件规格】</w:t>
            </w:r>
          </w:p>
          <w:p w14:paraId="25F2A4E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存储接口：16个SATA接口，可满配8TB硬盘</w:t>
            </w:r>
          </w:p>
          <w:p w14:paraId="0A418F3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视频接口：2×HDMI，2×VGA</w:t>
            </w:r>
          </w:p>
          <w:p w14:paraId="2078A0D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网络接口：2×RJ45 10/100/1000Mbps自适应以太网口</w:t>
            </w:r>
          </w:p>
          <w:p w14:paraId="47451A3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报警接口：16路报警输入，9路报警输出（其中第9路支持CTRL 12V）</w:t>
            </w:r>
          </w:p>
          <w:p w14:paraId="4BC5899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反向供电：1路DC12V 1A</w:t>
            </w:r>
          </w:p>
          <w:p w14:paraId="78ADDC9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串行接口：1路RS-232接口，1路半双工RS-485接口</w:t>
            </w:r>
          </w:p>
          <w:p w14:paraId="2B49C78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USB接口：2×USB 2.0，2×USB 3.0</w:t>
            </w:r>
          </w:p>
          <w:p w14:paraId="3E95F8B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【产品性能】</w:t>
            </w:r>
          </w:p>
          <w:p w14:paraId="7E606E5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输入带宽：256Mbps</w:t>
            </w:r>
          </w:p>
          <w:p w14:paraId="54F81FB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输出带宽：256Mbps</w:t>
            </w:r>
          </w:p>
          <w:p w14:paraId="612DA85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接入能力：32路H.264、H.265格式高清码流接入</w:t>
            </w:r>
          </w:p>
          <w:p w14:paraId="0423462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解码能力：最大支持12×1080P</w:t>
            </w:r>
          </w:p>
          <w:p w14:paraId="1B11F4A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C30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32路16槽位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29F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F34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199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A5AB8">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254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02F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5FB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DS80HKVS-VH1</w:t>
            </w:r>
          </w:p>
          <w:p w14:paraId="54D50A5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8TB容量，3.5英寸 SATA 3.0接口，7200RPM</w:t>
            </w:r>
          </w:p>
          <w:p w14:paraId="461F87B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单硬盘支持多达32个摄像头的高清流</w:t>
            </w:r>
          </w:p>
          <w:p w14:paraId="3BEC0D8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高达256MB缓冲区，流畅存储视频有效防止丢帧</w:t>
            </w:r>
          </w:p>
          <w:p w14:paraId="12970C2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24×7全天候高效稳定运行</w:t>
            </w:r>
          </w:p>
          <w:p w14:paraId="4A0DD2E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年度工作负载等级为300TB/年</w:t>
            </w:r>
          </w:p>
          <w:p w14:paraId="35F0F70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MTBF可达1,000,000小时</w:t>
            </w:r>
          </w:p>
          <w:p w14:paraId="272F927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50C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C9B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4F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1225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7B1F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实验小学</w:t>
            </w:r>
          </w:p>
          <w:p w14:paraId="5D01B20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龙山校区</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977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9CC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磁盘阵列</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A09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sz w:val="21"/>
                <w:szCs w:val="21"/>
              </w:rPr>
              <w:t>机架式/8U 48盘位/520路（1040Mbps带宽）接入/企业级SATA硬盘/64位多核处理器/4GB缓存（可扩展至64GB）/2个千兆数据网口（可扩展2千兆网口或2万兆光口）/1个千兆管理网口/冗余电源/网络协议：RTSP/ONVIF/PSIA/（GB/T28181）</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810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48排位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EBA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35D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E99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57669">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7D0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30A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57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HK7216AH</w:t>
            </w:r>
          </w:p>
          <w:p w14:paraId="29DD93E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16TB容量，3.5英寸，SATA3.0接口，7200RPM</w:t>
            </w:r>
          </w:p>
          <w:p w14:paraId="2B5DE5A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氦气盘， CMR传统磁记录 </w:t>
            </w:r>
          </w:p>
          <w:p w14:paraId="59B58B9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传输速率270 MB/s，流畅存储视频有效防止丢帧</w:t>
            </w:r>
          </w:p>
          <w:p w14:paraId="52EE0A1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MTBF可达2,500,000小时</w:t>
            </w:r>
          </w:p>
          <w:p w14:paraId="5540DE0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p w14:paraId="0866AEF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满足数据严苛的7*24小时运行可靠性、安全性的需求</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116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941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7C6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0C58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6BD5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实验二小</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E5A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D62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6C7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硬盘录像机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可接驳符合 ONVIF、RTSP 标准及众多主流厂商的网络摄像机；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支持H.265、Smart265、H.264、Smart264编码的前端设备自适应接入；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支持最大网络接入带宽400Mbps，最大支持1200万像素高清网络视频的预览、存储与回放；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支持热成像相机的接入、存储、报警；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解码性能强劲，支持16路1080P解码；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支持2个HDMI与1个VGA同时输出，其中HDMI1与HDMI2异源，HDMI1与VGA1同源，HDMI1支持 4K 高清分辨率输出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支持16个SATA接口，最大支持满配12T硬盘；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支持硬盘配额和硬盘盘组两种存储模式，可对不同通道分配不同的 录像保存容量或周期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支持IP设备集中管理，包括IP设备参数配置、信息的导入/导出和升级等功能；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支持智能搜索、回放及备份功能，有效提高录像检索与回放效率；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支持最大16路多路同步回放；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支持萤石云服务及本地萤石云解绑，可实现手机远程预览回放；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支持萤石、ISUP5.0、GB28181-2016协议上平台，国标协议和ISUP或者国标协议和萤石可以同时开启</w:t>
            </w:r>
            <w:r>
              <w:rPr>
                <w:rFonts w:hint="eastAsia" w:cs="宋体"/>
                <w:i w:val="0"/>
                <w:iCs w:val="0"/>
                <w:color w:val="000000"/>
                <w:kern w:val="0"/>
                <w:sz w:val="21"/>
                <w:szCs w:val="21"/>
                <w:u w:val="none"/>
                <w:lang w:val="en-US" w:eastAsia="zh-CN" w:bidi="ar"/>
              </w:rPr>
              <w:t>。</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56A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32路16槽位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3BC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069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F9C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3A02C">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007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6A0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38B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单盘容量：16TB；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缓存：256MB；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转速：5400RPM；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硬盘接口：SATA</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C08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A80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11E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292E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532B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长兴一小（县前街）</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D08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BD0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D3A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267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346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DFC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C9E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5A1BC">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B48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C7C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E86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单盘容量：8TB；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缓存：256MB；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转速：5400RPM；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硬盘接口：SATA</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8F1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C2A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2D9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0DD2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4876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长兴一小（双拥路）</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647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EDB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5B8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86D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043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7E6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10A5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CBB3">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1F2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62C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8DA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单盘容量：8TB；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缓存：256MB；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转速：5400RPM；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硬盘接口：SATA</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E8C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23A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EE7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14:paraId="4B9AB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F850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长兴第二</w:t>
            </w:r>
          </w:p>
          <w:p w14:paraId="4AB6D04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D4F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352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存储服务器</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F50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规格：24盘位机架式磁盘阵列；1024Mbps接入带宽，2个千兆数据网口；支持视频流和图片、视频文件进行混合直写存储；4U24盘位，机架式、冗余电源、支持SATA硬盘；64位多核处理器，4GB高速缓存(可扩展到32GB)；支持RAID 0、1、3、5、6、10、50，60、JBOD模式；</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A33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24盘位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E8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CF8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39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DF802">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732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6C2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7FC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单盘容量：16TB；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缓存：256MB；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转速：5400RPM；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硬盘接口：SATA</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A6E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959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3AB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5745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9434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长兴四小</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C37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D15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473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7B7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4EC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C8A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A66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A0CF">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44F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F79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6E7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6AC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C40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0A5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27D6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403E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长兴二小</w:t>
            </w:r>
          </w:p>
          <w:p w14:paraId="6276D2D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城东校区</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791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BB3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8F0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可接驳符合 ONVIF、RTSP 标准及众多主流厂商的网络摄像机；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支持H.265、Smart265、H.264、Smart264编码的前端设备自适应接入；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支持最大网络接入带宽400Mbps，最大支持1200万像素高清网络视频的预览、存储与回放；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支持热成像相机的接入、存储、报警；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解码性能强劲，支持16路1080P解码；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支持2个HDMI与1个VGA同时输出，其中HDMI1与HDMI2异源，HDMI1与VGA1同源，HDMI1支持 4K 高清分辨率输出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支持16个SATA接口，最大支持满配12T硬盘；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支持硬盘配额和硬盘盘组两种存储模式，可对不同通道分配不同的 录像保存容量或周期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支持IP设备集中管理，包括IP设备参数配置、信息的导入/导出和升级等功能；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支持智能搜索、回放及备份功能，有效提高录像检索与回放效率；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支持最大16路多路同步回放；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支持萤石云服务及本地萤石云解绑，可实现手机远程预览回放；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支持萤石、ISUP5.0、GB28181-2016协议上平台，国标协议和ISUP或者国标协议和萤石可以同时开启；</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BEB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32路16槽位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1D5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FF2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607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59731">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403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A3B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4D9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F32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939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081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F6F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7B8EC">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82A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0AA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21F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单盘容量：8TB；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缓存：256MB；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转速：5400RPM；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硬盘接口：SATA</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26A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7D0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F8E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9BA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9F4C7">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B1F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779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F24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单盘容量：16TB；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缓存：256MB；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转速：5400RPM；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硬盘接口：SATA</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3B3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320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E81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04A9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B9F2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实验小学</w:t>
            </w:r>
          </w:p>
          <w:p w14:paraId="1B0C1C9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滨海校区</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B0D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9AB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717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3U机架式16盘位嵌入式网络硬盘录像机，采用短机箱设计，搭载高性能ATX电源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存储接口：16个SATA接口，可满配8TB硬盘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报警接口：16路报警输入，9路报警输出（其中第9路支持CTRL 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反向供电：1路DC12V 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2.0，2×USB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输入带宽：320Mbps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接入能力：64路H.264、H.265格式高清码流接入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373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64路16槽位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FAE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246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1EE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A9726">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657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5FF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99C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E9A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76C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63D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3C15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B79B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长兴二小</w:t>
            </w:r>
          </w:p>
          <w:p w14:paraId="571B52A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白溪校区</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45D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915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26D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450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393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CB8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D18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B7E71">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4C0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00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D43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6AA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AD8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AC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0FF1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862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煤山小学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B9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62B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DB1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F68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AC5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BA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15A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6D9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35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5B5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D3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0A3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B58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9B4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1386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B8C0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洪桥小学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F70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0C3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58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8D3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A2E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1B3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2FA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0783F">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CEB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349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22B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17A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D05E">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8F8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2240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DD18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泗安小学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3FC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60E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487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C42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194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5C1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008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9E40B">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A2E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CDB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15A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FC1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E5C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94E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A8A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D82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李家巷小学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ACF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679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监控级</w:t>
            </w:r>
            <w:r>
              <w:rPr>
                <w:rFonts w:hint="eastAsia" w:ascii="宋体" w:hAnsi="宋体" w:eastAsia="宋体" w:cs="宋体"/>
                <w:i w:val="0"/>
                <w:iCs w:val="0"/>
                <w:color w:val="000000"/>
                <w:kern w:val="0"/>
                <w:sz w:val="21"/>
                <w:szCs w:val="21"/>
                <w:u w:val="none"/>
                <w:lang w:val="en-US" w:eastAsia="zh-CN" w:bidi="ar"/>
              </w:rPr>
              <w:t>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88C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2E4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CAA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32F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32</w:t>
            </w:r>
          </w:p>
        </w:tc>
      </w:tr>
      <w:tr w14:paraId="3BDF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56F1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夹浦小学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8F7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098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20B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3U机架式16盘位嵌入式网络硬盘录像机，采用短机箱设计，搭载高性能ATX电源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存储接口：16个SATA接口，可满配8TB硬盘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报警接口：16路报警输入，9路报警输出（其中第9路支持CTRL 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反向供电：1路DC12V 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2.0，2×USB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输入带宽：320Mbps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接入能力：64路H.264、H.265格式高清码流接入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2E2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64路16槽位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B6E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CB8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2CD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9146A">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BDF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29B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778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DB3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D2C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B52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2A6A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B09B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虹星桥小学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EA3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5C0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401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B8C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30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0AA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FD8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F6F08">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88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FFA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0D5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E31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A0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A3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732B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C857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小浦小学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728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557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08E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存储接口：8个SATA接口，可满配8TB硬盘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2.0，1×USB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输出带宽：160Mbps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D63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D2F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CF2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640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8B7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D8D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42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监控级</w:t>
            </w:r>
            <w:r>
              <w:rPr>
                <w:rFonts w:hint="eastAsia" w:ascii="宋体" w:hAnsi="宋体" w:eastAsia="宋体" w:cs="宋体"/>
                <w:i w:val="0"/>
                <w:iCs w:val="0"/>
                <w:color w:val="000000"/>
                <w:kern w:val="0"/>
                <w:sz w:val="21"/>
                <w:szCs w:val="21"/>
                <w:u w:val="none"/>
                <w:lang w:val="en-US" w:eastAsia="zh-CN" w:bidi="ar"/>
              </w:rPr>
              <w:t>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847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 SATA 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年度工作负载等级为300TB/年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E42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22F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413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44E6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EC37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林城中心</w:t>
            </w:r>
          </w:p>
          <w:p w14:paraId="01EDD49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87E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A98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786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H.264、Smart264编码的前端设备自适应接入；</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235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32路16槽位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5C0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A09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24E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8372D">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6A4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46D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C50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支持最大网络接入带宽400Mbps，最大支持1200万像素高清网络视频的预览、存储与回放；</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33C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6BDE">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DB9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3279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61399">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1E5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E20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87C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支持热成像相机的接入、存储、报警；</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18C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199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5EA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08F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1E4C">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DE5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182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A65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解码性能强劲，支持16路1080P解码；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3BC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131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A1D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4DA5E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96B8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和平小学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51F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40E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50F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3U机架式16盘位嵌入式网络硬盘录像机，采用短机箱设计，搭载高性能ATX电源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存储接口：16个SATA接口，可满配8TB硬盘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视频接口：2×HDMI，2×VGA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报警接口：16路报警输入，9路报警输出（其中第9路支持CTRL 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反向供电：1路DC12V 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串行接口：1路RS-232接口，1路半双工RS-485接口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2.0，2×USB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输入带宽：320Mbps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接入能力：64路H.264、H.265格式高清码流接入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解码能力：最大支持12×1080P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显示能力：最大支持4K+1080P异源输出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B3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64路16槽位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4E8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4DB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5D3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1B58E">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0AC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3C1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99F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Style w:val="215"/>
                <w:rFonts w:hint="eastAsia" w:ascii="宋体" w:hAnsi="宋体" w:eastAsia="宋体" w:cs="宋体"/>
                <w:sz w:val="21"/>
                <w:szCs w:val="21"/>
                <w:lang w:val="en-US" w:eastAsia="zh-CN" w:bidi="ar"/>
              </w:rPr>
              <w:t>8TB容量，3.5英寸 SATA 3.0接口，7200RPM</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单硬盘支持多达32个摄像头的高清流</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高达256MB缓冲区，流畅存储视频有效防止丢帧</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24×7全天候高效稳定运行</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年度工作负载等级为300TB/年</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MTBF可达1,000,000小时</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高级格式（AF）512e扇区技术，保障硬盘扇区4K对齐</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E1BD">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B9DC">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27D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0482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211F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泗安实验</w:t>
            </w:r>
          </w:p>
          <w:p w14:paraId="73DFE332">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小学</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D0E6">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32F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磁盘阵列</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F08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Style w:val="215"/>
                <w:rFonts w:hint="eastAsia" w:ascii="宋体" w:hAnsi="宋体" w:eastAsia="宋体" w:cs="宋体"/>
                <w:sz w:val="21"/>
                <w:szCs w:val="21"/>
                <w:lang w:val="en-US" w:eastAsia="zh-CN" w:bidi="ar"/>
              </w:rPr>
              <w:t>机架式/8U 48盘位/520路（1040Mbps带宽）接入/企业级SATA硬盘/64位多核处理器/4GB缓存（可扩展至64GB）/2个千兆数据网口（可扩展2千兆网口或2万兆光口）/1个千兆管理网口/冗余电源/网络协议：RTSP/ONVIF/PSIA/（GB/T28181）</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619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48排位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577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F688">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50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1FE5E">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auto" w:sz="4" w:space="0"/>
              <w:right w:val="single" w:color="000000" w:sz="4" w:space="0"/>
            </w:tcBorders>
            <w:shd w:val="clear" w:color="auto" w:fill="auto"/>
            <w:vAlign w:val="center"/>
          </w:tcPr>
          <w:p w14:paraId="200544C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auto" w:sz="4" w:space="0"/>
              <w:right w:val="single" w:color="000000" w:sz="4" w:space="0"/>
            </w:tcBorders>
            <w:shd w:val="clear" w:color="auto" w:fill="auto"/>
            <w:vAlign w:val="center"/>
          </w:tcPr>
          <w:p w14:paraId="7DAB5C59">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企业级硬盘</w:t>
            </w:r>
          </w:p>
        </w:tc>
        <w:tc>
          <w:tcPr>
            <w:tcW w:w="8454" w:type="dxa"/>
            <w:tcBorders>
              <w:top w:val="single" w:color="000000" w:sz="4" w:space="0"/>
              <w:left w:val="single" w:color="000000" w:sz="4" w:space="0"/>
              <w:bottom w:val="single" w:color="auto" w:sz="4" w:space="0"/>
              <w:right w:val="single" w:color="000000" w:sz="4" w:space="0"/>
            </w:tcBorders>
            <w:shd w:val="clear" w:color="auto" w:fill="auto"/>
            <w:vAlign w:val="center"/>
          </w:tcPr>
          <w:p w14:paraId="6A169F0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8TB容量，3.5英寸，SATA3.0接口，7200RPM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空气盘， CMR传统磁记录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传输速率255 MB/s，流畅存储视频有效防止丢帧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MTBF可达2,000,000小时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满足数据严苛的7*24小时运行可靠性、安全性的需求</w:t>
            </w:r>
          </w:p>
        </w:tc>
        <w:tc>
          <w:tcPr>
            <w:tcW w:w="1923" w:type="dxa"/>
            <w:tcBorders>
              <w:top w:val="single" w:color="000000" w:sz="4" w:space="0"/>
              <w:left w:val="single" w:color="000000" w:sz="4" w:space="0"/>
              <w:bottom w:val="single" w:color="auto" w:sz="4" w:space="0"/>
              <w:right w:val="single" w:color="000000" w:sz="4" w:space="0"/>
            </w:tcBorders>
            <w:shd w:val="clear" w:color="auto" w:fill="auto"/>
            <w:vAlign w:val="center"/>
          </w:tcPr>
          <w:p w14:paraId="702497F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auto" w:sz="4" w:space="0"/>
              <w:right w:val="single" w:color="000000" w:sz="4" w:space="0"/>
            </w:tcBorders>
            <w:shd w:val="clear" w:color="auto" w:fill="auto"/>
            <w:vAlign w:val="center"/>
          </w:tcPr>
          <w:p w14:paraId="44B68094">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auto" w:sz="4" w:space="0"/>
              <w:right w:val="single" w:color="000000" w:sz="4" w:space="0"/>
            </w:tcBorders>
            <w:shd w:val="clear" w:color="auto" w:fill="auto"/>
            <w:vAlign w:val="center"/>
          </w:tcPr>
          <w:p w14:paraId="7131A62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6D2E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31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E81C279">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EABFCC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32A2F1B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解码器</w:t>
            </w:r>
          </w:p>
        </w:tc>
        <w:tc>
          <w:tcPr>
            <w:tcW w:w="8454" w:type="dxa"/>
            <w:tcBorders>
              <w:top w:val="single" w:color="auto" w:sz="4" w:space="0"/>
              <w:left w:val="single" w:color="auto" w:sz="4" w:space="0"/>
              <w:bottom w:val="single" w:color="auto" w:sz="4" w:space="0"/>
              <w:right w:val="single" w:color="auto" w:sz="4" w:space="0"/>
            </w:tcBorders>
            <w:shd w:val="clear" w:color="auto" w:fill="auto"/>
            <w:vAlign w:val="center"/>
          </w:tcPr>
          <w:p w14:paraId="2520722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Style w:val="215"/>
                <w:rFonts w:hint="eastAsia" w:ascii="宋体" w:hAnsi="宋体" w:eastAsia="宋体" w:cs="宋体"/>
                <w:sz w:val="21"/>
                <w:szCs w:val="21"/>
                <w:lang w:val="en-US" w:eastAsia="zh-CN" w:bidi="ar"/>
              </w:rPr>
              <w:t>超高清解码器</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视频输入</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支持电脑、视频会议终端等视频输入信号源，支持2路1080P@50/60 或1路4K@30，通过HDMI 1.4本地输入，HDMI可内嵌音频</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支持网络IPC、NVR等设备类型作为网络信号源输入</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视频输出</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支持HDMI 1.4视频信号输出，支持4K分辨率（3840 × 2160@30 Hz）超高清输出，输出采用帧同步技术，保证所有输出口的图像完全同步</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支持两种音频输出方式：HDMI内嵌音频和外置音频输出</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视频编解码</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采用H.264/H.265编码标准，默认采用H.265，支持子码流及主码流编码</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支持网络设备解码，支持H.264、H.265、Smart264、Smart265、MJPEG、HIK264等主流码流格式，支持PS、TS、ES、RTP等主流封装格式，支持子码流及主码流切换</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最大支持3200w分辨率解码，具有128个解码通道，支持128路200W视频同时解码上墙</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支持加密码流、多轨码流、智能码流解码；支持码流修改和切换；支持解码异常提示</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电视墙功能</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支持单面电视墙拼接、开窗、窗口跨屏漫游、场景轮巡和窗口轮巡功能，单屏支持3个1080P或2个4K图层，单窗口支持1/4/6/8/9/16/25窗口分屏功能，整机最大支持64个场景，整机支持256个平台预案轮巡组</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支持RTP\RTSP协议进行网络源预览，可通过smartwall客户端进行桌面投屏上墙</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支持电视墙界面对网络信号源云台八个方向、自动扫描、光圈、调焦、聚焦、调用预置点等操作</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支持电视墙窗口开始/停止预览、开始/停止解码、开始/停止轮巡、打开/关闭声音、置顶、置底等操作</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视频解码格式：H.264，H.265，Smart264，Smart265，MJPEG</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解码分辨率：最高3200W像素</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视频解码通道：256</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xml:space="preserve">视频解码能力：H.264/H.265：支持8路3200 W，或8路2400 W，或16路1200 W，或32路800 W，或40路600W，或64路400 W，或128路1080P，或256路720P及以下分辨率实时解码（每4个输出口一组，共享解码能力）  </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MJPEG：16路1080P及以下分辨率实时解码</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xml:space="preserve">HIK264：8路720P及以下分辨率实时解码 </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单口画面分割数：1,2,4,6,8,9,12,16,25</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xml:space="preserve">场景数量：64 </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视频输出分辨率：3840 × 2160@30 Hz、2560 × 1440@30 Hz、1920 × 1200@60 Hz、1920 × 1080@60 Hz、1920 × 1080@50 Hz、1680 × 1050@60 Hz、1600 × 1200@60 Hz、1280 × 1024@60 Hz、1280×720@60 Hz、1280×720@50 Hz、1024×768@60 Hz</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xml:space="preserve">视频输出接口类型：16路HDMI 1.4，支持4K </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视频输入分辨率：3840×2160@30Hz、1920×1200@60Hz、1920×1080@60Hz、1920×1080@50Hz、1280×720@60Hz、1280×720@50Hz、1600×1200@60Hz、1280×960@60Hz、1680×1050@60Hz、1440×900@60Hz、1366×768@60Hz、1280×1024@60Hz、1024×768@60Hz</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xml:space="preserve">视频输入接口：2路HDMI 1.4，最大支持4K（仅奇数口） </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xml:space="preserve">音频输入接口：2路HDMI内嵌 </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xml:space="preserve">音频输出接口：16路HDMI内嵌或DB15转BNC独立音频输出 </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xml:space="preserve">音频解码格式：G711-A，G711-U，G722.1，G726-16/U/A，MPEG，AAC-LC </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产品尺寸（宽x高x深）：440 mm × 88 mm × 321 mm</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净重：≤ 6.40 Kg</w:t>
            </w:r>
            <w:r>
              <w:rPr>
                <w:rStyle w:val="215"/>
                <w:rFonts w:hint="eastAsia" w:ascii="宋体" w:hAnsi="宋体" w:eastAsia="宋体" w:cs="宋体"/>
                <w:sz w:val="21"/>
                <w:szCs w:val="21"/>
                <w:lang w:val="en-US" w:eastAsia="zh-CN" w:bidi="ar"/>
              </w:rPr>
              <w:br w:type="textWrapping"/>
            </w:r>
            <w:r>
              <w:rPr>
                <w:rStyle w:val="215"/>
                <w:rFonts w:hint="eastAsia" w:ascii="宋体" w:hAnsi="宋体" w:eastAsia="宋体" w:cs="宋体"/>
                <w:sz w:val="21"/>
                <w:szCs w:val="21"/>
                <w:lang w:val="en-US" w:eastAsia="zh-CN" w:bidi="ar"/>
              </w:rPr>
              <w:t xml:space="preserve">功耗：＜150 W </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14:paraId="5F1CDEA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超高清解码器</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675F0DC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14:paraId="0E6E7AE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D85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53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F01E2B">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b/>
                <w:bCs/>
                <w:i w:val="0"/>
                <w:iCs w:val="0"/>
                <w:color w:val="171A1D"/>
                <w:sz w:val="21"/>
                <w:szCs w:val="21"/>
                <w:u w:val="none"/>
              </w:rPr>
            </w:pPr>
            <w:r>
              <w:rPr>
                <w:rFonts w:hint="eastAsia" w:ascii="宋体" w:hAnsi="宋体" w:eastAsia="宋体" w:cs="宋体"/>
                <w:b/>
                <w:bCs/>
                <w:i w:val="0"/>
                <w:iCs w:val="0"/>
                <w:color w:val="171A1D"/>
                <w:kern w:val="0"/>
                <w:sz w:val="21"/>
                <w:szCs w:val="21"/>
                <w:u w:val="none"/>
                <w:lang w:val="en-US" w:eastAsia="zh-CN" w:bidi="ar"/>
              </w:rPr>
              <w:t>公办幼儿园</w:t>
            </w:r>
          </w:p>
        </w:tc>
      </w:tr>
      <w:tr w14:paraId="142A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7C7E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龙山街道</w:t>
            </w:r>
          </w:p>
          <w:p w14:paraId="34C8B9D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AE7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6B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CE6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视频接入路数：32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网络输入带宽：256Mbps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网络输出带宽：160Mps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录像分辨率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8MP/7MP/6MP/5MP/4MP/3MP/1080p/UXGA/720p/VGA/4CIF/DCIF/2CIF/CIF/QCIF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1路HDMI，1路VGA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HDMI输出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4K（3840*2160）/30Hz, 2K（2560*1440）/60Hz，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1920*1080/60Hz，1600*1200/60Hz，1280*1024/60Hz，1280*720/60Hz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VGA输出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默认和HDMI同源，支持可配异源，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1920*1080/60Hz，1600*1200/60Hz，1280*1024/60Hz，1280*720/60Hz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CVBS输出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预览分屏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1/2/4/6/8/9/16/25/36画面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视频解码格式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H.265;H.264;Smart264;Smart265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12×1080P（开启SVC增强模式后，支持16×1080P）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同步回放：16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音频解码格式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G.711ulaw;G.711alaw;G.722;G.726;AAC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音频输出：1路，RCA接口（线性电平，阻抗：1KΩ）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语音对讲输入：1个，RCA接口（电平：2.0Vp-p，阻抗：1KΩ）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盘位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8个SATA接口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单盘容量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最大支持10TB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阵列类型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扩展存储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录像管理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录像/抓图模式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定时录像、事件录像、移动侦测录像、报警录像、动测或报警录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像、动测且报警录像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回放模式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即时回放、常规回放、事件回放、标签回放、智能回放、外部文件回放、日志回放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备份模式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常规备份、事件备份、录像剪辑备份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IPv6、UPnP（即插即用）、NTP（网络校时）、SADP（自动搜索IP 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PPPoE（拨号上网）、DHCP（自动获取IP 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外部接口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2个，RJ45 10M/100M/1000M自适应以太网口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2个，RS-485半双工串行接口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1个，标准RS-232串行接口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2个USB 2.0（前置），1个USB 3.0（后置）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POE输出功率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一般规范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电源规格：AC 220V 150W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功耗（不含硬盘）：≤30W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工作温度：-10℃～＋55℃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工作湿度：10％～90％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机箱：2U机箱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尺寸：445mm（宽）× 470mm（深）×90mm（高）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重量（不含硬盘）：≤8Kgoll</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3425">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32路8槽位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729B">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8C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18F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83AA7">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i w:val="0"/>
                <w:iCs w:val="0"/>
                <w:color w:val="000000"/>
                <w:sz w:val="21"/>
                <w:szCs w:val="21"/>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5F2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B8A3">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监控级硬盘</w:t>
            </w:r>
          </w:p>
        </w:tc>
        <w:tc>
          <w:tcPr>
            <w:tcW w:w="8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E6D7">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详细参数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容量（GB） 8000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 SATA3.0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转速（rpm） 5400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传输速率 6Gb/s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缓存 128MB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环境条件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 0-65℃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存储温度 -40-70℃</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DFF0">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8T容量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CBF1">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258A">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797B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9819DF">
            <w:pPr>
              <w:keepNext w:val="0"/>
              <w:keepLines w:val="0"/>
              <w:pageBreakBefore w:val="0"/>
              <w:widowControl/>
              <w:suppressLineNumbers w:val="0"/>
              <w:kinsoku/>
              <w:wordWrap/>
              <w:overflowPunct/>
              <w:topLinePunct w:val="0"/>
              <w:autoSpaceDE/>
              <w:autoSpaceDN/>
              <w:bidi w:val="0"/>
              <w:spacing w:line="320" w:lineRule="exact"/>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lang w:val="en-US" w:eastAsia="zh-CN"/>
              </w:rPr>
              <w:t>▲新增设备及系统须接入浙江省校园联网视频监控系统，投标人针对此项要求须提供承诺函（格式自拟）。</w:t>
            </w:r>
          </w:p>
        </w:tc>
      </w:tr>
    </w:tbl>
    <w:p w14:paraId="7FCA37EA">
      <w:pPr>
        <w:bidi w:val="0"/>
        <w:rPr>
          <w:rFonts w:hint="eastAsia"/>
          <w:lang w:eastAsia="zh-CN"/>
        </w:rPr>
      </w:pPr>
    </w:p>
    <w:p w14:paraId="09743846">
      <w:pPr>
        <w:bidi w:val="0"/>
        <w:rPr>
          <w:rFonts w:hint="eastAsia" w:ascii="宋体" w:hAnsi="宋体" w:eastAsia="宋体" w:cs="宋体"/>
          <w:b/>
          <w:bCs/>
          <w:color w:val="auto"/>
          <w:kern w:val="0"/>
          <w:szCs w:val="21"/>
          <w:highlight w:val="none"/>
          <w:lang w:val="en-US" w:eastAsia="zh-CN"/>
        </w:rPr>
        <w:sectPr>
          <w:headerReference r:id="rId16" w:type="first"/>
          <w:headerReference r:id="rId15" w:type="default"/>
          <w:footerReference r:id="rId17" w:type="default"/>
          <w:pgSz w:w="16838" w:h="11906" w:orient="landscape"/>
          <w:pgMar w:top="1440" w:right="1080" w:bottom="1440" w:left="1080" w:header="851" w:footer="850" w:gutter="0"/>
          <w:pgNumType w:fmt="decimal"/>
          <w:cols w:space="720" w:num="1"/>
          <w:titlePg/>
          <w:docGrid w:linePitch="312" w:charSpace="0"/>
        </w:sectPr>
      </w:pPr>
      <w:r>
        <w:rPr>
          <w:rFonts w:hint="eastAsia"/>
          <w:lang w:eastAsia="zh-CN"/>
        </w:rPr>
        <w:t>注：</w:t>
      </w:r>
      <w:r>
        <w:rPr>
          <w:rFonts w:hint="eastAsia"/>
          <w:lang w:val="en-US" w:eastAsia="zh-CN"/>
        </w:rPr>
        <w:t>▲</w:t>
      </w:r>
      <w:r>
        <w:rPr>
          <w:rFonts w:hint="eastAsia"/>
        </w:rPr>
        <w:t>由于</w:t>
      </w:r>
      <w:r>
        <w:rPr>
          <w:rFonts w:hint="eastAsia"/>
          <w:lang w:val="en-US" w:eastAsia="zh-CN"/>
        </w:rPr>
        <w:t>学校原部分区域监控设备保留</w:t>
      </w:r>
      <w:r>
        <w:rPr>
          <w:rFonts w:hint="eastAsia"/>
        </w:rPr>
        <w:t>，供应商所投产品及软件必须与采购人原先的监控设备及系统兼容，如在履约时，</w:t>
      </w:r>
      <w:r>
        <w:rPr>
          <w:rFonts w:hint="eastAsia"/>
          <w:lang w:val="en-US" w:eastAsia="zh-CN"/>
        </w:rPr>
        <w:t>平台系统</w:t>
      </w:r>
      <w:r>
        <w:rPr>
          <w:rFonts w:hint="eastAsia"/>
        </w:rPr>
        <w:t>产品不能与原先的监控</w:t>
      </w:r>
      <w:r>
        <w:rPr>
          <w:rFonts w:hint="eastAsia"/>
          <w:lang w:val="en-US" w:eastAsia="zh-CN"/>
        </w:rPr>
        <w:t>设备及系统</w:t>
      </w:r>
      <w:r>
        <w:rPr>
          <w:rFonts w:hint="eastAsia"/>
        </w:rPr>
        <w:t>兼容，视其违约，取消其成交资格且不退还履约保证金。（本项</w:t>
      </w:r>
      <w:r>
        <w:rPr>
          <w:rFonts w:hint="eastAsia"/>
          <w:lang w:eastAsia="zh-CN"/>
        </w:rPr>
        <w:t>要求须</w:t>
      </w:r>
      <w:r>
        <w:rPr>
          <w:rFonts w:hint="eastAsia"/>
        </w:rPr>
        <w:t>提供承诺书，如未提供则作无效标处理）</w:t>
      </w:r>
      <w:r>
        <w:rPr>
          <w:rFonts w:hint="eastAsia"/>
          <w:lang w:eastAsia="zh-CN"/>
        </w:rPr>
        <w:t>。</w:t>
      </w:r>
      <w:r>
        <w:rPr>
          <w:rFonts w:hint="eastAsia" w:ascii="宋体" w:hAnsi="宋体" w:cs="宋体"/>
          <w:color w:val="auto"/>
          <w:szCs w:val="21"/>
          <w:highlight w:val="none"/>
        </w:rPr>
        <w:t>潜在投标人如需了解项目情况的，可在开标前（上午9:00-11:00、下午14:00-16:30（节假日除外））通过电话或实地踏勘的方式进行了解，实地踏勘须提前一天与招标人联系并进行报备，否则无法进入校园进行实地探访的风险由投标人自行承担，现场踏勘联系人：</w:t>
      </w:r>
      <w:r>
        <w:rPr>
          <w:rFonts w:hint="eastAsia" w:cs="宋体"/>
          <w:color w:val="auto"/>
          <w:szCs w:val="21"/>
          <w:highlight w:val="none"/>
          <w:lang w:val="en-US" w:eastAsia="zh-CN"/>
        </w:rPr>
        <w:t>熊老师；</w:t>
      </w:r>
      <w:r>
        <w:rPr>
          <w:rFonts w:hint="eastAsia" w:ascii="宋体" w:hAnsi="宋体" w:cs="宋体"/>
          <w:color w:val="auto"/>
          <w:szCs w:val="21"/>
          <w:highlight w:val="none"/>
        </w:rPr>
        <w:t>联系电话：</w:t>
      </w:r>
      <w:r>
        <w:rPr>
          <w:rFonts w:hint="eastAsia" w:cs="宋体"/>
          <w:color w:val="auto"/>
          <w:szCs w:val="21"/>
          <w:highlight w:val="none"/>
          <w:lang w:val="en-US" w:eastAsia="zh-CN"/>
        </w:rPr>
        <w:t>0572-6228923。</w:t>
      </w:r>
      <w:bookmarkStart w:id="118" w:name="_GoBack"/>
      <w:bookmarkEnd w:id="118"/>
    </w:p>
    <w:bookmarkEnd w:id="16"/>
    <w:bookmarkEnd w:id="17"/>
    <w:p w14:paraId="48448A25">
      <w:pPr>
        <w:pStyle w:val="4"/>
        <w:spacing w:before="0" w:beforeLines="0" w:line="360" w:lineRule="auto"/>
        <w:rPr>
          <w:color w:val="auto"/>
          <w:highlight w:val="none"/>
        </w:rPr>
      </w:pPr>
      <w:bookmarkStart w:id="22" w:name="_Toc28949"/>
      <w:r>
        <w:rPr>
          <w:rFonts w:hint="eastAsia"/>
          <w:color w:val="auto"/>
          <w:highlight w:val="none"/>
          <w:lang w:val="en-US" w:eastAsia="zh-CN"/>
        </w:rPr>
        <w:t>五</w:t>
      </w:r>
      <w:r>
        <w:rPr>
          <w:rFonts w:hint="eastAsia"/>
          <w:color w:val="auto"/>
          <w:highlight w:val="none"/>
        </w:rPr>
        <w:t>、服务要求</w:t>
      </w:r>
      <w:bookmarkEnd w:id="22"/>
    </w:p>
    <w:p w14:paraId="78842D0C">
      <w:pPr>
        <w:spacing w:line="360" w:lineRule="auto"/>
        <w:ind w:left="0" w:leftChars="0" w:firstLine="480" w:firstLineChars="200"/>
        <w:rPr>
          <w:rFonts w:ascii="宋体" w:hAnsi="宋体"/>
        </w:rPr>
      </w:pPr>
      <w:r>
        <w:rPr>
          <w:rFonts w:hint="eastAsia" w:ascii="宋体" w:hAnsi="宋体"/>
        </w:rPr>
        <w:t>1</w:t>
      </w:r>
      <w:r>
        <w:rPr>
          <w:rFonts w:hint="eastAsia" w:ascii="宋体" w:hAnsi="宋体"/>
          <w:lang w:eastAsia="zh-CN"/>
        </w:rPr>
        <w:t>.</w:t>
      </w:r>
      <w:r>
        <w:rPr>
          <w:rFonts w:hint="eastAsia" w:ascii="宋体" w:hAnsi="宋体" w:cs="宋体"/>
        </w:rPr>
        <w:t>中标人在安装施工中必须服从采购人的现场指挥。中标人在安装施工过程中如发生安全责任事故，一切责任由中标人承担。</w:t>
      </w:r>
    </w:p>
    <w:p w14:paraId="068295F9">
      <w:pPr>
        <w:spacing w:line="360" w:lineRule="auto"/>
        <w:ind w:firstLine="480" w:firstLineChars="200"/>
        <w:rPr>
          <w:rFonts w:ascii="宋体" w:hAnsi="宋体"/>
        </w:rPr>
      </w:pPr>
      <w:r>
        <w:rPr>
          <w:rFonts w:hint="eastAsia" w:ascii="宋体" w:hAnsi="宋体"/>
        </w:rPr>
        <w:t>2</w:t>
      </w:r>
      <w:r>
        <w:rPr>
          <w:rFonts w:hint="eastAsia" w:ascii="宋体" w:hAnsi="宋体"/>
          <w:lang w:eastAsia="zh-CN"/>
        </w:rPr>
        <w:t>.</w:t>
      </w:r>
      <w:r>
        <w:rPr>
          <w:rFonts w:hint="eastAsia" w:ascii="宋体" w:hAnsi="宋体" w:cs="宋体"/>
        </w:rPr>
        <w:t>中标人在施工过程中必须确保设施及人员的安全。安装施工过程中如对采购人的建筑物及设备、设施造成损坏的，中标人须负责赔偿或按采购人要求免费修复。</w:t>
      </w:r>
    </w:p>
    <w:p w14:paraId="678E0C86">
      <w:pPr>
        <w:spacing w:line="360" w:lineRule="auto"/>
        <w:ind w:firstLine="480" w:firstLineChars="200"/>
        <w:rPr>
          <w:rFonts w:ascii="宋体" w:hAnsi="宋体"/>
        </w:rPr>
      </w:pPr>
      <w:r>
        <w:rPr>
          <w:rFonts w:hint="eastAsia" w:ascii="宋体" w:hAnsi="宋体"/>
        </w:rPr>
        <w:t>3</w:t>
      </w:r>
      <w:r>
        <w:rPr>
          <w:rFonts w:hint="eastAsia" w:ascii="宋体" w:hAnsi="宋体"/>
          <w:lang w:eastAsia="zh-CN"/>
        </w:rPr>
        <w:t>.</w:t>
      </w:r>
      <w:r>
        <w:rPr>
          <w:rFonts w:hint="eastAsia" w:ascii="宋体" w:hAnsi="宋体" w:cs="宋体"/>
        </w:rPr>
        <w:t>设备说明：</w:t>
      </w:r>
    </w:p>
    <w:p w14:paraId="10878B26">
      <w:pPr>
        <w:spacing w:line="360" w:lineRule="auto"/>
        <w:ind w:firstLine="480" w:firstLineChars="200"/>
        <w:rPr>
          <w:rFonts w:ascii="宋体" w:hAnsi="宋体"/>
        </w:rPr>
      </w:pPr>
      <w:r>
        <w:rPr>
          <w:rFonts w:hint="eastAsia" w:ascii="宋体" w:hAnsi="宋体" w:cs="宋体"/>
        </w:rPr>
        <w:t>（</w:t>
      </w:r>
      <w:r>
        <w:rPr>
          <w:rFonts w:ascii="宋体" w:hAnsi="宋体"/>
        </w:rPr>
        <w:t>1</w:t>
      </w:r>
      <w:r>
        <w:rPr>
          <w:rFonts w:hint="eastAsia" w:ascii="宋体" w:hAnsi="宋体" w:cs="宋体"/>
        </w:rPr>
        <w:t>）本次采购的软硬件设备，采购人要求不低于以上主要技术指标的产品，除</w:t>
      </w:r>
      <w:r>
        <w:rPr>
          <w:rFonts w:hint="eastAsia" w:ascii="宋体" w:hAnsi="宋体" w:cs="宋体"/>
          <w:lang w:eastAsia="zh-CN"/>
        </w:rPr>
        <w:t>标注</w:t>
      </w:r>
      <w:r>
        <w:rPr>
          <w:rFonts w:ascii="宋体" w:hAnsi="宋体"/>
        </w:rPr>
        <w:t>“</w:t>
      </w:r>
      <w:r>
        <w:rPr>
          <w:rFonts w:hint="eastAsia"/>
          <w:lang w:val="en-US" w:eastAsia="zh-CN"/>
        </w:rPr>
        <w:t>▲</w:t>
      </w:r>
      <w:r>
        <w:rPr>
          <w:rFonts w:ascii="宋体" w:hAnsi="宋体"/>
        </w:rPr>
        <w:t>”</w:t>
      </w:r>
      <w:r>
        <w:rPr>
          <w:rFonts w:hint="eastAsia" w:ascii="宋体" w:hAnsi="宋体" w:cs="宋体"/>
        </w:rPr>
        <w:t>的技术指标不允许负偏离外，投标人必须对其他的集成与技术差异提供说明（具体技术指标详见招标文件），并在投标文件的技术文件中提供该产品的技术参数或检测报告或相关证书。</w:t>
      </w:r>
    </w:p>
    <w:p w14:paraId="03F34C86">
      <w:pPr>
        <w:spacing w:line="360" w:lineRule="auto"/>
        <w:ind w:firstLine="480" w:firstLineChars="200"/>
        <w:rPr>
          <w:rFonts w:ascii="宋体" w:hAnsi="宋体"/>
        </w:rPr>
      </w:pPr>
      <w:r>
        <w:rPr>
          <w:rFonts w:hint="eastAsia" w:ascii="宋体" w:hAnsi="宋体" w:cs="宋体"/>
        </w:rPr>
        <w:t>（</w:t>
      </w:r>
      <w:r>
        <w:rPr>
          <w:rFonts w:ascii="宋体" w:hAnsi="宋体"/>
        </w:rPr>
        <w:t>2</w:t>
      </w:r>
      <w:r>
        <w:rPr>
          <w:rFonts w:hint="eastAsia" w:ascii="宋体" w:hAnsi="宋体" w:cs="宋体"/>
        </w:rPr>
        <w:t>）设备清单中所列举的要求为一个基本的功能配置要求，为达到该要求，投标人需在设备清单中详细列明所提供的品牌、型号、配置数量等具体信息，未提供或提供不全相关产品资料，评标委员会有权在评审时作出对其不利的评定，并有可能导致被判定为重大偏离。</w:t>
      </w:r>
    </w:p>
    <w:p w14:paraId="1E8788DE">
      <w:pPr>
        <w:spacing w:line="360" w:lineRule="auto"/>
        <w:ind w:firstLine="480" w:firstLineChars="200"/>
        <w:rPr>
          <w:rFonts w:ascii="宋体" w:hAnsi="宋体"/>
        </w:rPr>
      </w:pPr>
      <w:r>
        <w:rPr>
          <w:rFonts w:hint="eastAsia" w:ascii="宋体" w:hAnsi="宋体" w:cs="宋体"/>
        </w:rPr>
        <w:t>（</w:t>
      </w:r>
      <w:r>
        <w:rPr>
          <w:rFonts w:ascii="宋体" w:hAnsi="宋体"/>
        </w:rPr>
        <w:t>3</w:t>
      </w:r>
      <w:r>
        <w:rPr>
          <w:rFonts w:hint="eastAsia" w:ascii="宋体" w:hAnsi="宋体" w:cs="宋体"/>
        </w:rPr>
        <w:t>）投标人应确保投标所选用的设备、材料之间的兼容性，如评标时发现投标人投标选用的设备、材料存在不兼容性，将对其作出不利的评定，并有可能导致被判定为重大偏离。</w:t>
      </w:r>
    </w:p>
    <w:p w14:paraId="3BA16ACF">
      <w:pPr>
        <w:spacing w:line="360" w:lineRule="auto"/>
        <w:ind w:firstLine="480" w:firstLineChars="200"/>
        <w:rPr>
          <w:rFonts w:ascii="宋体" w:hAnsi="宋体"/>
        </w:rPr>
      </w:pPr>
      <w:r>
        <w:rPr>
          <w:rFonts w:hint="eastAsia" w:ascii="宋体" w:hAnsi="宋体" w:cs="宋体"/>
        </w:rPr>
        <w:t>（</w:t>
      </w:r>
      <w:r>
        <w:rPr>
          <w:rFonts w:ascii="宋体" w:hAnsi="宋体"/>
        </w:rPr>
        <w:t>4</w:t>
      </w:r>
      <w:r>
        <w:rPr>
          <w:rFonts w:hint="eastAsia" w:ascii="宋体" w:hAnsi="宋体" w:cs="宋体"/>
        </w:rPr>
        <w:t>）如中标后在</w:t>
      </w:r>
      <w:r>
        <w:rPr>
          <w:rFonts w:hint="eastAsia" w:ascii="宋体" w:hAnsi="宋体" w:cs="宋体"/>
          <w:lang w:eastAsia="zh-CN"/>
        </w:rPr>
        <w:t>项目</w:t>
      </w:r>
      <w:r>
        <w:rPr>
          <w:rFonts w:hint="eastAsia" w:ascii="宋体" w:hAnsi="宋体" w:cs="宋体"/>
        </w:rPr>
        <w:t>实施</w:t>
      </w:r>
      <w:r>
        <w:rPr>
          <w:rFonts w:hint="eastAsia" w:ascii="宋体" w:hAnsi="宋体" w:cs="宋体"/>
          <w:lang w:eastAsia="zh-CN"/>
        </w:rPr>
        <w:t>过程</w:t>
      </w:r>
      <w:r>
        <w:rPr>
          <w:rFonts w:hint="eastAsia" w:ascii="宋体" w:hAnsi="宋体" w:cs="宋体"/>
        </w:rPr>
        <w:t>中发现选用的设备、材料存在不兼容性（或经专家认定），投标人</w:t>
      </w:r>
      <w:r>
        <w:rPr>
          <w:rFonts w:hint="eastAsia" w:ascii="宋体" w:hAnsi="宋体" w:cs="宋体"/>
          <w:lang w:eastAsia="zh-CN"/>
        </w:rPr>
        <w:t>须</w:t>
      </w:r>
      <w:r>
        <w:rPr>
          <w:rFonts w:hint="eastAsia" w:ascii="宋体" w:hAnsi="宋体" w:cs="宋体"/>
        </w:rPr>
        <w:t>无条件同意由采购人在招标文件建议品牌或采购机关组织的专家组推荐品牌中任选一品牌，根据系统功能要求及技术参数选择相应型号及其相关材料、软件进行替换，且合同价不变，投标人不得对此提出异议。</w:t>
      </w:r>
    </w:p>
    <w:p w14:paraId="20C55246">
      <w:pPr>
        <w:adjustRightInd w:val="0"/>
        <w:snapToGrid w:val="0"/>
        <w:spacing w:beforeLines="0" w:line="360" w:lineRule="auto"/>
        <w:ind w:firstLine="480" w:firstLineChars="200"/>
        <w:rPr>
          <w:b/>
          <w:bCs/>
          <w:color w:val="auto"/>
          <w:highlight w:val="none"/>
        </w:rPr>
      </w:pPr>
      <w:r>
        <w:rPr>
          <w:rFonts w:hint="eastAsia"/>
          <w:b w:val="0"/>
          <w:bCs w:val="0"/>
          <w:color w:val="auto"/>
          <w:highlight w:val="none"/>
          <w:lang w:val="en-US" w:eastAsia="zh-CN"/>
        </w:rPr>
        <w:t>4.</w:t>
      </w:r>
      <w:r>
        <w:rPr>
          <w:rFonts w:hint="eastAsia"/>
          <w:b w:val="0"/>
          <w:bCs w:val="0"/>
          <w:color w:val="auto"/>
          <w:highlight w:val="none"/>
        </w:rPr>
        <w:t>货物包装及运输</w:t>
      </w:r>
    </w:p>
    <w:p w14:paraId="65A263E5">
      <w:pPr>
        <w:tabs>
          <w:tab w:val="left" w:pos="0"/>
          <w:tab w:val="left" w:pos="840"/>
        </w:tabs>
        <w:adjustRightInd w:val="0"/>
        <w:snapToGrid w:val="0"/>
        <w:spacing w:beforeLines="0" w:line="360" w:lineRule="auto"/>
        <w:ind w:left="0" w:leftChars="0" w:firstLine="480" w:firstLineChars="200"/>
        <w:rPr>
          <w:rFonts w:cs="宋体"/>
          <w:color w:val="auto"/>
          <w:szCs w:val="21"/>
          <w:highlight w:val="none"/>
        </w:rPr>
      </w:pPr>
      <w:r>
        <w:rPr>
          <w:rFonts w:hint="eastAsia" w:cs="宋体"/>
          <w:color w:val="auto"/>
          <w:szCs w:val="21"/>
          <w:highlight w:val="none"/>
          <w:lang w:eastAsia="zh-CN"/>
        </w:rPr>
        <w:t>（</w:t>
      </w:r>
      <w:r>
        <w:rPr>
          <w:rFonts w:hint="eastAsia" w:cs="宋体"/>
          <w:color w:val="auto"/>
          <w:szCs w:val="21"/>
          <w:highlight w:val="none"/>
          <w:lang w:val="en-US" w:eastAsia="zh-CN"/>
        </w:rPr>
        <w:t>1</w:t>
      </w:r>
      <w:r>
        <w:rPr>
          <w:rFonts w:hint="eastAsia" w:cs="宋体"/>
          <w:color w:val="auto"/>
          <w:szCs w:val="21"/>
          <w:highlight w:val="none"/>
          <w:lang w:eastAsia="zh-CN"/>
        </w:rPr>
        <w:t>）</w:t>
      </w:r>
      <w:r>
        <w:rPr>
          <w:rFonts w:hint="eastAsia" w:cs="宋体"/>
          <w:color w:val="auto"/>
          <w:szCs w:val="21"/>
          <w:highlight w:val="none"/>
        </w:rPr>
        <w:t>中标人应在货物发运前对其进行满足运输距离、防潮、防震、防锈和防破损装卸等要求包装，以保证货物安全运达</w:t>
      </w:r>
      <w:r>
        <w:rPr>
          <w:rFonts w:hint="eastAsia" w:cs="宋体"/>
          <w:color w:val="auto"/>
          <w:szCs w:val="21"/>
          <w:highlight w:val="none"/>
          <w:lang w:eastAsia="zh-CN"/>
        </w:rPr>
        <w:t>招标人</w:t>
      </w:r>
      <w:r>
        <w:rPr>
          <w:rFonts w:hint="eastAsia" w:cs="宋体"/>
          <w:color w:val="auto"/>
          <w:szCs w:val="21"/>
          <w:highlight w:val="none"/>
        </w:rPr>
        <w:t>指定地点。</w:t>
      </w:r>
    </w:p>
    <w:p w14:paraId="2A9C9039">
      <w:pPr>
        <w:tabs>
          <w:tab w:val="left" w:pos="0"/>
          <w:tab w:val="left" w:pos="840"/>
        </w:tabs>
        <w:adjustRightInd w:val="0"/>
        <w:snapToGrid w:val="0"/>
        <w:spacing w:beforeLines="0" w:line="360" w:lineRule="auto"/>
        <w:ind w:left="0" w:leftChars="0" w:firstLine="480" w:firstLineChars="200"/>
        <w:rPr>
          <w:rFonts w:cs="宋体"/>
          <w:color w:val="auto"/>
          <w:szCs w:val="21"/>
          <w:highlight w:val="none"/>
        </w:rPr>
      </w:pPr>
      <w:r>
        <w:rPr>
          <w:rFonts w:hint="eastAsia" w:cs="宋体"/>
          <w:color w:val="auto"/>
          <w:szCs w:val="21"/>
          <w:highlight w:val="none"/>
          <w:lang w:eastAsia="zh-CN"/>
        </w:rPr>
        <w:t>（</w:t>
      </w:r>
      <w:r>
        <w:rPr>
          <w:rFonts w:hint="eastAsia" w:cs="宋体"/>
          <w:color w:val="auto"/>
          <w:szCs w:val="21"/>
          <w:highlight w:val="none"/>
          <w:lang w:val="en-US" w:eastAsia="zh-CN"/>
        </w:rPr>
        <w:t>2</w:t>
      </w:r>
      <w:r>
        <w:rPr>
          <w:rFonts w:hint="eastAsia" w:cs="宋体"/>
          <w:color w:val="auto"/>
          <w:szCs w:val="21"/>
          <w:highlight w:val="none"/>
          <w:lang w:eastAsia="zh-CN"/>
        </w:rPr>
        <w:t>）</w:t>
      </w:r>
      <w:r>
        <w:rPr>
          <w:rFonts w:hint="eastAsia" w:cs="宋体"/>
          <w:color w:val="auto"/>
          <w:szCs w:val="21"/>
          <w:highlight w:val="none"/>
        </w:rPr>
        <w:t>使用说明书、质量检验证明书、随配附件和工具以及清单一并附于货物内。</w:t>
      </w:r>
    </w:p>
    <w:p w14:paraId="598E5845">
      <w:pPr>
        <w:tabs>
          <w:tab w:val="left" w:pos="0"/>
          <w:tab w:val="left" w:pos="840"/>
        </w:tabs>
        <w:adjustRightInd w:val="0"/>
        <w:snapToGrid w:val="0"/>
        <w:spacing w:beforeLines="0" w:line="360" w:lineRule="auto"/>
        <w:ind w:left="0" w:leftChars="0" w:firstLine="480" w:firstLineChars="200"/>
        <w:rPr>
          <w:rFonts w:cs="宋体"/>
          <w:color w:val="auto"/>
          <w:szCs w:val="21"/>
          <w:highlight w:val="none"/>
        </w:rPr>
      </w:pPr>
      <w:r>
        <w:rPr>
          <w:rFonts w:hint="eastAsia" w:cs="宋体"/>
          <w:color w:val="auto"/>
          <w:szCs w:val="21"/>
          <w:highlight w:val="none"/>
          <w:lang w:eastAsia="zh-CN"/>
        </w:rPr>
        <w:t>（</w:t>
      </w:r>
      <w:r>
        <w:rPr>
          <w:rFonts w:hint="eastAsia" w:cs="宋体"/>
          <w:color w:val="auto"/>
          <w:szCs w:val="21"/>
          <w:highlight w:val="none"/>
          <w:lang w:val="en-US" w:eastAsia="zh-CN"/>
        </w:rPr>
        <w:t>3</w:t>
      </w:r>
      <w:r>
        <w:rPr>
          <w:rFonts w:hint="eastAsia" w:cs="宋体"/>
          <w:color w:val="auto"/>
          <w:szCs w:val="21"/>
          <w:highlight w:val="none"/>
          <w:lang w:eastAsia="zh-CN"/>
        </w:rPr>
        <w:t>）</w:t>
      </w:r>
      <w:r>
        <w:rPr>
          <w:rFonts w:hint="eastAsia" w:cs="宋体"/>
          <w:color w:val="auto"/>
          <w:szCs w:val="21"/>
          <w:highlight w:val="none"/>
        </w:rPr>
        <w:t>货物在交付</w:t>
      </w:r>
      <w:r>
        <w:rPr>
          <w:rFonts w:hint="eastAsia" w:cs="宋体"/>
          <w:color w:val="auto"/>
          <w:szCs w:val="21"/>
          <w:highlight w:val="none"/>
          <w:lang w:eastAsia="zh-CN"/>
        </w:rPr>
        <w:t>招标人</w:t>
      </w:r>
      <w:r>
        <w:rPr>
          <w:rFonts w:hint="eastAsia" w:cs="宋体"/>
          <w:color w:val="auto"/>
          <w:szCs w:val="21"/>
          <w:highlight w:val="none"/>
        </w:rPr>
        <w:t>前发生的风险均由中标人负责。</w:t>
      </w:r>
    </w:p>
    <w:p w14:paraId="1FE1CA64">
      <w:pPr>
        <w:tabs>
          <w:tab w:val="left" w:pos="0"/>
          <w:tab w:val="left" w:pos="840"/>
        </w:tabs>
        <w:adjustRightInd w:val="0"/>
        <w:snapToGrid w:val="0"/>
        <w:spacing w:beforeLines="0" w:line="360" w:lineRule="auto"/>
        <w:ind w:left="0" w:leftChars="0" w:firstLine="480" w:firstLineChars="200"/>
        <w:rPr>
          <w:rFonts w:cs="宋体"/>
          <w:color w:val="auto"/>
          <w:szCs w:val="21"/>
          <w:highlight w:val="none"/>
        </w:rPr>
      </w:pPr>
      <w:r>
        <w:rPr>
          <w:rFonts w:hint="eastAsia" w:cs="宋体"/>
          <w:color w:val="auto"/>
          <w:szCs w:val="21"/>
          <w:highlight w:val="none"/>
          <w:lang w:eastAsia="zh-CN"/>
        </w:rPr>
        <w:t>（</w:t>
      </w:r>
      <w:r>
        <w:rPr>
          <w:rFonts w:hint="eastAsia" w:cs="宋体"/>
          <w:color w:val="auto"/>
          <w:szCs w:val="21"/>
          <w:highlight w:val="none"/>
          <w:lang w:val="en-US" w:eastAsia="zh-CN"/>
        </w:rPr>
        <w:t>4</w:t>
      </w:r>
      <w:r>
        <w:rPr>
          <w:rFonts w:hint="eastAsia" w:cs="宋体"/>
          <w:color w:val="auto"/>
          <w:szCs w:val="21"/>
          <w:highlight w:val="none"/>
          <w:lang w:eastAsia="zh-CN"/>
        </w:rPr>
        <w:t>）</w:t>
      </w:r>
      <w:r>
        <w:rPr>
          <w:rFonts w:hint="eastAsia" w:cs="宋体"/>
          <w:color w:val="auto"/>
          <w:szCs w:val="21"/>
          <w:highlight w:val="none"/>
        </w:rPr>
        <w:t>货物在规定的交付期限内由中标人送达</w:t>
      </w:r>
      <w:r>
        <w:rPr>
          <w:rFonts w:hint="eastAsia" w:cs="宋体"/>
          <w:color w:val="auto"/>
          <w:szCs w:val="21"/>
          <w:highlight w:val="none"/>
          <w:lang w:eastAsia="zh-CN"/>
        </w:rPr>
        <w:t>招标人</w:t>
      </w:r>
      <w:r>
        <w:rPr>
          <w:rFonts w:hint="eastAsia" w:cs="宋体"/>
          <w:color w:val="auto"/>
          <w:szCs w:val="21"/>
          <w:highlight w:val="none"/>
        </w:rPr>
        <w:t>指定的地点视为交付，中标人同时需通知</w:t>
      </w:r>
      <w:r>
        <w:rPr>
          <w:rFonts w:hint="eastAsia" w:cs="宋体"/>
          <w:color w:val="auto"/>
          <w:szCs w:val="21"/>
          <w:highlight w:val="none"/>
          <w:lang w:eastAsia="zh-CN"/>
        </w:rPr>
        <w:t>招标人</w:t>
      </w:r>
      <w:r>
        <w:rPr>
          <w:rFonts w:hint="eastAsia" w:cs="宋体"/>
          <w:color w:val="auto"/>
          <w:szCs w:val="21"/>
          <w:highlight w:val="none"/>
        </w:rPr>
        <w:t>货物已送达。</w:t>
      </w:r>
    </w:p>
    <w:p w14:paraId="5750D19A">
      <w:pPr>
        <w:pStyle w:val="4"/>
        <w:spacing w:before="0" w:beforeLines="0" w:line="360" w:lineRule="auto"/>
        <w:rPr>
          <w:color w:val="auto"/>
          <w:highlight w:val="none"/>
        </w:rPr>
      </w:pPr>
      <w:bookmarkStart w:id="23" w:name="_Toc4462"/>
      <w:r>
        <w:rPr>
          <w:rFonts w:hint="eastAsia"/>
          <w:color w:val="auto"/>
          <w:highlight w:val="none"/>
          <w:lang w:val="en-US" w:eastAsia="zh-CN"/>
        </w:rPr>
        <w:t>六</w:t>
      </w:r>
      <w:r>
        <w:rPr>
          <w:rFonts w:hint="eastAsia"/>
          <w:color w:val="auto"/>
          <w:highlight w:val="none"/>
        </w:rPr>
        <w:t>、其他要求</w:t>
      </w:r>
      <w:bookmarkEnd w:id="23"/>
    </w:p>
    <w:p w14:paraId="53B74788">
      <w:pPr>
        <w:adjustRightInd w:val="0"/>
        <w:snapToGrid w:val="0"/>
        <w:spacing w:beforeLines="0" w:line="360" w:lineRule="auto"/>
        <w:ind w:firstLine="480"/>
        <w:rPr>
          <w:color w:val="auto"/>
          <w:highlight w:val="none"/>
        </w:rPr>
      </w:pPr>
      <w:r>
        <w:rPr>
          <w:rFonts w:hint="eastAsia"/>
          <w:color w:val="auto"/>
          <w:highlight w:val="none"/>
        </w:rPr>
        <w:t>1.投标人需保证所提供货物是全新的、未使用过的，并完全符合合同规定的质量、规格和性能的要求。</w:t>
      </w:r>
    </w:p>
    <w:p w14:paraId="30B42B7D">
      <w:pPr>
        <w:adjustRightInd w:val="0"/>
        <w:snapToGrid w:val="0"/>
        <w:spacing w:beforeLines="0" w:line="360" w:lineRule="auto"/>
        <w:ind w:firstLine="480"/>
        <w:rPr>
          <w:rFonts w:hint="eastAsia"/>
          <w:color w:val="auto"/>
          <w:highlight w:val="none"/>
        </w:rPr>
      </w:pPr>
      <w:r>
        <w:rPr>
          <w:rFonts w:hint="eastAsia"/>
          <w:color w:val="auto"/>
          <w:highlight w:val="none"/>
        </w:rPr>
        <w:t>2.投标人所供产品应达到国家合格品标准，无明显批次差异等缺陷。</w:t>
      </w:r>
    </w:p>
    <w:p w14:paraId="760B8389">
      <w:pPr>
        <w:adjustRightInd w:val="0"/>
        <w:snapToGrid w:val="0"/>
        <w:spacing w:beforeLines="0" w:line="360" w:lineRule="auto"/>
        <w:ind w:firstLine="480"/>
        <w:rPr>
          <w:rFonts w:hint="eastAsia"/>
          <w:color w:val="auto"/>
          <w:highlight w:val="none"/>
          <w:lang w:val="en-US" w:eastAsia="zh-CN"/>
        </w:rPr>
      </w:pPr>
      <w:r>
        <w:rPr>
          <w:rFonts w:hint="eastAsia"/>
          <w:color w:val="auto"/>
          <w:highlight w:val="none"/>
          <w:lang w:val="en-US" w:eastAsia="zh-CN"/>
        </w:rPr>
        <w:t>3.签订合同前中标人须提供所投产品的原厂质保授权书，若原厂无故不予授权的，在中标人作出保证产品质量和售后服务的承诺后，应在合同的验收、结算和违约责任中补充增加相应的制约性条款。</w:t>
      </w:r>
    </w:p>
    <w:p w14:paraId="396D27D7">
      <w:pPr>
        <w:pStyle w:val="4"/>
        <w:spacing w:before="0" w:beforeLines="0" w:line="360" w:lineRule="auto"/>
        <w:rPr>
          <w:color w:val="auto"/>
          <w:highlight w:val="none"/>
        </w:rPr>
      </w:pPr>
      <w:bookmarkStart w:id="24" w:name="_Toc8371"/>
      <w:r>
        <w:rPr>
          <w:rFonts w:hint="eastAsia"/>
          <w:color w:val="auto"/>
          <w:highlight w:val="none"/>
          <w:lang w:val="en-US" w:eastAsia="zh-CN"/>
        </w:rPr>
        <w:t>七</w:t>
      </w:r>
      <w:r>
        <w:rPr>
          <w:rFonts w:hint="eastAsia"/>
          <w:color w:val="auto"/>
          <w:highlight w:val="none"/>
        </w:rPr>
        <w:t>、商务要求</w:t>
      </w:r>
      <w:bookmarkEnd w:id="24"/>
    </w:p>
    <w:p w14:paraId="241C4E45">
      <w:pPr>
        <w:pStyle w:val="5"/>
        <w:spacing w:beforeLines="0" w:line="360" w:lineRule="auto"/>
        <w:rPr>
          <w:color w:val="auto"/>
          <w:highlight w:val="none"/>
        </w:rPr>
      </w:pPr>
      <w:r>
        <w:rPr>
          <w:rFonts w:hint="eastAsia"/>
          <w:color w:val="auto"/>
          <w:highlight w:val="none"/>
        </w:rPr>
        <w:t>（一）合同履行期限</w:t>
      </w:r>
      <w:bookmarkStart w:id="25" w:name="_Toc3643"/>
      <w:bookmarkStart w:id="26" w:name="_Toc14375"/>
    </w:p>
    <w:p w14:paraId="7613A05A">
      <w:pPr>
        <w:adjustRightInd w:val="0"/>
        <w:snapToGrid w:val="0"/>
        <w:spacing w:beforeLines="0" w:line="360" w:lineRule="auto"/>
        <w:ind w:firstLine="480"/>
        <w:rPr>
          <w:color w:val="auto"/>
          <w:highlight w:val="none"/>
        </w:rPr>
      </w:pPr>
      <w:r>
        <w:rPr>
          <w:rFonts w:hint="eastAsia"/>
          <w:color w:val="auto"/>
          <w:highlight w:val="none"/>
        </w:rPr>
        <w:t>交付时间：合同生效后</w:t>
      </w:r>
      <w:r>
        <w:rPr>
          <w:rFonts w:hint="eastAsia"/>
          <w:color w:val="auto"/>
          <w:highlight w:val="none"/>
          <w:lang w:val="en-US" w:eastAsia="zh-CN"/>
        </w:rPr>
        <w:t>45</w:t>
      </w:r>
      <w:r>
        <w:rPr>
          <w:rFonts w:hint="eastAsia"/>
          <w:color w:val="auto"/>
          <w:highlight w:val="none"/>
        </w:rPr>
        <w:t>日内履约完毕。</w:t>
      </w:r>
    </w:p>
    <w:p w14:paraId="24E9882F">
      <w:pPr>
        <w:adjustRightInd w:val="0"/>
        <w:snapToGrid w:val="0"/>
        <w:spacing w:beforeLines="0" w:line="360" w:lineRule="auto"/>
        <w:ind w:firstLine="480"/>
        <w:rPr>
          <w:rFonts w:hint="default" w:eastAsia="宋体"/>
          <w:color w:val="auto"/>
          <w:highlight w:val="none"/>
          <w:lang w:val="en-US" w:eastAsia="zh-CN"/>
        </w:rPr>
      </w:pPr>
      <w:r>
        <w:rPr>
          <w:rFonts w:hint="eastAsia"/>
          <w:color w:val="auto"/>
          <w:highlight w:val="none"/>
          <w:lang w:val="en-US" w:eastAsia="zh-CN"/>
        </w:rPr>
        <w:t>交付方式：完成设备和设施安装、软件预装，调试并正常运行，整体验收合格。</w:t>
      </w:r>
    </w:p>
    <w:p w14:paraId="0AA67DC2">
      <w:pPr>
        <w:adjustRightInd w:val="0"/>
        <w:snapToGrid w:val="0"/>
        <w:spacing w:beforeLines="0" w:line="360" w:lineRule="auto"/>
        <w:ind w:firstLine="480"/>
        <w:rPr>
          <w:color w:val="auto"/>
          <w:highlight w:val="none"/>
        </w:rPr>
      </w:pPr>
      <w:r>
        <w:rPr>
          <w:rFonts w:hint="eastAsia"/>
          <w:color w:val="auto"/>
          <w:highlight w:val="none"/>
        </w:rPr>
        <w:t>交付地点：</w:t>
      </w:r>
      <w:r>
        <w:rPr>
          <w:rFonts w:hint="eastAsia"/>
          <w:color w:val="auto"/>
          <w:highlight w:val="none"/>
          <w:lang w:eastAsia="zh-CN"/>
        </w:rPr>
        <w:t>招标人</w:t>
      </w:r>
      <w:r>
        <w:rPr>
          <w:rFonts w:hint="eastAsia"/>
          <w:color w:val="auto"/>
          <w:highlight w:val="none"/>
        </w:rPr>
        <w:t>指定地点。</w:t>
      </w:r>
    </w:p>
    <w:bookmarkEnd w:id="25"/>
    <w:bookmarkEnd w:id="26"/>
    <w:p w14:paraId="46D4C222">
      <w:pPr>
        <w:pStyle w:val="5"/>
        <w:spacing w:beforeLines="0" w:line="360" w:lineRule="auto"/>
        <w:rPr>
          <w:color w:val="auto"/>
          <w:highlight w:val="none"/>
        </w:rPr>
      </w:pPr>
      <w:bookmarkStart w:id="27" w:name="_Toc32145"/>
      <w:bookmarkStart w:id="28" w:name="_Toc30601"/>
      <w:r>
        <w:rPr>
          <w:rFonts w:hint="eastAsia"/>
          <w:color w:val="auto"/>
          <w:highlight w:val="none"/>
        </w:rPr>
        <w:t>（二）▲质保期</w:t>
      </w:r>
    </w:p>
    <w:p w14:paraId="15A6C30A">
      <w:pPr>
        <w:adjustRightInd w:val="0"/>
        <w:snapToGrid w:val="0"/>
        <w:spacing w:beforeLines="0" w:line="360" w:lineRule="auto"/>
        <w:ind w:firstLine="480"/>
        <w:rPr>
          <w:color w:val="auto"/>
          <w:highlight w:val="none"/>
        </w:rPr>
      </w:pPr>
      <w:r>
        <w:rPr>
          <w:rFonts w:hint="eastAsia"/>
          <w:color w:val="auto"/>
          <w:highlight w:val="none"/>
        </w:rPr>
        <w:t>质保期3年，</w:t>
      </w:r>
      <w:r>
        <w:rPr>
          <w:rFonts w:hint="eastAsia"/>
          <w:color w:val="auto"/>
          <w:highlight w:val="none"/>
          <w:lang w:eastAsia="zh-CN"/>
        </w:rPr>
        <w:t>自项目最终整体验收合格之日起进入质保期</w:t>
      </w:r>
      <w:r>
        <w:rPr>
          <w:rFonts w:hint="eastAsia"/>
          <w:color w:val="auto"/>
          <w:highlight w:val="none"/>
        </w:rPr>
        <w:t>。</w:t>
      </w:r>
    </w:p>
    <w:p w14:paraId="138E3AF8">
      <w:pPr>
        <w:pStyle w:val="5"/>
        <w:spacing w:beforeLines="0" w:line="360" w:lineRule="auto"/>
        <w:rPr>
          <w:b/>
          <w:bCs/>
          <w:color w:val="auto"/>
          <w:highlight w:val="none"/>
        </w:rPr>
      </w:pPr>
      <w:r>
        <w:rPr>
          <w:rFonts w:hint="eastAsia"/>
          <w:b/>
          <w:bCs/>
          <w:color w:val="auto"/>
          <w:highlight w:val="none"/>
        </w:rPr>
        <w:t>（三）技术资料</w:t>
      </w:r>
    </w:p>
    <w:p w14:paraId="0A884F02">
      <w:pPr>
        <w:pStyle w:val="14"/>
        <w:pageBreakBefore w:val="0"/>
        <w:kinsoku/>
        <w:overflowPunct/>
        <w:topLinePunct w:val="0"/>
        <w:bidi w:val="0"/>
        <w:adjustRightInd w:val="0"/>
        <w:snapToGrid w:val="0"/>
        <w:spacing w:beforeLines="0" w:line="360" w:lineRule="auto"/>
        <w:ind w:left="0" w:leftChars="0" w:right="0" w:firstLine="480" w:firstLineChars="200"/>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w:t>
      </w:r>
      <w:r>
        <w:rPr>
          <w:rFonts w:hint="eastAsia" w:ascii="宋体" w:hAnsi="宋体" w:eastAsia="宋体" w:cs="Times New Roman"/>
          <w:color w:val="auto"/>
          <w:kern w:val="2"/>
          <w:sz w:val="24"/>
          <w:szCs w:val="24"/>
          <w:highlight w:val="none"/>
          <w:lang w:eastAsia="zh-CN"/>
        </w:rPr>
        <w:t>.中标人</w:t>
      </w:r>
      <w:r>
        <w:rPr>
          <w:rFonts w:hint="eastAsia" w:ascii="宋体" w:hAnsi="宋体" w:eastAsia="宋体" w:cs="Times New Roman"/>
          <w:color w:val="auto"/>
          <w:kern w:val="2"/>
          <w:sz w:val="24"/>
          <w:szCs w:val="24"/>
          <w:highlight w:val="none"/>
        </w:rPr>
        <w:t>应按</w:t>
      </w:r>
      <w:r>
        <w:rPr>
          <w:rFonts w:hint="eastAsia" w:ascii="宋体" w:hAnsi="宋体" w:eastAsia="宋体" w:cs="Times New Roman"/>
          <w:color w:val="auto"/>
          <w:kern w:val="2"/>
          <w:sz w:val="24"/>
          <w:szCs w:val="24"/>
          <w:highlight w:val="none"/>
          <w:lang w:val="en-US" w:eastAsia="zh-CN"/>
        </w:rPr>
        <w:t>在供货时</w:t>
      </w:r>
      <w:r>
        <w:rPr>
          <w:rFonts w:hint="eastAsia" w:ascii="宋体" w:hAnsi="宋体" w:eastAsia="宋体" w:cs="Times New Roman"/>
          <w:color w:val="auto"/>
          <w:kern w:val="2"/>
          <w:sz w:val="24"/>
          <w:szCs w:val="24"/>
          <w:highlight w:val="none"/>
        </w:rPr>
        <w:t>向</w:t>
      </w:r>
      <w:r>
        <w:rPr>
          <w:rFonts w:hint="eastAsia" w:ascii="宋体" w:hAnsi="宋体" w:eastAsia="宋体" w:cs="Times New Roman"/>
          <w:color w:val="auto"/>
          <w:kern w:val="2"/>
          <w:sz w:val="24"/>
          <w:szCs w:val="24"/>
          <w:highlight w:val="none"/>
          <w:lang w:eastAsia="zh-CN"/>
        </w:rPr>
        <w:t>招标人</w:t>
      </w:r>
      <w:r>
        <w:rPr>
          <w:rFonts w:hint="eastAsia" w:ascii="宋体" w:hAnsi="宋体" w:eastAsia="宋体" w:cs="Times New Roman"/>
          <w:color w:val="auto"/>
          <w:kern w:val="2"/>
          <w:sz w:val="24"/>
          <w:szCs w:val="24"/>
          <w:highlight w:val="none"/>
        </w:rPr>
        <w:t>提供使用货物/服务的有关技术资料。</w:t>
      </w:r>
    </w:p>
    <w:p w14:paraId="7C887EFA">
      <w:pPr>
        <w:pStyle w:val="14"/>
        <w:pageBreakBefore w:val="0"/>
        <w:kinsoku/>
        <w:overflowPunct/>
        <w:topLinePunct w:val="0"/>
        <w:bidi w:val="0"/>
        <w:adjustRightInd w:val="0"/>
        <w:snapToGrid w:val="0"/>
        <w:spacing w:beforeLines="0" w:line="360" w:lineRule="auto"/>
        <w:ind w:left="0" w:leftChars="0" w:right="0" w:firstLine="480" w:firstLineChars="200"/>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2</w:t>
      </w: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rPr>
        <w:t>没有</w:t>
      </w:r>
      <w:r>
        <w:rPr>
          <w:rFonts w:hint="eastAsia" w:ascii="宋体" w:hAnsi="宋体" w:eastAsia="宋体" w:cs="Times New Roman"/>
          <w:color w:val="auto"/>
          <w:kern w:val="2"/>
          <w:sz w:val="24"/>
          <w:szCs w:val="24"/>
          <w:highlight w:val="none"/>
          <w:lang w:eastAsia="zh-CN"/>
        </w:rPr>
        <w:t>招标人</w:t>
      </w:r>
      <w:r>
        <w:rPr>
          <w:rFonts w:hint="eastAsia" w:ascii="宋体" w:hAnsi="宋体" w:eastAsia="宋体" w:cs="Times New Roman"/>
          <w:color w:val="auto"/>
          <w:kern w:val="2"/>
          <w:sz w:val="24"/>
          <w:szCs w:val="24"/>
          <w:highlight w:val="none"/>
        </w:rPr>
        <w:t>事先书面同意，</w:t>
      </w:r>
      <w:r>
        <w:rPr>
          <w:rFonts w:hint="eastAsia" w:ascii="宋体" w:hAnsi="宋体" w:eastAsia="宋体" w:cs="Times New Roman"/>
          <w:color w:val="auto"/>
          <w:kern w:val="2"/>
          <w:sz w:val="24"/>
          <w:szCs w:val="24"/>
          <w:highlight w:val="none"/>
          <w:lang w:eastAsia="zh-CN"/>
        </w:rPr>
        <w:t>中标人</w:t>
      </w:r>
      <w:r>
        <w:rPr>
          <w:rFonts w:hint="eastAsia" w:ascii="宋体" w:hAnsi="宋体" w:eastAsia="宋体" w:cs="Times New Roman"/>
          <w:color w:val="auto"/>
          <w:kern w:val="2"/>
          <w:sz w:val="24"/>
          <w:szCs w:val="24"/>
          <w:highlight w:val="none"/>
        </w:rPr>
        <w:t>不得将由</w:t>
      </w:r>
      <w:r>
        <w:rPr>
          <w:rFonts w:hint="eastAsia" w:ascii="宋体" w:hAnsi="宋体" w:eastAsia="宋体" w:cs="Times New Roman"/>
          <w:color w:val="auto"/>
          <w:kern w:val="2"/>
          <w:sz w:val="24"/>
          <w:szCs w:val="24"/>
          <w:highlight w:val="none"/>
          <w:lang w:eastAsia="zh-CN"/>
        </w:rPr>
        <w:t>招标人</w:t>
      </w:r>
      <w:r>
        <w:rPr>
          <w:rFonts w:hint="eastAsia" w:ascii="宋体" w:hAnsi="宋体" w:eastAsia="宋体" w:cs="Times New Roman"/>
          <w:color w:val="auto"/>
          <w:kern w:val="2"/>
          <w:sz w:val="24"/>
          <w:szCs w:val="24"/>
          <w:highlight w:val="none"/>
        </w:rPr>
        <w:t>提供的有关合同或任何合同条文、规格、计划、图纸、样品或资料提供给与履行本合同无关的任何其他人。即使向履行本合同有关的人员提供，也应注意保密并限于履行合同的必须范围。</w:t>
      </w:r>
    </w:p>
    <w:p w14:paraId="65BBA54C">
      <w:pPr>
        <w:pStyle w:val="5"/>
        <w:spacing w:beforeLines="0"/>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lang w:eastAsia="zh-CN"/>
        </w:rPr>
        <w:t>（</w:t>
      </w:r>
      <w:r>
        <w:rPr>
          <w:rFonts w:hint="eastAsia" w:ascii="宋体" w:hAnsi="宋体" w:eastAsia="宋体" w:cs="Times New Roman"/>
          <w:b/>
          <w:bCs/>
          <w:color w:val="auto"/>
          <w:kern w:val="2"/>
          <w:sz w:val="24"/>
          <w:szCs w:val="24"/>
          <w:highlight w:val="none"/>
          <w:lang w:val="en-US" w:eastAsia="zh-CN"/>
        </w:rPr>
        <w:t>四</w:t>
      </w:r>
      <w:r>
        <w:rPr>
          <w:rFonts w:hint="eastAsia" w:ascii="宋体" w:hAnsi="宋体" w:eastAsia="宋体" w:cs="Times New Roman"/>
          <w:b/>
          <w:bCs/>
          <w:color w:val="auto"/>
          <w:kern w:val="2"/>
          <w:sz w:val="24"/>
          <w:szCs w:val="24"/>
          <w:highlight w:val="none"/>
          <w:lang w:eastAsia="zh-CN"/>
        </w:rPr>
        <w:t>）</w:t>
      </w:r>
      <w:r>
        <w:rPr>
          <w:rFonts w:hint="eastAsia" w:ascii="宋体" w:hAnsi="宋体" w:eastAsia="宋体" w:cs="Times New Roman"/>
          <w:b/>
          <w:bCs/>
          <w:color w:val="auto"/>
          <w:kern w:val="2"/>
          <w:sz w:val="24"/>
          <w:szCs w:val="24"/>
          <w:highlight w:val="none"/>
        </w:rPr>
        <w:t>知识产权</w:t>
      </w:r>
    </w:p>
    <w:p w14:paraId="11C87552">
      <w:pPr>
        <w:pStyle w:val="14"/>
        <w:pageBreakBefore w:val="0"/>
        <w:kinsoku/>
        <w:overflowPunct/>
        <w:topLinePunct w:val="0"/>
        <w:bidi w:val="0"/>
        <w:adjustRightInd w:val="0"/>
        <w:snapToGrid w:val="0"/>
        <w:spacing w:beforeLines="0" w:line="360" w:lineRule="auto"/>
        <w:ind w:left="0" w:leftChars="0" w:right="0" w:firstLine="480" w:firstLineChars="200"/>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w:t>
      </w:r>
      <w:r>
        <w:rPr>
          <w:rFonts w:hint="eastAsia" w:ascii="宋体" w:hAnsi="宋体" w:eastAsia="宋体" w:cs="Times New Roman"/>
          <w:color w:val="auto"/>
          <w:kern w:val="2"/>
          <w:sz w:val="24"/>
          <w:szCs w:val="24"/>
          <w:highlight w:val="none"/>
          <w:lang w:eastAsia="zh-CN"/>
        </w:rPr>
        <w:t>.中标人</w:t>
      </w:r>
      <w:r>
        <w:rPr>
          <w:rFonts w:hint="eastAsia" w:ascii="宋体" w:hAnsi="宋体" w:eastAsia="宋体" w:cs="Times New Roman"/>
          <w:color w:val="auto"/>
          <w:kern w:val="2"/>
          <w:sz w:val="24"/>
          <w:szCs w:val="24"/>
          <w:highlight w:val="none"/>
        </w:rPr>
        <w:t>应保证所提供的货物/服务或其任何一部分均不会侵犯任何第三方的知识产权。若由此侵犯到第三方知识产权的，一切后果均由</w:t>
      </w:r>
      <w:r>
        <w:rPr>
          <w:rFonts w:hint="eastAsia" w:ascii="宋体" w:hAnsi="宋体" w:eastAsia="宋体" w:cs="Times New Roman"/>
          <w:color w:val="auto"/>
          <w:kern w:val="2"/>
          <w:sz w:val="24"/>
          <w:szCs w:val="24"/>
          <w:highlight w:val="none"/>
          <w:lang w:eastAsia="zh-CN"/>
        </w:rPr>
        <w:t>中标人</w:t>
      </w:r>
      <w:r>
        <w:rPr>
          <w:rFonts w:hint="eastAsia" w:ascii="宋体" w:hAnsi="宋体" w:eastAsia="宋体" w:cs="Times New Roman"/>
          <w:color w:val="auto"/>
          <w:kern w:val="2"/>
          <w:sz w:val="24"/>
          <w:szCs w:val="24"/>
          <w:highlight w:val="none"/>
        </w:rPr>
        <w:t>承担全部责任。</w:t>
      </w:r>
    </w:p>
    <w:p w14:paraId="19F39427">
      <w:pPr>
        <w:pStyle w:val="14"/>
        <w:pageBreakBefore w:val="0"/>
        <w:kinsoku/>
        <w:overflowPunct/>
        <w:topLinePunct w:val="0"/>
        <w:bidi w:val="0"/>
        <w:adjustRightInd w:val="0"/>
        <w:snapToGrid w:val="0"/>
        <w:spacing w:beforeLines="0" w:line="360" w:lineRule="auto"/>
        <w:ind w:left="0" w:leftChars="0" w:right="0" w:firstLine="480" w:firstLineChars="200"/>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2</w:t>
      </w:r>
      <w:r>
        <w:rPr>
          <w:rFonts w:hint="eastAsia" w:ascii="宋体" w:hAnsi="宋体" w:eastAsia="宋体" w:cs="Times New Roman"/>
          <w:color w:val="auto"/>
          <w:kern w:val="2"/>
          <w:sz w:val="24"/>
          <w:szCs w:val="24"/>
          <w:highlight w:val="none"/>
          <w:lang w:eastAsia="zh-CN"/>
        </w:rPr>
        <w:t>.中标人</w:t>
      </w:r>
      <w:r>
        <w:rPr>
          <w:rFonts w:hint="eastAsia" w:ascii="宋体" w:hAnsi="宋体" w:eastAsia="宋体" w:cs="Times New Roman"/>
          <w:color w:val="auto"/>
          <w:kern w:val="2"/>
          <w:sz w:val="24"/>
          <w:szCs w:val="24"/>
          <w:highlight w:val="none"/>
        </w:rPr>
        <w:t>保证所交付的货物/软件的所有权完全属于</w:t>
      </w:r>
      <w:r>
        <w:rPr>
          <w:rFonts w:hint="eastAsia" w:ascii="宋体" w:hAnsi="宋体" w:eastAsia="宋体" w:cs="Times New Roman"/>
          <w:color w:val="auto"/>
          <w:kern w:val="2"/>
          <w:sz w:val="24"/>
          <w:szCs w:val="24"/>
          <w:highlight w:val="none"/>
          <w:lang w:eastAsia="zh-CN"/>
        </w:rPr>
        <w:t>中标人</w:t>
      </w:r>
      <w:r>
        <w:rPr>
          <w:rFonts w:hint="eastAsia" w:ascii="宋体" w:hAnsi="宋体" w:eastAsia="宋体" w:cs="Times New Roman"/>
          <w:color w:val="auto"/>
          <w:kern w:val="2"/>
          <w:sz w:val="24"/>
          <w:szCs w:val="24"/>
          <w:highlight w:val="none"/>
        </w:rPr>
        <w:t>且无任何抵押、查封等产权瑕疵。</w:t>
      </w:r>
    </w:p>
    <w:p w14:paraId="419E44C7">
      <w:pPr>
        <w:adjustRightInd w:val="0"/>
        <w:snapToGrid w:val="0"/>
        <w:spacing w:beforeLines="0"/>
        <w:rPr>
          <w:rFonts w:hint="eastAsia" w:ascii="宋体" w:hAnsi="宋体" w:eastAsia="宋体" w:cs="Times New Roman"/>
          <w:color w:val="auto"/>
          <w:highlight w:val="none"/>
        </w:rPr>
      </w:pPr>
      <w:r>
        <w:rPr>
          <w:rFonts w:hint="eastAsia" w:ascii="宋体" w:hAnsi="宋体" w:eastAsia="宋体" w:cs="Times New Roman"/>
          <w:color w:val="auto"/>
          <w:sz w:val="24"/>
          <w:szCs w:val="24"/>
          <w:highlight w:val="none"/>
        </w:rPr>
        <w:t>3.本项目定制开发软件的知识产权归</w:t>
      </w:r>
      <w:r>
        <w:rPr>
          <w:rFonts w:hint="eastAsia" w:ascii="宋体" w:hAnsi="宋体" w:eastAsia="宋体" w:cs="Times New Roman"/>
          <w:color w:val="auto"/>
          <w:sz w:val="24"/>
          <w:szCs w:val="24"/>
          <w:highlight w:val="none"/>
          <w:lang w:eastAsia="zh-CN"/>
        </w:rPr>
        <w:t>招标人</w:t>
      </w:r>
      <w:r>
        <w:rPr>
          <w:rFonts w:hint="eastAsia" w:ascii="宋体" w:hAnsi="宋体" w:eastAsia="宋体" w:cs="Times New Roman"/>
          <w:color w:val="auto"/>
          <w:sz w:val="24"/>
          <w:szCs w:val="24"/>
          <w:highlight w:val="none"/>
        </w:rPr>
        <w:t>所有，未经</w:t>
      </w:r>
      <w:r>
        <w:rPr>
          <w:rFonts w:hint="eastAsia" w:ascii="宋体" w:hAnsi="宋体" w:eastAsia="宋体" w:cs="Times New Roman"/>
          <w:color w:val="auto"/>
          <w:sz w:val="24"/>
          <w:szCs w:val="24"/>
          <w:highlight w:val="none"/>
          <w:lang w:eastAsia="zh-CN"/>
        </w:rPr>
        <w:t>招标人</w:t>
      </w:r>
      <w:r>
        <w:rPr>
          <w:rFonts w:hint="eastAsia" w:ascii="宋体" w:hAnsi="宋体" w:eastAsia="宋体" w:cs="Times New Roman"/>
          <w:color w:val="auto"/>
          <w:sz w:val="24"/>
          <w:szCs w:val="24"/>
          <w:highlight w:val="none"/>
        </w:rPr>
        <w:t>允许，不得向任何第三方泄露。</w:t>
      </w:r>
      <w:r>
        <w:rPr>
          <w:rFonts w:hint="eastAsia" w:ascii="宋体" w:hAnsi="宋体" w:eastAsia="宋体" w:cs="Times New Roman"/>
          <w:color w:val="auto"/>
          <w:sz w:val="24"/>
          <w:szCs w:val="24"/>
          <w:highlight w:val="none"/>
          <w:lang w:eastAsia="zh-CN"/>
        </w:rPr>
        <w:t>中标人</w:t>
      </w:r>
      <w:r>
        <w:rPr>
          <w:rFonts w:hint="eastAsia" w:ascii="宋体" w:hAnsi="宋体" w:eastAsia="宋体" w:cs="Times New Roman"/>
          <w:color w:val="auto"/>
          <w:sz w:val="24"/>
          <w:szCs w:val="24"/>
          <w:highlight w:val="none"/>
        </w:rPr>
        <w:t>在本合同项目实施过程中，不得将知悉的信息内容对外宣传或泄露。项目终验合格后，</w:t>
      </w:r>
      <w:r>
        <w:rPr>
          <w:rFonts w:hint="eastAsia" w:ascii="宋体" w:hAnsi="宋体" w:eastAsia="宋体" w:cs="Times New Roman"/>
          <w:color w:val="auto"/>
          <w:sz w:val="24"/>
          <w:szCs w:val="24"/>
          <w:highlight w:val="none"/>
          <w:lang w:eastAsia="zh-CN"/>
        </w:rPr>
        <w:t>中标人</w:t>
      </w:r>
      <w:r>
        <w:rPr>
          <w:rFonts w:hint="eastAsia" w:ascii="宋体" w:hAnsi="宋体" w:eastAsia="宋体" w:cs="Times New Roman"/>
          <w:color w:val="auto"/>
          <w:sz w:val="24"/>
          <w:szCs w:val="24"/>
          <w:highlight w:val="none"/>
        </w:rPr>
        <w:t>应将设计文件、最终版源代码及后续版本源代码、测试文档、数据资源、数据接口等相关文档应移交给</w:t>
      </w:r>
      <w:r>
        <w:rPr>
          <w:rFonts w:hint="eastAsia" w:ascii="宋体" w:hAnsi="宋体" w:eastAsia="宋体" w:cs="Times New Roman"/>
          <w:color w:val="auto"/>
          <w:sz w:val="24"/>
          <w:szCs w:val="24"/>
          <w:highlight w:val="none"/>
          <w:lang w:eastAsia="zh-CN"/>
        </w:rPr>
        <w:t>招标人</w:t>
      </w:r>
      <w:r>
        <w:rPr>
          <w:rFonts w:hint="eastAsia" w:ascii="宋体" w:hAnsi="宋体" w:eastAsia="宋体" w:cs="Times New Roman"/>
          <w:color w:val="auto"/>
          <w:sz w:val="24"/>
          <w:szCs w:val="24"/>
          <w:highlight w:val="none"/>
        </w:rPr>
        <w:t>。项目上线并经</w:t>
      </w:r>
      <w:r>
        <w:rPr>
          <w:rFonts w:hint="eastAsia" w:ascii="宋体" w:hAnsi="宋体" w:eastAsia="宋体" w:cs="Times New Roman"/>
          <w:color w:val="auto"/>
          <w:sz w:val="24"/>
          <w:szCs w:val="24"/>
          <w:highlight w:val="none"/>
          <w:lang w:eastAsia="zh-CN"/>
        </w:rPr>
        <w:t>招标人</w:t>
      </w:r>
      <w:r>
        <w:rPr>
          <w:rFonts w:hint="eastAsia" w:ascii="宋体" w:hAnsi="宋体" w:eastAsia="宋体" w:cs="Times New Roman"/>
          <w:color w:val="auto"/>
          <w:sz w:val="24"/>
          <w:szCs w:val="24"/>
          <w:highlight w:val="none"/>
        </w:rPr>
        <w:t>审核通过后，</w:t>
      </w:r>
      <w:r>
        <w:rPr>
          <w:rFonts w:hint="eastAsia" w:ascii="宋体" w:hAnsi="宋体" w:eastAsia="宋体" w:cs="Times New Roman"/>
          <w:color w:val="auto"/>
          <w:sz w:val="24"/>
          <w:szCs w:val="24"/>
          <w:highlight w:val="none"/>
          <w:lang w:eastAsia="zh-CN"/>
        </w:rPr>
        <w:t>中标人</w:t>
      </w:r>
      <w:r>
        <w:rPr>
          <w:rFonts w:hint="eastAsia" w:ascii="宋体" w:hAnsi="宋体" w:eastAsia="宋体" w:cs="Times New Roman"/>
          <w:color w:val="auto"/>
          <w:sz w:val="24"/>
          <w:szCs w:val="24"/>
          <w:highlight w:val="none"/>
        </w:rPr>
        <w:t>协助</w:t>
      </w:r>
      <w:r>
        <w:rPr>
          <w:rFonts w:hint="eastAsia" w:ascii="宋体" w:hAnsi="宋体" w:eastAsia="宋体" w:cs="Times New Roman"/>
          <w:color w:val="auto"/>
          <w:sz w:val="24"/>
          <w:szCs w:val="24"/>
          <w:highlight w:val="none"/>
          <w:lang w:eastAsia="zh-CN"/>
        </w:rPr>
        <w:t>招标人</w:t>
      </w:r>
      <w:r>
        <w:rPr>
          <w:rFonts w:hint="eastAsia" w:ascii="宋体" w:hAnsi="宋体" w:eastAsia="宋体" w:cs="Times New Roman"/>
          <w:color w:val="auto"/>
          <w:sz w:val="24"/>
          <w:szCs w:val="24"/>
          <w:highlight w:val="none"/>
        </w:rPr>
        <w:t>完成本项目知识产权注册登记工作。</w:t>
      </w:r>
    </w:p>
    <w:p w14:paraId="014D8CCA">
      <w:pPr>
        <w:pStyle w:val="5"/>
        <w:rPr>
          <w:b/>
          <w:bCs/>
          <w:color w:val="auto"/>
          <w:highlight w:val="none"/>
        </w:rPr>
      </w:pPr>
      <w:r>
        <w:rPr>
          <w:rFonts w:hint="eastAsia"/>
          <w:b/>
          <w:bCs/>
          <w:color w:val="auto"/>
          <w:highlight w:val="none"/>
        </w:rPr>
        <w:t>（</w:t>
      </w:r>
      <w:r>
        <w:rPr>
          <w:rFonts w:hint="eastAsia"/>
          <w:b/>
          <w:bCs/>
          <w:color w:val="auto"/>
          <w:highlight w:val="none"/>
          <w:lang w:val="en-US" w:eastAsia="zh-CN"/>
        </w:rPr>
        <w:t>五</w:t>
      </w:r>
      <w:r>
        <w:rPr>
          <w:rFonts w:hint="eastAsia"/>
          <w:b/>
          <w:bCs/>
          <w:color w:val="auto"/>
          <w:highlight w:val="none"/>
        </w:rPr>
        <w:t>）履约保证金</w:t>
      </w:r>
    </w:p>
    <w:p w14:paraId="48B692DC">
      <w:pPr>
        <w:adjustRightInd w:val="0"/>
        <w:snapToGrid w:val="0"/>
        <w:spacing w:beforeLines="0" w:line="360" w:lineRule="auto"/>
        <w:ind w:firstLine="480"/>
        <w:rPr>
          <w:rFonts w:hint="eastAsia" w:eastAsia="宋体"/>
          <w:color w:val="auto"/>
          <w:highlight w:val="none"/>
          <w:lang w:val="en-US" w:eastAsia="zh-CN"/>
        </w:rPr>
      </w:pPr>
      <w:r>
        <w:rPr>
          <w:rFonts w:hint="eastAsia"/>
          <w:color w:val="auto"/>
          <w:highlight w:val="none"/>
          <w:lang w:val="en-US" w:eastAsia="zh-CN"/>
        </w:rPr>
        <w:t>无。</w:t>
      </w:r>
    </w:p>
    <w:p w14:paraId="0F74C34C">
      <w:pPr>
        <w:pStyle w:val="5"/>
        <w:rPr>
          <w:b/>
          <w:bCs/>
          <w:color w:val="auto"/>
          <w:highlight w:val="none"/>
        </w:rPr>
      </w:pPr>
      <w:r>
        <w:rPr>
          <w:rFonts w:hint="eastAsia"/>
          <w:b/>
          <w:bCs/>
          <w:color w:val="auto"/>
          <w:highlight w:val="none"/>
        </w:rPr>
        <w:t>（</w:t>
      </w:r>
      <w:r>
        <w:rPr>
          <w:rFonts w:hint="eastAsia"/>
          <w:b/>
          <w:bCs/>
          <w:color w:val="auto"/>
          <w:highlight w:val="none"/>
          <w:lang w:val="en-US" w:eastAsia="zh-CN"/>
        </w:rPr>
        <w:t>六</w:t>
      </w:r>
      <w:r>
        <w:rPr>
          <w:rFonts w:hint="eastAsia"/>
          <w:b/>
          <w:bCs/>
          <w:color w:val="auto"/>
          <w:highlight w:val="none"/>
        </w:rPr>
        <w:t>）</w:t>
      </w:r>
      <w:r>
        <w:rPr>
          <w:rFonts w:hint="eastAsia" w:cs="宋体"/>
          <w:b/>
          <w:bCs/>
          <w:color w:val="auto"/>
          <w:highlight w:val="none"/>
        </w:rPr>
        <w:t>▲</w:t>
      </w:r>
      <w:r>
        <w:rPr>
          <w:rFonts w:hint="eastAsia"/>
          <w:b/>
          <w:bCs/>
          <w:color w:val="auto"/>
          <w:highlight w:val="none"/>
        </w:rPr>
        <w:t>付款方式</w:t>
      </w:r>
    </w:p>
    <w:p w14:paraId="0A45E4C7">
      <w:pPr>
        <w:adjustRightInd w:val="0"/>
        <w:snapToGrid w:val="0"/>
        <w:spacing w:beforeLines="0" w:line="360" w:lineRule="auto"/>
        <w:ind w:firstLine="480"/>
        <w:rPr>
          <w:rFonts w:hint="eastAsia" w:cs="宋体"/>
          <w:bCs/>
          <w:color w:val="auto"/>
          <w:kern w:val="0"/>
          <w:szCs w:val="21"/>
          <w:highlight w:val="none"/>
          <w:lang w:bidi="zh-CN"/>
        </w:rPr>
      </w:pPr>
      <w:r>
        <w:rPr>
          <w:rFonts w:hint="eastAsia" w:cs="宋体"/>
          <w:bCs/>
          <w:color w:val="auto"/>
          <w:kern w:val="0"/>
          <w:szCs w:val="21"/>
          <w:highlight w:val="none"/>
          <w:lang w:bidi="zh-CN"/>
        </w:rPr>
        <w:t>1.合同生效、具备支付条件后7个工作日内，招标人凭中标人开具的预付款发票及银行、保险公司等金融机构出具的预付款保函，支付40%预付款给中标人，预付款的支付进程不得影响合同的履行。</w:t>
      </w:r>
    </w:p>
    <w:p w14:paraId="327BCD43">
      <w:pPr>
        <w:adjustRightInd w:val="0"/>
        <w:snapToGrid w:val="0"/>
        <w:spacing w:beforeLines="0" w:line="360" w:lineRule="auto"/>
        <w:ind w:firstLine="480"/>
        <w:rPr>
          <w:rFonts w:hint="eastAsia" w:cs="宋体"/>
          <w:bCs/>
          <w:color w:val="auto"/>
          <w:kern w:val="0"/>
          <w:szCs w:val="21"/>
          <w:highlight w:val="none"/>
          <w:lang w:bidi="zh-CN"/>
        </w:rPr>
      </w:pPr>
      <w:r>
        <w:rPr>
          <w:rFonts w:hint="eastAsia" w:cs="宋体"/>
          <w:bCs/>
          <w:color w:val="auto"/>
          <w:kern w:val="0"/>
          <w:szCs w:val="21"/>
          <w:highlight w:val="none"/>
          <w:lang w:bidi="zh-CN"/>
        </w:rPr>
        <w:t>2.设备供货完毕，</w:t>
      </w:r>
      <w:r>
        <w:rPr>
          <w:rFonts w:hint="eastAsia" w:cs="宋体"/>
          <w:bCs/>
          <w:color w:val="auto"/>
          <w:kern w:val="0"/>
          <w:szCs w:val="21"/>
          <w:highlight w:val="none"/>
          <w:lang w:val="en-US" w:bidi="zh-CN"/>
        </w:rPr>
        <w:t>收到中标人开具的正规发票</w:t>
      </w:r>
      <w:r>
        <w:rPr>
          <w:rFonts w:hint="eastAsia" w:cs="宋体"/>
          <w:bCs/>
          <w:color w:val="auto"/>
          <w:kern w:val="0"/>
          <w:szCs w:val="21"/>
          <w:highlight w:val="none"/>
          <w:lang w:bidi="zh-CN"/>
        </w:rPr>
        <w:t>后</w:t>
      </w:r>
      <w:r>
        <w:rPr>
          <w:rFonts w:hint="eastAsia" w:cs="宋体"/>
          <w:bCs/>
          <w:color w:val="auto"/>
          <w:kern w:val="0"/>
          <w:szCs w:val="21"/>
          <w:highlight w:val="none"/>
          <w:lang w:val="en-US" w:bidi="zh-CN"/>
        </w:rPr>
        <w:t>7个工作日内</w:t>
      </w:r>
      <w:r>
        <w:rPr>
          <w:rFonts w:hint="eastAsia" w:cs="宋体"/>
          <w:bCs/>
          <w:color w:val="auto"/>
          <w:kern w:val="0"/>
          <w:szCs w:val="21"/>
          <w:highlight w:val="none"/>
          <w:lang w:bidi="zh-CN"/>
        </w:rPr>
        <w:t>，支付至合同</w:t>
      </w:r>
      <w:r>
        <w:rPr>
          <w:rFonts w:hint="eastAsia" w:cs="宋体"/>
          <w:bCs/>
          <w:color w:val="auto"/>
          <w:kern w:val="0"/>
          <w:szCs w:val="21"/>
          <w:highlight w:val="none"/>
          <w:lang w:val="en-US" w:bidi="zh-CN"/>
        </w:rPr>
        <w:t>金额</w:t>
      </w:r>
      <w:r>
        <w:rPr>
          <w:rFonts w:hint="eastAsia" w:cs="宋体"/>
          <w:bCs/>
          <w:color w:val="auto"/>
          <w:kern w:val="0"/>
          <w:szCs w:val="21"/>
          <w:highlight w:val="none"/>
          <w:lang w:bidi="zh-CN"/>
        </w:rPr>
        <w:t>的60%。</w:t>
      </w:r>
    </w:p>
    <w:p w14:paraId="5A9B3638">
      <w:pPr>
        <w:adjustRightInd w:val="0"/>
        <w:snapToGrid w:val="0"/>
        <w:spacing w:beforeLines="0" w:line="360" w:lineRule="auto"/>
        <w:ind w:firstLine="480"/>
        <w:rPr>
          <w:rFonts w:hint="default" w:cs="宋体"/>
          <w:bCs/>
          <w:color w:val="auto"/>
          <w:kern w:val="0"/>
          <w:szCs w:val="21"/>
          <w:highlight w:val="none"/>
          <w:lang w:val="en-US" w:bidi="zh-CN"/>
        </w:rPr>
      </w:pPr>
      <w:r>
        <w:rPr>
          <w:rFonts w:hint="eastAsia" w:cs="宋体"/>
          <w:bCs/>
          <w:color w:val="auto"/>
          <w:kern w:val="0"/>
          <w:szCs w:val="21"/>
          <w:highlight w:val="none"/>
          <w:lang w:val="en-US" w:bidi="zh-CN"/>
        </w:rPr>
        <w:t>3.</w:t>
      </w:r>
      <w:r>
        <w:rPr>
          <w:rFonts w:hint="eastAsia" w:cs="宋体"/>
          <w:bCs/>
          <w:color w:val="auto"/>
          <w:kern w:val="0"/>
          <w:szCs w:val="21"/>
          <w:highlight w:val="none"/>
          <w:lang w:bidi="zh-CN"/>
        </w:rPr>
        <w:t>项目最终整体验收合格，</w:t>
      </w:r>
      <w:r>
        <w:rPr>
          <w:rFonts w:hint="eastAsia" w:cs="宋体"/>
          <w:bCs/>
          <w:color w:val="auto"/>
          <w:kern w:val="0"/>
          <w:szCs w:val="21"/>
          <w:highlight w:val="none"/>
          <w:lang w:val="en-US" w:bidi="zh-CN"/>
        </w:rPr>
        <w:t>收到</w:t>
      </w:r>
      <w:r>
        <w:rPr>
          <w:rFonts w:hint="eastAsia" w:cs="宋体"/>
          <w:bCs/>
          <w:color w:val="auto"/>
          <w:kern w:val="0"/>
          <w:szCs w:val="21"/>
          <w:highlight w:val="none"/>
          <w:lang w:bidi="zh-CN"/>
        </w:rPr>
        <w:t>中标人</w:t>
      </w:r>
      <w:r>
        <w:rPr>
          <w:rFonts w:hint="eastAsia" w:cs="宋体"/>
          <w:bCs/>
          <w:color w:val="auto"/>
          <w:kern w:val="0"/>
          <w:szCs w:val="21"/>
          <w:highlight w:val="none"/>
          <w:lang w:val="en-US" w:bidi="zh-CN"/>
        </w:rPr>
        <w:t>开具的正规</w:t>
      </w:r>
      <w:r>
        <w:rPr>
          <w:rFonts w:hint="eastAsia" w:cs="宋体"/>
          <w:bCs/>
          <w:color w:val="auto"/>
          <w:kern w:val="0"/>
          <w:szCs w:val="21"/>
          <w:highlight w:val="none"/>
          <w:lang w:bidi="zh-CN"/>
        </w:rPr>
        <w:t>发票后7个工作日内，支付</w:t>
      </w:r>
      <w:r>
        <w:rPr>
          <w:rFonts w:hint="eastAsia" w:cs="宋体"/>
          <w:bCs/>
          <w:color w:val="auto"/>
          <w:kern w:val="0"/>
          <w:szCs w:val="21"/>
          <w:highlight w:val="none"/>
          <w:lang w:val="en-US" w:bidi="zh-CN"/>
        </w:rPr>
        <w:t>至合同金额的80%。</w:t>
      </w:r>
    </w:p>
    <w:p w14:paraId="0F77E3CE">
      <w:pPr>
        <w:adjustRightInd w:val="0"/>
        <w:snapToGrid w:val="0"/>
        <w:spacing w:beforeLines="0" w:line="360" w:lineRule="auto"/>
        <w:ind w:firstLine="480"/>
        <w:rPr>
          <w:rFonts w:hint="eastAsia" w:cs="宋体"/>
          <w:bCs/>
          <w:color w:val="auto"/>
          <w:kern w:val="0"/>
          <w:szCs w:val="21"/>
          <w:highlight w:val="none"/>
          <w:lang w:bidi="zh-CN"/>
        </w:rPr>
      </w:pPr>
      <w:r>
        <w:rPr>
          <w:rFonts w:hint="eastAsia" w:cs="宋体"/>
          <w:bCs/>
          <w:color w:val="auto"/>
          <w:kern w:val="0"/>
          <w:szCs w:val="21"/>
          <w:highlight w:val="none"/>
          <w:lang w:val="en-US" w:bidi="zh-CN"/>
        </w:rPr>
        <w:t>4.</w:t>
      </w:r>
      <w:r>
        <w:rPr>
          <w:rFonts w:hint="eastAsia" w:cs="宋体"/>
          <w:bCs/>
          <w:color w:val="auto"/>
          <w:kern w:val="0"/>
          <w:szCs w:val="21"/>
          <w:highlight w:val="none"/>
          <w:lang w:bidi="zh-CN"/>
        </w:rPr>
        <w:t>项目</w:t>
      </w:r>
      <w:r>
        <w:rPr>
          <w:rFonts w:hint="eastAsia" w:cs="宋体"/>
          <w:bCs/>
          <w:color w:val="auto"/>
          <w:kern w:val="0"/>
          <w:szCs w:val="21"/>
          <w:highlight w:val="none"/>
          <w:lang w:val="en-US" w:bidi="zh-CN"/>
        </w:rPr>
        <w:t>结算经审计结束</w:t>
      </w:r>
      <w:r>
        <w:rPr>
          <w:rFonts w:hint="eastAsia" w:cs="宋体"/>
          <w:bCs/>
          <w:color w:val="auto"/>
          <w:kern w:val="0"/>
          <w:szCs w:val="21"/>
          <w:highlight w:val="none"/>
          <w:lang w:bidi="zh-CN"/>
        </w:rPr>
        <w:t>后，中标人提供项目结算书及结算报价明细清单，经招标人审核通过、自收到发票后7个工作日</w:t>
      </w:r>
      <w:r>
        <w:rPr>
          <w:rFonts w:hint="eastAsia" w:cs="宋体"/>
          <w:bCs/>
          <w:color w:val="auto"/>
          <w:kern w:val="0"/>
          <w:szCs w:val="21"/>
          <w:highlight w:val="none"/>
          <w:lang w:val="en-US" w:bidi="zh-CN"/>
        </w:rPr>
        <w:t>支付至项目结算审定价的100%</w:t>
      </w:r>
      <w:r>
        <w:rPr>
          <w:rFonts w:hint="eastAsia" w:cs="宋体"/>
          <w:bCs/>
          <w:color w:val="auto"/>
          <w:kern w:val="0"/>
          <w:szCs w:val="21"/>
          <w:highlight w:val="none"/>
          <w:lang w:bidi="zh-CN"/>
        </w:rPr>
        <w:t>。</w:t>
      </w:r>
    </w:p>
    <w:p w14:paraId="48E60B78">
      <w:pPr>
        <w:adjustRightInd w:val="0"/>
        <w:snapToGrid w:val="0"/>
        <w:spacing w:beforeLines="0" w:line="360" w:lineRule="auto"/>
        <w:ind w:firstLine="480"/>
        <w:rPr>
          <w:rFonts w:hint="eastAsia" w:cs="宋体"/>
          <w:bCs/>
          <w:color w:val="auto"/>
          <w:kern w:val="0"/>
          <w:szCs w:val="21"/>
          <w:highlight w:val="none"/>
          <w:lang w:val="en-US" w:bidi="zh-CN"/>
        </w:rPr>
      </w:pPr>
      <w:r>
        <w:rPr>
          <w:rFonts w:hint="eastAsia" w:cs="宋体"/>
          <w:bCs/>
          <w:color w:val="auto"/>
          <w:kern w:val="0"/>
          <w:szCs w:val="21"/>
          <w:highlight w:val="none"/>
          <w:lang w:val="en-US" w:bidi="zh-CN"/>
        </w:rPr>
        <w:t>5.</w:t>
      </w:r>
      <w:r>
        <w:rPr>
          <w:rFonts w:hint="eastAsia"/>
        </w:rPr>
        <w:t>若中标供应商明确表示无需预付款或者主动要求降低预付款比例的，采购人可不适用上述规定。</w:t>
      </w:r>
    </w:p>
    <w:p w14:paraId="4A1F7D1F">
      <w:pPr>
        <w:bidi w:val="0"/>
        <w:spacing w:line="360" w:lineRule="auto"/>
        <w:rPr>
          <w:rFonts w:hint="default" w:eastAsia="宋体"/>
          <w:lang w:val="en-US" w:eastAsia="zh-CN"/>
        </w:rPr>
      </w:pPr>
      <w:r>
        <w:rPr>
          <w:rFonts w:hint="eastAsia"/>
          <w:lang w:val="en-US" w:eastAsia="zh-CN"/>
        </w:rPr>
        <w:t>6.</w:t>
      </w:r>
      <w:r>
        <w:rPr>
          <w:rFonts w:hint="eastAsia" w:cs="宋体"/>
          <w:bCs/>
          <w:color w:val="auto"/>
          <w:kern w:val="0"/>
          <w:szCs w:val="21"/>
          <w:highlight w:val="none"/>
          <w:lang w:val="en-US" w:bidi="zh-CN"/>
        </w:rPr>
        <w:t>中标人与各个学校单独签订合同，由学校向中标人支付相应款项。</w:t>
      </w:r>
    </w:p>
    <w:p w14:paraId="6CA24447">
      <w:pPr>
        <w:adjustRightInd w:val="0"/>
        <w:snapToGrid w:val="0"/>
        <w:spacing w:beforeLines="0" w:line="360" w:lineRule="auto"/>
        <w:ind w:firstLine="480"/>
        <w:rPr>
          <w:rFonts w:cs="宋体"/>
          <w:bCs/>
          <w:color w:val="auto"/>
          <w:kern w:val="0"/>
          <w:szCs w:val="21"/>
          <w:highlight w:val="none"/>
          <w:lang w:bidi="zh-CN"/>
        </w:rPr>
      </w:pPr>
      <w:r>
        <w:rPr>
          <w:rFonts w:hint="eastAsia" w:cs="宋体"/>
          <w:bCs/>
          <w:color w:val="auto"/>
          <w:kern w:val="0"/>
          <w:szCs w:val="21"/>
          <w:highlight w:val="none"/>
          <w:lang w:bidi="zh-CN"/>
        </w:rPr>
        <w:t>支付方式采用电汇或转账。</w:t>
      </w:r>
    </w:p>
    <w:p w14:paraId="4FD14EDE">
      <w:pPr>
        <w:pStyle w:val="5"/>
        <w:rPr>
          <w:b/>
          <w:bCs/>
          <w:color w:val="auto"/>
          <w:highlight w:val="none"/>
        </w:rPr>
      </w:pPr>
      <w:r>
        <w:rPr>
          <w:rFonts w:hint="eastAsia"/>
          <w:b/>
          <w:bCs/>
          <w:color w:val="auto"/>
          <w:highlight w:val="none"/>
        </w:rPr>
        <w:t>（</w:t>
      </w:r>
      <w:r>
        <w:rPr>
          <w:rFonts w:hint="eastAsia"/>
          <w:b/>
          <w:bCs/>
          <w:color w:val="auto"/>
          <w:highlight w:val="none"/>
          <w:lang w:val="en-US" w:eastAsia="zh-CN"/>
        </w:rPr>
        <w:t>七</w:t>
      </w:r>
      <w:r>
        <w:rPr>
          <w:rFonts w:hint="eastAsia"/>
          <w:b/>
          <w:bCs/>
          <w:color w:val="auto"/>
          <w:highlight w:val="none"/>
        </w:rPr>
        <w:t>）售后服务</w:t>
      </w:r>
    </w:p>
    <w:bookmarkEnd w:id="27"/>
    <w:bookmarkEnd w:id="28"/>
    <w:p w14:paraId="680C436E">
      <w:pPr>
        <w:adjustRightInd w:val="0"/>
        <w:snapToGrid w:val="0"/>
        <w:spacing w:beforeLines="0" w:line="360" w:lineRule="auto"/>
        <w:ind w:firstLine="480"/>
        <w:rPr>
          <w:rFonts w:hint="eastAsia"/>
          <w:color w:val="auto"/>
          <w:highlight w:val="none"/>
        </w:rPr>
      </w:pPr>
      <w:bookmarkStart w:id="29" w:name="_Toc12425"/>
      <w:r>
        <w:rPr>
          <w:rFonts w:hint="eastAsia"/>
          <w:color w:val="auto"/>
          <w:highlight w:val="none"/>
          <w:lang w:val="en-US" w:eastAsia="zh-CN"/>
        </w:rPr>
        <w:t>1.</w:t>
      </w:r>
      <w:r>
        <w:rPr>
          <w:rFonts w:hint="eastAsia"/>
          <w:color w:val="auto"/>
          <w:highlight w:val="none"/>
          <w:lang w:eastAsia="zh-CN"/>
        </w:rPr>
        <w:t>中标人</w:t>
      </w:r>
      <w:r>
        <w:rPr>
          <w:rFonts w:hint="eastAsia"/>
          <w:color w:val="auto"/>
          <w:highlight w:val="none"/>
        </w:rPr>
        <w:t>应按招标文件规定的货物性能、技术要求、质量标准向</w:t>
      </w:r>
      <w:r>
        <w:rPr>
          <w:rFonts w:hint="eastAsia"/>
          <w:color w:val="auto"/>
          <w:highlight w:val="none"/>
          <w:lang w:eastAsia="zh-CN"/>
        </w:rPr>
        <w:t>招标人</w:t>
      </w:r>
      <w:r>
        <w:rPr>
          <w:rFonts w:hint="eastAsia"/>
          <w:color w:val="auto"/>
          <w:highlight w:val="none"/>
        </w:rPr>
        <w:t>提供未经使用的全新产品。</w:t>
      </w:r>
      <w:r>
        <w:rPr>
          <w:rFonts w:hint="eastAsia"/>
          <w:color w:val="auto"/>
          <w:highlight w:val="none"/>
          <w:lang w:eastAsia="zh-CN"/>
        </w:rPr>
        <w:t>中标人</w:t>
      </w:r>
      <w:r>
        <w:rPr>
          <w:rFonts w:hint="eastAsia"/>
          <w:color w:val="auto"/>
          <w:highlight w:val="none"/>
        </w:rPr>
        <w:t>保证所提供硬件产品包括相关附件为相应硬件厂家原装正品，软件产品为相关厂家正版软件，符合国家有关规定。并保证所提供产品具有合法的版权或使用权，本项目采购的产品，如在本项目范围内使用过程中出现版权或使用权纠纷，应由</w:t>
      </w:r>
      <w:r>
        <w:rPr>
          <w:rFonts w:hint="eastAsia"/>
          <w:color w:val="auto"/>
          <w:highlight w:val="none"/>
          <w:lang w:eastAsia="zh-CN"/>
        </w:rPr>
        <w:t>中标人</w:t>
      </w:r>
      <w:r>
        <w:rPr>
          <w:rFonts w:hint="eastAsia"/>
          <w:color w:val="auto"/>
          <w:highlight w:val="none"/>
        </w:rPr>
        <w:t>负责，</w:t>
      </w:r>
      <w:r>
        <w:rPr>
          <w:rFonts w:hint="eastAsia"/>
          <w:color w:val="auto"/>
          <w:highlight w:val="none"/>
          <w:lang w:eastAsia="zh-CN"/>
        </w:rPr>
        <w:t>招标人</w:t>
      </w:r>
      <w:r>
        <w:rPr>
          <w:rFonts w:hint="eastAsia"/>
          <w:color w:val="auto"/>
          <w:highlight w:val="none"/>
        </w:rPr>
        <w:t>不承担责任。</w:t>
      </w:r>
    </w:p>
    <w:p w14:paraId="29A2BF23">
      <w:pPr>
        <w:adjustRightInd w:val="0"/>
        <w:snapToGrid w:val="0"/>
        <w:spacing w:beforeLines="0" w:line="360" w:lineRule="auto"/>
        <w:ind w:firstLine="480"/>
        <w:rPr>
          <w:rFonts w:hint="eastAsia"/>
          <w:color w:val="auto"/>
          <w:highlight w:val="none"/>
        </w:rPr>
      </w:pPr>
      <w:r>
        <w:rPr>
          <w:rFonts w:hint="eastAsia"/>
          <w:color w:val="auto"/>
          <w:highlight w:val="none"/>
          <w:lang w:val="en-US" w:eastAsia="zh-CN"/>
        </w:rPr>
        <w:t>2.</w:t>
      </w:r>
      <w:r>
        <w:rPr>
          <w:rFonts w:hint="eastAsia"/>
          <w:color w:val="auto"/>
          <w:highlight w:val="none"/>
          <w:lang w:eastAsia="zh-CN"/>
        </w:rPr>
        <w:t>中标人</w:t>
      </w:r>
      <w:r>
        <w:rPr>
          <w:rFonts w:hint="eastAsia"/>
          <w:color w:val="auto"/>
          <w:highlight w:val="none"/>
        </w:rPr>
        <w:t>提供的货物在质保期内因货物本身的质量问题发生故障，</w:t>
      </w:r>
      <w:r>
        <w:rPr>
          <w:rFonts w:hint="eastAsia"/>
          <w:color w:val="auto"/>
          <w:highlight w:val="none"/>
          <w:lang w:eastAsia="zh-CN"/>
        </w:rPr>
        <w:t>中标人</w:t>
      </w:r>
      <w:r>
        <w:rPr>
          <w:rFonts w:hint="eastAsia"/>
          <w:color w:val="auto"/>
          <w:highlight w:val="none"/>
        </w:rPr>
        <w:t>应负责免费更换，更换的部件不得低于原部件技术参数。返修或更换后的部件保修期自恢复正常使用之日起顺延。</w:t>
      </w:r>
    </w:p>
    <w:p w14:paraId="32D38FB7">
      <w:pPr>
        <w:adjustRightInd w:val="0"/>
        <w:snapToGrid w:val="0"/>
        <w:spacing w:beforeLines="0" w:line="360" w:lineRule="auto"/>
        <w:ind w:firstLine="480"/>
        <w:rPr>
          <w:rFonts w:hint="eastAsia" w:eastAsia="宋体"/>
          <w:color w:val="auto"/>
          <w:highlight w:val="none"/>
          <w:lang w:eastAsia="zh-CN"/>
        </w:rPr>
      </w:pPr>
      <w:r>
        <w:rPr>
          <w:rFonts w:hint="eastAsia"/>
          <w:color w:val="auto"/>
          <w:highlight w:val="none"/>
          <w:lang w:val="en-US" w:eastAsia="zh-CN"/>
        </w:rPr>
        <w:t>3.</w:t>
      </w:r>
      <w:r>
        <w:rPr>
          <w:rFonts w:hint="eastAsia"/>
          <w:color w:val="auto"/>
          <w:highlight w:val="none"/>
        </w:rPr>
        <w:t>质保期内</w:t>
      </w:r>
      <w:r>
        <w:rPr>
          <w:rFonts w:hint="eastAsia"/>
          <w:color w:val="auto"/>
          <w:highlight w:val="none"/>
          <w:lang w:eastAsia="zh-CN"/>
        </w:rPr>
        <w:t>中标人</w:t>
      </w:r>
      <w:r>
        <w:rPr>
          <w:rFonts w:hint="eastAsia"/>
          <w:color w:val="auto"/>
          <w:highlight w:val="none"/>
        </w:rPr>
        <w:t>须</w:t>
      </w:r>
      <w:r>
        <w:rPr>
          <w:rFonts w:hint="eastAsia"/>
          <w:color w:val="auto"/>
          <w:highlight w:val="none"/>
          <w:lang w:eastAsia="zh-CN"/>
        </w:rPr>
        <w:t>定期</w:t>
      </w:r>
      <w:r>
        <w:rPr>
          <w:rFonts w:hint="eastAsia"/>
          <w:color w:val="auto"/>
          <w:highlight w:val="none"/>
        </w:rPr>
        <w:t>对系统进行巡检，确保每个功能模块的正常运行</w:t>
      </w:r>
      <w:r>
        <w:rPr>
          <w:rFonts w:hint="eastAsia"/>
          <w:color w:val="auto"/>
          <w:highlight w:val="none"/>
          <w:lang w:eastAsia="zh-CN"/>
        </w:rPr>
        <w:t>。</w:t>
      </w:r>
    </w:p>
    <w:p w14:paraId="06638E30">
      <w:pPr>
        <w:adjustRightInd w:val="0"/>
        <w:snapToGrid w:val="0"/>
        <w:spacing w:beforeLines="0" w:line="360" w:lineRule="auto"/>
        <w:ind w:firstLine="480"/>
        <w:rPr>
          <w:rFonts w:hint="eastAsia"/>
          <w:color w:val="auto"/>
          <w:highlight w:val="none"/>
        </w:rPr>
      </w:pPr>
      <w:r>
        <w:rPr>
          <w:rFonts w:hint="eastAsia"/>
          <w:color w:val="auto"/>
          <w:highlight w:val="none"/>
          <w:lang w:val="en-US" w:eastAsia="zh-CN"/>
        </w:rPr>
        <w:t>4.</w:t>
      </w:r>
      <w:r>
        <w:rPr>
          <w:rFonts w:hint="eastAsia"/>
          <w:color w:val="auto"/>
          <w:highlight w:val="none"/>
        </w:rPr>
        <w:t>技术支持</w:t>
      </w:r>
    </w:p>
    <w:p w14:paraId="1B13781A">
      <w:pPr>
        <w:adjustRightInd w:val="0"/>
        <w:snapToGrid w:val="0"/>
        <w:spacing w:beforeLines="0" w:line="360" w:lineRule="auto"/>
        <w:ind w:left="0" w:leftChars="0" w:firstLine="48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远程技术支持：</w:t>
      </w:r>
      <w:r>
        <w:rPr>
          <w:rFonts w:hint="eastAsia"/>
          <w:color w:val="auto"/>
          <w:highlight w:val="none"/>
          <w:lang w:eastAsia="zh-CN"/>
        </w:rPr>
        <w:t>中标人</w:t>
      </w:r>
      <w:r>
        <w:rPr>
          <w:rFonts w:hint="eastAsia"/>
          <w:color w:val="auto"/>
          <w:highlight w:val="none"/>
        </w:rPr>
        <w:t>应具有稳定的技术支持队伍和完善的服务支持网络，提供7×24小时技术支持服务，及时响应</w:t>
      </w:r>
      <w:r>
        <w:rPr>
          <w:rFonts w:hint="eastAsia"/>
          <w:color w:val="auto"/>
          <w:highlight w:val="none"/>
          <w:lang w:eastAsia="zh-CN"/>
        </w:rPr>
        <w:t>招标人</w:t>
      </w:r>
      <w:r>
        <w:rPr>
          <w:rFonts w:hint="eastAsia"/>
          <w:color w:val="auto"/>
          <w:highlight w:val="none"/>
        </w:rPr>
        <w:t>的技术服务支持需求，提出有效的解决方案，解决</w:t>
      </w:r>
      <w:r>
        <w:rPr>
          <w:rFonts w:hint="eastAsia"/>
          <w:color w:val="auto"/>
          <w:highlight w:val="none"/>
          <w:lang w:eastAsia="zh-CN"/>
        </w:rPr>
        <w:t>招标人</w:t>
      </w:r>
      <w:r>
        <w:rPr>
          <w:rFonts w:hint="eastAsia"/>
          <w:color w:val="auto"/>
          <w:highlight w:val="none"/>
        </w:rPr>
        <w:t>在货物/软件使用过程中遇到的实际问题。</w:t>
      </w:r>
    </w:p>
    <w:p w14:paraId="66216E38">
      <w:pPr>
        <w:adjustRightInd w:val="0"/>
        <w:snapToGrid w:val="0"/>
        <w:spacing w:beforeLines="0" w:line="360" w:lineRule="auto"/>
        <w:ind w:left="0" w:leftChars="0" w:firstLine="48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现场技术支持：对于通过电话、邮件等远程技术支持不能解决的问题，</w:t>
      </w:r>
      <w:r>
        <w:rPr>
          <w:rFonts w:hint="eastAsia"/>
          <w:color w:val="auto"/>
          <w:highlight w:val="none"/>
          <w:lang w:eastAsia="zh-CN"/>
        </w:rPr>
        <w:t>中标人</w:t>
      </w:r>
      <w:r>
        <w:rPr>
          <w:rFonts w:hint="eastAsia"/>
          <w:color w:val="auto"/>
          <w:highlight w:val="none"/>
        </w:rPr>
        <w:t>应在</w:t>
      </w:r>
      <w:r>
        <w:rPr>
          <w:rFonts w:hint="eastAsia"/>
          <w:color w:val="auto"/>
          <w:highlight w:val="none"/>
          <w:lang w:eastAsia="zh-CN"/>
        </w:rPr>
        <w:t>接到招标人通知后</w:t>
      </w:r>
      <w:r>
        <w:rPr>
          <w:rFonts w:hint="eastAsia"/>
          <w:color w:val="auto"/>
          <w:highlight w:val="none"/>
          <w:lang w:val="en-US" w:eastAsia="zh-CN"/>
        </w:rPr>
        <w:t>4</w:t>
      </w:r>
      <w:r>
        <w:rPr>
          <w:rFonts w:hint="eastAsia"/>
          <w:color w:val="auto"/>
          <w:highlight w:val="none"/>
        </w:rPr>
        <w:t>小时内派遣相关人员赶赴现场，12小时内维修完毕；发生紧急抢修事故的，</w:t>
      </w:r>
      <w:r>
        <w:rPr>
          <w:rFonts w:hint="eastAsia"/>
          <w:color w:val="auto"/>
          <w:highlight w:val="none"/>
          <w:lang w:eastAsia="zh-CN"/>
        </w:rPr>
        <w:t>中标人</w:t>
      </w:r>
      <w:r>
        <w:rPr>
          <w:rFonts w:hint="eastAsia"/>
          <w:color w:val="auto"/>
          <w:highlight w:val="none"/>
        </w:rPr>
        <w:t>应在接到</w:t>
      </w:r>
      <w:r>
        <w:rPr>
          <w:rFonts w:hint="eastAsia"/>
          <w:color w:val="auto"/>
          <w:highlight w:val="none"/>
          <w:lang w:eastAsia="zh-CN"/>
        </w:rPr>
        <w:t>招标人</w:t>
      </w:r>
      <w:r>
        <w:rPr>
          <w:rFonts w:hint="eastAsia"/>
          <w:color w:val="auto"/>
          <w:highlight w:val="none"/>
        </w:rPr>
        <w:t>通知后</w:t>
      </w:r>
      <w:r>
        <w:rPr>
          <w:rFonts w:hint="eastAsia"/>
          <w:color w:val="auto"/>
          <w:highlight w:val="none"/>
          <w:lang w:val="en-US" w:eastAsia="zh-CN"/>
        </w:rPr>
        <w:t>2</w:t>
      </w:r>
      <w:r>
        <w:rPr>
          <w:rFonts w:hint="eastAsia"/>
          <w:color w:val="auto"/>
          <w:highlight w:val="none"/>
        </w:rPr>
        <w:t>小时内到达现场抢修，并于到达现场</w:t>
      </w:r>
      <w:r>
        <w:rPr>
          <w:rFonts w:hint="eastAsia"/>
          <w:color w:val="auto"/>
          <w:highlight w:val="none"/>
          <w:lang w:eastAsia="zh-CN"/>
        </w:rPr>
        <w:t>后</w:t>
      </w:r>
      <w:r>
        <w:rPr>
          <w:rFonts w:hint="eastAsia"/>
          <w:color w:val="auto"/>
          <w:highlight w:val="none"/>
        </w:rPr>
        <w:t>4小时内排除故障。</w:t>
      </w:r>
    </w:p>
    <w:p w14:paraId="69FA9C8B">
      <w:pPr>
        <w:adjustRightInd w:val="0"/>
        <w:snapToGrid w:val="0"/>
        <w:spacing w:beforeLines="0" w:line="360" w:lineRule="auto"/>
        <w:ind w:left="0" w:leftChars="0" w:firstLine="48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技术升级支持：</w:t>
      </w:r>
      <w:r>
        <w:rPr>
          <w:rFonts w:hint="eastAsia"/>
          <w:color w:val="auto"/>
          <w:highlight w:val="none"/>
          <w:lang w:eastAsia="zh-CN"/>
        </w:rPr>
        <w:t>中标人</w:t>
      </w:r>
      <w:r>
        <w:rPr>
          <w:rFonts w:hint="eastAsia"/>
          <w:color w:val="auto"/>
          <w:highlight w:val="none"/>
        </w:rPr>
        <w:t>提供货物/软件的终身免费维护和升级服务，如对产品有新的改进、增加新功能或者未适应最新标准所形成的最新版本，免费提供给用户方。保证货物/软件正常运行，且不影响</w:t>
      </w:r>
      <w:r>
        <w:rPr>
          <w:rFonts w:hint="eastAsia"/>
          <w:color w:val="auto"/>
          <w:highlight w:val="none"/>
          <w:lang w:eastAsia="zh-CN"/>
        </w:rPr>
        <w:t>招标人</w:t>
      </w:r>
      <w:r>
        <w:rPr>
          <w:rFonts w:hint="eastAsia"/>
          <w:color w:val="auto"/>
          <w:highlight w:val="none"/>
        </w:rPr>
        <w:t>其它运行环境。</w:t>
      </w:r>
    </w:p>
    <w:p w14:paraId="388909C2">
      <w:pPr>
        <w:adjustRightInd w:val="0"/>
        <w:snapToGrid w:val="0"/>
        <w:spacing w:beforeLines="0" w:line="360" w:lineRule="auto"/>
        <w:ind w:firstLine="480"/>
        <w:rPr>
          <w:rFonts w:hint="eastAsia"/>
          <w:color w:val="auto"/>
          <w:highlight w:val="none"/>
        </w:rPr>
      </w:pPr>
      <w:r>
        <w:rPr>
          <w:rFonts w:hint="eastAsia"/>
          <w:color w:val="auto"/>
          <w:highlight w:val="none"/>
          <w:lang w:val="en-US" w:eastAsia="zh-CN"/>
        </w:rPr>
        <w:t>5.</w:t>
      </w:r>
      <w:r>
        <w:rPr>
          <w:rFonts w:hint="eastAsia"/>
          <w:color w:val="auto"/>
          <w:highlight w:val="none"/>
        </w:rPr>
        <w:t>在质保期内，</w:t>
      </w:r>
      <w:r>
        <w:rPr>
          <w:rFonts w:hint="eastAsia"/>
          <w:color w:val="auto"/>
          <w:highlight w:val="none"/>
          <w:lang w:eastAsia="zh-CN"/>
        </w:rPr>
        <w:t>中标人</w:t>
      </w:r>
      <w:r>
        <w:rPr>
          <w:rFonts w:hint="eastAsia"/>
          <w:color w:val="auto"/>
          <w:highlight w:val="none"/>
        </w:rPr>
        <w:t>对货物/服务出现的质量及安全问题负责处理解决并承担一切费用。</w:t>
      </w:r>
    </w:p>
    <w:p w14:paraId="7EE44E27">
      <w:pPr>
        <w:adjustRightInd w:val="0"/>
        <w:snapToGrid w:val="0"/>
        <w:spacing w:beforeLines="0" w:line="360" w:lineRule="auto"/>
        <w:ind w:firstLine="480"/>
        <w:rPr>
          <w:rFonts w:hint="eastAsia"/>
          <w:color w:val="auto"/>
          <w:highlight w:val="none"/>
        </w:rPr>
      </w:pPr>
      <w:r>
        <w:rPr>
          <w:rFonts w:hint="eastAsia"/>
          <w:color w:val="auto"/>
          <w:highlight w:val="none"/>
          <w:lang w:val="en-US" w:eastAsia="zh-CN"/>
        </w:rPr>
        <w:t>6.</w:t>
      </w:r>
      <w:r>
        <w:rPr>
          <w:rFonts w:hint="eastAsia"/>
          <w:color w:val="auto"/>
          <w:highlight w:val="none"/>
        </w:rPr>
        <w:t>质保期届满前，须由</w:t>
      </w:r>
      <w:r>
        <w:rPr>
          <w:rFonts w:hint="eastAsia"/>
          <w:color w:val="auto"/>
          <w:highlight w:val="none"/>
          <w:lang w:eastAsia="zh-CN"/>
        </w:rPr>
        <w:t>中标人</w:t>
      </w:r>
      <w:r>
        <w:rPr>
          <w:rFonts w:hint="eastAsia"/>
          <w:color w:val="auto"/>
          <w:highlight w:val="none"/>
        </w:rPr>
        <w:t>技术人员和甲代表进行一次全面检查，任何缺陷必须由</w:t>
      </w:r>
      <w:r>
        <w:rPr>
          <w:rFonts w:hint="eastAsia"/>
          <w:color w:val="auto"/>
          <w:highlight w:val="none"/>
          <w:lang w:eastAsia="zh-CN"/>
        </w:rPr>
        <w:t>中标人</w:t>
      </w:r>
      <w:r>
        <w:rPr>
          <w:rFonts w:hint="eastAsia"/>
          <w:color w:val="auto"/>
          <w:highlight w:val="none"/>
        </w:rPr>
        <w:t>负责维修，在修理之后，供应商（中标人）应将缺陷原因、维修内容、完成维修及恢复正常的时间和日期等报告给</w:t>
      </w:r>
      <w:r>
        <w:rPr>
          <w:rFonts w:hint="eastAsia"/>
          <w:color w:val="auto"/>
          <w:highlight w:val="none"/>
          <w:lang w:eastAsia="zh-CN"/>
        </w:rPr>
        <w:t>招标人</w:t>
      </w:r>
      <w:r>
        <w:rPr>
          <w:rFonts w:hint="eastAsia"/>
          <w:color w:val="auto"/>
          <w:highlight w:val="none"/>
        </w:rPr>
        <w:t>，报告一式两份。</w:t>
      </w:r>
    </w:p>
    <w:p w14:paraId="3E0E54F1">
      <w:pPr>
        <w:adjustRightInd w:val="0"/>
        <w:snapToGrid w:val="0"/>
        <w:spacing w:beforeLines="0" w:line="360" w:lineRule="auto"/>
        <w:ind w:firstLine="480"/>
        <w:rPr>
          <w:rFonts w:hint="eastAsia"/>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对所提供的产品、服务，应为</w:t>
      </w:r>
      <w:r>
        <w:rPr>
          <w:rFonts w:hint="eastAsia"/>
          <w:color w:val="auto"/>
          <w:highlight w:val="none"/>
          <w:lang w:eastAsia="zh-CN"/>
        </w:rPr>
        <w:t>招标人</w:t>
      </w:r>
      <w:r>
        <w:rPr>
          <w:rFonts w:hint="eastAsia"/>
          <w:color w:val="auto"/>
          <w:highlight w:val="none"/>
        </w:rPr>
        <w:t>的技术维护人员和管理人员进行1次及以上的原厂技术培训，确保</w:t>
      </w:r>
      <w:r>
        <w:rPr>
          <w:rFonts w:hint="eastAsia"/>
          <w:color w:val="auto"/>
          <w:highlight w:val="none"/>
          <w:lang w:eastAsia="zh-CN"/>
        </w:rPr>
        <w:t>招标人</w:t>
      </w:r>
      <w:r>
        <w:rPr>
          <w:rFonts w:hint="eastAsia"/>
          <w:color w:val="auto"/>
          <w:highlight w:val="none"/>
        </w:rPr>
        <w:t>能够熟练使用设备。并提供培训计划，培训计划中应该明确培训内容、培训时间、培训方案。</w:t>
      </w:r>
    </w:p>
    <w:p w14:paraId="417F0DEC">
      <w:pPr>
        <w:adjustRightInd w:val="0"/>
        <w:snapToGrid w:val="0"/>
        <w:spacing w:beforeLines="0" w:line="360" w:lineRule="auto"/>
        <w:ind w:firstLine="480"/>
        <w:rPr>
          <w:color w:val="auto"/>
          <w:highlight w:val="none"/>
        </w:rPr>
      </w:pPr>
      <w:r>
        <w:rPr>
          <w:rFonts w:hint="eastAsia"/>
          <w:color w:val="auto"/>
          <w:highlight w:val="none"/>
          <w:lang w:val="en-US" w:eastAsia="zh-CN"/>
        </w:rPr>
        <w:t>8.</w:t>
      </w:r>
      <w:r>
        <w:rPr>
          <w:rFonts w:hint="eastAsia"/>
          <w:color w:val="auto"/>
          <w:highlight w:val="none"/>
          <w:lang w:eastAsia="zh-CN"/>
        </w:rPr>
        <w:t>中标人</w:t>
      </w:r>
      <w:r>
        <w:rPr>
          <w:rFonts w:hint="eastAsia"/>
          <w:color w:val="auto"/>
          <w:highlight w:val="none"/>
        </w:rPr>
        <w:t>应遵守安全相关规定，加强自身安全教育，做好安全防范意识，在此工作期间产生的一切安全事故问题以及其他后果由</w:t>
      </w:r>
      <w:r>
        <w:rPr>
          <w:rFonts w:hint="eastAsia"/>
          <w:color w:val="auto"/>
          <w:highlight w:val="none"/>
          <w:lang w:eastAsia="zh-CN"/>
        </w:rPr>
        <w:t>中标人</w:t>
      </w:r>
      <w:r>
        <w:rPr>
          <w:rFonts w:hint="eastAsia"/>
          <w:color w:val="auto"/>
          <w:highlight w:val="none"/>
        </w:rPr>
        <w:t>自行承担。在项目实施过程中，</w:t>
      </w:r>
      <w:r>
        <w:rPr>
          <w:rFonts w:hint="eastAsia"/>
          <w:color w:val="auto"/>
          <w:highlight w:val="none"/>
          <w:lang w:eastAsia="zh-CN"/>
        </w:rPr>
        <w:t>中标人</w:t>
      </w:r>
      <w:r>
        <w:rPr>
          <w:rFonts w:hint="eastAsia"/>
          <w:color w:val="auto"/>
          <w:highlight w:val="none"/>
        </w:rPr>
        <w:t>应严格遵守国家相关保密与安全法律法规，遵循</w:t>
      </w:r>
      <w:r>
        <w:rPr>
          <w:rFonts w:hint="eastAsia"/>
          <w:color w:val="auto"/>
          <w:highlight w:val="none"/>
          <w:lang w:eastAsia="zh-CN"/>
        </w:rPr>
        <w:t>招标人</w:t>
      </w:r>
      <w:r>
        <w:rPr>
          <w:rFonts w:hint="eastAsia"/>
          <w:color w:val="auto"/>
          <w:highlight w:val="none"/>
        </w:rPr>
        <w:t>各项安全保密制度和规章。</w:t>
      </w:r>
      <w:r>
        <w:rPr>
          <w:rFonts w:hint="eastAsia"/>
          <w:color w:val="auto"/>
          <w:highlight w:val="none"/>
          <w:lang w:eastAsia="zh-CN"/>
        </w:rPr>
        <w:t>中标人</w:t>
      </w:r>
      <w:r>
        <w:rPr>
          <w:rFonts w:hint="eastAsia"/>
          <w:color w:val="auto"/>
          <w:highlight w:val="none"/>
        </w:rPr>
        <w:t>对实际服务过程中形成的技术信息和资料，以及</w:t>
      </w:r>
      <w:r>
        <w:rPr>
          <w:rFonts w:hint="eastAsia"/>
          <w:color w:val="auto"/>
          <w:highlight w:val="none"/>
          <w:lang w:eastAsia="zh-CN"/>
        </w:rPr>
        <w:t>招标人</w:t>
      </w:r>
      <w:r>
        <w:rPr>
          <w:rFonts w:hint="eastAsia"/>
          <w:color w:val="auto"/>
          <w:highlight w:val="none"/>
        </w:rPr>
        <w:t>提供的所有数据、文件等信息承担保密责任，落实保密管理与监督措施。</w:t>
      </w:r>
      <w:r>
        <w:rPr>
          <w:rFonts w:hint="eastAsia"/>
          <w:color w:val="auto"/>
          <w:highlight w:val="none"/>
          <w:lang w:eastAsia="zh-CN"/>
        </w:rPr>
        <w:t>中标人</w:t>
      </w:r>
      <w:r>
        <w:rPr>
          <w:rFonts w:hint="eastAsia"/>
          <w:color w:val="auto"/>
          <w:highlight w:val="none"/>
        </w:rPr>
        <w:t>对其派出本项目人员的泄密行为承担连带法律责任，无论本合同是否解除或终止，本条款持续有效。</w:t>
      </w:r>
    </w:p>
    <w:p w14:paraId="230B9C2B">
      <w:pPr>
        <w:pStyle w:val="5"/>
        <w:rPr>
          <w:rFonts w:hint="eastAsia"/>
          <w:color w:val="auto"/>
          <w:highlight w:val="none"/>
        </w:rPr>
      </w:pPr>
      <w:r>
        <w:rPr>
          <w:rFonts w:hint="eastAsia"/>
          <w:color w:val="auto"/>
          <w:highlight w:val="none"/>
        </w:rPr>
        <w:t>（</w:t>
      </w:r>
      <w:r>
        <w:rPr>
          <w:rFonts w:hint="eastAsia"/>
          <w:color w:val="auto"/>
          <w:highlight w:val="none"/>
          <w:lang w:eastAsia="zh-CN"/>
        </w:rPr>
        <w:t>八</w:t>
      </w:r>
      <w:r>
        <w:rPr>
          <w:rFonts w:hint="eastAsia"/>
          <w:color w:val="auto"/>
          <w:highlight w:val="none"/>
        </w:rPr>
        <w:t>）安装与验收</w:t>
      </w:r>
    </w:p>
    <w:p w14:paraId="409316D5">
      <w:pPr>
        <w:pStyle w:val="14"/>
        <w:pageBreakBefore w:val="0"/>
        <w:kinsoku/>
        <w:overflowPunct/>
        <w:topLinePunct w:val="0"/>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到货验收：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约定时间</w:t>
      </w:r>
      <w:r>
        <w:rPr>
          <w:rFonts w:hint="eastAsia" w:ascii="宋体" w:hAnsi="宋体" w:eastAsia="宋体" w:cs="宋体"/>
          <w:color w:val="auto"/>
          <w:sz w:val="24"/>
          <w:szCs w:val="24"/>
          <w:highlight w:val="none"/>
        </w:rPr>
        <w:t>内完成供货，并提供设备的有效检验文件。货物运抵</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指定地点后，</w:t>
      </w:r>
      <w:r>
        <w:rPr>
          <w:rFonts w:hint="eastAsia" w:ascii="宋体" w:hAnsi="宋体" w:eastAsia="宋体" w:cs="宋体"/>
          <w:color w:val="auto"/>
          <w:sz w:val="24"/>
          <w:szCs w:val="24"/>
          <w:highlight w:val="none"/>
          <w:lang w:eastAsia="zh-CN"/>
        </w:rPr>
        <w:t>招标人、中标人</w:t>
      </w:r>
      <w:r>
        <w:rPr>
          <w:rFonts w:hint="eastAsia" w:ascii="宋体" w:hAnsi="宋体" w:eastAsia="宋体" w:cs="宋体"/>
          <w:color w:val="auto"/>
          <w:sz w:val="24"/>
          <w:szCs w:val="24"/>
          <w:highlight w:val="none"/>
        </w:rPr>
        <w:t>双方应依据合同及</w:t>
      </w:r>
      <w:r>
        <w:rPr>
          <w:rFonts w:hint="eastAsia" w:ascii="宋体" w:hAnsi="宋体" w:eastAsia="宋体" w:cs="宋体"/>
          <w:color w:val="auto"/>
          <w:sz w:val="24"/>
          <w:szCs w:val="24"/>
          <w:highlight w:val="none"/>
          <w:lang w:eastAsia="zh-CN"/>
        </w:rPr>
        <w:t>招标、投标</w:t>
      </w:r>
      <w:r>
        <w:rPr>
          <w:rFonts w:hint="eastAsia" w:ascii="宋体" w:hAnsi="宋体" w:eastAsia="宋体" w:cs="宋体"/>
          <w:color w:val="auto"/>
          <w:sz w:val="24"/>
          <w:szCs w:val="24"/>
          <w:highlight w:val="none"/>
        </w:rPr>
        <w:t>文件上的技术规格要求和国家有关质量标准及时进行验收。</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对设备验收合格后，双方共同签署验收合格证书。</w:t>
      </w:r>
    </w:p>
    <w:p w14:paraId="7F340068">
      <w:pPr>
        <w:pStyle w:val="14"/>
        <w:pageBreakBefore w:val="0"/>
        <w:kinsoku/>
        <w:overflowPunct/>
        <w:topLinePunct w:val="0"/>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招标人、中标人</w:t>
      </w:r>
      <w:r>
        <w:rPr>
          <w:rFonts w:hint="eastAsia" w:ascii="宋体" w:hAnsi="宋体" w:eastAsia="宋体" w:cs="宋体"/>
          <w:color w:val="auto"/>
          <w:sz w:val="24"/>
          <w:szCs w:val="24"/>
          <w:highlight w:val="none"/>
        </w:rPr>
        <w:t>双方进行开箱检验，所有货物在开箱时应完好，无破损。配置与装箱单相符。数量、质量及性能不低于合同要求。货物为原厂商未启封全新包装，具出厂合格证，序列号、包装箱号与出厂批号一致，并可追索查阅。所有随货物的附件应齐全。拆箱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应对其全部货物及与装箱单对比，如发生所供货物与合同约定不符，</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有权退货或要求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进行更换、补齐，</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应在接到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要求后7日内予以补救，所产生的费用及法律后果由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承担。因此造成逾期交货的，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应承担由此给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造成的损失和逾期交货的违约责任。</w:t>
      </w:r>
    </w:p>
    <w:p w14:paraId="685E97BE">
      <w:pPr>
        <w:pStyle w:val="14"/>
        <w:pageBreakBefore w:val="0"/>
        <w:kinsoku/>
        <w:overflowPunct/>
        <w:topLinePunct w:val="0"/>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安装调试：</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负责提供本项目采购的所有设备以及安装和维护服务，在</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指定时间内，所有的设备必须保证同时安装到位，应符合国家有关技术规范要求和技术标准，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需对供货设备的技术参数进行点对点响应的确认和系统测试。若本项目采购的货物及服务等方面的配置或要求中出现不合理或不完整的问题时，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有责任和义务提出补充修改方案并征得</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同意后付诸实施。</w:t>
      </w:r>
    </w:p>
    <w:p w14:paraId="06A41FDD">
      <w:pPr>
        <w:pStyle w:val="14"/>
        <w:pageBreakBefore w:val="0"/>
        <w:kinsoku/>
        <w:overflowPunct/>
        <w:topLinePunct w:val="0"/>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安装调试所需的专用工具、备品备件以及合同规定的其他事项由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提供。安装调试过程中，</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应采取安全保障措施，保证人员安全。如因</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原因造成人员伤亡和财产损失的，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应承担全部赔偿责任。</w:t>
      </w:r>
    </w:p>
    <w:p w14:paraId="19822CD1">
      <w:pPr>
        <w:pStyle w:val="14"/>
        <w:pageBreakBefore w:val="0"/>
        <w:kinsoku/>
        <w:overflowPunct/>
        <w:topLinePunct w:val="0"/>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最终验收：设备经安装调试完成且符合技术要求后，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提出整体验收申请，经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同意后进行最终验收。验收时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必须在现场，货物符合成交文件约定的技术规范要求和验收标准的，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签署验收合格证明。如货物不符合合同约定的要求的，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应当在7日内采取措施消除缺陷后重新申请终验，并承担由此产生的费用。</w:t>
      </w:r>
    </w:p>
    <w:p w14:paraId="3E6F73AA">
      <w:pPr>
        <w:pStyle w:val="14"/>
        <w:pageBreakBefore w:val="0"/>
        <w:kinsoku/>
        <w:overflowPunct/>
        <w:topLinePunct w:val="0"/>
        <w:bidi w:val="0"/>
        <w:adjustRightInd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对技术复杂的货物， </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可聘请国家认可的专业检测机构参与验收，并由其出具质量检测报告，检测费用由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承担。</w:t>
      </w:r>
    </w:p>
    <w:p w14:paraId="6079D902">
      <w:pPr>
        <w:spacing w:line="360" w:lineRule="auto"/>
        <w:rPr>
          <w:rFonts w:hint="eastAsia"/>
          <w:color w:val="auto"/>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货物毁损、灭失的风险，自货物最终验收合格之日起由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承担。</w:t>
      </w:r>
    </w:p>
    <w:p w14:paraId="2C4046D9">
      <w:pPr>
        <w:pStyle w:val="5"/>
        <w:spacing w:line="360" w:lineRule="auto"/>
        <w:rPr>
          <w:b/>
          <w:bCs/>
          <w:color w:val="auto"/>
          <w:highlight w:val="none"/>
        </w:rPr>
      </w:pPr>
      <w:r>
        <w:rPr>
          <w:rFonts w:hint="eastAsia"/>
          <w:b/>
          <w:bCs/>
          <w:color w:val="auto"/>
          <w:highlight w:val="none"/>
        </w:rPr>
        <w:t>（</w:t>
      </w:r>
      <w:r>
        <w:rPr>
          <w:rFonts w:hint="eastAsia"/>
          <w:b/>
          <w:bCs/>
          <w:color w:val="auto"/>
          <w:highlight w:val="none"/>
          <w:lang w:eastAsia="zh-CN"/>
        </w:rPr>
        <w:t>九</w:t>
      </w:r>
      <w:r>
        <w:rPr>
          <w:rFonts w:hint="eastAsia"/>
          <w:b/>
          <w:bCs/>
          <w:color w:val="auto"/>
          <w:highlight w:val="none"/>
        </w:rPr>
        <w:t>）</w:t>
      </w:r>
      <w:r>
        <w:rPr>
          <w:rFonts w:hint="eastAsia" w:cs="宋体"/>
          <w:b/>
          <w:bCs/>
          <w:color w:val="auto"/>
          <w:highlight w:val="none"/>
        </w:rPr>
        <w:t>▲</w:t>
      </w:r>
      <w:r>
        <w:rPr>
          <w:rFonts w:hint="eastAsia"/>
          <w:b/>
          <w:bCs/>
          <w:color w:val="auto"/>
          <w:highlight w:val="none"/>
        </w:rPr>
        <w:t>合同履行</w:t>
      </w:r>
    </w:p>
    <w:bookmarkEnd w:id="18"/>
    <w:bookmarkEnd w:id="29"/>
    <w:p w14:paraId="65F3DE8F">
      <w:pPr>
        <w:adjustRightInd w:val="0"/>
        <w:snapToGrid w:val="0"/>
        <w:spacing w:beforeLines="0" w:line="360" w:lineRule="auto"/>
        <w:ind w:firstLine="480"/>
        <w:rPr>
          <w:rFonts w:cs="宋体"/>
          <w:color w:val="auto"/>
          <w:highlight w:val="none"/>
        </w:rPr>
      </w:pPr>
      <w:bookmarkStart w:id="30" w:name="_Toc17984"/>
      <w:r>
        <w:rPr>
          <w:rFonts w:hint="eastAsia"/>
          <w:color w:val="auto"/>
          <w:highlight w:val="none"/>
        </w:rPr>
        <w:t>必须由投标主体履行合同。</w:t>
      </w:r>
    </w:p>
    <w:p w14:paraId="227E69F1">
      <w:pPr>
        <w:ind w:firstLine="2891" w:firstLineChars="900"/>
        <w:rPr>
          <w:b/>
          <w:bCs/>
          <w:color w:val="auto"/>
          <w:sz w:val="32"/>
          <w:szCs w:val="32"/>
          <w:highlight w:val="none"/>
        </w:rPr>
        <w:sectPr>
          <w:footerReference r:id="rId18" w:type="default"/>
          <w:pgSz w:w="11906" w:h="16838"/>
          <w:pgMar w:top="1440" w:right="1080" w:bottom="1440" w:left="1080" w:header="170" w:footer="567" w:gutter="0"/>
          <w:pgNumType w:fmt="decimal"/>
          <w:cols w:space="720" w:num="1"/>
          <w:docGrid w:linePitch="381" w:charSpace="0"/>
        </w:sectPr>
      </w:pPr>
    </w:p>
    <w:p w14:paraId="3AAD4EB1">
      <w:pPr>
        <w:pStyle w:val="3"/>
        <w:rPr>
          <w:rFonts w:cs="宋体"/>
          <w:color w:val="auto"/>
          <w:szCs w:val="32"/>
          <w:highlight w:val="none"/>
        </w:rPr>
      </w:pPr>
      <w:bookmarkStart w:id="31" w:name="_Toc31779"/>
      <w:r>
        <w:rPr>
          <w:rFonts w:hint="eastAsia" w:cs="宋体"/>
          <w:color w:val="auto"/>
          <w:szCs w:val="32"/>
          <w:highlight w:val="none"/>
        </w:rPr>
        <w:t xml:space="preserve">第三章 </w:t>
      </w:r>
      <w:r>
        <w:rPr>
          <w:rFonts w:hint="eastAsia" w:cs="宋体"/>
          <w:color w:val="auto"/>
          <w:szCs w:val="32"/>
          <w:highlight w:val="none"/>
          <w:lang w:val="en-US" w:eastAsia="zh-CN"/>
        </w:rPr>
        <w:t xml:space="preserve"> </w:t>
      </w:r>
      <w:r>
        <w:rPr>
          <w:rFonts w:hint="eastAsia" w:cs="宋体"/>
          <w:color w:val="auto"/>
          <w:szCs w:val="32"/>
          <w:highlight w:val="none"/>
        </w:rPr>
        <w:t>投标人须知</w:t>
      </w:r>
      <w:bookmarkEnd w:id="30"/>
      <w:bookmarkEnd w:id="31"/>
    </w:p>
    <w:p w14:paraId="771961E3">
      <w:pPr>
        <w:bidi w:val="0"/>
        <w:spacing w:line="240" w:lineRule="auto"/>
        <w:ind w:left="0" w:leftChars="0" w:firstLine="0" w:firstLineChars="0"/>
        <w:jc w:val="center"/>
        <w:rPr>
          <w:rFonts w:ascii="宋体" w:hAnsi="宋体" w:cs="宋体"/>
          <w:color w:val="auto"/>
          <w:szCs w:val="28"/>
          <w:highlight w:val="none"/>
        </w:rPr>
      </w:pPr>
      <w:bookmarkStart w:id="32" w:name="_Toc21699"/>
      <w:bookmarkStart w:id="33" w:name="_Toc2290"/>
      <w:bookmarkStart w:id="34" w:name="_Toc32651"/>
      <w:bookmarkStart w:id="35" w:name="_Toc452457413"/>
      <w:r>
        <w:rPr>
          <w:rFonts w:hint="eastAsia"/>
          <w:b/>
          <w:bCs/>
          <w:sz w:val="28"/>
          <w:szCs w:val="28"/>
        </w:rPr>
        <w:t>前 附 表</w:t>
      </w:r>
      <w:bookmarkEnd w:id="32"/>
      <w:bookmarkEnd w:id="33"/>
      <w:bookmarkEnd w:id="34"/>
      <w:bookmarkEnd w:id="35"/>
    </w:p>
    <w:tbl>
      <w:tblPr>
        <w:tblStyle w:val="43"/>
        <w:tblW w:w="1011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91"/>
        <w:gridCol w:w="7349"/>
      </w:tblGrid>
      <w:tr w14:paraId="7358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4B65697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highlight w:val="none"/>
              </w:rPr>
            </w:pPr>
            <w:bookmarkStart w:id="36" w:name="_Toc247085689"/>
            <w:bookmarkStart w:id="37" w:name="_Toc152045529"/>
            <w:bookmarkStart w:id="38" w:name="_Toc296602420"/>
            <w:bookmarkStart w:id="39" w:name="_Toc152042305"/>
            <w:bookmarkStart w:id="40" w:name="_Toc246996175"/>
            <w:bookmarkStart w:id="41" w:name="_Toc179632546"/>
            <w:bookmarkStart w:id="42" w:name="_Toc452457414"/>
            <w:bookmarkStart w:id="43" w:name="_Toc144974497"/>
            <w:bookmarkStart w:id="44" w:name="_Toc246996918"/>
            <w:r>
              <w:rPr>
                <w:rFonts w:hint="eastAsia" w:cs="宋体"/>
                <w:b/>
                <w:bCs/>
                <w:color w:val="auto"/>
                <w:highlight w:val="none"/>
              </w:rPr>
              <w:t>序号</w:t>
            </w:r>
          </w:p>
        </w:tc>
        <w:tc>
          <w:tcPr>
            <w:tcW w:w="1991" w:type="dxa"/>
            <w:vAlign w:val="center"/>
          </w:tcPr>
          <w:p w14:paraId="2F45F48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highlight w:val="none"/>
              </w:rPr>
            </w:pPr>
            <w:r>
              <w:rPr>
                <w:rFonts w:hint="eastAsia" w:cs="宋体"/>
                <w:b/>
                <w:bCs/>
                <w:color w:val="auto"/>
                <w:highlight w:val="none"/>
              </w:rPr>
              <w:t>事项</w:t>
            </w:r>
          </w:p>
        </w:tc>
        <w:tc>
          <w:tcPr>
            <w:tcW w:w="7349" w:type="dxa"/>
            <w:vAlign w:val="center"/>
          </w:tcPr>
          <w:p w14:paraId="26720AB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highlight w:val="none"/>
              </w:rPr>
            </w:pPr>
            <w:r>
              <w:rPr>
                <w:rFonts w:hint="eastAsia" w:cs="宋体"/>
                <w:b/>
                <w:bCs/>
                <w:color w:val="auto"/>
                <w:highlight w:val="none"/>
              </w:rPr>
              <w:t>内容</w:t>
            </w:r>
          </w:p>
        </w:tc>
      </w:tr>
      <w:tr w14:paraId="54AA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9" w:type="dxa"/>
            <w:vAlign w:val="center"/>
          </w:tcPr>
          <w:p w14:paraId="0F5FBB49">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textAlignment w:val="auto"/>
              <w:rPr>
                <w:rFonts w:cs="宋体"/>
                <w:color w:val="auto"/>
                <w:highlight w:val="none"/>
              </w:rPr>
            </w:pPr>
            <w:r>
              <w:rPr>
                <w:rFonts w:hint="eastAsia" w:cs="宋体"/>
                <w:color w:val="auto"/>
                <w:highlight w:val="none"/>
              </w:rPr>
              <w:t>1</w:t>
            </w:r>
          </w:p>
        </w:tc>
        <w:tc>
          <w:tcPr>
            <w:tcW w:w="1991" w:type="dxa"/>
            <w:vAlign w:val="center"/>
          </w:tcPr>
          <w:p w14:paraId="598FD95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项目概况</w:t>
            </w:r>
          </w:p>
        </w:tc>
        <w:tc>
          <w:tcPr>
            <w:tcW w:w="7349" w:type="dxa"/>
            <w:vAlign w:val="center"/>
          </w:tcPr>
          <w:p w14:paraId="66322CC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lang w:eastAsia="zh-CN"/>
              </w:rPr>
              <w:t>招标人</w:t>
            </w:r>
            <w:r>
              <w:rPr>
                <w:rFonts w:hint="eastAsia" w:cs="宋体"/>
                <w:color w:val="auto"/>
                <w:highlight w:val="none"/>
              </w:rPr>
              <w:t>：</w:t>
            </w:r>
            <w:r>
              <w:rPr>
                <w:rFonts w:hint="eastAsia"/>
                <w:color w:val="auto"/>
                <w:highlight w:val="none"/>
              </w:rPr>
              <w:t>长兴县</w:t>
            </w:r>
            <w:r>
              <w:rPr>
                <w:rFonts w:hint="eastAsia"/>
                <w:color w:val="auto"/>
                <w:highlight w:val="none"/>
                <w:lang w:eastAsia="zh-CN"/>
              </w:rPr>
              <w:t>教育</w:t>
            </w:r>
            <w:r>
              <w:rPr>
                <w:rFonts w:hint="eastAsia"/>
                <w:color w:val="auto"/>
                <w:highlight w:val="none"/>
              </w:rPr>
              <w:t>局</w:t>
            </w:r>
          </w:p>
          <w:p w14:paraId="2DA7326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项目名称：</w:t>
            </w:r>
            <w:r>
              <w:rPr>
                <w:rFonts w:hint="eastAsia"/>
                <w:color w:val="auto"/>
                <w:highlight w:val="none"/>
              </w:rPr>
              <w:t>长兴县</w:t>
            </w:r>
            <w:r>
              <w:rPr>
                <w:rFonts w:hint="eastAsia"/>
                <w:color w:val="auto"/>
                <w:highlight w:val="none"/>
                <w:lang w:eastAsia="zh-CN"/>
              </w:rPr>
              <w:t>学校视频监控升级采购</w:t>
            </w:r>
            <w:r>
              <w:rPr>
                <w:rFonts w:hint="eastAsia"/>
                <w:color w:val="auto"/>
                <w:highlight w:val="none"/>
              </w:rPr>
              <w:t>项目</w:t>
            </w:r>
          </w:p>
          <w:p w14:paraId="03E9EAB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eastAsia="宋体" w:cs="宋体"/>
                <w:color w:val="auto"/>
                <w:highlight w:val="none"/>
                <w:lang w:val="en-US" w:eastAsia="zh-CN"/>
              </w:rPr>
            </w:pPr>
            <w:r>
              <w:rPr>
                <w:rFonts w:hint="eastAsia" w:cs="宋体"/>
                <w:color w:val="auto"/>
                <w:highlight w:val="none"/>
              </w:rPr>
              <w:t>项目编号：ZJZX-CXJ</w:t>
            </w:r>
            <w:r>
              <w:rPr>
                <w:rFonts w:hint="eastAsia" w:cs="宋体"/>
                <w:color w:val="auto"/>
                <w:highlight w:val="none"/>
                <w:lang w:val="en-US" w:eastAsia="zh-CN"/>
              </w:rPr>
              <w:t>Y</w:t>
            </w:r>
            <w:r>
              <w:rPr>
                <w:rFonts w:hint="eastAsia" w:cs="宋体"/>
                <w:color w:val="auto"/>
                <w:highlight w:val="none"/>
              </w:rPr>
              <w:t>-202400</w:t>
            </w:r>
            <w:r>
              <w:rPr>
                <w:rFonts w:hint="eastAsia" w:cs="宋体"/>
                <w:color w:val="auto"/>
                <w:highlight w:val="none"/>
                <w:lang w:val="en-US" w:eastAsia="zh-CN"/>
              </w:rPr>
              <w:t>1</w:t>
            </w:r>
          </w:p>
        </w:tc>
      </w:tr>
      <w:tr w14:paraId="223E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9" w:type="dxa"/>
            <w:vAlign w:val="center"/>
          </w:tcPr>
          <w:p w14:paraId="3619C24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2</w:t>
            </w:r>
          </w:p>
        </w:tc>
        <w:tc>
          <w:tcPr>
            <w:tcW w:w="1991" w:type="dxa"/>
            <w:vAlign w:val="center"/>
          </w:tcPr>
          <w:p w14:paraId="5580C15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采购内容</w:t>
            </w:r>
          </w:p>
        </w:tc>
        <w:tc>
          <w:tcPr>
            <w:tcW w:w="7349" w:type="dxa"/>
            <w:vAlign w:val="center"/>
          </w:tcPr>
          <w:p w14:paraId="04BAF49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详见“第二章-采购需求”部分。</w:t>
            </w:r>
          </w:p>
        </w:tc>
      </w:tr>
      <w:tr w14:paraId="0A7E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9" w:type="dxa"/>
            <w:vAlign w:val="center"/>
          </w:tcPr>
          <w:p w14:paraId="3C6D730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3</w:t>
            </w:r>
          </w:p>
        </w:tc>
        <w:tc>
          <w:tcPr>
            <w:tcW w:w="1991" w:type="dxa"/>
            <w:vAlign w:val="center"/>
          </w:tcPr>
          <w:p w14:paraId="728E545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采购方式及评审办法</w:t>
            </w:r>
          </w:p>
        </w:tc>
        <w:tc>
          <w:tcPr>
            <w:tcW w:w="7349" w:type="dxa"/>
            <w:vAlign w:val="center"/>
          </w:tcPr>
          <w:p w14:paraId="4A44805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经批准或确认的本次采购方式：公开招标</w:t>
            </w:r>
          </w:p>
          <w:p w14:paraId="4403395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评审办法：综合评分法</w:t>
            </w:r>
          </w:p>
        </w:tc>
      </w:tr>
      <w:tr w14:paraId="31B8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593963F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4</w:t>
            </w:r>
          </w:p>
        </w:tc>
        <w:tc>
          <w:tcPr>
            <w:tcW w:w="1991" w:type="dxa"/>
            <w:vAlign w:val="center"/>
          </w:tcPr>
          <w:p w14:paraId="519ED6E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报价要求</w:t>
            </w:r>
          </w:p>
        </w:tc>
        <w:tc>
          <w:tcPr>
            <w:tcW w:w="7349" w:type="dxa"/>
            <w:vAlign w:val="center"/>
          </w:tcPr>
          <w:p w14:paraId="16C9599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（1）</w:t>
            </w:r>
            <w:r>
              <w:rPr>
                <w:rFonts w:hint="eastAsia" w:cs="宋体"/>
                <w:color w:val="auto"/>
                <w:highlight w:val="none"/>
                <w:lang w:val="zh-CN"/>
              </w:rPr>
              <w:t>有关本项目实施所需的所有费用（含税费）均计入报价。</w:t>
            </w:r>
          </w:p>
          <w:p w14:paraId="34F6E88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（2）《开标一览表》（报价表）是报价的唯一载体。投标文件中价格全部采用人民币报价。招标文件未列明，而投标人认为必需的费用也需列入报价。</w:t>
            </w:r>
          </w:p>
          <w:p w14:paraId="6F23377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（3）投标报价出现下列情形的，投标无效：</w:t>
            </w:r>
          </w:p>
          <w:p w14:paraId="469735A7">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cs="宋体"/>
                <w:color w:val="auto"/>
                <w:highlight w:val="none"/>
              </w:rPr>
            </w:pPr>
            <w:r>
              <w:rPr>
                <w:rFonts w:hint="eastAsia" w:cs="宋体"/>
                <w:color w:val="auto"/>
                <w:highlight w:val="none"/>
              </w:rPr>
              <w:t>▲投标文件出现不是唯一的、有选择性投标报价的；</w:t>
            </w:r>
          </w:p>
          <w:p w14:paraId="366F0DD5">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cs="宋体"/>
                <w:color w:val="auto"/>
                <w:highlight w:val="none"/>
              </w:rPr>
            </w:pPr>
            <w:r>
              <w:rPr>
                <w:rFonts w:hint="eastAsia" w:cs="宋体"/>
                <w:color w:val="auto"/>
                <w:highlight w:val="none"/>
              </w:rPr>
              <w:t>▲</w:t>
            </w:r>
            <w:r>
              <w:rPr>
                <w:rFonts w:hint="eastAsia" w:cs="宋体"/>
                <w:color w:val="auto"/>
                <w:highlight w:val="none"/>
                <w:lang w:val="zh-CN"/>
              </w:rPr>
              <w:t>投标报价超过招标文件中规定的预算金额或者最高限价（</w:t>
            </w:r>
            <w:r>
              <w:rPr>
                <w:rFonts w:hint="eastAsia" w:cs="宋体"/>
                <w:color w:val="auto"/>
                <w:highlight w:val="none"/>
              </w:rPr>
              <w:t>含单价最高限价）</w:t>
            </w:r>
            <w:r>
              <w:rPr>
                <w:rFonts w:hint="eastAsia" w:cs="宋体"/>
                <w:color w:val="auto"/>
                <w:highlight w:val="none"/>
                <w:lang w:val="zh-CN"/>
              </w:rPr>
              <w:t>的</w:t>
            </w:r>
            <w:r>
              <w:rPr>
                <w:rFonts w:hint="eastAsia" w:cs="宋体"/>
                <w:color w:val="auto"/>
                <w:highlight w:val="none"/>
              </w:rPr>
              <w:t>；</w:t>
            </w:r>
          </w:p>
          <w:p w14:paraId="3EEA59AD">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cs="宋体"/>
                <w:color w:val="auto"/>
                <w:highlight w:val="none"/>
              </w:rPr>
            </w:pPr>
            <w:r>
              <w:rPr>
                <w:rFonts w:hint="eastAsia" w:cs="宋体"/>
                <w:color w:val="auto"/>
                <w:highlight w:val="none"/>
              </w:rPr>
              <w:t>▲报价明显低于其他通过符合性审查投标人的报价，有可能影响产品质量或者不能诚信履约的，未能按要求提供书面说明或者提交相关证明材料证明其报价合理性的；</w:t>
            </w:r>
          </w:p>
          <w:p w14:paraId="6F80E334">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eastAsia="宋体" w:cs="宋体"/>
                <w:color w:val="auto"/>
                <w:highlight w:val="none"/>
                <w:lang w:eastAsia="zh-CN"/>
              </w:rPr>
            </w:pPr>
            <w:r>
              <w:rPr>
                <w:rFonts w:hint="eastAsia" w:cs="宋体"/>
                <w:color w:val="auto"/>
                <w:highlight w:val="none"/>
              </w:rPr>
              <w:t>▲投标人对根据修正原则修正后的报价不确认的。</w:t>
            </w:r>
            <w:r>
              <w:rPr>
                <w:rFonts w:hint="eastAsia" w:cs="宋体"/>
                <w:color w:val="auto"/>
                <w:highlight w:val="none"/>
              </w:rPr>
              <w:br w:type="textWrapping"/>
            </w:r>
            <w:r>
              <w:rPr>
                <w:rFonts w:hint="eastAsia" w:cs="宋体"/>
                <w:color w:val="auto"/>
                <w:highlight w:val="none"/>
                <w:lang w:eastAsia="zh-CN"/>
              </w:rPr>
              <w:t>（</w:t>
            </w:r>
            <w:r>
              <w:rPr>
                <w:rFonts w:hint="eastAsia" w:cs="宋体"/>
                <w:color w:val="auto"/>
                <w:highlight w:val="none"/>
                <w:lang w:val="en-US" w:eastAsia="zh-CN"/>
              </w:rPr>
              <w:t>4</w:t>
            </w:r>
            <w:r>
              <w:rPr>
                <w:rFonts w:hint="eastAsia" w:cs="宋体"/>
                <w:color w:val="auto"/>
                <w:highlight w:val="none"/>
                <w:lang w:eastAsia="zh-CN"/>
              </w:rPr>
              <w:t>）项目参与方应当保持各单项价格的合理性，严禁出现不平衡报价的情况，项目采购结束后，招标人有权对各单项价格进行核查，对于超过市场价格较大的单价，将在正式合同中明确：对于认定为不平衡报价的单项，如果发生数量变动，将按照有利于招标人的单价进行重新认价。</w:t>
            </w:r>
          </w:p>
        </w:tc>
      </w:tr>
      <w:tr w14:paraId="2C15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9" w:type="dxa"/>
            <w:vAlign w:val="center"/>
          </w:tcPr>
          <w:p w14:paraId="4364E67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5</w:t>
            </w:r>
          </w:p>
        </w:tc>
        <w:tc>
          <w:tcPr>
            <w:tcW w:w="1991" w:type="dxa"/>
            <w:vAlign w:val="center"/>
          </w:tcPr>
          <w:p w14:paraId="3DCEBB4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bCs/>
                <w:color w:val="auto"/>
                <w:highlight w:val="none"/>
              </w:rPr>
              <w:t>最高限价</w:t>
            </w:r>
          </w:p>
        </w:tc>
        <w:tc>
          <w:tcPr>
            <w:tcW w:w="7349" w:type="dxa"/>
            <w:vAlign w:val="center"/>
          </w:tcPr>
          <w:p w14:paraId="678AFD0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olor w:val="auto"/>
                <w:highlight w:val="none"/>
                <w:lang w:val="en-US" w:eastAsia="zh-CN"/>
              </w:rPr>
              <w:t>3168010</w:t>
            </w:r>
            <w:r>
              <w:rPr>
                <w:rFonts w:hint="eastAsia"/>
                <w:color w:val="auto"/>
                <w:highlight w:val="none"/>
              </w:rPr>
              <w:t>元</w:t>
            </w:r>
            <w:r>
              <w:rPr>
                <w:rFonts w:hint="eastAsia" w:cs="宋体"/>
                <w:color w:val="auto"/>
                <w:highlight w:val="none"/>
              </w:rPr>
              <w:t>。</w:t>
            </w:r>
          </w:p>
        </w:tc>
      </w:tr>
      <w:tr w14:paraId="1DC7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9" w:type="dxa"/>
            <w:vAlign w:val="center"/>
          </w:tcPr>
          <w:p w14:paraId="737AFDA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6</w:t>
            </w:r>
          </w:p>
        </w:tc>
        <w:tc>
          <w:tcPr>
            <w:tcW w:w="1991" w:type="dxa"/>
            <w:vAlign w:val="center"/>
          </w:tcPr>
          <w:p w14:paraId="3C9E457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color w:val="auto"/>
                <w:highlight w:val="none"/>
              </w:rPr>
            </w:pPr>
            <w:r>
              <w:rPr>
                <w:rFonts w:hint="eastAsia" w:cs="宋体"/>
                <w:color w:val="auto"/>
                <w:highlight w:val="none"/>
              </w:rPr>
              <w:t>信息公告及评标结果公告媒体</w:t>
            </w:r>
          </w:p>
        </w:tc>
        <w:tc>
          <w:tcPr>
            <w:tcW w:w="7349" w:type="dxa"/>
            <w:vAlign w:val="center"/>
          </w:tcPr>
          <w:p w14:paraId="6BCA9FB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s="宋体"/>
                <w:color w:val="auto"/>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51"/>
                <w:rFonts w:hint="eastAsia" w:ascii="宋体" w:hAnsi="宋体" w:cs="宋体"/>
                <w:color w:val="auto"/>
                <w:highlight w:val="none"/>
              </w:rPr>
              <w:t>http://zfcg.czt.zj.gov.cn/</w:t>
            </w:r>
            <w:r>
              <w:rPr>
                <w:rStyle w:val="51"/>
                <w:rFonts w:hint="eastAsia" w:ascii="宋体" w:hAnsi="宋体" w:cs="宋体"/>
                <w:color w:val="auto"/>
                <w:highlight w:val="none"/>
              </w:rPr>
              <w:fldChar w:fldCharType="end"/>
            </w:r>
          </w:p>
        </w:tc>
      </w:tr>
      <w:tr w14:paraId="25E1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49F2004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7</w:t>
            </w:r>
          </w:p>
        </w:tc>
        <w:tc>
          <w:tcPr>
            <w:tcW w:w="1991" w:type="dxa"/>
            <w:vAlign w:val="center"/>
          </w:tcPr>
          <w:p w14:paraId="0C2B2F0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转包或分包</w:t>
            </w:r>
          </w:p>
        </w:tc>
        <w:tc>
          <w:tcPr>
            <w:tcW w:w="7349" w:type="dxa"/>
            <w:vAlign w:val="center"/>
          </w:tcPr>
          <w:p w14:paraId="1D053D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cs="宋体"/>
                <w:color w:val="auto"/>
                <w:highlight w:val="none"/>
              </w:rPr>
            </w:pPr>
            <w:r>
              <w:rPr>
                <w:rFonts w:hint="eastAsia" w:cs="宋体"/>
                <w:color w:val="auto"/>
                <w:highlight w:val="none"/>
                <w:lang w:eastAsia="zh-CN"/>
              </w:rPr>
              <w:t>（</w:t>
            </w:r>
            <w:r>
              <w:rPr>
                <w:rFonts w:hint="eastAsia" w:cs="宋体"/>
                <w:color w:val="auto"/>
                <w:highlight w:val="none"/>
                <w:lang w:val="en-US" w:eastAsia="zh-CN"/>
              </w:rPr>
              <w:t>1</w:t>
            </w:r>
            <w:r>
              <w:rPr>
                <w:rFonts w:hint="eastAsia" w:cs="宋体"/>
                <w:color w:val="auto"/>
                <w:highlight w:val="none"/>
                <w:lang w:eastAsia="zh-CN"/>
              </w:rPr>
              <w:t>）</w:t>
            </w:r>
            <w:r>
              <w:rPr>
                <w:rFonts w:hint="eastAsia" w:cs="宋体"/>
                <w:color w:val="auto"/>
                <w:highlight w:val="none"/>
              </w:rPr>
              <w:t>本项目不允许转包。</w:t>
            </w:r>
          </w:p>
          <w:p w14:paraId="46B007D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cs="宋体"/>
                <w:color w:val="auto"/>
                <w:highlight w:val="none"/>
              </w:rPr>
            </w:pPr>
            <w:r>
              <w:rPr>
                <w:rFonts w:hint="eastAsia" w:cs="宋体"/>
                <w:color w:val="auto"/>
                <w:highlight w:val="none"/>
              </w:rPr>
              <w:t>（2）本项目</w:t>
            </w:r>
            <w:r>
              <w:rPr>
                <w:rFonts w:hint="eastAsia" w:cs="宋体"/>
                <w:color w:val="auto"/>
                <w:highlight w:val="none"/>
                <w:lang w:val="en-US" w:eastAsia="zh-CN"/>
              </w:rPr>
              <w:t>允许</w:t>
            </w:r>
            <w:r>
              <w:rPr>
                <w:rFonts w:hint="eastAsia" w:cs="宋体"/>
                <w:color w:val="auto"/>
                <w:highlight w:val="none"/>
              </w:rPr>
              <w:t>分包。</w:t>
            </w:r>
          </w:p>
          <w:p w14:paraId="0864723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eastAsia="宋体" w:cs="宋体"/>
                <w:color w:val="auto"/>
                <w:highlight w:val="none"/>
                <w:lang w:val="en-US" w:eastAsia="zh-CN"/>
              </w:rPr>
            </w:pPr>
            <w:r>
              <w:rPr>
                <w:rFonts w:hint="eastAsia" w:cs="宋体"/>
                <w:color w:val="auto"/>
                <w:highlight w:val="none"/>
                <w:lang w:val="en-US" w:eastAsia="zh-CN"/>
              </w:rPr>
              <w:t>注：不得限制大中型企业向小微企业合理分包。</w:t>
            </w:r>
          </w:p>
        </w:tc>
      </w:tr>
      <w:tr w14:paraId="02D1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636735F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8</w:t>
            </w:r>
          </w:p>
        </w:tc>
        <w:tc>
          <w:tcPr>
            <w:tcW w:w="1991" w:type="dxa"/>
            <w:vAlign w:val="center"/>
          </w:tcPr>
          <w:p w14:paraId="539F0DB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投标人应当提供的投标文件</w:t>
            </w:r>
          </w:p>
        </w:tc>
        <w:tc>
          <w:tcPr>
            <w:tcW w:w="7349" w:type="dxa"/>
            <w:vAlign w:val="center"/>
          </w:tcPr>
          <w:p w14:paraId="37135D5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（1）《资格文件》：见本章第三节。</w:t>
            </w:r>
          </w:p>
          <w:p w14:paraId="4D1DBD3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（2）《报价文件》和《商务技术文件》：见本章第三节。</w:t>
            </w:r>
          </w:p>
          <w:p w14:paraId="7B972E9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▲投标人未提供有效的资格证明文件的，视为投标人不具备招标文件中规定的资格要求，投标无效。</w:t>
            </w:r>
          </w:p>
        </w:tc>
      </w:tr>
      <w:tr w14:paraId="0101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4F659B8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9</w:t>
            </w:r>
          </w:p>
        </w:tc>
        <w:tc>
          <w:tcPr>
            <w:tcW w:w="1991" w:type="dxa"/>
            <w:vAlign w:val="center"/>
          </w:tcPr>
          <w:p w14:paraId="5198A99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投标文件形式</w:t>
            </w:r>
          </w:p>
        </w:tc>
        <w:tc>
          <w:tcPr>
            <w:tcW w:w="7349" w:type="dxa"/>
            <w:vAlign w:val="center"/>
          </w:tcPr>
          <w:p w14:paraId="53FB96D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szCs w:val="21"/>
                <w:highlight w:val="none"/>
              </w:rPr>
            </w:pPr>
            <w:r>
              <w:rPr>
                <w:rFonts w:hint="eastAsia" w:cs="宋体"/>
                <w:color w:val="auto"/>
                <w:szCs w:val="21"/>
                <w:highlight w:val="none"/>
              </w:rPr>
              <w:t>本项目实行电子投标。</w:t>
            </w:r>
          </w:p>
          <w:p w14:paraId="1C2DE30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szCs w:val="21"/>
                <w:highlight w:val="none"/>
              </w:rPr>
            </w:pPr>
            <w:r>
              <w:rPr>
                <w:rFonts w:hint="eastAsia" w:cs="宋体"/>
                <w:color w:val="auto"/>
                <w:szCs w:val="21"/>
                <w:highlight w:val="none"/>
              </w:rPr>
              <w:t>供应商应准备两种形式的投标文件：电子加密投标文件、以介质存储的数据电文形式的备份投标文件。</w:t>
            </w:r>
          </w:p>
          <w:p w14:paraId="191356D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szCs w:val="21"/>
                <w:highlight w:val="none"/>
              </w:rPr>
            </w:pPr>
            <w:r>
              <w:rPr>
                <w:rFonts w:hint="eastAsia" w:cs="宋体"/>
                <w:color w:val="auto"/>
                <w:szCs w:val="21"/>
                <w:highlight w:val="none"/>
              </w:rPr>
              <w:t>（1）“电子加密投标文件”是指通过“政采云电子交易客户端”完成投标文件编制后生成并加密的数据电文形式的投标文件（后缀格式为.jmbs）</w:t>
            </w:r>
          </w:p>
          <w:p w14:paraId="2B09369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szCs w:val="21"/>
                <w:highlight w:val="none"/>
              </w:rPr>
            </w:pPr>
            <w:r>
              <w:rPr>
                <w:rFonts w:hint="eastAsia" w:cs="宋体"/>
                <w:color w:val="auto"/>
                <w:szCs w:val="21"/>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5E278DF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b/>
                <w:color w:val="auto"/>
                <w:highlight w:val="none"/>
              </w:rPr>
              <w:t>招标人、招标代理机构不强制或变相强制投标人提交备份投标文件。</w:t>
            </w:r>
          </w:p>
        </w:tc>
      </w:tr>
      <w:tr w14:paraId="5830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0932AB7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10</w:t>
            </w:r>
          </w:p>
        </w:tc>
        <w:tc>
          <w:tcPr>
            <w:tcW w:w="1991" w:type="dxa"/>
            <w:vAlign w:val="center"/>
          </w:tcPr>
          <w:p w14:paraId="31A3646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szCs w:val="21"/>
                <w:highlight w:val="none"/>
              </w:rPr>
              <w:t>投标文件的上传和递交</w:t>
            </w:r>
          </w:p>
        </w:tc>
        <w:tc>
          <w:tcPr>
            <w:tcW w:w="7349" w:type="dxa"/>
            <w:vAlign w:val="center"/>
          </w:tcPr>
          <w:p w14:paraId="49788C6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（1）电子加密投标文件：投标文件制作完成并生成加密文件，在投标截止时间前，供应商需将加密的投标文件上传至浙江政府采购网，到达开标时间后，进行解密。</w:t>
            </w:r>
          </w:p>
          <w:p w14:paraId="6F4C728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未能在投标截止时间前成功上传电子加密投标文件的投标无效。</w:t>
            </w:r>
          </w:p>
          <w:p w14:paraId="1A6E9A2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（2）备份投标文件：投标截止时间前，供应商应将备份投标文件递交至开标地点，以便电子加密投标文件解密异常时应急使用。</w:t>
            </w:r>
          </w:p>
          <w:p w14:paraId="09724AC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备份投标文件递交要求：供应商须将备份投标文件以U盘形式单独放在密封袋中，密封后并在密封袋上注明投标项目名称、投标单位名称并加盖公章。未密封包装或逾期送达的“备份投标文件”将不予接收。</w:t>
            </w:r>
          </w:p>
          <w:p w14:paraId="27816CA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地址：湖州市康山街道嘉年华国际广场C座C1805室</w:t>
            </w:r>
          </w:p>
          <w:p w14:paraId="123746B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收件人：徐工/18767608890</w:t>
            </w:r>
          </w:p>
        </w:tc>
      </w:tr>
      <w:tr w14:paraId="78D4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405E6DA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11</w:t>
            </w:r>
          </w:p>
        </w:tc>
        <w:tc>
          <w:tcPr>
            <w:tcW w:w="1991" w:type="dxa"/>
            <w:vAlign w:val="center"/>
          </w:tcPr>
          <w:p w14:paraId="6500865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r>
              <w:rPr>
                <w:rFonts w:hint="eastAsia" w:cs="宋体"/>
                <w:bCs/>
                <w:color w:val="auto"/>
                <w:szCs w:val="21"/>
                <w:highlight w:val="none"/>
              </w:rPr>
              <w:t>电子加密投标文件的解密和异常情况处理</w:t>
            </w:r>
          </w:p>
        </w:tc>
        <w:tc>
          <w:tcPr>
            <w:tcW w:w="7349" w:type="dxa"/>
            <w:vAlign w:val="center"/>
          </w:tcPr>
          <w:p w14:paraId="1262D7C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（1）开标后，采购组织机构将向各投标供应商发出“电子加密投标文件”的解密通知，各投标供应商代表应当在接到解密通知后30分钟内自行完成“电子加密投标文件”的在线解密。</w:t>
            </w:r>
          </w:p>
          <w:p w14:paraId="13F7CAE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无效。</w:t>
            </w:r>
          </w:p>
          <w:p w14:paraId="75D663F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（3）投标截止时间前，投标供应商仅递交了“备份投标文件”而未将电子加密投标文件上传至“政采云平台”的，投标无效。</w:t>
            </w:r>
          </w:p>
        </w:tc>
      </w:tr>
      <w:tr w14:paraId="734A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79" w:type="dxa"/>
            <w:vAlign w:val="center"/>
          </w:tcPr>
          <w:p w14:paraId="267EB88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12</w:t>
            </w:r>
          </w:p>
        </w:tc>
        <w:tc>
          <w:tcPr>
            <w:tcW w:w="1991" w:type="dxa"/>
            <w:vAlign w:val="center"/>
          </w:tcPr>
          <w:p w14:paraId="0C23991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投标文件有效期</w:t>
            </w:r>
          </w:p>
        </w:tc>
        <w:tc>
          <w:tcPr>
            <w:tcW w:w="7349" w:type="dxa"/>
            <w:vAlign w:val="center"/>
          </w:tcPr>
          <w:p w14:paraId="372ED92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自提交投标文件的截止之日起90天。</w:t>
            </w:r>
          </w:p>
        </w:tc>
      </w:tr>
      <w:tr w14:paraId="660A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79" w:type="dxa"/>
            <w:vAlign w:val="center"/>
          </w:tcPr>
          <w:p w14:paraId="25F2F41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13</w:t>
            </w:r>
          </w:p>
        </w:tc>
        <w:tc>
          <w:tcPr>
            <w:tcW w:w="1991" w:type="dxa"/>
            <w:vAlign w:val="center"/>
          </w:tcPr>
          <w:p w14:paraId="4B0821C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现场踏勘/样品/演示</w:t>
            </w:r>
          </w:p>
        </w:tc>
        <w:tc>
          <w:tcPr>
            <w:tcW w:w="7349" w:type="dxa"/>
            <w:vAlign w:val="center"/>
          </w:tcPr>
          <w:p w14:paraId="3AAD612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cs="宋体"/>
                <w:color w:val="auto"/>
                <w:highlight w:val="none"/>
              </w:rPr>
            </w:pPr>
            <w:r>
              <w:rPr>
                <w:rFonts w:hint="eastAsia" w:cs="宋体"/>
                <w:color w:val="auto"/>
                <w:highlight w:val="none"/>
              </w:rPr>
              <w:t>现场踏勘：□ 组织；</w:t>
            </w:r>
            <w:r>
              <w:rPr>
                <w:rFonts w:hint="eastAsia" w:cs="宋体"/>
                <w:color w:val="auto"/>
                <w:highlight w:val="none"/>
                <w:lang w:eastAsia="zh-CN"/>
              </w:rPr>
              <w:t>☑</w:t>
            </w:r>
            <w:r>
              <w:rPr>
                <w:rFonts w:hint="eastAsia" w:cs="宋体"/>
                <w:color w:val="auto"/>
                <w:highlight w:val="none"/>
              </w:rPr>
              <w:t xml:space="preserve"> 不组织</w:t>
            </w:r>
          </w:p>
          <w:p w14:paraId="1DEA1AB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cs="宋体"/>
                <w:color w:val="auto"/>
                <w:highlight w:val="none"/>
              </w:rPr>
            </w:pPr>
            <w:r>
              <w:rPr>
                <w:rFonts w:hint="eastAsia" w:cs="宋体"/>
                <w:color w:val="auto"/>
                <w:highlight w:val="none"/>
              </w:rPr>
              <w:t>样品：□ 提供；☑ 不提供</w:t>
            </w:r>
          </w:p>
          <w:p w14:paraId="47D4104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演示：□ 提供；☑ 不提供</w:t>
            </w:r>
          </w:p>
        </w:tc>
      </w:tr>
      <w:tr w14:paraId="3C62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vAlign w:val="center"/>
          </w:tcPr>
          <w:p w14:paraId="700188A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14</w:t>
            </w:r>
          </w:p>
        </w:tc>
        <w:tc>
          <w:tcPr>
            <w:tcW w:w="1991" w:type="dxa"/>
            <w:vAlign w:val="center"/>
          </w:tcPr>
          <w:p w14:paraId="712327D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是否允许采购进口产品</w:t>
            </w:r>
          </w:p>
        </w:tc>
        <w:tc>
          <w:tcPr>
            <w:tcW w:w="7349" w:type="dxa"/>
            <w:vAlign w:val="center"/>
          </w:tcPr>
          <w:p w14:paraId="3AF4C82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s="宋体"/>
                <w:color w:val="auto"/>
                <w:highlight w:val="none"/>
              </w:rPr>
              <w:t>□</w:t>
            </w:r>
            <w:r>
              <w:rPr>
                <w:rFonts w:hint="eastAsia" w:cs="宋体"/>
                <w:color w:val="auto"/>
                <w:kern w:val="0"/>
                <w:highlight w:val="none"/>
              </w:rPr>
              <w:t>允许采购进口产品；</w:t>
            </w:r>
          </w:p>
          <w:p w14:paraId="0EEC8E7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s="宋体"/>
                <w:color w:val="auto"/>
                <w:highlight w:val="none"/>
              </w:rPr>
              <w:t>☑</w:t>
            </w:r>
            <w:r>
              <w:rPr>
                <w:rFonts w:hint="eastAsia" w:cs="宋体"/>
                <w:color w:val="auto"/>
                <w:kern w:val="0"/>
                <w:highlight w:val="none"/>
              </w:rPr>
              <w:t>不允许采购进口产品。</w:t>
            </w:r>
          </w:p>
        </w:tc>
      </w:tr>
      <w:tr w14:paraId="7E54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79" w:type="dxa"/>
            <w:vAlign w:val="center"/>
          </w:tcPr>
          <w:p w14:paraId="55DDF8E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15</w:t>
            </w:r>
          </w:p>
        </w:tc>
        <w:tc>
          <w:tcPr>
            <w:tcW w:w="1991" w:type="dxa"/>
            <w:vAlign w:val="center"/>
          </w:tcPr>
          <w:p w14:paraId="587F0055">
            <w:pPr>
              <w:pStyle w:val="14"/>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7349" w:type="dxa"/>
            <w:vAlign w:val="center"/>
          </w:tcPr>
          <w:p w14:paraId="097682F7">
            <w:pPr>
              <w:pStyle w:val="1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招标人不组织踏勘，投标人可自行前往招标人处进行踏勘，同时必须提前一天向招标人预约时间，不允许打扰到招标人的正常工作运行。</w:t>
            </w:r>
          </w:p>
        </w:tc>
      </w:tr>
      <w:tr w14:paraId="627A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9" w:type="dxa"/>
            <w:vAlign w:val="center"/>
          </w:tcPr>
          <w:p w14:paraId="2BCD3D4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16</w:t>
            </w:r>
          </w:p>
        </w:tc>
        <w:tc>
          <w:tcPr>
            <w:tcW w:w="1991" w:type="dxa"/>
            <w:vAlign w:val="center"/>
          </w:tcPr>
          <w:p w14:paraId="69C523F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招标代理服务费</w:t>
            </w:r>
          </w:p>
        </w:tc>
        <w:tc>
          <w:tcPr>
            <w:tcW w:w="7349" w:type="dxa"/>
            <w:vAlign w:val="center"/>
          </w:tcPr>
          <w:p w14:paraId="520CAFB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（1）</w:t>
            </w:r>
            <w:r>
              <w:rPr>
                <w:rFonts w:ascii="宋体" w:hAnsi="宋体"/>
                <w:sz w:val="24"/>
              </w:rPr>
              <w:t>代理服务收费以</w:t>
            </w:r>
            <w:r>
              <w:rPr>
                <w:rFonts w:ascii="宋体" w:hAnsi="宋体"/>
                <w:kern w:val="0"/>
                <w:sz w:val="24"/>
              </w:rPr>
              <w:t>原国家计委《招标代理服务收费管理暂行办法》（计价格[2002]1980号）规定和</w:t>
            </w:r>
            <w:r>
              <w:rPr>
                <w:rFonts w:hint="eastAsia" w:ascii="宋体" w:hAnsi="宋体"/>
                <w:kern w:val="0"/>
                <w:sz w:val="24"/>
              </w:rPr>
              <w:t>发改价格</w:t>
            </w:r>
            <w:r>
              <w:rPr>
                <w:rFonts w:ascii="宋体" w:hAnsi="宋体"/>
                <w:kern w:val="0"/>
                <w:sz w:val="24"/>
              </w:rPr>
              <w:t>[2011]534号的收费标准</w:t>
            </w:r>
            <w:r>
              <w:rPr>
                <w:rFonts w:ascii="宋体" w:hAnsi="宋体"/>
                <w:sz w:val="24"/>
              </w:rPr>
              <w:t>为参照基础</w:t>
            </w:r>
            <w:r>
              <w:rPr>
                <w:rFonts w:hint="eastAsia"/>
                <w:sz w:val="24"/>
                <w:lang w:val="en-US" w:eastAsia="zh-CN"/>
              </w:rPr>
              <w:t>,</w:t>
            </w:r>
            <w:r>
              <w:rPr>
                <w:rFonts w:hint="eastAsia" w:cs="宋体"/>
                <w:color w:val="auto"/>
                <w:highlight w:val="none"/>
              </w:rPr>
              <w:t>本项目代理服务费按</w:t>
            </w:r>
            <w:r>
              <w:rPr>
                <w:rFonts w:hint="eastAsia" w:cs="宋体"/>
                <w:b/>
                <w:bCs/>
                <w:color w:val="auto"/>
                <w:highlight w:val="none"/>
                <w:u w:val="single"/>
                <w:lang w:val="en-US" w:eastAsia="zh-CN"/>
              </w:rPr>
              <w:t>23308元</w:t>
            </w:r>
            <w:r>
              <w:rPr>
                <w:rFonts w:hint="eastAsia" w:cs="宋体"/>
                <w:color w:val="auto"/>
                <w:highlight w:val="none"/>
                <w:lang w:val="en-US" w:eastAsia="zh-CN"/>
              </w:rPr>
              <w:t>计取</w:t>
            </w:r>
            <w:r>
              <w:rPr>
                <w:rFonts w:hint="eastAsia" w:cs="宋体"/>
                <w:color w:val="auto"/>
                <w:highlight w:val="none"/>
              </w:rPr>
              <w:t>。中标人在中标通知书</w:t>
            </w:r>
            <w:r>
              <w:rPr>
                <w:rFonts w:hint="eastAsia" w:cs="宋体"/>
                <w:color w:val="auto"/>
                <w:highlight w:val="none"/>
                <w:lang w:eastAsia="zh-CN"/>
              </w:rPr>
              <w:t>发出当日</w:t>
            </w:r>
            <w:r>
              <w:rPr>
                <w:rFonts w:hint="eastAsia" w:cs="宋体"/>
                <w:color w:val="auto"/>
                <w:highlight w:val="none"/>
              </w:rPr>
              <w:t>，</w:t>
            </w:r>
            <w:r>
              <w:rPr>
                <w:rFonts w:hint="eastAsia" w:cs="宋体"/>
                <w:color w:val="auto"/>
                <w:highlight w:val="none"/>
                <w:lang w:eastAsia="zh-CN"/>
              </w:rPr>
              <w:t>一次性</w:t>
            </w:r>
            <w:r>
              <w:rPr>
                <w:rFonts w:hint="eastAsia" w:cs="宋体"/>
                <w:color w:val="auto"/>
                <w:highlight w:val="none"/>
              </w:rPr>
              <w:t>向招标代理机构交纳代理服务费，如未按上述规定办理，招标代理机构有权对于代理服务费不足部分进行追索。</w:t>
            </w:r>
          </w:p>
          <w:p w14:paraId="658DD6B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w:t>
            </w:r>
            <w:r>
              <w:rPr>
                <w:rFonts w:hint="eastAsia" w:cs="宋体"/>
                <w:color w:val="auto"/>
                <w:highlight w:val="none"/>
                <w:lang w:val="en-US" w:eastAsia="zh-CN"/>
              </w:rPr>
              <w:t>2</w:t>
            </w:r>
            <w:r>
              <w:rPr>
                <w:rFonts w:hint="eastAsia" w:cs="宋体"/>
                <w:color w:val="auto"/>
                <w:highlight w:val="none"/>
              </w:rPr>
              <w:t>）代理服务费以电汇方式支付。</w:t>
            </w:r>
          </w:p>
          <w:p w14:paraId="31FE6CF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w:t>
            </w:r>
            <w:r>
              <w:rPr>
                <w:rFonts w:hint="eastAsia" w:cs="宋体"/>
                <w:color w:val="auto"/>
                <w:highlight w:val="none"/>
                <w:lang w:val="en-US" w:eastAsia="zh-CN"/>
              </w:rPr>
              <w:t>3</w:t>
            </w:r>
            <w:r>
              <w:rPr>
                <w:rFonts w:hint="eastAsia" w:cs="宋体"/>
                <w:color w:val="auto"/>
                <w:highlight w:val="none"/>
              </w:rPr>
              <w:t>）服务费缴纳账号：</w:t>
            </w:r>
          </w:p>
          <w:p w14:paraId="62B12F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收款人：浙江致信招标代理有限公司湖州分公司</w:t>
            </w:r>
          </w:p>
          <w:p w14:paraId="46AA036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开户银行：恒丰银行股份有限公司湖州分行</w:t>
            </w:r>
          </w:p>
          <w:p w14:paraId="1E31B0C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账号：33050106100100000031</w:t>
            </w:r>
          </w:p>
          <w:p w14:paraId="376A902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开票及相关问题联系人：</w:t>
            </w:r>
            <w:r>
              <w:rPr>
                <w:rFonts w:hint="eastAsia" w:cs="宋体"/>
                <w:color w:val="auto"/>
                <w:highlight w:val="none"/>
                <w:lang w:eastAsia="zh-CN"/>
              </w:rPr>
              <w:t>潘</w:t>
            </w:r>
            <w:r>
              <w:rPr>
                <w:rFonts w:hint="eastAsia" w:cs="宋体"/>
                <w:color w:val="auto"/>
                <w:highlight w:val="none"/>
              </w:rPr>
              <w:t>工/0572-2038559</w:t>
            </w:r>
          </w:p>
        </w:tc>
      </w:tr>
      <w:tr w14:paraId="2BF3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79" w:type="dxa"/>
            <w:vAlign w:val="center"/>
          </w:tcPr>
          <w:p w14:paraId="61B71AF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17</w:t>
            </w:r>
          </w:p>
        </w:tc>
        <w:tc>
          <w:tcPr>
            <w:tcW w:w="1991" w:type="dxa"/>
            <w:vAlign w:val="center"/>
          </w:tcPr>
          <w:p w14:paraId="2B449E0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中标后注意事项</w:t>
            </w:r>
          </w:p>
        </w:tc>
        <w:tc>
          <w:tcPr>
            <w:tcW w:w="7349" w:type="dxa"/>
            <w:vAlign w:val="center"/>
          </w:tcPr>
          <w:p w14:paraId="2CED35E8">
            <w:pPr>
              <w:keepNext w:val="0"/>
              <w:keepLines w:val="0"/>
              <w:pageBreakBefore w:val="0"/>
              <w:widowControl w:val="0"/>
              <w:tabs>
                <w:tab w:val="left" w:pos="312"/>
              </w:tabs>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（1）中标人在中标之后领取通知书时，应向招标代理机构交纳招标代理服务费。</w:t>
            </w:r>
          </w:p>
          <w:p w14:paraId="7BFA25C6">
            <w:pPr>
              <w:keepNext w:val="0"/>
              <w:keepLines w:val="0"/>
              <w:pageBreakBefore w:val="0"/>
              <w:widowControl w:val="0"/>
              <w:tabs>
                <w:tab w:val="left" w:pos="312"/>
              </w:tabs>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（2）若中标人未在约定时间内支付招标代理服务费，从逾期之日起按日利率千分之一承担违约金。</w:t>
            </w:r>
          </w:p>
          <w:p w14:paraId="2576D37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（3）若中标人未按上述规定办理，需承担招标代理机构为实现债权的所有费用（包括但不限于律师费、催讨车旅费、保全担保费等）。</w:t>
            </w:r>
          </w:p>
        </w:tc>
      </w:tr>
      <w:tr w14:paraId="0D35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79" w:type="dxa"/>
            <w:vAlign w:val="center"/>
          </w:tcPr>
          <w:p w14:paraId="62D02C7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18</w:t>
            </w:r>
          </w:p>
        </w:tc>
        <w:tc>
          <w:tcPr>
            <w:tcW w:w="1991" w:type="dxa"/>
            <w:vAlign w:val="center"/>
          </w:tcPr>
          <w:p w14:paraId="65E8D0C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实质性条款</w:t>
            </w:r>
          </w:p>
        </w:tc>
        <w:tc>
          <w:tcPr>
            <w:tcW w:w="7349" w:type="dxa"/>
            <w:vAlign w:val="center"/>
          </w:tcPr>
          <w:p w14:paraId="7A08212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14:paraId="2ECB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79" w:type="dxa"/>
            <w:vAlign w:val="center"/>
          </w:tcPr>
          <w:p w14:paraId="67845F6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19</w:t>
            </w:r>
          </w:p>
        </w:tc>
        <w:tc>
          <w:tcPr>
            <w:tcW w:w="1991" w:type="dxa"/>
            <w:vAlign w:val="center"/>
          </w:tcPr>
          <w:p w14:paraId="61882A3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cs="宋体"/>
                <w:color w:val="auto"/>
                <w:highlight w:val="none"/>
              </w:rPr>
            </w:pPr>
            <w:r>
              <w:rPr>
                <w:rFonts w:hint="eastAsia" w:cs="宋体"/>
                <w:color w:val="auto"/>
                <w:highlight w:val="none"/>
              </w:rPr>
              <w:t>中小企业扶持</w:t>
            </w:r>
          </w:p>
          <w:p w14:paraId="78BB866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highlight w:val="none"/>
              </w:rPr>
            </w:pPr>
            <w:r>
              <w:rPr>
                <w:rFonts w:hint="eastAsia" w:cs="宋体"/>
                <w:color w:val="auto"/>
                <w:highlight w:val="none"/>
              </w:rPr>
              <w:t>政策</w:t>
            </w:r>
          </w:p>
        </w:tc>
        <w:tc>
          <w:tcPr>
            <w:tcW w:w="7349" w:type="dxa"/>
            <w:vAlign w:val="center"/>
          </w:tcPr>
          <w:p w14:paraId="4FCBD591">
            <w:pPr>
              <w:keepNext w:val="0"/>
              <w:keepLines w:val="0"/>
              <w:pageBreakBefore w:val="0"/>
              <w:widowControl w:val="0"/>
              <w:kinsoku/>
              <w:wordWrap/>
              <w:overflowPunct/>
              <w:topLinePunct w:val="0"/>
              <w:autoSpaceDE/>
              <w:autoSpaceDN/>
              <w:bidi w:val="0"/>
              <w:spacing w:line="360" w:lineRule="exact"/>
              <w:ind w:firstLine="0" w:firstLineChars="0"/>
              <w:textAlignment w:val="auto"/>
              <w:rPr>
                <w:rFonts w:cs="宋体"/>
                <w:b/>
                <w:bCs/>
                <w:lang w:val="zh-CN"/>
              </w:rPr>
            </w:pPr>
            <w:r>
              <w:rPr>
                <w:rFonts w:hint="eastAsia" w:cs="宋体"/>
                <w:b/>
                <w:bCs/>
                <w:lang w:val="zh-CN"/>
              </w:rPr>
              <w:t>（</w:t>
            </w:r>
            <w:r>
              <w:rPr>
                <w:rFonts w:hint="eastAsia" w:cs="宋体"/>
                <w:b/>
                <w:bCs/>
              </w:rPr>
              <w:t>1</w:t>
            </w:r>
            <w:r>
              <w:rPr>
                <w:rFonts w:hint="eastAsia" w:cs="宋体"/>
                <w:b/>
                <w:bCs/>
                <w:lang w:val="zh-CN"/>
              </w:rPr>
              <w:t>）本项目不专门面向中小企业预留采购份额。</w:t>
            </w:r>
          </w:p>
          <w:p w14:paraId="5EE1CD2E">
            <w:pPr>
              <w:keepNext w:val="0"/>
              <w:keepLines w:val="0"/>
              <w:pageBreakBefore w:val="0"/>
              <w:widowControl w:val="0"/>
              <w:kinsoku/>
              <w:wordWrap/>
              <w:overflowPunct/>
              <w:topLinePunct w:val="0"/>
              <w:autoSpaceDE/>
              <w:autoSpaceDN/>
              <w:bidi w:val="0"/>
              <w:spacing w:line="360" w:lineRule="exact"/>
              <w:ind w:firstLine="0" w:firstLineChars="0"/>
              <w:textAlignment w:val="auto"/>
              <w:rPr>
                <w:rFonts w:cs="宋体"/>
                <w:kern w:val="0"/>
              </w:rPr>
            </w:pPr>
            <w:r>
              <w:rPr>
                <w:rFonts w:hint="eastAsia" w:cs="宋体"/>
              </w:rPr>
              <w:t>（</w:t>
            </w:r>
            <w:r>
              <w:rPr>
                <w:rFonts w:hint="eastAsia" w:cs="宋体"/>
                <w:kern w:val="0"/>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83C8D2C">
            <w:pPr>
              <w:keepNext w:val="0"/>
              <w:keepLines w:val="0"/>
              <w:pageBreakBefore w:val="0"/>
              <w:widowControl w:val="0"/>
              <w:kinsoku/>
              <w:wordWrap/>
              <w:overflowPunct/>
              <w:topLinePunct w:val="0"/>
              <w:autoSpaceDE/>
              <w:autoSpaceDN/>
              <w:bidi w:val="0"/>
              <w:spacing w:line="360" w:lineRule="exact"/>
              <w:ind w:firstLine="0" w:firstLineChars="0"/>
              <w:textAlignment w:val="auto"/>
              <w:rPr>
                <w:rFonts w:cs="宋体"/>
                <w:bCs/>
                <w:kern w:val="0"/>
              </w:rPr>
            </w:pPr>
            <w:r>
              <w:rPr>
                <w:rFonts w:hint="eastAsia" w:cs="宋体"/>
              </w:rPr>
              <w:t>（</w:t>
            </w:r>
            <w:r>
              <w:rPr>
                <w:rFonts w:hint="eastAsia" w:cs="宋体"/>
                <w:kern w:val="0"/>
              </w:rPr>
              <w:t>3）本次采购标的为</w:t>
            </w:r>
            <w:r>
              <w:rPr>
                <w:rFonts w:hint="eastAsia" w:cs="宋体"/>
                <w:b/>
                <w:bCs/>
                <w:kern w:val="0"/>
                <w:u w:val="single"/>
              </w:rPr>
              <w:t>货物</w:t>
            </w:r>
            <w:r>
              <w:rPr>
                <w:rFonts w:hint="eastAsia" w:cs="宋体"/>
                <w:kern w:val="0"/>
              </w:rPr>
              <w:t>，对应的中小企业划分标准所属行业为：</w:t>
            </w:r>
            <w:r>
              <w:rPr>
                <w:rFonts w:hint="eastAsia" w:cs="宋体"/>
                <w:b/>
                <w:bCs/>
                <w:kern w:val="0"/>
                <w:u w:val="single"/>
              </w:rPr>
              <w:t>工业</w:t>
            </w:r>
            <w:r>
              <w:rPr>
                <w:rFonts w:hint="eastAsia" w:cs="宋体"/>
                <w:bCs/>
                <w:kern w:val="0"/>
              </w:rPr>
              <w:t>。</w:t>
            </w:r>
          </w:p>
          <w:p w14:paraId="00F38B1B">
            <w:pPr>
              <w:keepNext w:val="0"/>
              <w:keepLines w:val="0"/>
              <w:pageBreakBefore w:val="0"/>
              <w:widowControl w:val="0"/>
              <w:kinsoku/>
              <w:wordWrap/>
              <w:overflowPunct/>
              <w:topLinePunct w:val="0"/>
              <w:autoSpaceDE/>
              <w:autoSpaceDN/>
              <w:bidi w:val="0"/>
              <w:spacing w:line="360" w:lineRule="exact"/>
              <w:ind w:firstLine="0" w:firstLineChars="0"/>
              <w:textAlignment w:val="auto"/>
              <w:rPr>
                <w:rFonts w:cs="宋体"/>
                <w:kern w:val="0"/>
              </w:rPr>
            </w:pPr>
            <w:r>
              <w:rPr>
                <w:rFonts w:hint="eastAsia" w:cs="宋体"/>
              </w:rPr>
              <w:t>（</w:t>
            </w:r>
            <w:r>
              <w:rPr>
                <w:rFonts w:hint="eastAsia" w:cs="宋体"/>
                <w:kern w:val="0"/>
              </w:rPr>
              <w:t>4）参加本次采购活动的供应商</w:t>
            </w:r>
            <w:r>
              <w:rPr>
                <w:rFonts w:hint="eastAsia" w:cs="宋体"/>
                <w:b/>
                <w:kern w:val="0"/>
                <w:u w:val="single"/>
              </w:rPr>
              <w:t>提供的货物全部由小微企业制造</w:t>
            </w:r>
            <w:r>
              <w:rPr>
                <w:rFonts w:hint="eastAsia" w:cs="宋体"/>
                <w:b/>
                <w:kern w:val="0"/>
              </w:rPr>
              <w:t>，</w:t>
            </w:r>
            <w:r>
              <w:rPr>
                <w:rFonts w:hint="eastAsia" w:cs="宋体"/>
                <w:kern w:val="0"/>
              </w:rPr>
              <w:t>其报价给予</w:t>
            </w:r>
            <w:r>
              <w:rPr>
                <w:rFonts w:hint="eastAsia" w:cs="宋体"/>
                <w:b/>
                <w:bCs/>
                <w:kern w:val="0"/>
                <w:u w:val="single"/>
              </w:rPr>
              <w:t>1</w:t>
            </w:r>
            <w:r>
              <w:rPr>
                <w:rFonts w:hint="eastAsia" w:cs="宋体"/>
                <w:b/>
                <w:kern w:val="0"/>
                <w:u w:val="single"/>
              </w:rPr>
              <w:t>0%</w:t>
            </w:r>
            <w:r>
              <w:rPr>
                <w:rFonts w:hint="eastAsia" w:cs="宋体"/>
                <w:kern w:val="0"/>
              </w:rPr>
              <w:t>的扣除，用扣除后的价格参加评审。</w:t>
            </w:r>
          </w:p>
          <w:p w14:paraId="33A9443E">
            <w:pPr>
              <w:keepNext w:val="0"/>
              <w:keepLines w:val="0"/>
              <w:pageBreakBefore w:val="0"/>
              <w:widowControl w:val="0"/>
              <w:kinsoku/>
              <w:wordWrap/>
              <w:overflowPunct/>
              <w:topLinePunct w:val="0"/>
              <w:autoSpaceDE/>
              <w:autoSpaceDN/>
              <w:bidi w:val="0"/>
              <w:spacing w:line="360" w:lineRule="exact"/>
              <w:ind w:firstLine="0" w:firstLineChars="0"/>
              <w:textAlignment w:val="auto"/>
              <w:rPr>
                <w:rFonts w:cs="宋体"/>
                <w:kern w:val="0"/>
              </w:rPr>
            </w:pPr>
            <w:r>
              <w:rPr>
                <w:rFonts w:hint="eastAsia" w:cs="宋体"/>
                <w:kern w:val="0"/>
              </w:rPr>
              <w:t>（5）符合小微企业划分标准的个体工商户，视同小微企业。</w:t>
            </w:r>
          </w:p>
          <w:p w14:paraId="63ECC73F">
            <w:pPr>
              <w:keepNext w:val="0"/>
              <w:keepLines w:val="0"/>
              <w:pageBreakBefore w:val="0"/>
              <w:widowControl w:val="0"/>
              <w:kinsoku/>
              <w:wordWrap/>
              <w:overflowPunct/>
              <w:topLinePunct w:val="0"/>
              <w:autoSpaceDE/>
              <w:autoSpaceDN/>
              <w:bidi w:val="0"/>
              <w:spacing w:line="360" w:lineRule="exact"/>
              <w:ind w:firstLine="0" w:firstLineChars="0"/>
              <w:textAlignment w:val="auto"/>
              <w:rPr>
                <w:rFonts w:cs="宋体"/>
                <w:kern w:val="0"/>
              </w:rPr>
            </w:pPr>
            <w:r>
              <w:rPr>
                <w:rFonts w:hint="eastAsia" w:cs="宋体"/>
                <w:kern w:val="0"/>
              </w:rPr>
              <w:t>（6）本项目接受大中型企业与小微企业组成联合体。</w:t>
            </w:r>
          </w:p>
          <w:p w14:paraId="5CDF4585">
            <w:pPr>
              <w:keepNext w:val="0"/>
              <w:keepLines w:val="0"/>
              <w:pageBreakBefore w:val="0"/>
              <w:widowControl w:val="0"/>
              <w:kinsoku/>
              <w:wordWrap/>
              <w:overflowPunct/>
              <w:topLinePunct w:val="0"/>
              <w:autoSpaceDE/>
              <w:autoSpaceDN/>
              <w:bidi w:val="0"/>
              <w:spacing w:line="360" w:lineRule="exact"/>
              <w:ind w:firstLine="0" w:firstLineChars="0"/>
              <w:textAlignment w:val="auto"/>
              <w:rPr>
                <w:rFonts w:cs="宋体"/>
                <w:kern w:val="0"/>
              </w:rPr>
            </w:pPr>
            <w:r>
              <w:rPr>
                <w:rFonts w:hint="eastAsia" w:cs="宋体"/>
                <w:kern w:val="0"/>
              </w:rPr>
              <w:t>（7）本项目允许大中型企业向一家或者多家小微企业分包。</w:t>
            </w:r>
          </w:p>
          <w:p w14:paraId="042FA51C">
            <w:pPr>
              <w:keepNext w:val="0"/>
              <w:keepLines w:val="0"/>
              <w:pageBreakBefore w:val="0"/>
              <w:widowControl w:val="0"/>
              <w:kinsoku/>
              <w:wordWrap/>
              <w:overflowPunct/>
              <w:topLinePunct w:val="0"/>
              <w:autoSpaceDE/>
              <w:autoSpaceDN/>
              <w:bidi w:val="0"/>
              <w:spacing w:line="360" w:lineRule="exact"/>
              <w:ind w:firstLine="480"/>
              <w:textAlignment w:val="auto"/>
              <w:rPr>
                <w:rFonts w:cs="宋体"/>
                <w:kern w:val="0"/>
              </w:rPr>
            </w:pPr>
            <w:r>
              <w:rPr>
                <w:rFonts w:hint="eastAsia" w:cs="宋体"/>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hint="eastAsia" w:cs="宋体"/>
                <w:lang w:val="en-US" w:eastAsia="zh-CN"/>
              </w:rPr>
              <w:t>4</w:t>
            </w:r>
            <w:r>
              <w:rPr>
                <w:rFonts w:hint="eastAsia" w:cs="宋体"/>
              </w:rPr>
              <w:t>0%以上的，对联合体或者大中型企业的报价给予4%的扣除，用扣除后的价格参加评审。</w:t>
            </w:r>
          </w:p>
          <w:p w14:paraId="51A5DE6D">
            <w:pPr>
              <w:keepNext w:val="0"/>
              <w:keepLines w:val="0"/>
              <w:pageBreakBefore w:val="0"/>
              <w:widowControl w:val="0"/>
              <w:kinsoku/>
              <w:wordWrap/>
              <w:overflowPunct/>
              <w:topLinePunct w:val="0"/>
              <w:autoSpaceDE/>
              <w:autoSpaceDN/>
              <w:bidi w:val="0"/>
              <w:spacing w:line="360" w:lineRule="exact"/>
              <w:ind w:firstLine="0" w:firstLineChars="0"/>
              <w:textAlignment w:val="auto"/>
              <w:rPr>
                <w:rFonts w:cs="宋体"/>
                <w:kern w:val="0"/>
              </w:rPr>
            </w:pPr>
            <w:r>
              <w:rPr>
                <w:rFonts w:hint="eastAsia" w:cs="宋体"/>
                <w:kern w:val="0"/>
              </w:rPr>
              <w:t>（8）小微企业参加政府采购活动，应当出具《中小企业声明函》，否则其报价不予扣除。</w:t>
            </w:r>
          </w:p>
          <w:p w14:paraId="78501C7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lang w:val="zh-CN"/>
              </w:rPr>
            </w:pPr>
            <w:r>
              <w:rPr>
                <w:rFonts w:hint="eastAsia" w:cs="宋体"/>
              </w:rPr>
              <w:t>（9）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tc>
      </w:tr>
    </w:tbl>
    <w:p w14:paraId="5FF17080">
      <w:pPr>
        <w:pStyle w:val="4"/>
        <w:jc w:val="both"/>
        <w:rPr>
          <w:rFonts w:hint="eastAsia" w:ascii="宋体" w:hAnsi="宋体" w:cs="宋体"/>
          <w:color w:val="auto"/>
          <w:sz w:val="24"/>
          <w:szCs w:val="24"/>
          <w:highlight w:val="none"/>
        </w:rPr>
        <w:sectPr>
          <w:pgSz w:w="11906" w:h="16838"/>
          <w:pgMar w:top="1440" w:right="1080" w:bottom="1440" w:left="1080" w:header="170" w:footer="567" w:gutter="0"/>
          <w:pgNumType w:fmt="decimal"/>
          <w:cols w:space="720" w:num="1"/>
          <w:docGrid w:linePitch="381" w:charSpace="0"/>
        </w:sectPr>
      </w:pPr>
    </w:p>
    <w:bookmarkEnd w:id="36"/>
    <w:bookmarkEnd w:id="37"/>
    <w:bookmarkEnd w:id="38"/>
    <w:bookmarkEnd w:id="39"/>
    <w:bookmarkEnd w:id="40"/>
    <w:bookmarkEnd w:id="41"/>
    <w:bookmarkEnd w:id="42"/>
    <w:bookmarkEnd w:id="43"/>
    <w:bookmarkEnd w:id="44"/>
    <w:p w14:paraId="5AACD392">
      <w:pPr>
        <w:pStyle w:val="4"/>
        <w:jc w:val="center"/>
        <w:rPr>
          <w:rFonts w:ascii="宋体" w:hAnsi="宋体" w:cs="宋体"/>
          <w:color w:val="auto"/>
          <w:sz w:val="24"/>
          <w:szCs w:val="24"/>
          <w:highlight w:val="none"/>
        </w:rPr>
      </w:pPr>
      <w:bookmarkStart w:id="45" w:name="_Toc24542"/>
      <w:bookmarkStart w:id="46" w:name="_Toc2440"/>
      <w:bookmarkStart w:id="47" w:name="_Toc22147"/>
      <w:bookmarkStart w:id="48" w:name="_Toc179632547"/>
      <w:bookmarkStart w:id="49" w:name="_Toc152045530"/>
      <w:bookmarkStart w:id="50" w:name="_Toc152042306"/>
      <w:bookmarkStart w:id="51" w:name="_Toc246996176"/>
      <w:bookmarkStart w:id="52" w:name="_Toc296602421"/>
      <w:bookmarkStart w:id="53" w:name="_Toc246996919"/>
      <w:bookmarkStart w:id="54" w:name="_Toc247085690"/>
      <w:bookmarkStart w:id="55" w:name="_Toc144974498"/>
      <w:r>
        <w:rPr>
          <w:rFonts w:hint="eastAsia" w:ascii="宋体" w:hAnsi="宋体" w:cs="宋体"/>
          <w:color w:val="auto"/>
          <w:sz w:val="24"/>
          <w:szCs w:val="24"/>
          <w:highlight w:val="none"/>
        </w:rPr>
        <w:t>第一节 总 则</w:t>
      </w:r>
      <w:bookmarkEnd w:id="45"/>
      <w:bookmarkEnd w:id="46"/>
      <w:bookmarkEnd w:id="47"/>
    </w:p>
    <w:p w14:paraId="7B67999B">
      <w:pPr>
        <w:pStyle w:val="5"/>
        <w:rPr>
          <w:rFonts w:cs="宋体"/>
          <w:color w:val="auto"/>
          <w:szCs w:val="24"/>
          <w:highlight w:val="none"/>
        </w:rPr>
      </w:pPr>
      <w:r>
        <w:rPr>
          <w:rFonts w:hint="eastAsia" w:cs="宋体"/>
          <w:color w:val="auto"/>
          <w:szCs w:val="24"/>
          <w:highlight w:val="none"/>
        </w:rPr>
        <w:t>一、适用范围</w:t>
      </w:r>
    </w:p>
    <w:p w14:paraId="0F06DB59">
      <w:pPr>
        <w:ind w:firstLine="480"/>
        <w:rPr>
          <w:rFonts w:cs="宋体"/>
          <w:color w:val="auto"/>
          <w:highlight w:val="none"/>
        </w:rPr>
      </w:pPr>
      <w:r>
        <w:rPr>
          <w:rFonts w:hint="eastAsia" w:cs="宋体"/>
          <w:color w:val="auto"/>
          <w:highlight w:val="none"/>
        </w:rPr>
        <w:t>本招标文件适用于该项目的招标、投标、开标、资格审查及信用信息查询、评标、定标、合同、验收等行为（法律、法规另有规定的，从其规定）。</w:t>
      </w:r>
    </w:p>
    <w:p w14:paraId="01D1EF43">
      <w:pPr>
        <w:pStyle w:val="5"/>
        <w:rPr>
          <w:rFonts w:cs="宋体"/>
          <w:color w:val="auto"/>
          <w:szCs w:val="24"/>
          <w:highlight w:val="none"/>
        </w:rPr>
      </w:pPr>
      <w:r>
        <w:rPr>
          <w:rFonts w:hint="eastAsia" w:cs="宋体"/>
          <w:color w:val="auto"/>
          <w:szCs w:val="24"/>
          <w:highlight w:val="none"/>
        </w:rPr>
        <w:t>二、定义</w:t>
      </w:r>
    </w:p>
    <w:p w14:paraId="10BADA14">
      <w:pPr>
        <w:ind w:firstLine="480"/>
        <w:rPr>
          <w:rFonts w:cs="宋体"/>
          <w:color w:val="auto"/>
          <w:highlight w:val="none"/>
        </w:rPr>
      </w:pPr>
      <w:r>
        <w:rPr>
          <w:rFonts w:hint="eastAsia" w:cs="宋体"/>
          <w:color w:val="auto"/>
          <w:highlight w:val="none"/>
        </w:rPr>
        <w:t>1.“招标人”系指长兴县</w:t>
      </w:r>
      <w:r>
        <w:rPr>
          <w:rFonts w:hint="eastAsia" w:cs="宋体"/>
          <w:color w:val="auto"/>
          <w:highlight w:val="none"/>
          <w:lang w:eastAsia="zh-CN"/>
        </w:rPr>
        <w:t>教育</w:t>
      </w:r>
      <w:r>
        <w:rPr>
          <w:rFonts w:hint="eastAsia" w:cs="宋体"/>
          <w:color w:val="auto"/>
          <w:highlight w:val="none"/>
        </w:rPr>
        <w:t>局。</w:t>
      </w:r>
    </w:p>
    <w:p w14:paraId="03404938">
      <w:pPr>
        <w:ind w:firstLine="480"/>
        <w:rPr>
          <w:rFonts w:cs="宋体"/>
          <w:color w:val="auto"/>
          <w:highlight w:val="none"/>
        </w:rPr>
      </w:pPr>
      <w:r>
        <w:rPr>
          <w:rFonts w:hint="eastAsia" w:cs="宋体"/>
          <w:color w:val="auto"/>
          <w:highlight w:val="none"/>
        </w:rPr>
        <w:t>2.“招标代理机构”系指组织本次招标的浙江致信招标代理有限公司。</w:t>
      </w:r>
    </w:p>
    <w:p w14:paraId="55543A35">
      <w:pPr>
        <w:ind w:firstLine="480"/>
        <w:rPr>
          <w:rFonts w:cs="宋体"/>
          <w:color w:val="auto"/>
          <w:highlight w:val="none"/>
        </w:rPr>
      </w:pPr>
      <w:r>
        <w:rPr>
          <w:rFonts w:hint="eastAsia" w:cs="宋体"/>
          <w:color w:val="auto"/>
          <w:highlight w:val="none"/>
        </w:rPr>
        <w:t>3.“投标人”和“投标方”系指参加本次招标活动符合资格条件的供应商。</w:t>
      </w:r>
    </w:p>
    <w:p w14:paraId="577A2709">
      <w:pPr>
        <w:ind w:firstLine="480"/>
        <w:rPr>
          <w:rFonts w:cs="宋体"/>
          <w:color w:val="auto"/>
          <w:highlight w:val="none"/>
        </w:rPr>
      </w:pPr>
      <w:r>
        <w:rPr>
          <w:rFonts w:hint="eastAsia" w:cs="宋体"/>
          <w:color w:val="auto"/>
          <w:highlight w:val="none"/>
        </w:rPr>
        <w:t>4.“授权代表”系指参加本次招标活动的授权代表。</w:t>
      </w:r>
    </w:p>
    <w:p w14:paraId="38E11974">
      <w:pPr>
        <w:ind w:firstLine="480"/>
        <w:rPr>
          <w:rFonts w:cs="宋体"/>
          <w:color w:val="auto"/>
          <w:highlight w:val="none"/>
        </w:rPr>
      </w:pPr>
      <w:r>
        <w:rPr>
          <w:rFonts w:hint="eastAsia"/>
          <w:color w:val="auto"/>
          <w:highlight w:val="none"/>
        </w:rPr>
        <w:t>5.</w:t>
      </w:r>
      <w:r>
        <w:rPr>
          <w:rFonts w:hint="eastAsia" w:cs="宋体"/>
          <w:color w:val="auto"/>
          <w:highlight w:val="none"/>
        </w:rPr>
        <w:t>“书面形式”包括信函、传真、电子文档等。</w:t>
      </w:r>
    </w:p>
    <w:p w14:paraId="5F1F389D">
      <w:pPr>
        <w:pStyle w:val="6"/>
        <w:ind w:firstLine="480"/>
        <w:rPr>
          <w:rFonts w:cs="宋体"/>
          <w:b w:val="0"/>
          <w:bCs w:val="0"/>
          <w:color w:val="auto"/>
          <w:highlight w:val="none"/>
        </w:rPr>
      </w:pPr>
      <w:r>
        <w:rPr>
          <w:rFonts w:hint="eastAsia"/>
          <w:b w:val="0"/>
          <w:bCs w:val="0"/>
          <w:color w:val="auto"/>
          <w:highlight w:val="none"/>
        </w:rPr>
        <w:t>6.</w:t>
      </w:r>
      <w:r>
        <w:rPr>
          <w:rFonts w:hint="eastAsia" w:cs="宋体"/>
          <w:b w:val="0"/>
          <w:bCs w:val="0"/>
          <w:color w:val="auto"/>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3CCD4E97">
      <w:pPr>
        <w:ind w:firstLine="480"/>
        <w:rPr>
          <w:color w:val="auto"/>
          <w:highlight w:val="none"/>
        </w:rPr>
      </w:pPr>
      <w:r>
        <w:rPr>
          <w:rFonts w:hint="eastAsia" w:cs="宋体"/>
          <w:color w:val="auto"/>
          <w:highlight w:val="none"/>
        </w:rPr>
        <w:t>7.“电子交易平台”是指本项目政府采购活动所依托的政府采购云平台（https://www.zcygov.cn/）。</w:t>
      </w:r>
    </w:p>
    <w:p w14:paraId="3A70D24A">
      <w:pPr>
        <w:ind w:firstLine="480"/>
        <w:rPr>
          <w:rFonts w:cs="宋体"/>
          <w:color w:val="auto"/>
          <w:highlight w:val="none"/>
        </w:rPr>
      </w:pPr>
      <w:r>
        <w:rPr>
          <w:rFonts w:hint="eastAsia" w:cs="宋体"/>
          <w:color w:val="auto"/>
          <w:highlight w:val="none"/>
        </w:rPr>
        <w:t>8.“▲”系指实质性要求条款，投标人应做出实质性响应；“★”系指重要要求条款。</w:t>
      </w:r>
    </w:p>
    <w:p w14:paraId="428E6A48">
      <w:pPr>
        <w:ind w:firstLine="0" w:firstLineChars="0"/>
        <w:rPr>
          <w:rFonts w:cs="宋体"/>
          <w:color w:val="auto"/>
          <w:highlight w:val="none"/>
        </w:rPr>
      </w:pPr>
      <w:r>
        <w:rPr>
          <w:rFonts w:hint="eastAsia" w:cs="宋体"/>
          <w:color w:val="auto"/>
          <w:highlight w:val="none"/>
          <w:lang w:eastAsia="zh-CN"/>
        </w:rPr>
        <w:t>“☑”</w:t>
      </w:r>
      <w:r>
        <w:rPr>
          <w:rFonts w:hint="eastAsia" w:cs="宋体"/>
          <w:color w:val="auto"/>
          <w:highlight w:val="none"/>
        </w:rPr>
        <w:t>系指适用本项目的要求，“</w:t>
      </w:r>
      <w:sdt>
        <w:sdtPr>
          <w:rPr>
            <w:rFonts w:hint="eastAsia" w:cs="宋体"/>
            <w:color w:val="auto"/>
            <w:kern w:val="0"/>
            <w:highlight w:val="none"/>
          </w:rPr>
          <w:id w:val="147475255"/>
          <w14:checkbox>
            <w14:checked w14:val="0"/>
            <w14:checkedState w14:val="00FE" w14:font="Wingdings"/>
            <w14:uncheckedState w14:val="2610" w14:font="MS Gothic"/>
          </w14:checkbox>
        </w:sdtPr>
        <w:sdtEndPr>
          <w:rPr>
            <w:rFonts w:hint="eastAsia" w:cs="宋体"/>
            <w:color w:val="auto"/>
            <w:kern w:val="0"/>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cs="宋体"/>
          <w:color w:val="auto"/>
          <w:highlight w:val="none"/>
        </w:rPr>
        <w:t>”系指不适用本项目的要求。</w:t>
      </w:r>
    </w:p>
    <w:p w14:paraId="548158D3">
      <w:pPr>
        <w:pStyle w:val="5"/>
        <w:rPr>
          <w:rFonts w:cs="宋体"/>
          <w:color w:val="auto"/>
          <w:szCs w:val="24"/>
          <w:highlight w:val="none"/>
        </w:rPr>
      </w:pPr>
      <w:r>
        <w:rPr>
          <w:rFonts w:hint="eastAsia" w:cs="宋体"/>
          <w:color w:val="auto"/>
          <w:szCs w:val="24"/>
          <w:highlight w:val="none"/>
        </w:rPr>
        <w:t>三、合格的投标人</w:t>
      </w:r>
    </w:p>
    <w:p w14:paraId="683BF6A9">
      <w:pPr>
        <w:ind w:firstLine="480"/>
        <w:rPr>
          <w:rFonts w:cs="宋体"/>
          <w:color w:val="auto"/>
          <w:highlight w:val="none"/>
        </w:rPr>
      </w:pPr>
      <w:r>
        <w:rPr>
          <w:rFonts w:hint="eastAsia" w:cs="宋体"/>
          <w:color w:val="auto"/>
          <w:highlight w:val="none"/>
        </w:rPr>
        <w:t>详见招标公告“投标人资格要求”。</w:t>
      </w:r>
    </w:p>
    <w:p w14:paraId="60B90E7D">
      <w:pPr>
        <w:pStyle w:val="5"/>
        <w:rPr>
          <w:rFonts w:cs="宋体"/>
          <w:color w:val="auto"/>
          <w:szCs w:val="24"/>
          <w:highlight w:val="none"/>
        </w:rPr>
      </w:pPr>
      <w:r>
        <w:rPr>
          <w:rFonts w:hint="eastAsia" w:cs="宋体"/>
          <w:color w:val="auto"/>
          <w:szCs w:val="24"/>
          <w:highlight w:val="none"/>
        </w:rPr>
        <w:t>四、投标费用</w:t>
      </w:r>
    </w:p>
    <w:p w14:paraId="38BD5A51">
      <w:pPr>
        <w:ind w:firstLine="480"/>
        <w:rPr>
          <w:rFonts w:cs="宋体"/>
          <w:color w:val="auto"/>
          <w:highlight w:val="none"/>
        </w:rPr>
      </w:pPr>
      <w:r>
        <w:rPr>
          <w:rFonts w:hint="eastAsia" w:cs="宋体"/>
          <w:color w:val="auto"/>
          <w:highlight w:val="none"/>
        </w:rPr>
        <w:t>1.无论投标结果如何，投标人自行承担所有与参加投标有关的全部费用。</w:t>
      </w:r>
    </w:p>
    <w:p w14:paraId="0A686920">
      <w:pPr>
        <w:ind w:firstLine="480"/>
        <w:rPr>
          <w:rFonts w:cs="宋体"/>
          <w:color w:val="auto"/>
          <w:highlight w:val="none"/>
        </w:rPr>
      </w:pPr>
      <w:r>
        <w:rPr>
          <w:rFonts w:hint="eastAsia" w:cs="宋体"/>
          <w:color w:val="auto"/>
          <w:highlight w:val="none"/>
        </w:rPr>
        <w:t>2.中标人在中标通知书发出当日，应向招标代理机构交纳代理服务费，收费标准见“第三章-投标人须知-前附表-16”。</w:t>
      </w:r>
    </w:p>
    <w:p w14:paraId="221BE437">
      <w:pPr>
        <w:pStyle w:val="5"/>
        <w:rPr>
          <w:color w:val="auto"/>
          <w:highlight w:val="none"/>
        </w:rPr>
      </w:pPr>
      <w:r>
        <w:rPr>
          <w:rFonts w:hint="eastAsia"/>
          <w:color w:val="auto"/>
          <w:highlight w:val="none"/>
        </w:rPr>
        <w:t>五、采购项目需要落实的政府采购政策</w:t>
      </w:r>
    </w:p>
    <w:p w14:paraId="5E1D49CC">
      <w:pPr>
        <w:ind w:firstLine="480"/>
        <w:rPr>
          <w:rFonts w:cs="宋体"/>
          <w:color w:val="auto"/>
          <w:highlight w:val="none"/>
        </w:rPr>
      </w:pPr>
      <w:r>
        <w:rPr>
          <w:rFonts w:hint="eastAsia" w:cs="宋体"/>
          <w:color w:val="auto"/>
          <w:highlight w:val="none"/>
        </w:rPr>
        <w:t>1.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招标代理机构不会对其加以限制，仍将按照公平竞争原则实施采购）。</w:t>
      </w:r>
    </w:p>
    <w:p w14:paraId="5EDCAA67">
      <w:pPr>
        <w:ind w:firstLine="480"/>
        <w:rPr>
          <w:rFonts w:cs="宋体"/>
          <w:color w:val="auto"/>
          <w:highlight w:val="none"/>
        </w:rPr>
      </w:pPr>
      <w:r>
        <w:rPr>
          <w:rFonts w:hint="eastAsia" w:cs="宋体"/>
          <w:color w:val="auto"/>
          <w:highlight w:val="none"/>
        </w:rPr>
        <w:t>2.支持绿色发展</w:t>
      </w:r>
    </w:p>
    <w:p w14:paraId="7E1B02E1">
      <w:pPr>
        <w:ind w:firstLine="480"/>
        <w:rPr>
          <w:rFonts w:cs="宋体"/>
          <w:b/>
          <w:color w:val="auto"/>
          <w:highlight w:val="none"/>
        </w:rPr>
      </w:pPr>
      <w:r>
        <w:rPr>
          <w:rFonts w:hint="eastAsia" w:cs="宋体"/>
          <w:color w:val="auto"/>
          <w:highlight w:val="none"/>
        </w:rPr>
        <w:t>2.1 招标人拟采购的产品属于品目清单范围的，招标人及其委托的招标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b/>
          <w:color w:val="auto"/>
          <w:highlight w:val="none"/>
        </w:rPr>
        <w:t>招标人拟采购的产品属于政府强制采购的节能产品品目清单范围的，投标人未按招标文件要求提供国家确定的认证机构出具的、处于有效期之内的节能产品认证证书的，投标无效。</w:t>
      </w:r>
    </w:p>
    <w:p w14:paraId="50B43EC0">
      <w:pPr>
        <w:ind w:firstLine="480"/>
        <w:rPr>
          <w:rFonts w:cs="宋体"/>
          <w:color w:val="auto"/>
          <w:highlight w:val="none"/>
        </w:rPr>
      </w:pPr>
      <w:r>
        <w:rPr>
          <w:rFonts w:hint="eastAsia" w:cs="宋体"/>
          <w:color w:val="auto"/>
          <w:highlight w:val="none"/>
        </w:rPr>
        <w:t>2.2 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070E0C90">
      <w:pPr>
        <w:ind w:firstLine="480"/>
        <w:rPr>
          <w:rFonts w:cs="宋体"/>
          <w:color w:val="auto"/>
          <w:highlight w:val="none"/>
        </w:rPr>
      </w:pPr>
      <w:r>
        <w:rPr>
          <w:rFonts w:hint="eastAsia" w:cs="宋体"/>
          <w:color w:val="auto"/>
          <w:highlight w:val="none"/>
        </w:rPr>
        <w:t>3.支持中小企业发展</w:t>
      </w:r>
    </w:p>
    <w:p w14:paraId="3DE9F194">
      <w:pPr>
        <w:ind w:firstLine="480"/>
        <w:rPr>
          <w:rFonts w:cs="宋体"/>
          <w:color w:val="auto"/>
          <w:highlight w:val="none"/>
        </w:rPr>
      </w:pPr>
      <w:r>
        <w:rPr>
          <w:rFonts w:hint="eastAsia" w:cs="宋体"/>
          <w:color w:val="auto"/>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w:t>
      </w:r>
    </w:p>
    <w:p w14:paraId="299F6C94">
      <w:pPr>
        <w:ind w:firstLine="480"/>
        <w:rPr>
          <w:rFonts w:cs="宋体"/>
          <w:color w:val="auto"/>
          <w:highlight w:val="none"/>
        </w:rPr>
      </w:pPr>
      <w:r>
        <w:rPr>
          <w:rFonts w:hint="eastAsia" w:cs="宋体"/>
          <w:color w:val="auto"/>
          <w:highlight w:val="none"/>
        </w:rPr>
        <w:t>符合中小企业划分标准的个体工商户，在政府采购活动中视同中小企业。</w:t>
      </w:r>
    </w:p>
    <w:p w14:paraId="75BF352C">
      <w:pPr>
        <w:widowControl/>
        <w:ind w:firstLine="480"/>
        <w:jc w:val="left"/>
        <w:rPr>
          <w:rFonts w:cs="宋体"/>
          <w:color w:val="auto"/>
          <w:kern w:val="0"/>
          <w:highlight w:val="none"/>
        </w:rPr>
      </w:pPr>
      <w:r>
        <w:rPr>
          <w:rFonts w:hint="eastAsia" w:cs="宋体"/>
          <w:bCs/>
          <w:color w:val="auto"/>
          <w:highlight w:val="none"/>
        </w:rPr>
        <w:t xml:space="preserve">3.2 </w:t>
      </w:r>
      <w:r>
        <w:rPr>
          <w:rFonts w:hint="eastAsia" w:cs="宋体"/>
          <w:color w:val="auto"/>
          <w:kern w:val="0"/>
          <w:highlight w:val="none"/>
        </w:rPr>
        <w:t>在政府采购活动中，投标人提供的货物、工程或者服务符合下列情形的，享受中小企业扶持政策：</w:t>
      </w:r>
    </w:p>
    <w:p w14:paraId="7BC44F1C">
      <w:pPr>
        <w:widowControl/>
        <w:ind w:firstLine="480"/>
        <w:jc w:val="left"/>
        <w:rPr>
          <w:rFonts w:cs="宋体"/>
          <w:color w:val="auto"/>
          <w:kern w:val="0"/>
          <w:highlight w:val="none"/>
        </w:rPr>
      </w:pPr>
      <w:r>
        <w:rPr>
          <w:rFonts w:hint="eastAsia" w:cs="宋体"/>
          <w:color w:val="auto"/>
          <w:kern w:val="0"/>
          <w:highlight w:val="none"/>
        </w:rPr>
        <w:t>3.2.1 在货物采购项目中，货物由中小企业制造，即货物由中小企业生产且使用该中小企业商号或者注册商标；</w:t>
      </w:r>
    </w:p>
    <w:p w14:paraId="679D7721">
      <w:pPr>
        <w:widowControl/>
        <w:ind w:firstLine="480"/>
        <w:jc w:val="left"/>
        <w:rPr>
          <w:rFonts w:cs="宋体"/>
          <w:color w:val="auto"/>
          <w:kern w:val="0"/>
          <w:highlight w:val="none"/>
        </w:rPr>
      </w:pPr>
      <w:r>
        <w:rPr>
          <w:rFonts w:hint="eastAsia" w:cs="宋体"/>
          <w:color w:val="auto"/>
          <w:kern w:val="0"/>
          <w:highlight w:val="none"/>
        </w:rPr>
        <w:t>3.2.2 在工程采购项目中，工程由中小企业承建，即工程施工单位为中小企业；</w:t>
      </w:r>
    </w:p>
    <w:p w14:paraId="57F850A1">
      <w:pPr>
        <w:widowControl/>
        <w:ind w:firstLine="480"/>
        <w:jc w:val="left"/>
        <w:rPr>
          <w:rFonts w:cs="宋体"/>
          <w:color w:val="auto"/>
          <w:kern w:val="0"/>
          <w:highlight w:val="none"/>
        </w:rPr>
      </w:pPr>
      <w:r>
        <w:rPr>
          <w:rFonts w:hint="eastAsia" w:cs="宋体"/>
          <w:color w:val="auto"/>
          <w:kern w:val="0"/>
          <w:highlight w:val="none"/>
        </w:rPr>
        <w:t>3.2.3 在服务采购项目中，服务由中小企业承接，即提供服务的人员为中小企业依照《中华人民共和国劳动合同法》订立劳动合同的从业人员。</w:t>
      </w:r>
    </w:p>
    <w:p w14:paraId="31188DEB">
      <w:pPr>
        <w:widowControl/>
        <w:ind w:firstLine="480"/>
        <w:jc w:val="left"/>
        <w:rPr>
          <w:rFonts w:cs="宋体"/>
          <w:color w:val="auto"/>
          <w:kern w:val="0"/>
          <w:highlight w:val="none"/>
        </w:rPr>
      </w:pPr>
      <w:r>
        <w:rPr>
          <w:rFonts w:hint="eastAsia" w:cs="宋体"/>
          <w:color w:val="auto"/>
          <w:kern w:val="0"/>
          <w:highlight w:val="none"/>
        </w:rPr>
        <w:t>在货物采购项目中，投标人提供的货物既有中小企业制造货物，也有大型企业制造货物的，不享受中小企业扶持政策。</w:t>
      </w:r>
    </w:p>
    <w:p w14:paraId="0E8EF14E">
      <w:pPr>
        <w:widowControl/>
        <w:ind w:firstLine="480"/>
        <w:jc w:val="left"/>
        <w:rPr>
          <w:rFonts w:cs="宋体"/>
          <w:color w:val="auto"/>
          <w:kern w:val="0"/>
          <w:highlight w:val="none"/>
        </w:rPr>
      </w:pPr>
      <w:r>
        <w:rPr>
          <w:rFonts w:hint="eastAsia" w:cs="宋体"/>
          <w:color w:val="auto"/>
          <w:kern w:val="0"/>
          <w:highlight w:val="none"/>
        </w:rPr>
        <w:t>以联合体形式参加政府采购活动，联合体各方均为中小企业的，联合体视同中小企业。其中，联合体各方均为小微企业的，联合体视同小微企业。</w:t>
      </w:r>
    </w:p>
    <w:p w14:paraId="4A516BB8">
      <w:pPr>
        <w:ind w:firstLine="480"/>
        <w:rPr>
          <w:rFonts w:cs="宋体"/>
          <w:color w:val="auto"/>
          <w:highlight w:val="none"/>
        </w:rPr>
      </w:pPr>
      <w:r>
        <w:rPr>
          <w:rFonts w:hint="eastAsia" w:cs="宋体"/>
          <w:color w:val="auto"/>
          <w:highlight w:val="none"/>
        </w:rPr>
        <w:t>3.3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035686">
      <w:pPr>
        <w:ind w:firstLine="480"/>
        <w:rPr>
          <w:rFonts w:cs="宋体"/>
          <w:color w:val="auto"/>
          <w:highlight w:val="none"/>
        </w:rPr>
      </w:pPr>
      <w:r>
        <w:rPr>
          <w:rFonts w:hint="eastAsia" w:cs="宋体"/>
          <w:color w:val="auto"/>
          <w:highlight w:val="none"/>
        </w:rPr>
        <w:t>3.4 符合《关于促进残疾人就业政府采购政策的通知》（财库〔2017〕141号）规定的条件并提供《残疾人福利性单位声明函》的残疾人福利性单位视同小型、微型企业。</w:t>
      </w:r>
    </w:p>
    <w:p w14:paraId="518D32AE">
      <w:pPr>
        <w:ind w:firstLine="480"/>
        <w:rPr>
          <w:rFonts w:cs="宋体"/>
          <w:color w:val="auto"/>
          <w:highlight w:val="none"/>
        </w:rPr>
      </w:pPr>
      <w:r>
        <w:rPr>
          <w:rFonts w:hint="eastAsia" w:cs="宋体"/>
          <w:color w:val="auto"/>
          <w:highlight w:val="none"/>
        </w:rPr>
        <w:t>3.5 符合《关于政府采购支持监狱企业发展有关问题的通知》（财库[2014]68号）规定的监狱企业并提供由省级以上监狱管理局、戒毒管理局（含新疆生产建设兵团）出具的属于监狱企业证明文件的，视同为小型、微型企业。</w:t>
      </w:r>
    </w:p>
    <w:p w14:paraId="0245ABE0">
      <w:pPr>
        <w:ind w:firstLine="480"/>
        <w:rPr>
          <w:rFonts w:cs="宋体"/>
          <w:color w:val="auto"/>
          <w:highlight w:val="none"/>
        </w:rPr>
      </w:pPr>
      <w:r>
        <w:rPr>
          <w:rFonts w:hint="eastAsia" w:cs="宋体"/>
          <w:color w:val="auto"/>
          <w:highlight w:val="none"/>
        </w:rPr>
        <w:t>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A8B5ED">
      <w:pPr>
        <w:ind w:firstLine="480"/>
        <w:rPr>
          <w:rFonts w:cs="宋体"/>
          <w:color w:val="auto"/>
          <w:highlight w:val="none"/>
        </w:rPr>
      </w:pPr>
      <w:r>
        <w:rPr>
          <w:rFonts w:hint="eastAsia" w:cs="宋体"/>
          <w:color w:val="auto"/>
          <w:highlight w:val="none"/>
        </w:rPr>
        <w:t>3.7 中小企业享受扶持政策获得政府采购合同的，小微企业不得将合同分包给大中型企业，中型企业不得将合同分包给大型企业。</w:t>
      </w:r>
    </w:p>
    <w:p w14:paraId="58441C99">
      <w:pPr>
        <w:ind w:firstLine="480"/>
        <w:rPr>
          <w:rFonts w:cs="宋体"/>
          <w:color w:val="auto"/>
          <w:highlight w:val="none"/>
        </w:rPr>
      </w:pPr>
      <w:r>
        <w:rPr>
          <w:rFonts w:hint="eastAsia" w:cs="宋体"/>
          <w:color w:val="auto"/>
          <w:highlight w:val="none"/>
        </w:rPr>
        <w:t>4.</w:t>
      </w:r>
      <w:r>
        <w:rPr>
          <w:rFonts w:hint="eastAsia" w:cs="宋体"/>
          <w:bCs/>
          <w:color w:val="auto"/>
          <w:highlight w:val="none"/>
        </w:rPr>
        <w:t>支持创新发展</w:t>
      </w:r>
    </w:p>
    <w:p w14:paraId="032D3092">
      <w:pPr>
        <w:ind w:firstLine="480"/>
        <w:rPr>
          <w:rFonts w:cs="宋体"/>
          <w:color w:val="auto"/>
          <w:highlight w:val="none"/>
        </w:rPr>
      </w:pPr>
      <w:r>
        <w:rPr>
          <w:rFonts w:hint="eastAsia" w:cs="宋体"/>
          <w:color w:val="auto"/>
          <w:highlight w:val="none"/>
        </w:rPr>
        <w:t>4.1 招标人优先采购被认定为首台套产品和“制造精品”的自主创新产品。</w:t>
      </w:r>
    </w:p>
    <w:p w14:paraId="519C35CB">
      <w:pPr>
        <w:ind w:firstLine="480"/>
        <w:rPr>
          <w:rFonts w:cs="宋体"/>
          <w:color w:val="auto"/>
          <w:highlight w:val="none"/>
        </w:rPr>
      </w:pPr>
      <w:r>
        <w:rPr>
          <w:rFonts w:hint="eastAsia" w:cs="宋体"/>
          <w:color w:val="auto"/>
          <w:highlight w:val="none"/>
        </w:rPr>
        <w:t>4.2 首台套产品被纳入《首台套产品推广应用指导目录》之日起3年内，以及产品核心技术高于国内领先水平，并具有明晰自主知识产权的“制造精品”产品，自认定之日起三年内视同已具备相应销售业绩，参加政府采购活动时业绩分值为满分。</w:t>
      </w:r>
    </w:p>
    <w:p w14:paraId="64E81292">
      <w:pPr>
        <w:pStyle w:val="5"/>
        <w:ind w:left="480" w:leftChars="200"/>
        <w:rPr>
          <w:rFonts w:cs="宋体"/>
          <w:b w:val="0"/>
          <w:bCs w:val="0"/>
          <w:color w:val="auto"/>
          <w:highlight w:val="none"/>
        </w:rPr>
      </w:pPr>
      <w:r>
        <w:rPr>
          <w:rFonts w:hint="eastAsia" w:cs="宋体"/>
          <w:b w:val="0"/>
          <w:bCs w:val="0"/>
          <w:color w:val="auto"/>
          <w:highlight w:val="none"/>
        </w:rPr>
        <w:t>5.中小企业信用融资</w:t>
      </w:r>
    </w:p>
    <w:p w14:paraId="31EA81BE">
      <w:pPr>
        <w:pStyle w:val="5"/>
        <w:ind w:firstLine="480" w:firstLineChars="200"/>
        <w:rPr>
          <w:rFonts w:cs="宋体"/>
          <w:color w:val="auto"/>
          <w:highlight w:val="none"/>
        </w:rPr>
      </w:pPr>
      <w:r>
        <w:rPr>
          <w:rFonts w:hint="eastAsia" w:cs="宋体"/>
          <w:b w:val="0"/>
          <w:bCs w:val="0"/>
          <w:color w:val="auto"/>
          <w:highlight w:val="none"/>
        </w:rPr>
        <w:t>投标人若有融资意向，详见《政府采购支持中小企业信用融资相关事项通知》，或登录浙江政府采购网“中小企业信用融资”模块，查看信用融资政策及相关银行服务方案。</w:t>
      </w:r>
    </w:p>
    <w:p w14:paraId="38D54239">
      <w:pPr>
        <w:pStyle w:val="5"/>
        <w:rPr>
          <w:rFonts w:cs="宋体"/>
          <w:color w:val="auto"/>
          <w:szCs w:val="24"/>
          <w:highlight w:val="none"/>
        </w:rPr>
      </w:pPr>
      <w:r>
        <w:rPr>
          <w:rFonts w:hint="eastAsia" w:cs="宋体"/>
          <w:color w:val="auto"/>
          <w:szCs w:val="24"/>
          <w:highlight w:val="none"/>
        </w:rPr>
        <w:t>六、询问、质疑、投诉</w:t>
      </w:r>
    </w:p>
    <w:p w14:paraId="0BA13C79">
      <w:pPr>
        <w:autoSpaceDE w:val="0"/>
        <w:autoSpaceDN w:val="0"/>
        <w:ind w:firstLine="480"/>
        <w:jc w:val="left"/>
        <w:rPr>
          <w:rFonts w:cs="宋体"/>
          <w:color w:val="auto"/>
          <w:kern w:val="0"/>
          <w:highlight w:val="none"/>
          <w:lang w:val="zh-CN"/>
        </w:rPr>
      </w:pPr>
      <w:r>
        <w:rPr>
          <w:rFonts w:hint="eastAsia" w:cs="宋体"/>
          <w:color w:val="auto"/>
          <w:kern w:val="0"/>
          <w:highlight w:val="none"/>
          <w:lang w:val="zh-CN"/>
        </w:rPr>
        <w:t>1</w:t>
      </w:r>
      <w:r>
        <w:rPr>
          <w:rFonts w:hint="eastAsia" w:cs="宋体"/>
          <w:color w:val="auto"/>
          <w:kern w:val="0"/>
          <w:highlight w:val="none"/>
        </w:rPr>
        <w:t>.</w:t>
      </w:r>
      <w:r>
        <w:rPr>
          <w:rFonts w:hint="eastAsia" w:cs="宋体"/>
          <w:color w:val="auto"/>
          <w:kern w:val="0"/>
          <w:highlight w:val="none"/>
          <w:lang w:val="zh-CN"/>
        </w:rPr>
        <w:t>投标人询问</w:t>
      </w:r>
    </w:p>
    <w:p w14:paraId="6A0C4464">
      <w:pPr>
        <w:autoSpaceDE w:val="0"/>
        <w:autoSpaceDN w:val="0"/>
        <w:ind w:firstLine="480"/>
        <w:jc w:val="left"/>
        <w:rPr>
          <w:rFonts w:cs="宋体"/>
          <w:color w:val="auto"/>
          <w:kern w:val="0"/>
          <w:highlight w:val="none"/>
          <w:lang w:val="zh-CN"/>
        </w:rPr>
      </w:pPr>
      <w:r>
        <w:rPr>
          <w:rFonts w:hint="eastAsia" w:cs="宋体"/>
          <w:color w:val="auto"/>
          <w:kern w:val="0"/>
          <w:highlight w:val="none"/>
          <w:lang w:val="zh-CN"/>
        </w:rPr>
        <w:t>投标人对政府采购活动事项有疑问的，可以提出询问，招标人或者招标代理机构应当在3个工作日内对投标人依法提出的询问作出答复，但答复的内容不得涉及商业秘密。投标人提出的询问超出招标人对代理机构委托授权范围的，招标代理机构应当告知投标人向招标人提出。</w:t>
      </w:r>
    </w:p>
    <w:p w14:paraId="3AB074C7">
      <w:pPr>
        <w:autoSpaceDE w:val="0"/>
        <w:autoSpaceDN w:val="0"/>
        <w:ind w:firstLine="480"/>
        <w:jc w:val="left"/>
        <w:rPr>
          <w:rFonts w:cs="宋体"/>
          <w:color w:val="auto"/>
          <w:kern w:val="0"/>
          <w:highlight w:val="none"/>
          <w:lang w:val="zh-CN"/>
        </w:rPr>
      </w:pPr>
      <w:r>
        <w:rPr>
          <w:rFonts w:hint="eastAsia" w:cs="宋体"/>
          <w:color w:val="auto"/>
          <w:kern w:val="0"/>
          <w:highlight w:val="none"/>
          <w:lang w:val="zh-CN"/>
        </w:rPr>
        <w:t>2</w:t>
      </w:r>
      <w:r>
        <w:rPr>
          <w:rFonts w:hint="eastAsia" w:cs="宋体"/>
          <w:color w:val="auto"/>
          <w:kern w:val="0"/>
          <w:highlight w:val="none"/>
        </w:rPr>
        <w:t>.</w:t>
      </w:r>
      <w:r>
        <w:rPr>
          <w:rFonts w:hint="eastAsia" w:cs="宋体"/>
          <w:color w:val="auto"/>
          <w:kern w:val="0"/>
          <w:highlight w:val="none"/>
          <w:lang w:val="zh-CN"/>
        </w:rPr>
        <w:t>投标人质疑</w:t>
      </w:r>
    </w:p>
    <w:p w14:paraId="469414E3">
      <w:pPr>
        <w:pStyle w:val="20"/>
        <w:spacing w:line="360" w:lineRule="auto"/>
        <w:ind w:firstLine="480" w:firstLineChars="200"/>
        <w:rPr>
          <w:rFonts w:hAnsi="宋体" w:cs="宋体"/>
          <w:color w:val="auto"/>
          <w:sz w:val="24"/>
          <w:highlight w:val="none"/>
        </w:rPr>
      </w:pPr>
      <w:r>
        <w:rPr>
          <w:rFonts w:hint="eastAsia" w:hAnsi="宋体" w:cs="宋体"/>
          <w:color w:val="auto"/>
          <w:sz w:val="24"/>
          <w:highlight w:val="none"/>
        </w:rPr>
        <w:t>（1）提出质疑的投标人应当是参与所质疑项目招标活动的投标人。潜在投标人已依法获取其可质疑的招标文件的，可以对该文件提出质疑。</w:t>
      </w:r>
    </w:p>
    <w:p w14:paraId="2DB0FD78">
      <w:pPr>
        <w:pStyle w:val="2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w:t>
      </w:r>
      <w:r>
        <w:rPr>
          <w:rFonts w:hint="eastAsia" w:hAnsi="宋体" w:cs="宋体"/>
          <w:color w:val="auto"/>
          <w:sz w:val="24"/>
          <w:highlight w:val="none"/>
        </w:rPr>
        <w:t>2）投标人认为招标文件、招标过程和中标结果使自己的权益受到损害的，可以在知道或者应知其权益受到损害之日起七个工作日内，以书面形式向招标人或者招标机构提出质疑，否则，招标人或者招标机构不予受理：</w:t>
      </w:r>
    </w:p>
    <w:p w14:paraId="09BD090C">
      <w:pPr>
        <w:pStyle w:val="8"/>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1）对招标文件提出质疑的，质疑期限为投标人获得招标文件之日或者招标文件公告期限届满之日起计算。</w:t>
      </w:r>
    </w:p>
    <w:p w14:paraId="5AC80F46">
      <w:pPr>
        <w:pStyle w:val="20"/>
        <w:spacing w:line="360" w:lineRule="auto"/>
        <w:ind w:firstLine="720" w:firstLineChars="300"/>
        <w:rPr>
          <w:rFonts w:hAnsi="宋体" w:cs="宋体"/>
          <w:color w:val="auto"/>
          <w:sz w:val="24"/>
          <w:highlight w:val="none"/>
        </w:rPr>
      </w:pPr>
      <w:r>
        <w:rPr>
          <w:rFonts w:hint="eastAsia" w:hAnsi="宋体" w:cs="宋体"/>
          <w:color w:val="auto"/>
          <w:sz w:val="24"/>
          <w:highlight w:val="none"/>
        </w:rPr>
        <w:t>2）对招标过程提出质疑的，质疑期限为各招标程序环节结束之日起计算。对同一招标程序环节的质疑，投标人须一次性提出。</w:t>
      </w:r>
    </w:p>
    <w:p w14:paraId="28A9926A">
      <w:pPr>
        <w:pStyle w:val="20"/>
        <w:spacing w:line="360" w:lineRule="auto"/>
        <w:ind w:firstLine="720" w:firstLineChars="300"/>
        <w:rPr>
          <w:rFonts w:hAnsi="宋体" w:cs="宋体"/>
          <w:color w:val="auto"/>
          <w:sz w:val="24"/>
          <w:highlight w:val="none"/>
        </w:rPr>
      </w:pPr>
      <w:r>
        <w:rPr>
          <w:rFonts w:hint="eastAsia" w:hAnsi="宋体" w:cs="宋体"/>
          <w:color w:val="auto"/>
          <w:sz w:val="24"/>
          <w:highlight w:val="none"/>
        </w:rPr>
        <w:t>3）对招标结果提出质疑的，质疑期限自招标结果公告期限届满之日起计算。</w:t>
      </w:r>
    </w:p>
    <w:p w14:paraId="23F24AC3">
      <w:pPr>
        <w:pStyle w:val="2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w:t>
      </w:r>
      <w:r>
        <w:rPr>
          <w:rFonts w:hint="eastAsia" w:hAnsi="宋体" w:cs="宋体"/>
          <w:color w:val="auto"/>
          <w:kern w:val="0"/>
          <w:sz w:val="24"/>
          <w:highlight w:val="none"/>
        </w:rPr>
        <w:t>3）</w:t>
      </w:r>
      <w:r>
        <w:rPr>
          <w:rFonts w:hint="eastAsia" w:hAnsi="宋体" w:cs="宋体"/>
          <w:color w:val="auto"/>
          <w:sz w:val="24"/>
          <w:highlight w:val="none"/>
        </w:rPr>
        <w:t>投标人提出质疑应当提交质疑函和必要的证明材料。质疑函应当包括下列内容：</w:t>
      </w:r>
    </w:p>
    <w:p w14:paraId="1342C0C4">
      <w:pPr>
        <w:pStyle w:val="20"/>
        <w:spacing w:line="360" w:lineRule="auto"/>
        <w:ind w:firstLine="720" w:firstLineChars="300"/>
        <w:rPr>
          <w:rFonts w:hAnsi="宋体" w:cs="宋体"/>
          <w:color w:val="auto"/>
          <w:kern w:val="0"/>
          <w:sz w:val="24"/>
          <w:highlight w:val="none"/>
          <w:lang w:val="zh-CN"/>
        </w:rPr>
      </w:pPr>
      <w:r>
        <w:rPr>
          <w:rFonts w:hint="eastAsia" w:hAnsi="宋体" w:cs="宋体"/>
          <w:color w:val="auto"/>
          <w:sz w:val="24"/>
          <w:highlight w:val="none"/>
        </w:rPr>
        <w:t>1）</w:t>
      </w:r>
      <w:r>
        <w:rPr>
          <w:rFonts w:hint="eastAsia" w:hAnsi="宋体" w:cs="宋体"/>
          <w:color w:val="auto"/>
          <w:kern w:val="0"/>
          <w:sz w:val="24"/>
          <w:highlight w:val="none"/>
          <w:lang w:val="zh-CN"/>
        </w:rPr>
        <w:t>投标人的姓名或者名称、地址、邮编、联系人及联系电话；</w:t>
      </w:r>
    </w:p>
    <w:p w14:paraId="0F1B3F4A">
      <w:pPr>
        <w:pStyle w:val="20"/>
        <w:spacing w:line="360" w:lineRule="auto"/>
        <w:ind w:firstLine="720" w:firstLineChars="300"/>
        <w:rPr>
          <w:rFonts w:hAnsi="宋体" w:cs="宋体"/>
          <w:color w:val="auto"/>
          <w:kern w:val="0"/>
          <w:sz w:val="24"/>
          <w:highlight w:val="none"/>
          <w:lang w:val="zh-CN"/>
        </w:rPr>
      </w:pPr>
      <w:r>
        <w:rPr>
          <w:rFonts w:hint="eastAsia" w:hAnsi="宋体" w:cs="宋体"/>
          <w:color w:val="auto"/>
          <w:sz w:val="24"/>
          <w:highlight w:val="none"/>
        </w:rPr>
        <w:t>2）</w:t>
      </w:r>
      <w:r>
        <w:rPr>
          <w:rFonts w:hint="eastAsia" w:hAnsi="宋体" w:cs="宋体"/>
          <w:color w:val="auto"/>
          <w:kern w:val="0"/>
          <w:sz w:val="24"/>
          <w:highlight w:val="none"/>
          <w:lang w:val="zh-CN"/>
        </w:rPr>
        <w:t>质疑项目的名称、编号；</w:t>
      </w:r>
    </w:p>
    <w:p w14:paraId="1F02DEA0">
      <w:pPr>
        <w:pStyle w:val="20"/>
        <w:spacing w:line="360" w:lineRule="auto"/>
        <w:ind w:firstLine="720" w:firstLineChars="300"/>
        <w:rPr>
          <w:rFonts w:hAnsi="宋体" w:cs="宋体"/>
          <w:color w:val="auto"/>
          <w:kern w:val="0"/>
          <w:sz w:val="24"/>
          <w:highlight w:val="none"/>
          <w:lang w:val="zh-CN"/>
        </w:rPr>
      </w:pPr>
      <w:r>
        <w:rPr>
          <w:rFonts w:hint="eastAsia" w:hAnsi="宋体" w:cs="宋体"/>
          <w:color w:val="auto"/>
          <w:sz w:val="24"/>
          <w:highlight w:val="none"/>
        </w:rPr>
        <w:t>3）</w:t>
      </w:r>
      <w:r>
        <w:rPr>
          <w:rFonts w:hint="eastAsia" w:hAnsi="宋体" w:cs="宋体"/>
          <w:color w:val="auto"/>
          <w:kern w:val="0"/>
          <w:sz w:val="24"/>
          <w:highlight w:val="none"/>
          <w:lang w:val="zh-CN"/>
        </w:rPr>
        <w:t>具体、明确的质疑事项和与质疑事项相关的请求；</w:t>
      </w:r>
    </w:p>
    <w:p w14:paraId="53353ADD">
      <w:pPr>
        <w:pStyle w:val="20"/>
        <w:spacing w:line="360" w:lineRule="auto"/>
        <w:ind w:firstLine="720" w:firstLineChars="300"/>
        <w:rPr>
          <w:rFonts w:hAnsi="宋体" w:cs="宋体"/>
          <w:color w:val="auto"/>
          <w:kern w:val="0"/>
          <w:sz w:val="24"/>
          <w:highlight w:val="none"/>
          <w:lang w:val="zh-CN"/>
        </w:rPr>
      </w:pPr>
      <w:r>
        <w:rPr>
          <w:rFonts w:hint="eastAsia" w:hAnsi="宋体" w:cs="宋体"/>
          <w:color w:val="auto"/>
          <w:sz w:val="24"/>
          <w:highlight w:val="none"/>
        </w:rPr>
        <w:t>4）</w:t>
      </w:r>
      <w:r>
        <w:rPr>
          <w:rFonts w:hint="eastAsia" w:hAnsi="宋体" w:cs="宋体"/>
          <w:color w:val="auto"/>
          <w:kern w:val="0"/>
          <w:sz w:val="24"/>
          <w:highlight w:val="none"/>
          <w:lang w:val="zh-CN"/>
        </w:rPr>
        <w:t>事实依据；</w:t>
      </w:r>
    </w:p>
    <w:p w14:paraId="0F6B2B35">
      <w:pPr>
        <w:pStyle w:val="20"/>
        <w:spacing w:line="360" w:lineRule="auto"/>
        <w:ind w:firstLine="720" w:firstLineChars="300"/>
        <w:rPr>
          <w:rFonts w:hAnsi="宋体" w:cs="宋体"/>
          <w:color w:val="auto"/>
          <w:kern w:val="0"/>
          <w:sz w:val="24"/>
          <w:highlight w:val="none"/>
          <w:lang w:val="zh-CN"/>
        </w:rPr>
      </w:pPr>
      <w:r>
        <w:rPr>
          <w:rFonts w:hint="eastAsia" w:hAnsi="宋体" w:cs="宋体"/>
          <w:color w:val="auto"/>
          <w:sz w:val="24"/>
          <w:highlight w:val="none"/>
        </w:rPr>
        <w:t>5）</w:t>
      </w:r>
      <w:r>
        <w:rPr>
          <w:rFonts w:hint="eastAsia" w:hAnsi="宋体" w:cs="宋体"/>
          <w:color w:val="auto"/>
          <w:kern w:val="0"/>
          <w:sz w:val="24"/>
          <w:highlight w:val="none"/>
          <w:lang w:val="zh-CN"/>
        </w:rPr>
        <w:t>必要的法律依据；</w:t>
      </w:r>
    </w:p>
    <w:p w14:paraId="462EBB30">
      <w:pPr>
        <w:pStyle w:val="20"/>
        <w:spacing w:line="360" w:lineRule="auto"/>
        <w:ind w:firstLine="720" w:firstLineChars="300"/>
        <w:rPr>
          <w:rFonts w:hAnsi="宋体" w:cs="宋体"/>
          <w:color w:val="auto"/>
          <w:kern w:val="0"/>
          <w:sz w:val="24"/>
          <w:highlight w:val="none"/>
          <w:lang w:val="zh-CN"/>
        </w:rPr>
      </w:pPr>
      <w:r>
        <w:rPr>
          <w:rFonts w:hint="eastAsia" w:hAnsi="宋体" w:cs="宋体"/>
          <w:color w:val="auto"/>
          <w:sz w:val="24"/>
          <w:highlight w:val="none"/>
        </w:rPr>
        <w:t>6）</w:t>
      </w:r>
      <w:r>
        <w:rPr>
          <w:rFonts w:hint="eastAsia" w:hAnsi="宋体" w:cs="宋体"/>
          <w:color w:val="auto"/>
          <w:kern w:val="0"/>
          <w:sz w:val="24"/>
          <w:highlight w:val="none"/>
          <w:lang w:val="zh-CN"/>
        </w:rPr>
        <w:t>提出质疑的日期。</w:t>
      </w:r>
    </w:p>
    <w:p w14:paraId="35D92BAC">
      <w:pPr>
        <w:ind w:firstLine="480"/>
        <w:rPr>
          <w:color w:val="auto"/>
          <w:highlight w:val="none"/>
        </w:rPr>
      </w:pPr>
      <w:r>
        <w:rPr>
          <w:rFonts w:hint="eastAsia"/>
          <w:color w:val="auto"/>
          <w:highlight w:val="none"/>
        </w:rPr>
        <w:t>投标人提交的质疑函需一式三份。投标人为自然人的，应当由本人签字；投标人为法人或者其他组织的，应当由法定代表人、主要负责人，或者其授权代表签字或者盖章，并加盖公章。</w:t>
      </w:r>
    </w:p>
    <w:p w14:paraId="3F5EC274">
      <w:pPr>
        <w:ind w:firstLine="480"/>
        <w:rPr>
          <w:color w:val="auto"/>
          <w:highlight w:val="none"/>
        </w:rPr>
      </w:pPr>
      <w:r>
        <w:rPr>
          <w:rFonts w:hint="eastAsia"/>
          <w:color w:val="auto"/>
          <w:highlight w:val="none"/>
          <w:lang w:val="zh-CN"/>
        </w:rPr>
        <w:t>（</w:t>
      </w:r>
      <w:r>
        <w:rPr>
          <w:rFonts w:hint="eastAsia"/>
          <w:color w:val="auto"/>
          <w:highlight w:val="none"/>
        </w:rPr>
        <w:t>4）招标人或者招标机构应当在收到投标人的书面质疑后七个工作日内作出答复，并以书面形式通知质疑投标人和其他与质疑处理结果有利害关系的政府采购当事人，但答复的内容不得涉及商业秘密。招标人或者招标机构在质疑回复后5个工作日内，在浙江政府采购网的“其他公告”栏目公开质疑答复，答复内容应当完整。质疑函作为附件上传。</w:t>
      </w:r>
    </w:p>
    <w:p w14:paraId="6EAB25B2">
      <w:pPr>
        <w:ind w:firstLine="480"/>
        <w:rPr>
          <w:color w:val="auto"/>
          <w:highlight w:val="none"/>
        </w:rPr>
      </w:pPr>
      <w:r>
        <w:rPr>
          <w:rFonts w:hint="eastAsia"/>
          <w:color w:val="auto"/>
          <w:highlight w:val="none"/>
          <w:lang w:val="zh-CN"/>
        </w:rPr>
        <w:t>（</w:t>
      </w:r>
      <w:r>
        <w:rPr>
          <w:rFonts w:hint="eastAsia"/>
          <w:color w:val="auto"/>
          <w:highlight w:val="none"/>
        </w:rPr>
        <w:t>5）询问或者质疑事项可能影响采购结果的，招标人应当暂停签订合同，已经签订合同的，应当中止履行合同。</w:t>
      </w:r>
    </w:p>
    <w:p w14:paraId="5A5C04F4">
      <w:pPr>
        <w:ind w:firstLine="480"/>
        <w:rPr>
          <w:color w:val="auto"/>
          <w:highlight w:val="none"/>
          <w:lang w:val="zh-CN"/>
        </w:rPr>
      </w:pPr>
      <w:r>
        <w:rPr>
          <w:rFonts w:hint="eastAsia"/>
          <w:color w:val="auto"/>
          <w:highlight w:val="none"/>
        </w:rPr>
        <w:t>3.</w:t>
      </w:r>
      <w:r>
        <w:rPr>
          <w:rFonts w:hint="eastAsia"/>
          <w:color w:val="auto"/>
          <w:highlight w:val="none"/>
          <w:lang w:val="zh-CN"/>
        </w:rPr>
        <w:t>投标人投诉</w:t>
      </w:r>
    </w:p>
    <w:p w14:paraId="7B51EA4F">
      <w:pPr>
        <w:ind w:firstLine="480"/>
        <w:rPr>
          <w:color w:val="auto"/>
          <w:highlight w:val="none"/>
        </w:rPr>
      </w:pPr>
      <w:r>
        <w:rPr>
          <w:rFonts w:hint="eastAsia"/>
          <w:color w:val="auto"/>
          <w:highlight w:val="none"/>
        </w:rPr>
        <w:t>（1）质疑投标人对招标人、招标机构的答复不满意或者招标人、招标机构未在规定的时间内作出答复的，可以在答复期满后十五个工作日内向同级政府采购监督管理部门提出投诉。</w:t>
      </w:r>
    </w:p>
    <w:p w14:paraId="62EAEA15">
      <w:pPr>
        <w:ind w:firstLine="480"/>
        <w:rPr>
          <w:color w:val="auto"/>
          <w:highlight w:val="none"/>
        </w:rPr>
      </w:pPr>
      <w:r>
        <w:rPr>
          <w:rFonts w:hint="eastAsia"/>
          <w:color w:val="auto"/>
          <w:highlight w:val="none"/>
        </w:rPr>
        <w:t>（</w:t>
      </w:r>
      <w:r>
        <w:rPr>
          <w:rFonts w:hint="eastAsia"/>
          <w:color w:val="auto"/>
          <w:highlight w:val="none"/>
          <w:lang w:val="zh-CN"/>
        </w:rPr>
        <w:t>2）</w:t>
      </w:r>
      <w:r>
        <w:rPr>
          <w:rFonts w:hint="eastAsia"/>
          <w:color w:val="auto"/>
          <w:highlight w:val="none"/>
        </w:rPr>
        <w:t>投标人投诉的事项不得超出已质疑事项的范围，基于质疑答复内容提出的投诉事项除外。</w:t>
      </w:r>
    </w:p>
    <w:p w14:paraId="2A66A934">
      <w:pPr>
        <w:ind w:firstLine="480"/>
        <w:rPr>
          <w:color w:val="auto"/>
          <w:highlight w:val="none"/>
        </w:rPr>
      </w:pPr>
      <w:r>
        <w:rPr>
          <w:rFonts w:hint="eastAsia"/>
          <w:color w:val="auto"/>
          <w:highlight w:val="none"/>
        </w:rPr>
        <w:t>（3）投标人投诉应当有明确的请求和必要的证明材料。</w:t>
      </w:r>
    </w:p>
    <w:p w14:paraId="32DE7A74">
      <w:pPr>
        <w:pStyle w:val="5"/>
        <w:rPr>
          <w:rFonts w:cs="宋体"/>
          <w:color w:val="auto"/>
          <w:szCs w:val="24"/>
          <w:highlight w:val="none"/>
        </w:rPr>
      </w:pPr>
      <w:r>
        <w:rPr>
          <w:rFonts w:hint="eastAsia" w:cs="宋体"/>
          <w:color w:val="auto"/>
          <w:szCs w:val="24"/>
          <w:highlight w:val="none"/>
        </w:rPr>
        <w:t>七、特别说明</w:t>
      </w:r>
    </w:p>
    <w:p w14:paraId="399749A7">
      <w:pPr>
        <w:ind w:firstLine="480"/>
        <w:rPr>
          <w:rFonts w:cs="宋体"/>
          <w:color w:val="auto"/>
          <w:highlight w:val="none"/>
        </w:rPr>
      </w:pPr>
      <w:r>
        <w:rPr>
          <w:rFonts w:hint="eastAsia" w:cs="宋体"/>
          <w:color w:val="auto"/>
          <w:highlight w:val="none"/>
        </w:rPr>
        <w:t>投标人在投标活动中提供任何虚假材料，其投标无效，并报相关监管部门查处；中标后发现的,处以招标金额千分之五以上千分之十以下的罚款，列入不良行为记录名单，在一至三年内禁止参加招标活动，有违法所得的，并处没收违法所得，情节严重的，由相关管理机关吊销营业执照；构成犯罪的，依法追究刑事责任。</w:t>
      </w:r>
    </w:p>
    <w:p w14:paraId="32D62E78">
      <w:pPr>
        <w:pStyle w:val="4"/>
        <w:jc w:val="center"/>
        <w:rPr>
          <w:rFonts w:ascii="宋体" w:hAnsi="宋体" w:cs="宋体"/>
          <w:color w:val="auto"/>
          <w:sz w:val="24"/>
          <w:szCs w:val="24"/>
          <w:highlight w:val="none"/>
        </w:rPr>
      </w:pPr>
      <w:bookmarkStart w:id="56" w:name="_Toc91899879"/>
      <w:bookmarkStart w:id="57" w:name="_Toc15413"/>
      <w:bookmarkStart w:id="58" w:name="_Toc16985"/>
      <w:r>
        <w:rPr>
          <w:rFonts w:hint="eastAsia" w:ascii="宋体" w:hAnsi="宋体" w:cs="宋体"/>
          <w:color w:val="auto"/>
          <w:sz w:val="24"/>
          <w:szCs w:val="24"/>
          <w:highlight w:val="none"/>
        </w:rPr>
        <w:t>第二节 招标文件</w:t>
      </w:r>
      <w:bookmarkEnd w:id="56"/>
      <w:r>
        <w:rPr>
          <w:rFonts w:hint="eastAsia" w:ascii="宋体" w:hAnsi="宋体" w:cs="宋体"/>
          <w:color w:val="auto"/>
          <w:sz w:val="24"/>
          <w:szCs w:val="24"/>
          <w:highlight w:val="none"/>
        </w:rPr>
        <w:t>的构成、澄清、修改</w:t>
      </w:r>
      <w:bookmarkEnd w:id="57"/>
      <w:bookmarkEnd w:id="58"/>
    </w:p>
    <w:p w14:paraId="4848783E">
      <w:pPr>
        <w:pStyle w:val="5"/>
        <w:rPr>
          <w:rFonts w:cs="宋体"/>
          <w:color w:val="auto"/>
          <w:szCs w:val="24"/>
          <w:highlight w:val="none"/>
        </w:rPr>
      </w:pPr>
      <w:bookmarkStart w:id="59" w:name="_Toc91899880"/>
      <w:bookmarkStart w:id="60" w:name="_Hlt74730307"/>
      <w:r>
        <w:rPr>
          <w:rFonts w:hint="eastAsia" w:cs="宋体"/>
          <w:color w:val="auto"/>
          <w:szCs w:val="24"/>
          <w:highlight w:val="none"/>
        </w:rPr>
        <w:t>一、招标文件的构成</w:t>
      </w:r>
      <w:bookmarkEnd w:id="59"/>
    </w:p>
    <w:bookmarkEnd w:id="60"/>
    <w:p w14:paraId="4564F89C">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14:paraId="4E2E5197">
      <w:pPr>
        <w:pStyle w:val="20"/>
        <w:numPr>
          <w:ilvl w:val="0"/>
          <w:numId w:val="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r>
        <w:rPr>
          <w:rFonts w:hint="eastAsia" w:hAnsi="宋体" w:cs="宋体"/>
          <w:color w:val="auto"/>
          <w:sz w:val="24"/>
          <w:szCs w:val="24"/>
          <w:highlight w:val="none"/>
        </w:rPr>
        <w:t>；</w:t>
      </w:r>
    </w:p>
    <w:p w14:paraId="08368426">
      <w:pPr>
        <w:pStyle w:val="20"/>
        <w:numPr>
          <w:ilvl w:val="0"/>
          <w:numId w:val="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采购需求</w:t>
      </w:r>
      <w:r>
        <w:rPr>
          <w:rFonts w:hint="eastAsia" w:hAnsi="宋体" w:cs="宋体"/>
          <w:color w:val="auto"/>
          <w:sz w:val="24"/>
          <w:szCs w:val="24"/>
          <w:highlight w:val="none"/>
        </w:rPr>
        <w:fldChar w:fldCharType="end"/>
      </w:r>
      <w:r>
        <w:rPr>
          <w:rFonts w:hint="eastAsia" w:hAnsi="宋体" w:cs="宋体"/>
          <w:color w:val="auto"/>
          <w:sz w:val="24"/>
          <w:szCs w:val="24"/>
          <w:highlight w:val="none"/>
        </w:rPr>
        <w:t>；</w:t>
      </w:r>
    </w:p>
    <w:p w14:paraId="0B485C45">
      <w:pPr>
        <w:pStyle w:val="20"/>
        <w:numPr>
          <w:ilvl w:val="0"/>
          <w:numId w:val="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r>
        <w:rPr>
          <w:rFonts w:hint="eastAsia" w:hAnsi="宋体" w:cs="宋体"/>
          <w:color w:val="auto"/>
          <w:sz w:val="24"/>
          <w:szCs w:val="24"/>
          <w:highlight w:val="none"/>
        </w:rPr>
        <w:t>；</w:t>
      </w:r>
    </w:p>
    <w:p w14:paraId="31A151DC">
      <w:pPr>
        <w:pStyle w:val="20"/>
        <w:numPr>
          <w:ilvl w:val="0"/>
          <w:numId w:val="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r>
        <w:rPr>
          <w:rFonts w:hint="eastAsia" w:hAnsi="宋体" w:cs="宋体"/>
          <w:color w:val="auto"/>
          <w:sz w:val="24"/>
          <w:szCs w:val="24"/>
          <w:highlight w:val="none"/>
        </w:rPr>
        <w:t>；</w:t>
      </w:r>
    </w:p>
    <w:p w14:paraId="6CEB5DA8">
      <w:pPr>
        <w:pStyle w:val="20"/>
        <w:numPr>
          <w:ilvl w:val="0"/>
          <w:numId w:val="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r>
        <w:rPr>
          <w:rFonts w:hint="eastAsia" w:hAnsi="宋体" w:cs="宋体"/>
          <w:color w:val="auto"/>
          <w:sz w:val="24"/>
          <w:szCs w:val="24"/>
          <w:highlight w:val="none"/>
        </w:rPr>
        <w:t>；</w:t>
      </w:r>
    </w:p>
    <w:p w14:paraId="1D574BCC">
      <w:pPr>
        <w:pStyle w:val="20"/>
        <w:numPr>
          <w:ilvl w:val="0"/>
          <w:numId w:val="6"/>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14:paraId="4D978573">
      <w:pPr>
        <w:ind w:firstLine="480"/>
        <w:rPr>
          <w:rFonts w:cs="宋体"/>
          <w:color w:val="auto"/>
          <w:highlight w:val="none"/>
        </w:rPr>
      </w:pPr>
      <w:r>
        <w:rPr>
          <w:rFonts w:hint="eastAsia" w:cs="宋体"/>
          <w:color w:val="auto"/>
          <w:highlight w:val="none"/>
        </w:rPr>
        <w:t>2.与本项目有关的</w:t>
      </w:r>
      <w:r>
        <w:rPr>
          <w:rFonts w:hint="eastAsia" w:cs="宋体"/>
          <w:bCs/>
          <w:color w:val="auto"/>
          <w:highlight w:val="none"/>
        </w:rPr>
        <w:t>澄清或者修改的内容为招标文件的组成部分</w:t>
      </w:r>
      <w:r>
        <w:rPr>
          <w:rFonts w:hint="eastAsia" w:cs="宋体"/>
          <w:color w:val="auto"/>
          <w:highlight w:val="none"/>
        </w:rPr>
        <w:t>。</w:t>
      </w:r>
    </w:p>
    <w:p w14:paraId="4A7FA83A">
      <w:pPr>
        <w:pStyle w:val="5"/>
        <w:rPr>
          <w:color w:val="auto"/>
          <w:highlight w:val="none"/>
        </w:rPr>
      </w:pPr>
      <w:r>
        <w:rPr>
          <w:rFonts w:hint="eastAsia"/>
          <w:color w:val="auto"/>
          <w:highlight w:val="none"/>
        </w:rPr>
        <w:t>二、招标文件的澄清、修改</w:t>
      </w:r>
    </w:p>
    <w:p w14:paraId="015D5CC1">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招标代理机构提出，招标代理机构与招标人研究后，对认为有必要回答的问题，将以书面解答形式通知所有招标文件收受人。</w:t>
      </w:r>
    </w:p>
    <w:p w14:paraId="65085CFC">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2.招标人或者招标代理机构可以对已发出的招标文件进行必要的澄清或者修改，澄清或者修改应在原公告发布媒体上发布澄清公告，澄清、修改的内容为招标文件的组成部分。</w:t>
      </w:r>
    </w:p>
    <w:p w14:paraId="7457D327">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招标人或者招标代理机构应在投标截止时间至少15日前，以书面形式通知所有已获取招标文件的潜在投标人；不足15日的，招标人或者招标代理机构应顺延提交投标文件的截止时间。</w:t>
      </w:r>
    </w:p>
    <w:p w14:paraId="07A9537B">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14:paraId="009AD103">
      <w:pPr>
        <w:ind w:firstLine="480"/>
        <w:rPr>
          <w:rFonts w:cs="宋体"/>
          <w:b/>
          <w:color w:val="auto"/>
          <w:highlight w:val="none"/>
        </w:rPr>
      </w:pPr>
      <w:r>
        <w:rPr>
          <w:rFonts w:hint="eastAsia" w:cs="宋体"/>
          <w:color w:val="auto"/>
          <w:highlight w:val="none"/>
        </w:rPr>
        <w:t>▲</w:t>
      </w:r>
      <w:r>
        <w:rPr>
          <w:rFonts w:hint="eastAsia" w:cs="宋体"/>
          <w:b/>
          <w:color w:val="auto"/>
          <w:highlight w:val="none"/>
        </w:rPr>
        <w:t>投标文件未按招标文件澄清、修改的内容编制，又不符合实质性要求的，投标无效。</w:t>
      </w:r>
    </w:p>
    <w:p w14:paraId="4CB03464">
      <w:pPr>
        <w:pStyle w:val="4"/>
        <w:jc w:val="center"/>
        <w:rPr>
          <w:rFonts w:ascii="宋体" w:hAnsi="宋体" w:cs="宋体"/>
          <w:color w:val="auto"/>
          <w:sz w:val="24"/>
          <w:szCs w:val="24"/>
          <w:highlight w:val="none"/>
        </w:rPr>
      </w:pPr>
      <w:bookmarkStart w:id="61" w:name="_Toc1096"/>
      <w:bookmarkStart w:id="62" w:name="_Toc13432"/>
      <w:bookmarkStart w:id="63" w:name="_Toc450840075"/>
      <w:bookmarkStart w:id="64" w:name="_Toc82338241"/>
      <w:bookmarkStart w:id="65" w:name="_Toc204"/>
      <w:bookmarkStart w:id="66" w:name="_Toc82873324"/>
      <w:r>
        <w:rPr>
          <w:rFonts w:hint="eastAsia" w:ascii="宋体" w:hAnsi="宋体" w:cs="宋体"/>
          <w:color w:val="auto"/>
          <w:sz w:val="24"/>
          <w:szCs w:val="24"/>
          <w:highlight w:val="none"/>
        </w:rPr>
        <w:t>第三节 投标文件</w:t>
      </w:r>
      <w:bookmarkEnd w:id="61"/>
      <w:bookmarkEnd w:id="62"/>
      <w:bookmarkEnd w:id="63"/>
      <w:bookmarkEnd w:id="64"/>
      <w:bookmarkEnd w:id="65"/>
      <w:bookmarkEnd w:id="66"/>
    </w:p>
    <w:p w14:paraId="5E785776">
      <w:pPr>
        <w:pStyle w:val="5"/>
        <w:rPr>
          <w:rFonts w:cs="宋体"/>
          <w:color w:val="auto"/>
          <w:szCs w:val="24"/>
          <w:highlight w:val="none"/>
        </w:rPr>
      </w:pPr>
      <w:r>
        <w:rPr>
          <w:rFonts w:hint="eastAsia" w:cs="宋体"/>
          <w:color w:val="auto"/>
          <w:szCs w:val="24"/>
          <w:highlight w:val="none"/>
        </w:rPr>
        <w:t>一、投标文件语言和计量单位</w:t>
      </w:r>
    </w:p>
    <w:p w14:paraId="2519B1A3">
      <w:pPr>
        <w:ind w:firstLine="480"/>
        <w:rPr>
          <w:rFonts w:cs="宋体"/>
          <w:color w:val="auto"/>
          <w:highlight w:val="none"/>
        </w:rPr>
      </w:pPr>
      <w:r>
        <w:rPr>
          <w:rFonts w:hint="eastAsia" w:cs="宋体"/>
          <w:color w:val="auto"/>
          <w:highlight w:val="none"/>
        </w:rPr>
        <w:t>1.投标文件以及供应商与招标人就有关投标事宜的来往函电，均应以中文书写。投标文件中所附或所引用的原件不是中文时，应附中文译本。</w:t>
      </w:r>
    </w:p>
    <w:p w14:paraId="78143E5A">
      <w:pPr>
        <w:ind w:firstLine="480"/>
        <w:rPr>
          <w:rFonts w:cs="宋体"/>
          <w:color w:val="auto"/>
          <w:highlight w:val="none"/>
        </w:rPr>
      </w:pPr>
      <w:r>
        <w:rPr>
          <w:rFonts w:hint="eastAsia" w:cs="宋体"/>
          <w:color w:val="auto"/>
          <w:highlight w:val="none"/>
        </w:rPr>
        <w:t>2.投标文件中所使用的计量单位，除招标文件中有特殊要求外，均采用国家法定计量单位。</w:t>
      </w:r>
    </w:p>
    <w:p w14:paraId="66EF8276">
      <w:pPr>
        <w:pStyle w:val="5"/>
        <w:rPr>
          <w:rFonts w:cs="宋体"/>
          <w:color w:val="auto"/>
          <w:szCs w:val="24"/>
          <w:highlight w:val="none"/>
        </w:rPr>
      </w:pPr>
      <w:r>
        <w:rPr>
          <w:rFonts w:hint="eastAsia" w:cs="宋体"/>
          <w:color w:val="auto"/>
          <w:szCs w:val="24"/>
          <w:highlight w:val="none"/>
        </w:rPr>
        <w:t>二、投标文件的组成</w:t>
      </w:r>
    </w:p>
    <w:p w14:paraId="51EEC70F">
      <w:pPr>
        <w:ind w:firstLine="480"/>
        <w:rPr>
          <w:rFonts w:cs="宋体"/>
          <w:color w:val="auto"/>
          <w:highlight w:val="none"/>
        </w:rPr>
      </w:pPr>
      <w:r>
        <w:rPr>
          <w:rFonts w:hint="eastAsia" w:cs="宋体"/>
          <w:color w:val="auto"/>
          <w:highlight w:val="none"/>
        </w:rPr>
        <w:t>投标文件由《资格文件》、《商务技术文件》和《报价文件》三部分组成。</w:t>
      </w:r>
    </w:p>
    <w:p w14:paraId="2D09D216">
      <w:pPr>
        <w:pStyle w:val="6"/>
        <w:ind w:firstLine="482"/>
        <w:rPr>
          <w:color w:val="auto"/>
          <w:highlight w:val="none"/>
        </w:rPr>
      </w:pPr>
      <w:r>
        <w:rPr>
          <w:rFonts w:hint="eastAsia" w:cs="宋体"/>
          <w:color w:val="auto"/>
          <w:szCs w:val="24"/>
          <w:highlight w:val="none"/>
        </w:rPr>
        <w:t>每个</w:t>
      </w:r>
      <w:r>
        <w:rPr>
          <w:rFonts w:hint="eastAsia" w:cs="宋体"/>
          <w:color w:val="auto"/>
          <w:szCs w:val="24"/>
          <w:highlight w:val="none"/>
          <w:lang w:eastAsia="zh-CN"/>
        </w:rPr>
        <w:t>部分</w:t>
      </w:r>
      <w:r>
        <w:rPr>
          <w:rFonts w:hint="eastAsia" w:cs="宋体"/>
          <w:color w:val="auto"/>
          <w:szCs w:val="24"/>
          <w:highlight w:val="none"/>
        </w:rPr>
        <w:t>的投标文件需要分别制作、上传。</w:t>
      </w:r>
    </w:p>
    <w:p w14:paraId="67B9AF25">
      <w:pPr>
        <w:ind w:firstLine="0" w:firstLineChars="0"/>
        <w:rPr>
          <w:rFonts w:cs="宋体"/>
          <w:color w:val="auto"/>
          <w:highlight w:val="none"/>
        </w:rPr>
      </w:pPr>
      <w:r>
        <w:rPr>
          <w:rFonts w:hint="eastAsia" w:cs="宋体"/>
          <w:b/>
          <w:bCs/>
          <w:color w:val="auto"/>
          <w:highlight w:val="none"/>
        </w:rPr>
        <w:t>（一）《资格文件》：</w:t>
      </w:r>
    </w:p>
    <w:p w14:paraId="0F65327B">
      <w:pPr>
        <w:ind w:firstLine="480"/>
        <w:rPr>
          <w:color w:val="auto"/>
          <w:highlight w:val="none"/>
        </w:rPr>
      </w:pPr>
      <w:r>
        <w:rPr>
          <w:rFonts w:hint="eastAsia" w:cs="宋体"/>
          <w:color w:val="auto"/>
          <w:highlight w:val="none"/>
        </w:rPr>
        <w:t>1.有效的营业执照复印件并加盖单位公章；</w:t>
      </w:r>
    </w:p>
    <w:p w14:paraId="35364D4A">
      <w:pPr>
        <w:ind w:firstLine="480"/>
        <w:rPr>
          <w:rFonts w:cs="宋体"/>
          <w:color w:val="auto"/>
          <w:highlight w:val="none"/>
        </w:rPr>
      </w:pPr>
      <w:r>
        <w:rPr>
          <w:rFonts w:hint="eastAsia" w:cs="宋体"/>
          <w:color w:val="auto"/>
          <w:highlight w:val="none"/>
        </w:rPr>
        <w:t>2.符合参加政府采购活动应当具备的一般条件的承诺函；（附件一）</w:t>
      </w:r>
    </w:p>
    <w:p w14:paraId="204F5E06">
      <w:pPr>
        <w:ind w:firstLine="480"/>
        <w:rPr>
          <w:color w:val="auto"/>
          <w:highlight w:val="none"/>
        </w:rPr>
      </w:pPr>
      <w:r>
        <w:rPr>
          <w:rFonts w:hint="eastAsia"/>
          <w:color w:val="auto"/>
          <w:highlight w:val="none"/>
        </w:rPr>
        <w:t>3.</w:t>
      </w:r>
      <w:r>
        <w:rPr>
          <w:rFonts w:hint="eastAsia" w:cs="宋体"/>
          <w:color w:val="auto"/>
          <w:highlight w:val="none"/>
        </w:rPr>
        <w:t>法定代表人有效身份证明书和法定代表人授权委托书（投标人的代表若为非法定代表人的，必须提交法定代表人授权委托书、授权代表身份证复印件、授权代表社保证明（提供近</w:t>
      </w:r>
      <w:r>
        <w:rPr>
          <w:rFonts w:hint="eastAsia" w:cs="宋体"/>
          <w:color w:val="auto"/>
          <w:highlight w:val="none"/>
          <w:lang w:eastAsia="zh-CN"/>
        </w:rPr>
        <w:t>三个月内</w:t>
      </w:r>
      <w:r>
        <w:rPr>
          <w:rFonts w:hint="eastAsia" w:cs="宋体"/>
          <w:color w:val="auto"/>
          <w:highlight w:val="none"/>
        </w:rPr>
        <w:t>任意一个月的社保缴纳证明）；（附件二）</w:t>
      </w:r>
    </w:p>
    <w:p w14:paraId="2E65BDBB">
      <w:pPr>
        <w:ind w:firstLine="480"/>
        <w:rPr>
          <w:color w:val="auto"/>
          <w:highlight w:val="none"/>
        </w:rPr>
      </w:pPr>
      <w:r>
        <w:rPr>
          <w:rFonts w:hint="eastAsia"/>
          <w:color w:val="auto"/>
          <w:highlight w:val="none"/>
        </w:rPr>
        <w:t>4.中小企业声明函、监狱企业、</w:t>
      </w:r>
      <w:r>
        <w:rPr>
          <w:rFonts w:hint="eastAsia" w:cs="宋体"/>
          <w:color w:val="auto"/>
          <w:highlight w:val="none"/>
        </w:rPr>
        <w:t>残疾人福利性单位声明函；（如有）（附件三）</w:t>
      </w:r>
    </w:p>
    <w:p w14:paraId="19DDA60C">
      <w:pPr>
        <w:ind w:firstLine="480"/>
        <w:rPr>
          <w:rFonts w:cs="宋体"/>
          <w:color w:val="auto"/>
          <w:highlight w:val="none"/>
        </w:rPr>
      </w:pPr>
      <w:r>
        <w:rPr>
          <w:rFonts w:hint="eastAsia" w:cs="宋体"/>
          <w:color w:val="auto"/>
          <w:highlight w:val="none"/>
        </w:rPr>
        <w:t>5.联合体协议、分包意向协议。（如有）（附件四）</w:t>
      </w:r>
    </w:p>
    <w:p w14:paraId="5A103EF8">
      <w:pPr>
        <w:ind w:firstLine="0" w:firstLineChars="0"/>
        <w:rPr>
          <w:rFonts w:cs="宋体"/>
          <w:b/>
          <w:bCs/>
          <w:color w:val="auto"/>
          <w:highlight w:val="none"/>
        </w:rPr>
      </w:pPr>
      <w:r>
        <w:rPr>
          <w:rFonts w:hint="eastAsia" w:cs="宋体"/>
          <w:b/>
          <w:bCs/>
          <w:color w:val="auto"/>
          <w:highlight w:val="none"/>
        </w:rPr>
        <w:t>（二）《商务技术文件》：</w:t>
      </w:r>
    </w:p>
    <w:p w14:paraId="0C860058">
      <w:pPr>
        <w:ind w:firstLine="480"/>
        <w:rPr>
          <w:rFonts w:cs="宋体"/>
          <w:color w:val="auto"/>
          <w:highlight w:val="none"/>
        </w:rPr>
      </w:pPr>
      <w:r>
        <w:rPr>
          <w:rFonts w:hint="eastAsia" w:cs="宋体"/>
          <w:color w:val="auto"/>
          <w:highlight w:val="none"/>
        </w:rPr>
        <w:t>1.商务技术评分索引表；（附件</w:t>
      </w:r>
      <w:r>
        <w:rPr>
          <w:rFonts w:hint="eastAsia" w:cs="宋体"/>
          <w:color w:val="auto"/>
          <w:highlight w:val="none"/>
          <w:lang w:eastAsia="zh-CN"/>
        </w:rPr>
        <w:t>九</w:t>
      </w:r>
      <w:r>
        <w:rPr>
          <w:rFonts w:hint="eastAsia" w:cs="宋体"/>
          <w:color w:val="auto"/>
          <w:highlight w:val="none"/>
        </w:rPr>
        <w:t>）</w:t>
      </w:r>
    </w:p>
    <w:p w14:paraId="41890F38">
      <w:pPr>
        <w:ind w:firstLine="480"/>
        <w:rPr>
          <w:rFonts w:cs="宋体"/>
          <w:color w:val="auto"/>
          <w:highlight w:val="none"/>
        </w:rPr>
      </w:pPr>
      <w:r>
        <w:rPr>
          <w:rFonts w:hint="eastAsia" w:cs="宋体"/>
          <w:color w:val="auto"/>
          <w:highlight w:val="none"/>
        </w:rPr>
        <w:t>2.投标声明书；（附件</w:t>
      </w:r>
      <w:r>
        <w:rPr>
          <w:rFonts w:hint="eastAsia" w:cs="宋体"/>
          <w:color w:val="auto"/>
          <w:highlight w:val="none"/>
          <w:lang w:eastAsia="zh-CN"/>
        </w:rPr>
        <w:t>十</w:t>
      </w:r>
      <w:r>
        <w:rPr>
          <w:rFonts w:hint="eastAsia" w:cs="宋体"/>
          <w:color w:val="auto"/>
          <w:highlight w:val="none"/>
        </w:rPr>
        <w:t>）</w:t>
      </w:r>
    </w:p>
    <w:p w14:paraId="0308DBDA">
      <w:pPr>
        <w:ind w:firstLine="480"/>
        <w:rPr>
          <w:rFonts w:cs="宋体"/>
          <w:color w:val="auto"/>
          <w:highlight w:val="none"/>
        </w:rPr>
      </w:pPr>
      <w:r>
        <w:rPr>
          <w:rFonts w:hint="eastAsia" w:cs="宋体"/>
          <w:color w:val="auto"/>
          <w:highlight w:val="none"/>
        </w:rPr>
        <w:t>3.廉政承诺书；（附件十</w:t>
      </w:r>
      <w:r>
        <w:rPr>
          <w:rFonts w:hint="eastAsia" w:cs="宋体"/>
          <w:color w:val="auto"/>
          <w:highlight w:val="none"/>
          <w:lang w:eastAsia="zh-CN"/>
        </w:rPr>
        <w:t>一</w:t>
      </w:r>
      <w:r>
        <w:rPr>
          <w:rFonts w:hint="eastAsia" w:cs="宋体"/>
          <w:color w:val="auto"/>
          <w:highlight w:val="none"/>
        </w:rPr>
        <w:t>）</w:t>
      </w:r>
    </w:p>
    <w:p w14:paraId="012544BF">
      <w:pPr>
        <w:ind w:firstLine="480"/>
        <w:rPr>
          <w:rFonts w:cs="宋体"/>
          <w:color w:val="auto"/>
          <w:highlight w:val="none"/>
        </w:rPr>
      </w:pPr>
      <w:r>
        <w:rPr>
          <w:rFonts w:hint="eastAsia" w:cs="宋体"/>
          <w:color w:val="auto"/>
          <w:highlight w:val="none"/>
        </w:rPr>
        <w:t>4.投标人股权信息表；（附件十</w:t>
      </w:r>
      <w:r>
        <w:rPr>
          <w:rFonts w:hint="eastAsia" w:cs="宋体"/>
          <w:color w:val="auto"/>
          <w:highlight w:val="none"/>
          <w:lang w:eastAsia="zh-CN"/>
        </w:rPr>
        <w:t>二</w:t>
      </w:r>
      <w:r>
        <w:rPr>
          <w:rFonts w:hint="eastAsia" w:cs="宋体"/>
          <w:color w:val="auto"/>
          <w:highlight w:val="none"/>
        </w:rPr>
        <w:t>）</w:t>
      </w:r>
    </w:p>
    <w:p w14:paraId="21D54545">
      <w:pPr>
        <w:ind w:firstLine="480"/>
        <w:rPr>
          <w:rFonts w:cs="宋体"/>
          <w:color w:val="auto"/>
          <w:highlight w:val="none"/>
        </w:rPr>
      </w:pPr>
      <w:r>
        <w:rPr>
          <w:rFonts w:hint="eastAsia" w:cs="宋体"/>
          <w:color w:val="auto"/>
          <w:highlight w:val="none"/>
        </w:rPr>
        <w:t>5.商务条款偏离表；（附件十</w:t>
      </w:r>
      <w:r>
        <w:rPr>
          <w:rFonts w:hint="eastAsia" w:cs="宋体"/>
          <w:color w:val="auto"/>
          <w:highlight w:val="none"/>
          <w:lang w:eastAsia="zh-CN"/>
        </w:rPr>
        <w:t>三</w:t>
      </w:r>
      <w:r>
        <w:rPr>
          <w:rFonts w:hint="eastAsia" w:cs="宋体"/>
          <w:color w:val="auto"/>
          <w:highlight w:val="none"/>
        </w:rPr>
        <w:t>）</w:t>
      </w:r>
    </w:p>
    <w:p w14:paraId="0EB7D2C0">
      <w:pPr>
        <w:ind w:firstLine="480"/>
        <w:rPr>
          <w:rFonts w:cs="宋体"/>
          <w:color w:val="auto"/>
          <w:highlight w:val="none"/>
        </w:rPr>
      </w:pPr>
      <w:r>
        <w:rPr>
          <w:rFonts w:hint="eastAsia" w:cs="宋体"/>
          <w:color w:val="auto"/>
          <w:highlight w:val="none"/>
        </w:rPr>
        <w:t>6.技术规范偏离表；（附件十</w:t>
      </w:r>
      <w:r>
        <w:rPr>
          <w:rFonts w:hint="eastAsia" w:cs="宋体"/>
          <w:color w:val="auto"/>
          <w:highlight w:val="none"/>
          <w:lang w:eastAsia="zh-CN"/>
        </w:rPr>
        <w:t>四</w:t>
      </w:r>
      <w:r>
        <w:rPr>
          <w:rFonts w:hint="eastAsia" w:cs="宋体"/>
          <w:color w:val="auto"/>
          <w:highlight w:val="none"/>
        </w:rPr>
        <w:t>）</w:t>
      </w:r>
    </w:p>
    <w:p w14:paraId="4F0F47F0">
      <w:pPr>
        <w:ind w:firstLine="480"/>
        <w:rPr>
          <w:rFonts w:cs="宋体"/>
          <w:color w:val="auto"/>
          <w:highlight w:val="none"/>
        </w:rPr>
      </w:pPr>
      <w:r>
        <w:rPr>
          <w:rFonts w:hint="eastAsia" w:cs="宋体"/>
          <w:color w:val="auto"/>
          <w:highlight w:val="none"/>
        </w:rPr>
        <w:t>7.</w:t>
      </w:r>
      <w:r>
        <w:rPr>
          <w:rFonts w:hint="eastAsia" w:cs="宋体"/>
          <w:color w:val="auto"/>
          <w:szCs w:val="21"/>
          <w:highlight w:val="none"/>
        </w:rPr>
        <w:t>企业业绩：</w:t>
      </w:r>
      <w:r>
        <w:rPr>
          <w:rFonts w:hint="eastAsia" w:cs="宋体"/>
          <w:color w:val="auto"/>
          <w:highlight w:val="none"/>
        </w:rPr>
        <w:t>同类项目实施情况一览表；（附件十</w:t>
      </w:r>
      <w:r>
        <w:rPr>
          <w:rFonts w:hint="eastAsia" w:cs="宋体"/>
          <w:color w:val="auto"/>
          <w:highlight w:val="none"/>
          <w:lang w:eastAsia="zh-CN"/>
        </w:rPr>
        <w:t>五</w:t>
      </w:r>
      <w:r>
        <w:rPr>
          <w:rFonts w:hint="eastAsia" w:cs="宋体"/>
          <w:color w:val="auto"/>
          <w:highlight w:val="none"/>
        </w:rPr>
        <w:t>）</w:t>
      </w:r>
    </w:p>
    <w:p w14:paraId="7356F6B1">
      <w:pPr>
        <w:ind w:firstLine="480"/>
        <w:rPr>
          <w:rFonts w:cs="宋体"/>
          <w:color w:val="auto"/>
          <w:highlight w:val="none"/>
        </w:rPr>
      </w:pPr>
      <w:r>
        <w:rPr>
          <w:rFonts w:hint="eastAsia" w:cs="宋体"/>
          <w:color w:val="auto"/>
          <w:highlight w:val="none"/>
        </w:rPr>
        <w:t>8.</w:t>
      </w:r>
      <w:r>
        <w:rPr>
          <w:rFonts w:hint="eastAsia" w:cs="宋体"/>
          <w:color w:val="auto"/>
          <w:szCs w:val="21"/>
          <w:highlight w:val="none"/>
        </w:rPr>
        <w:t>企业认证；</w:t>
      </w:r>
    </w:p>
    <w:p w14:paraId="61B34128">
      <w:pPr>
        <w:ind w:firstLine="480"/>
        <w:rPr>
          <w:rFonts w:hint="default" w:eastAsia="宋体" w:cs="宋体"/>
          <w:color w:val="auto"/>
          <w:highlight w:val="none"/>
          <w:lang w:val="en-US" w:eastAsia="zh-CN"/>
        </w:rPr>
      </w:pPr>
      <w:r>
        <w:rPr>
          <w:rFonts w:hint="eastAsia" w:cs="宋体"/>
          <w:color w:val="auto"/>
          <w:highlight w:val="none"/>
          <w:lang w:val="en-US" w:eastAsia="zh-CN"/>
        </w:rPr>
        <w:t>9.政策分；</w:t>
      </w:r>
    </w:p>
    <w:p w14:paraId="2EF98180">
      <w:pPr>
        <w:ind w:firstLine="480"/>
        <w:rPr>
          <w:rFonts w:cs="宋体"/>
          <w:color w:val="auto"/>
          <w:highlight w:val="none"/>
        </w:rPr>
      </w:pPr>
      <w:r>
        <w:rPr>
          <w:rFonts w:hint="eastAsia" w:cs="宋体"/>
          <w:color w:val="auto"/>
          <w:highlight w:val="none"/>
          <w:lang w:val="en-US" w:eastAsia="zh-CN"/>
        </w:rPr>
        <w:t>10</w:t>
      </w:r>
      <w:r>
        <w:rPr>
          <w:rFonts w:hint="eastAsia" w:cs="宋体"/>
          <w:color w:val="auto"/>
          <w:highlight w:val="none"/>
        </w:rPr>
        <w:t>.</w:t>
      </w:r>
      <w:r>
        <w:rPr>
          <w:rFonts w:hint="eastAsia" w:cs="宋体"/>
          <w:color w:val="auto"/>
          <w:szCs w:val="21"/>
          <w:highlight w:val="none"/>
        </w:rPr>
        <w:t>技术参数响应程度；（在技术规范偏离表中体现）</w:t>
      </w:r>
    </w:p>
    <w:p w14:paraId="61CEC2D1">
      <w:pPr>
        <w:ind w:firstLine="480"/>
        <w:rPr>
          <w:rFonts w:cs="宋体"/>
          <w:color w:val="auto"/>
          <w:highlight w:val="none"/>
        </w:rPr>
      </w:pPr>
      <w:r>
        <w:rPr>
          <w:rFonts w:hint="eastAsia" w:cs="宋体"/>
          <w:color w:val="auto"/>
          <w:highlight w:val="none"/>
        </w:rPr>
        <w:t>1</w:t>
      </w:r>
      <w:r>
        <w:rPr>
          <w:rFonts w:hint="eastAsia" w:cs="宋体"/>
          <w:color w:val="auto"/>
          <w:highlight w:val="none"/>
          <w:lang w:val="en-US" w:eastAsia="zh-CN"/>
        </w:rPr>
        <w:t>1</w:t>
      </w:r>
      <w:r>
        <w:rPr>
          <w:rFonts w:hint="eastAsia" w:cs="宋体"/>
          <w:color w:val="auto"/>
          <w:highlight w:val="none"/>
        </w:rPr>
        <w:t>.</w:t>
      </w:r>
      <w:r>
        <w:rPr>
          <w:rFonts w:hint="eastAsia" w:cs="宋体"/>
          <w:color w:val="auto"/>
          <w:szCs w:val="21"/>
          <w:highlight w:val="none"/>
        </w:rPr>
        <w:t>项目整体方案；</w:t>
      </w:r>
    </w:p>
    <w:p w14:paraId="05BD9E48">
      <w:pPr>
        <w:ind w:firstLine="480"/>
        <w:rPr>
          <w:rFonts w:cs="宋体"/>
          <w:color w:val="auto"/>
          <w:highlight w:val="none"/>
        </w:rPr>
      </w:pPr>
      <w:r>
        <w:rPr>
          <w:rFonts w:hint="eastAsia" w:cs="宋体"/>
          <w:color w:val="auto"/>
          <w:highlight w:val="none"/>
        </w:rPr>
        <w:t>1</w:t>
      </w:r>
      <w:r>
        <w:rPr>
          <w:rFonts w:hint="eastAsia" w:cs="宋体"/>
          <w:color w:val="auto"/>
          <w:highlight w:val="none"/>
          <w:lang w:val="en-US" w:eastAsia="zh-CN"/>
        </w:rPr>
        <w:t>2</w:t>
      </w:r>
      <w:r>
        <w:rPr>
          <w:rFonts w:hint="eastAsia" w:cs="宋体"/>
          <w:color w:val="auto"/>
          <w:highlight w:val="none"/>
        </w:rPr>
        <w:t>.</w:t>
      </w:r>
      <w:r>
        <w:rPr>
          <w:rFonts w:hint="eastAsia" w:cs="宋体"/>
          <w:color w:val="auto"/>
          <w:szCs w:val="21"/>
          <w:highlight w:val="none"/>
        </w:rPr>
        <w:t>人员配备；（附件十</w:t>
      </w:r>
      <w:r>
        <w:rPr>
          <w:rFonts w:hint="eastAsia" w:cs="宋体"/>
          <w:color w:val="auto"/>
          <w:szCs w:val="21"/>
          <w:highlight w:val="none"/>
          <w:lang w:eastAsia="zh-CN"/>
        </w:rPr>
        <w:t>六</w:t>
      </w:r>
      <w:r>
        <w:rPr>
          <w:rFonts w:hint="eastAsia" w:cs="宋体"/>
          <w:color w:val="auto"/>
          <w:szCs w:val="21"/>
          <w:highlight w:val="none"/>
        </w:rPr>
        <w:t>）</w:t>
      </w:r>
    </w:p>
    <w:p w14:paraId="23133000">
      <w:pPr>
        <w:ind w:firstLine="480"/>
        <w:rPr>
          <w:rFonts w:cs="宋体"/>
          <w:color w:val="auto"/>
          <w:highlight w:val="none"/>
        </w:rPr>
      </w:pPr>
      <w:r>
        <w:rPr>
          <w:rFonts w:hint="eastAsia" w:cs="宋体"/>
          <w:color w:val="auto"/>
          <w:highlight w:val="none"/>
        </w:rPr>
        <w:t>13.</w:t>
      </w:r>
      <w:r>
        <w:rPr>
          <w:rFonts w:hint="eastAsia" w:cs="宋体"/>
          <w:color w:val="auto"/>
          <w:szCs w:val="21"/>
          <w:highlight w:val="none"/>
        </w:rPr>
        <w:t>培训方案；</w:t>
      </w:r>
    </w:p>
    <w:p w14:paraId="1976D292">
      <w:pPr>
        <w:ind w:firstLine="480"/>
        <w:rPr>
          <w:rFonts w:cs="宋体"/>
          <w:color w:val="auto"/>
          <w:highlight w:val="none"/>
        </w:rPr>
      </w:pPr>
      <w:r>
        <w:rPr>
          <w:rFonts w:hint="eastAsia" w:cs="宋体"/>
          <w:color w:val="auto"/>
          <w:highlight w:val="none"/>
        </w:rPr>
        <w:t>14.</w:t>
      </w:r>
      <w:r>
        <w:rPr>
          <w:rFonts w:hint="eastAsia" w:cs="宋体"/>
          <w:color w:val="auto"/>
          <w:szCs w:val="21"/>
          <w:highlight w:val="none"/>
        </w:rPr>
        <w:t>应急预案</w:t>
      </w:r>
      <w:r>
        <w:rPr>
          <w:rFonts w:hint="eastAsia" w:cs="宋体"/>
          <w:color w:val="auto"/>
          <w:highlight w:val="none"/>
        </w:rPr>
        <w:t>；</w:t>
      </w:r>
    </w:p>
    <w:p w14:paraId="3A3D0319">
      <w:pPr>
        <w:ind w:firstLine="480"/>
        <w:rPr>
          <w:rFonts w:cs="宋体"/>
          <w:color w:val="auto"/>
          <w:highlight w:val="none"/>
        </w:rPr>
      </w:pPr>
      <w:r>
        <w:rPr>
          <w:rFonts w:hint="eastAsia" w:cs="宋体"/>
          <w:color w:val="auto"/>
          <w:szCs w:val="21"/>
          <w:highlight w:val="none"/>
        </w:rPr>
        <w:t>15.售后服务；</w:t>
      </w:r>
    </w:p>
    <w:p w14:paraId="62E27CC9">
      <w:pPr>
        <w:ind w:firstLine="480"/>
        <w:rPr>
          <w:rFonts w:cs="宋体"/>
          <w:color w:val="auto"/>
          <w:highlight w:val="none"/>
        </w:rPr>
      </w:pPr>
      <w:r>
        <w:rPr>
          <w:rFonts w:hint="eastAsia" w:cs="宋体"/>
          <w:color w:val="auto"/>
          <w:highlight w:val="none"/>
        </w:rPr>
        <w:t>16.其它本招标文件评分表要求提供的材料或投标人认为需要</w:t>
      </w:r>
      <w:r>
        <w:rPr>
          <w:rFonts w:hint="eastAsia" w:cs="宋体"/>
          <w:color w:val="auto"/>
          <w:highlight w:val="none"/>
          <w:lang w:eastAsia="zh-CN"/>
        </w:rPr>
        <w:t>补充</w:t>
      </w:r>
      <w:r>
        <w:rPr>
          <w:rFonts w:hint="eastAsia" w:cs="宋体"/>
          <w:color w:val="auto"/>
          <w:highlight w:val="none"/>
        </w:rPr>
        <w:t>的其他技术文件资料或说明。（如有，格式自拟）</w:t>
      </w:r>
    </w:p>
    <w:p w14:paraId="0BE34A36">
      <w:pPr>
        <w:ind w:firstLine="0" w:firstLineChars="0"/>
        <w:rPr>
          <w:rFonts w:cs="宋体"/>
          <w:color w:val="auto"/>
          <w:highlight w:val="none"/>
        </w:rPr>
      </w:pPr>
      <w:r>
        <w:rPr>
          <w:rFonts w:hint="eastAsia" w:cs="宋体"/>
          <w:b/>
          <w:bCs/>
          <w:color w:val="auto"/>
          <w:highlight w:val="none"/>
        </w:rPr>
        <w:t>（三）《报价文件》：</w:t>
      </w:r>
    </w:p>
    <w:p w14:paraId="6241234F">
      <w:pPr>
        <w:ind w:firstLine="480"/>
        <w:rPr>
          <w:rFonts w:cs="宋体"/>
          <w:color w:val="auto"/>
          <w:highlight w:val="none"/>
        </w:rPr>
      </w:pPr>
      <w:r>
        <w:rPr>
          <w:rFonts w:hint="eastAsia" w:cs="宋体"/>
          <w:color w:val="auto"/>
          <w:highlight w:val="none"/>
        </w:rPr>
        <w:t>1.投标响应函；（附件五）</w:t>
      </w:r>
    </w:p>
    <w:p w14:paraId="0559E875">
      <w:pPr>
        <w:ind w:firstLine="480"/>
        <w:jc w:val="left"/>
        <w:rPr>
          <w:rFonts w:cs="宋体"/>
          <w:color w:val="auto"/>
          <w:highlight w:val="none"/>
        </w:rPr>
      </w:pPr>
      <w:r>
        <w:rPr>
          <w:rFonts w:hint="eastAsia" w:cs="宋体"/>
          <w:color w:val="auto"/>
          <w:highlight w:val="none"/>
        </w:rPr>
        <w:t>2.开标一览表；（附件六）</w:t>
      </w:r>
    </w:p>
    <w:p w14:paraId="7CD8F30C">
      <w:pPr>
        <w:ind w:firstLine="480"/>
        <w:jc w:val="left"/>
        <w:rPr>
          <w:rFonts w:cs="宋体"/>
          <w:color w:val="auto"/>
          <w:highlight w:val="none"/>
        </w:rPr>
      </w:pPr>
      <w:r>
        <w:rPr>
          <w:rFonts w:hint="eastAsia" w:cs="宋体"/>
          <w:color w:val="auto"/>
          <w:highlight w:val="none"/>
        </w:rPr>
        <w:t>3.投标报价明细表；（附件七）</w:t>
      </w:r>
    </w:p>
    <w:p w14:paraId="1959C85A">
      <w:pPr>
        <w:ind w:firstLine="480"/>
        <w:rPr>
          <w:rFonts w:hint="default" w:eastAsia="宋体" w:cs="宋体"/>
          <w:color w:val="auto"/>
          <w:highlight w:val="none"/>
          <w:lang w:val="en-US" w:eastAsia="zh-CN"/>
        </w:rPr>
      </w:pPr>
      <w:r>
        <w:rPr>
          <w:rFonts w:hint="eastAsia" w:cs="宋体"/>
          <w:color w:val="auto"/>
          <w:highlight w:val="none"/>
          <w:lang w:val="en-US" w:eastAsia="zh-CN"/>
        </w:rPr>
        <w:t>4.</w:t>
      </w:r>
      <w:r>
        <w:rPr>
          <w:rFonts w:hint="eastAsia"/>
        </w:rPr>
        <w:t>缴纳</w:t>
      </w:r>
      <w:r>
        <w:rPr>
          <w:rFonts w:hint="eastAsia"/>
          <w:lang w:eastAsia="zh-CN"/>
        </w:rPr>
        <w:t>采购</w:t>
      </w:r>
      <w:r>
        <w:rPr>
          <w:rFonts w:hint="eastAsia"/>
        </w:rPr>
        <w:t>代理服务费承诺</w:t>
      </w:r>
      <w:r>
        <w:rPr>
          <w:rFonts w:hint="eastAsia"/>
          <w:lang w:eastAsia="zh-CN"/>
        </w:rPr>
        <w:t>书</w:t>
      </w:r>
      <w:r>
        <w:rPr>
          <w:rFonts w:hint="eastAsia"/>
        </w:rPr>
        <w:t>；（附件</w:t>
      </w:r>
      <w:r>
        <w:rPr>
          <w:rFonts w:hint="eastAsia"/>
          <w:lang w:eastAsia="zh-CN"/>
        </w:rPr>
        <w:t>八</w:t>
      </w:r>
      <w:r>
        <w:rPr>
          <w:rFonts w:hint="eastAsia"/>
        </w:rPr>
        <w:t>）</w:t>
      </w:r>
    </w:p>
    <w:p w14:paraId="4CF5597B">
      <w:pPr>
        <w:ind w:firstLine="480"/>
        <w:rPr>
          <w:rFonts w:cs="宋体"/>
          <w:color w:val="auto"/>
          <w:highlight w:val="none"/>
        </w:rPr>
      </w:pPr>
      <w:r>
        <w:rPr>
          <w:rFonts w:hint="eastAsia" w:cs="宋体"/>
          <w:color w:val="auto"/>
          <w:highlight w:val="none"/>
          <w:lang w:val="en-US" w:eastAsia="zh-CN"/>
        </w:rPr>
        <w:t>5</w:t>
      </w:r>
      <w:r>
        <w:rPr>
          <w:rFonts w:hint="eastAsia" w:cs="宋体"/>
          <w:color w:val="auto"/>
          <w:highlight w:val="none"/>
        </w:rPr>
        <w:t>.</w:t>
      </w:r>
      <w:r>
        <w:rPr>
          <w:color w:val="auto"/>
          <w:highlight w:val="none"/>
        </w:rPr>
        <w:t>投标人</w:t>
      </w:r>
      <w:r>
        <w:rPr>
          <w:rFonts w:hint="eastAsia"/>
          <w:color w:val="auto"/>
          <w:highlight w:val="none"/>
        </w:rPr>
        <w:t>针对投标报价认为</w:t>
      </w:r>
      <w:r>
        <w:rPr>
          <w:color w:val="auto"/>
          <w:highlight w:val="none"/>
        </w:rPr>
        <w:t>需要</w:t>
      </w:r>
      <w:r>
        <w:rPr>
          <w:rFonts w:hint="eastAsia"/>
          <w:color w:val="auto"/>
          <w:highlight w:val="none"/>
        </w:rPr>
        <w:t>补充</w:t>
      </w:r>
      <w:r>
        <w:rPr>
          <w:color w:val="auto"/>
          <w:highlight w:val="none"/>
        </w:rPr>
        <w:t>的其他文件和说明</w:t>
      </w:r>
      <w:r>
        <w:rPr>
          <w:rFonts w:hint="eastAsia"/>
          <w:color w:val="auto"/>
          <w:highlight w:val="none"/>
        </w:rPr>
        <w:t>。</w:t>
      </w:r>
    </w:p>
    <w:p w14:paraId="165477FB">
      <w:pPr>
        <w:ind w:firstLine="482"/>
        <w:rPr>
          <w:rFonts w:cs="宋体"/>
          <w:b/>
          <w:bCs/>
          <w:color w:val="auto"/>
          <w:highlight w:val="none"/>
        </w:rPr>
      </w:pPr>
      <w:r>
        <w:rPr>
          <w:rFonts w:hint="eastAsia" w:cs="宋体"/>
          <w:b/>
          <w:bCs/>
          <w:color w:val="auto"/>
          <w:highlight w:val="none"/>
        </w:rPr>
        <w:t>▲注：法定代表人授权委托书、投标声明书、投标响应函必须由法定代表人或其授权代表签名并加盖单位公章。</w:t>
      </w:r>
    </w:p>
    <w:p w14:paraId="0ED9FD5C">
      <w:pPr>
        <w:pStyle w:val="5"/>
        <w:rPr>
          <w:color w:val="auto"/>
          <w:highlight w:val="none"/>
        </w:rPr>
      </w:pPr>
      <w:r>
        <w:rPr>
          <w:rFonts w:hint="eastAsia"/>
          <w:color w:val="auto"/>
          <w:highlight w:val="none"/>
        </w:rPr>
        <w:t>三、投标文件的编制</w:t>
      </w:r>
    </w:p>
    <w:p w14:paraId="48D48E46">
      <w:pPr>
        <w:ind w:firstLine="480" w:firstLineChars="200"/>
        <w:rPr>
          <w:color w:val="auto"/>
          <w:highlight w:val="none"/>
        </w:rPr>
      </w:pPr>
      <w:r>
        <w:rPr>
          <w:rFonts w:hint="eastAsia"/>
          <w:color w:val="auto"/>
          <w:highlight w:val="none"/>
        </w:rPr>
        <w:t>本项目实行网上投标。</w:t>
      </w:r>
    </w:p>
    <w:p w14:paraId="512801D5">
      <w:pPr>
        <w:ind w:firstLine="480"/>
        <w:rPr>
          <w:rFonts w:cs="宋体"/>
          <w:b/>
          <w:color w:val="auto"/>
          <w:highlight w:val="none"/>
        </w:rPr>
      </w:pPr>
      <w:r>
        <w:rPr>
          <w:rFonts w:hint="eastAsia" w:cs="宋体"/>
          <w:color w:val="auto"/>
          <w:kern w:val="0"/>
          <w:highlight w:val="none"/>
          <w:lang w:val="zh-CN"/>
        </w:rPr>
        <w:t>1.投标文件分为《资格文件》、《商务技术文件》、《报价文件》三部分。各投标人在编制投标文件时请按照“招标文件</w:t>
      </w:r>
      <w:r>
        <w:rPr>
          <w:rFonts w:hint="eastAsia" w:cs="宋体"/>
          <w:color w:val="auto"/>
          <w:kern w:val="0"/>
          <w:highlight w:val="none"/>
        </w:rPr>
        <w:t>-</w:t>
      </w:r>
      <w:r>
        <w:rPr>
          <w:rFonts w:hint="eastAsia" w:cs="宋体"/>
          <w:color w:val="auto"/>
          <w:kern w:val="0"/>
          <w:highlight w:val="none"/>
          <w:lang w:val="zh-CN"/>
        </w:rPr>
        <w:t>第六章”规定的格式进行，混乱的编排导致投标文件被误读或评标委员会查找不到有效文件是投标人的风险。</w:t>
      </w:r>
    </w:p>
    <w:p w14:paraId="600770F5">
      <w:pPr>
        <w:ind w:firstLine="480"/>
        <w:rPr>
          <w:rFonts w:cs="宋体"/>
          <w:color w:val="auto"/>
          <w:kern w:val="0"/>
          <w:highlight w:val="none"/>
          <w:lang w:val="zh-CN"/>
        </w:rPr>
      </w:pPr>
      <w:r>
        <w:rPr>
          <w:rFonts w:hint="eastAsia" w:cs="宋体"/>
          <w:color w:val="auto"/>
          <w:kern w:val="0"/>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0052C1A4">
      <w:pPr>
        <w:ind w:firstLine="480"/>
        <w:rPr>
          <w:rFonts w:cs="宋体"/>
          <w:color w:val="auto"/>
          <w:kern w:val="0"/>
          <w:highlight w:val="none"/>
          <w:lang w:val="zh-CN"/>
        </w:rPr>
      </w:pPr>
      <w:r>
        <w:rPr>
          <w:rFonts w:hint="eastAsia" w:cs="宋体"/>
          <w:color w:val="auto"/>
          <w:kern w:val="0"/>
          <w:highlight w:val="none"/>
        </w:rPr>
        <w:t>3</w:t>
      </w:r>
      <w:r>
        <w:rPr>
          <w:rFonts w:hint="eastAsia" w:cs="宋体"/>
          <w:color w:val="auto"/>
          <w:kern w:val="0"/>
          <w:highlight w:val="none"/>
          <w:lang w:val="zh-CN"/>
        </w:rPr>
        <w:t>.使用“政采云电子交易客户端”需要提前申领CA数字证书，申领流程请自行前往“浙江政府采购网-下载专区-电子交易客户端-CA驱动和申领流程”进行查阅。</w:t>
      </w:r>
    </w:p>
    <w:p w14:paraId="1D0850AA">
      <w:pPr>
        <w:pStyle w:val="5"/>
        <w:rPr>
          <w:rFonts w:cs="宋体"/>
          <w:color w:val="auto"/>
          <w:szCs w:val="24"/>
          <w:highlight w:val="none"/>
        </w:rPr>
      </w:pPr>
      <w:r>
        <w:rPr>
          <w:rFonts w:hint="eastAsia" w:cs="宋体"/>
          <w:color w:val="auto"/>
          <w:szCs w:val="24"/>
          <w:highlight w:val="none"/>
        </w:rPr>
        <w:t>四、投标报价</w:t>
      </w:r>
    </w:p>
    <w:p w14:paraId="531B8AC8">
      <w:pPr>
        <w:ind w:left="480" w:leftChars="200" w:firstLine="0" w:firstLineChars="0"/>
        <w:rPr>
          <w:rFonts w:cs="宋体"/>
          <w:color w:val="auto"/>
          <w:highlight w:val="none"/>
        </w:rPr>
      </w:pPr>
      <w:r>
        <w:rPr>
          <w:rFonts w:hint="eastAsia" w:cs="宋体"/>
          <w:color w:val="auto"/>
          <w:highlight w:val="none"/>
        </w:rPr>
        <w:t>1.投标报价是指一次性报出不得更改的价格。本项目以人民币报价，报总价。</w:t>
      </w:r>
    </w:p>
    <w:p w14:paraId="3B333FEB">
      <w:pPr>
        <w:ind w:firstLine="480"/>
        <w:rPr>
          <w:rFonts w:cs="宋体"/>
          <w:color w:val="auto"/>
          <w:highlight w:val="none"/>
        </w:rPr>
      </w:pPr>
      <w:r>
        <w:rPr>
          <w:rFonts w:hint="eastAsia" w:cs="宋体"/>
          <w:color w:val="auto"/>
          <w:highlight w:val="none"/>
        </w:rPr>
        <w:t>2.投标报价是履行合同的最终价格，包含产品或服务的</w:t>
      </w:r>
      <w:r>
        <w:rPr>
          <w:rFonts w:hint="eastAsia" w:cs="宋体"/>
          <w:color w:val="auto"/>
          <w:highlight w:val="none"/>
          <w:lang w:eastAsia="zh-Hans"/>
        </w:rPr>
        <w:t>测试、调试、上线、试运行、其它必要操作（含供货、安装）、培训、维保</w:t>
      </w:r>
      <w:r>
        <w:rPr>
          <w:rFonts w:hint="eastAsia" w:cs="宋体"/>
          <w:color w:val="auto"/>
          <w:highlight w:val="none"/>
        </w:rPr>
        <w:t>、保险费、利润、关税（若有）、税金以及达到使用要求及质量标准、质保期服务所需的全部费用及招标代理服务费等一切直至通过验收的费用，不需要招标人额外支付其他费用。投标人的报价应按招标文件要求的格式、顺序编制。</w:t>
      </w:r>
    </w:p>
    <w:p w14:paraId="6DF28DAD">
      <w:pPr>
        <w:ind w:firstLine="480"/>
        <w:rPr>
          <w:rFonts w:cs="宋体"/>
          <w:color w:val="auto"/>
          <w:highlight w:val="none"/>
        </w:rPr>
      </w:pPr>
      <w:r>
        <w:rPr>
          <w:rFonts w:hint="eastAsia" w:cs="宋体"/>
          <w:color w:val="auto"/>
          <w:highlight w:val="none"/>
        </w:rPr>
        <w:t>《开标一览表》是报价的唯一载体。投标文件中价格全部采用人民币报价。招标文件未列明，而投标人认为必需的费用也需列入报价。</w:t>
      </w:r>
    </w:p>
    <w:p w14:paraId="5A4C0972">
      <w:pPr>
        <w:ind w:firstLine="480" w:firstLineChars="0"/>
        <w:rPr>
          <w:rFonts w:cs="宋体"/>
          <w:color w:val="auto"/>
          <w:highlight w:val="none"/>
        </w:rPr>
      </w:pPr>
      <w:r>
        <w:rPr>
          <w:rFonts w:hint="eastAsia" w:cs="宋体"/>
          <w:color w:val="auto"/>
          <w:highlight w:val="none"/>
        </w:rPr>
        <w:t>3.投标报价出现下列情形的，投标无效：</w:t>
      </w:r>
    </w:p>
    <w:p w14:paraId="72AAA726">
      <w:pPr>
        <w:ind w:firstLine="480"/>
        <w:rPr>
          <w:rFonts w:cs="宋体"/>
          <w:color w:val="auto"/>
          <w:highlight w:val="none"/>
        </w:rPr>
      </w:pPr>
      <w:r>
        <w:rPr>
          <w:rFonts w:hint="eastAsia" w:cs="宋体"/>
          <w:color w:val="auto"/>
          <w:highlight w:val="none"/>
        </w:rPr>
        <w:t>▲投标文件出现不是唯一的、有选择性投标报价的；</w:t>
      </w:r>
    </w:p>
    <w:p w14:paraId="0E4411A1">
      <w:pPr>
        <w:ind w:firstLine="480"/>
        <w:rPr>
          <w:rFonts w:cs="宋体"/>
          <w:color w:val="auto"/>
          <w:highlight w:val="none"/>
        </w:rPr>
      </w:pPr>
      <w:r>
        <w:rPr>
          <w:rFonts w:hint="eastAsia" w:cs="宋体"/>
          <w:color w:val="auto"/>
          <w:highlight w:val="none"/>
        </w:rPr>
        <w:t>▲投标报价高于本项目招标预算或者最高限价的；</w:t>
      </w:r>
    </w:p>
    <w:p w14:paraId="42B7C4B2">
      <w:pPr>
        <w:ind w:firstLine="480"/>
        <w:rPr>
          <w:rFonts w:cs="宋体"/>
          <w:color w:val="auto"/>
          <w:highlight w:val="none"/>
        </w:rPr>
      </w:pPr>
      <w:r>
        <w:rPr>
          <w:rFonts w:hint="eastAsia" w:cs="宋体"/>
          <w:color w:val="auto"/>
          <w:highlight w:val="none"/>
        </w:rPr>
        <w:t>▲报价明显低于其他通过符合性审查投标人的报价，有可能影响产品质量或者不能诚信履约的，未能按要求提供书面说明或者提交相关证明材料，不能证明其报价合理性的；</w:t>
      </w:r>
    </w:p>
    <w:p w14:paraId="2B5C2DCA">
      <w:pPr>
        <w:ind w:firstLine="480"/>
        <w:rPr>
          <w:rFonts w:cs="宋体"/>
          <w:color w:val="auto"/>
          <w:highlight w:val="none"/>
        </w:rPr>
      </w:pPr>
      <w:r>
        <w:rPr>
          <w:rFonts w:hint="eastAsia" w:cs="宋体"/>
          <w:color w:val="auto"/>
          <w:highlight w:val="none"/>
        </w:rPr>
        <w:t>▲《开标一览表》填写不完整或字迹不能辨认或有漏项的；</w:t>
      </w:r>
    </w:p>
    <w:p w14:paraId="15B00FBD">
      <w:pPr>
        <w:ind w:firstLine="480"/>
        <w:rPr>
          <w:rFonts w:cs="宋体"/>
          <w:color w:val="auto"/>
          <w:highlight w:val="none"/>
        </w:rPr>
      </w:pPr>
      <w:r>
        <w:rPr>
          <w:rFonts w:hint="eastAsia" w:cs="宋体"/>
          <w:color w:val="auto"/>
          <w:highlight w:val="none"/>
        </w:rPr>
        <w:t>▲投标人对根据修正原则修正后的报价不确认的。</w:t>
      </w:r>
    </w:p>
    <w:p w14:paraId="2AA0F0CA">
      <w:pPr>
        <w:pStyle w:val="5"/>
        <w:rPr>
          <w:rFonts w:cs="宋体"/>
          <w:color w:val="auto"/>
          <w:szCs w:val="24"/>
          <w:highlight w:val="none"/>
        </w:rPr>
      </w:pPr>
      <w:r>
        <w:rPr>
          <w:rFonts w:hint="eastAsia" w:cs="宋体"/>
          <w:color w:val="auto"/>
          <w:szCs w:val="24"/>
          <w:highlight w:val="none"/>
        </w:rPr>
        <w:t>五、投标文件的签署及规定</w:t>
      </w:r>
    </w:p>
    <w:p w14:paraId="3A6CB619">
      <w:pPr>
        <w:pStyle w:val="143"/>
        <w:snapToGrid w:val="0"/>
        <w:spacing w:before="0"/>
        <w:ind w:firstLine="480"/>
        <w:rPr>
          <w:rFonts w:ascii="宋体" w:hAnsi="宋体" w:cs="宋体"/>
          <w:b/>
          <w:color w:val="auto"/>
          <w:highlight w:val="none"/>
        </w:rPr>
      </w:pPr>
      <w:bookmarkStart w:id="67" w:name="_Toc12521"/>
      <w:bookmarkStart w:id="68" w:name="_Toc1"/>
      <w:r>
        <w:rPr>
          <w:rFonts w:hint="eastAsia" w:ascii="宋体" w:hAnsi="宋体" w:cs="宋体"/>
          <w:color w:val="auto"/>
          <w:highlight w:val="none"/>
        </w:rPr>
        <w:t>1.投标文件按照招标文件第六部分格式要求进行签署、盖章。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highlight w:val="none"/>
        </w:rPr>
        <w:t>。</w:t>
      </w:r>
    </w:p>
    <w:p w14:paraId="3DE21FE1">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2.为确保网上操作合法、有效和安全，投标人应当在投标截止时间前完成在“政府采购云平台”的身份认证，确保在电子投标过程中能够对相关数据电文进行加密和使用电子签名。</w:t>
      </w:r>
    </w:p>
    <w:p w14:paraId="0EF251A1">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3.招标文件对投标文件签署、盖章的要求适用于电子签名。</w:t>
      </w:r>
    </w:p>
    <w:p w14:paraId="5719D620">
      <w:pPr>
        <w:pStyle w:val="5"/>
        <w:rPr>
          <w:rFonts w:hAnsi="宋体" w:cs="宋体"/>
          <w:b/>
          <w:color w:val="auto"/>
          <w:sz w:val="24"/>
          <w:szCs w:val="24"/>
          <w:highlight w:val="none"/>
        </w:rPr>
      </w:pPr>
      <w:r>
        <w:rPr>
          <w:rFonts w:hint="eastAsia"/>
          <w:b/>
          <w:bCs/>
          <w:color w:val="auto"/>
          <w:sz w:val="24"/>
          <w:szCs w:val="24"/>
          <w:highlight w:val="none"/>
        </w:rPr>
        <w:t>六、</w:t>
      </w:r>
      <w:r>
        <w:rPr>
          <w:rFonts w:hint="eastAsia" w:hAnsi="宋体" w:cs="宋体"/>
          <w:b/>
          <w:color w:val="auto"/>
          <w:sz w:val="24"/>
          <w:szCs w:val="24"/>
          <w:highlight w:val="none"/>
        </w:rPr>
        <w:t>备份投标文件</w:t>
      </w:r>
    </w:p>
    <w:p w14:paraId="70EB4B61">
      <w:pPr>
        <w:pStyle w:val="2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但招标人、招标代理机构不强制或变相强制投标人提交备份投标文件。</w:t>
      </w:r>
    </w:p>
    <w:p w14:paraId="5F7B6878">
      <w:pPr>
        <w:pStyle w:val="2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2.备份投标文件须在“政采云投标客户端”制作生成，并储存在</w:t>
      </w:r>
      <w:r>
        <w:rPr>
          <w:rFonts w:hint="eastAsia" w:hAnsi="宋体" w:cs="宋体"/>
          <w:color w:val="auto"/>
          <w:sz w:val="24"/>
          <w:highlight w:val="none"/>
        </w:rPr>
        <w:t>U盘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441850B">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3.直接提交备份投标文件的，投标人应于投标截止时间前在招标公告中载明的开标地点将备份投标文件提交给招标代理机构，招标代理机构将拒绝接受逾期送达的备份投标文件。</w:t>
      </w:r>
    </w:p>
    <w:p w14:paraId="3C658C69">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招标代理机构将拒绝接受逾期送达的备份投标文件。邮寄过程中，电子备份投标文件发生泄露、遗失、损坏或延期送达等情况的，由投标人自行负责。</w:t>
      </w:r>
    </w:p>
    <w:p w14:paraId="0BE922F1">
      <w:pPr>
        <w:pStyle w:val="5"/>
        <w:rPr>
          <w:rFonts w:cs="宋体"/>
          <w:color w:val="auto"/>
          <w:szCs w:val="24"/>
          <w:highlight w:val="none"/>
        </w:rPr>
      </w:pPr>
      <w:r>
        <w:rPr>
          <w:rFonts w:hint="eastAsia" w:cs="宋体"/>
          <w:color w:val="auto"/>
          <w:szCs w:val="24"/>
          <w:highlight w:val="none"/>
        </w:rPr>
        <w:t>七、投标文件的有效期</w:t>
      </w:r>
    </w:p>
    <w:p w14:paraId="2F50DBCB">
      <w:pPr>
        <w:ind w:firstLine="480"/>
        <w:rPr>
          <w:rFonts w:cs="宋体"/>
          <w:color w:val="auto"/>
          <w:highlight w:val="none"/>
        </w:rPr>
      </w:pPr>
      <w:r>
        <w:rPr>
          <w:rFonts w:hint="eastAsia" w:cs="宋体"/>
          <w:color w:val="auto"/>
          <w:highlight w:val="none"/>
        </w:rPr>
        <w:t>1.投标文件有效期按“投标人须知-前附表”规定，投标文件应在该有效期内保持有效。合同签订后，投标文件作为合同附件，投标文件有效期同合同有效期。</w:t>
      </w:r>
    </w:p>
    <w:p w14:paraId="01482338">
      <w:pPr>
        <w:ind w:firstLine="480"/>
        <w:rPr>
          <w:rFonts w:cs="宋体"/>
          <w:color w:val="auto"/>
          <w:highlight w:val="none"/>
        </w:rPr>
      </w:pPr>
      <w:r>
        <w:rPr>
          <w:rFonts w:hint="eastAsia" w:cs="宋体"/>
          <w:color w:val="auto"/>
          <w:highlight w:val="none"/>
        </w:rPr>
        <w:t>2.在特殊情况下，招标人可与供应商协商延长投标文件有效期，这种要求和答复均应以书面形式进行。</w:t>
      </w:r>
    </w:p>
    <w:p w14:paraId="3B42D058">
      <w:pPr>
        <w:ind w:firstLine="480"/>
        <w:rPr>
          <w:rFonts w:cs="宋体"/>
          <w:color w:val="auto"/>
          <w:highlight w:val="none"/>
        </w:rPr>
      </w:pPr>
      <w:r>
        <w:rPr>
          <w:rFonts w:hint="eastAsia" w:cs="宋体"/>
          <w:color w:val="auto"/>
          <w:highlight w:val="none"/>
        </w:rPr>
        <w:t>3.同意延长有效期的供应商不能修改投标文件。</w:t>
      </w:r>
    </w:p>
    <w:p w14:paraId="0CDA9393">
      <w:pPr>
        <w:pStyle w:val="4"/>
        <w:jc w:val="center"/>
        <w:rPr>
          <w:rFonts w:ascii="宋体" w:hAnsi="宋体" w:cs="宋体"/>
          <w:color w:val="auto"/>
          <w:sz w:val="24"/>
          <w:szCs w:val="24"/>
          <w:highlight w:val="none"/>
        </w:rPr>
      </w:pPr>
      <w:bookmarkStart w:id="69" w:name="_Toc16619"/>
      <w:r>
        <w:rPr>
          <w:rFonts w:hint="eastAsia" w:ascii="宋体" w:hAnsi="宋体" w:cs="宋体"/>
          <w:color w:val="auto"/>
          <w:sz w:val="24"/>
          <w:szCs w:val="24"/>
          <w:highlight w:val="none"/>
        </w:rPr>
        <w:t>第四节 投标文件的递交</w:t>
      </w:r>
      <w:bookmarkEnd w:id="67"/>
      <w:bookmarkEnd w:id="68"/>
      <w:bookmarkEnd w:id="69"/>
    </w:p>
    <w:p w14:paraId="48AB773F">
      <w:pPr>
        <w:pStyle w:val="5"/>
        <w:rPr>
          <w:rFonts w:cs="宋体"/>
          <w:color w:val="auto"/>
          <w:szCs w:val="24"/>
          <w:highlight w:val="none"/>
        </w:rPr>
      </w:pPr>
      <w:r>
        <w:rPr>
          <w:rFonts w:hint="eastAsia" w:cs="宋体"/>
          <w:color w:val="auto"/>
          <w:szCs w:val="24"/>
          <w:highlight w:val="none"/>
        </w:rPr>
        <w:t>一、投标文件的上传和递交</w:t>
      </w:r>
    </w:p>
    <w:p w14:paraId="5406BF41">
      <w:pPr>
        <w:ind w:firstLine="480"/>
        <w:rPr>
          <w:rFonts w:cs="宋体"/>
          <w:color w:val="auto"/>
          <w:highlight w:val="none"/>
        </w:rPr>
      </w:pPr>
      <w:r>
        <w:rPr>
          <w:rFonts w:hint="eastAsia" w:cs="宋体"/>
          <w:color w:val="auto"/>
          <w:highlight w:val="none"/>
        </w:rPr>
        <w:t>详见“投标人须知-前附表-投标文件的上传和递交”。</w:t>
      </w:r>
    </w:p>
    <w:p w14:paraId="2DBD7C7A">
      <w:pPr>
        <w:pStyle w:val="5"/>
        <w:rPr>
          <w:rFonts w:cs="宋体"/>
          <w:color w:val="auto"/>
          <w:szCs w:val="24"/>
          <w:highlight w:val="none"/>
        </w:rPr>
      </w:pPr>
      <w:r>
        <w:rPr>
          <w:rFonts w:hint="eastAsia" w:cs="宋体"/>
          <w:color w:val="auto"/>
          <w:szCs w:val="24"/>
          <w:highlight w:val="none"/>
        </w:rPr>
        <w:t>二、投标文件的补充、修改、撤回</w:t>
      </w:r>
    </w:p>
    <w:p w14:paraId="3C8C667A">
      <w:pPr>
        <w:ind w:firstLine="480"/>
        <w:rPr>
          <w:color w:val="auto"/>
          <w:highlight w:val="none"/>
        </w:rPr>
      </w:pPr>
      <w:bookmarkStart w:id="70" w:name="_Toc27893"/>
      <w:bookmarkStart w:id="71" w:name="_Toc20835"/>
      <w:r>
        <w:rPr>
          <w:rFonts w:hint="eastAsia"/>
          <w:color w:val="auto"/>
          <w:highlight w:val="none"/>
        </w:rPr>
        <w:t>1.投标人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14:paraId="51D54A7C">
      <w:pPr>
        <w:ind w:firstLine="480"/>
        <w:rPr>
          <w:color w:val="auto"/>
          <w:highlight w:val="none"/>
        </w:rPr>
      </w:pPr>
      <w:r>
        <w:rPr>
          <w:rFonts w:hint="eastAsia"/>
          <w:color w:val="auto"/>
          <w:highlight w:val="none"/>
        </w:rPr>
        <w:t>2.电子交易平台收到投标文件，将妥善保存并即时向投标人发出确认回执通知。在投标截止时间前，除投标人补充、修改或者撤回投标文件外，任何单位和个人不得解密或提取投标文件。</w:t>
      </w:r>
    </w:p>
    <w:p w14:paraId="0916A823">
      <w:pPr>
        <w:ind w:firstLine="480"/>
        <w:rPr>
          <w:color w:val="auto"/>
          <w:highlight w:val="none"/>
        </w:rPr>
      </w:pPr>
      <w:r>
        <w:rPr>
          <w:rFonts w:hint="eastAsia"/>
          <w:color w:val="auto"/>
          <w:highlight w:val="none"/>
        </w:rPr>
        <w:t>3.招标人、招标代理机构可以视情况延长投标文件提交的截止时间。在上述情况下，招标代理机构与投标人以前在投标截止期方面的全部权利、责任和义务，将适用于延长至新的投标截止期。</w:t>
      </w:r>
    </w:p>
    <w:p w14:paraId="7DBDA549">
      <w:pPr>
        <w:pStyle w:val="4"/>
        <w:jc w:val="center"/>
        <w:rPr>
          <w:rFonts w:ascii="宋体" w:hAnsi="宋体" w:cs="宋体"/>
          <w:color w:val="auto"/>
          <w:sz w:val="24"/>
          <w:szCs w:val="24"/>
          <w:highlight w:val="none"/>
        </w:rPr>
      </w:pPr>
      <w:bookmarkStart w:id="72" w:name="_Toc25038"/>
      <w:r>
        <w:rPr>
          <w:rFonts w:hint="eastAsia" w:ascii="宋体" w:hAnsi="宋体" w:cs="宋体"/>
          <w:color w:val="auto"/>
          <w:sz w:val="24"/>
          <w:szCs w:val="24"/>
          <w:highlight w:val="none"/>
        </w:rPr>
        <w:t>第五节 开 标</w:t>
      </w:r>
      <w:bookmarkEnd w:id="70"/>
      <w:bookmarkEnd w:id="71"/>
      <w:bookmarkEnd w:id="72"/>
    </w:p>
    <w:p w14:paraId="257ECD54">
      <w:pPr>
        <w:pStyle w:val="5"/>
        <w:rPr>
          <w:rFonts w:cs="宋体"/>
          <w:color w:val="auto"/>
          <w:szCs w:val="24"/>
          <w:highlight w:val="none"/>
        </w:rPr>
      </w:pPr>
      <w:r>
        <w:rPr>
          <w:rFonts w:hint="eastAsia" w:cs="宋体"/>
          <w:color w:val="auto"/>
          <w:szCs w:val="24"/>
          <w:highlight w:val="none"/>
        </w:rPr>
        <w:t>一、开标流程</w:t>
      </w:r>
    </w:p>
    <w:p w14:paraId="6FAFEAF8">
      <w:pPr>
        <w:ind w:firstLine="482"/>
        <w:rPr>
          <w:rFonts w:cs="宋体"/>
          <w:b/>
          <w:bCs/>
          <w:color w:val="auto"/>
          <w:highlight w:val="none"/>
        </w:rPr>
      </w:pPr>
      <w:r>
        <w:rPr>
          <w:rFonts w:hint="eastAsia" w:cs="宋体"/>
          <w:b/>
          <w:bCs/>
          <w:color w:val="auto"/>
          <w:highlight w:val="none"/>
        </w:rPr>
        <w:t>1.开标准备</w:t>
      </w:r>
    </w:p>
    <w:p w14:paraId="22B83F78">
      <w:pPr>
        <w:pStyle w:val="6"/>
        <w:ind w:firstLine="480"/>
        <w:rPr>
          <w:rFonts w:cs="宋体"/>
          <w:b w:val="0"/>
          <w:bCs w:val="0"/>
          <w:color w:val="auto"/>
          <w:highlight w:val="none"/>
        </w:rPr>
      </w:pPr>
      <w:r>
        <w:rPr>
          <w:rFonts w:hint="eastAsia" w:cs="宋体"/>
          <w:b w:val="0"/>
          <w:bCs w:val="0"/>
          <w:color w:val="auto"/>
          <w:highlight w:val="none"/>
        </w:rPr>
        <w:t>招标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14:paraId="434EE4F8">
      <w:pPr>
        <w:ind w:firstLine="482"/>
        <w:rPr>
          <w:rFonts w:cs="宋体"/>
          <w:b/>
          <w:bCs/>
          <w:color w:val="auto"/>
          <w:highlight w:val="none"/>
        </w:rPr>
      </w:pPr>
      <w:r>
        <w:rPr>
          <w:rFonts w:hint="eastAsia" w:cs="宋体"/>
          <w:b/>
          <w:bCs/>
          <w:color w:val="auto"/>
          <w:highlight w:val="none"/>
        </w:rPr>
        <w:t>2.开标流程（两阶段）</w:t>
      </w:r>
    </w:p>
    <w:p w14:paraId="17892A74">
      <w:pPr>
        <w:ind w:firstLine="480"/>
        <w:rPr>
          <w:rFonts w:cs="宋体"/>
          <w:color w:val="auto"/>
          <w:highlight w:val="none"/>
        </w:rPr>
      </w:pPr>
      <w:r>
        <w:rPr>
          <w:rFonts w:hint="eastAsia" w:cs="宋体"/>
          <w:color w:val="auto"/>
          <w:highlight w:val="none"/>
        </w:rPr>
        <w:t>2.1 开标第一阶段</w:t>
      </w:r>
    </w:p>
    <w:p w14:paraId="5D431584">
      <w:pPr>
        <w:ind w:firstLine="480"/>
        <w:rPr>
          <w:rFonts w:cs="宋体"/>
          <w:color w:val="auto"/>
          <w:highlight w:val="none"/>
        </w:rPr>
      </w:pPr>
      <w:r>
        <w:rPr>
          <w:rFonts w:hint="eastAsia" w:cs="宋体"/>
          <w:color w:val="auto"/>
          <w:highlight w:val="none"/>
        </w:rPr>
        <w:t>（1）招标代理机构开始解密，供应商在规定的时间内进行电子加密投标文件解密。</w:t>
      </w:r>
    </w:p>
    <w:p w14:paraId="64071686">
      <w:pPr>
        <w:ind w:firstLine="480"/>
        <w:rPr>
          <w:rFonts w:cs="宋体"/>
          <w:color w:val="auto"/>
          <w:highlight w:val="none"/>
        </w:rPr>
      </w:pPr>
      <w:r>
        <w:rPr>
          <w:rFonts w:hint="eastAsia" w:cs="宋体"/>
          <w:color w:val="auto"/>
          <w:highlight w:val="none"/>
        </w:rPr>
        <w:t>（2）解密时间为开标后30分钟内。</w:t>
      </w:r>
    </w:p>
    <w:p w14:paraId="35BC4A80">
      <w:pPr>
        <w:ind w:firstLine="480"/>
        <w:rPr>
          <w:rFonts w:cs="宋体"/>
          <w:color w:val="auto"/>
          <w:highlight w:val="none"/>
        </w:rPr>
      </w:pPr>
      <w:r>
        <w:rPr>
          <w:rFonts w:hint="eastAsia" w:cs="宋体"/>
          <w:color w:val="auto"/>
          <w:highlight w:val="none"/>
        </w:rPr>
        <w:t>（3）解密失败的异常处理：供应商在规定的时间内无法完成已递交的电子加密投标文件解密的，如已按规定递交了备份投标文件的，将由招标代理机构将备份投标文件上传至浙江政府采购网，上传成功后，原电子加密投标文件自动失效。</w:t>
      </w:r>
    </w:p>
    <w:p w14:paraId="4360BAC5">
      <w:pPr>
        <w:ind w:firstLine="480"/>
        <w:rPr>
          <w:rFonts w:cs="宋体"/>
          <w:color w:val="auto"/>
          <w:highlight w:val="none"/>
        </w:rPr>
      </w:pPr>
      <w:r>
        <w:rPr>
          <w:rFonts w:hint="eastAsia" w:cs="宋体"/>
          <w:color w:val="auto"/>
          <w:highlight w:val="none"/>
        </w:rPr>
        <w:t>（4）第一阶段开标结束。</w:t>
      </w:r>
    </w:p>
    <w:p w14:paraId="2A86C9E9">
      <w:pPr>
        <w:ind w:firstLine="480"/>
        <w:rPr>
          <w:rFonts w:cs="宋体"/>
          <w:color w:val="auto"/>
          <w:highlight w:val="none"/>
        </w:rPr>
      </w:pPr>
      <w:r>
        <w:rPr>
          <w:rFonts w:hint="eastAsia" w:cs="宋体"/>
          <w:color w:val="auto"/>
          <w:highlight w:val="none"/>
        </w:rPr>
        <w:t>（5）转入资格文件和商务技术文件评审。</w:t>
      </w:r>
    </w:p>
    <w:p w14:paraId="0EBE185E">
      <w:pPr>
        <w:ind w:firstLine="480"/>
        <w:rPr>
          <w:rFonts w:cs="宋体"/>
          <w:color w:val="auto"/>
          <w:highlight w:val="none"/>
        </w:rPr>
      </w:pPr>
      <w:r>
        <w:rPr>
          <w:rFonts w:hint="eastAsia" w:cs="宋体"/>
          <w:color w:val="auto"/>
          <w:highlight w:val="none"/>
        </w:rPr>
        <w:t>2.2 开标第二阶段</w:t>
      </w:r>
    </w:p>
    <w:p w14:paraId="0B2518D9">
      <w:pPr>
        <w:ind w:firstLine="480"/>
        <w:rPr>
          <w:rFonts w:cs="宋体"/>
          <w:color w:val="auto"/>
          <w:highlight w:val="none"/>
        </w:rPr>
      </w:pPr>
      <w:r>
        <w:rPr>
          <w:rFonts w:hint="eastAsia" w:cs="宋体"/>
          <w:color w:val="auto"/>
          <w:highlight w:val="none"/>
        </w:rPr>
        <w:t>（1）资格文件和商务技术文件评审结束后，进入开标大会第二阶段。公布无效供应商名称及理由，同时公布有效供应商的商务技术部分得分情况。</w:t>
      </w:r>
    </w:p>
    <w:p w14:paraId="7EF7B193">
      <w:pPr>
        <w:ind w:firstLine="480"/>
        <w:rPr>
          <w:rFonts w:cs="宋体"/>
          <w:color w:val="auto"/>
          <w:highlight w:val="none"/>
        </w:rPr>
      </w:pPr>
      <w:r>
        <w:rPr>
          <w:rFonts w:hint="eastAsia" w:cs="宋体"/>
          <w:color w:val="auto"/>
          <w:highlight w:val="none"/>
        </w:rPr>
        <w:t>（2）开启有效供应商的报价文件，公布开标一览表有关内容。开标结束后，由评标委员会对报价的合理性、准确性等进行审查核实。</w:t>
      </w:r>
    </w:p>
    <w:p w14:paraId="412EA20E">
      <w:pPr>
        <w:pStyle w:val="6"/>
        <w:ind w:firstLine="482"/>
        <w:rPr>
          <w:color w:val="auto"/>
          <w:highlight w:val="none"/>
        </w:rPr>
      </w:pPr>
      <w:r>
        <w:rPr>
          <w:rFonts w:hint="eastAsia"/>
          <w:color w:val="auto"/>
          <w:highlight w:val="none"/>
        </w:rPr>
        <w:t>3.投标文件初步评审</w:t>
      </w:r>
    </w:p>
    <w:p w14:paraId="797C2B52">
      <w:pPr>
        <w:ind w:firstLine="480"/>
        <w:rPr>
          <w:rFonts w:cs="宋体"/>
          <w:color w:val="auto"/>
          <w:highlight w:val="none"/>
        </w:rPr>
      </w:pPr>
      <w:r>
        <w:rPr>
          <w:rFonts w:hint="eastAsia" w:cs="宋体"/>
          <w:color w:val="auto"/>
          <w:highlight w:val="none"/>
        </w:rPr>
        <w:t>3.1 招标代理机构或评审专家首先审查供应商的资格条件是否满足采购文件的要求。</w:t>
      </w:r>
    </w:p>
    <w:p w14:paraId="2E67074D">
      <w:pPr>
        <w:ind w:firstLine="480"/>
        <w:rPr>
          <w:rFonts w:cs="宋体"/>
          <w:color w:val="auto"/>
          <w:highlight w:val="none"/>
        </w:rPr>
      </w:pPr>
      <w:r>
        <w:rPr>
          <w:rFonts w:hint="eastAsia" w:cs="宋体"/>
          <w:color w:val="auto"/>
          <w:highlight w:val="none"/>
        </w:rPr>
        <w:t>3.2 评标委员会将首先审查每份投标文件是否实质上响应了采购文件的要求，实质性响应的投标文件是指投标文件符合采购文件规定的实质性内容、条件和规定。</w:t>
      </w:r>
    </w:p>
    <w:p w14:paraId="33779FEC">
      <w:pPr>
        <w:ind w:firstLine="480"/>
        <w:rPr>
          <w:rFonts w:cs="宋体"/>
          <w:color w:val="auto"/>
          <w:highlight w:val="none"/>
        </w:rPr>
      </w:pPr>
      <w:r>
        <w:rPr>
          <w:rFonts w:hint="eastAsia" w:cs="宋体"/>
          <w:color w:val="auto"/>
          <w:highlight w:val="none"/>
        </w:rPr>
        <w:t>3.3 重大偏离或保留是指将会影响到采购文件规定的服务范围、质量标准，或会给合同中规定的招标人的权利和供应商的责任造成实质性限制，而纠正这些偏离或保留将对其他提交了实质性响应的投标文件的供应商产生不公平影响的。</w:t>
      </w:r>
    </w:p>
    <w:p w14:paraId="7D231143">
      <w:pPr>
        <w:ind w:firstLine="480"/>
        <w:rPr>
          <w:rFonts w:cs="宋体"/>
          <w:color w:val="auto"/>
          <w:highlight w:val="none"/>
        </w:rPr>
      </w:pPr>
      <w:r>
        <w:rPr>
          <w:rFonts w:hint="eastAsia" w:cs="宋体"/>
          <w:color w:val="auto"/>
          <w:highlight w:val="none"/>
        </w:rPr>
        <w:t>3.4 细微偏离是指投标文件对采购文件的非实质性内容存在不完全响应或不响应。</w:t>
      </w:r>
    </w:p>
    <w:p w14:paraId="7DDFA124">
      <w:pPr>
        <w:ind w:firstLine="480"/>
        <w:rPr>
          <w:rFonts w:cs="宋体"/>
          <w:color w:val="auto"/>
          <w:highlight w:val="none"/>
        </w:rPr>
      </w:pPr>
      <w:r>
        <w:rPr>
          <w:rFonts w:hint="eastAsia" w:cs="宋体"/>
          <w:color w:val="auto"/>
          <w:highlight w:val="none"/>
        </w:rPr>
        <w:t>3.5 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14:paraId="45B6F615">
      <w:pPr>
        <w:ind w:firstLine="480"/>
        <w:rPr>
          <w:rFonts w:cs="宋体"/>
          <w:color w:val="auto"/>
          <w:highlight w:val="none"/>
        </w:rPr>
      </w:pPr>
      <w:r>
        <w:rPr>
          <w:rFonts w:hint="eastAsia" w:cs="宋体"/>
          <w:color w:val="auto"/>
          <w:highlight w:val="none"/>
        </w:rPr>
        <w:t>3.6 初步评审工作内容</w:t>
      </w:r>
    </w:p>
    <w:p w14:paraId="5668924B">
      <w:pPr>
        <w:ind w:firstLine="480"/>
        <w:rPr>
          <w:rFonts w:cs="宋体"/>
          <w:color w:val="auto"/>
          <w:highlight w:val="none"/>
        </w:rPr>
      </w:pPr>
      <w:r>
        <w:rPr>
          <w:rFonts w:hint="eastAsia" w:cs="宋体"/>
          <w:color w:val="auto"/>
          <w:highlight w:val="none"/>
        </w:rPr>
        <w:t>（1）资格性检查</w:t>
      </w:r>
    </w:p>
    <w:p w14:paraId="438A6D0F">
      <w:pPr>
        <w:ind w:firstLine="480"/>
        <w:rPr>
          <w:rFonts w:cs="宋体"/>
          <w:color w:val="auto"/>
          <w:highlight w:val="none"/>
        </w:rPr>
      </w:pPr>
      <w:r>
        <w:rPr>
          <w:rFonts w:hint="eastAsia" w:cs="宋体"/>
          <w:color w:val="auto"/>
          <w:highlight w:val="none"/>
        </w:rPr>
        <w:t>依据法律法规及采购文件的规定，对投标文件中的提供的资格证明材料进行审查，以确定供应商是否具备投标资格。</w:t>
      </w:r>
    </w:p>
    <w:p w14:paraId="32923157">
      <w:pPr>
        <w:ind w:firstLine="480"/>
        <w:rPr>
          <w:rFonts w:cs="宋体"/>
          <w:color w:val="auto"/>
          <w:highlight w:val="none"/>
        </w:rPr>
      </w:pPr>
      <w:r>
        <w:rPr>
          <w:rFonts w:hint="eastAsia" w:cs="宋体"/>
          <w:color w:val="auto"/>
          <w:highlight w:val="none"/>
        </w:rPr>
        <w:t>（2）符合性检查</w:t>
      </w:r>
    </w:p>
    <w:p w14:paraId="02ABCC75">
      <w:pPr>
        <w:ind w:firstLine="480"/>
        <w:rPr>
          <w:rFonts w:cs="宋体"/>
          <w:color w:val="auto"/>
          <w:highlight w:val="none"/>
        </w:rPr>
      </w:pPr>
      <w:r>
        <w:rPr>
          <w:rFonts w:hint="eastAsia" w:cs="宋体"/>
          <w:color w:val="auto"/>
          <w:highlight w:val="none"/>
        </w:rPr>
        <w:t>依据采购文件的规定，从投标文件的有效性、完整性和对采购文件的响应程度进行审查，以确定是否对采购文件的实质性要求作出响应。</w:t>
      </w:r>
    </w:p>
    <w:p w14:paraId="5FAAFCAD">
      <w:pPr>
        <w:ind w:firstLine="480"/>
        <w:rPr>
          <w:rFonts w:hint="default" w:cs="宋体"/>
          <w:color w:val="auto"/>
          <w:highlight w:val="none"/>
          <w:lang w:val="en-US" w:eastAsia="zh-CN"/>
        </w:rPr>
      </w:pPr>
      <w:r>
        <w:rPr>
          <w:rFonts w:hint="eastAsia" w:cs="宋体"/>
          <w:color w:val="auto"/>
          <w:highlight w:val="none"/>
        </w:rPr>
        <w:t xml:space="preserve">3.7 </w:t>
      </w:r>
      <w:r>
        <w:rPr>
          <w:rFonts w:hint="eastAsia" w:cs="宋体"/>
          <w:color w:val="auto"/>
          <w:highlight w:val="none"/>
          <w:lang w:val="en-US" w:eastAsia="zh-CN"/>
        </w:rPr>
        <w:t>核心产品认定</w:t>
      </w:r>
    </w:p>
    <w:p w14:paraId="3204E7CD">
      <w:pPr>
        <w:ind w:firstLine="480"/>
        <w:rPr>
          <w:rFonts w:hint="eastAsia" w:cs="宋体"/>
          <w:color w:val="auto"/>
          <w:highlight w:val="none"/>
        </w:rPr>
      </w:pPr>
      <w:r>
        <w:rPr>
          <w:rFonts w:hint="eastAsia" w:cs="宋体"/>
          <w:color w:val="auto"/>
          <w:highlight w:val="none"/>
          <w:lang w:val="en-US" w:eastAsia="zh-CN"/>
        </w:rPr>
        <w:t>核心产品</w:t>
      </w:r>
      <w:r>
        <w:rPr>
          <w:rFonts w:hint="eastAsia" w:cs="宋体"/>
          <w:color w:val="auto"/>
          <w:highlight w:val="none"/>
        </w:rPr>
        <w:t>提供相同品牌产品且通过资格审查、符合性审查的不同投标人参加同一合同项下投标的，按1家投标人计算，评审后得分最高的同品牌投标人获得中标人推荐资格；评审得分相同的，由</w:t>
      </w:r>
      <w:r>
        <w:rPr>
          <w:rFonts w:hint="eastAsia" w:cs="宋体"/>
          <w:color w:val="auto"/>
          <w:highlight w:val="none"/>
          <w:lang w:eastAsia="zh-CN"/>
        </w:rPr>
        <w:t>招标人</w:t>
      </w:r>
      <w:r>
        <w:rPr>
          <w:rFonts w:hint="eastAsia" w:cs="宋体"/>
          <w:color w:val="auto"/>
          <w:highlight w:val="none"/>
        </w:rPr>
        <w:t>委托评标委员会按照随机抽取方式确定1个投标人获得中标人推荐资格</w:t>
      </w:r>
      <w:r>
        <w:rPr>
          <w:rFonts w:hint="eastAsia" w:cs="宋体"/>
          <w:color w:val="auto"/>
          <w:highlight w:val="none"/>
          <w:lang w:eastAsia="zh-CN"/>
        </w:rPr>
        <w:t>，</w:t>
      </w:r>
      <w:r>
        <w:rPr>
          <w:rFonts w:hint="eastAsia" w:cs="宋体"/>
          <w:color w:val="auto"/>
          <w:highlight w:val="none"/>
        </w:rPr>
        <w:t>其他同品牌投标人不作为中标候选人。</w:t>
      </w:r>
    </w:p>
    <w:p w14:paraId="00097C02">
      <w:pPr>
        <w:ind w:firstLine="480"/>
        <w:rPr>
          <w:color w:val="auto"/>
          <w:highlight w:val="none"/>
        </w:rPr>
      </w:pPr>
      <w:r>
        <w:rPr>
          <w:rFonts w:hint="eastAsia" w:cs="宋体"/>
          <w:color w:val="auto"/>
          <w:highlight w:val="none"/>
          <w:lang w:val="en-US" w:eastAsia="zh-CN"/>
        </w:rPr>
        <w:t xml:space="preserve">3.8 </w:t>
      </w:r>
      <w:r>
        <w:rPr>
          <w:rFonts w:hint="eastAsia" w:cs="宋体"/>
          <w:color w:val="auto"/>
          <w:highlight w:val="none"/>
        </w:rPr>
        <w:t>评标委员会对投标文件的判定，只依据投标文件内容本身和按采购文件规定提交资料，不依靠开标后的任何外来证明。如供应商提交的资质证明或其他内容不齐全，由此造成的后果由供应商自己负责。</w:t>
      </w:r>
    </w:p>
    <w:p w14:paraId="4107D8AF">
      <w:pPr>
        <w:pStyle w:val="5"/>
        <w:rPr>
          <w:rFonts w:cs="宋体"/>
          <w:color w:val="auto"/>
          <w:szCs w:val="24"/>
          <w:highlight w:val="none"/>
        </w:rPr>
      </w:pPr>
      <w:r>
        <w:rPr>
          <w:rFonts w:hint="eastAsia" w:cs="宋体"/>
          <w:color w:val="auto"/>
          <w:szCs w:val="24"/>
          <w:highlight w:val="none"/>
        </w:rPr>
        <w:t>二、投标文件鉴定</w:t>
      </w:r>
    </w:p>
    <w:p w14:paraId="00F0F011">
      <w:pPr>
        <w:ind w:firstLine="480"/>
        <w:rPr>
          <w:rFonts w:cs="宋体"/>
          <w:color w:val="auto"/>
          <w:highlight w:val="none"/>
        </w:rPr>
      </w:pPr>
      <w:bookmarkStart w:id="73" w:name="_Toc13357"/>
      <w:bookmarkStart w:id="74" w:name="_Toc13687"/>
      <w:r>
        <w:rPr>
          <w:rFonts w:hint="eastAsia" w:cs="宋体"/>
          <w:color w:val="auto"/>
          <w:highlight w:val="none"/>
        </w:rPr>
        <w:t>1.开标时，招标代理机构将对投标文件进行初步审查，检查投标书内容是否完整、编排是否有序、文件签署是否规范以及投标人资格是否符合要求等。如投标文件被确认为无效，招标代理机构将及时通知该投标人。</w:t>
      </w:r>
    </w:p>
    <w:p w14:paraId="39FCF827">
      <w:pPr>
        <w:ind w:firstLine="480"/>
        <w:rPr>
          <w:rFonts w:cs="宋体"/>
          <w:color w:val="auto"/>
          <w:highlight w:val="none"/>
        </w:rPr>
      </w:pPr>
      <w:r>
        <w:rPr>
          <w:rFonts w:hint="eastAsia" w:cs="宋体"/>
          <w:color w:val="auto"/>
          <w:highlight w:val="none"/>
        </w:rPr>
        <w:t>2.如果投标文件实质上不响应招标文件的要求，招标代理机构及评标委员会将予以拒绝，并且不允许通过修正或撤消不符合要求的差异或保留，使之成为具有响应性的投标。</w:t>
      </w:r>
    </w:p>
    <w:p w14:paraId="5234838A">
      <w:pPr>
        <w:ind w:firstLine="480"/>
        <w:rPr>
          <w:rFonts w:cs="宋体"/>
          <w:color w:val="auto"/>
          <w:highlight w:val="none"/>
        </w:rPr>
      </w:pPr>
      <w:r>
        <w:rPr>
          <w:rFonts w:hint="eastAsia" w:cs="宋体"/>
          <w:color w:val="auto"/>
          <w:highlight w:val="none"/>
        </w:rPr>
        <w:t>3.经开标后递交至评标委员会的投标文件，仍需接受相关符合性的检查，并有可能在评标过程中被判断为无效。</w:t>
      </w:r>
    </w:p>
    <w:p w14:paraId="39B3EFF6">
      <w:pPr>
        <w:pStyle w:val="4"/>
        <w:jc w:val="center"/>
        <w:rPr>
          <w:rFonts w:ascii="宋体" w:hAnsi="宋体" w:cs="宋体"/>
          <w:color w:val="auto"/>
          <w:sz w:val="24"/>
          <w:szCs w:val="24"/>
          <w:highlight w:val="none"/>
        </w:rPr>
      </w:pPr>
      <w:bookmarkStart w:id="75" w:name="_Toc5279"/>
      <w:r>
        <w:rPr>
          <w:rFonts w:hint="eastAsia" w:ascii="宋体" w:hAnsi="宋体" w:cs="宋体"/>
          <w:color w:val="auto"/>
          <w:sz w:val="24"/>
          <w:szCs w:val="24"/>
          <w:highlight w:val="none"/>
        </w:rPr>
        <w:t>第六节 评 标</w:t>
      </w:r>
      <w:bookmarkEnd w:id="73"/>
      <w:bookmarkEnd w:id="74"/>
      <w:bookmarkEnd w:id="75"/>
    </w:p>
    <w:p w14:paraId="33AE5A80">
      <w:pPr>
        <w:pStyle w:val="5"/>
        <w:rPr>
          <w:rFonts w:cs="宋体"/>
          <w:color w:val="auto"/>
          <w:szCs w:val="24"/>
          <w:highlight w:val="none"/>
        </w:rPr>
      </w:pPr>
      <w:r>
        <w:rPr>
          <w:rFonts w:hint="eastAsia" w:cs="宋体"/>
          <w:color w:val="auto"/>
          <w:szCs w:val="24"/>
          <w:highlight w:val="none"/>
        </w:rPr>
        <w:t>一、组建评标委员会</w:t>
      </w:r>
    </w:p>
    <w:p w14:paraId="1C6946EE">
      <w:pPr>
        <w:ind w:firstLine="480"/>
        <w:rPr>
          <w:rFonts w:cs="宋体"/>
          <w:color w:val="auto"/>
          <w:highlight w:val="none"/>
        </w:rPr>
      </w:pPr>
      <w:r>
        <w:rPr>
          <w:rFonts w:hint="eastAsia" w:cs="宋体"/>
          <w:color w:val="auto"/>
          <w:highlight w:val="none"/>
        </w:rPr>
        <w:t>招标代理机构依法组建由</w:t>
      </w:r>
      <w:r>
        <w:rPr>
          <w:rFonts w:hint="eastAsia" w:cs="宋体"/>
          <w:color w:val="auto"/>
          <w:highlight w:val="none"/>
          <w:lang w:val="en-US" w:eastAsia="zh-CN"/>
        </w:rPr>
        <w:t>5</w:t>
      </w:r>
      <w:r>
        <w:rPr>
          <w:rFonts w:hint="eastAsia" w:cs="宋体"/>
          <w:color w:val="auto"/>
          <w:highlight w:val="none"/>
        </w:rPr>
        <w:t>人及以上奇数的人员组成的评标委员会，负责对投标文件进行审查、质询、评审和比较等。评标委员会由招标人代表和招标咨询专家组成，其中招标咨询专家人数不少于成员总数的三分之二。评标委员会成员名单在招标结果确定之前依法保密。</w:t>
      </w:r>
    </w:p>
    <w:p w14:paraId="685292E0">
      <w:pPr>
        <w:pStyle w:val="5"/>
        <w:rPr>
          <w:rFonts w:cs="宋体"/>
          <w:color w:val="auto"/>
          <w:szCs w:val="24"/>
          <w:highlight w:val="none"/>
        </w:rPr>
      </w:pPr>
      <w:r>
        <w:rPr>
          <w:rFonts w:hint="eastAsia" w:cs="宋体"/>
          <w:color w:val="auto"/>
          <w:szCs w:val="24"/>
          <w:highlight w:val="none"/>
        </w:rPr>
        <w:t>二、评标的方式</w:t>
      </w:r>
    </w:p>
    <w:p w14:paraId="5E9DFF02">
      <w:pPr>
        <w:ind w:firstLine="480"/>
        <w:rPr>
          <w:rFonts w:cs="宋体"/>
          <w:color w:val="auto"/>
          <w:highlight w:val="none"/>
        </w:rPr>
      </w:pPr>
      <w:r>
        <w:rPr>
          <w:rFonts w:hint="eastAsia" w:cs="宋体"/>
          <w:color w:val="auto"/>
          <w:highlight w:val="none"/>
        </w:rPr>
        <w:t>本项目采用不公开方式评标，评标的依据为招标文件和投标文件。不考虑投标人在开标后提交的任何补充声明、修正方案。</w:t>
      </w:r>
    </w:p>
    <w:p w14:paraId="7C3728ED">
      <w:pPr>
        <w:pStyle w:val="5"/>
        <w:rPr>
          <w:rFonts w:cs="宋体"/>
          <w:color w:val="auto"/>
          <w:szCs w:val="24"/>
          <w:highlight w:val="none"/>
        </w:rPr>
      </w:pPr>
      <w:r>
        <w:rPr>
          <w:rFonts w:hint="eastAsia" w:cs="宋体"/>
          <w:color w:val="auto"/>
          <w:szCs w:val="24"/>
          <w:highlight w:val="none"/>
        </w:rPr>
        <w:t>三、评标原则</w:t>
      </w:r>
    </w:p>
    <w:p w14:paraId="1D232269">
      <w:pPr>
        <w:ind w:firstLine="480"/>
        <w:rPr>
          <w:rFonts w:cs="宋体"/>
          <w:color w:val="auto"/>
          <w:highlight w:val="none"/>
        </w:rPr>
      </w:pPr>
      <w:r>
        <w:rPr>
          <w:rFonts w:hint="eastAsia" w:cs="宋体"/>
          <w:color w:val="auto"/>
          <w:highlight w:val="none"/>
        </w:rPr>
        <w:t>评标严格按照招标文件的要求和条件，只依据投标内容本身，不依靠开标后的任何外来证明。以公平、公正、科学、择优的原则进行；比较报价，同时考虑以下因素：</w:t>
      </w:r>
    </w:p>
    <w:p w14:paraId="43EB32D0">
      <w:pPr>
        <w:ind w:firstLine="480"/>
        <w:rPr>
          <w:rFonts w:cs="宋体"/>
          <w:color w:val="auto"/>
          <w:highlight w:val="none"/>
        </w:rPr>
      </w:pPr>
      <w:r>
        <w:rPr>
          <w:rFonts w:hint="eastAsia" w:cs="宋体"/>
          <w:color w:val="auto"/>
          <w:highlight w:val="none"/>
        </w:rPr>
        <w:t>1.价格合理，方案、产品先进、可靠；</w:t>
      </w:r>
    </w:p>
    <w:p w14:paraId="58340ADB">
      <w:pPr>
        <w:ind w:firstLine="480"/>
        <w:rPr>
          <w:rFonts w:cs="宋体"/>
          <w:color w:val="auto"/>
          <w:highlight w:val="none"/>
        </w:rPr>
      </w:pPr>
      <w:r>
        <w:rPr>
          <w:rFonts w:hint="eastAsia" w:cs="宋体"/>
          <w:color w:val="auto"/>
          <w:highlight w:val="none"/>
        </w:rPr>
        <w:t>2.经营信誉；</w:t>
      </w:r>
    </w:p>
    <w:p w14:paraId="0259293A">
      <w:pPr>
        <w:ind w:firstLine="480"/>
        <w:rPr>
          <w:rFonts w:cs="宋体"/>
          <w:color w:val="auto"/>
          <w:highlight w:val="none"/>
        </w:rPr>
      </w:pPr>
      <w:r>
        <w:rPr>
          <w:rFonts w:hint="eastAsia" w:cs="宋体"/>
          <w:color w:val="auto"/>
          <w:highlight w:val="none"/>
        </w:rPr>
        <w:t>3.反对不正当竞争。</w:t>
      </w:r>
    </w:p>
    <w:p w14:paraId="2288EA16">
      <w:pPr>
        <w:pStyle w:val="5"/>
        <w:rPr>
          <w:rFonts w:cs="宋体"/>
          <w:color w:val="auto"/>
          <w:szCs w:val="24"/>
          <w:highlight w:val="none"/>
        </w:rPr>
      </w:pPr>
      <w:r>
        <w:rPr>
          <w:rFonts w:hint="eastAsia" w:cs="宋体"/>
          <w:color w:val="auto"/>
          <w:szCs w:val="24"/>
          <w:highlight w:val="none"/>
        </w:rPr>
        <w:t>四、评标程序</w:t>
      </w:r>
    </w:p>
    <w:p w14:paraId="5339D21C">
      <w:pPr>
        <w:ind w:firstLine="480"/>
        <w:rPr>
          <w:rFonts w:cs="宋体"/>
          <w:color w:val="auto"/>
          <w:highlight w:val="none"/>
        </w:rPr>
      </w:pPr>
      <w:r>
        <w:rPr>
          <w:rFonts w:hint="eastAsia" w:cs="宋体"/>
          <w:color w:val="auto"/>
          <w:highlight w:val="none"/>
        </w:rPr>
        <w:t>1.招标代理机构按照招标文件规定的时间、地点及程序组织评审。评审活动一般应按以下程序组织开展：</w:t>
      </w:r>
    </w:p>
    <w:p w14:paraId="093A7C02">
      <w:pPr>
        <w:ind w:firstLine="480"/>
        <w:rPr>
          <w:rFonts w:cs="宋体"/>
          <w:color w:val="auto"/>
          <w:highlight w:val="none"/>
        </w:rPr>
      </w:pPr>
      <w:r>
        <w:rPr>
          <w:rFonts w:hint="eastAsia" w:cs="宋体"/>
          <w:color w:val="auto"/>
          <w:highlight w:val="none"/>
        </w:rPr>
        <w:t>（1）开启评审场地的录音录像采集设备，并确保其正常运行；</w:t>
      </w:r>
    </w:p>
    <w:p w14:paraId="084495A3">
      <w:pPr>
        <w:ind w:firstLine="480"/>
        <w:rPr>
          <w:rFonts w:cs="宋体"/>
          <w:color w:val="auto"/>
          <w:highlight w:val="none"/>
        </w:rPr>
      </w:pPr>
      <w:r>
        <w:rPr>
          <w:rFonts w:hint="eastAsia" w:cs="宋体"/>
          <w:color w:val="auto"/>
          <w:highlight w:val="none"/>
        </w:rPr>
        <w:t>（2）核验出席评审活动现场的评标委员会各成员身份，并要求其分别登记、签到，按规定统一收缴、保存其通讯工具，无关人员一律拒绝其进入评审现场；</w:t>
      </w:r>
    </w:p>
    <w:p w14:paraId="1FF6D6DC">
      <w:pPr>
        <w:ind w:firstLine="480"/>
        <w:rPr>
          <w:rFonts w:cs="宋体"/>
          <w:color w:val="auto"/>
          <w:highlight w:val="none"/>
        </w:rPr>
      </w:pPr>
      <w:r>
        <w:rPr>
          <w:rFonts w:hint="eastAsia" w:cs="宋体"/>
          <w:color w:val="auto"/>
          <w:highlight w:val="none"/>
        </w:rPr>
        <w:t>（3）介绍评审现场的人员情况，宣布评审工作纪律，告知评标委员会应当回避情形；组织推选评标委员会组长；</w:t>
      </w:r>
    </w:p>
    <w:p w14:paraId="3D42055B">
      <w:pPr>
        <w:ind w:firstLine="480"/>
        <w:rPr>
          <w:rFonts w:cs="宋体"/>
          <w:color w:val="auto"/>
          <w:highlight w:val="none"/>
        </w:rPr>
      </w:pPr>
      <w:r>
        <w:rPr>
          <w:rFonts w:hint="eastAsia" w:cs="宋体"/>
          <w:color w:val="auto"/>
          <w:highlight w:val="none"/>
        </w:rPr>
        <w:t>（4）通报报名参加本项目的投标人名单及资格预审情况（如有），宣读最终提交投标文件且通过资格审查的投标人名单，组织评标委员会各位成员签订《招标评审人员廉洁自律承诺书》；</w:t>
      </w:r>
    </w:p>
    <w:p w14:paraId="609A89F3">
      <w:pPr>
        <w:ind w:firstLine="480"/>
        <w:rPr>
          <w:rFonts w:cs="宋体"/>
          <w:color w:val="auto"/>
          <w:highlight w:val="none"/>
        </w:rPr>
      </w:pPr>
      <w:r>
        <w:rPr>
          <w:rFonts w:hint="eastAsia" w:cs="宋体"/>
          <w:color w:val="auto"/>
          <w:highlight w:val="none"/>
        </w:rPr>
        <w:t>（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14:paraId="6E0D5A36">
      <w:pPr>
        <w:ind w:firstLine="480"/>
        <w:rPr>
          <w:rFonts w:cs="宋体"/>
          <w:color w:val="auto"/>
          <w:highlight w:val="none"/>
        </w:rPr>
      </w:pPr>
      <w:r>
        <w:rPr>
          <w:rFonts w:hint="eastAsia"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AD7CEFA">
      <w:pPr>
        <w:ind w:firstLine="480"/>
        <w:rPr>
          <w:rFonts w:cs="宋体"/>
          <w:color w:val="auto"/>
          <w:highlight w:val="none"/>
        </w:rPr>
      </w:pPr>
      <w:r>
        <w:rPr>
          <w:rFonts w:hint="eastAsia" w:cs="宋体"/>
          <w:color w:val="auto"/>
          <w:highlight w:val="none"/>
        </w:rPr>
        <w:t>（7）做好评审现场相关记录，协助评标委员会组长做好评审报告起草、有关内容电脑文字录入等工作，并要求评标委员会各成员签字确认；</w:t>
      </w:r>
    </w:p>
    <w:p w14:paraId="3349A48C">
      <w:pPr>
        <w:ind w:firstLine="480"/>
        <w:rPr>
          <w:rFonts w:cs="宋体"/>
          <w:color w:val="auto"/>
          <w:highlight w:val="none"/>
        </w:rPr>
      </w:pPr>
      <w:r>
        <w:rPr>
          <w:rFonts w:hint="eastAsia" w:cs="宋体"/>
          <w:color w:val="auto"/>
          <w:highlight w:val="none"/>
        </w:rPr>
        <w:t>（8）评审结束后，招标代理机构交还评审人员及其他现场相关人员的通讯工具。</w:t>
      </w:r>
    </w:p>
    <w:p w14:paraId="085180D3">
      <w:pPr>
        <w:pStyle w:val="5"/>
        <w:rPr>
          <w:rFonts w:cs="宋体"/>
          <w:color w:val="auto"/>
          <w:szCs w:val="24"/>
          <w:highlight w:val="none"/>
        </w:rPr>
      </w:pPr>
      <w:r>
        <w:rPr>
          <w:rFonts w:hint="eastAsia" w:cs="宋体"/>
          <w:color w:val="auto"/>
          <w:szCs w:val="24"/>
          <w:highlight w:val="none"/>
        </w:rPr>
        <w:t>五、修正原则</w:t>
      </w:r>
    </w:p>
    <w:p w14:paraId="0E6E77EF">
      <w:pPr>
        <w:ind w:firstLine="480"/>
        <w:rPr>
          <w:rFonts w:cs="宋体"/>
          <w:color w:val="auto"/>
          <w:highlight w:val="none"/>
        </w:rPr>
      </w:pPr>
      <w:r>
        <w:rPr>
          <w:rFonts w:hint="eastAsia" w:cs="宋体"/>
          <w:color w:val="auto"/>
          <w:highlight w:val="none"/>
        </w:rPr>
        <w:t>评标委员会对投标文件的报价文件进行审核，对发现计算、书写等错误的，按以下原则进行修正：</w:t>
      </w:r>
    </w:p>
    <w:p w14:paraId="50F456B8">
      <w:pPr>
        <w:pStyle w:val="143"/>
        <w:spacing w:before="0"/>
        <w:ind w:firstLine="480"/>
        <w:rPr>
          <w:rFonts w:ascii="宋体" w:hAnsi="宋体" w:cs="宋体"/>
          <w:color w:val="auto"/>
          <w:kern w:val="0"/>
          <w:highlight w:val="none"/>
        </w:rPr>
      </w:pPr>
      <w:r>
        <w:rPr>
          <w:rFonts w:hint="eastAsia" w:ascii="宋体" w:hAnsi="宋体" w:cs="宋体"/>
          <w:color w:val="auto"/>
          <w:kern w:val="0"/>
          <w:highlight w:val="none"/>
        </w:rPr>
        <w:t>1.投标文件中开标一览表(报价表)内容与投标文件中相应内容不一致的，以开标一览表(报价表)为准；</w:t>
      </w:r>
    </w:p>
    <w:p w14:paraId="6751914D">
      <w:pPr>
        <w:pStyle w:val="143"/>
        <w:spacing w:before="0"/>
        <w:ind w:firstLine="480"/>
        <w:rPr>
          <w:rFonts w:ascii="宋体" w:hAnsi="宋体" w:cs="宋体"/>
          <w:color w:val="auto"/>
          <w:kern w:val="0"/>
          <w:highlight w:val="none"/>
        </w:rPr>
      </w:pPr>
      <w:r>
        <w:rPr>
          <w:rFonts w:hint="eastAsia" w:ascii="宋体" w:hAnsi="宋体" w:cs="宋体"/>
          <w:color w:val="auto"/>
          <w:kern w:val="0"/>
          <w:highlight w:val="none"/>
        </w:rPr>
        <w:t>2.大写金额和小写金额不一致的，以大写金额为准；</w:t>
      </w:r>
    </w:p>
    <w:p w14:paraId="6B966E92">
      <w:pPr>
        <w:pStyle w:val="143"/>
        <w:spacing w:before="0"/>
        <w:ind w:firstLine="480"/>
        <w:rPr>
          <w:rFonts w:ascii="宋体" w:hAnsi="宋体" w:cs="宋体"/>
          <w:color w:val="auto"/>
          <w:kern w:val="0"/>
          <w:highlight w:val="none"/>
        </w:rPr>
      </w:pPr>
      <w:r>
        <w:rPr>
          <w:rFonts w:hint="eastAsia" w:ascii="宋体" w:hAnsi="宋体" w:cs="宋体"/>
          <w:color w:val="auto"/>
          <w:kern w:val="0"/>
          <w:highlight w:val="none"/>
        </w:rPr>
        <w:t>3.单价金额小数点或者百分比有明显错位的，以开标一览表的总价为准，并修改单价；</w:t>
      </w:r>
    </w:p>
    <w:p w14:paraId="28CE86AF">
      <w:pPr>
        <w:pStyle w:val="143"/>
        <w:spacing w:before="0"/>
        <w:ind w:firstLine="480"/>
        <w:rPr>
          <w:rFonts w:ascii="宋体" w:hAnsi="宋体" w:cs="宋体"/>
          <w:color w:val="auto"/>
          <w:kern w:val="0"/>
          <w:highlight w:val="none"/>
        </w:rPr>
      </w:pPr>
      <w:r>
        <w:rPr>
          <w:rFonts w:hint="eastAsia" w:ascii="宋体" w:hAnsi="宋体" w:cs="宋体"/>
          <w:color w:val="auto"/>
          <w:kern w:val="0"/>
          <w:highlight w:val="none"/>
        </w:rPr>
        <w:t>4.总价金额与按单价汇总金额不一致的，以单价金额计算结果为准；</w:t>
      </w:r>
    </w:p>
    <w:p w14:paraId="0CECBB4F">
      <w:pPr>
        <w:pStyle w:val="143"/>
        <w:spacing w:before="0"/>
        <w:ind w:firstLine="480"/>
        <w:rPr>
          <w:rFonts w:ascii="宋体" w:hAnsi="宋体" w:cs="宋体"/>
          <w:color w:val="auto"/>
          <w:kern w:val="0"/>
          <w:highlight w:val="none"/>
        </w:rPr>
      </w:pPr>
      <w:r>
        <w:rPr>
          <w:rFonts w:hint="eastAsia" w:ascii="宋体" w:hAnsi="宋体" w:cs="宋体"/>
          <w:color w:val="auto"/>
          <w:kern w:val="0"/>
          <w:highlight w:val="none"/>
        </w:rPr>
        <w:t>5.同时出现两种以上不一致的，按照以上规定的顺序修正。修正后的报价按照第87号令《政府采购货物和服务招标投标管理办法》第五十一条第二款的规定经投标人确认后产生约束力。</w:t>
      </w:r>
    </w:p>
    <w:p w14:paraId="02A90B99">
      <w:pPr>
        <w:pStyle w:val="5"/>
        <w:rPr>
          <w:rFonts w:cs="宋体"/>
          <w:color w:val="auto"/>
          <w:szCs w:val="24"/>
          <w:highlight w:val="none"/>
        </w:rPr>
      </w:pPr>
      <w:r>
        <w:rPr>
          <w:rFonts w:hint="eastAsia" w:cs="宋体"/>
          <w:color w:val="auto"/>
          <w:szCs w:val="24"/>
          <w:highlight w:val="none"/>
        </w:rPr>
        <w:t>六、投标无效的情形</w:t>
      </w:r>
    </w:p>
    <w:p w14:paraId="1E228E35">
      <w:pPr>
        <w:ind w:firstLine="480"/>
        <w:rPr>
          <w:rFonts w:cs="宋体"/>
          <w:color w:val="auto"/>
          <w:highlight w:val="none"/>
        </w:rPr>
      </w:pPr>
      <w:r>
        <w:rPr>
          <w:rFonts w:hint="eastAsia" w:cs="宋体"/>
          <w:color w:val="auto"/>
          <w:highlight w:val="none"/>
        </w:rPr>
        <w:t>1.在符合性审查、商务技术评审时，如发现下列情形之一的，投标文件将被视为无效：</w:t>
      </w:r>
    </w:p>
    <w:p w14:paraId="21DF90FB">
      <w:pPr>
        <w:ind w:firstLine="480"/>
        <w:rPr>
          <w:rFonts w:cs="宋体"/>
          <w:color w:val="auto"/>
          <w:kern w:val="0"/>
          <w:highlight w:val="none"/>
        </w:rPr>
      </w:pPr>
      <w:r>
        <w:rPr>
          <w:rFonts w:hint="eastAsia" w:cs="宋体"/>
          <w:color w:val="auto"/>
          <w:kern w:val="0"/>
          <w:highlight w:val="none"/>
        </w:rPr>
        <w:t>（1）投标人不具备招标文件中规定的资格要求的（投标人未提供有效的资格证明文件的，视为投标人不具备招标文件中规定的资格要求）；</w:t>
      </w:r>
    </w:p>
    <w:p w14:paraId="370828BD">
      <w:pPr>
        <w:ind w:firstLine="480"/>
        <w:rPr>
          <w:rFonts w:cs="宋体"/>
          <w:color w:val="auto"/>
          <w:kern w:val="0"/>
          <w:highlight w:val="none"/>
        </w:rPr>
      </w:pPr>
      <w:r>
        <w:rPr>
          <w:rFonts w:hint="eastAsia" w:cs="宋体"/>
          <w:color w:val="auto"/>
          <w:kern w:val="0"/>
          <w:highlight w:val="none"/>
        </w:rPr>
        <w:t>（2）投标文件未按照招标文件要求签署、盖章的；</w:t>
      </w:r>
    </w:p>
    <w:p w14:paraId="2F952FC1">
      <w:pPr>
        <w:ind w:firstLine="480"/>
        <w:rPr>
          <w:rFonts w:cs="宋体"/>
          <w:color w:val="auto"/>
          <w:kern w:val="0"/>
          <w:highlight w:val="none"/>
        </w:rPr>
      </w:pPr>
      <w:r>
        <w:rPr>
          <w:rFonts w:hint="eastAsia" w:cs="宋体"/>
          <w:color w:val="auto"/>
          <w:kern w:val="0"/>
          <w:highlight w:val="none"/>
        </w:rPr>
        <w:t>（3）招标人拟采购的产品属于政府强制采购的节能产品品目清单范围的，投标人未按招标文件要求提供国家确定的认证机构出具的、处于有效期之内的节能产品认证证书的；</w:t>
      </w:r>
    </w:p>
    <w:p w14:paraId="2143C0FE">
      <w:pPr>
        <w:bidi w:val="0"/>
      </w:pPr>
      <w:r>
        <w:rPr>
          <w:rFonts w:hint="eastAsia"/>
        </w:rPr>
        <w:t>（4）投标文件含有招标人不能接受的附加条件的；</w:t>
      </w:r>
    </w:p>
    <w:p w14:paraId="7AE59F60">
      <w:pPr>
        <w:bidi w:val="0"/>
      </w:pPr>
      <w:r>
        <w:rPr>
          <w:rFonts w:hint="eastAsia"/>
        </w:rPr>
        <w:t>（5）投标文件中承诺的投标有效期少于招标文件中载明的投标有效期的；</w:t>
      </w:r>
    </w:p>
    <w:p w14:paraId="7DEDB83C">
      <w:pPr>
        <w:bidi w:val="0"/>
      </w:pPr>
      <w:bookmarkStart w:id="76" w:name="_Toc17196"/>
      <w:r>
        <w:rPr>
          <w:rFonts w:hint="eastAsia"/>
        </w:rPr>
        <w:t>（6）投标文件不满足招标文件的其它实质性要求的；</w:t>
      </w:r>
      <w:bookmarkEnd w:id="76"/>
    </w:p>
    <w:p w14:paraId="6C2B4364">
      <w:pPr>
        <w:bidi w:val="0"/>
      </w:pPr>
      <w:r>
        <w:rPr>
          <w:rFonts w:hint="eastAsia"/>
        </w:rPr>
        <w:t>（7）法律、法规、规章（适用本市的）及省级以上规范性文件（适用本市的）规定的其他无效情形。</w:t>
      </w:r>
    </w:p>
    <w:p w14:paraId="7AE337EE">
      <w:pPr>
        <w:bidi w:val="0"/>
        <w:rPr>
          <w:rFonts w:cs="宋体"/>
          <w:color w:val="auto"/>
          <w:highlight w:val="none"/>
        </w:rPr>
      </w:pPr>
      <w:r>
        <w:rPr>
          <w:rFonts w:hint="eastAsia"/>
        </w:rPr>
        <w:t>2.在报价评审时</w:t>
      </w:r>
      <w:r>
        <w:rPr>
          <w:rFonts w:hint="eastAsia" w:cs="宋体"/>
          <w:color w:val="auto"/>
          <w:highlight w:val="none"/>
        </w:rPr>
        <w:t>，如发现下列情形之一的，投标文件将被视为无效：</w:t>
      </w:r>
    </w:p>
    <w:p w14:paraId="227C437E">
      <w:pPr>
        <w:ind w:firstLine="480"/>
        <w:rPr>
          <w:rFonts w:cs="宋体"/>
          <w:color w:val="auto"/>
          <w:highlight w:val="none"/>
        </w:rPr>
      </w:pPr>
      <w:r>
        <w:rPr>
          <w:rFonts w:hint="eastAsia" w:cs="宋体"/>
          <w:color w:val="auto"/>
          <w:highlight w:val="none"/>
        </w:rPr>
        <w:t>（1）报价文件未按要求签署、盖章的；</w:t>
      </w:r>
    </w:p>
    <w:p w14:paraId="54FE603B">
      <w:pPr>
        <w:ind w:firstLine="480"/>
        <w:rPr>
          <w:rFonts w:cs="宋体"/>
          <w:color w:val="auto"/>
          <w:highlight w:val="none"/>
        </w:rPr>
      </w:pPr>
      <w:r>
        <w:rPr>
          <w:rFonts w:hint="eastAsia" w:cs="宋体"/>
          <w:color w:val="auto"/>
          <w:highlight w:val="none"/>
        </w:rPr>
        <w:t>（2）未按照招标文件标明的币种报价的；</w:t>
      </w:r>
    </w:p>
    <w:p w14:paraId="36E4EEFF">
      <w:pPr>
        <w:ind w:firstLine="480"/>
        <w:rPr>
          <w:rFonts w:cs="宋体"/>
          <w:color w:val="auto"/>
          <w:highlight w:val="none"/>
        </w:rPr>
      </w:pPr>
      <w:r>
        <w:rPr>
          <w:rFonts w:hint="eastAsia" w:cs="宋体"/>
          <w:color w:val="auto"/>
          <w:highlight w:val="none"/>
        </w:rPr>
        <w:t>（3）报价明细有缺漏项，或者与招标文件要求不一致的；</w:t>
      </w:r>
    </w:p>
    <w:p w14:paraId="4E1AD5D0">
      <w:pPr>
        <w:ind w:firstLine="480"/>
        <w:rPr>
          <w:rFonts w:cs="宋体"/>
          <w:color w:val="auto"/>
          <w:highlight w:val="none"/>
        </w:rPr>
      </w:pPr>
      <w:r>
        <w:rPr>
          <w:rFonts w:hint="eastAsia" w:cs="宋体"/>
          <w:color w:val="auto"/>
          <w:highlight w:val="none"/>
        </w:rPr>
        <w:t>（4）报价超过招标文件中规定的预算金额或者最高限价</w:t>
      </w:r>
      <w:r>
        <w:rPr>
          <w:rFonts w:hint="eastAsia" w:cs="宋体"/>
          <w:color w:val="auto"/>
          <w:kern w:val="0"/>
          <w:highlight w:val="none"/>
        </w:rPr>
        <w:t>（含单价最高限价）</w:t>
      </w:r>
      <w:r>
        <w:rPr>
          <w:rFonts w:hint="eastAsia" w:cs="宋体"/>
          <w:color w:val="auto"/>
          <w:highlight w:val="none"/>
        </w:rPr>
        <w:t>的；</w:t>
      </w:r>
    </w:p>
    <w:p w14:paraId="48CAAD03">
      <w:pPr>
        <w:ind w:firstLine="480"/>
        <w:rPr>
          <w:rFonts w:cs="宋体"/>
          <w:color w:val="auto"/>
          <w:highlight w:val="none"/>
        </w:rPr>
      </w:pPr>
      <w:r>
        <w:rPr>
          <w:rFonts w:hint="eastAsia" w:cs="宋体"/>
          <w:color w:val="auto"/>
          <w:highlight w:val="none"/>
        </w:rPr>
        <w:t>（5）报价</w:t>
      </w:r>
      <w:r>
        <w:rPr>
          <w:rFonts w:hint="eastAsia" w:cs="宋体"/>
          <w:color w:val="auto"/>
          <w:kern w:val="0"/>
          <w:highlight w:val="none"/>
        </w:rPr>
        <w:t>不是唯一的、</w:t>
      </w:r>
      <w:r>
        <w:rPr>
          <w:rFonts w:hint="eastAsia" w:cs="宋体"/>
          <w:color w:val="auto"/>
          <w:highlight w:val="none"/>
        </w:rPr>
        <w:t>具有选择性，或者开标价格与投标文件承诺的优惠（折扣）价格不一致的；</w:t>
      </w:r>
    </w:p>
    <w:p w14:paraId="3FFDD6DB">
      <w:pPr>
        <w:ind w:firstLine="480"/>
        <w:rPr>
          <w:rFonts w:cs="宋体"/>
          <w:color w:val="auto"/>
          <w:highlight w:val="none"/>
        </w:rPr>
      </w:pPr>
      <w:r>
        <w:rPr>
          <w:rFonts w:hint="eastAsia"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14:paraId="31483173">
      <w:pPr>
        <w:ind w:firstLine="480"/>
        <w:rPr>
          <w:rFonts w:cs="宋体"/>
          <w:color w:val="auto"/>
          <w:highlight w:val="none"/>
        </w:rPr>
      </w:pPr>
      <w:r>
        <w:rPr>
          <w:rFonts w:hint="eastAsia" w:cs="宋体"/>
          <w:color w:val="auto"/>
          <w:highlight w:val="none"/>
        </w:rPr>
        <w:t>3.有下列情形之一的，视为投标人串通投标，其投标无效，由招标人或招标代理机构上报招标监督管理部门，视情列入不良行为记录名单，在一至三年内禁止参加招标活动：</w:t>
      </w:r>
    </w:p>
    <w:p w14:paraId="458AE6D8">
      <w:pPr>
        <w:ind w:firstLine="480"/>
        <w:rPr>
          <w:rFonts w:cs="宋体"/>
          <w:color w:val="auto"/>
          <w:highlight w:val="none"/>
        </w:rPr>
      </w:pPr>
      <w:r>
        <w:rPr>
          <w:rFonts w:hint="eastAsia" w:cs="宋体"/>
          <w:color w:val="auto"/>
          <w:highlight w:val="none"/>
        </w:rPr>
        <w:t>（1）不同投标人的投标文件由同一单位或者个人编制；</w:t>
      </w:r>
    </w:p>
    <w:p w14:paraId="68B3CD16">
      <w:pPr>
        <w:ind w:firstLine="480"/>
        <w:rPr>
          <w:rFonts w:cs="宋体"/>
          <w:color w:val="auto"/>
          <w:highlight w:val="none"/>
        </w:rPr>
      </w:pPr>
      <w:r>
        <w:rPr>
          <w:rFonts w:hint="eastAsia" w:cs="宋体"/>
          <w:color w:val="auto"/>
          <w:highlight w:val="none"/>
        </w:rPr>
        <w:t>（2）不同投标人委托同一单位或者个人办理投标事宜；</w:t>
      </w:r>
    </w:p>
    <w:p w14:paraId="64F7D20E">
      <w:pPr>
        <w:ind w:firstLine="480"/>
        <w:rPr>
          <w:rFonts w:cs="宋体"/>
          <w:color w:val="auto"/>
          <w:highlight w:val="none"/>
        </w:rPr>
      </w:pPr>
      <w:r>
        <w:rPr>
          <w:rFonts w:hint="eastAsia" w:cs="宋体"/>
          <w:color w:val="auto"/>
          <w:highlight w:val="none"/>
        </w:rPr>
        <w:t>（3）不同投标人的投标文件载明的项目管理成员或者联系人员为同一人；</w:t>
      </w:r>
    </w:p>
    <w:p w14:paraId="20F28BA3">
      <w:pPr>
        <w:ind w:firstLine="480"/>
        <w:rPr>
          <w:rFonts w:cs="宋体"/>
          <w:color w:val="auto"/>
          <w:highlight w:val="none"/>
        </w:rPr>
      </w:pPr>
      <w:r>
        <w:rPr>
          <w:rFonts w:hint="eastAsia" w:cs="宋体"/>
          <w:color w:val="auto"/>
          <w:highlight w:val="none"/>
        </w:rPr>
        <w:t>（4）不同投标人的投标文件异常一致或者投标报价呈规律性差异；</w:t>
      </w:r>
    </w:p>
    <w:p w14:paraId="3D2832D9">
      <w:pPr>
        <w:ind w:firstLine="480"/>
        <w:rPr>
          <w:rFonts w:cs="宋体"/>
          <w:color w:val="auto"/>
          <w:highlight w:val="none"/>
        </w:rPr>
      </w:pPr>
      <w:r>
        <w:rPr>
          <w:rFonts w:hint="eastAsia" w:cs="宋体"/>
          <w:color w:val="auto"/>
          <w:highlight w:val="none"/>
        </w:rPr>
        <w:t>（5）不同投标人的投标文件相互混装。</w:t>
      </w:r>
    </w:p>
    <w:p w14:paraId="5853797B">
      <w:pPr>
        <w:pStyle w:val="5"/>
        <w:rPr>
          <w:rFonts w:cs="宋体"/>
          <w:color w:val="auto"/>
          <w:szCs w:val="24"/>
          <w:highlight w:val="none"/>
        </w:rPr>
      </w:pPr>
      <w:r>
        <w:rPr>
          <w:rFonts w:hint="eastAsia" w:cs="宋体"/>
          <w:color w:val="auto"/>
          <w:szCs w:val="24"/>
          <w:highlight w:val="none"/>
        </w:rPr>
        <w:t>七、投标的澄清</w:t>
      </w:r>
    </w:p>
    <w:p w14:paraId="2D5CF5BB">
      <w:pPr>
        <w:ind w:firstLine="480"/>
        <w:rPr>
          <w:rFonts w:cs="宋体"/>
          <w:color w:val="auto"/>
          <w:highlight w:val="none"/>
        </w:rPr>
      </w:pPr>
      <w:r>
        <w:rPr>
          <w:rFonts w:hint="eastAsia" w:cs="宋体"/>
          <w:color w:val="auto"/>
          <w:highlight w:val="none"/>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14:paraId="406F6FA7">
      <w:pPr>
        <w:ind w:firstLine="480"/>
        <w:rPr>
          <w:rFonts w:cs="宋体"/>
          <w:color w:val="auto"/>
          <w:highlight w:val="none"/>
        </w:rPr>
      </w:pPr>
      <w:r>
        <w:rPr>
          <w:rFonts w:hint="eastAsia" w:cs="宋体"/>
          <w:color w:val="auto"/>
          <w:highlight w:val="none"/>
        </w:rPr>
        <w:t>2.投标人应对需要澄清的问题作书面回答，该书面回答应有投标人授权代表（或法定代表人）的签字（或盖章），书面澄清将作为投标内容的一部分。</w:t>
      </w:r>
    </w:p>
    <w:p w14:paraId="7F78B04E">
      <w:pPr>
        <w:ind w:firstLine="480"/>
        <w:rPr>
          <w:rFonts w:cs="宋体"/>
          <w:color w:val="auto"/>
          <w:highlight w:val="none"/>
        </w:rPr>
      </w:pPr>
      <w:r>
        <w:rPr>
          <w:rFonts w:hint="eastAsia" w:cs="宋体"/>
          <w:color w:val="auto"/>
          <w:highlight w:val="none"/>
        </w:rPr>
        <w:t>3.投标人对投标文件的澄清不得超出投标文件的范围或改变投标价格等投标文件的实质性内容。否则，不予接受。</w:t>
      </w:r>
    </w:p>
    <w:p w14:paraId="5CB99344">
      <w:pPr>
        <w:pStyle w:val="5"/>
        <w:rPr>
          <w:color w:val="auto"/>
          <w:highlight w:val="none"/>
        </w:rPr>
      </w:pPr>
      <w:r>
        <w:rPr>
          <w:rFonts w:hint="eastAsia"/>
          <w:color w:val="auto"/>
          <w:highlight w:val="none"/>
        </w:rPr>
        <w:t>八、评标办法</w:t>
      </w:r>
    </w:p>
    <w:p w14:paraId="64D1B047">
      <w:pPr>
        <w:ind w:firstLine="480"/>
        <w:rPr>
          <w:rFonts w:cs="宋体"/>
          <w:color w:val="auto"/>
          <w:highlight w:val="none"/>
        </w:rPr>
      </w:pPr>
      <w:r>
        <w:rPr>
          <w:rFonts w:hint="eastAsia" w:cs="宋体"/>
          <w:color w:val="auto"/>
          <w:highlight w:val="none"/>
        </w:rPr>
        <w:t>本项目评标办法是综合评分法，具体评标内容及评分标准等详见《第四章</w:t>
      </w:r>
      <w:r>
        <w:rPr>
          <w:rFonts w:hint="eastAsia" w:cs="宋体"/>
          <w:color w:val="auto"/>
          <w:highlight w:val="none"/>
          <w:lang w:val="en-US" w:eastAsia="zh-CN"/>
        </w:rPr>
        <w:t>-</w:t>
      </w:r>
      <w:r>
        <w:rPr>
          <w:rFonts w:hint="eastAsia" w:cs="宋体"/>
          <w:color w:val="auto"/>
          <w:highlight w:val="none"/>
        </w:rPr>
        <w:t>评标办法及评分标准。</w:t>
      </w:r>
    </w:p>
    <w:p w14:paraId="18F5D47D">
      <w:pPr>
        <w:pStyle w:val="4"/>
        <w:jc w:val="center"/>
        <w:rPr>
          <w:rFonts w:ascii="宋体" w:hAnsi="宋体" w:cs="宋体"/>
          <w:color w:val="auto"/>
          <w:sz w:val="24"/>
          <w:szCs w:val="24"/>
          <w:highlight w:val="none"/>
        </w:rPr>
      </w:pPr>
      <w:bookmarkStart w:id="77" w:name="_Toc3128"/>
      <w:bookmarkStart w:id="78" w:name="_Toc24239"/>
      <w:bookmarkStart w:id="79" w:name="_Toc31535"/>
      <w:r>
        <w:rPr>
          <w:rFonts w:hint="eastAsia" w:ascii="宋体" w:hAnsi="宋体" w:cs="宋体"/>
          <w:color w:val="auto"/>
          <w:sz w:val="24"/>
          <w:szCs w:val="24"/>
          <w:highlight w:val="none"/>
        </w:rPr>
        <w:t>第七节 定 标</w:t>
      </w:r>
      <w:bookmarkEnd w:id="77"/>
    </w:p>
    <w:p w14:paraId="78701032">
      <w:pPr>
        <w:spacing w:line="440" w:lineRule="exact"/>
        <w:ind w:firstLine="480"/>
        <w:rPr>
          <w:rFonts w:cs="宋体"/>
          <w:color w:val="auto"/>
          <w:highlight w:val="none"/>
        </w:rPr>
      </w:pPr>
      <w:r>
        <w:rPr>
          <w:rFonts w:hint="eastAsia" w:cs="宋体"/>
          <w:color w:val="auto"/>
          <w:highlight w:val="none"/>
        </w:rPr>
        <w:t>1.确定</w:t>
      </w:r>
      <w:r>
        <w:rPr>
          <w:rFonts w:hint="eastAsia" w:cs="宋体"/>
          <w:color w:val="auto"/>
          <w:highlight w:val="none"/>
          <w:lang w:eastAsia="zh-CN"/>
        </w:rPr>
        <w:t>中标人</w:t>
      </w:r>
      <w:r>
        <w:rPr>
          <w:rFonts w:hint="eastAsia" w:cs="宋体"/>
          <w:color w:val="auto"/>
          <w:highlight w:val="none"/>
        </w:rPr>
        <w:t>。本项目由招标人确定</w:t>
      </w:r>
      <w:r>
        <w:rPr>
          <w:rFonts w:hint="eastAsia" w:cs="宋体"/>
          <w:color w:val="auto"/>
          <w:highlight w:val="none"/>
          <w:lang w:eastAsia="zh-CN"/>
        </w:rPr>
        <w:t>中标人</w:t>
      </w:r>
      <w:r>
        <w:rPr>
          <w:rFonts w:hint="eastAsia" w:cs="宋体"/>
          <w:color w:val="auto"/>
          <w:highlight w:val="none"/>
        </w:rPr>
        <w:t>。</w:t>
      </w:r>
    </w:p>
    <w:p w14:paraId="0D4C2239">
      <w:pPr>
        <w:spacing w:line="440" w:lineRule="exact"/>
        <w:ind w:firstLine="480"/>
        <w:rPr>
          <w:rFonts w:cs="宋体"/>
          <w:color w:val="auto"/>
          <w:highlight w:val="none"/>
        </w:rPr>
      </w:pPr>
      <w:r>
        <w:rPr>
          <w:rFonts w:hint="eastAsia" w:cs="宋体"/>
          <w:color w:val="auto"/>
          <w:highlight w:val="none"/>
        </w:rPr>
        <w:t>2.招标代理机构在评标结束后2个工作日内将评标报告交招标人确认。</w:t>
      </w:r>
    </w:p>
    <w:p w14:paraId="2D76B128">
      <w:pPr>
        <w:spacing w:line="440" w:lineRule="exact"/>
        <w:ind w:firstLine="480"/>
        <w:rPr>
          <w:rFonts w:cs="宋体"/>
          <w:color w:val="auto"/>
          <w:highlight w:val="none"/>
        </w:rPr>
      </w:pPr>
      <w:r>
        <w:rPr>
          <w:rFonts w:hint="eastAsia" w:cs="宋体"/>
          <w:color w:val="auto"/>
          <w:highlight w:val="none"/>
        </w:rPr>
        <w:t>3.招标人自收到评审报告之日起5个工作日内通过电子交易平台在评审报告推荐的中标候选人中按顺序确定中标人。中标候选人并列的，由招标人或者招标人委托评标委员会按照招标文件规定的方式确定</w:t>
      </w:r>
      <w:r>
        <w:rPr>
          <w:rFonts w:hint="eastAsia" w:cs="宋体"/>
          <w:color w:val="auto"/>
          <w:highlight w:val="none"/>
          <w:lang w:eastAsia="zh-CN"/>
        </w:rPr>
        <w:t>中标人</w:t>
      </w:r>
      <w:r>
        <w:rPr>
          <w:rFonts w:hint="eastAsia" w:cs="宋体"/>
          <w:color w:val="auto"/>
          <w:highlight w:val="none"/>
        </w:rPr>
        <w:t>；招标文件未规定的，采取随机抽取的方式确定。</w:t>
      </w:r>
    </w:p>
    <w:p w14:paraId="1D811E1F">
      <w:pPr>
        <w:spacing w:line="440" w:lineRule="exact"/>
        <w:ind w:firstLine="480"/>
        <w:rPr>
          <w:rFonts w:cs="宋体"/>
          <w:color w:val="auto"/>
          <w:highlight w:val="none"/>
        </w:rPr>
      </w:pPr>
      <w:r>
        <w:rPr>
          <w:rFonts w:hint="eastAsia" w:cs="宋体"/>
          <w:color w:val="auto"/>
          <w:highlight w:val="none"/>
        </w:rPr>
        <w:t>4.招标人在收到评标报告5个工作日内未按评标报告推荐的中标候选人顺序确定</w:t>
      </w:r>
      <w:r>
        <w:rPr>
          <w:rFonts w:hint="eastAsia" w:cs="宋体"/>
          <w:color w:val="auto"/>
          <w:highlight w:val="none"/>
          <w:lang w:eastAsia="zh-CN"/>
        </w:rPr>
        <w:t>中标人</w:t>
      </w:r>
      <w:r>
        <w:rPr>
          <w:rFonts w:hint="eastAsia" w:cs="宋体"/>
          <w:color w:val="auto"/>
          <w:highlight w:val="none"/>
        </w:rPr>
        <w:t>，又不能说明合法理由的，视同按评标报告推荐的顺序确定排名第一的中标候选人为</w:t>
      </w:r>
      <w:r>
        <w:rPr>
          <w:rFonts w:hint="eastAsia" w:cs="宋体"/>
          <w:color w:val="auto"/>
          <w:highlight w:val="none"/>
          <w:lang w:eastAsia="zh-CN"/>
        </w:rPr>
        <w:t>中标人</w:t>
      </w:r>
      <w:r>
        <w:rPr>
          <w:rFonts w:hint="eastAsia" w:cs="宋体"/>
          <w:color w:val="auto"/>
          <w:highlight w:val="none"/>
        </w:rPr>
        <w:t>。</w:t>
      </w:r>
    </w:p>
    <w:p w14:paraId="4B81CC7C">
      <w:pPr>
        <w:spacing w:line="440" w:lineRule="exact"/>
        <w:ind w:firstLine="480"/>
        <w:rPr>
          <w:rFonts w:cs="宋体"/>
          <w:color w:val="auto"/>
          <w:highlight w:val="none"/>
        </w:rPr>
      </w:pPr>
      <w:r>
        <w:rPr>
          <w:rFonts w:hint="eastAsia" w:cs="宋体"/>
          <w:color w:val="auto"/>
          <w:highlight w:val="none"/>
        </w:rPr>
        <w:t>5.招标人依法确定</w:t>
      </w:r>
      <w:r>
        <w:rPr>
          <w:rFonts w:hint="eastAsia" w:cs="宋体"/>
          <w:color w:val="auto"/>
          <w:highlight w:val="none"/>
          <w:lang w:eastAsia="zh-CN"/>
        </w:rPr>
        <w:t>中标人</w:t>
      </w:r>
      <w:r>
        <w:rPr>
          <w:rFonts w:hint="eastAsia" w:cs="宋体"/>
          <w:color w:val="auto"/>
          <w:highlight w:val="none"/>
        </w:rPr>
        <w:t>后2个工作日内，招标代理机构以书面形式发出《中标通知书》，并同时在相关网站上发布中标结果公告。</w:t>
      </w:r>
    </w:p>
    <w:p w14:paraId="21730EE3">
      <w:pPr>
        <w:pStyle w:val="4"/>
        <w:jc w:val="center"/>
        <w:rPr>
          <w:rFonts w:ascii="宋体" w:hAnsi="宋体" w:cs="宋体"/>
          <w:color w:val="auto"/>
          <w:sz w:val="24"/>
          <w:szCs w:val="24"/>
          <w:highlight w:val="none"/>
        </w:rPr>
      </w:pPr>
      <w:bookmarkStart w:id="80" w:name="_Toc30184"/>
      <w:r>
        <w:rPr>
          <w:rFonts w:hint="eastAsia" w:ascii="宋体" w:hAnsi="宋体" w:cs="宋体"/>
          <w:color w:val="auto"/>
          <w:sz w:val="24"/>
          <w:szCs w:val="24"/>
          <w:highlight w:val="none"/>
        </w:rPr>
        <w:t>第八节 授予合同</w:t>
      </w:r>
      <w:bookmarkEnd w:id="78"/>
      <w:bookmarkEnd w:id="79"/>
      <w:bookmarkEnd w:id="80"/>
    </w:p>
    <w:p w14:paraId="27F9BDFB">
      <w:pPr>
        <w:pStyle w:val="5"/>
        <w:rPr>
          <w:rFonts w:cs="宋体"/>
          <w:color w:val="auto"/>
          <w:szCs w:val="24"/>
          <w:highlight w:val="none"/>
        </w:rPr>
      </w:pPr>
      <w:r>
        <w:rPr>
          <w:rFonts w:hint="eastAsia" w:cs="宋体"/>
          <w:color w:val="auto"/>
          <w:szCs w:val="24"/>
          <w:highlight w:val="none"/>
        </w:rPr>
        <w:t>一、中标通知书</w:t>
      </w:r>
    </w:p>
    <w:p w14:paraId="3312B3A6">
      <w:pPr>
        <w:ind w:firstLine="480"/>
        <w:rPr>
          <w:rFonts w:cs="宋体"/>
          <w:color w:val="auto"/>
          <w:highlight w:val="none"/>
        </w:rPr>
      </w:pPr>
      <w:r>
        <w:rPr>
          <w:rFonts w:hint="eastAsia" w:cs="宋体"/>
          <w:color w:val="auto"/>
          <w:highlight w:val="none"/>
        </w:rPr>
        <w:t>1.确定</w:t>
      </w:r>
      <w:r>
        <w:rPr>
          <w:rFonts w:hint="eastAsia" w:cs="宋体"/>
          <w:color w:val="auto"/>
          <w:highlight w:val="none"/>
          <w:lang w:eastAsia="zh-CN"/>
        </w:rPr>
        <w:t>中标人</w:t>
      </w:r>
      <w:r>
        <w:rPr>
          <w:rFonts w:hint="eastAsia" w:cs="宋体"/>
          <w:color w:val="auto"/>
          <w:highlight w:val="none"/>
        </w:rPr>
        <w:t>后，招标代理机构将以书面形式发出中标通知书，通知中标的供应商其投标被接受；</w:t>
      </w:r>
    </w:p>
    <w:p w14:paraId="6259A4F7">
      <w:pPr>
        <w:ind w:firstLine="480"/>
        <w:rPr>
          <w:rFonts w:cs="宋体"/>
          <w:color w:val="auto"/>
          <w:highlight w:val="none"/>
        </w:rPr>
      </w:pPr>
      <w:r>
        <w:rPr>
          <w:rFonts w:hint="eastAsia" w:cs="宋体"/>
          <w:color w:val="auto"/>
          <w:highlight w:val="none"/>
        </w:rPr>
        <w:t>2.中标通知书为双方签订合同的依据；</w:t>
      </w:r>
    </w:p>
    <w:p w14:paraId="5E5D141E">
      <w:pPr>
        <w:ind w:firstLine="480"/>
        <w:rPr>
          <w:rFonts w:cs="宋体"/>
          <w:color w:val="auto"/>
          <w:highlight w:val="none"/>
        </w:rPr>
      </w:pPr>
      <w:r>
        <w:rPr>
          <w:rFonts w:hint="eastAsia" w:cs="宋体"/>
          <w:color w:val="auto"/>
          <w:highlight w:val="none"/>
        </w:rPr>
        <w:t>3.</w:t>
      </w:r>
      <w:r>
        <w:rPr>
          <w:rFonts w:hint="eastAsia" w:cs="宋体"/>
          <w:color w:val="auto"/>
          <w:highlight w:val="none"/>
          <w:lang w:eastAsia="zh-CN"/>
        </w:rPr>
        <w:t>中标人</w:t>
      </w:r>
      <w:r>
        <w:rPr>
          <w:rFonts w:hint="eastAsia" w:cs="宋体"/>
          <w:color w:val="auto"/>
          <w:highlight w:val="none"/>
        </w:rPr>
        <w:t>应根据中标通知书中规定的时间内，由法定代表人或其授权代理人与招标人签订合同。</w:t>
      </w:r>
    </w:p>
    <w:p w14:paraId="341EC858">
      <w:pPr>
        <w:pStyle w:val="5"/>
        <w:rPr>
          <w:rFonts w:cs="宋体"/>
          <w:color w:val="auto"/>
          <w:szCs w:val="24"/>
          <w:highlight w:val="none"/>
        </w:rPr>
      </w:pPr>
      <w:r>
        <w:rPr>
          <w:rFonts w:hint="eastAsia" w:cs="宋体"/>
          <w:color w:val="auto"/>
          <w:szCs w:val="24"/>
          <w:highlight w:val="none"/>
        </w:rPr>
        <w:t>二、签订合同</w:t>
      </w:r>
    </w:p>
    <w:p w14:paraId="143B13CE">
      <w:pPr>
        <w:widowControl/>
        <w:ind w:firstLine="480"/>
        <w:jc w:val="left"/>
        <w:rPr>
          <w:rFonts w:cs="宋体"/>
          <w:color w:val="auto"/>
          <w:highlight w:val="none"/>
        </w:rPr>
      </w:pPr>
      <w:r>
        <w:rPr>
          <w:rFonts w:hint="eastAsia" w:cs="宋体"/>
          <w:color w:val="auto"/>
          <w:kern w:val="0"/>
          <w:highlight w:val="none"/>
          <w:lang w:bidi="ar"/>
        </w:rPr>
        <w:t>1.招标人与中标人应当在《中标通知书》发出之日起</w:t>
      </w:r>
      <w:r>
        <w:rPr>
          <w:rFonts w:hint="eastAsia" w:cs="宋体"/>
          <w:color w:val="auto"/>
          <w:kern w:val="0"/>
          <w:highlight w:val="none"/>
          <w:lang w:val="en-US" w:eastAsia="zh-CN" w:bidi="ar"/>
        </w:rPr>
        <w:t>30</w:t>
      </w:r>
      <w:r>
        <w:rPr>
          <w:rFonts w:hint="eastAsia" w:cs="宋体"/>
          <w:color w:val="auto"/>
          <w:kern w:val="0"/>
          <w:highlight w:val="none"/>
          <w:lang w:bidi="ar"/>
        </w:rPr>
        <w:t>日</w:t>
      </w:r>
      <w:r>
        <w:rPr>
          <w:rFonts w:hint="eastAsia" w:cs="宋体"/>
          <w:color w:val="auto"/>
          <w:kern w:val="0"/>
          <w:highlight w:val="none"/>
          <w:lang w:eastAsia="zh-CN" w:bidi="ar"/>
        </w:rPr>
        <w:t>内</w:t>
      </w:r>
      <w:r>
        <w:rPr>
          <w:rFonts w:hint="eastAsia" w:cs="宋体"/>
          <w:color w:val="auto"/>
          <w:kern w:val="0"/>
          <w:highlight w:val="none"/>
          <w:lang w:bidi="ar"/>
        </w:rPr>
        <w:t xml:space="preserve">签订正式合同，明确双方权利、义务和违约责任。 </w:t>
      </w:r>
    </w:p>
    <w:p w14:paraId="03E14F5E">
      <w:pPr>
        <w:widowControl/>
        <w:ind w:firstLine="480"/>
        <w:jc w:val="left"/>
        <w:rPr>
          <w:rFonts w:cs="宋体"/>
          <w:color w:val="auto"/>
          <w:highlight w:val="none"/>
        </w:rPr>
      </w:pPr>
      <w:r>
        <w:rPr>
          <w:rFonts w:hint="eastAsia" w:cs="宋体"/>
          <w:color w:val="auto"/>
          <w:kern w:val="0"/>
          <w:highlight w:val="none"/>
          <w:lang w:bidi="ar"/>
        </w:rPr>
        <w:t xml:space="preserve">2.中标人接到中标通知书后，在规定时间内借故否认已经承诺的条件而拒签合同的， 以违约处理，其中标资格将被取消。 </w:t>
      </w:r>
    </w:p>
    <w:p w14:paraId="78722390">
      <w:pPr>
        <w:widowControl/>
        <w:ind w:firstLine="480"/>
        <w:jc w:val="left"/>
        <w:rPr>
          <w:rFonts w:cs="宋体"/>
          <w:color w:val="auto"/>
          <w:highlight w:val="none"/>
        </w:rPr>
      </w:pPr>
      <w:r>
        <w:rPr>
          <w:rFonts w:hint="eastAsia" w:cs="宋体"/>
          <w:color w:val="auto"/>
          <w:kern w:val="0"/>
          <w:highlight w:val="none"/>
          <w:lang w:bidi="ar"/>
        </w:rPr>
        <w:t xml:space="preserve">3.中标候选人放弃中标；因不可抗力提出不能履行合同；或者招标文件规定应当提交 </w:t>
      </w:r>
    </w:p>
    <w:p w14:paraId="5D629E86">
      <w:pPr>
        <w:widowControl/>
        <w:ind w:firstLine="0" w:firstLineChars="0"/>
        <w:jc w:val="left"/>
        <w:rPr>
          <w:rFonts w:cs="宋体"/>
          <w:color w:val="auto"/>
          <w:highlight w:val="none"/>
        </w:rPr>
      </w:pPr>
      <w:r>
        <w:rPr>
          <w:rFonts w:hint="eastAsia" w:cs="宋体"/>
          <w:color w:val="auto"/>
          <w:kern w:val="0"/>
          <w:highlight w:val="none"/>
          <w:lang w:bidi="ar"/>
        </w:rPr>
        <w:t>履约保证金、承诺要求等而在规定的期限内未能提交的；或未能在规定时间内与招标人签订合同的；或者经质疑，招标人审查后，确因中标候选人在本次</w:t>
      </w:r>
      <w:r>
        <w:rPr>
          <w:rFonts w:hint="eastAsia" w:cs="宋体"/>
          <w:color w:val="auto"/>
          <w:highlight w:val="none"/>
        </w:rPr>
        <w:t>招标</w:t>
      </w:r>
      <w:r>
        <w:rPr>
          <w:rFonts w:hint="eastAsia" w:cs="宋体"/>
          <w:color w:val="auto"/>
          <w:kern w:val="0"/>
          <w:highlight w:val="none"/>
          <w:lang w:bidi="ar"/>
        </w:rPr>
        <w:t>活动中存在违法违规行为或其他原因使质疑成立的，招标人可视情况确定是否由第二有效中标候选人替补，</w:t>
      </w:r>
      <w:r>
        <w:rPr>
          <w:rFonts w:hint="eastAsia" w:cs="宋体"/>
          <w:color w:val="auto"/>
          <w:highlight w:val="none"/>
        </w:rPr>
        <w:t>也可以重新开展招标活动。</w:t>
      </w:r>
    </w:p>
    <w:p w14:paraId="5FBECD5E">
      <w:pPr>
        <w:widowControl/>
        <w:ind w:firstLine="480"/>
        <w:jc w:val="left"/>
        <w:rPr>
          <w:rFonts w:cs="宋体"/>
          <w:color w:val="auto"/>
          <w:highlight w:val="none"/>
        </w:rPr>
      </w:pPr>
      <w:r>
        <w:rPr>
          <w:rFonts w:hint="eastAsia" w:cs="宋体"/>
          <w:color w:val="auto"/>
          <w:kern w:val="0"/>
          <w:highlight w:val="none"/>
          <w:lang w:bidi="ar"/>
        </w:rPr>
        <w:t xml:space="preserve">4.招标文件、中标人的投标文件、投标修改文件、评标过程中有关澄清文件及经投标 </w:t>
      </w:r>
    </w:p>
    <w:p w14:paraId="27FE0EC2">
      <w:pPr>
        <w:widowControl/>
        <w:ind w:firstLine="0" w:firstLineChars="0"/>
        <w:jc w:val="left"/>
        <w:rPr>
          <w:rFonts w:cs="宋体"/>
          <w:color w:val="auto"/>
          <w:kern w:val="0"/>
          <w:highlight w:val="none"/>
          <w:lang w:bidi="ar"/>
        </w:rPr>
      </w:pPr>
      <w:r>
        <w:rPr>
          <w:rFonts w:hint="eastAsia" w:cs="宋体"/>
          <w:color w:val="auto"/>
          <w:kern w:val="0"/>
          <w:highlight w:val="none"/>
          <w:lang w:bidi="ar"/>
        </w:rPr>
        <w:t>人和评委双方签字的询标记录和中标通知书均作为签订合同依据。</w:t>
      </w:r>
    </w:p>
    <w:p w14:paraId="708DCB06">
      <w:pPr>
        <w:pStyle w:val="4"/>
        <w:jc w:val="center"/>
        <w:rPr>
          <w:rFonts w:ascii="宋体" w:hAnsi="宋体" w:cs="宋体"/>
          <w:color w:val="auto"/>
          <w:sz w:val="24"/>
          <w:szCs w:val="24"/>
          <w:highlight w:val="none"/>
        </w:rPr>
      </w:pPr>
      <w:bookmarkStart w:id="81" w:name="_Toc12481"/>
      <w:bookmarkStart w:id="82" w:name="_Toc15220"/>
      <w:bookmarkStart w:id="83" w:name="_Toc24973"/>
      <w:r>
        <w:rPr>
          <w:rFonts w:hint="eastAsia" w:ascii="宋体" w:hAnsi="宋体" w:cs="宋体"/>
          <w:color w:val="auto"/>
          <w:sz w:val="24"/>
          <w:szCs w:val="24"/>
          <w:highlight w:val="none"/>
        </w:rPr>
        <w:t xml:space="preserve">第九节 </w:t>
      </w:r>
      <w:bookmarkEnd w:id="81"/>
      <w:bookmarkEnd w:id="82"/>
      <w:r>
        <w:rPr>
          <w:rFonts w:hint="eastAsia" w:cs="宋体"/>
          <w:color w:val="auto"/>
          <w:sz w:val="24"/>
          <w:szCs w:val="24"/>
          <w:highlight w:val="none"/>
        </w:rPr>
        <w:t>电子交易活动的中止</w:t>
      </w:r>
      <w:bookmarkEnd w:id="83"/>
    </w:p>
    <w:p w14:paraId="24C4D83A">
      <w:pPr>
        <w:pStyle w:val="5"/>
        <w:rPr>
          <w:color w:val="auto"/>
          <w:highlight w:val="none"/>
        </w:rPr>
      </w:pPr>
      <w:r>
        <w:rPr>
          <w:rFonts w:hint="eastAsia"/>
          <w:color w:val="auto"/>
          <w:highlight w:val="none"/>
        </w:rPr>
        <w:t>一、例外处理</w:t>
      </w:r>
    </w:p>
    <w:p w14:paraId="38908785">
      <w:pPr>
        <w:ind w:firstLine="480"/>
        <w:rPr>
          <w:rFonts w:cs="宋体"/>
          <w:color w:val="auto"/>
          <w:highlight w:val="none"/>
        </w:rPr>
      </w:pPr>
      <w:r>
        <w:rPr>
          <w:rFonts w:hint="eastAsia" w:cs="宋体"/>
          <w:color w:val="auto"/>
          <w:highlight w:val="none"/>
        </w:rPr>
        <w:t>投标截止时间结束后或评审过程中参加标项投标的投标人不足三家的，除招标任务取消情形外，招标人可选择以下方式之一处理：</w:t>
      </w:r>
    </w:p>
    <w:p w14:paraId="7243D9F9">
      <w:pPr>
        <w:ind w:firstLine="480"/>
        <w:rPr>
          <w:rFonts w:cs="宋体"/>
          <w:color w:val="auto"/>
          <w:highlight w:val="none"/>
        </w:rPr>
      </w:pPr>
      <w:r>
        <w:rPr>
          <w:rFonts w:hint="eastAsia" w:cs="宋体"/>
          <w:color w:val="auto"/>
          <w:highlight w:val="none"/>
        </w:rPr>
        <w:t>1.可将本标项作废标处理，重新组织招标；</w:t>
      </w:r>
    </w:p>
    <w:p w14:paraId="2FE924E7">
      <w:pPr>
        <w:ind w:firstLine="480"/>
        <w:rPr>
          <w:rFonts w:cs="宋体"/>
          <w:color w:val="auto"/>
          <w:highlight w:val="none"/>
        </w:rPr>
      </w:pPr>
      <w:r>
        <w:rPr>
          <w:rFonts w:hint="eastAsia" w:cs="宋体"/>
          <w:color w:val="auto"/>
          <w:highlight w:val="none"/>
        </w:rPr>
        <w:t>2.可按相关监督部门审批意见采用其他采购方式组织采购。</w:t>
      </w:r>
    </w:p>
    <w:p w14:paraId="269203FA">
      <w:pPr>
        <w:pStyle w:val="5"/>
        <w:rPr>
          <w:color w:val="auto"/>
          <w:highlight w:val="none"/>
        </w:rPr>
      </w:pPr>
      <w:r>
        <w:rPr>
          <w:rFonts w:hint="eastAsia"/>
          <w:color w:val="auto"/>
          <w:highlight w:val="none"/>
        </w:rPr>
        <w:t>二、电子交易活动的中止</w:t>
      </w:r>
    </w:p>
    <w:p w14:paraId="74D699EC">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采购过程中出现以下情形，导致电子交易平台无法正常运行，或者无法保证电子交易的公平、公正和安全时，招标代理机构可中止电子交易活动：</w:t>
      </w:r>
    </w:p>
    <w:p w14:paraId="631C7672">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3A2F676D">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3744B375">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4DC8A10D">
      <w:pPr>
        <w:pStyle w:val="143"/>
        <w:snapToGrid w:val="0"/>
        <w:spacing w:before="0"/>
        <w:ind w:firstLine="48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41B117F5">
      <w:pPr>
        <w:pStyle w:val="143"/>
        <w:snapToGrid w:val="0"/>
        <w:spacing w:before="0"/>
        <w:ind w:firstLine="48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14:paraId="7E03ECBA">
      <w:pPr>
        <w:pStyle w:val="143"/>
        <w:snapToGrid w:val="0"/>
        <w:spacing w:before="0"/>
        <w:ind w:firstLine="480" w:firstLineChars="0"/>
        <w:rPr>
          <w:rFonts w:ascii="宋体" w:hAnsi="宋体" w:cs="宋体"/>
          <w:color w:val="auto"/>
          <w:highlight w:val="none"/>
        </w:rPr>
      </w:pPr>
      <w:r>
        <w:rPr>
          <w:rFonts w:hint="eastAsia" w:ascii="宋体" w:hAnsi="宋体" w:cs="宋体"/>
          <w:color w:val="auto"/>
          <w:highlight w:val="none"/>
        </w:rPr>
        <w:t>6.出现以上情形，不影响采购公平、公正性的，采购组织机构可以待上述情形消除后继续组织电子交易活动，也可以决定某些环节以纸质形式进行；影响或可能影响采购公平、公正性的，应当重新组织采购。</w:t>
      </w:r>
    </w:p>
    <w:p w14:paraId="5FDFA4F3">
      <w:pPr>
        <w:numPr>
          <w:ilvl w:val="0"/>
          <w:numId w:val="7"/>
        </w:numPr>
        <w:ind w:firstLine="480"/>
        <w:rPr>
          <w:color w:val="auto"/>
          <w:highlight w:val="none"/>
        </w:rPr>
        <w:sectPr>
          <w:pgSz w:w="11906" w:h="16838"/>
          <w:pgMar w:top="1440" w:right="1080" w:bottom="1440" w:left="1080" w:header="170" w:footer="567" w:gutter="0"/>
          <w:pgNumType w:fmt="decimal"/>
          <w:cols w:space="720" w:num="1"/>
          <w:docGrid w:linePitch="381" w:charSpace="0"/>
        </w:sectPr>
      </w:pPr>
    </w:p>
    <w:p w14:paraId="74E70353">
      <w:pPr>
        <w:pStyle w:val="3"/>
        <w:rPr>
          <w:rFonts w:cs="宋体"/>
          <w:color w:val="auto"/>
          <w:szCs w:val="32"/>
          <w:highlight w:val="none"/>
        </w:rPr>
      </w:pPr>
      <w:bookmarkStart w:id="84" w:name="_Toc82338233"/>
      <w:bookmarkStart w:id="85" w:name="_Toc450840079"/>
      <w:bookmarkStart w:id="86" w:name="_Toc82873316"/>
      <w:bookmarkStart w:id="87" w:name="_Toc32498"/>
      <w:bookmarkStart w:id="88" w:name="_Toc20600"/>
      <w:r>
        <w:rPr>
          <w:rFonts w:hint="eastAsia" w:cs="宋体"/>
          <w:color w:val="auto"/>
          <w:szCs w:val="32"/>
          <w:highlight w:val="none"/>
        </w:rPr>
        <w:t xml:space="preserve">第四章 </w:t>
      </w:r>
      <w:bookmarkEnd w:id="84"/>
      <w:bookmarkEnd w:id="85"/>
      <w:bookmarkEnd w:id="86"/>
      <w:r>
        <w:rPr>
          <w:rFonts w:hint="eastAsia" w:cs="宋体"/>
          <w:color w:val="auto"/>
          <w:szCs w:val="32"/>
          <w:highlight w:val="none"/>
        </w:rPr>
        <w:t>评标办法及评分标准</w:t>
      </w:r>
      <w:bookmarkEnd w:id="87"/>
      <w:bookmarkEnd w:id="88"/>
    </w:p>
    <w:p w14:paraId="0FB54AE1">
      <w:pPr>
        <w:pStyle w:val="4"/>
        <w:rPr>
          <w:rFonts w:ascii="宋体" w:hAnsi="宋体" w:cs="宋体"/>
          <w:color w:val="auto"/>
          <w:sz w:val="24"/>
          <w:szCs w:val="24"/>
          <w:highlight w:val="none"/>
        </w:rPr>
      </w:pPr>
      <w:bookmarkStart w:id="89" w:name="_Toc13943"/>
      <w:bookmarkStart w:id="90" w:name="OLE_LINK3"/>
      <w:bookmarkStart w:id="91" w:name="_Toc11391"/>
      <w:bookmarkStart w:id="92" w:name="_Toc3811"/>
      <w:bookmarkStart w:id="93" w:name="_Toc3110"/>
      <w:r>
        <w:rPr>
          <w:rFonts w:hint="eastAsia" w:ascii="宋体" w:hAnsi="宋体" w:cs="宋体"/>
          <w:color w:val="auto"/>
          <w:sz w:val="24"/>
          <w:szCs w:val="24"/>
          <w:highlight w:val="none"/>
        </w:rPr>
        <w:t>一、评分总则</w:t>
      </w:r>
      <w:bookmarkEnd w:id="89"/>
    </w:p>
    <w:p w14:paraId="5A56E8EE">
      <w:pPr>
        <w:ind w:firstLine="480"/>
        <w:rPr>
          <w:rFonts w:cs="宋体"/>
          <w:color w:val="auto"/>
          <w:highlight w:val="none"/>
        </w:rPr>
      </w:pPr>
      <w:r>
        <w:rPr>
          <w:rFonts w:hint="eastAsia" w:cs="宋体"/>
          <w:color w:val="auto"/>
          <w:highlight w:val="none"/>
        </w:rPr>
        <w:t>以招标文件要求为基础，考虑各项相关因素的影响，将相关因素以定量计算的办法转换成分数表示形式，以最高“评标分数”确定评标结果顺序。</w:t>
      </w:r>
    </w:p>
    <w:p w14:paraId="1B3EC6AC">
      <w:pPr>
        <w:ind w:firstLine="480"/>
        <w:rPr>
          <w:rFonts w:cs="宋体"/>
          <w:color w:val="auto"/>
          <w:highlight w:val="none"/>
        </w:rPr>
      </w:pPr>
      <w:r>
        <w:rPr>
          <w:rFonts w:hint="eastAsia" w:cs="宋体"/>
          <w:color w:val="auto"/>
          <w:highlight w:val="none"/>
        </w:rPr>
        <w:t>本次招标的评标采用</w:t>
      </w:r>
      <w:r>
        <w:rPr>
          <w:rFonts w:hint="eastAsia" w:cs="宋体"/>
          <w:b/>
          <w:color w:val="auto"/>
          <w:highlight w:val="none"/>
        </w:rPr>
        <w:t>综合评分法</w:t>
      </w:r>
      <w:r>
        <w:rPr>
          <w:rFonts w:hint="eastAsia" w:cs="宋体"/>
          <w:color w:val="auto"/>
          <w:highlight w:val="none"/>
        </w:rPr>
        <w:t>。</w:t>
      </w:r>
    </w:p>
    <w:bookmarkEnd w:id="90"/>
    <w:bookmarkEnd w:id="91"/>
    <w:bookmarkEnd w:id="92"/>
    <w:bookmarkEnd w:id="93"/>
    <w:p w14:paraId="09E8026F">
      <w:pPr>
        <w:ind w:firstLine="480"/>
        <w:rPr>
          <w:rFonts w:cs="宋体"/>
          <w:color w:val="auto"/>
          <w:highlight w:val="none"/>
        </w:rPr>
      </w:pPr>
      <w:bookmarkStart w:id="94" w:name="_Toc450840083"/>
      <w:bookmarkStart w:id="95" w:name="_Toc82338234"/>
      <w:bookmarkStart w:id="96" w:name="_Toc82873317"/>
      <w:r>
        <w:rPr>
          <w:rFonts w:hint="eastAsia" w:cs="宋体"/>
          <w:color w:val="auto"/>
          <w:highlight w:val="none"/>
        </w:rPr>
        <w:t>评标总分为100分，合格投标人的评标得分为各项目汇总得分，中标候选资格按评标得分由高到低顺序排列，得分相同的，按投标报价由低到高顺序排列。得分且投标报价相同，按技术分由高到低顺序排列。报价、技术分以及总得分相同的，按现场随机抽取的形式确定第一中标候选人，投标文件满足招标文件全部实质性要求，且按照评审因素的量化指标评审得分最高的投标人为排名第一的中标候选人，得分次高的投标人为排名第二的中标候选人。</w:t>
      </w:r>
    </w:p>
    <w:p w14:paraId="7D6F52A0">
      <w:pPr>
        <w:ind w:firstLine="480"/>
        <w:rPr>
          <w:rFonts w:cs="宋体"/>
          <w:color w:val="auto"/>
          <w:highlight w:val="none"/>
        </w:rPr>
      </w:pPr>
      <w:r>
        <w:rPr>
          <w:rFonts w:hint="eastAsia" w:cs="宋体"/>
          <w:color w:val="auto"/>
          <w:highlight w:val="none"/>
        </w:rPr>
        <w:t>评分过程中采用四舍五入法，并保留小数2位</w:t>
      </w:r>
    </w:p>
    <w:p w14:paraId="768929B9">
      <w:pPr>
        <w:ind w:firstLine="480"/>
        <w:rPr>
          <w:rFonts w:cs="宋体"/>
          <w:color w:val="auto"/>
          <w:highlight w:val="none"/>
        </w:rPr>
      </w:pPr>
      <w:r>
        <w:rPr>
          <w:rFonts w:hint="eastAsia" w:cs="宋体"/>
          <w:color w:val="auto"/>
          <w:highlight w:val="none"/>
        </w:rPr>
        <w:t>投标人评标综合得分=商务、技术及资信分+价格分</w:t>
      </w:r>
    </w:p>
    <w:p w14:paraId="61E646DB">
      <w:pPr>
        <w:ind w:firstLine="480"/>
        <w:rPr>
          <w:rFonts w:cs="宋体"/>
          <w:color w:val="auto"/>
          <w:highlight w:val="none"/>
        </w:rPr>
      </w:pPr>
      <w:r>
        <w:rPr>
          <w:rFonts w:hint="eastAsia" w:cs="宋体"/>
          <w:color w:val="auto"/>
          <w:highlight w:val="none"/>
        </w:rPr>
        <w:t>商务、技术及资信分按照评标委员会成员的独立评分结果的算术平均分计算，计算公式为：</w:t>
      </w:r>
    </w:p>
    <w:p w14:paraId="7324F909">
      <w:pPr>
        <w:ind w:firstLine="480"/>
        <w:rPr>
          <w:rFonts w:cs="宋体"/>
          <w:color w:val="auto"/>
          <w:highlight w:val="none"/>
        </w:rPr>
      </w:pPr>
      <w:r>
        <w:rPr>
          <w:rFonts w:hint="eastAsia" w:cs="宋体"/>
          <w:color w:val="auto"/>
          <w:highlight w:val="none"/>
        </w:rPr>
        <w:t>商务、技术及资信分=（评标委员会所有成员评分合计数）/（评标委员会组成人员数）</w:t>
      </w:r>
    </w:p>
    <w:p w14:paraId="69221303">
      <w:pPr>
        <w:pStyle w:val="4"/>
        <w:rPr>
          <w:rFonts w:ascii="宋体" w:hAnsi="宋体" w:cs="宋体"/>
          <w:color w:val="auto"/>
          <w:sz w:val="24"/>
          <w:szCs w:val="24"/>
          <w:highlight w:val="none"/>
        </w:rPr>
      </w:pPr>
      <w:bookmarkStart w:id="97" w:name="_Toc3775"/>
      <w:bookmarkStart w:id="98" w:name="_Toc7789"/>
      <w:r>
        <w:rPr>
          <w:rFonts w:hint="eastAsia" w:ascii="宋体" w:hAnsi="宋体" w:cs="宋体"/>
          <w:color w:val="auto"/>
          <w:sz w:val="24"/>
          <w:szCs w:val="24"/>
          <w:highlight w:val="none"/>
        </w:rPr>
        <w:t>二、评分内容及标准</w:t>
      </w:r>
      <w:bookmarkEnd w:id="97"/>
      <w:bookmarkEnd w:id="98"/>
    </w:p>
    <w:p w14:paraId="52C1CCD6">
      <w:pPr>
        <w:ind w:firstLine="480"/>
        <w:rPr>
          <w:rFonts w:cs="宋体"/>
          <w:color w:val="auto"/>
          <w:highlight w:val="none"/>
        </w:rPr>
      </w:pPr>
      <w:r>
        <w:rPr>
          <w:rFonts w:hint="eastAsia" w:cs="宋体"/>
          <w:color w:val="auto"/>
          <w:highlight w:val="none"/>
        </w:rPr>
        <w:t>本评标标准是对“投标人须知”中</w:t>
      </w:r>
      <w:r>
        <w:rPr>
          <w:rFonts w:hint="eastAsia" w:cs="宋体"/>
          <w:b/>
          <w:bCs/>
          <w:color w:val="auto"/>
          <w:highlight w:val="none"/>
        </w:rPr>
        <w:t>“第五节-开标”</w:t>
      </w:r>
      <w:r>
        <w:rPr>
          <w:rFonts w:hint="eastAsia" w:cs="宋体"/>
          <w:color w:val="auto"/>
          <w:highlight w:val="none"/>
        </w:rPr>
        <w:t>、</w:t>
      </w:r>
      <w:r>
        <w:rPr>
          <w:rFonts w:hint="eastAsia" w:cs="宋体"/>
          <w:b/>
          <w:bCs/>
          <w:color w:val="auto"/>
          <w:highlight w:val="none"/>
        </w:rPr>
        <w:t>“第六节-评标”</w:t>
      </w:r>
      <w:r>
        <w:rPr>
          <w:rFonts w:hint="eastAsia" w:cs="宋体"/>
          <w:color w:val="auto"/>
          <w:highlight w:val="none"/>
        </w:rPr>
        <w:t>以及其他相关条款的具体补充，如有矛盾，以本评标标准为准：</w:t>
      </w:r>
    </w:p>
    <w:p w14:paraId="2441C42F">
      <w:pPr>
        <w:autoSpaceDE w:val="0"/>
        <w:autoSpaceDN w:val="0"/>
        <w:adjustRightInd w:val="0"/>
        <w:ind w:firstLine="0" w:firstLineChars="0"/>
        <w:rPr>
          <w:rFonts w:cs="宋体"/>
          <w:b/>
          <w:color w:val="auto"/>
          <w:highlight w:val="none"/>
        </w:rPr>
      </w:pPr>
      <w:r>
        <w:rPr>
          <w:rFonts w:hint="eastAsia" w:cs="宋体"/>
          <w:b/>
          <w:color w:val="auto"/>
          <w:highlight w:val="none"/>
        </w:rPr>
        <w:t>（一）价格分（</w:t>
      </w:r>
      <w:r>
        <w:rPr>
          <w:rFonts w:hint="eastAsia" w:cs="宋体"/>
          <w:b/>
          <w:color w:val="auto"/>
          <w:highlight w:val="none"/>
          <w:lang w:val="en-US" w:eastAsia="zh-CN"/>
        </w:rPr>
        <w:t>4</w:t>
      </w:r>
      <w:r>
        <w:rPr>
          <w:rFonts w:hint="eastAsia" w:cs="宋体"/>
          <w:b/>
          <w:color w:val="auto"/>
          <w:highlight w:val="none"/>
        </w:rPr>
        <w:t>0分）</w:t>
      </w:r>
    </w:p>
    <w:p w14:paraId="2772D1A1">
      <w:pPr>
        <w:autoSpaceDE w:val="0"/>
        <w:autoSpaceDN w:val="0"/>
        <w:adjustRightInd w:val="0"/>
        <w:ind w:firstLine="482"/>
        <w:rPr>
          <w:rFonts w:cs="宋体"/>
          <w:color w:val="auto"/>
          <w:highlight w:val="none"/>
          <w:lang w:val="zh-CN"/>
        </w:rPr>
      </w:pPr>
      <w:r>
        <w:rPr>
          <w:rFonts w:hint="eastAsia" w:cs="宋体"/>
          <w:b/>
          <w:color w:val="auto"/>
          <w:highlight w:val="none"/>
        </w:rPr>
        <w:t>投标价格的合理性</w:t>
      </w:r>
      <w:r>
        <w:rPr>
          <w:rFonts w:hint="eastAsia" w:cs="宋体"/>
          <w:color w:val="auto"/>
          <w:highlight w:val="none"/>
        </w:rPr>
        <w:t>：</w:t>
      </w:r>
      <w:r>
        <w:rPr>
          <w:rFonts w:hint="eastAsia" w:cs="宋体"/>
          <w:color w:val="auto"/>
          <w:highlight w:val="none"/>
          <w:lang w:val="zh-CN"/>
        </w:rPr>
        <w:t>分析总报价及各个分项报价是否合理，报价范围是否完整，有否重大错漏项。</w:t>
      </w:r>
      <w:r>
        <w:rPr>
          <w:rFonts w:hint="eastAsia"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97ED65">
      <w:pPr>
        <w:widowControl/>
        <w:ind w:firstLine="480"/>
        <w:jc w:val="left"/>
        <w:rPr>
          <w:rFonts w:cs="宋体"/>
          <w:color w:val="auto"/>
          <w:kern w:val="0"/>
          <w:highlight w:val="none"/>
        </w:rPr>
      </w:pPr>
      <w:r>
        <w:rPr>
          <w:rFonts w:hint="eastAsia" w:cs="宋体"/>
          <w:color w:val="auto"/>
          <w:highlight w:val="none"/>
          <w:lang w:val="zh-CN"/>
        </w:rPr>
        <w:t>价格分计算方法：</w:t>
      </w:r>
      <w:r>
        <w:rPr>
          <w:rFonts w:hint="eastAsia" w:cs="宋体"/>
          <w:color w:val="auto"/>
          <w:kern w:val="0"/>
          <w:highlight w:val="none"/>
        </w:rPr>
        <w:t>有效投标报价的最低价作为评标基准价，其最低报价为满分；其他投标人的价格分按［投标报价得分=（评标基准价/投标报价）*</w:t>
      </w:r>
      <w:r>
        <w:rPr>
          <w:rFonts w:hint="eastAsia" w:cs="宋体"/>
          <w:color w:val="auto"/>
          <w:kern w:val="0"/>
          <w:highlight w:val="none"/>
          <w:lang w:val="en-US" w:eastAsia="zh-CN"/>
        </w:rPr>
        <w:t>4</w:t>
      </w:r>
      <w:r>
        <w:rPr>
          <w:rFonts w:hint="eastAsia" w:cs="宋体"/>
          <w:color w:val="auto"/>
          <w:kern w:val="0"/>
          <w:highlight w:val="none"/>
        </w:rPr>
        <w:t>0%*100］的计算公式计算。</w:t>
      </w:r>
    </w:p>
    <w:p w14:paraId="18780B21">
      <w:pPr>
        <w:widowControl/>
        <w:ind w:firstLine="480"/>
        <w:jc w:val="left"/>
        <w:rPr>
          <w:rFonts w:cs="宋体"/>
          <w:color w:val="auto"/>
          <w:kern w:val="0"/>
          <w:highlight w:val="none"/>
        </w:rPr>
      </w:pPr>
      <w:r>
        <w:rPr>
          <w:rFonts w:hint="eastAsia" w:cs="宋体"/>
          <w:color w:val="auto"/>
          <w:kern w:val="0"/>
          <w:highlight w:val="none"/>
        </w:rPr>
        <w:t>评标过程中，不得去掉报价中的最高报价和最低报价。</w:t>
      </w:r>
    </w:p>
    <w:p w14:paraId="28BA29D2">
      <w:pPr>
        <w:pStyle w:val="6"/>
        <w:ind w:firstLine="480"/>
        <w:rPr>
          <w:b w:val="0"/>
          <w:bCs w:val="0"/>
          <w:color w:val="auto"/>
          <w:highlight w:val="none"/>
        </w:rPr>
      </w:pPr>
      <w:r>
        <w:rPr>
          <w:rFonts w:hint="eastAsia" w:cs="宋体"/>
          <w:b w:val="0"/>
          <w:bCs w:val="0"/>
          <w:color w:val="auto"/>
          <w:highlight w:val="none"/>
        </w:rPr>
        <w:t>投标报价超过预算金额或最高限价（不含本数）的为无效报价。</w:t>
      </w:r>
    </w:p>
    <w:p w14:paraId="044C4DFA">
      <w:pPr>
        <w:adjustRightInd w:val="0"/>
        <w:snapToGrid w:val="0"/>
        <w:ind w:firstLine="480"/>
        <w:rPr>
          <w:rFonts w:cs="宋体"/>
          <w:color w:val="auto"/>
          <w:highlight w:val="none"/>
          <w:u w:val="single"/>
        </w:rPr>
      </w:pPr>
      <w:r>
        <w:rPr>
          <w:rFonts w:hint="eastAsia" w:cs="宋体"/>
          <w:color w:val="auto"/>
          <w:kern w:val="0"/>
          <w:highlight w:val="none"/>
        </w:rPr>
        <w:t>因落实促进中小企业采购政策需要进行价格调整的，以调整后的价格计算评标基准价和投标报价。</w:t>
      </w:r>
    </w:p>
    <w:p w14:paraId="5C544A1B">
      <w:pPr>
        <w:widowControl/>
        <w:snapToGrid w:val="0"/>
        <w:ind w:firstLine="0" w:firstLineChars="0"/>
        <w:jc w:val="left"/>
        <w:rPr>
          <w:rFonts w:hint="eastAsia" w:cs="宋体"/>
          <w:b/>
          <w:color w:val="auto"/>
          <w:position w:val="-30"/>
          <w:highlight w:val="none"/>
        </w:rPr>
      </w:pPr>
    </w:p>
    <w:p w14:paraId="71B6D086">
      <w:pPr>
        <w:widowControl/>
        <w:snapToGrid w:val="0"/>
        <w:ind w:firstLine="0" w:firstLineChars="0"/>
        <w:jc w:val="left"/>
        <w:rPr>
          <w:rFonts w:cs="宋体"/>
          <w:color w:val="auto"/>
          <w:highlight w:val="none"/>
        </w:rPr>
      </w:pPr>
      <w:r>
        <w:rPr>
          <w:rFonts w:hint="eastAsia" w:cs="宋体"/>
          <w:b/>
          <w:color w:val="auto"/>
          <w:position w:val="-30"/>
          <w:highlight w:val="none"/>
        </w:rPr>
        <w:t>（二）商务、技术及资信分（</w:t>
      </w:r>
      <w:r>
        <w:rPr>
          <w:rFonts w:hint="eastAsia" w:cs="宋体"/>
          <w:b/>
          <w:color w:val="auto"/>
          <w:position w:val="-30"/>
          <w:highlight w:val="none"/>
          <w:lang w:val="en-US" w:eastAsia="zh-CN"/>
        </w:rPr>
        <w:t>6</w:t>
      </w:r>
      <w:r>
        <w:rPr>
          <w:rFonts w:hint="eastAsia" w:cs="宋体"/>
          <w:b/>
          <w:color w:val="auto"/>
          <w:position w:val="-30"/>
          <w:highlight w:val="none"/>
        </w:rPr>
        <w:t>0分）</w:t>
      </w:r>
    </w:p>
    <w:tbl>
      <w:tblPr>
        <w:tblStyle w:val="43"/>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93"/>
        <w:gridCol w:w="7261"/>
        <w:gridCol w:w="791"/>
      </w:tblGrid>
      <w:tr w14:paraId="33DF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8" w:type="dxa"/>
            <w:vAlign w:val="center"/>
          </w:tcPr>
          <w:p w14:paraId="4DCBAD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b/>
                <w:bCs/>
                <w:color w:val="auto"/>
                <w:szCs w:val="21"/>
                <w:highlight w:val="none"/>
              </w:rPr>
            </w:pPr>
            <w:r>
              <w:rPr>
                <w:rFonts w:hint="eastAsia" w:cs="宋体"/>
                <w:b/>
                <w:bCs/>
                <w:color w:val="auto"/>
                <w:szCs w:val="21"/>
                <w:highlight w:val="none"/>
              </w:rPr>
              <w:t>序号</w:t>
            </w:r>
          </w:p>
        </w:tc>
        <w:tc>
          <w:tcPr>
            <w:tcW w:w="1293" w:type="dxa"/>
            <w:vAlign w:val="center"/>
          </w:tcPr>
          <w:p w14:paraId="39DF06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b/>
                <w:bCs/>
                <w:color w:val="auto"/>
                <w:szCs w:val="21"/>
                <w:highlight w:val="none"/>
              </w:rPr>
            </w:pPr>
            <w:r>
              <w:rPr>
                <w:rFonts w:hint="eastAsia" w:cs="宋体"/>
                <w:b/>
                <w:bCs/>
                <w:color w:val="auto"/>
                <w:szCs w:val="21"/>
                <w:highlight w:val="none"/>
              </w:rPr>
              <w:t>评审因素</w:t>
            </w:r>
          </w:p>
        </w:tc>
        <w:tc>
          <w:tcPr>
            <w:tcW w:w="7261" w:type="dxa"/>
            <w:vAlign w:val="center"/>
          </w:tcPr>
          <w:p w14:paraId="6ABA30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b/>
                <w:bCs/>
                <w:color w:val="auto"/>
                <w:szCs w:val="21"/>
                <w:highlight w:val="none"/>
              </w:rPr>
            </w:pPr>
            <w:r>
              <w:rPr>
                <w:rFonts w:hint="eastAsia" w:cs="宋体"/>
                <w:b/>
                <w:bCs/>
                <w:color w:val="auto"/>
                <w:szCs w:val="21"/>
                <w:highlight w:val="none"/>
              </w:rPr>
              <w:t>评分标准</w:t>
            </w:r>
          </w:p>
        </w:tc>
        <w:tc>
          <w:tcPr>
            <w:tcW w:w="791" w:type="dxa"/>
            <w:vAlign w:val="center"/>
          </w:tcPr>
          <w:p w14:paraId="356098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b/>
                <w:bCs/>
                <w:color w:val="auto"/>
                <w:szCs w:val="21"/>
                <w:highlight w:val="none"/>
              </w:rPr>
            </w:pPr>
            <w:r>
              <w:rPr>
                <w:rFonts w:hint="eastAsia" w:cs="宋体"/>
                <w:b/>
                <w:bCs/>
                <w:color w:val="auto"/>
                <w:szCs w:val="21"/>
                <w:highlight w:val="none"/>
              </w:rPr>
              <w:t>分值</w:t>
            </w:r>
          </w:p>
        </w:tc>
      </w:tr>
      <w:tr w14:paraId="398E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73" w:type="dxa"/>
            <w:gridSpan w:val="4"/>
            <w:vAlign w:val="center"/>
          </w:tcPr>
          <w:p w14:paraId="31899B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b/>
                <w:bCs/>
                <w:color w:val="auto"/>
                <w:szCs w:val="21"/>
                <w:highlight w:val="none"/>
              </w:rPr>
            </w:pPr>
            <w:r>
              <w:rPr>
                <w:rFonts w:hint="eastAsia" w:cs="宋体"/>
                <w:b/>
                <w:bCs/>
                <w:color w:val="auto"/>
                <w:szCs w:val="21"/>
                <w:highlight w:val="none"/>
              </w:rPr>
              <w:t>商务及资信分（</w:t>
            </w:r>
            <w:r>
              <w:rPr>
                <w:rFonts w:hint="eastAsia" w:cs="宋体"/>
                <w:b/>
                <w:bCs/>
                <w:color w:val="auto"/>
                <w:szCs w:val="21"/>
                <w:highlight w:val="none"/>
                <w:lang w:val="en-US" w:eastAsia="zh-CN"/>
              </w:rPr>
              <w:t>8</w:t>
            </w:r>
            <w:r>
              <w:rPr>
                <w:rFonts w:hint="eastAsia" w:cs="宋体"/>
                <w:b/>
                <w:bCs/>
                <w:color w:val="auto"/>
                <w:szCs w:val="21"/>
                <w:highlight w:val="none"/>
              </w:rPr>
              <w:t>分）</w:t>
            </w:r>
          </w:p>
        </w:tc>
      </w:tr>
      <w:tr w14:paraId="23DA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8" w:type="dxa"/>
            <w:vAlign w:val="center"/>
          </w:tcPr>
          <w:p w14:paraId="38F05A5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color w:val="auto"/>
                <w:szCs w:val="21"/>
                <w:highlight w:val="none"/>
              </w:rPr>
              <w:t>1</w:t>
            </w:r>
          </w:p>
        </w:tc>
        <w:tc>
          <w:tcPr>
            <w:tcW w:w="1293" w:type="dxa"/>
            <w:vAlign w:val="center"/>
          </w:tcPr>
          <w:p w14:paraId="2CFCC79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b/>
                <w:bCs/>
                <w:color w:val="auto"/>
                <w:szCs w:val="21"/>
                <w:highlight w:val="none"/>
              </w:rPr>
              <w:t>企业业绩</w:t>
            </w:r>
          </w:p>
        </w:tc>
        <w:tc>
          <w:tcPr>
            <w:tcW w:w="7261" w:type="dxa"/>
            <w:vAlign w:val="center"/>
          </w:tcPr>
          <w:p w14:paraId="5554082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highlight w:val="none"/>
              </w:rPr>
              <w:t>投标人自2021年1月1日至今（以合同签订时间为准）承接过同类项目的，每提供一个有效业绩得1分，最多得3分。</w:t>
            </w:r>
          </w:p>
          <w:p w14:paraId="2071F69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eastAsia="宋体" w:cs="宋体"/>
                <w:color w:val="auto"/>
                <w:szCs w:val="21"/>
                <w:highlight w:val="none"/>
                <w:lang w:eastAsia="zh-CN"/>
              </w:rPr>
            </w:pPr>
            <w:r>
              <w:rPr>
                <w:rFonts w:hint="eastAsia" w:cs="宋体"/>
                <w:color w:val="auto"/>
                <w:highlight w:val="none"/>
              </w:rPr>
              <w:t>注：须提供合同扫描件并加盖投标单位公章。</w:t>
            </w:r>
            <w:r>
              <w:rPr>
                <w:rFonts w:hint="eastAsia" w:cs="宋体"/>
                <w:color w:val="auto"/>
                <w:highlight w:val="none"/>
                <w:lang w:eastAsia="zh-CN"/>
              </w:rPr>
              <w:t>【</w:t>
            </w:r>
            <w:r>
              <w:rPr>
                <w:rFonts w:hint="eastAsia" w:cs="宋体"/>
                <w:color w:val="auto"/>
                <w:highlight w:val="none"/>
                <w:lang w:val="en-US" w:eastAsia="zh-CN"/>
              </w:rPr>
              <w:t>客观分</w:t>
            </w:r>
            <w:r>
              <w:rPr>
                <w:rFonts w:hint="eastAsia" w:cs="宋体"/>
                <w:color w:val="auto"/>
                <w:highlight w:val="none"/>
                <w:lang w:eastAsia="zh-CN"/>
              </w:rPr>
              <w:t>】</w:t>
            </w:r>
          </w:p>
        </w:tc>
        <w:tc>
          <w:tcPr>
            <w:tcW w:w="791" w:type="dxa"/>
            <w:vAlign w:val="center"/>
          </w:tcPr>
          <w:p w14:paraId="5005CD7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r>
              <w:rPr>
                <w:rFonts w:hint="eastAsia" w:cs="宋体"/>
                <w:color w:val="auto"/>
                <w:szCs w:val="21"/>
                <w:highlight w:val="none"/>
              </w:rPr>
              <w:t>3分</w:t>
            </w:r>
          </w:p>
        </w:tc>
      </w:tr>
      <w:tr w14:paraId="7066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28" w:type="dxa"/>
            <w:vAlign w:val="center"/>
          </w:tcPr>
          <w:p w14:paraId="4D03FC6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color w:val="auto"/>
                <w:szCs w:val="21"/>
                <w:highlight w:val="none"/>
              </w:rPr>
              <w:t>2</w:t>
            </w:r>
          </w:p>
        </w:tc>
        <w:tc>
          <w:tcPr>
            <w:tcW w:w="1293" w:type="dxa"/>
            <w:vAlign w:val="center"/>
          </w:tcPr>
          <w:p w14:paraId="5A147EC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b/>
                <w:bCs/>
                <w:color w:val="auto"/>
                <w:szCs w:val="21"/>
                <w:highlight w:val="none"/>
              </w:rPr>
              <w:t>企业认证</w:t>
            </w:r>
          </w:p>
        </w:tc>
        <w:tc>
          <w:tcPr>
            <w:tcW w:w="7261" w:type="dxa"/>
            <w:vAlign w:val="center"/>
          </w:tcPr>
          <w:p w14:paraId="52ABC3B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（1）投标人具有ISO9001质量管理体系认证证书得1分；</w:t>
            </w:r>
          </w:p>
          <w:p w14:paraId="3CD9EDE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（2）投标人</w:t>
            </w:r>
            <w:r>
              <w:rPr>
                <w:rFonts w:hint="eastAsia"/>
                <w:color w:val="auto"/>
                <w:highlight w:val="none"/>
                <w:lang w:eastAsia="zh-CN"/>
              </w:rPr>
              <w:t>具有</w:t>
            </w:r>
            <w:r>
              <w:rPr>
                <w:rFonts w:hint="eastAsia" w:ascii="宋体" w:hAnsi="宋体" w:cs="宋体"/>
                <w:sz w:val="24"/>
                <w:szCs w:val="24"/>
                <w:lang w:bidi="ar"/>
              </w:rPr>
              <w:t>ISO20000信息技术服务管理体系认证证书</w:t>
            </w:r>
            <w:r>
              <w:rPr>
                <w:rFonts w:hint="eastAsia"/>
                <w:color w:val="auto"/>
                <w:highlight w:val="none"/>
              </w:rPr>
              <w:t>得1分；</w:t>
            </w:r>
          </w:p>
          <w:p w14:paraId="7B14201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（3）</w:t>
            </w:r>
            <w:r>
              <w:rPr>
                <w:rFonts w:hint="eastAsia" w:cs="宋体"/>
                <w:color w:val="auto"/>
                <w:szCs w:val="21"/>
                <w:highlight w:val="none"/>
                <w:lang w:val="zh-CN"/>
              </w:rPr>
              <w:t>投标人具有</w:t>
            </w:r>
            <w:r>
              <w:rPr>
                <w:rFonts w:hint="eastAsia" w:ascii="宋体" w:hAnsi="宋体" w:eastAsia="宋体" w:cs="宋体"/>
                <w:sz w:val="24"/>
                <w:szCs w:val="24"/>
              </w:rPr>
              <w:t>ISO27001信息安全管理体系认证证书</w:t>
            </w:r>
            <w:r>
              <w:rPr>
                <w:rFonts w:hint="eastAsia" w:cs="宋体"/>
                <w:color w:val="auto"/>
                <w:szCs w:val="21"/>
                <w:highlight w:val="none"/>
                <w:lang w:val="zh-CN"/>
              </w:rPr>
              <w:t>得1分。</w:t>
            </w:r>
          </w:p>
          <w:p w14:paraId="2F91568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注：以上相关证书须在有效期内，提供证书扫描件及</w:t>
            </w:r>
            <w:r>
              <w:rPr>
                <w:rFonts w:hint="eastAsia" w:cs="宋体"/>
                <w:color w:val="auto"/>
                <w:highlight w:val="none"/>
              </w:rPr>
              <w:t>“全国认证认可信息公共服务平台”查询截图并加盖</w:t>
            </w:r>
            <w:r>
              <w:rPr>
                <w:rFonts w:hint="eastAsia"/>
                <w:color w:val="auto"/>
                <w:highlight w:val="none"/>
              </w:rPr>
              <w:t>单位公章，未提供不得分。</w:t>
            </w:r>
            <w:r>
              <w:rPr>
                <w:rFonts w:hint="eastAsia" w:cs="宋体"/>
                <w:color w:val="auto"/>
                <w:highlight w:val="none"/>
                <w:lang w:eastAsia="zh-CN"/>
              </w:rPr>
              <w:t>【</w:t>
            </w:r>
            <w:r>
              <w:rPr>
                <w:rFonts w:hint="eastAsia" w:cs="宋体"/>
                <w:color w:val="auto"/>
                <w:highlight w:val="none"/>
                <w:lang w:val="en-US" w:eastAsia="zh-CN"/>
              </w:rPr>
              <w:t>客观分</w:t>
            </w:r>
            <w:r>
              <w:rPr>
                <w:rFonts w:hint="eastAsia" w:cs="宋体"/>
                <w:color w:val="auto"/>
                <w:highlight w:val="none"/>
                <w:lang w:eastAsia="zh-CN"/>
              </w:rPr>
              <w:t>】</w:t>
            </w:r>
          </w:p>
        </w:tc>
        <w:tc>
          <w:tcPr>
            <w:tcW w:w="791" w:type="dxa"/>
            <w:vAlign w:val="center"/>
          </w:tcPr>
          <w:p w14:paraId="31E2FF3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分</w:t>
            </w:r>
          </w:p>
        </w:tc>
      </w:tr>
      <w:tr w14:paraId="504D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28" w:type="dxa"/>
            <w:vAlign w:val="center"/>
          </w:tcPr>
          <w:p w14:paraId="679F673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s="宋体"/>
                <w:color w:val="auto"/>
                <w:szCs w:val="21"/>
                <w:highlight w:val="none"/>
                <w:lang w:val="en-US" w:eastAsia="zh-CN"/>
              </w:rPr>
            </w:pPr>
            <w:r>
              <w:rPr>
                <w:rFonts w:hint="eastAsia" w:cs="宋体"/>
                <w:color w:val="auto"/>
                <w:szCs w:val="21"/>
                <w:highlight w:val="none"/>
                <w:lang w:val="en-US" w:eastAsia="zh-CN"/>
              </w:rPr>
              <w:t>3</w:t>
            </w:r>
          </w:p>
        </w:tc>
        <w:tc>
          <w:tcPr>
            <w:tcW w:w="1293" w:type="dxa"/>
            <w:vAlign w:val="center"/>
          </w:tcPr>
          <w:p w14:paraId="6FBA9AF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cs="宋体"/>
                <w:b/>
                <w:bCs/>
                <w:color w:val="auto"/>
                <w:szCs w:val="21"/>
                <w:highlight w:val="none"/>
              </w:rPr>
            </w:pPr>
            <w:r>
              <w:rPr>
                <w:rFonts w:hint="eastAsia" w:cs="宋体"/>
                <w:b/>
                <w:bCs/>
                <w:szCs w:val="21"/>
              </w:rPr>
              <w:t>政策分</w:t>
            </w:r>
          </w:p>
        </w:tc>
        <w:tc>
          <w:tcPr>
            <w:tcW w:w="7261" w:type="dxa"/>
            <w:vAlign w:val="center"/>
          </w:tcPr>
          <w:p w14:paraId="23FCC775">
            <w:pPr>
              <w:keepNext w:val="0"/>
              <w:keepLines w:val="0"/>
              <w:pageBreakBefore w:val="0"/>
              <w:widowControl w:val="0"/>
              <w:kinsoku/>
              <w:wordWrap/>
              <w:overflowPunct/>
              <w:topLinePunct w:val="0"/>
              <w:autoSpaceDE/>
              <w:autoSpaceDN/>
              <w:bidi w:val="0"/>
              <w:spacing w:line="360" w:lineRule="exact"/>
              <w:ind w:firstLine="0" w:firstLineChars="0"/>
              <w:textAlignment w:val="auto"/>
            </w:pPr>
            <w:r>
              <w:rPr>
                <w:rFonts w:hint="eastAsia" w:cs="宋体"/>
                <w:bCs/>
              </w:rPr>
              <w:t>①</w:t>
            </w:r>
            <w:r>
              <w:rPr>
                <w:rFonts w:hint="eastAsia"/>
              </w:rPr>
              <w:t>投标产品中有属于国家公布的节能产品品目清单范围的，得1分；</w:t>
            </w:r>
          </w:p>
          <w:p w14:paraId="646079CD">
            <w:pPr>
              <w:keepNext w:val="0"/>
              <w:keepLines w:val="0"/>
              <w:pageBreakBefore w:val="0"/>
              <w:widowControl w:val="0"/>
              <w:kinsoku/>
              <w:wordWrap/>
              <w:overflowPunct/>
              <w:topLinePunct w:val="0"/>
              <w:autoSpaceDE/>
              <w:autoSpaceDN/>
              <w:bidi w:val="0"/>
              <w:spacing w:line="360" w:lineRule="exact"/>
              <w:ind w:firstLine="0" w:firstLineChars="0"/>
              <w:textAlignment w:val="auto"/>
            </w:pPr>
            <w:r>
              <w:rPr>
                <w:rFonts w:hint="eastAsia" w:cs="宋体"/>
                <w:bCs/>
              </w:rPr>
              <w:t>②</w:t>
            </w:r>
            <w:r>
              <w:rPr>
                <w:rFonts w:hint="eastAsia"/>
              </w:rPr>
              <w:t>投标产品中有属于国家公布的环保产品品目清单范围的，得1分；</w:t>
            </w:r>
          </w:p>
          <w:p w14:paraId="50232F0A">
            <w:pPr>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color w:val="auto"/>
                <w:highlight w:val="none"/>
              </w:rPr>
            </w:pPr>
            <w:r>
              <w:rPr>
                <w:rFonts w:hint="eastAsia"/>
              </w:rPr>
              <w:t>注：需提供品目清单证明及国家认定机构出具的、在有效期内的节能或环保产品认证证书等证明材料。证明资料复印件加盖公章。</w:t>
            </w:r>
          </w:p>
        </w:tc>
        <w:tc>
          <w:tcPr>
            <w:tcW w:w="791" w:type="dxa"/>
            <w:vAlign w:val="center"/>
          </w:tcPr>
          <w:p w14:paraId="61D3DBE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cs="宋体"/>
                <w:color w:val="auto"/>
                <w:szCs w:val="21"/>
                <w:highlight w:val="none"/>
                <w:lang w:val="en-US" w:eastAsia="zh-CN"/>
              </w:rPr>
            </w:pPr>
            <w:r>
              <w:rPr>
                <w:rFonts w:hint="eastAsia" w:cs="宋体"/>
                <w:szCs w:val="21"/>
              </w:rPr>
              <w:t>2分</w:t>
            </w:r>
          </w:p>
        </w:tc>
      </w:tr>
      <w:tr w14:paraId="37CD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73" w:type="dxa"/>
            <w:gridSpan w:val="4"/>
            <w:vAlign w:val="center"/>
          </w:tcPr>
          <w:p w14:paraId="2493E32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b/>
                <w:bCs/>
                <w:color w:val="auto"/>
                <w:szCs w:val="21"/>
                <w:highlight w:val="none"/>
              </w:rPr>
              <w:t>技术分（</w:t>
            </w:r>
            <w:r>
              <w:rPr>
                <w:rFonts w:hint="eastAsia" w:cs="宋体"/>
                <w:b/>
                <w:bCs/>
                <w:color w:val="auto"/>
                <w:szCs w:val="21"/>
                <w:highlight w:val="none"/>
                <w:lang w:val="en-US" w:eastAsia="zh-CN"/>
              </w:rPr>
              <w:t>52</w:t>
            </w:r>
            <w:r>
              <w:rPr>
                <w:rFonts w:hint="eastAsia" w:cs="宋体"/>
                <w:b/>
                <w:bCs/>
                <w:color w:val="auto"/>
                <w:szCs w:val="21"/>
                <w:highlight w:val="none"/>
              </w:rPr>
              <w:t>分）</w:t>
            </w:r>
          </w:p>
        </w:tc>
      </w:tr>
      <w:tr w14:paraId="4B85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28" w:type="dxa"/>
            <w:vAlign w:val="center"/>
          </w:tcPr>
          <w:p w14:paraId="3B4D554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s="宋体"/>
                <w:b/>
                <w:bCs/>
                <w:color w:val="auto"/>
                <w:szCs w:val="21"/>
                <w:highlight w:val="none"/>
                <w:lang w:val="en-US" w:eastAsia="zh-CN"/>
              </w:rPr>
            </w:pPr>
            <w:r>
              <w:rPr>
                <w:rFonts w:hint="eastAsia" w:cs="宋体"/>
                <w:b w:val="0"/>
                <w:bCs w:val="0"/>
                <w:color w:val="auto"/>
                <w:szCs w:val="21"/>
                <w:highlight w:val="none"/>
                <w:lang w:val="en-US" w:eastAsia="zh-CN"/>
              </w:rPr>
              <w:t>4</w:t>
            </w:r>
          </w:p>
        </w:tc>
        <w:tc>
          <w:tcPr>
            <w:tcW w:w="1293" w:type="dxa"/>
            <w:vAlign w:val="center"/>
          </w:tcPr>
          <w:p w14:paraId="0432AD3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b/>
                <w:bCs/>
                <w:color w:val="auto"/>
                <w:szCs w:val="21"/>
                <w:highlight w:val="none"/>
              </w:rPr>
              <w:t>技术参数响应程度</w:t>
            </w:r>
          </w:p>
        </w:tc>
        <w:tc>
          <w:tcPr>
            <w:tcW w:w="7261" w:type="dxa"/>
            <w:vAlign w:val="center"/>
          </w:tcPr>
          <w:p w14:paraId="4761C06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s="宋体"/>
                <w:bCs/>
                <w:color w:val="auto"/>
                <w:highlight w:val="none"/>
              </w:rPr>
              <w:t>根据投标产品的性能、规格、技术参数等指标是否满足招标文件的要求进行打分（</w:t>
            </w:r>
            <w:r>
              <w:rPr>
                <w:rFonts w:hint="eastAsia" w:cs="宋体"/>
                <w:color w:val="auto"/>
                <w:kern w:val="0"/>
                <w:highlight w:val="none"/>
              </w:rPr>
              <w:t>全部满足或明显优于招标文件要求的得满分</w:t>
            </w:r>
            <w:r>
              <w:rPr>
                <w:rFonts w:hint="eastAsia" w:cs="宋体"/>
                <w:color w:val="auto"/>
                <w:kern w:val="0"/>
                <w:highlight w:val="none"/>
                <w:lang w:val="en-US" w:eastAsia="zh-CN"/>
              </w:rPr>
              <w:t>18</w:t>
            </w:r>
            <w:r>
              <w:rPr>
                <w:rFonts w:hint="eastAsia" w:cs="宋体"/>
                <w:color w:val="auto"/>
                <w:kern w:val="0"/>
                <w:highlight w:val="none"/>
              </w:rPr>
              <w:t>分</w:t>
            </w:r>
            <w:r>
              <w:rPr>
                <w:rFonts w:hint="eastAsia" w:cs="宋体"/>
                <w:bCs/>
                <w:color w:val="auto"/>
                <w:highlight w:val="none"/>
              </w:rPr>
              <w:t>）：</w:t>
            </w:r>
            <w:r>
              <w:rPr>
                <w:rFonts w:hint="eastAsia" w:cs="宋体"/>
                <w:color w:val="auto"/>
                <w:highlight w:val="none"/>
              </w:rPr>
              <w:t>技术参数</w:t>
            </w:r>
            <w:r>
              <w:rPr>
                <w:rFonts w:hint="eastAsia"/>
                <w:color w:val="auto"/>
                <w:highlight w:val="none"/>
              </w:rPr>
              <w:t>每负偏离或缺漏1项的扣</w:t>
            </w:r>
            <w:r>
              <w:rPr>
                <w:rFonts w:hint="eastAsia"/>
                <w:color w:val="auto"/>
                <w:highlight w:val="none"/>
                <w:lang w:val="en-US" w:eastAsia="zh-CN"/>
              </w:rPr>
              <w:t>1</w:t>
            </w:r>
            <w:r>
              <w:rPr>
                <w:rFonts w:hint="eastAsia"/>
                <w:color w:val="auto"/>
                <w:highlight w:val="none"/>
              </w:rPr>
              <w:t>分，扣完</w:t>
            </w:r>
            <w:r>
              <w:rPr>
                <w:rFonts w:hint="eastAsia" w:cs="宋体"/>
                <w:color w:val="auto"/>
                <w:kern w:val="0"/>
                <w:szCs w:val="21"/>
                <w:highlight w:val="none"/>
              </w:rPr>
              <w:t>本项得分</w:t>
            </w:r>
            <w:r>
              <w:rPr>
                <w:rFonts w:hint="eastAsia"/>
                <w:color w:val="auto"/>
                <w:highlight w:val="none"/>
              </w:rPr>
              <w:t>为止。</w:t>
            </w:r>
          </w:p>
          <w:p w14:paraId="594B2E7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szCs w:val="21"/>
                <w:highlight w:val="none"/>
              </w:rPr>
            </w:pPr>
            <w:r>
              <w:rPr>
                <w:rFonts w:hint="eastAsia" w:cs="宋体"/>
                <w:bCs/>
                <w:color w:val="auto"/>
                <w:highlight w:val="none"/>
              </w:rPr>
              <w:t>（根据投标人的技术规范偏离表和技术支持资料等有关证明材料进行打分）</w:t>
            </w:r>
            <w:r>
              <w:rPr>
                <w:rFonts w:hint="eastAsia" w:cs="宋体"/>
                <w:color w:val="auto"/>
                <w:highlight w:val="none"/>
                <w:lang w:eastAsia="zh-CN"/>
              </w:rPr>
              <w:t>【</w:t>
            </w:r>
            <w:r>
              <w:rPr>
                <w:rFonts w:hint="eastAsia" w:cs="宋体"/>
                <w:color w:val="auto"/>
                <w:highlight w:val="none"/>
                <w:lang w:val="en-US" w:eastAsia="zh-CN"/>
              </w:rPr>
              <w:t>客观分</w:t>
            </w:r>
            <w:r>
              <w:rPr>
                <w:rFonts w:hint="eastAsia" w:cs="宋体"/>
                <w:color w:val="auto"/>
                <w:highlight w:val="none"/>
                <w:lang w:eastAsia="zh-CN"/>
              </w:rPr>
              <w:t>】</w:t>
            </w:r>
          </w:p>
        </w:tc>
        <w:tc>
          <w:tcPr>
            <w:tcW w:w="791" w:type="dxa"/>
            <w:vAlign w:val="center"/>
          </w:tcPr>
          <w:p w14:paraId="1B47258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r>
              <w:rPr>
                <w:rFonts w:hint="eastAsia" w:cs="宋体"/>
                <w:color w:val="auto"/>
                <w:szCs w:val="21"/>
                <w:highlight w:val="none"/>
                <w:lang w:val="en-US" w:eastAsia="zh-CN"/>
              </w:rPr>
              <w:t>18</w:t>
            </w:r>
            <w:r>
              <w:rPr>
                <w:rFonts w:hint="eastAsia" w:cs="宋体"/>
                <w:color w:val="auto"/>
                <w:szCs w:val="21"/>
                <w:highlight w:val="none"/>
              </w:rPr>
              <w:t>分</w:t>
            </w:r>
          </w:p>
        </w:tc>
      </w:tr>
      <w:tr w14:paraId="08EC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28" w:type="dxa"/>
            <w:vMerge w:val="restart"/>
            <w:vAlign w:val="center"/>
          </w:tcPr>
          <w:p w14:paraId="2AFD0B5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s="宋体"/>
                <w:color w:val="auto"/>
                <w:szCs w:val="21"/>
                <w:highlight w:val="none"/>
                <w:lang w:val="en-US" w:eastAsia="zh-CN"/>
              </w:rPr>
            </w:pPr>
            <w:r>
              <w:rPr>
                <w:rFonts w:hint="eastAsia" w:cs="宋体"/>
                <w:color w:val="auto"/>
                <w:szCs w:val="21"/>
                <w:highlight w:val="none"/>
                <w:lang w:val="en-US" w:eastAsia="zh-CN"/>
              </w:rPr>
              <w:t>5</w:t>
            </w:r>
          </w:p>
        </w:tc>
        <w:tc>
          <w:tcPr>
            <w:tcW w:w="1293" w:type="dxa"/>
            <w:vMerge w:val="restart"/>
            <w:vAlign w:val="center"/>
          </w:tcPr>
          <w:p w14:paraId="76F1F8B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b/>
                <w:bCs/>
                <w:color w:val="auto"/>
                <w:szCs w:val="21"/>
                <w:highlight w:val="none"/>
              </w:rPr>
              <w:t>项目整体方案</w:t>
            </w:r>
          </w:p>
        </w:tc>
        <w:tc>
          <w:tcPr>
            <w:tcW w:w="7261" w:type="dxa"/>
            <w:vAlign w:val="center"/>
          </w:tcPr>
          <w:p w14:paraId="562AE97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eastAsia="宋体" w:cs="宋体"/>
                <w:bCs/>
                <w:color w:val="auto"/>
                <w:highlight w:val="none"/>
                <w:lang w:eastAsia="zh-CN"/>
              </w:rPr>
            </w:pPr>
            <w:r>
              <w:rPr>
                <w:rFonts w:hint="eastAsia" w:cs="宋体"/>
                <w:color w:val="auto"/>
                <w:highlight w:val="none"/>
              </w:rPr>
              <w:t>投标人针对本项目制定相应的技术方案（</w:t>
            </w:r>
            <w:r>
              <w:rPr>
                <w:rFonts w:hint="eastAsia"/>
                <w:color w:val="auto"/>
                <w:highlight w:val="none"/>
              </w:rPr>
              <w:t>包括系统集成、安装调试、</w:t>
            </w:r>
            <w:r>
              <w:rPr>
                <w:rFonts w:hint="eastAsia" w:cs="宋体"/>
                <w:color w:val="auto"/>
                <w:kern w:val="0"/>
                <w:highlight w:val="none"/>
                <w:lang w:bidi="ar"/>
              </w:rPr>
              <w:t>系统运行维护、</w:t>
            </w:r>
            <w:r>
              <w:rPr>
                <w:rFonts w:hint="eastAsia"/>
                <w:color w:val="auto"/>
                <w:highlight w:val="none"/>
              </w:rPr>
              <w:t>关键步骤的思路和要点等</w:t>
            </w:r>
            <w:r>
              <w:rPr>
                <w:rFonts w:hint="eastAsia" w:cs="宋体"/>
                <w:color w:val="auto"/>
                <w:highlight w:val="none"/>
              </w:rPr>
              <w:t>）：方案完善、合理、先进、可操作性强的得</w:t>
            </w:r>
            <w:r>
              <w:rPr>
                <w:rFonts w:hint="eastAsia" w:cs="宋体"/>
                <w:color w:val="auto"/>
                <w:highlight w:val="none"/>
                <w:lang w:val="en-US" w:eastAsia="zh-CN"/>
              </w:rPr>
              <w:t>4</w:t>
            </w:r>
            <w:r>
              <w:rPr>
                <w:rFonts w:hint="eastAsia" w:cs="宋体"/>
                <w:color w:val="auto"/>
                <w:highlight w:val="none"/>
              </w:rPr>
              <w:t>分；存在欠缺或不合理处的，每项扣1分，扣完本项得分为止。</w:t>
            </w:r>
            <w:r>
              <w:rPr>
                <w:rFonts w:hint="eastAsia" w:cs="宋体"/>
                <w:color w:val="auto"/>
                <w:highlight w:val="none"/>
                <w:lang w:eastAsia="zh-CN"/>
              </w:rPr>
              <w:t>（</w:t>
            </w:r>
            <w:r>
              <w:rPr>
                <w:rFonts w:hint="eastAsia" w:cs="宋体"/>
                <w:color w:val="auto"/>
                <w:highlight w:val="none"/>
                <w:lang w:val="en-US" w:eastAsia="zh-CN"/>
              </w:rPr>
              <w:t>评分范围：0，1，2，3，4</w:t>
            </w:r>
            <w:r>
              <w:rPr>
                <w:rFonts w:hint="eastAsia" w:cs="宋体"/>
                <w:color w:val="auto"/>
                <w:highlight w:val="none"/>
                <w:lang w:eastAsia="zh-CN"/>
              </w:rPr>
              <w:t>）【</w:t>
            </w:r>
            <w:r>
              <w:rPr>
                <w:rFonts w:hint="eastAsia" w:cs="宋体"/>
                <w:color w:val="auto"/>
                <w:highlight w:val="none"/>
                <w:lang w:val="en-US" w:eastAsia="zh-CN"/>
              </w:rPr>
              <w:t>主观分</w:t>
            </w:r>
            <w:r>
              <w:rPr>
                <w:rFonts w:hint="eastAsia" w:cs="宋体"/>
                <w:color w:val="auto"/>
                <w:highlight w:val="none"/>
                <w:lang w:eastAsia="zh-CN"/>
              </w:rPr>
              <w:t>】</w:t>
            </w:r>
          </w:p>
        </w:tc>
        <w:tc>
          <w:tcPr>
            <w:tcW w:w="791" w:type="dxa"/>
            <w:vMerge w:val="restart"/>
            <w:vAlign w:val="center"/>
          </w:tcPr>
          <w:p w14:paraId="4641A5C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r>
              <w:rPr>
                <w:rFonts w:hint="eastAsia" w:cs="宋体"/>
                <w:color w:val="auto"/>
                <w:szCs w:val="21"/>
                <w:highlight w:val="none"/>
              </w:rPr>
              <w:t>1</w:t>
            </w:r>
            <w:r>
              <w:rPr>
                <w:rFonts w:hint="eastAsia" w:cs="宋体"/>
                <w:color w:val="auto"/>
                <w:szCs w:val="21"/>
                <w:highlight w:val="none"/>
                <w:lang w:val="en-US" w:eastAsia="zh-CN"/>
              </w:rPr>
              <w:t>2</w:t>
            </w:r>
            <w:r>
              <w:rPr>
                <w:rFonts w:hint="eastAsia" w:cs="宋体"/>
                <w:color w:val="auto"/>
                <w:szCs w:val="21"/>
                <w:highlight w:val="none"/>
              </w:rPr>
              <w:t>分</w:t>
            </w:r>
          </w:p>
        </w:tc>
      </w:tr>
      <w:tr w14:paraId="2B9C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28" w:type="dxa"/>
            <w:vMerge w:val="continue"/>
            <w:vAlign w:val="center"/>
          </w:tcPr>
          <w:p w14:paraId="2CBF7FA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p>
        </w:tc>
        <w:tc>
          <w:tcPr>
            <w:tcW w:w="1293" w:type="dxa"/>
            <w:vMerge w:val="continue"/>
            <w:vAlign w:val="center"/>
          </w:tcPr>
          <w:p w14:paraId="5FEE2D2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p>
        </w:tc>
        <w:tc>
          <w:tcPr>
            <w:tcW w:w="7261" w:type="dxa"/>
            <w:vAlign w:val="center"/>
          </w:tcPr>
          <w:p w14:paraId="781D52B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highlight w:val="none"/>
              </w:rPr>
            </w:pPr>
            <w:r>
              <w:rPr>
                <w:rFonts w:hint="eastAsia" w:cs="宋体"/>
                <w:color w:val="auto"/>
                <w:kern w:val="0"/>
                <w:szCs w:val="21"/>
                <w:highlight w:val="none"/>
              </w:rPr>
              <w:t>投标人有严密的质量控制措施和先进的质量检测设备：措施内容完整有效、合理可行，相关设备配置齐全的得</w:t>
            </w:r>
            <w:r>
              <w:rPr>
                <w:rFonts w:hint="eastAsia" w:cs="宋体"/>
                <w:color w:val="auto"/>
                <w:kern w:val="0"/>
                <w:szCs w:val="21"/>
                <w:highlight w:val="none"/>
                <w:lang w:val="en-US" w:eastAsia="zh-CN"/>
              </w:rPr>
              <w:t>4</w:t>
            </w:r>
            <w:r>
              <w:rPr>
                <w:rFonts w:hint="eastAsia" w:cs="宋体"/>
                <w:color w:val="auto"/>
                <w:kern w:val="0"/>
                <w:szCs w:val="21"/>
                <w:highlight w:val="none"/>
              </w:rPr>
              <w:t>分，存在欠缺或不合理处的，每项扣1分，扣完本项得分为止。</w:t>
            </w:r>
            <w:r>
              <w:rPr>
                <w:rFonts w:hint="eastAsia" w:cs="宋体"/>
                <w:color w:val="auto"/>
                <w:highlight w:val="none"/>
                <w:lang w:eastAsia="zh-CN"/>
              </w:rPr>
              <w:t>（</w:t>
            </w:r>
            <w:r>
              <w:rPr>
                <w:rFonts w:hint="eastAsia" w:cs="宋体"/>
                <w:color w:val="auto"/>
                <w:highlight w:val="none"/>
                <w:lang w:val="en-US" w:eastAsia="zh-CN"/>
              </w:rPr>
              <w:t>评分范围：0，1，2，3，4</w:t>
            </w:r>
            <w:r>
              <w:rPr>
                <w:rFonts w:hint="eastAsia" w:cs="宋体"/>
                <w:color w:val="auto"/>
                <w:highlight w:val="none"/>
                <w:lang w:eastAsia="zh-CN"/>
              </w:rPr>
              <w:t>）【</w:t>
            </w:r>
            <w:r>
              <w:rPr>
                <w:rFonts w:hint="eastAsia" w:cs="宋体"/>
                <w:color w:val="auto"/>
                <w:highlight w:val="none"/>
                <w:lang w:val="en-US" w:eastAsia="zh-CN"/>
              </w:rPr>
              <w:t>主观分</w:t>
            </w:r>
            <w:r>
              <w:rPr>
                <w:rFonts w:hint="eastAsia" w:cs="宋体"/>
                <w:color w:val="auto"/>
                <w:highlight w:val="none"/>
                <w:lang w:eastAsia="zh-CN"/>
              </w:rPr>
              <w:t>】</w:t>
            </w:r>
          </w:p>
        </w:tc>
        <w:tc>
          <w:tcPr>
            <w:tcW w:w="791" w:type="dxa"/>
            <w:vMerge w:val="continue"/>
            <w:vAlign w:val="center"/>
          </w:tcPr>
          <w:p w14:paraId="430BFB9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p>
        </w:tc>
      </w:tr>
      <w:tr w14:paraId="6F16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Merge w:val="continue"/>
            <w:vAlign w:val="center"/>
          </w:tcPr>
          <w:p w14:paraId="1807EDF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p>
        </w:tc>
        <w:tc>
          <w:tcPr>
            <w:tcW w:w="1293" w:type="dxa"/>
            <w:vMerge w:val="continue"/>
            <w:vAlign w:val="center"/>
          </w:tcPr>
          <w:p w14:paraId="0297CB5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p>
        </w:tc>
        <w:tc>
          <w:tcPr>
            <w:tcW w:w="7261" w:type="dxa"/>
            <w:vAlign w:val="center"/>
          </w:tcPr>
          <w:p w14:paraId="2C0D6EE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kern w:val="0"/>
                <w:szCs w:val="21"/>
                <w:highlight w:val="none"/>
              </w:rPr>
            </w:pPr>
            <w:r>
              <w:rPr>
                <w:rFonts w:hint="eastAsia" w:cs="宋体"/>
                <w:bCs/>
                <w:color w:val="auto"/>
                <w:highlight w:val="none"/>
              </w:rPr>
              <w:t>投标人针对本项目制定相应的供货措施：措施完整、科学合理、针对性强、完全符合项目需求的，得4分；措施基本符合需求、针对性较强的，得3分；措施一般、针对性不强的，得2分；措施有明显缺陷、不符合需求的，得1分；未提供相关内容的不得分。</w:t>
            </w:r>
            <w:r>
              <w:rPr>
                <w:rFonts w:hint="eastAsia" w:cs="宋体"/>
                <w:color w:val="auto"/>
                <w:highlight w:val="none"/>
                <w:lang w:eastAsia="zh-CN"/>
              </w:rPr>
              <w:t>（</w:t>
            </w:r>
            <w:r>
              <w:rPr>
                <w:rFonts w:hint="eastAsia" w:cs="宋体"/>
                <w:color w:val="auto"/>
                <w:highlight w:val="none"/>
                <w:lang w:val="en-US" w:eastAsia="zh-CN"/>
              </w:rPr>
              <w:t>评分范围：0，1，2，3，4</w:t>
            </w:r>
            <w:r>
              <w:rPr>
                <w:rFonts w:hint="eastAsia" w:cs="宋体"/>
                <w:color w:val="auto"/>
                <w:highlight w:val="none"/>
                <w:lang w:eastAsia="zh-CN"/>
              </w:rPr>
              <w:t>）【</w:t>
            </w:r>
            <w:r>
              <w:rPr>
                <w:rFonts w:hint="eastAsia" w:cs="宋体"/>
                <w:color w:val="auto"/>
                <w:highlight w:val="none"/>
                <w:lang w:val="en-US" w:eastAsia="zh-CN"/>
              </w:rPr>
              <w:t>主观分</w:t>
            </w:r>
            <w:r>
              <w:rPr>
                <w:rFonts w:hint="eastAsia" w:cs="宋体"/>
                <w:color w:val="auto"/>
                <w:highlight w:val="none"/>
                <w:lang w:eastAsia="zh-CN"/>
              </w:rPr>
              <w:t>】</w:t>
            </w:r>
          </w:p>
        </w:tc>
        <w:tc>
          <w:tcPr>
            <w:tcW w:w="791" w:type="dxa"/>
            <w:vMerge w:val="continue"/>
            <w:vAlign w:val="center"/>
          </w:tcPr>
          <w:p w14:paraId="40AB5E9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p>
        </w:tc>
      </w:tr>
      <w:tr w14:paraId="5BBE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728" w:type="dxa"/>
            <w:vAlign w:val="center"/>
          </w:tcPr>
          <w:p w14:paraId="2A9038F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s="宋体"/>
                <w:b/>
                <w:bCs/>
                <w:color w:val="auto"/>
                <w:szCs w:val="21"/>
                <w:highlight w:val="none"/>
                <w:lang w:val="en-US" w:eastAsia="zh-CN"/>
              </w:rPr>
            </w:pPr>
            <w:r>
              <w:rPr>
                <w:rFonts w:hint="eastAsia" w:cs="宋体"/>
                <w:b w:val="0"/>
                <w:bCs w:val="0"/>
                <w:color w:val="auto"/>
                <w:szCs w:val="21"/>
                <w:highlight w:val="none"/>
                <w:lang w:val="en-US" w:eastAsia="zh-CN"/>
              </w:rPr>
              <w:t>6</w:t>
            </w:r>
          </w:p>
        </w:tc>
        <w:tc>
          <w:tcPr>
            <w:tcW w:w="1293" w:type="dxa"/>
            <w:vAlign w:val="center"/>
          </w:tcPr>
          <w:p w14:paraId="5F657AF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b/>
                <w:bCs/>
                <w:color w:val="auto"/>
                <w:szCs w:val="21"/>
                <w:highlight w:val="none"/>
              </w:rPr>
              <w:t>人员配备</w:t>
            </w:r>
          </w:p>
        </w:tc>
        <w:tc>
          <w:tcPr>
            <w:tcW w:w="7261" w:type="dxa"/>
            <w:vAlign w:val="center"/>
          </w:tcPr>
          <w:p w14:paraId="537CD40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color w:val="auto"/>
                <w:highlight w:val="none"/>
              </w:rPr>
            </w:pPr>
            <w:r>
              <w:rPr>
                <w:rFonts w:hint="eastAsia"/>
                <w:color w:val="auto"/>
                <w:highlight w:val="none"/>
              </w:rPr>
              <w:t>（1）拟投入本项目的项目经理（1名）具备信息系统项目管理师（高级）证书，</w:t>
            </w:r>
            <w:r>
              <w:rPr>
                <w:rFonts w:hint="eastAsia"/>
                <w:color w:val="auto"/>
                <w:highlight w:val="none"/>
                <w:lang w:val="en-US" w:eastAsia="zh-CN"/>
              </w:rPr>
              <w:t>系统集成项目管理工程师（中级）的，</w:t>
            </w:r>
            <w:r>
              <w:rPr>
                <w:rFonts w:hint="eastAsia"/>
                <w:color w:val="auto"/>
                <w:highlight w:val="none"/>
              </w:rPr>
              <w:t>每个</w:t>
            </w:r>
            <w:r>
              <w:rPr>
                <w:rFonts w:hint="eastAsia"/>
                <w:color w:val="auto"/>
                <w:highlight w:val="none"/>
                <w:lang w:val="en-US" w:eastAsia="zh-CN"/>
              </w:rPr>
              <w:t>有效</w:t>
            </w:r>
            <w:r>
              <w:rPr>
                <w:rFonts w:hint="eastAsia"/>
                <w:color w:val="auto"/>
                <w:highlight w:val="none"/>
              </w:rPr>
              <w:t>证书得</w:t>
            </w:r>
            <w:r>
              <w:rPr>
                <w:rFonts w:hint="eastAsia"/>
                <w:color w:val="auto"/>
                <w:highlight w:val="none"/>
                <w:lang w:val="en-US" w:eastAsia="zh-CN"/>
              </w:rPr>
              <w:t>1</w:t>
            </w:r>
            <w:r>
              <w:rPr>
                <w:rFonts w:hint="eastAsia"/>
                <w:color w:val="auto"/>
                <w:highlight w:val="none"/>
              </w:rPr>
              <w:t>分，满分</w:t>
            </w:r>
            <w:r>
              <w:rPr>
                <w:rFonts w:hint="eastAsia"/>
                <w:color w:val="auto"/>
                <w:highlight w:val="none"/>
                <w:lang w:val="en-US" w:eastAsia="zh-CN"/>
              </w:rPr>
              <w:t>2</w:t>
            </w:r>
            <w:r>
              <w:rPr>
                <w:rFonts w:hint="eastAsia"/>
                <w:color w:val="auto"/>
                <w:highlight w:val="none"/>
              </w:rPr>
              <w:t>分。每项证书不得重复得分。</w:t>
            </w:r>
            <w:r>
              <w:rPr>
                <w:rFonts w:hint="eastAsia" w:cs="宋体"/>
                <w:color w:val="auto"/>
                <w:highlight w:val="none"/>
                <w:lang w:eastAsia="zh-CN"/>
              </w:rPr>
              <w:t>（</w:t>
            </w:r>
            <w:r>
              <w:rPr>
                <w:rFonts w:hint="eastAsia" w:cs="宋体"/>
                <w:color w:val="auto"/>
                <w:highlight w:val="none"/>
                <w:lang w:val="en-US" w:eastAsia="zh-CN"/>
              </w:rPr>
              <w:t>评分范围：0，1，2</w:t>
            </w:r>
            <w:r>
              <w:rPr>
                <w:rFonts w:hint="eastAsia" w:cs="宋体"/>
                <w:color w:val="auto"/>
                <w:highlight w:val="none"/>
                <w:lang w:eastAsia="zh-CN"/>
              </w:rPr>
              <w:t>）【</w:t>
            </w:r>
            <w:r>
              <w:rPr>
                <w:rFonts w:hint="eastAsia" w:cs="宋体"/>
                <w:color w:val="auto"/>
                <w:highlight w:val="none"/>
                <w:lang w:val="en-US" w:eastAsia="zh-CN"/>
              </w:rPr>
              <w:t>客观分</w:t>
            </w:r>
            <w:r>
              <w:rPr>
                <w:rFonts w:hint="eastAsia"/>
                <w:color w:val="auto"/>
                <w:highlight w:val="none"/>
                <w:lang w:eastAsia="zh-CN"/>
              </w:rPr>
              <w:t>】</w:t>
            </w:r>
          </w:p>
          <w:p w14:paraId="0D3E77E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根据拟投入</w:t>
            </w:r>
            <w:r>
              <w:rPr>
                <w:rFonts w:hint="eastAsia"/>
                <w:color w:val="auto"/>
                <w:highlight w:val="none"/>
                <w:lang w:val="en-US" w:eastAsia="zh-CN"/>
              </w:rPr>
              <w:t>本项目的</w:t>
            </w:r>
            <w:r>
              <w:rPr>
                <w:rFonts w:hint="eastAsia"/>
                <w:color w:val="auto"/>
                <w:highlight w:val="none"/>
              </w:rPr>
              <w:t>运输、安装、</w:t>
            </w:r>
            <w:r>
              <w:rPr>
                <w:rFonts w:hint="eastAsia"/>
                <w:color w:val="auto"/>
                <w:highlight w:val="none"/>
                <w:lang w:val="en-US" w:eastAsia="zh-CN"/>
              </w:rPr>
              <w:t>系统集成、</w:t>
            </w:r>
            <w:r>
              <w:rPr>
                <w:rFonts w:hint="eastAsia"/>
                <w:color w:val="auto"/>
                <w:highlight w:val="none"/>
              </w:rPr>
              <w:t>培训人员是否具有相应经验、资质，数量是否充足，能否满足本项目</w:t>
            </w:r>
            <w:r>
              <w:rPr>
                <w:rFonts w:hint="eastAsia"/>
                <w:color w:val="auto"/>
                <w:highlight w:val="none"/>
                <w:lang w:eastAsia="zh-CN"/>
              </w:rPr>
              <w:t>采购</w:t>
            </w:r>
            <w:r>
              <w:rPr>
                <w:rFonts w:hint="eastAsia"/>
                <w:color w:val="auto"/>
                <w:highlight w:val="none"/>
              </w:rPr>
              <w:t>需求进行评审，</w:t>
            </w:r>
            <w:r>
              <w:rPr>
                <w:rFonts w:hint="eastAsia"/>
                <w:color w:val="auto"/>
                <w:highlight w:val="none"/>
                <w:lang w:val="en-US" w:eastAsia="zh-CN"/>
              </w:rPr>
              <w:t>最高得4</w:t>
            </w:r>
            <w:r>
              <w:rPr>
                <w:rFonts w:hint="eastAsia"/>
                <w:color w:val="auto"/>
                <w:highlight w:val="none"/>
              </w:rPr>
              <w:t>分。（评分范围：</w:t>
            </w:r>
            <w:r>
              <w:rPr>
                <w:rFonts w:hint="eastAsia" w:cs="宋体"/>
                <w:color w:val="auto"/>
                <w:highlight w:val="none"/>
                <w:lang w:val="en-US" w:eastAsia="zh-CN"/>
              </w:rPr>
              <w:t>0，1，2，3，4</w:t>
            </w:r>
            <w:r>
              <w:rPr>
                <w:rFonts w:hint="eastAsia"/>
                <w:color w:val="auto"/>
                <w:highlight w:val="none"/>
              </w:rPr>
              <w:t>）</w:t>
            </w:r>
            <w:r>
              <w:rPr>
                <w:rFonts w:hint="eastAsia" w:cs="宋体"/>
                <w:color w:val="auto"/>
                <w:highlight w:val="none"/>
                <w:lang w:eastAsia="zh-CN"/>
              </w:rPr>
              <w:t>【</w:t>
            </w:r>
            <w:r>
              <w:rPr>
                <w:rFonts w:hint="eastAsia" w:cs="宋体"/>
                <w:color w:val="auto"/>
                <w:highlight w:val="none"/>
                <w:lang w:val="en-US" w:eastAsia="zh-CN"/>
              </w:rPr>
              <w:t>主观分</w:t>
            </w:r>
            <w:r>
              <w:rPr>
                <w:rFonts w:hint="eastAsia" w:cs="宋体"/>
                <w:color w:val="auto"/>
                <w:highlight w:val="none"/>
                <w:lang w:eastAsia="zh-CN"/>
              </w:rPr>
              <w:t>】</w:t>
            </w:r>
          </w:p>
          <w:p w14:paraId="077EACA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cs="宋体"/>
                <w:color w:val="auto"/>
                <w:szCs w:val="21"/>
                <w:highlight w:val="none"/>
              </w:rPr>
            </w:pPr>
            <w:r>
              <w:rPr>
                <w:rFonts w:hint="eastAsia"/>
                <w:color w:val="auto"/>
                <w:highlight w:val="none"/>
              </w:rPr>
              <w:t>注：须提供参与本项目团队人员名单、相关专业证书以及近三个月的连续社保缴纳证明并加盖公章，不提供不得分。</w:t>
            </w:r>
          </w:p>
        </w:tc>
        <w:tc>
          <w:tcPr>
            <w:tcW w:w="791" w:type="dxa"/>
            <w:vAlign w:val="center"/>
          </w:tcPr>
          <w:p w14:paraId="085F8A5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分</w:t>
            </w:r>
          </w:p>
        </w:tc>
      </w:tr>
      <w:tr w14:paraId="558C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5D06756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s="宋体"/>
                <w:b/>
                <w:bCs/>
                <w:color w:val="auto"/>
                <w:szCs w:val="21"/>
                <w:highlight w:val="none"/>
                <w:lang w:val="en-US" w:eastAsia="zh-CN"/>
              </w:rPr>
            </w:pPr>
            <w:r>
              <w:rPr>
                <w:rFonts w:hint="eastAsia" w:cs="宋体"/>
                <w:b w:val="0"/>
                <w:bCs w:val="0"/>
                <w:color w:val="auto"/>
                <w:szCs w:val="21"/>
                <w:highlight w:val="none"/>
                <w:lang w:val="en-US" w:eastAsia="zh-CN"/>
              </w:rPr>
              <w:t>7</w:t>
            </w:r>
          </w:p>
        </w:tc>
        <w:tc>
          <w:tcPr>
            <w:tcW w:w="1293" w:type="dxa"/>
            <w:tcBorders>
              <w:top w:val="single" w:color="auto" w:sz="4" w:space="0"/>
              <w:left w:val="single" w:color="auto" w:sz="4" w:space="0"/>
              <w:bottom w:val="single" w:color="auto" w:sz="4" w:space="0"/>
              <w:right w:val="single" w:color="auto" w:sz="4" w:space="0"/>
            </w:tcBorders>
            <w:vAlign w:val="center"/>
          </w:tcPr>
          <w:p w14:paraId="26094DA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b/>
                <w:bCs/>
                <w:color w:val="auto"/>
                <w:szCs w:val="21"/>
                <w:highlight w:val="none"/>
              </w:rPr>
              <w:t>培训方案</w:t>
            </w:r>
          </w:p>
        </w:tc>
        <w:tc>
          <w:tcPr>
            <w:tcW w:w="7261" w:type="dxa"/>
            <w:tcBorders>
              <w:top w:val="single" w:color="auto" w:sz="4" w:space="0"/>
              <w:left w:val="single" w:color="auto" w:sz="4" w:space="0"/>
              <w:bottom w:val="single" w:color="auto" w:sz="4" w:space="0"/>
              <w:right w:val="single" w:color="auto" w:sz="4" w:space="0"/>
            </w:tcBorders>
            <w:vAlign w:val="center"/>
          </w:tcPr>
          <w:p w14:paraId="6616226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投标人针对本项目的培训方案（包括培训内容、人员、时间、目标等）：内容全面科学、目标明确、人员充足、时间安排合理的，得</w:t>
            </w:r>
            <w:r>
              <w:rPr>
                <w:rFonts w:hint="eastAsia"/>
                <w:color w:val="auto"/>
                <w:highlight w:val="none"/>
                <w:lang w:val="en-US" w:eastAsia="zh-CN"/>
              </w:rPr>
              <w:t>4</w:t>
            </w:r>
            <w:r>
              <w:rPr>
                <w:rFonts w:hint="eastAsia"/>
                <w:color w:val="auto"/>
                <w:highlight w:val="none"/>
              </w:rPr>
              <w:t>分；存在欠缺或不合理处的，每项扣</w:t>
            </w:r>
            <w:r>
              <w:rPr>
                <w:rFonts w:hint="eastAsia"/>
                <w:color w:val="auto"/>
                <w:highlight w:val="none"/>
                <w:lang w:val="en-US" w:eastAsia="zh-CN"/>
              </w:rPr>
              <w:t>1</w:t>
            </w:r>
            <w:r>
              <w:rPr>
                <w:rFonts w:hint="eastAsia"/>
                <w:color w:val="auto"/>
                <w:highlight w:val="none"/>
              </w:rPr>
              <w:t>分，扣完本项得分为止。</w:t>
            </w:r>
            <w:r>
              <w:rPr>
                <w:rFonts w:hint="eastAsia" w:cs="宋体"/>
                <w:color w:val="auto"/>
                <w:highlight w:val="none"/>
                <w:lang w:eastAsia="zh-CN"/>
              </w:rPr>
              <w:t>（</w:t>
            </w:r>
            <w:r>
              <w:rPr>
                <w:rFonts w:hint="eastAsia" w:cs="宋体"/>
                <w:color w:val="auto"/>
                <w:highlight w:val="none"/>
                <w:lang w:val="en-US" w:eastAsia="zh-CN"/>
              </w:rPr>
              <w:t>评分范围：0，1，2，3，4</w:t>
            </w:r>
            <w:r>
              <w:rPr>
                <w:rFonts w:hint="eastAsia" w:cs="宋体"/>
                <w:color w:val="auto"/>
                <w:highlight w:val="none"/>
                <w:lang w:eastAsia="zh-CN"/>
              </w:rPr>
              <w:t>）【</w:t>
            </w:r>
            <w:r>
              <w:rPr>
                <w:rFonts w:hint="eastAsia" w:cs="宋体"/>
                <w:color w:val="auto"/>
                <w:highlight w:val="none"/>
                <w:lang w:val="en-US" w:eastAsia="zh-CN"/>
              </w:rPr>
              <w:t>主观分</w:t>
            </w:r>
            <w:r>
              <w:rPr>
                <w:rFonts w:hint="eastAsia" w:cs="宋体"/>
                <w:color w:val="auto"/>
                <w:highlight w:val="none"/>
                <w:lang w:eastAsia="zh-CN"/>
              </w:rPr>
              <w:t>】</w:t>
            </w:r>
          </w:p>
        </w:tc>
        <w:tc>
          <w:tcPr>
            <w:tcW w:w="791" w:type="dxa"/>
            <w:tcBorders>
              <w:top w:val="single" w:color="auto" w:sz="4" w:space="0"/>
              <w:left w:val="single" w:color="auto" w:sz="4" w:space="0"/>
              <w:bottom w:val="single" w:color="auto" w:sz="4" w:space="0"/>
              <w:right w:val="single" w:color="auto" w:sz="4" w:space="0"/>
            </w:tcBorders>
            <w:vAlign w:val="center"/>
          </w:tcPr>
          <w:p w14:paraId="46791A2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kern w:val="0"/>
                <w:szCs w:val="21"/>
                <w:highlight w:val="none"/>
                <w:lang w:bidi="ar"/>
              </w:rPr>
            </w:pPr>
            <w:r>
              <w:rPr>
                <w:rFonts w:hint="eastAsia" w:cs="宋体"/>
                <w:color w:val="auto"/>
                <w:kern w:val="0"/>
                <w:szCs w:val="21"/>
                <w:highlight w:val="none"/>
                <w:lang w:val="en-US" w:eastAsia="zh-CN" w:bidi="ar"/>
              </w:rPr>
              <w:t>4</w:t>
            </w:r>
            <w:r>
              <w:rPr>
                <w:rFonts w:hint="eastAsia" w:cs="宋体"/>
                <w:color w:val="auto"/>
                <w:kern w:val="0"/>
                <w:szCs w:val="21"/>
                <w:highlight w:val="none"/>
                <w:lang w:bidi="ar"/>
              </w:rPr>
              <w:t>分</w:t>
            </w:r>
          </w:p>
        </w:tc>
      </w:tr>
      <w:tr w14:paraId="08BC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009D43C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s="宋体"/>
                <w:color w:val="auto"/>
                <w:szCs w:val="21"/>
                <w:highlight w:val="none"/>
                <w:lang w:val="en-US" w:eastAsia="zh-CN"/>
              </w:rPr>
            </w:pPr>
            <w:r>
              <w:rPr>
                <w:rFonts w:hint="eastAsia" w:cs="宋体"/>
                <w:color w:val="auto"/>
                <w:szCs w:val="21"/>
                <w:highlight w:val="none"/>
                <w:lang w:val="en-US" w:eastAsia="zh-CN"/>
              </w:rPr>
              <w:t>8</w:t>
            </w:r>
          </w:p>
        </w:tc>
        <w:tc>
          <w:tcPr>
            <w:tcW w:w="1293" w:type="dxa"/>
            <w:tcBorders>
              <w:top w:val="single" w:color="auto" w:sz="4" w:space="0"/>
              <w:left w:val="single" w:color="auto" w:sz="4" w:space="0"/>
              <w:bottom w:val="single" w:color="auto" w:sz="4" w:space="0"/>
              <w:right w:val="single" w:color="auto" w:sz="4" w:space="0"/>
            </w:tcBorders>
            <w:vAlign w:val="center"/>
          </w:tcPr>
          <w:p w14:paraId="16BE9A1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b/>
                <w:bCs/>
                <w:color w:val="auto"/>
                <w:szCs w:val="21"/>
                <w:highlight w:val="none"/>
              </w:rPr>
              <w:t>应急预案</w:t>
            </w:r>
          </w:p>
        </w:tc>
        <w:tc>
          <w:tcPr>
            <w:tcW w:w="7261" w:type="dxa"/>
            <w:tcBorders>
              <w:top w:val="single" w:color="auto" w:sz="4" w:space="0"/>
              <w:left w:val="single" w:color="auto" w:sz="4" w:space="0"/>
              <w:bottom w:val="single" w:color="auto" w:sz="4" w:space="0"/>
              <w:right w:val="single" w:color="auto" w:sz="4" w:space="0"/>
            </w:tcBorders>
            <w:vAlign w:val="center"/>
          </w:tcPr>
          <w:p w14:paraId="23E4975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s="宋体"/>
                <w:color w:val="auto"/>
                <w:kern w:val="0"/>
                <w:highlight w:val="none"/>
                <w:lang w:bidi="ar"/>
              </w:rPr>
              <w:t>应急预案须具有预防及预警机制、运维应急、应急处置、善后处置、监督管理的关键步骤描述，预案内容完善充实，合理可行视为符合。完全符合得3分；基本符合得2分；部分符合得1分；不符合或未提供相关内容不得分。</w:t>
            </w:r>
            <w:r>
              <w:rPr>
                <w:rFonts w:hint="eastAsia" w:cs="宋体"/>
                <w:color w:val="auto"/>
                <w:highlight w:val="none"/>
                <w:lang w:eastAsia="zh-CN"/>
              </w:rPr>
              <w:t>（</w:t>
            </w:r>
            <w:r>
              <w:rPr>
                <w:rFonts w:hint="eastAsia" w:cs="宋体"/>
                <w:color w:val="auto"/>
                <w:highlight w:val="none"/>
                <w:lang w:val="en-US" w:eastAsia="zh-CN"/>
              </w:rPr>
              <w:t>评分范围：0，1，2，3</w:t>
            </w:r>
            <w:r>
              <w:rPr>
                <w:rFonts w:hint="eastAsia" w:cs="宋体"/>
                <w:color w:val="auto"/>
                <w:highlight w:val="none"/>
                <w:lang w:eastAsia="zh-CN"/>
              </w:rPr>
              <w:t>）【</w:t>
            </w:r>
            <w:r>
              <w:rPr>
                <w:rFonts w:hint="eastAsia" w:cs="宋体"/>
                <w:color w:val="auto"/>
                <w:highlight w:val="none"/>
                <w:lang w:val="en-US" w:eastAsia="zh-CN"/>
              </w:rPr>
              <w:t>主观分</w:t>
            </w:r>
            <w:r>
              <w:rPr>
                <w:rFonts w:hint="eastAsia" w:cs="宋体"/>
                <w:color w:val="auto"/>
                <w:highlight w:val="none"/>
                <w:lang w:eastAsia="zh-CN"/>
              </w:rPr>
              <w:t>】</w:t>
            </w:r>
          </w:p>
        </w:tc>
        <w:tc>
          <w:tcPr>
            <w:tcW w:w="791" w:type="dxa"/>
            <w:tcBorders>
              <w:top w:val="single" w:color="auto" w:sz="4" w:space="0"/>
              <w:left w:val="single" w:color="auto" w:sz="4" w:space="0"/>
              <w:bottom w:val="single" w:color="auto" w:sz="4" w:space="0"/>
              <w:right w:val="single" w:color="auto" w:sz="4" w:space="0"/>
            </w:tcBorders>
            <w:vAlign w:val="center"/>
          </w:tcPr>
          <w:p w14:paraId="6F2086A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kern w:val="0"/>
                <w:szCs w:val="21"/>
                <w:highlight w:val="none"/>
                <w:lang w:bidi="ar"/>
              </w:rPr>
            </w:pPr>
            <w:r>
              <w:rPr>
                <w:rFonts w:hint="eastAsia" w:cs="宋体"/>
                <w:color w:val="auto"/>
                <w:kern w:val="0"/>
                <w:szCs w:val="21"/>
                <w:highlight w:val="none"/>
                <w:lang w:bidi="ar"/>
              </w:rPr>
              <w:t>3分</w:t>
            </w:r>
          </w:p>
        </w:tc>
      </w:tr>
      <w:tr w14:paraId="28D1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3EA609A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s="宋体"/>
                <w:b/>
                <w:bCs/>
                <w:color w:val="auto"/>
                <w:szCs w:val="21"/>
                <w:highlight w:val="none"/>
                <w:lang w:val="en-US" w:eastAsia="zh-CN"/>
              </w:rPr>
            </w:pPr>
            <w:r>
              <w:rPr>
                <w:rFonts w:hint="eastAsia" w:cs="宋体"/>
                <w:b w:val="0"/>
                <w:bCs w:val="0"/>
                <w:color w:val="auto"/>
                <w:szCs w:val="21"/>
                <w:highlight w:val="none"/>
                <w:lang w:val="en-US" w:eastAsia="zh-CN"/>
              </w:rPr>
              <w:t>9</w:t>
            </w:r>
          </w:p>
        </w:tc>
        <w:tc>
          <w:tcPr>
            <w:tcW w:w="1293" w:type="dxa"/>
            <w:tcBorders>
              <w:top w:val="single" w:color="auto" w:sz="4" w:space="0"/>
              <w:left w:val="single" w:color="auto" w:sz="4" w:space="0"/>
              <w:bottom w:val="single" w:color="auto" w:sz="4" w:space="0"/>
              <w:right w:val="single" w:color="auto" w:sz="4" w:space="0"/>
            </w:tcBorders>
            <w:vAlign w:val="center"/>
          </w:tcPr>
          <w:p w14:paraId="353346F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b/>
                <w:bCs/>
                <w:color w:val="auto"/>
                <w:szCs w:val="21"/>
                <w:highlight w:val="none"/>
              </w:rPr>
            </w:pPr>
            <w:r>
              <w:rPr>
                <w:rFonts w:hint="eastAsia" w:cs="宋体"/>
                <w:b/>
                <w:bCs/>
                <w:color w:val="auto"/>
                <w:szCs w:val="21"/>
                <w:highlight w:val="none"/>
              </w:rPr>
              <w:t>售后服务</w:t>
            </w:r>
          </w:p>
        </w:tc>
        <w:tc>
          <w:tcPr>
            <w:tcW w:w="7261" w:type="dxa"/>
            <w:tcBorders>
              <w:top w:val="single" w:color="auto" w:sz="4" w:space="0"/>
              <w:left w:val="single" w:color="auto" w:sz="4" w:space="0"/>
              <w:bottom w:val="single" w:color="auto" w:sz="4" w:space="0"/>
              <w:right w:val="single" w:color="auto" w:sz="4" w:space="0"/>
            </w:tcBorders>
            <w:vAlign w:val="center"/>
          </w:tcPr>
          <w:p w14:paraId="252512D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color w:val="auto"/>
                <w:highlight w:val="none"/>
              </w:rPr>
            </w:pPr>
            <w:r>
              <w:rPr>
                <w:rFonts w:hint="eastAsia"/>
                <w:color w:val="auto"/>
                <w:highlight w:val="none"/>
              </w:rPr>
              <w:t>（1）根据投标人提供的售后服务方案进行综合评定（内容包括售后服务网点设置、售后服务体系、售后服务人员配备、售后服务承诺等）</w:t>
            </w:r>
            <w:r>
              <w:rPr>
                <w:rFonts w:hint="eastAsia"/>
                <w:color w:val="auto"/>
                <w:highlight w:val="none"/>
                <w:lang w:val="en-US" w:eastAsia="zh-CN"/>
              </w:rPr>
              <w:t>进行</w:t>
            </w:r>
            <w:r>
              <w:rPr>
                <w:rFonts w:hint="eastAsia"/>
                <w:color w:val="auto"/>
                <w:highlight w:val="none"/>
              </w:rPr>
              <w:t>打分，最高得</w:t>
            </w:r>
            <w:r>
              <w:rPr>
                <w:rFonts w:hint="eastAsia"/>
                <w:color w:val="auto"/>
                <w:highlight w:val="none"/>
                <w:lang w:val="en-US" w:eastAsia="zh-CN"/>
              </w:rPr>
              <w:t>5</w:t>
            </w:r>
            <w:r>
              <w:rPr>
                <w:rFonts w:hint="eastAsia"/>
                <w:color w:val="auto"/>
                <w:highlight w:val="none"/>
              </w:rPr>
              <w:t>分。</w:t>
            </w:r>
            <w:r>
              <w:rPr>
                <w:rFonts w:hint="eastAsia" w:cs="宋体"/>
                <w:color w:val="auto"/>
                <w:highlight w:val="none"/>
                <w:lang w:eastAsia="zh-CN"/>
              </w:rPr>
              <w:t>（</w:t>
            </w:r>
            <w:r>
              <w:rPr>
                <w:rFonts w:hint="eastAsia" w:cs="宋体"/>
                <w:color w:val="auto"/>
                <w:highlight w:val="none"/>
                <w:lang w:val="en-US" w:eastAsia="zh-CN"/>
              </w:rPr>
              <w:t>评分范围：0，1，2，3，4，5</w:t>
            </w:r>
            <w:r>
              <w:rPr>
                <w:rFonts w:hint="eastAsia" w:cs="宋体"/>
                <w:color w:val="auto"/>
                <w:highlight w:val="none"/>
                <w:lang w:eastAsia="zh-CN"/>
              </w:rPr>
              <w:t>）【</w:t>
            </w:r>
            <w:r>
              <w:rPr>
                <w:rFonts w:hint="eastAsia" w:cs="宋体"/>
                <w:color w:val="auto"/>
                <w:highlight w:val="none"/>
                <w:lang w:val="en-US" w:eastAsia="zh-CN"/>
              </w:rPr>
              <w:t>主观分</w:t>
            </w:r>
            <w:r>
              <w:rPr>
                <w:rFonts w:hint="eastAsia" w:cs="宋体"/>
                <w:color w:val="auto"/>
                <w:highlight w:val="none"/>
                <w:lang w:eastAsia="zh-CN"/>
              </w:rPr>
              <w:t>】</w:t>
            </w:r>
          </w:p>
          <w:p w14:paraId="07C6DB2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eastAsia="宋体"/>
                <w:color w:val="auto"/>
                <w:highlight w:val="none"/>
                <w:lang w:val="en-US" w:eastAsia="zh-CN"/>
              </w:rPr>
            </w:pPr>
            <w:r>
              <w:rPr>
                <w:rFonts w:hint="eastAsia"/>
                <w:color w:val="auto"/>
                <w:highlight w:val="none"/>
              </w:rPr>
              <w:t>（2）质保期内售后服务响应时间：接到</w:t>
            </w:r>
            <w:r>
              <w:rPr>
                <w:rFonts w:hint="eastAsia"/>
                <w:color w:val="auto"/>
                <w:highlight w:val="none"/>
                <w:lang w:eastAsia="zh-CN"/>
              </w:rPr>
              <w:t>招标人</w:t>
            </w:r>
            <w:r>
              <w:rPr>
                <w:rFonts w:hint="eastAsia"/>
                <w:color w:val="auto"/>
                <w:highlight w:val="none"/>
              </w:rPr>
              <w:t>通知（电话、电传等）后4小时内到达现场响应，在此基础上每减少1小时加1分，最高得2分。</w:t>
            </w:r>
            <w:r>
              <w:rPr>
                <w:rFonts w:hint="eastAsia" w:cs="宋体"/>
                <w:color w:val="auto"/>
                <w:highlight w:val="none"/>
                <w:lang w:eastAsia="zh-CN"/>
              </w:rPr>
              <w:t>（</w:t>
            </w:r>
            <w:r>
              <w:rPr>
                <w:rFonts w:hint="eastAsia" w:cs="宋体"/>
                <w:color w:val="auto"/>
                <w:highlight w:val="none"/>
                <w:lang w:val="en-US" w:eastAsia="zh-CN"/>
              </w:rPr>
              <w:t>评分范围：0，1，2</w:t>
            </w:r>
            <w:r>
              <w:rPr>
                <w:rFonts w:hint="eastAsia" w:cs="宋体"/>
                <w:color w:val="auto"/>
                <w:highlight w:val="none"/>
                <w:lang w:eastAsia="zh-CN"/>
              </w:rPr>
              <w:t>）【</w:t>
            </w:r>
            <w:r>
              <w:rPr>
                <w:rFonts w:hint="eastAsia" w:cs="宋体"/>
                <w:color w:val="auto"/>
                <w:highlight w:val="none"/>
                <w:lang w:val="en-US" w:eastAsia="zh-CN"/>
              </w:rPr>
              <w:t>客观分</w:t>
            </w:r>
            <w:r>
              <w:rPr>
                <w:rFonts w:hint="eastAsia" w:cs="宋体"/>
                <w:color w:val="auto"/>
                <w:highlight w:val="none"/>
                <w:lang w:eastAsia="zh-CN"/>
              </w:rPr>
              <w:t>】</w:t>
            </w:r>
            <w:r>
              <w:rPr>
                <w:rFonts w:hint="eastAsia"/>
                <w:color w:val="auto"/>
                <w:highlight w:val="none"/>
              </w:rPr>
              <w:br w:type="textWrapping"/>
            </w: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质保期：投标人承诺的质保期为3年的本项不得分，在3年质保期的基础上每延长一年得1分，最多得2分。(延长不足一年的不计入打分)</w:t>
            </w:r>
            <w:r>
              <w:rPr>
                <w:rFonts w:hint="eastAsia" w:cs="宋体"/>
                <w:color w:val="auto"/>
                <w:highlight w:val="none"/>
                <w:lang w:eastAsia="zh-CN"/>
              </w:rPr>
              <w:t>（</w:t>
            </w:r>
            <w:r>
              <w:rPr>
                <w:rFonts w:hint="eastAsia" w:cs="宋体"/>
                <w:color w:val="auto"/>
                <w:highlight w:val="none"/>
                <w:lang w:val="en-US" w:eastAsia="zh-CN"/>
              </w:rPr>
              <w:t>评分范围：0，1，2</w:t>
            </w:r>
            <w:r>
              <w:rPr>
                <w:rFonts w:hint="eastAsia" w:cs="宋体"/>
                <w:color w:val="auto"/>
                <w:highlight w:val="none"/>
                <w:lang w:eastAsia="zh-CN"/>
              </w:rPr>
              <w:t>）【</w:t>
            </w:r>
            <w:r>
              <w:rPr>
                <w:rFonts w:hint="eastAsia" w:cs="宋体"/>
                <w:color w:val="auto"/>
                <w:highlight w:val="none"/>
                <w:lang w:val="en-US" w:eastAsia="zh-CN"/>
              </w:rPr>
              <w:t>客观分</w:t>
            </w:r>
            <w:r>
              <w:rPr>
                <w:rFonts w:hint="eastAsia" w:cs="宋体"/>
                <w:color w:val="auto"/>
                <w:highlight w:val="none"/>
                <w:lang w:eastAsia="zh-CN"/>
              </w:rPr>
              <w:t>】</w:t>
            </w:r>
          </w:p>
        </w:tc>
        <w:tc>
          <w:tcPr>
            <w:tcW w:w="791" w:type="dxa"/>
            <w:tcBorders>
              <w:top w:val="single" w:color="auto" w:sz="4" w:space="0"/>
              <w:left w:val="single" w:color="auto" w:sz="4" w:space="0"/>
              <w:bottom w:val="single" w:color="auto" w:sz="4" w:space="0"/>
              <w:right w:val="single" w:color="auto" w:sz="4" w:space="0"/>
            </w:tcBorders>
            <w:vAlign w:val="center"/>
          </w:tcPr>
          <w:p w14:paraId="2B3BF23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宋体"/>
                <w:color w:val="auto"/>
                <w:szCs w:val="21"/>
                <w:highlight w:val="none"/>
              </w:rPr>
            </w:pPr>
            <w:r>
              <w:rPr>
                <w:rFonts w:hint="eastAsia" w:cs="宋体"/>
                <w:color w:val="auto"/>
                <w:szCs w:val="21"/>
                <w:highlight w:val="none"/>
                <w:lang w:val="en-US" w:eastAsia="zh-CN"/>
              </w:rPr>
              <w:t>9</w:t>
            </w:r>
            <w:r>
              <w:rPr>
                <w:rFonts w:hint="eastAsia" w:cs="宋体"/>
                <w:color w:val="auto"/>
                <w:szCs w:val="21"/>
                <w:highlight w:val="none"/>
              </w:rPr>
              <w:t>分</w:t>
            </w:r>
          </w:p>
        </w:tc>
      </w:tr>
    </w:tbl>
    <w:p w14:paraId="767255A7">
      <w:pPr>
        <w:pStyle w:val="41"/>
        <w:ind w:firstLine="194"/>
        <w:rPr>
          <w:rFonts w:ascii="宋体" w:hAnsi="宋体" w:eastAsia="宋体"/>
          <w:color w:val="auto"/>
          <w:highlight w:val="none"/>
        </w:rPr>
        <w:sectPr>
          <w:pgSz w:w="11907" w:h="16840"/>
          <w:pgMar w:top="1440" w:right="1080" w:bottom="1440" w:left="1080" w:header="720" w:footer="720" w:gutter="0"/>
          <w:pgNumType w:fmt="decimal"/>
          <w:cols w:space="720" w:num="1"/>
          <w:docGrid w:linePitch="286" w:charSpace="0"/>
        </w:sectPr>
      </w:pPr>
    </w:p>
    <w:bookmarkEnd w:id="94"/>
    <w:bookmarkEnd w:id="95"/>
    <w:bookmarkEnd w:id="96"/>
    <w:p w14:paraId="0FD9D7F2">
      <w:pPr>
        <w:pStyle w:val="3"/>
        <w:rPr>
          <w:rFonts w:asciiTheme="minorEastAsia" w:hAnsiTheme="minorEastAsia" w:eastAsiaTheme="minorEastAsia" w:cstheme="minorEastAsia"/>
          <w:color w:val="auto"/>
          <w:highlight w:val="none"/>
        </w:rPr>
      </w:pPr>
      <w:bookmarkStart w:id="99" w:name="_Toc16272"/>
      <w:r>
        <w:rPr>
          <w:rFonts w:hint="eastAsia" w:asciiTheme="minorEastAsia" w:hAnsiTheme="minorEastAsia" w:eastAsiaTheme="minorEastAsia" w:cstheme="minorEastAsia"/>
          <w:color w:val="auto"/>
          <w:szCs w:val="32"/>
          <w:highlight w:val="none"/>
        </w:rPr>
        <w:t xml:space="preserve">第五章 </w:t>
      </w:r>
      <w:r>
        <w:rPr>
          <w:rStyle w:val="56"/>
          <w:rFonts w:hint="eastAsia" w:asciiTheme="minorEastAsia" w:hAnsiTheme="minorEastAsia" w:eastAsiaTheme="minorEastAsia" w:cstheme="minorEastAsia"/>
          <w:b/>
          <w:bCs/>
          <w:color w:val="auto"/>
          <w:highlight w:val="none"/>
        </w:rPr>
        <w:t>合同主要格式及条款</w:t>
      </w:r>
      <w:bookmarkEnd w:id="99"/>
    </w:p>
    <w:p w14:paraId="1A12B997">
      <w:pPr>
        <w:adjustRightInd w:val="0"/>
        <w:snapToGrid w:val="0"/>
        <w:spacing w:beforeLines="0" w:afterLines="0" w:line="360" w:lineRule="auto"/>
        <w:ind w:right="0" w:rightChars="0" w:firstLine="482"/>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cs="宋体"/>
          <w:b/>
          <w:bCs/>
          <w:color w:val="auto"/>
          <w:highlight w:val="none"/>
        </w:rPr>
        <w:t>本合同条款仅供参考，供需双方在签订合同时，应在不违背本项目采购文件实质性条款的基础上，视具体情况进行补充或删减</w:t>
      </w:r>
      <w:r>
        <w:rPr>
          <w:rFonts w:hint="eastAsia" w:ascii="宋体" w:hAnsi="宋体" w:eastAsia="宋体" w:cs="宋体"/>
          <w:b/>
          <w:color w:val="auto"/>
          <w:highlight w:val="none"/>
        </w:rPr>
        <w:t>）</w:t>
      </w:r>
    </w:p>
    <w:p w14:paraId="3C059609">
      <w:pPr>
        <w:pStyle w:val="14"/>
        <w:pageBreakBefore w:val="0"/>
        <w:kinsoku/>
        <w:overflowPunct/>
        <w:topLinePunct w:val="0"/>
        <w:bidi w:val="0"/>
        <w:adjustRightInd w:val="0"/>
        <w:snapToGrid w:val="0"/>
        <w:spacing w:beforeLines="0" w:afterLines="0" w:line="360" w:lineRule="auto"/>
        <w:ind w:left="0" w:leftChars="0" w:right="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u w:val="single"/>
          <w:lang w:eastAsia="zh-CN"/>
        </w:rPr>
        <w:t>长兴县学校视频监控升级采购项目</w:t>
      </w:r>
      <w:r>
        <w:rPr>
          <w:rFonts w:hint="eastAsia" w:ascii="宋体" w:hAnsi="宋体" w:eastAsia="宋体" w:cs="宋体"/>
          <w:b/>
          <w:bCs/>
          <w:color w:val="auto"/>
          <w:sz w:val="28"/>
          <w:szCs w:val="28"/>
          <w:highlight w:val="none"/>
          <w:u w:val="single"/>
          <w:lang w:val="en-US" w:eastAsia="zh-CN"/>
        </w:rPr>
        <w:t>合同</w:t>
      </w:r>
    </w:p>
    <w:p w14:paraId="19B6EB23">
      <w:pPr>
        <w:pStyle w:val="14"/>
        <w:pageBreakBefore w:val="0"/>
        <w:kinsoku/>
        <w:overflowPunct/>
        <w:topLinePunct w:val="0"/>
        <w:bidi w:val="0"/>
        <w:adjustRightInd w:val="0"/>
        <w:snapToGrid w:val="0"/>
        <w:spacing w:beforeLines="0" w:afterLines="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长兴县</w:t>
      </w:r>
      <w:r>
        <w:rPr>
          <w:rFonts w:hint="eastAsia" w:ascii="宋体" w:hAnsi="宋体" w:eastAsia="宋体" w:cs="宋体"/>
          <w:color w:val="auto"/>
          <w:sz w:val="24"/>
          <w:szCs w:val="24"/>
          <w:highlight w:val="none"/>
          <w:u w:val="single"/>
          <w:lang w:eastAsia="zh-CN"/>
        </w:rPr>
        <w:t>教育局</w:t>
      </w:r>
      <w:r>
        <w:rPr>
          <w:rFonts w:hint="eastAsia" w:ascii="宋体" w:hAnsi="宋体" w:eastAsia="宋体" w:cs="宋体"/>
          <w:sz w:val="24"/>
          <w:szCs w:val="24"/>
        </w:rPr>
        <w:t>（以下简称甲方）</w:t>
      </w:r>
    </w:p>
    <w:p w14:paraId="69379DB4">
      <w:pPr>
        <w:pStyle w:val="14"/>
        <w:pageBreakBefore w:val="0"/>
        <w:kinsoku/>
        <w:overflowPunct/>
        <w:topLinePunct w:val="0"/>
        <w:bidi w:val="0"/>
        <w:adjustRightInd w:val="0"/>
        <w:snapToGrid w:val="0"/>
        <w:spacing w:beforeLines="0" w:afterLines="0" w:line="360" w:lineRule="auto"/>
        <w:ind w:left="0" w:leftChars="0" w:right="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w:t>
      </w:r>
      <w:r>
        <w:rPr>
          <w:rFonts w:hint="eastAsia"/>
          <w:u w:val="none"/>
          <w:lang w:val="en-US" w:eastAsia="zh-CN"/>
        </w:rPr>
        <w:t xml:space="preserve">            </w:t>
      </w:r>
    </w:p>
    <w:p w14:paraId="670A354B">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长兴县</w:t>
      </w:r>
      <w:r>
        <w:rPr>
          <w:rFonts w:hint="eastAsia" w:ascii="宋体" w:hAnsi="宋体" w:eastAsia="宋体" w:cs="宋体"/>
          <w:color w:val="auto"/>
          <w:sz w:val="24"/>
          <w:szCs w:val="24"/>
          <w:highlight w:val="none"/>
          <w:u w:val="single"/>
          <w:lang w:eastAsia="zh-CN"/>
        </w:rPr>
        <w:t>学校视频监控升级采购</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rPr>
        <w:t>的招标结果，乙方为中标单位，按照《中华人民共和国政府采购法》、《中华人民共和国民法典》的规定，本着平等互利和诚实信用的原则，经双方协议，一致同意签订本合同如下。</w:t>
      </w:r>
    </w:p>
    <w:p w14:paraId="5E95E52C">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 采购内容</w:t>
      </w:r>
    </w:p>
    <w:p w14:paraId="0B8E4979">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长兴县</w:t>
      </w:r>
      <w:r>
        <w:rPr>
          <w:rFonts w:hint="eastAsia" w:ascii="宋体" w:hAnsi="宋体" w:eastAsia="宋体" w:cs="宋体"/>
          <w:color w:val="auto"/>
          <w:sz w:val="24"/>
          <w:szCs w:val="24"/>
          <w:highlight w:val="none"/>
          <w:u w:val="single"/>
          <w:lang w:eastAsia="zh-CN"/>
        </w:rPr>
        <w:t>学校视频监控升级采购</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rPr>
        <w:t>。</w:t>
      </w:r>
    </w:p>
    <w:p w14:paraId="7ADB675D">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型号规格（主要功能）：具体以</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为准。</w:t>
      </w:r>
    </w:p>
    <w:p w14:paraId="37281353">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技术参数：具体以</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为准。</w:t>
      </w:r>
    </w:p>
    <w:p w14:paraId="7C1BFF62">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数量(单位):1</w:t>
      </w:r>
      <w:r>
        <w:rPr>
          <w:rFonts w:hint="eastAsia" w:ascii="宋体" w:hAnsi="宋体" w:eastAsia="宋体" w:cs="宋体"/>
          <w:color w:val="auto"/>
          <w:sz w:val="24"/>
          <w:szCs w:val="24"/>
          <w:highlight w:val="none"/>
          <w:lang w:val="en-US" w:eastAsia="zh-CN"/>
        </w:rPr>
        <w:t>批</w:t>
      </w:r>
      <w:r>
        <w:rPr>
          <w:rFonts w:hint="eastAsia" w:ascii="宋体" w:hAnsi="宋体" w:eastAsia="宋体" w:cs="宋体"/>
          <w:color w:val="auto"/>
          <w:sz w:val="24"/>
          <w:szCs w:val="24"/>
          <w:highlight w:val="none"/>
        </w:rPr>
        <w:t>（详见采购清单）</w:t>
      </w:r>
    </w:p>
    <w:p w14:paraId="4B06BA0F">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二、合同金额</w:t>
      </w:r>
    </w:p>
    <w:p w14:paraId="40296F2B">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cs="宋体"/>
          <w:u w:val="single"/>
        </w:rPr>
        <w:t xml:space="preserve">             </w:t>
      </w:r>
      <w:r>
        <w:rPr>
          <w:rFonts w:hint="eastAsia" w:cs="宋体"/>
          <w:u w:val="none"/>
          <w:lang w:eastAsia="zh-CN"/>
        </w:rPr>
        <w:t>元整。</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F6E79F4">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三、项目交付时间、方式与地点</w:t>
      </w:r>
    </w:p>
    <w:p w14:paraId="167CC554">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交付时间：合同签订之日起</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日内（自2024年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日起至2024年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日止）。</w:t>
      </w:r>
    </w:p>
    <w:p w14:paraId="04A177B7">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交付方式：完成设备和设施安装、软件预装，调试并正常运行，整体验收合格。</w:t>
      </w:r>
    </w:p>
    <w:p w14:paraId="736343D0">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指定地点。</w:t>
      </w:r>
    </w:p>
    <w:p w14:paraId="5871DBBF">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四、技术资料</w:t>
      </w:r>
    </w:p>
    <w:p w14:paraId="5BF1386F">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乙方应按采购成交文件规定的时间向甲方提供使用货物/服务的有关技术资料。</w:t>
      </w:r>
    </w:p>
    <w:p w14:paraId="36B78A9F">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须范围。</w:t>
      </w:r>
    </w:p>
    <w:p w14:paraId="56D762F2">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五、知识产权</w:t>
      </w:r>
    </w:p>
    <w:p w14:paraId="667E2993">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乙方应保证所提供的货物/服务或其任何一部分均不会侵犯任何第三方的知识产权。若由此侵犯到第三方知识产权的，一切后果均由乙方承担全部责任。</w:t>
      </w:r>
    </w:p>
    <w:p w14:paraId="7F509D4C">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乙方保证所交付的货物/软件的所有权完全属于乙方且无任何抵押、查封等产权瑕疵。</w:t>
      </w:r>
    </w:p>
    <w:p w14:paraId="6DA4F41F">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定制开发软件的知识产权归甲方所有，未经甲方允许，不得向任何第三方泄露。乙方在本合同项目实施过程中，不得将知悉的信息内容对外宣传或泄露。项目终验合格后，乙方应将设计文件、最终版源代码及后续版本源代码、测试文档、数据资源、数据接口等相关文档应移交给甲方。项目上线并经甲方审核通过后，乙方协助甲方完成本项目知识产权注册登记工作。</w:t>
      </w:r>
    </w:p>
    <w:p w14:paraId="39CB64B5">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、付款方式</w:t>
      </w:r>
    </w:p>
    <w:p w14:paraId="61514E8B">
      <w:pPr>
        <w:adjustRightInd w:val="0"/>
        <w:snapToGrid w:val="0"/>
        <w:spacing w:beforeLines="0" w:line="360" w:lineRule="auto"/>
        <w:ind w:firstLine="480"/>
        <w:rPr>
          <w:rFonts w:hint="eastAsia" w:cs="宋体"/>
          <w:bCs/>
          <w:color w:val="auto"/>
          <w:kern w:val="0"/>
          <w:szCs w:val="21"/>
          <w:highlight w:val="none"/>
          <w:lang w:bidi="zh-CN"/>
        </w:rPr>
      </w:pPr>
      <w:r>
        <w:rPr>
          <w:rFonts w:hint="eastAsia" w:cs="宋体"/>
          <w:bCs/>
          <w:color w:val="auto"/>
          <w:kern w:val="0"/>
          <w:szCs w:val="21"/>
          <w:highlight w:val="none"/>
          <w:lang w:bidi="zh-CN"/>
        </w:rPr>
        <w:t>1.合同生效、具备支付条件后7个工作日内，甲方凭乙方开具的预付款发票及银行、保险公司等金融机构出具的预付款保函，支付40%预付款给乙方，预付款的支付进程不得影响合同的履行。</w:t>
      </w:r>
    </w:p>
    <w:p w14:paraId="275506A6">
      <w:pPr>
        <w:adjustRightInd w:val="0"/>
        <w:snapToGrid w:val="0"/>
        <w:spacing w:beforeLines="0" w:line="360" w:lineRule="auto"/>
        <w:ind w:firstLine="480"/>
        <w:rPr>
          <w:rFonts w:hint="eastAsia" w:cs="宋体"/>
          <w:bCs/>
          <w:color w:val="auto"/>
          <w:kern w:val="0"/>
          <w:szCs w:val="21"/>
          <w:highlight w:val="none"/>
          <w:lang w:bidi="zh-CN"/>
        </w:rPr>
      </w:pPr>
      <w:r>
        <w:rPr>
          <w:rFonts w:hint="eastAsia" w:cs="宋体"/>
          <w:bCs/>
          <w:color w:val="auto"/>
          <w:kern w:val="0"/>
          <w:szCs w:val="21"/>
          <w:highlight w:val="none"/>
          <w:lang w:bidi="zh-CN"/>
        </w:rPr>
        <w:t>2.设备供货完毕，</w:t>
      </w:r>
      <w:r>
        <w:rPr>
          <w:rFonts w:hint="eastAsia" w:cs="宋体"/>
          <w:bCs/>
          <w:color w:val="auto"/>
          <w:kern w:val="0"/>
          <w:szCs w:val="21"/>
          <w:highlight w:val="none"/>
          <w:lang w:val="en-US" w:bidi="zh-CN"/>
        </w:rPr>
        <w:t>收到乙方开具的正规发票</w:t>
      </w:r>
      <w:r>
        <w:rPr>
          <w:rFonts w:hint="eastAsia" w:cs="宋体"/>
          <w:bCs/>
          <w:color w:val="auto"/>
          <w:kern w:val="0"/>
          <w:szCs w:val="21"/>
          <w:highlight w:val="none"/>
          <w:lang w:bidi="zh-CN"/>
        </w:rPr>
        <w:t>后</w:t>
      </w:r>
      <w:r>
        <w:rPr>
          <w:rFonts w:hint="eastAsia" w:cs="宋体"/>
          <w:bCs/>
          <w:color w:val="auto"/>
          <w:kern w:val="0"/>
          <w:szCs w:val="21"/>
          <w:highlight w:val="none"/>
          <w:lang w:val="en-US" w:bidi="zh-CN"/>
        </w:rPr>
        <w:t>7个工作日内</w:t>
      </w:r>
      <w:r>
        <w:rPr>
          <w:rFonts w:hint="eastAsia" w:cs="宋体"/>
          <w:bCs/>
          <w:color w:val="auto"/>
          <w:kern w:val="0"/>
          <w:szCs w:val="21"/>
          <w:highlight w:val="none"/>
          <w:lang w:bidi="zh-CN"/>
        </w:rPr>
        <w:t>，支付至合同</w:t>
      </w:r>
      <w:r>
        <w:rPr>
          <w:rFonts w:hint="eastAsia" w:cs="宋体"/>
          <w:bCs/>
          <w:color w:val="auto"/>
          <w:kern w:val="0"/>
          <w:szCs w:val="21"/>
          <w:highlight w:val="none"/>
          <w:lang w:val="en-US" w:bidi="zh-CN"/>
        </w:rPr>
        <w:t>金额</w:t>
      </w:r>
      <w:r>
        <w:rPr>
          <w:rFonts w:hint="eastAsia" w:cs="宋体"/>
          <w:bCs/>
          <w:color w:val="auto"/>
          <w:kern w:val="0"/>
          <w:szCs w:val="21"/>
          <w:highlight w:val="none"/>
          <w:lang w:bidi="zh-CN"/>
        </w:rPr>
        <w:t>的60%。</w:t>
      </w:r>
    </w:p>
    <w:p w14:paraId="29A97F5B">
      <w:pPr>
        <w:adjustRightInd w:val="0"/>
        <w:snapToGrid w:val="0"/>
        <w:spacing w:beforeLines="0" w:line="360" w:lineRule="auto"/>
        <w:ind w:firstLine="480"/>
        <w:rPr>
          <w:rFonts w:hint="default" w:cs="宋体"/>
          <w:bCs/>
          <w:color w:val="auto"/>
          <w:kern w:val="0"/>
          <w:szCs w:val="21"/>
          <w:highlight w:val="none"/>
          <w:lang w:val="en-US" w:bidi="zh-CN"/>
        </w:rPr>
      </w:pPr>
      <w:r>
        <w:rPr>
          <w:rFonts w:hint="eastAsia" w:cs="宋体"/>
          <w:bCs/>
          <w:color w:val="auto"/>
          <w:kern w:val="0"/>
          <w:szCs w:val="21"/>
          <w:highlight w:val="none"/>
          <w:lang w:val="en-US" w:bidi="zh-CN"/>
        </w:rPr>
        <w:t>3.</w:t>
      </w:r>
      <w:r>
        <w:rPr>
          <w:rFonts w:hint="eastAsia" w:cs="宋体"/>
          <w:bCs/>
          <w:color w:val="auto"/>
          <w:kern w:val="0"/>
          <w:szCs w:val="21"/>
          <w:highlight w:val="none"/>
          <w:lang w:bidi="zh-CN"/>
        </w:rPr>
        <w:t>项目最终整体验收合格，</w:t>
      </w:r>
      <w:r>
        <w:rPr>
          <w:rFonts w:hint="eastAsia" w:cs="宋体"/>
          <w:bCs/>
          <w:color w:val="auto"/>
          <w:kern w:val="0"/>
          <w:szCs w:val="21"/>
          <w:highlight w:val="none"/>
          <w:lang w:val="en-US" w:bidi="zh-CN"/>
        </w:rPr>
        <w:t>收到乙方开具的正规</w:t>
      </w:r>
      <w:r>
        <w:rPr>
          <w:rFonts w:hint="eastAsia" w:cs="宋体"/>
          <w:bCs/>
          <w:color w:val="auto"/>
          <w:kern w:val="0"/>
          <w:szCs w:val="21"/>
          <w:highlight w:val="none"/>
          <w:lang w:bidi="zh-CN"/>
        </w:rPr>
        <w:t>发票后7个工作日内，支付</w:t>
      </w:r>
      <w:r>
        <w:rPr>
          <w:rFonts w:hint="eastAsia" w:cs="宋体"/>
          <w:bCs/>
          <w:color w:val="auto"/>
          <w:kern w:val="0"/>
          <w:szCs w:val="21"/>
          <w:highlight w:val="none"/>
          <w:lang w:val="en-US" w:bidi="zh-CN"/>
        </w:rPr>
        <w:t>至合同金额的80%。</w:t>
      </w:r>
    </w:p>
    <w:p w14:paraId="7DC5CE60">
      <w:pPr>
        <w:adjustRightInd w:val="0"/>
        <w:snapToGrid w:val="0"/>
        <w:spacing w:beforeLines="0" w:line="360" w:lineRule="auto"/>
        <w:ind w:firstLine="480"/>
        <w:rPr>
          <w:rFonts w:hint="eastAsia" w:cs="宋体"/>
          <w:bCs/>
          <w:color w:val="auto"/>
          <w:kern w:val="0"/>
          <w:szCs w:val="21"/>
          <w:highlight w:val="none"/>
          <w:lang w:bidi="zh-CN"/>
        </w:rPr>
      </w:pPr>
      <w:r>
        <w:rPr>
          <w:rFonts w:hint="eastAsia" w:cs="宋体"/>
          <w:bCs/>
          <w:color w:val="auto"/>
          <w:kern w:val="0"/>
          <w:szCs w:val="21"/>
          <w:highlight w:val="none"/>
          <w:lang w:val="en-US" w:bidi="zh-CN"/>
        </w:rPr>
        <w:t>4.</w:t>
      </w:r>
      <w:r>
        <w:rPr>
          <w:rFonts w:hint="eastAsia" w:cs="宋体"/>
          <w:bCs/>
          <w:color w:val="auto"/>
          <w:kern w:val="0"/>
          <w:szCs w:val="21"/>
          <w:highlight w:val="none"/>
          <w:lang w:bidi="zh-CN"/>
        </w:rPr>
        <w:t>项目</w:t>
      </w:r>
      <w:r>
        <w:rPr>
          <w:rFonts w:hint="eastAsia" w:cs="宋体"/>
          <w:bCs/>
          <w:color w:val="auto"/>
          <w:kern w:val="0"/>
          <w:szCs w:val="21"/>
          <w:highlight w:val="none"/>
          <w:lang w:val="en-US" w:bidi="zh-CN"/>
        </w:rPr>
        <w:t>结算经审计结束</w:t>
      </w:r>
      <w:r>
        <w:rPr>
          <w:rFonts w:hint="eastAsia" w:cs="宋体"/>
          <w:bCs/>
          <w:color w:val="auto"/>
          <w:kern w:val="0"/>
          <w:szCs w:val="21"/>
          <w:highlight w:val="none"/>
          <w:lang w:bidi="zh-CN"/>
        </w:rPr>
        <w:t>后，乙方提供项目结算书及结算报价明细清单，经甲方审核通过、自收到发票后7个工作日</w:t>
      </w:r>
      <w:r>
        <w:rPr>
          <w:rFonts w:hint="eastAsia" w:cs="宋体"/>
          <w:bCs/>
          <w:color w:val="auto"/>
          <w:kern w:val="0"/>
          <w:szCs w:val="21"/>
          <w:highlight w:val="none"/>
          <w:lang w:val="en-US" w:bidi="zh-CN"/>
        </w:rPr>
        <w:t>支付至项目结算审定价的100%</w:t>
      </w:r>
      <w:r>
        <w:rPr>
          <w:rFonts w:hint="eastAsia" w:cs="宋体"/>
          <w:bCs/>
          <w:color w:val="auto"/>
          <w:kern w:val="0"/>
          <w:szCs w:val="21"/>
          <w:highlight w:val="none"/>
          <w:lang w:bidi="zh-CN"/>
        </w:rPr>
        <w:t>。</w:t>
      </w:r>
    </w:p>
    <w:p w14:paraId="25777A25">
      <w:pPr>
        <w:adjustRightInd w:val="0"/>
        <w:snapToGrid w:val="0"/>
        <w:spacing w:beforeLines="0" w:line="360" w:lineRule="auto"/>
        <w:ind w:firstLine="480"/>
        <w:rPr>
          <w:rFonts w:hint="eastAsia" w:cs="宋体"/>
          <w:bCs/>
          <w:color w:val="auto"/>
          <w:kern w:val="0"/>
          <w:szCs w:val="21"/>
          <w:highlight w:val="none"/>
          <w:lang w:val="en-US" w:bidi="zh-CN"/>
        </w:rPr>
      </w:pPr>
      <w:r>
        <w:rPr>
          <w:rFonts w:hint="eastAsia" w:cs="宋体"/>
          <w:bCs/>
          <w:color w:val="auto"/>
          <w:kern w:val="0"/>
          <w:szCs w:val="21"/>
          <w:highlight w:val="none"/>
          <w:lang w:val="en-US" w:bidi="zh-CN"/>
        </w:rPr>
        <w:t>5.</w:t>
      </w:r>
      <w:r>
        <w:rPr>
          <w:rFonts w:hint="eastAsia"/>
        </w:rPr>
        <w:t>若</w:t>
      </w:r>
      <w:r>
        <w:rPr>
          <w:rFonts w:hint="eastAsia"/>
          <w:lang w:eastAsia="zh-CN"/>
        </w:rPr>
        <w:t>乙方</w:t>
      </w:r>
      <w:r>
        <w:rPr>
          <w:rFonts w:hint="eastAsia"/>
        </w:rPr>
        <w:t>明确表示无需预付款或者主动要求降低预付款比例的，</w:t>
      </w:r>
      <w:r>
        <w:rPr>
          <w:rFonts w:hint="eastAsia"/>
          <w:lang w:eastAsia="zh-CN"/>
        </w:rPr>
        <w:t>甲方</w:t>
      </w:r>
      <w:r>
        <w:rPr>
          <w:rFonts w:hint="eastAsia"/>
        </w:rPr>
        <w:t>可不适用上述规定。</w:t>
      </w:r>
    </w:p>
    <w:p w14:paraId="05BF2E5F">
      <w:pPr>
        <w:bidi w:val="0"/>
        <w:spacing w:line="360" w:lineRule="auto"/>
        <w:rPr>
          <w:rFonts w:hint="default" w:eastAsia="宋体"/>
          <w:lang w:val="en-US" w:eastAsia="zh-CN"/>
        </w:rPr>
      </w:pPr>
      <w:r>
        <w:rPr>
          <w:rFonts w:hint="eastAsia"/>
          <w:lang w:val="en-US" w:eastAsia="zh-CN"/>
        </w:rPr>
        <w:t>6.乙方</w:t>
      </w:r>
      <w:r>
        <w:rPr>
          <w:rFonts w:hint="eastAsia" w:cs="宋体"/>
          <w:bCs/>
          <w:color w:val="auto"/>
          <w:kern w:val="0"/>
          <w:szCs w:val="21"/>
          <w:highlight w:val="none"/>
          <w:lang w:val="en-US" w:bidi="zh-CN"/>
        </w:rPr>
        <w:t>与各个学校单独签订合同，由学校向乙方支付相应款项。</w:t>
      </w:r>
    </w:p>
    <w:p w14:paraId="06E3E615">
      <w:pPr>
        <w:bidi w:val="0"/>
        <w:spacing w:line="360" w:lineRule="auto"/>
        <w:rPr>
          <w:rFonts w:hint="eastAsia" w:ascii="宋体" w:hAnsi="宋体" w:eastAsia="宋体" w:cs="宋体"/>
          <w:color w:val="auto"/>
          <w:szCs w:val="24"/>
          <w:highlight w:val="none"/>
        </w:rPr>
      </w:pPr>
      <w:r>
        <w:rPr>
          <w:rFonts w:hint="eastAsia"/>
        </w:rPr>
        <w:t>支付方式采用电汇或转账。</w:t>
      </w:r>
    </w:p>
    <w:p w14:paraId="71E451FE">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七、履约保证金</w:t>
      </w:r>
    </w:p>
    <w:p w14:paraId="234ED7D0">
      <w:pPr>
        <w:pStyle w:val="14"/>
        <w:pageBreakBefore w:val="0"/>
        <w:kinsoku/>
        <w:overflowPunct/>
        <w:topLinePunct w:val="0"/>
        <w:bidi w:val="0"/>
        <w:adjustRightInd w:val="0"/>
        <w:snapToGrid w:val="0"/>
        <w:spacing w:beforeLines="0" w:afterLines="0" w:line="360" w:lineRule="auto"/>
        <w:ind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p w14:paraId="0D9623C6">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、税费</w:t>
      </w:r>
    </w:p>
    <w:p w14:paraId="44C4E7BE">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66CE1BB6">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、质量保证及售后服务</w:t>
      </w:r>
    </w:p>
    <w:p w14:paraId="2EACDFE0">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产品质量保证</w:t>
      </w:r>
      <w:r>
        <w:rPr>
          <w:rFonts w:hint="eastAsia" w:ascii="宋体" w:hAnsi="宋体" w:eastAsia="宋体" w:cs="宋体"/>
          <w:color w:val="auto"/>
          <w:sz w:val="24"/>
          <w:szCs w:val="24"/>
          <w:highlight w:val="none"/>
        </w:rPr>
        <w:tab/>
      </w:r>
    </w:p>
    <w:p w14:paraId="3666FA5C">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（1）质保期为   月（质保期3年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最终根据中标单位投标文件承诺确定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自项目最终整体验收合格之日起进入质保期</w:t>
      </w:r>
      <w:r>
        <w:rPr>
          <w:rFonts w:hint="eastAsia" w:ascii="宋体" w:hAnsi="宋体" w:eastAsia="宋体" w:cs="宋体"/>
          <w:color w:val="auto"/>
          <w:sz w:val="24"/>
          <w:szCs w:val="24"/>
          <w:highlight w:val="none"/>
        </w:rPr>
        <w:t>。</w:t>
      </w:r>
    </w:p>
    <w:p w14:paraId="2CA964BB">
      <w:pPr>
        <w:pStyle w:val="212"/>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货物性能、技术要求、质量标准向甲方提供未经使用的全新产品。乙方保证所提供硬件产品包括相关附件为相应硬件厂家原装正品，软件产品为相关厂家正版软件，符合国家有关规定。并保证所提供产品具有合法的版权或使用权，本项目采购的产品，如在本项目范围内使用过程中出现版权或使用权纠纷，应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不承担责任。</w:t>
      </w:r>
    </w:p>
    <w:p w14:paraId="57CBEEAF">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（3）乙方提供的货物在质保期内因货物本身质量问题发生故障，乙方负责免费更换，更换的部件不得低于原部件技术参数。返修或更换后的部件保修期自恢复正常使用之日起顺延。</w:t>
      </w:r>
    </w:p>
    <w:p w14:paraId="6377C9C8">
      <w:pPr>
        <w:bidi w:val="0"/>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质保期内</w:t>
      </w:r>
      <w:r>
        <w:rPr>
          <w:rFonts w:hint="eastAsia"/>
          <w:lang w:eastAsia="zh-CN"/>
        </w:rPr>
        <w:t>乙方</w:t>
      </w:r>
      <w:r>
        <w:rPr>
          <w:rFonts w:hint="eastAsia"/>
        </w:rPr>
        <w:t>须</w:t>
      </w:r>
      <w:r>
        <w:rPr>
          <w:rFonts w:hint="eastAsia"/>
          <w:lang w:eastAsia="zh-CN"/>
        </w:rPr>
        <w:t>定期</w:t>
      </w:r>
      <w:r>
        <w:rPr>
          <w:rFonts w:hint="eastAsia"/>
        </w:rPr>
        <w:t>对系统进行巡检，确保每个功能模块的正常运行</w:t>
      </w:r>
      <w:r>
        <w:rPr>
          <w:rFonts w:hint="eastAsia"/>
          <w:lang w:eastAsia="zh-CN"/>
        </w:rPr>
        <w:t>。</w:t>
      </w:r>
    </w:p>
    <w:p w14:paraId="42448B24">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技术支持</w:t>
      </w:r>
    </w:p>
    <w:p w14:paraId="52112F2F">
      <w:pPr>
        <w:pStyle w:val="14"/>
        <w:pageBreakBefore w:val="0"/>
        <w:kinsoku/>
        <w:overflowPunct/>
        <w:topLinePunct w:val="0"/>
        <w:bidi w:val="0"/>
        <w:adjustRightInd w:val="0"/>
        <w:snapToGrid w:val="0"/>
        <w:spacing w:beforeLines="0" w:afterLines="0"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远程技术支持：乙方应具有稳定的技术支持队伍和完善的服务支持网络，提供7×24 小时技术支持服务，及时响应甲方的技术服务支持需求，提出有效的解决方案，解决甲方在货物/软件使用过程中遇到的实际问题。</w:t>
      </w:r>
    </w:p>
    <w:p w14:paraId="342D7548">
      <w:pPr>
        <w:pStyle w:val="14"/>
        <w:pageBreakBefore w:val="0"/>
        <w:kinsoku/>
        <w:overflowPunct/>
        <w:topLinePunct w:val="0"/>
        <w:bidi w:val="0"/>
        <w:adjustRightInd w:val="0"/>
        <w:snapToGrid w:val="0"/>
        <w:spacing w:beforeLines="0" w:afterLines="0"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现场技术支持：对于通过电话、邮件等远程技术支持不能解决的问题，乙方应在接到甲方通知后</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小时内派遣相关人员赶赴现场，12小时内维修完毕；发生紧急抢修事故的，乙方应在接到甲方通知后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小时内到达现场抢修，并于到达现场</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4小时内排除故障。</w:t>
      </w:r>
    </w:p>
    <w:p w14:paraId="5C5BB710">
      <w:pPr>
        <w:pStyle w:val="14"/>
        <w:pageBreakBefore w:val="0"/>
        <w:kinsoku/>
        <w:overflowPunct/>
        <w:topLinePunct w:val="0"/>
        <w:bidi w:val="0"/>
        <w:adjustRightInd w:val="0"/>
        <w:snapToGrid w:val="0"/>
        <w:spacing w:beforeLines="0" w:afterLines="0"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升级支持：乙方提供货物/软件的终身免费维护和升级服务，如对产品有新的改进、增加新功能或者未适应最新标准所形成的最新版本，免费提供给用户方。保证货物/软件正常运行，且不影响甲方其它运行环境。</w:t>
      </w:r>
    </w:p>
    <w:p w14:paraId="78166E0A">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在质保期内，乙方对货物/服务出现的质量及安全问题负责处理解决并承担一切费用。</w:t>
      </w:r>
    </w:p>
    <w:p w14:paraId="58E6FC55">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届满前，须由乙方技术人员和甲代表进行一次全面检查，任何缺陷必须由乙方负责维修，在修理之后，供应商（中标人）应将缺陷原因、维修内容、完成维修及恢复正常的时间和日期等报告给甲方，报告一式两份。</w:t>
      </w:r>
    </w:p>
    <w:p w14:paraId="39741CD6">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乙方对所提供的产品、服务，应为甲方的技术维护人员和管理人员进行1次及以上的原厂技术培训，确保甲方能够熟练使用设备。并提供培训计划，培训计划中应该明确培训内容、培训时间、培训方案。</w:t>
      </w:r>
    </w:p>
    <w:p w14:paraId="0471C2ED">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遵守安全相关规定，加强自身安全教育，做好安全防范意识，在此工作期间产生的一切安全事故问题以及其他后果由乙方自行承担。在项目实施过程中，乙方应严格遵守国家相关保密与安全法律法规，遵循甲方各项安全保密制度和规章。乙方对实际服务过程中形成的技术信息和资料，以及甲方提供的所有数据、文件等信息承担保密责任，落实保密管理与监督措施。乙方对其派出本项目人员的泄密行为承担连带法律责任，无论本合同是否解除或终止，本条款持续有效。</w:t>
      </w:r>
    </w:p>
    <w:p w14:paraId="681525C3">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、货物包装、发运及运输</w:t>
      </w:r>
    </w:p>
    <w:p w14:paraId="578359B8">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供应商（中标人）应在货物发运前对其进行满足运输距离、防潮、防震、防锈和防破损装卸等要求包装，以保证货物安全运达</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指定地点。</w:t>
      </w:r>
    </w:p>
    <w:p w14:paraId="159992EB">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使用说明书、质量检验证明书、随配附件和工具以及清单一并附于货物内。</w:t>
      </w:r>
    </w:p>
    <w:p w14:paraId="0606592C">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供应商（中标人）在货物发运手续办理完毕后24小时内或货到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48小时前通知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，以准备接货。</w:t>
      </w:r>
    </w:p>
    <w:p w14:paraId="361E7495">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货物/服务在交付</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前发生的风险均由供应商（中标人）负责。</w:t>
      </w:r>
    </w:p>
    <w:p w14:paraId="5B5D90A6">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货物在规定的交付期限内由供应商（中标人）送达</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指定的地点视为交付，供应商（中标人）同时需通知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货物已送达。</w:t>
      </w:r>
    </w:p>
    <w:p w14:paraId="6C4B16F2">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、验收条件及标准</w:t>
      </w:r>
    </w:p>
    <w:p w14:paraId="481EF74D">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验收依据：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、厂家货物/软件技术标准说明或国家、浙江省、市有关的标准规范；</w:t>
      </w:r>
    </w:p>
    <w:p w14:paraId="4462AB94">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货物/软件验收：货物运抵甲方指定地点后由双方对照采购清单及技术要求进行验收；软件安装后上线运行测试。</w:t>
      </w:r>
    </w:p>
    <w:p w14:paraId="2E3F3473">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整体验收：所有设备、软件安装调试完成并投入使用后，乙方移交所有资料文档给甲方。由乙方向甲方提出验收申请后，7日内进行验收，验收工作应在甲方、乙方的共同参加下进行，以双方签字盖章的验收报告为准；</w:t>
      </w:r>
    </w:p>
    <w:p w14:paraId="610CA2BD">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货物经甲方验收通过并出具验收报告，若因甲方逾期不验收或验收后不出具验收报告的，则视为验收合格，</w:t>
      </w:r>
      <w:r>
        <w:rPr>
          <w:rFonts w:hint="eastAsia" w:ascii="宋体" w:hAnsi="宋体" w:eastAsia="宋体" w:cs="宋体"/>
          <w:color w:val="auto"/>
          <w:sz w:val="24"/>
          <w:szCs w:val="24"/>
          <w:highlight w:val="none"/>
          <w:lang w:eastAsia="zh-CN"/>
        </w:rPr>
        <w:t>货物自项目最终整体验收合格之日起进入质保期</w:t>
      </w:r>
      <w:r>
        <w:rPr>
          <w:rFonts w:hint="eastAsia" w:ascii="宋体" w:hAnsi="宋体" w:eastAsia="宋体" w:cs="宋体"/>
          <w:color w:val="auto"/>
          <w:sz w:val="24"/>
          <w:szCs w:val="24"/>
          <w:highlight w:val="none"/>
        </w:rPr>
        <w:t>，甲方按合同要求支付相应合同款。</w:t>
      </w:r>
    </w:p>
    <w:p w14:paraId="410A2B20">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、安装与验收</w:t>
      </w:r>
    </w:p>
    <w:p w14:paraId="18D9D392">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到货验收：乙方在合同签订后**天内完成供货，并提供设备的有效检验文件。货物运抵甲方指定地点后，甲、乙双方应依据本合同及采购成交文件上的技术规格要求和国家有关质量标准及时进行验收。甲方对设备验收合格后，双方共同签署验收合格证书。</w:t>
      </w:r>
    </w:p>
    <w:p w14:paraId="14697D31">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进行开箱检验，所有货物在开箱时应完好，无破损。配置与装箱单相符。数量、质量及性能不低于合同要求。货物为原厂商未启封全新包装，具出厂合格证，序列号、包装箱号与出厂批号一致，并可追索查阅。所有随货物的附件应齐全。拆箱后，乙方应对其全部货物及与装箱单对比，如发生所供货物与合同约定不符，甲方有权退货或要求乙方进行更换、补齐，乙方应在接到甲方要求后7日内予以补救，所产生的费用及法律后果由乙方承担。因此造成逾期交货的，乙方应承担由此给甲方造成的损失和逾期交货的违约责任。</w:t>
      </w:r>
    </w:p>
    <w:p w14:paraId="44A336A4">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调试：乙方负责提供本项目采购的所有设备以及安装和维护服务，在甲方指定时间内，所有的设备必须保证同时安装到位，应符合国家有关技术规范要求和技术标准，甲方需对供货设备的技术参数进行点对点响应的确认和系统测试。若本项目采购的货物及服务等方面的配置或要求中出现不合理或不完整的问题时，乙方有责任和义务提出补充修改方案并征得甲方同意后付诸实施。</w:t>
      </w:r>
    </w:p>
    <w:p w14:paraId="5E978F10">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安装调试所需的专用工具、备品备件以及合同规定的其他事项由乙方提供。安装调试过程中，乙方应采取安全保障措施，保证人员安全。如因乙方原因造成人员伤亡和财产损失的，乙方应承担全部赔偿责任。</w:t>
      </w:r>
    </w:p>
    <w:p w14:paraId="5623968A">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终验收：设备经安装调试完成且符合技术要求后，乙方提出整体验收申请，经甲方同意后进行最终验收。验收时乙方必须在现场，货物符合成交文件约定的技术规范要求和验收标准的，甲方签署验收合格证明。如货物不符合合同约定的要求的，乙方应当在7日内采取措施消除缺陷后重新申请终验，并承担由此产生的费用。</w:t>
      </w:r>
    </w:p>
    <w:p w14:paraId="43464ED1">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对技术复杂的货物， 甲方可聘请国家认可的专业检测机构参与验收，并由其出具质量检测报告，检测费用由甲方承担。</w:t>
      </w:r>
    </w:p>
    <w:p w14:paraId="3C3C7F73">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货物毁损、灭失的风险，自货物最终验收合格之日起由甲方承担。</w:t>
      </w:r>
    </w:p>
    <w:p w14:paraId="31C09BC7">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、违约责任</w:t>
      </w:r>
    </w:p>
    <w:p w14:paraId="1366E763">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一般违约责任</w:t>
      </w:r>
    </w:p>
    <w:p w14:paraId="5B5EB024">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任何一方未履行本合同项下的任何一项条款均被视为违约。违约方应承担因自己的违约行为而给守约方造成的经济损失；</w:t>
      </w:r>
    </w:p>
    <w:p w14:paraId="1C80CA65">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甲方无正当理由拒绝接收货物/服务的，甲方向乙方偿付合同款项</w:t>
      </w:r>
      <w:r>
        <w:rPr>
          <w:rFonts w:hint="eastAsia" w:ascii="宋体" w:hAnsi="宋体" w:eastAsia="宋体" w:cs="宋体"/>
          <w:color w:val="auto"/>
          <w:sz w:val="24"/>
          <w:szCs w:val="24"/>
          <w:highlight w:val="none"/>
          <w:lang w:val="en-US" w:eastAsia="zh-CN"/>
        </w:rPr>
        <w:t>千</w:t>
      </w:r>
      <w:r>
        <w:rPr>
          <w:rFonts w:hint="eastAsia" w:ascii="宋体" w:hAnsi="宋体" w:eastAsia="宋体" w:cs="宋体"/>
          <w:color w:val="auto"/>
          <w:sz w:val="24"/>
          <w:szCs w:val="24"/>
          <w:highlight w:val="none"/>
        </w:rPr>
        <w:t>分之五作为违约金；</w:t>
      </w:r>
    </w:p>
    <w:p w14:paraId="58D65D6E">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甲方无故逾期验收和办理款项支付手续的,甲方应按逾期付款总额每日</w:t>
      </w:r>
      <w:r>
        <w:rPr>
          <w:rFonts w:hint="eastAsia" w:ascii="宋体" w:hAnsi="宋体" w:eastAsia="宋体" w:cs="宋体"/>
          <w:color w:val="auto"/>
          <w:sz w:val="24"/>
          <w:szCs w:val="24"/>
          <w:highlight w:val="none"/>
          <w:lang w:val="en-US" w:eastAsia="zh-CN"/>
        </w:rPr>
        <w:t>千</w:t>
      </w:r>
      <w:r>
        <w:rPr>
          <w:rFonts w:hint="eastAsia" w:ascii="宋体" w:hAnsi="宋体" w:eastAsia="宋体" w:cs="宋体"/>
          <w:color w:val="auto"/>
          <w:sz w:val="24"/>
          <w:szCs w:val="24"/>
          <w:highlight w:val="none"/>
        </w:rPr>
        <w:t>分之五向乙方支付违约金；</w:t>
      </w:r>
    </w:p>
    <w:p w14:paraId="27AF10CD">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乙方不按约定提供货物/服务的，每日向甲方支付合同款项千分之</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违约金。逾期提供货物/服务超过约定日期10个工作日的，甲方可解除本合同。乙方因逾期提供货物或因其他违约行为导致甲方解除合同的，乙方应向甲方支付合同总价百分之五的违约金，如造成甲方损失超过违约金的，超出部分由乙方继续承担赔偿责任；</w:t>
      </w:r>
    </w:p>
    <w:p w14:paraId="3DF075B0">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乙方所交付的货物/服务品种、型号、规格、技术参数、质量不符合合同规定及</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规定标准的，甲方有权拒收该货物，乙方愿意更换货物但逾期交货的，按乙方逾期交货处理。乙方拒绝更换货物的，甲方可解除本合同。</w:t>
      </w:r>
    </w:p>
    <w:p w14:paraId="2EBFA1CF">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其他违约责任</w:t>
      </w:r>
    </w:p>
    <w:p w14:paraId="147BA30A">
      <w:pPr>
        <w:pStyle w:val="14"/>
        <w:pageBreakBefore w:val="0"/>
        <w:kinsoku/>
        <w:overflowPunct/>
        <w:topLinePunct w:val="0"/>
        <w:bidi w:val="0"/>
        <w:adjustRightInd w:val="0"/>
        <w:snapToGrid w:val="0"/>
        <w:spacing w:beforeLines="0" w:afterLines="0"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本合同项下货物在交货、安装调试、验收及质保期等任何阶段内不符合合同约定的技术规范要求和验收标准的，甲方有权向乙方索赔并选择下列一项或多项补救措施：</w:t>
      </w:r>
    </w:p>
    <w:p w14:paraId="6E7A7E6C">
      <w:pPr>
        <w:pStyle w:val="14"/>
        <w:pageBreakBefore w:val="0"/>
        <w:kinsoku/>
        <w:overflowPunct/>
        <w:topLinePunct w:val="0"/>
        <w:bidi w:val="0"/>
        <w:adjustRightInd w:val="0"/>
        <w:snapToGrid w:val="0"/>
        <w:spacing w:beforeLines="0" w:afterLines="0"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由乙方采取措施消除设备缺陷或不符合合同之处，如果乙方不能及时消除缺陷，甲方有权自行消除缺陷或不符合合同之处，由此产生的一切费用均由乙方承担。</w:t>
      </w:r>
    </w:p>
    <w:p w14:paraId="1362DAB4">
      <w:pPr>
        <w:pStyle w:val="14"/>
        <w:pageBreakBefore w:val="0"/>
        <w:kinsoku/>
        <w:overflowPunct/>
        <w:topLinePunct w:val="0"/>
        <w:bidi w:val="0"/>
        <w:adjustRightInd w:val="0"/>
        <w:snapToGrid w:val="0"/>
        <w:spacing w:beforeLines="0" w:afterLines="0"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乙方在接到甲方通知后7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4EDF16CF">
      <w:pPr>
        <w:pStyle w:val="14"/>
        <w:pageBreakBefore w:val="0"/>
        <w:kinsoku/>
        <w:overflowPunct/>
        <w:topLinePunct w:val="0"/>
        <w:bidi w:val="0"/>
        <w:adjustRightInd w:val="0"/>
        <w:snapToGrid w:val="0"/>
        <w:spacing w:beforeLines="0" w:afterLines="0"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根据货物的低劣程度、损坏程度以及甲方所遭受损失的数额，乙方必须降低货物的价格。</w:t>
      </w:r>
    </w:p>
    <w:p w14:paraId="0AC94E7D">
      <w:pPr>
        <w:pStyle w:val="14"/>
        <w:pageBreakBefore w:val="0"/>
        <w:kinsoku/>
        <w:overflowPunct/>
        <w:topLinePunct w:val="0"/>
        <w:bidi w:val="0"/>
        <w:adjustRightInd w:val="0"/>
        <w:snapToGrid w:val="0"/>
        <w:spacing w:beforeLines="0" w:afterLines="0"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退货，乙方应退还甲方支付的全部合同款，同时应承担该货物的直接费用(运输、保险、检验、货款利息及银行手续费等)。</w:t>
      </w:r>
    </w:p>
    <w:p w14:paraId="6421019C">
      <w:pPr>
        <w:pStyle w:val="14"/>
        <w:pageBreakBefore w:val="0"/>
        <w:kinsoku/>
        <w:overflowPunct/>
        <w:topLinePunct w:val="0"/>
        <w:bidi w:val="0"/>
        <w:adjustRightInd w:val="0"/>
        <w:snapToGrid w:val="0"/>
        <w:spacing w:beforeLines="0" w:afterLines="0"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乙方未能按约定要求履行保修义务的，每发生一次应向甲方支付</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rPr>
        <w:t>元的违约金，同时，甲方有权委托第三方进行保修，所产生的费用由乙方承担。若因货物缺陷或乙方服务质量等问题造成甲方或任何人员人身、财产损害的，乙方应承担有关责任并作出相应赔偿。</w:t>
      </w:r>
    </w:p>
    <w:p w14:paraId="228C5800">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、不可抗力事件处理</w:t>
      </w:r>
    </w:p>
    <w:p w14:paraId="35F2FEFD">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41EE473E">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不可抗力事件发生后，应立即通知对方，并寄送有关权威机构出具的证明。</w:t>
      </w:r>
    </w:p>
    <w:p w14:paraId="3A6319CA">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不可抗力事件延续120天以上，双方应通过友好协商，确定是否继续履行合同。</w:t>
      </w:r>
    </w:p>
    <w:p w14:paraId="33C9558E">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、诉讼</w:t>
      </w:r>
    </w:p>
    <w:p w14:paraId="7F919DCF">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双方在执行合同中所发生的一切争议，应通过协商解决。如协商不成，向甲方所在地的仲裁委员会申请仲裁或向甲方所在地的人民法院起诉。</w:t>
      </w:r>
    </w:p>
    <w:p w14:paraId="31599295">
      <w:pPr>
        <w:pStyle w:val="14"/>
        <w:pageBreakBefore w:val="0"/>
        <w:kinsoku/>
        <w:overflowPunct/>
        <w:topLinePunct w:val="0"/>
        <w:bidi w:val="0"/>
        <w:adjustRightInd w:val="0"/>
        <w:snapToGrid w:val="0"/>
        <w:spacing w:beforeLines="0" w:afterLines="0"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、合同生效及其它</w:t>
      </w:r>
    </w:p>
    <w:p w14:paraId="60F8DD25">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本合同经甲、乙双方法定代表人或授权代表人签字并加盖单位公章后生效。</w:t>
      </w:r>
    </w:p>
    <w:p w14:paraId="3372B6DD">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本次采购过程中形成的</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、补充协议、附件等与本合同具有同等法律效力。</w:t>
      </w:r>
    </w:p>
    <w:p w14:paraId="6DC12695">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本合同未尽事宜，遵照《中华人民共和国政府采购法》、《中华人民共和国民法典》有关条文执行。</w:t>
      </w:r>
    </w:p>
    <w:p w14:paraId="14D7B583">
      <w:pPr>
        <w:pStyle w:val="14"/>
        <w:pageBreakBefore w:val="0"/>
        <w:kinsoku/>
        <w:overflowPunct/>
        <w:topLinePunct w:val="0"/>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合同一式伍份， 甲、乙双方各执贰份，**机构壹份，具有同等法律效力。</w:t>
      </w:r>
    </w:p>
    <w:p w14:paraId="54972355">
      <w:pPr>
        <w:pStyle w:val="14"/>
        <w:pageBreakBefore w:val="0"/>
        <w:kinsoku/>
        <w:overflowPunct/>
        <w:topLinePunct w:val="0"/>
        <w:bidi w:val="0"/>
        <w:adjustRightInd w:val="0"/>
        <w:snapToGrid w:val="0"/>
        <w:spacing w:beforeLines="0" w:afterLines="0" w:line="360" w:lineRule="auto"/>
        <w:ind w:left="0" w:leftChars="0" w:right="0"/>
        <w:rPr>
          <w:rFonts w:hint="eastAsia" w:ascii="宋体" w:hAnsi="宋体" w:eastAsia="宋体" w:cs="宋体"/>
          <w:color w:val="auto"/>
          <w:sz w:val="24"/>
          <w:szCs w:val="24"/>
          <w:highlight w:val="none"/>
        </w:rPr>
      </w:pPr>
    </w:p>
    <w:p w14:paraId="7B5311F0">
      <w:pPr>
        <w:pStyle w:val="14"/>
        <w:pageBreakBefore w:val="0"/>
        <w:kinsoku/>
        <w:overflowPunct/>
        <w:topLinePunct w:val="0"/>
        <w:bidi w:val="0"/>
        <w:adjustRightInd w:val="0"/>
        <w:snapToGrid w:val="0"/>
        <w:spacing w:beforeLines="0" w:afterLines="0" w:line="360" w:lineRule="auto"/>
        <w:ind w:left="0" w:leftChars="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(盖章)：长兴县</w:t>
      </w:r>
      <w:r>
        <w:rPr>
          <w:rFonts w:hint="eastAsia" w:ascii="宋体" w:hAnsi="宋体" w:eastAsia="宋体" w:cs="宋体"/>
          <w:color w:val="auto"/>
          <w:sz w:val="24"/>
          <w:szCs w:val="24"/>
          <w:highlight w:val="none"/>
          <w:lang w:eastAsia="zh-CN"/>
        </w:rPr>
        <w:t>教育局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乙方(盖章)： </w:t>
      </w:r>
    </w:p>
    <w:p w14:paraId="143E0644">
      <w:pPr>
        <w:pStyle w:val="14"/>
        <w:pageBreakBefore w:val="0"/>
        <w:kinsoku/>
        <w:overflowPunct/>
        <w:topLinePunct w:val="0"/>
        <w:bidi w:val="0"/>
        <w:adjustRightInd w:val="0"/>
        <w:snapToGrid w:val="0"/>
        <w:spacing w:beforeLines="0" w:afterLines="0" w:line="360" w:lineRule="auto"/>
        <w:ind w:left="0" w:leftChars="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法定(授权) 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法定(授权) 代表人： </w:t>
      </w:r>
    </w:p>
    <w:p w14:paraId="02FBC56E">
      <w:pPr>
        <w:pStyle w:val="14"/>
        <w:pageBreakBefore w:val="0"/>
        <w:kinsoku/>
        <w:overflowPunct/>
        <w:topLinePunct w:val="0"/>
        <w:bidi w:val="0"/>
        <w:adjustRightInd w:val="0"/>
        <w:snapToGrid w:val="0"/>
        <w:spacing w:beforeLines="0" w:afterLines="0" w:line="360" w:lineRule="auto"/>
        <w:ind w:left="0" w:leftChars="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地址： </w:t>
      </w:r>
    </w:p>
    <w:p w14:paraId="3AB5E99E">
      <w:pPr>
        <w:pStyle w:val="14"/>
        <w:pageBreakBefore w:val="0"/>
        <w:kinsoku/>
        <w:overflowPunct/>
        <w:topLinePunct w:val="0"/>
        <w:bidi w:val="0"/>
        <w:adjustRightInd w:val="0"/>
        <w:snapToGrid w:val="0"/>
        <w:spacing w:beforeLines="0" w:afterLines="0" w:line="360" w:lineRule="auto"/>
        <w:ind w:left="0" w:leftChars="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20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 20   年   月   日</w:t>
      </w:r>
    </w:p>
    <w:p w14:paraId="6EA318CD">
      <w:pPr>
        <w:pageBreakBefore w:val="0"/>
        <w:kinsoku/>
        <w:overflowPunct/>
        <w:topLinePunct w:val="0"/>
        <w:bidi w:val="0"/>
        <w:adjustRightInd w:val="0"/>
        <w:snapToGrid w:val="0"/>
        <w:spacing w:beforeLines="0" w:afterLines="0" w:line="360" w:lineRule="auto"/>
        <w:ind w:left="0" w:leftChars="0" w:right="0"/>
        <w:jc w:val="center"/>
        <w:rPr>
          <w:rFonts w:hint="eastAsia" w:ascii="宋体" w:hAnsi="宋体" w:eastAsia="宋体" w:cs="宋体"/>
          <w:b/>
          <w:color w:val="auto"/>
          <w:sz w:val="24"/>
          <w:szCs w:val="24"/>
          <w:highlight w:val="none"/>
        </w:rPr>
        <w:sectPr>
          <w:pgSz w:w="11907" w:h="16840"/>
          <w:pgMar w:top="1440" w:right="1080" w:bottom="1440" w:left="1080" w:header="720" w:footer="720" w:gutter="0"/>
          <w:pgNumType w:fmt="decimal"/>
          <w:cols w:space="720" w:num="1"/>
          <w:docGrid w:linePitch="286" w:charSpace="0"/>
        </w:sectPr>
      </w:pPr>
    </w:p>
    <w:p w14:paraId="5570709B">
      <w:pPr>
        <w:pStyle w:val="3"/>
        <w:rPr>
          <w:rFonts w:cs="宋体"/>
          <w:color w:val="auto"/>
          <w:szCs w:val="32"/>
          <w:highlight w:val="none"/>
        </w:rPr>
      </w:pPr>
      <w:bookmarkStart w:id="100" w:name="_Toc450840088"/>
      <w:bookmarkStart w:id="101" w:name="_Toc15325"/>
      <w:bookmarkStart w:id="102" w:name="_Toc27145"/>
      <w:r>
        <w:rPr>
          <w:rFonts w:hint="eastAsia" w:cs="宋体"/>
          <w:color w:val="auto"/>
          <w:szCs w:val="32"/>
          <w:highlight w:val="none"/>
        </w:rPr>
        <w:t>第六章 投标文件格式</w:t>
      </w:r>
      <w:bookmarkEnd w:id="100"/>
      <w:bookmarkEnd w:id="101"/>
      <w:bookmarkEnd w:id="102"/>
    </w:p>
    <w:p w14:paraId="780594BB">
      <w:pPr>
        <w:pStyle w:val="20"/>
        <w:spacing w:line="360" w:lineRule="auto"/>
        <w:ind w:firstLine="420"/>
        <w:jc w:val="center"/>
        <w:rPr>
          <w:rFonts w:hAnsi="宋体" w:cs="宋体"/>
          <w:color w:val="auto"/>
          <w:sz w:val="24"/>
          <w:szCs w:val="24"/>
          <w:highlight w:val="none"/>
        </w:rPr>
      </w:pPr>
      <w:r>
        <w:rPr>
          <w:rFonts w:hint="eastAsia" w:hAnsi="宋体" w:cs="宋体"/>
          <w:color w:val="auto"/>
          <w:sz w:val="24"/>
          <w:szCs w:val="24"/>
          <w:highlight w:val="none"/>
        </w:rPr>
        <w:t>（要求提供但未提供格式的文件由投标人自行编制）</w:t>
      </w:r>
    </w:p>
    <w:p w14:paraId="646A5BA5">
      <w:pPr>
        <w:rPr>
          <w:color w:val="auto"/>
          <w:highlight w:val="none"/>
        </w:rPr>
      </w:pPr>
    </w:p>
    <w:p w14:paraId="79DAC68F">
      <w:pPr>
        <w:ind w:firstLine="456"/>
        <w:rPr>
          <w:rFonts w:cs="宋体"/>
          <w:color w:val="auto"/>
          <w:spacing w:val="-6"/>
          <w:highlight w:val="none"/>
        </w:rPr>
      </w:pPr>
    </w:p>
    <w:p w14:paraId="034F60CC">
      <w:pPr>
        <w:ind w:firstLine="456"/>
        <w:rPr>
          <w:rFonts w:cs="宋体"/>
          <w:color w:val="auto"/>
          <w:spacing w:val="-6"/>
          <w:highlight w:val="none"/>
        </w:rPr>
      </w:pPr>
    </w:p>
    <w:p w14:paraId="212FF983">
      <w:pPr>
        <w:ind w:firstLine="4020" w:firstLineChars="1300"/>
        <w:rPr>
          <w:rFonts w:cs="宋体"/>
          <w:b/>
          <w:bCs/>
          <w:color w:val="auto"/>
          <w:spacing w:val="-6"/>
          <w:sz w:val="32"/>
          <w:szCs w:val="32"/>
          <w:highlight w:val="none"/>
        </w:rPr>
      </w:pPr>
      <w:r>
        <w:rPr>
          <w:rFonts w:hint="eastAsia" w:cs="宋体"/>
          <w:b/>
          <w:bCs/>
          <w:color w:val="auto"/>
          <w:spacing w:val="-6"/>
          <w:sz w:val="32"/>
          <w:szCs w:val="32"/>
          <w:highlight w:val="none"/>
        </w:rPr>
        <w:t>投 标 文 件</w:t>
      </w:r>
    </w:p>
    <w:p w14:paraId="364B7962">
      <w:pPr>
        <w:ind w:firstLine="456"/>
        <w:rPr>
          <w:rFonts w:cs="宋体"/>
          <w:bCs/>
          <w:color w:val="auto"/>
          <w:spacing w:val="-6"/>
          <w:highlight w:val="none"/>
        </w:rPr>
      </w:pPr>
    </w:p>
    <w:p w14:paraId="33B1C657">
      <w:pPr>
        <w:ind w:firstLine="480"/>
        <w:rPr>
          <w:color w:val="auto"/>
          <w:highlight w:val="none"/>
        </w:rPr>
      </w:pPr>
    </w:p>
    <w:p w14:paraId="7A47BB28">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招 标 人：</w:t>
      </w:r>
    </w:p>
    <w:p w14:paraId="1034A442">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项目名称：</w:t>
      </w:r>
    </w:p>
    <w:p w14:paraId="10216A56">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项目编号：</w:t>
      </w:r>
    </w:p>
    <w:p w14:paraId="5FD39598">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投标文件名称：资格文件/商务技术文件/报价文件</w:t>
      </w:r>
    </w:p>
    <w:p w14:paraId="489ECE14">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投标人名称（盖章）：</w:t>
      </w:r>
    </w:p>
    <w:p w14:paraId="17E14D64">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投标人地址：</w:t>
      </w:r>
    </w:p>
    <w:p w14:paraId="5BEEEF9E">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在    年  月  日  时  分之前不得启封</w:t>
      </w:r>
    </w:p>
    <w:p w14:paraId="2623D914">
      <w:pPr>
        <w:ind w:firstLine="576"/>
        <w:rPr>
          <w:rFonts w:cs="宋体"/>
          <w:bCs/>
          <w:color w:val="auto"/>
          <w:spacing w:val="-6"/>
          <w:sz w:val="30"/>
          <w:szCs w:val="30"/>
          <w:highlight w:val="none"/>
        </w:rPr>
      </w:pPr>
    </w:p>
    <w:p w14:paraId="31918FDB">
      <w:pPr>
        <w:spacing w:line="480" w:lineRule="auto"/>
        <w:ind w:firstLine="576"/>
        <w:rPr>
          <w:rFonts w:cs="宋体"/>
          <w:bCs/>
          <w:color w:val="auto"/>
          <w:spacing w:val="-6"/>
          <w:sz w:val="30"/>
          <w:szCs w:val="30"/>
          <w:highlight w:val="none"/>
        </w:rPr>
      </w:pPr>
      <w:r>
        <w:rPr>
          <w:rFonts w:hint="eastAsia" w:cs="宋体"/>
          <w:color w:val="auto"/>
          <w:spacing w:val="-6"/>
          <w:sz w:val="30"/>
          <w:szCs w:val="30"/>
          <w:highlight w:val="none"/>
        </w:rPr>
        <w:t>法定代表人或其授权代表（签字）</w:t>
      </w:r>
      <w:r>
        <w:rPr>
          <w:rFonts w:hint="eastAsia" w:cs="宋体"/>
          <w:bCs/>
          <w:color w:val="auto"/>
          <w:spacing w:val="-6"/>
          <w:sz w:val="30"/>
          <w:szCs w:val="30"/>
          <w:highlight w:val="none"/>
        </w:rPr>
        <w:t>：</w:t>
      </w:r>
    </w:p>
    <w:p w14:paraId="5A57F7D0">
      <w:pPr>
        <w:spacing w:line="480" w:lineRule="auto"/>
        <w:ind w:firstLine="576"/>
        <w:rPr>
          <w:rFonts w:cs="宋体"/>
          <w:bCs/>
          <w:color w:val="auto"/>
          <w:spacing w:val="-6"/>
          <w:highlight w:val="none"/>
        </w:rPr>
      </w:pPr>
      <w:r>
        <w:rPr>
          <w:rFonts w:hint="eastAsia" w:cs="宋体"/>
          <w:bCs/>
          <w:color w:val="auto"/>
          <w:spacing w:val="-6"/>
          <w:sz w:val="30"/>
          <w:szCs w:val="30"/>
          <w:highlight w:val="none"/>
        </w:rPr>
        <w:t>日期：    年  月  日</w:t>
      </w:r>
    </w:p>
    <w:p w14:paraId="762CA08D">
      <w:pPr>
        <w:pStyle w:val="4"/>
        <w:rPr>
          <w:rFonts w:hAnsi="宋体" w:cs="宋体"/>
          <w:color w:val="auto"/>
          <w:szCs w:val="24"/>
          <w:highlight w:val="none"/>
        </w:rPr>
      </w:pPr>
      <w:r>
        <w:rPr>
          <w:rFonts w:hint="eastAsia" w:hAnsi="宋体" w:cs="宋体"/>
          <w:bCs/>
          <w:color w:val="auto"/>
          <w:spacing w:val="-6"/>
          <w:sz w:val="24"/>
          <w:szCs w:val="24"/>
          <w:highlight w:val="none"/>
        </w:rPr>
        <w:br w:type="page"/>
      </w:r>
      <w:bookmarkStart w:id="103" w:name="_Toc19563"/>
      <w:r>
        <w:rPr>
          <w:rFonts w:hint="eastAsia" w:hAnsi="宋体" w:cs="宋体"/>
          <w:b/>
          <w:bCs/>
          <w:color w:val="auto"/>
          <w:sz w:val="24"/>
          <w:szCs w:val="24"/>
          <w:highlight w:val="none"/>
        </w:rPr>
        <mc:AlternateContent>
          <mc:Choice Requires="wps">
            <w:drawing>
              <wp:anchor distT="0" distB="0" distL="114300" distR="114300" simplePos="0" relativeHeight="251664384" behindDoc="1" locked="0" layoutInCell="1" allowOverlap="1">
                <wp:simplePos x="0" y="0"/>
                <wp:positionH relativeFrom="column">
                  <wp:posOffset>5217795</wp:posOffset>
                </wp:positionH>
                <wp:positionV relativeFrom="paragraph">
                  <wp:posOffset>21590</wp:posOffset>
                </wp:positionV>
                <wp:extent cx="962025" cy="281940"/>
                <wp:effectExtent l="4445" t="4445" r="5080" b="18415"/>
                <wp:wrapNone/>
                <wp:docPr id="1" name="文本框 4"/>
                <wp:cNvGraphicFramePr/>
                <a:graphic xmlns:a="http://schemas.openxmlformats.org/drawingml/2006/main">
                  <a:graphicData uri="http://schemas.microsoft.com/office/word/2010/wordprocessingShape">
                    <wps:wsp>
                      <wps:cNvSpPr txBox="1"/>
                      <wps:spPr>
                        <a:xfrm>
                          <a:off x="0" y="0"/>
                          <a:ext cx="962025"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89F473">
                            <w:pPr>
                              <w:ind w:firstLine="0" w:firstLineChars="0"/>
                              <w:rPr>
                                <w:sz w:val="32"/>
                                <w:szCs w:val="32"/>
                              </w:rPr>
                            </w:pPr>
                            <w:r>
                              <w:rPr>
                                <w:rFonts w:hint="eastAsia"/>
                                <w:b/>
                                <w:bCs/>
                              </w:rPr>
                              <w:t>正本（</w:t>
                            </w:r>
                            <w:r>
                              <w:rPr>
                                <w:b/>
                                <w:bCs/>
                              </w:rPr>
                              <w:t>副本）</w:t>
                            </w:r>
                          </w:p>
                        </w:txbxContent>
                      </wps:txbx>
                      <wps:bodyPr vert="horz" wrap="square" anchor="t" anchorCtr="0" upright="1"/>
                    </wps:wsp>
                  </a:graphicData>
                </a:graphic>
              </wp:anchor>
            </w:drawing>
          </mc:Choice>
          <mc:Fallback>
            <w:pict>
              <v:shape id="文本框 4" o:spid="_x0000_s1026" o:spt="202" type="#_x0000_t202" style="position:absolute;left:0pt;margin-left:410.85pt;margin-top:1.7pt;height:22.2pt;width:75.75pt;z-index:-251652096;mso-width-relative:page;mso-height-relative:page;" fillcolor="#FFFFFF" filled="t" stroked="t" coordsize="21600,21600" o:gfxdata="UEsDBAoAAAAAAIdO4kAAAAAAAAAAAAAAAAAEAAAAZHJzL1BLAwQUAAAACACHTuJAwnQuJdgAAAAI&#10;AQAADwAAAGRycy9kb3ducmV2LnhtbE2Py07DMBBF90j8gzVIbBB1XmrSEKcLJBDsaEHt1o2nSYQ9&#10;Drablr/HrGA5ulfnnmnWF6PZjM6PlgSkiwQYUmfVSL2Aj/en+wqYD5KU1JZQwDd6WLfXV42slT3T&#10;Budt6FmEkK+lgCGEqebcdwMa6Rd2QorZ0TojQzxdz5WT5wg3mmdJsuRGjhQXBjnh44Dd5/ZkBFTF&#10;y7z3r/nbrlse9SrclfPzlxPi9iZNHoAFvIS/MvzqR3Voo9PBnkh5piMjS8tYFZAXwGK+KvMM2EFA&#10;UVbA24b/f6D9AVBLAwQUAAAACACHTuJAhgZ6cS4CAAB2BAAADgAAAGRycy9lMm9Eb2MueG1srVTN&#10;jtMwEL4j8Q6W7zRptbvajZquxJZyQYC08ACu4zSW/IftNikPAG/AiQt3nqvPwWenlN2FQw/kkIzt&#10;8TfffDOT+e2gFdkJH6Q1NZ1OSkqE4baRZlPTjx9WL64pCZGZhilrRE33ItDbxfNn895VYmY7qxrh&#10;CUBMqHpX0y5GVxVF4J3QLEysEwaHrfWaRSz9pmg864GuVTEry6uit75x3nIRAnaX4yE9IvpzAG3b&#10;Si6Wlm+1MHFE9UKxiJRCJ12gi8y2bQWP79o2iEhUTZFpzG8Egb1O72IxZ9XGM9dJfqTAzqHwJCfN&#10;pEHQE9SSRUa2Xv4FpSX3Ntg2TrjVxZhIVgRZTMsn2tx3zImcC6QO7iR6+H+w/O3uvSeyQSdQYphG&#10;wQ/fvh6+/zz8+EIukjy9CxW87h384vDSDsn1uB+wmbIeWq/TF/kQnEPc/UlcMUTCsXlzNStnl5Rw&#10;HM2upzcXWfziz2XnQ3wtrCbJqKlH7bKkbPcmRASE62+XFCtYJZuVVCov/GZ9pzzZMdR5lZ/EEVce&#10;uSlDejC5zDwYmrdF04CSdhAgmE2O9+hGeAhc5udfwInYkoVuJJARkhurtIzCZ6sTrHllGhL3DiIb&#10;zBZNZLRoKFECo5is7BmZVOd4IjtlUhCRG/2oUqrXWJdkxWE9ADSZa9vsUUOMPtTtrP+M+Gh8JP5p&#10;yzzYMMOxXVMoMpp3cZyUrfNy0+FWLnyRwNCOWd7j6KR+f7iG/fB3sf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nQuJdgAAAAIAQAADwAAAAAAAAABACAAAAAiAAAAZHJzL2Rvd25yZXYueG1sUEsB&#10;AhQAFAAAAAgAh07iQIYGenEuAgAAdgQAAA4AAAAAAAAAAQAgAAAAJwEAAGRycy9lMm9Eb2MueG1s&#10;UEsFBgAAAAAGAAYAWQEAAMcFAAAAAA==&#10;">
                <v:fill on="t" focussize="0,0"/>
                <v:stroke color="#000000" joinstyle="miter"/>
                <v:imagedata o:title=""/>
                <o:lock v:ext="edit" aspectratio="f"/>
                <v:textbox>
                  <w:txbxContent>
                    <w:p w14:paraId="2B89F473">
                      <w:pPr>
                        <w:ind w:firstLine="0" w:firstLineChars="0"/>
                        <w:rPr>
                          <w:sz w:val="32"/>
                          <w:szCs w:val="32"/>
                        </w:rPr>
                      </w:pPr>
                      <w:r>
                        <w:rPr>
                          <w:rFonts w:hint="eastAsia"/>
                          <w:b/>
                          <w:bCs/>
                        </w:rPr>
                        <w:t>正本（</w:t>
                      </w:r>
                      <w:r>
                        <w:rPr>
                          <w:b/>
                          <w:bCs/>
                        </w:rPr>
                        <w:t>副本）</w:t>
                      </w:r>
                    </w:p>
                  </w:txbxContent>
                </v:textbox>
              </v:shape>
            </w:pict>
          </mc:Fallback>
        </mc:AlternateContent>
      </w:r>
      <w:r>
        <w:rPr>
          <w:rFonts w:hint="eastAsia" w:hAnsi="宋体" w:cs="宋体"/>
          <w:b/>
          <w:bCs/>
          <w:color w:val="auto"/>
          <w:sz w:val="24"/>
          <w:szCs w:val="24"/>
          <w:highlight w:val="none"/>
        </w:rPr>
        <w:t>资格文件封面</w:t>
      </w:r>
      <w:bookmarkEnd w:id="103"/>
    </w:p>
    <w:p w14:paraId="6C641CFF">
      <w:pPr>
        <w:ind w:firstLine="480"/>
        <w:rPr>
          <w:rFonts w:cs="宋体"/>
          <w:color w:val="auto"/>
          <w:highlight w:val="none"/>
        </w:rPr>
      </w:pPr>
    </w:p>
    <w:p w14:paraId="7B56EA17">
      <w:pPr>
        <w:ind w:firstLine="0" w:firstLineChars="0"/>
        <w:jc w:val="center"/>
        <w:rPr>
          <w:rFonts w:cs="宋体"/>
          <w:b/>
          <w:bCs/>
          <w:color w:val="auto"/>
          <w:sz w:val="32"/>
          <w:szCs w:val="32"/>
          <w:highlight w:val="none"/>
        </w:rPr>
      </w:pPr>
      <w:r>
        <w:rPr>
          <w:rFonts w:hint="eastAsia" w:cs="宋体"/>
          <w:b/>
          <w:bCs/>
          <w:color w:val="auto"/>
          <w:sz w:val="32"/>
          <w:szCs w:val="32"/>
          <w:highlight w:val="none"/>
        </w:rPr>
        <w:t>资格文件</w:t>
      </w:r>
    </w:p>
    <w:p w14:paraId="2A353C25">
      <w:pPr>
        <w:pStyle w:val="15"/>
        <w:rPr>
          <w:rFonts w:hAnsi="宋体" w:cs="宋体"/>
          <w:b/>
          <w:bCs/>
          <w:color w:val="auto"/>
          <w:szCs w:val="24"/>
          <w:highlight w:val="none"/>
        </w:rPr>
      </w:pPr>
    </w:p>
    <w:p w14:paraId="4B5573F6">
      <w:pPr>
        <w:ind w:firstLine="482"/>
        <w:rPr>
          <w:rFonts w:cs="宋体"/>
          <w:b/>
          <w:bCs/>
          <w:color w:val="auto"/>
          <w:highlight w:val="none"/>
        </w:rPr>
      </w:pPr>
    </w:p>
    <w:p w14:paraId="1592CDA5">
      <w:pPr>
        <w:pStyle w:val="15"/>
        <w:rPr>
          <w:rFonts w:hAnsi="宋体" w:cs="宋体"/>
          <w:b/>
          <w:bCs/>
          <w:color w:val="auto"/>
          <w:szCs w:val="24"/>
          <w:highlight w:val="none"/>
        </w:rPr>
      </w:pPr>
    </w:p>
    <w:p w14:paraId="1CDA2751">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招 标 人：</w:t>
      </w:r>
    </w:p>
    <w:p w14:paraId="717CFB68">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项目名称：</w:t>
      </w:r>
    </w:p>
    <w:p w14:paraId="03D699C6">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项目编号：</w:t>
      </w:r>
    </w:p>
    <w:p w14:paraId="46E9AFBC">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标项：</w:t>
      </w:r>
    </w:p>
    <w:p w14:paraId="1B559661">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投标人名称（盖章）：</w:t>
      </w:r>
    </w:p>
    <w:p w14:paraId="2DD0B20F">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投标人地址：</w:t>
      </w:r>
    </w:p>
    <w:p w14:paraId="3FD7F9D3">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在    年  月  日  时  分之前不得启封</w:t>
      </w:r>
    </w:p>
    <w:p w14:paraId="2D53D645">
      <w:pPr>
        <w:ind w:firstLine="576"/>
        <w:rPr>
          <w:rFonts w:cs="宋体"/>
          <w:bCs/>
          <w:color w:val="auto"/>
          <w:spacing w:val="-6"/>
          <w:sz w:val="30"/>
          <w:szCs w:val="30"/>
          <w:highlight w:val="none"/>
        </w:rPr>
      </w:pPr>
    </w:p>
    <w:p w14:paraId="1D4FD851">
      <w:pPr>
        <w:spacing w:line="480" w:lineRule="auto"/>
        <w:ind w:firstLine="576"/>
        <w:rPr>
          <w:rFonts w:cs="宋体"/>
          <w:bCs/>
          <w:color w:val="auto"/>
          <w:spacing w:val="-6"/>
          <w:sz w:val="30"/>
          <w:szCs w:val="30"/>
          <w:highlight w:val="none"/>
        </w:rPr>
      </w:pPr>
      <w:r>
        <w:rPr>
          <w:rFonts w:hint="eastAsia" w:cs="宋体"/>
          <w:color w:val="auto"/>
          <w:spacing w:val="-6"/>
          <w:sz w:val="30"/>
          <w:szCs w:val="30"/>
          <w:highlight w:val="none"/>
        </w:rPr>
        <w:t>法定代表人或其授权代表（签字）</w:t>
      </w:r>
      <w:r>
        <w:rPr>
          <w:rFonts w:hint="eastAsia" w:cs="宋体"/>
          <w:bCs/>
          <w:color w:val="auto"/>
          <w:spacing w:val="-6"/>
          <w:sz w:val="30"/>
          <w:szCs w:val="30"/>
          <w:highlight w:val="none"/>
        </w:rPr>
        <w:t>：</w:t>
      </w:r>
    </w:p>
    <w:p w14:paraId="3568A372">
      <w:pPr>
        <w:spacing w:line="480" w:lineRule="auto"/>
        <w:ind w:firstLine="576"/>
        <w:rPr>
          <w:rFonts w:cs="宋体"/>
          <w:color w:val="auto"/>
          <w:highlight w:val="none"/>
        </w:rPr>
      </w:pPr>
      <w:r>
        <w:rPr>
          <w:rFonts w:hint="eastAsia" w:cs="宋体"/>
          <w:bCs/>
          <w:color w:val="auto"/>
          <w:spacing w:val="-6"/>
          <w:sz w:val="30"/>
          <w:szCs w:val="30"/>
          <w:highlight w:val="none"/>
        </w:rPr>
        <w:t>日期：    年  月  日</w:t>
      </w:r>
    </w:p>
    <w:p w14:paraId="1EA6E4C9">
      <w:pPr>
        <w:pStyle w:val="76"/>
        <w:rPr>
          <w:rFonts w:ascii="宋体" w:hAnsi="宋体" w:eastAsia="宋体" w:cs="宋体"/>
          <w:color w:val="auto"/>
          <w:highlight w:val="none"/>
        </w:rPr>
      </w:pPr>
    </w:p>
    <w:p w14:paraId="1A4C7820">
      <w:pPr>
        <w:pStyle w:val="76"/>
        <w:rPr>
          <w:rFonts w:ascii="宋体" w:hAnsi="宋体" w:eastAsia="宋体" w:cs="宋体"/>
          <w:color w:val="auto"/>
          <w:highlight w:val="none"/>
        </w:rPr>
      </w:pPr>
    </w:p>
    <w:p w14:paraId="3F1F9994">
      <w:pPr>
        <w:pStyle w:val="76"/>
        <w:rPr>
          <w:rFonts w:ascii="宋体" w:hAnsi="宋体" w:eastAsia="宋体" w:cs="宋体"/>
          <w:color w:val="auto"/>
          <w:highlight w:val="none"/>
        </w:rPr>
      </w:pPr>
    </w:p>
    <w:p w14:paraId="50FD26A1">
      <w:pPr>
        <w:pStyle w:val="76"/>
        <w:rPr>
          <w:rFonts w:ascii="宋体" w:hAnsi="宋体" w:eastAsia="宋体" w:cs="宋体"/>
          <w:color w:val="auto"/>
          <w:highlight w:val="none"/>
        </w:rPr>
      </w:pPr>
    </w:p>
    <w:p w14:paraId="69160F39">
      <w:pPr>
        <w:pStyle w:val="76"/>
        <w:rPr>
          <w:rFonts w:ascii="宋体" w:hAnsi="宋体" w:eastAsia="宋体" w:cs="宋体"/>
          <w:color w:val="auto"/>
          <w:highlight w:val="none"/>
        </w:rPr>
      </w:pPr>
    </w:p>
    <w:p w14:paraId="3FD077BE">
      <w:pPr>
        <w:pStyle w:val="4"/>
        <w:spacing w:line="480" w:lineRule="auto"/>
        <w:jc w:val="center"/>
        <w:rPr>
          <w:rFonts w:cs="宋体"/>
          <w:b/>
          <w:color w:val="auto"/>
          <w:kern w:val="0"/>
          <w:highlight w:val="none"/>
        </w:rPr>
      </w:pPr>
      <w:r>
        <w:rPr>
          <w:rFonts w:hint="eastAsia" w:cs="宋体"/>
          <w:color w:val="auto"/>
          <w:highlight w:val="none"/>
        </w:rPr>
        <w:br w:type="page"/>
      </w:r>
      <w:bookmarkStart w:id="104" w:name="_Toc31454"/>
      <w:r>
        <w:rPr>
          <w:rFonts w:hint="eastAsia" w:cs="宋体"/>
          <w:b/>
          <w:color w:val="auto"/>
          <w:kern w:val="0"/>
          <w:sz w:val="28"/>
          <w:szCs w:val="28"/>
          <w:highlight w:val="none"/>
        </w:rPr>
        <w:t>资格文件目录</w:t>
      </w:r>
      <w:bookmarkEnd w:id="104"/>
    </w:p>
    <w:p w14:paraId="1AA3723C">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color w:val="auto"/>
          <w:highlight w:val="none"/>
        </w:rPr>
      </w:pPr>
      <w:r>
        <w:rPr>
          <w:rFonts w:hint="eastAsia"/>
          <w:color w:val="auto"/>
          <w:highlight w:val="none"/>
        </w:rPr>
        <w:t>1.有效的营业执照复印件并加盖单位公章；</w:t>
      </w:r>
    </w:p>
    <w:p w14:paraId="7FEF4390">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color w:val="auto"/>
          <w:highlight w:val="none"/>
        </w:rPr>
      </w:pPr>
      <w:r>
        <w:rPr>
          <w:rFonts w:hint="eastAsia"/>
          <w:color w:val="auto"/>
          <w:highlight w:val="none"/>
        </w:rPr>
        <w:t>2.符合参加政府采购活动应当具备的一般条件的承诺函；（附件一）</w:t>
      </w:r>
    </w:p>
    <w:p w14:paraId="0457BF57">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color w:val="auto"/>
          <w:highlight w:val="none"/>
        </w:rPr>
      </w:pPr>
      <w:r>
        <w:rPr>
          <w:rFonts w:hint="eastAsia"/>
          <w:color w:val="auto"/>
          <w:highlight w:val="none"/>
        </w:rPr>
        <w:t>3.法定代表人有效身份证明书和法定代表人授权委托书（投标人的代表若为非法定代表人的，必须提交法定代表人授权委托书、授权代表身份证复印件、授权代表社保证明（提供近三个月</w:t>
      </w:r>
      <w:r>
        <w:rPr>
          <w:rFonts w:hint="eastAsia"/>
          <w:color w:val="auto"/>
          <w:highlight w:val="none"/>
          <w:lang w:eastAsia="zh-CN"/>
        </w:rPr>
        <w:t>内</w:t>
      </w:r>
      <w:r>
        <w:rPr>
          <w:rFonts w:hint="eastAsia"/>
          <w:color w:val="auto"/>
          <w:highlight w:val="none"/>
        </w:rPr>
        <w:t>任意一个月的社保缴纳证明）；（附件二）</w:t>
      </w:r>
    </w:p>
    <w:p w14:paraId="1ECBE04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color w:val="auto"/>
          <w:highlight w:val="none"/>
        </w:rPr>
      </w:pPr>
      <w:r>
        <w:rPr>
          <w:rFonts w:hint="eastAsia"/>
          <w:color w:val="auto"/>
          <w:highlight w:val="none"/>
        </w:rPr>
        <w:t>4.中小企业声明函、监狱企业、残疾人福利性单位声明函；（如有）（附件三）</w:t>
      </w:r>
    </w:p>
    <w:p w14:paraId="30042360">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olor w:val="auto"/>
          <w:highlight w:val="none"/>
        </w:rPr>
        <w:t>5.联合体协议、分包意向协议。（如有）（附件四）</w:t>
      </w:r>
      <w:r>
        <w:rPr>
          <w:rFonts w:hint="eastAsia" w:cs="宋体"/>
          <w:color w:val="auto"/>
          <w:highlight w:val="none"/>
        </w:rPr>
        <w:t xml:space="preserve">    </w:t>
      </w:r>
    </w:p>
    <w:p w14:paraId="36EB3D63">
      <w:pPr>
        <w:pStyle w:val="78"/>
        <w:spacing w:line="480" w:lineRule="auto"/>
        <w:rPr>
          <w:rFonts w:ascii="宋体" w:hAnsi="宋体" w:cs="宋体"/>
          <w:color w:val="auto"/>
          <w:sz w:val="24"/>
          <w:szCs w:val="24"/>
          <w:highlight w:val="none"/>
        </w:rPr>
        <w:sectPr>
          <w:headerReference r:id="rId19" w:type="default"/>
          <w:pgSz w:w="11907" w:h="16840"/>
          <w:pgMar w:top="1440" w:right="1080" w:bottom="1440" w:left="1080" w:header="720" w:footer="720" w:gutter="0"/>
          <w:pgNumType w:fmt="decimal"/>
          <w:cols w:space="720" w:num="1"/>
          <w:docGrid w:linePitch="286" w:charSpace="0"/>
        </w:sectPr>
      </w:pPr>
    </w:p>
    <w:p w14:paraId="503E30E6">
      <w:pPr>
        <w:pStyle w:val="5"/>
        <w:rPr>
          <w:rStyle w:val="56"/>
          <w:b/>
          <w:bCs/>
          <w:color w:val="auto"/>
          <w:sz w:val="24"/>
          <w:szCs w:val="24"/>
          <w:highlight w:val="none"/>
        </w:rPr>
      </w:pPr>
      <w:bookmarkStart w:id="105" w:name="_Toc13532"/>
      <w:r>
        <w:rPr>
          <w:rStyle w:val="56"/>
          <w:rFonts w:hint="eastAsia"/>
          <w:b/>
          <w:bCs/>
          <w:color w:val="auto"/>
          <w:sz w:val="24"/>
          <w:szCs w:val="24"/>
          <w:highlight w:val="none"/>
        </w:rPr>
        <w:t>附件一</w:t>
      </w:r>
    </w:p>
    <w:bookmarkEnd w:id="105"/>
    <w:p w14:paraId="7E3CD99E">
      <w:pPr>
        <w:snapToGrid w:val="0"/>
        <w:spacing w:line="480" w:lineRule="auto"/>
        <w:ind w:right="480" w:firstLine="562"/>
        <w:jc w:val="center"/>
        <w:rPr>
          <w:rFonts w:cs="宋体"/>
          <w:b/>
          <w:color w:val="auto"/>
          <w:kern w:val="0"/>
          <w:sz w:val="28"/>
          <w:szCs w:val="28"/>
          <w:highlight w:val="none"/>
        </w:rPr>
      </w:pPr>
      <w:r>
        <w:rPr>
          <w:rFonts w:hint="eastAsia" w:cs="宋体"/>
          <w:b/>
          <w:color w:val="auto"/>
          <w:kern w:val="0"/>
          <w:sz w:val="28"/>
          <w:szCs w:val="28"/>
          <w:highlight w:val="none"/>
        </w:rPr>
        <w:t>符合参加政府采购活动应当具备的一般条件的承诺函</w:t>
      </w:r>
    </w:p>
    <w:p w14:paraId="41AF305F">
      <w:pPr>
        <w:snapToGrid w:val="0"/>
        <w:spacing w:line="480" w:lineRule="auto"/>
        <w:ind w:firstLine="0" w:firstLineChars="0"/>
        <w:rPr>
          <w:rFonts w:cs="宋体"/>
          <w:color w:val="auto"/>
          <w:highlight w:val="none"/>
        </w:rPr>
      </w:pPr>
      <w:r>
        <w:rPr>
          <w:rFonts w:hint="eastAsia" w:cs="宋体"/>
          <w:color w:val="auto"/>
          <w:highlight w:val="none"/>
          <w:u w:val="single"/>
        </w:rPr>
        <w:t>（招标人）、（招标代理机构）</w:t>
      </w:r>
      <w:r>
        <w:rPr>
          <w:rFonts w:hint="eastAsia" w:cs="宋体"/>
          <w:color w:val="auto"/>
          <w:highlight w:val="none"/>
        </w:rPr>
        <w:t>：</w:t>
      </w:r>
    </w:p>
    <w:p w14:paraId="211606C6">
      <w:pPr>
        <w:snapToGrid w:val="0"/>
        <w:spacing w:line="480" w:lineRule="auto"/>
        <w:ind w:firstLine="480"/>
        <w:rPr>
          <w:rFonts w:cs="宋体"/>
          <w:color w:val="auto"/>
          <w:highlight w:val="none"/>
        </w:rPr>
      </w:pPr>
      <w:r>
        <w:rPr>
          <w:rFonts w:hint="eastAsia" w:cs="宋体"/>
          <w:color w:val="auto"/>
          <w:highlight w:val="none"/>
        </w:rPr>
        <w:t>我方参与（项目名称）（项目编号：）的招标活动，郑重承诺：</w:t>
      </w:r>
    </w:p>
    <w:p w14:paraId="00E9DC85">
      <w:pPr>
        <w:snapToGrid w:val="0"/>
        <w:spacing w:line="480" w:lineRule="auto"/>
        <w:ind w:firstLine="0" w:firstLineChars="0"/>
        <w:rPr>
          <w:rFonts w:cs="宋体"/>
          <w:color w:val="auto"/>
          <w:highlight w:val="none"/>
        </w:rPr>
      </w:pPr>
      <w:r>
        <w:rPr>
          <w:rFonts w:hint="eastAsia" w:cs="宋体"/>
          <w:color w:val="auto"/>
          <w:highlight w:val="none"/>
        </w:rPr>
        <w:t>（一）具备《中华人民共和国政府采购法》第二十二条第一款规定的条件：</w:t>
      </w:r>
    </w:p>
    <w:p w14:paraId="63D01459">
      <w:pPr>
        <w:snapToGrid w:val="0"/>
        <w:spacing w:line="480" w:lineRule="auto"/>
        <w:ind w:firstLine="480"/>
        <w:rPr>
          <w:rFonts w:cs="宋体"/>
          <w:color w:val="auto"/>
          <w:highlight w:val="none"/>
        </w:rPr>
      </w:pPr>
      <w:r>
        <w:rPr>
          <w:rFonts w:hint="eastAsia" w:cs="宋体"/>
          <w:color w:val="auto"/>
          <w:highlight w:val="none"/>
        </w:rPr>
        <w:t>1.具有独立承担民事责任的能力；</w:t>
      </w:r>
    </w:p>
    <w:p w14:paraId="72CC8853">
      <w:pPr>
        <w:snapToGrid w:val="0"/>
        <w:spacing w:line="480" w:lineRule="auto"/>
        <w:ind w:firstLine="480"/>
        <w:rPr>
          <w:rFonts w:cs="宋体"/>
          <w:color w:val="auto"/>
          <w:highlight w:val="none"/>
        </w:rPr>
      </w:pPr>
      <w:r>
        <w:rPr>
          <w:rFonts w:hint="eastAsia" w:cs="宋体"/>
          <w:color w:val="auto"/>
          <w:highlight w:val="none"/>
        </w:rPr>
        <w:t xml:space="preserve">2.具有良好的商业信誉和健全的财务会计制度； </w:t>
      </w:r>
    </w:p>
    <w:p w14:paraId="34DFBB07">
      <w:pPr>
        <w:snapToGrid w:val="0"/>
        <w:spacing w:line="480" w:lineRule="auto"/>
        <w:ind w:firstLine="480"/>
        <w:rPr>
          <w:rFonts w:cs="宋体"/>
          <w:color w:val="auto"/>
          <w:highlight w:val="none"/>
        </w:rPr>
      </w:pPr>
      <w:r>
        <w:rPr>
          <w:rFonts w:hint="eastAsia" w:cs="宋体"/>
          <w:color w:val="auto"/>
          <w:highlight w:val="none"/>
        </w:rPr>
        <w:t>3.具有履行合同所必需的设备和专业技术能力；</w:t>
      </w:r>
    </w:p>
    <w:p w14:paraId="01577803">
      <w:pPr>
        <w:snapToGrid w:val="0"/>
        <w:spacing w:line="480" w:lineRule="auto"/>
        <w:ind w:firstLine="480"/>
        <w:rPr>
          <w:rFonts w:cs="宋体"/>
          <w:color w:val="auto"/>
          <w:highlight w:val="none"/>
        </w:rPr>
      </w:pPr>
      <w:r>
        <w:rPr>
          <w:rFonts w:hint="eastAsia" w:cs="宋体"/>
          <w:color w:val="auto"/>
          <w:highlight w:val="none"/>
        </w:rPr>
        <w:t>4.有依法缴纳税收和社会保障资金的良好记录；</w:t>
      </w:r>
    </w:p>
    <w:p w14:paraId="68CB38D6">
      <w:pPr>
        <w:snapToGrid w:val="0"/>
        <w:spacing w:line="480" w:lineRule="auto"/>
        <w:ind w:firstLine="480"/>
        <w:rPr>
          <w:rFonts w:cs="宋体"/>
          <w:color w:val="auto"/>
          <w:highlight w:val="none"/>
        </w:rPr>
      </w:pPr>
      <w:r>
        <w:rPr>
          <w:rFonts w:hint="eastAsia" w:cs="宋体"/>
          <w:color w:val="auto"/>
          <w:highlight w:val="none"/>
        </w:rPr>
        <w:t>5.参加招标活动前三年内，在经营活动中没有重大违法记录；</w:t>
      </w:r>
    </w:p>
    <w:p w14:paraId="174A64FF">
      <w:pPr>
        <w:snapToGrid w:val="0"/>
        <w:spacing w:line="480" w:lineRule="auto"/>
        <w:ind w:firstLine="480"/>
        <w:rPr>
          <w:rFonts w:cs="宋体"/>
          <w:color w:val="auto"/>
          <w:highlight w:val="none"/>
        </w:rPr>
      </w:pPr>
      <w:r>
        <w:rPr>
          <w:rFonts w:hint="eastAsia" w:cs="宋体"/>
          <w:color w:val="auto"/>
          <w:highlight w:val="none"/>
        </w:rPr>
        <w:t>6.具有法律、行政法规规定的其他条件。</w:t>
      </w:r>
    </w:p>
    <w:p w14:paraId="1C2C4E12">
      <w:pPr>
        <w:snapToGrid w:val="0"/>
        <w:spacing w:line="480" w:lineRule="auto"/>
        <w:ind w:firstLine="0" w:firstLineChars="0"/>
        <w:rPr>
          <w:rFonts w:cs="宋体"/>
          <w:color w:val="auto"/>
          <w:highlight w:val="none"/>
        </w:rPr>
      </w:pPr>
      <w:r>
        <w:rPr>
          <w:rFonts w:hint="eastAsia" w:cs="宋体"/>
          <w:color w:val="auto"/>
          <w:highlight w:val="none"/>
        </w:rPr>
        <w:t>（二）未被信用中国（www.creditchina.gov.cn)、中国政府采购网（www.ccgp.gov.cn）列入失信被执行人、重大税收违法案件当事人名单、政府采购严重违法失信行为记录名单。</w:t>
      </w:r>
    </w:p>
    <w:p w14:paraId="5D40582F">
      <w:pPr>
        <w:snapToGrid w:val="0"/>
        <w:spacing w:line="480" w:lineRule="auto"/>
        <w:ind w:firstLine="0" w:firstLineChars="0"/>
        <w:rPr>
          <w:rFonts w:cs="宋体"/>
          <w:color w:val="auto"/>
          <w:highlight w:val="none"/>
        </w:rPr>
      </w:pPr>
      <w:r>
        <w:rPr>
          <w:rFonts w:hint="eastAsia" w:cs="宋体"/>
          <w:color w:val="auto"/>
          <w:highlight w:val="none"/>
        </w:rPr>
        <w:t>（三）不存在以下情况：</w:t>
      </w:r>
    </w:p>
    <w:p w14:paraId="5A745DDC">
      <w:pPr>
        <w:snapToGrid w:val="0"/>
        <w:spacing w:line="480" w:lineRule="auto"/>
        <w:ind w:firstLine="480"/>
        <w:rPr>
          <w:rFonts w:cs="宋体"/>
          <w:color w:val="auto"/>
          <w:highlight w:val="none"/>
        </w:rPr>
      </w:pPr>
      <w:r>
        <w:rPr>
          <w:rFonts w:hint="eastAsia" w:cs="宋体"/>
          <w:color w:val="auto"/>
          <w:highlight w:val="none"/>
        </w:rPr>
        <w:t>1.单位负责人为同一人或者存在直接控股、管理关系的不同投标人参加同一合同项下的招标活动的；</w:t>
      </w:r>
    </w:p>
    <w:p w14:paraId="5FBB2584">
      <w:pPr>
        <w:snapToGrid w:val="0"/>
        <w:spacing w:line="480" w:lineRule="auto"/>
        <w:ind w:firstLine="480"/>
        <w:rPr>
          <w:rFonts w:cs="宋体"/>
          <w:color w:val="auto"/>
          <w:highlight w:val="none"/>
        </w:rPr>
      </w:pPr>
      <w:r>
        <w:rPr>
          <w:rFonts w:hint="eastAsia" w:cs="宋体"/>
          <w:color w:val="auto"/>
          <w:highlight w:val="none"/>
        </w:rPr>
        <w:t>2.为招标项目提供整体设计、规范编制或者项目管理、监理、检测等服务后再参加该招标项目的其他招标活动的。</w:t>
      </w:r>
    </w:p>
    <w:p w14:paraId="43D5EADE">
      <w:pPr>
        <w:ind w:firstLine="480"/>
        <w:rPr>
          <w:color w:val="auto"/>
          <w:highlight w:val="none"/>
        </w:rPr>
      </w:pPr>
    </w:p>
    <w:p w14:paraId="624FA5EA">
      <w:pPr>
        <w:spacing w:line="480" w:lineRule="auto"/>
        <w:ind w:firstLine="0" w:firstLineChars="0"/>
        <w:rPr>
          <w:rFonts w:cs="宋体"/>
          <w:color w:val="auto"/>
          <w:highlight w:val="none"/>
        </w:rPr>
      </w:pPr>
      <w:r>
        <w:rPr>
          <w:rFonts w:hint="eastAsia" w:cs="宋体"/>
          <w:color w:val="auto"/>
          <w:highlight w:val="none"/>
        </w:rPr>
        <w:t>投标人名称（公章）：</w:t>
      </w:r>
    </w:p>
    <w:p w14:paraId="5F1982EA">
      <w:pPr>
        <w:spacing w:line="480" w:lineRule="auto"/>
        <w:ind w:firstLine="0" w:firstLineChars="0"/>
        <w:rPr>
          <w:rFonts w:cs="宋体"/>
          <w:color w:val="auto"/>
          <w:highlight w:val="none"/>
        </w:rPr>
      </w:pPr>
      <w:r>
        <w:rPr>
          <w:rFonts w:hint="eastAsia" w:cs="宋体"/>
          <w:color w:val="auto"/>
          <w:highlight w:val="none"/>
        </w:rPr>
        <w:t>法定代表人或其授权代表（签字）：</w:t>
      </w:r>
    </w:p>
    <w:p w14:paraId="3944A2EB">
      <w:pPr>
        <w:spacing w:line="480" w:lineRule="auto"/>
        <w:ind w:firstLine="0" w:firstLineChars="0"/>
        <w:jc w:val="left"/>
        <w:rPr>
          <w:rFonts w:cs="宋体"/>
          <w:color w:val="auto"/>
          <w:highlight w:val="none"/>
        </w:rPr>
      </w:pPr>
      <w:r>
        <w:rPr>
          <w:rFonts w:hint="eastAsia" w:cs="宋体"/>
          <w:color w:val="auto"/>
          <w:highlight w:val="none"/>
        </w:rPr>
        <w:t>日期：  年   月   日</w:t>
      </w:r>
    </w:p>
    <w:p w14:paraId="6FD5C8EB">
      <w:pPr>
        <w:pStyle w:val="76"/>
        <w:rPr>
          <w:rFonts w:ascii="宋体" w:hAnsi="宋体" w:eastAsia="宋体" w:cs="宋体"/>
          <w:color w:val="auto"/>
          <w:highlight w:val="none"/>
        </w:rPr>
      </w:pPr>
    </w:p>
    <w:p w14:paraId="7E09AE44">
      <w:pPr>
        <w:pStyle w:val="78"/>
        <w:ind w:left="0"/>
        <w:rPr>
          <w:rFonts w:ascii="宋体" w:hAnsi="宋体" w:cs="宋体"/>
          <w:color w:val="auto"/>
          <w:highlight w:val="none"/>
        </w:rPr>
        <w:sectPr>
          <w:pgSz w:w="11907" w:h="16840"/>
          <w:pgMar w:top="1440" w:right="1080" w:bottom="1440" w:left="1080" w:header="720" w:footer="720" w:gutter="0"/>
          <w:pgNumType w:fmt="decimal"/>
          <w:cols w:space="720" w:num="1"/>
          <w:rtlGutter w:val="1"/>
          <w:docGrid w:linePitch="286" w:charSpace="0"/>
        </w:sectPr>
      </w:pPr>
    </w:p>
    <w:p w14:paraId="64106110">
      <w:pPr>
        <w:pStyle w:val="5"/>
        <w:rPr>
          <w:color w:val="auto"/>
          <w:highlight w:val="none"/>
        </w:rPr>
      </w:pPr>
      <w:r>
        <w:rPr>
          <w:rFonts w:hint="eastAsia"/>
          <w:color w:val="auto"/>
          <w:highlight w:val="none"/>
        </w:rPr>
        <w:t>附件二</w:t>
      </w:r>
    </w:p>
    <w:p w14:paraId="6CDD2650">
      <w:pPr>
        <w:ind w:firstLine="0" w:firstLineChars="0"/>
        <w:jc w:val="center"/>
        <w:rPr>
          <w:rFonts w:cs="宋体"/>
          <w:b/>
          <w:color w:val="auto"/>
          <w:spacing w:val="-6"/>
          <w:sz w:val="28"/>
          <w:szCs w:val="28"/>
          <w:highlight w:val="none"/>
        </w:rPr>
      </w:pPr>
      <w:r>
        <w:rPr>
          <w:rFonts w:hint="eastAsia" w:cs="宋体"/>
          <w:b/>
          <w:color w:val="auto"/>
          <w:spacing w:val="-6"/>
          <w:sz w:val="28"/>
          <w:szCs w:val="28"/>
          <w:highlight w:val="none"/>
        </w:rPr>
        <w:t>法定代表人有效身份证明书</w:t>
      </w:r>
    </w:p>
    <w:p w14:paraId="6FF88168">
      <w:pPr>
        <w:pStyle w:val="15"/>
        <w:rPr>
          <w:color w:val="auto"/>
          <w:highlight w:val="none"/>
        </w:rPr>
      </w:pPr>
    </w:p>
    <w:p w14:paraId="164BAED7">
      <w:pPr>
        <w:spacing w:line="480" w:lineRule="auto"/>
        <w:ind w:firstLine="0" w:firstLineChars="0"/>
        <w:rPr>
          <w:rFonts w:cs="宋体"/>
          <w:bCs/>
          <w:color w:val="auto"/>
          <w:spacing w:val="-6"/>
          <w:highlight w:val="none"/>
        </w:rPr>
      </w:pPr>
      <w:r>
        <w:rPr>
          <w:rFonts w:hint="eastAsia" w:cs="宋体"/>
          <w:bCs/>
          <w:color w:val="auto"/>
          <w:spacing w:val="-6"/>
          <w:highlight w:val="none"/>
        </w:rPr>
        <w:t>致：</w:t>
      </w:r>
      <w:r>
        <w:rPr>
          <w:rFonts w:hint="eastAsia" w:cs="宋体"/>
          <w:bCs/>
          <w:color w:val="auto"/>
          <w:spacing w:val="-6"/>
          <w:highlight w:val="none"/>
          <w:u w:val="single"/>
        </w:rPr>
        <w:t>（招标人）（代理机构）</w:t>
      </w:r>
    </w:p>
    <w:p w14:paraId="42076ED0">
      <w:pPr>
        <w:spacing w:line="480" w:lineRule="auto"/>
        <w:ind w:firstLine="456"/>
        <w:rPr>
          <w:rFonts w:cs="宋体"/>
          <w:bCs/>
          <w:color w:val="auto"/>
          <w:spacing w:val="-6"/>
          <w:highlight w:val="none"/>
        </w:rPr>
      </w:pPr>
      <w:r>
        <w:rPr>
          <w:rFonts w:hint="eastAsia" w:cs="宋体"/>
          <w:bCs/>
          <w:color w:val="auto"/>
          <w:spacing w:val="-6"/>
          <w:highlight w:val="none"/>
        </w:rPr>
        <w:t>我</w:t>
      </w:r>
      <w:r>
        <w:rPr>
          <w:rFonts w:hint="eastAsia" w:cs="宋体"/>
          <w:color w:val="auto"/>
          <w:spacing w:val="-6"/>
          <w:highlight w:val="none"/>
        </w:rPr>
        <w:t>____________</w:t>
      </w:r>
      <w:r>
        <w:rPr>
          <w:rFonts w:hint="eastAsia" w:cs="宋体"/>
          <w:bCs/>
          <w:color w:val="auto"/>
          <w:spacing w:val="-6"/>
          <w:highlight w:val="none"/>
        </w:rPr>
        <w:t>（姓名）系_______________________（单位名称）的法定代表人，身份证号码：_________________________________。</w:t>
      </w:r>
    </w:p>
    <w:p w14:paraId="6608AEA0">
      <w:pPr>
        <w:spacing w:line="480" w:lineRule="auto"/>
        <w:ind w:firstLine="456"/>
        <w:rPr>
          <w:rFonts w:cs="宋体"/>
          <w:bCs/>
          <w:color w:val="auto"/>
          <w:spacing w:val="-6"/>
          <w:highlight w:val="none"/>
        </w:rPr>
      </w:pPr>
      <w:r>
        <w:rPr>
          <w:rFonts w:hint="eastAsia" w:cs="宋体"/>
          <w:bCs/>
          <w:color w:val="auto"/>
          <w:spacing w:val="-6"/>
          <w:highlight w:val="none"/>
        </w:rPr>
        <w:t>特此证明。</w:t>
      </w:r>
    </w:p>
    <w:p w14:paraId="6975A889">
      <w:pPr>
        <w:ind w:firstLine="456"/>
        <w:rPr>
          <w:rFonts w:cs="宋体"/>
          <w:bCs/>
          <w:color w:val="auto"/>
          <w:spacing w:val="-6"/>
          <w:highlight w:val="none"/>
        </w:rPr>
      </w:pPr>
    </w:p>
    <w:tbl>
      <w:tblPr>
        <w:tblStyle w:val="4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0326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tcPr>
          <w:p w14:paraId="4641A460">
            <w:pPr>
              <w:ind w:firstLine="480"/>
              <w:rPr>
                <w:rFonts w:cs="宋体"/>
                <w:color w:val="auto"/>
                <w:highlight w:val="none"/>
              </w:rPr>
            </w:pPr>
          </w:p>
          <w:p w14:paraId="64A3ADAA">
            <w:pPr>
              <w:ind w:firstLine="480"/>
              <w:rPr>
                <w:rFonts w:cs="宋体"/>
                <w:color w:val="auto"/>
                <w:highlight w:val="none"/>
              </w:rPr>
            </w:pPr>
          </w:p>
          <w:p w14:paraId="496722E1">
            <w:pPr>
              <w:ind w:firstLine="480"/>
              <w:rPr>
                <w:rFonts w:cs="宋体"/>
                <w:color w:val="auto"/>
                <w:highlight w:val="none"/>
              </w:rPr>
            </w:pPr>
          </w:p>
          <w:p w14:paraId="2A944DE1">
            <w:pPr>
              <w:ind w:firstLine="2409" w:firstLineChars="1000"/>
              <w:rPr>
                <w:rFonts w:cs="宋体"/>
                <w:b/>
                <w:bCs/>
                <w:color w:val="auto"/>
                <w:highlight w:val="none"/>
              </w:rPr>
            </w:pPr>
            <w:r>
              <w:rPr>
                <w:rFonts w:hint="eastAsia" w:cs="宋体"/>
                <w:b/>
                <w:bCs/>
                <w:color w:val="auto"/>
                <w:highlight w:val="none"/>
              </w:rPr>
              <w:t>法定代表人有效身份证明复印件粘贴处</w:t>
            </w:r>
          </w:p>
          <w:p w14:paraId="6F8B4BCA">
            <w:pPr>
              <w:ind w:firstLine="480"/>
              <w:rPr>
                <w:rFonts w:cs="宋体"/>
                <w:color w:val="auto"/>
                <w:highlight w:val="none"/>
              </w:rPr>
            </w:pPr>
          </w:p>
          <w:p w14:paraId="02396BD6">
            <w:pPr>
              <w:ind w:firstLine="480"/>
              <w:rPr>
                <w:rFonts w:cs="宋体"/>
                <w:color w:val="auto"/>
                <w:highlight w:val="none"/>
              </w:rPr>
            </w:pPr>
          </w:p>
          <w:p w14:paraId="535B1D5D">
            <w:pPr>
              <w:ind w:firstLine="456"/>
              <w:rPr>
                <w:rFonts w:cs="宋体"/>
                <w:bCs/>
                <w:color w:val="auto"/>
                <w:spacing w:val="-6"/>
                <w:highlight w:val="none"/>
              </w:rPr>
            </w:pPr>
          </w:p>
        </w:tc>
      </w:tr>
    </w:tbl>
    <w:p w14:paraId="5EA510DA">
      <w:pPr>
        <w:ind w:firstLine="456"/>
        <w:rPr>
          <w:rFonts w:cs="宋体"/>
          <w:bCs/>
          <w:color w:val="auto"/>
          <w:spacing w:val="-6"/>
          <w:highlight w:val="none"/>
        </w:rPr>
      </w:pPr>
    </w:p>
    <w:p w14:paraId="11AAC61D">
      <w:pPr>
        <w:ind w:right="456" w:firstLine="458"/>
        <w:rPr>
          <w:rFonts w:cs="宋体"/>
          <w:b/>
          <w:bCs/>
          <w:color w:val="auto"/>
          <w:spacing w:val="-6"/>
          <w:highlight w:val="none"/>
        </w:rPr>
      </w:pPr>
    </w:p>
    <w:p w14:paraId="6DCD905F">
      <w:pPr>
        <w:ind w:right="456" w:firstLine="458"/>
        <w:rPr>
          <w:rFonts w:cs="宋体"/>
          <w:b/>
          <w:bCs/>
          <w:color w:val="auto"/>
          <w:spacing w:val="-6"/>
          <w:highlight w:val="none"/>
        </w:rPr>
      </w:pPr>
    </w:p>
    <w:p w14:paraId="37FB9432">
      <w:pPr>
        <w:ind w:right="456" w:firstLine="458"/>
        <w:rPr>
          <w:rFonts w:cs="宋体"/>
          <w:b/>
          <w:bCs/>
          <w:color w:val="auto"/>
          <w:spacing w:val="-6"/>
          <w:highlight w:val="none"/>
        </w:rPr>
      </w:pPr>
    </w:p>
    <w:p w14:paraId="3C6B4F81">
      <w:pPr>
        <w:spacing w:line="480" w:lineRule="auto"/>
        <w:ind w:firstLine="480"/>
        <w:rPr>
          <w:rFonts w:cs="宋体"/>
          <w:color w:val="auto"/>
          <w:highlight w:val="none"/>
        </w:rPr>
      </w:pPr>
      <w:r>
        <w:rPr>
          <w:rFonts w:hint="eastAsia" w:cs="宋体"/>
          <w:color w:val="auto"/>
          <w:highlight w:val="none"/>
        </w:rPr>
        <w:t>投标人名称（公章）：</w:t>
      </w:r>
    </w:p>
    <w:p w14:paraId="2E058363">
      <w:pPr>
        <w:spacing w:line="480" w:lineRule="auto"/>
        <w:ind w:firstLine="480"/>
        <w:rPr>
          <w:rFonts w:cs="宋体"/>
          <w:color w:val="auto"/>
          <w:highlight w:val="none"/>
        </w:rPr>
      </w:pPr>
      <w:r>
        <w:rPr>
          <w:rFonts w:hint="eastAsia" w:cs="宋体"/>
          <w:color w:val="auto"/>
          <w:highlight w:val="none"/>
        </w:rPr>
        <w:t>法定代表人（签字或盖章）：</w:t>
      </w:r>
    </w:p>
    <w:p w14:paraId="558DB1CE">
      <w:pPr>
        <w:spacing w:line="480" w:lineRule="auto"/>
        <w:ind w:firstLine="480"/>
        <w:jc w:val="left"/>
        <w:rPr>
          <w:color w:val="auto"/>
          <w:highlight w:val="none"/>
        </w:rPr>
        <w:sectPr>
          <w:pgSz w:w="11907" w:h="16840"/>
          <w:pgMar w:top="1440" w:right="1080" w:bottom="1440" w:left="1080" w:header="720" w:footer="720" w:gutter="0"/>
          <w:pgNumType w:fmt="decimal"/>
          <w:cols w:space="720" w:num="1"/>
          <w:rtlGutter w:val="1"/>
          <w:docGrid w:linePitch="286" w:charSpace="0"/>
        </w:sectPr>
      </w:pPr>
      <w:r>
        <w:rPr>
          <w:rFonts w:hint="eastAsia" w:cs="宋体"/>
          <w:color w:val="auto"/>
          <w:highlight w:val="none"/>
        </w:rPr>
        <w:t>日期：  年   月   日</w:t>
      </w:r>
    </w:p>
    <w:p w14:paraId="265F4D64">
      <w:pPr>
        <w:ind w:firstLine="0" w:firstLineChars="0"/>
        <w:jc w:val="center"/>
        <w:rPr>
          <w:rFonts w:cs="宋体"/>
          <w:b/>
          <w:bCs/>
          <w:color w:val="auto"/>
          <w:spacing w:val="24"/>
          <w:sz w:val="28"/>
          <w:szCs w:val="28"/>
          <w:highlight w:val="none"/>
        </w:rPr>
      </w:pPr>
      <w:r>
        <w:rPr>
          <w:rFonts w:hint="eastAsia" w:cs="宋体"/>
          <w:b/>
          <w:bCs/>
          <w:color w:val="auto"/>
          <w:spacing w:val="24"/>
          <w:sz w:val="28"/>
          <w:szCs w:val="28"/>
          <w:highlight w:val="none"/>
        </w:rPr>
        <w:t>法定代表人授权委托书</w:t>
      </w:r>
    </w:p>
    <w:p w14:paraId="74BC893E">
      <w:pPr>
        <w:spacing w:line="480" w:lineRule="exact"/>
        <w:ind w:firstLine="480"/>
        <w:rPr>
          <w:rFonts w:cs="宋体"/>
          <w:color w:val="auto"/>
          <w:highlight w:val="none"/>
        </w:rPr>
      </w:pPr>
    </w:p>
    <w:p w14:paraId="3548316C">
      <w:pPr>
        <w:spacing w:line="480" w:lineRule="exact"/>
        <w:ind w:firstLine="480"/>
        <w:rPr>
          <w:rFonts w:cs="宋体"/>
          <w:color w:val="auto"/>
          <w:highlight w:val="none"/>
        </w:rPr>
      </w:pPr>
      <w:r>
        <w:rPr>
          <w:rFonts w:hint="eastAsia" w:cs="宋体"/>
          <w:color w:val="auto"/>
          <w:highlight w:val="none"/>
        </w:rPr>
        <w:t>本授权委托书声明，我</w:t>
      </w:r>
      <w:r>
        <w:rPr>
          <w:rFonts w:hint="eastAsia" w:cs="宋体"/>
          <w:color w:val="auto"/>
          <w:highlight w:val="none"/>
          <w:u w:val="single"/>
        </w:rPr>
        <w:t xml:space="preserve">        </w:t>
      </w:r>
      <w:r>
        <w:rPr>
          <w:rFonts w:hint="eastAsia" w:cs="宋体"/>
          <w:color w:val="auto"/>
          <w:highlight w:val="none"/>
        </w:rPr>
        <w:t>（姓名）系</w:t>
      </w:r>
      <w:r>
        <w:rPr>
          <w:rFonts w:hint="eastAsia" w:cs="宋体"/>
          <w:color w:val="auto"/>
          <w:highlight w:val="none"/>
          <w:u w:val="single"/>
        </w:rPr>
        <w:t xml:space="preserve">        </w:t>
      </w:r>
      <w:r>
        <w:rPr>
          <w:rFonts w:hint="eastAsia" w:cs="宋体"/>
          <w:color w:val="auto"/>
          <w:highlight w:val="none"/>
        </w:rPr>
        <w:t>（供应商名称）的法定代表人，现授权委托</w:t>
      </w:r>
      <w:r>
        <w:rPr>
          <w:rFonts w:hint="eastAsia" w:cs="宋体"/>
          <w:color w:val="auto"/>
          <w:highlight w:val="none"/>
          <w:u w:val="single"/>
        </w:rPr>
        <w:t xml:space="preserve">        </w:t>
      </w:r>
      <w:r>
        <w:rPr>
          <w:rFonts w:hint="eastAsia" w:cs="宋体"/>
          <w:color w:val="auto"/>
          <w:highlight w:val="none"/>
        </w:rPr>
        <w:t>（姓名）为我单位授权代表，以本单位的名义参加</w:t>
      </w:r>
      <w:r>
        <w:rPr>
          <w:rFonts w:hint="eastAsia" w:cs="宋体"/>
          <w:color w:val="auto"/>
          <w:highlight w:val="none"/>
          <w:u w:val="single"/>
        </w:rPr>
        <w:t xml:space="preserve">           </w:t>
      </w:r>
      <w:r>
        <w:rPr>
          <w:rFonts w:hint="eastAsia" w:cs="宋体"/>
          <w:color w:val="auto"/>
          <w:highlight w:val="none"/>
        </w:rPr>
        <w:t>（招标人）的</w:t>
      </w:r>
      <w:r>
        <w:rPr>
          <w:rFonts w:hint="eastAsia" w:cs="宋体"/>
          <w:color w:val="auto"/>
          <w:highlight w:val="none"/>
          <w:u w:val="single"/>
        </w:rPr>
        <w:t xml:space="preserve">                        </w:t>
      </w:r>
      <w:r>
        <w:rPr>
          <w:rFonts w:hint="eastAsia" w:cs="宋体"/>
          <w:color w:val="auto"/>
          <w:highlight w:val="none"/>
        </w:rPr>
        <w:t>项目的投标活动。授权代表在投标、开标、评标、合同谈判过程中所签署的一切文件和处理与之有关的一切事务，我均予以承认。</w:t>
      </w:r>
    </w:p>
    <w:p w14:paraId="48D19C86">
      <w:pPr>
        <w:spacing w:line="480" w:lineRule="exact"/>
        <w:ind w:firstLine="480"/>
        <w:rPr>
          <w:rFonts w:cs="宋体"/>
          <w:color w:val="auto"/>
          <w:highlight w:val="none"/>
        </w:rPr>
      </w:pPr>
      <w:r>
        <w:rPr>
          <w:rFonts w:hint="eastAsia" w:cs="宋体"/>
          <w:color w:val="auto"/>
          <w:highlight w:val="none"/>
        </w:rPr>
        <w:t>被授权人无转委托权，特此委托。</w:t>
      </w:r>
    </w:p>
    <w:p w14:paraId="75DCB266">
      <w:pPr>
        <w:spacing w:after="156" w:line="480" w:lineRule="exact"/>
        <w:ind w:firstLine="482"/>
        <w:rPr>
          <w:rFonts w:cs="宋体"/>
          <w:b/>
          <w:color w:val="auto"/>
          <w:highlight w:val="none"/>
        </w:rPr>
      </w:pPr>
    </w:p>
    <w:p w14:paraId="546FA9D2">
      <w:pPr>
        <w:spacing w:line="480" w:lineRule="exact"/>
        <w:ind w:firstLine="480"/>
        <w:rPr>
          <w:rFonts w:cs="宋体"/>
          <w:color w:val="auto"/>
          <w:highlight w:val="none"/>
          <w:u w:val="single"/>
        </w:rPr>
      </w:pPr>
      <w:r>
        <w:rPr>
          <w:rFonts w:hint="eastAsia" w:cs="宋体"/>
          <w:color w:val="auto"/>
          <w:highlight w:val="none"/>
        </w:rPr>
        <w:t>授权代表：</w:t>
      </w:r>
      <w:r>
        <w:rPr>
          <w:rFonts w:hint="eastAsia" w:cs="宋体"/>
          <w:color w:val="auto"/>
          <w:highlight w:val="none"/>
          <w:u w:val="single"/>
        </w:rPr>
        <w:t xml:space="preserve">   （签字）   </w:t>
      </w:r>
    </w:p>
    <w:p w14:paraId="41E9389D">
      <w:pPr>
        <w:spacing w:line="480" w:lineRule="exact"/>
        <w:ind w:firstLine="480"/>
        <w:rPr>
          <w:rFonts w:cs="宋体"/>
          <w:color w:val="auto"/>
          <w:highlight w:val="none"/>
          <w:u w:val="single"/>
        </w:rPr>
      </w:pPr>
      <w:r>
        <w:rPr>
          <w:rFonts w:hint="eastAsia" w:cs="宋体"/>
          <w:color w:val="auto"/>
          <w:highlight w:val="none"/>
        </w:rPr>
        <w:t>身份证号码：</w:t>
      </w:r>
      <w:r>
        <w:rPr>
          <w:rFonts w:hint="eastAsia" w:cs="宋体"/>
          <w:color w:val="auto"/>
          <w:highlight w:val="none"/>
          <w:u w:val="single"/>
        </w:rPr>
        <w:t xml:space="preserve">                    </w:t>
      </w:r>
    </w:p>
    <w:p w14:paraId="619C1D5C">
      <w:pPr>
        <w:spacing w:line="480" w:lineRule="exact"/>
        <w:ind w:firstLine="480"/>
        <w:rPr>
          <w:rFonts w:cs="宋体"/>
          <w:color w:val="auto"/>
          <w:highlight w:val="none"/>
          <w:u w:val="single"/>
        </w:rPr>
      </w:pPr>
      <w:r>
        <w:rPr>
          <w:rFonts w:hint="eastAsia" w:cs="宋体"/>
          <w:color w:val="auto"/>
          <w:highlight w:val="none"/>
        </w:rPr>
        <w:t>职务：</w:t>
      </w:r>
      <w:r>
        <w:rPr>
          <w:rFonts w:hint="eastAsia" w:cs="宋体"/>
          <w:color w:val="auto"/>
          <w:highlight w:val="none"/>
          <w:u w:val="single"/>
        </w:rPr>
        <w:t xml:space="preserve">                    </w:t>
      </w:r>
    </w:p>
    <w:p w14:paraId="11365105">
      <w:pPr>
        <w:spacing w:line="480" w:lineRule="exact"/>
        <w:ind w:firstLine="480"/>
        <w:rPr>
          <w:rFonts w:cs="宋体"/>
          <w:color w:val="auto"/>
          <w:highlight w:val="none"/>
        </w:rPr>
      </w:pPr>
      <w:r>
        <w:rPr>
          <w:rFonts w:hint="eastAsia" w:cs="宋体"/>
          <w:color w:val="auto"/>
          <w:highlight w:val="none"/>
        </w:rPr>
        <w:t>投标人名称：</w:t>
      </w:r>
      <w:r>
        <w:rPr>
          <w:rFonts w:hint="eastAsia" w:cs="宋体"/>
          <w:color w:val="auto"/>
          <w:highlight w:val="none"/>
          <w:u w:val="single"/>
        </w:rPr>
        <w:t xml:space="preserve">                 （盖章）</w:t>
      </w:r>
    </w:p>
    <w:p w14:paraId="2E659AFA">
      <w:pPr>
        <w:spacing w:line="480" w:lineRule="exact"/>
        <w:ind w:firstLine="480"/>
        <w:rPr>
          <w:rFonts w:cs="宋体"/>
          <w:color w:val="auto"/>
          <w:highlight w:val="none"/>
        </w:rPr>
      </w:pPr>
      <w:r>
        <w:rPr>
          <w:rFonts w:hint="eastAsia" w:cs="宋体"/>
          <w:color w:val="auto"/>
          <w:highlight w:val="none"/>
        </w:rPr>
        <w:t>法定代表人：</w:t>
      </w:r>
      <w:r>
        <w:rPr>
          <w:rFonts w:hint="eastAsia" w:cs="宋体"/>
          <w:color w:val="auto"/>
          <w:highlight w:val="none"/>
          <w:u w:val="single"/>
        </w:rPr>
        <w:t xml:space="preserve">                （签字或盖章）</w:t>
      </w:r>
    </w:p>
    <w:p w14:paraId="0C6E1B59">
      <w:pPr>
        <w:pStyle w:val="8"/>
        <w:spacing w:after="156" w:line="480" w:lineRule="exact"/>
        <w:ind w:firstLine="0"/>
        <w:rPr>
          <w:rFonts w:cs="宋体"/>
          <w:color w:val="auto"/>
          <w:sz w:val="24"/>
          <w:highlight w:val="none"/>
        </w:rPr>
      </w:pPr>
      <w:r>
        <w:rPr>
          <w:rFonts w:hint="eastAsia" w:cs="宋体"/>
          <w:color w:val="auto"/>
          <w:sz w:val="24"/>
          <w:highlight w:val="none"/>
        </w:rPr>
        <w:t>日期：    年   月   日</w:t>
      </w:r>
    </w:p>
    <w:p w14:paraId="0AF7F048">
      <w:pPr>
        <w:pStyle w:val="8"/>
        <w:spacing w:after="156" w:line="480" w:lineRule="exact"/>
        <w:ind w:firstLine="0"/>
        <w:rPr>
          <w:rFonts w:cs="宋体"/>
          <w:color w:val="auto"/>
          <w:sz w:val="24"/>
          <w:highlight w:val="none"/>
        </w:rPr>
      </w:pPr>
    </w:p>
    <w:p w14:paraId="4C7D5C07">
      <w:pPr>
        <w:pStyle w:val="8"/>
        <w:spacing w:after="156" w:line="480" w:lineRule="exact"/>
        <w:ind w:firstLine="0"/>
        <w:rPr>
          <w:rFonts w:cs="宋体"/>
          <w:color w:val="auto"/>
          <w:sz w:val="24"/>
          <w:highlight w:val="none"/>
        </w:rPr>
      </w:pPr>
      <w:r>
        <w:rPr>
          <w:rFonts w:hint="eastAsia" w:cs="宋体"/>
          <w:color w:val="auto"/>
          <w:sz w:val="24"/>
          <w:highlight w:val="none"/>
        </w:rPr>
        <w:t>—————————————————————————————————————</w:t>
      </w:r>
    </w:p>
    <w:p w14:paraId="75B60C59">
      <w:pPr>
        <w:pStyle w:val="8"/>
        <w:spacing w:after="156" w:line="480" w:lineRule="exact"/>
        <w:ind w:firstLine="0"/>
        <w:rPr>
          <w:rFonts w:cs="宋体"/>
          <w:color w:val="auto"/>
          <w:sz w:val="24"/>
          <w:highlight w:val="none"/>
        </w:rPr>
      </w:pPr>
    </w:p>
    <w:p w14:paraId="3C156D09">
      <w:pPr>
        <w:ind w:firstLine="480"/>
        <w:rPr>
          <w:color w:val="auto"/>
          <w:highlight w:val="none"/>
        </w:rPr>
      </w:pPr>
    </w:p>
    <w:p w14:paraId="47E21D85">
      <w:pPr>
        <w:pStyle w:val="8"/>
        <w:spacing w:after="156" w:line="480" w:lineRule="exact"/>
        <w:ind w:firstLine="0"/>
        <w:jc w:val="center"/>
        <w:rPr>
          <w:rFonts w:cs="宋体"/>
          <w:b/>
          <w:bCs/>
          <w:color w:val="auto"/>
          <w:sz w:val="24"/>
          <w:highlight w:val="none"/>
        </w:rPr>
      </w:pPr>
      <w:r>
        <w:rPr>
          <w:rFonts w:hint="eastAsia" w:cs="宋体"/>
          <w:b/>
          <w:bCs/>
          <w:color w:val="auto"/>
          <w:sz w:val="24"/>
          <w:highlight w:val="none"/>
        </w:rPr>
        <w:t>授权代表有效身份证明复印件粘贴处</w:t>
      </w:r>
    </w:p>
    <w:p w14:paraId="406DCAEA">
      <w:pPr>
        <w:ind w:firstLine="480"/>
        <w:rPr>
          <w:color w:val="auto"/>
          <w:highlight w:val="none"/>
        </w:rPr>
      </w:pPr>
    </w:p>
    <w:p w14:paraId="5BEAADCA">
      <w:pPr>
        <w:pStyle w:val="15"/>
        <w:rPr>
          <w:color w:val="auto"/>
          <w:highlight w:val="none"/>
        </w:rPr>
      </w:pPr>
    </w:p>
    <w:p w14:paraId="13F21340">
      <w:pPr>
        <w:ind w:firstLine="0" w:firstLineChars="0"/>
        <w:jc w:val="center"/>
        <w:rPr>
          <w:color w:val="auto"/>
          <w:highlight w:val="none"/>
        </w:rPr>
        <w:sectPr>
          <w:pgSz w:w="11907" w:h="16840"/>
          <w:pgMar w:top="1440" w:right="1080" w:bottom="1440" w:left="1080" w:header="720" w:footer="720" w:gutter="0"/>
          <w:pgNumType w:fmt="decimal"/>
          <w:cols w:space="720" w:num="1"/>
          <w:rtlGutter w:val="1"/>
          <w:docGrid w:linePitch="286" w:charSpace="0"/>
        </w:sectPr>
      </w:pPr>
      <w:r>
        <w:rPr>
          <w:rFonts w:hint="eastAsia" w:cs="宋体"/>
          <w:color w:val="auto"/>
          <w:highlight w:val="none"/>
        </w:rPr>
        <w:t>（提供授权代表近三个月</w:t>
      </w:r>
      <w:r>
        <w:rPr>
          <w:rFonts w:hint="eastAsia" w:cs="宋体"/>
          <w:color w:val="auto"/>
          <w:highlight w:val="none"/>
          <w:lang w:eastAsia="zh-CN"/>
        </w:rPr>
        <w:t>内</w:t>
      </w:r>
      <w:r>
        <w:rPr>
          <w:rFonts w:hint="eastAsia" w:cs="宋体"/>
          <w:color w:val="auto"/>
          <w:highlight w:val="none"/>
        </w:rPr>
        <w:t>任意一个月的社保缴纳证明）</w:t>
      </w:r>
    </w:p>
    <w:p w14:paraId="77D615DD">
      <w:pPr>
        <w:pStyle w:val="5"/>
        <w:rPr>
          <w:color w:val="auto"/>
          <w:highlight w:val="none"/>
        </w:rPr>
      </w:pPr>
      <w:r>
        <w:rPr>
          <w:rFonts w:hint="eastAsia"/>
          <w:color w:val="auto"/>
          <w:highlight w:val="none"/>
        </w:rPr>
        <w:t>附件三</w:t>
      </w:r>
    </w:p>
    <w:p w14:paraId="00990AD8">
      <w:pPr>
        <w:spacing w:line="360" w:lineRule="auto"/>
        <w:ind w:firstLine="562" w:firstLineChars="20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中小企业声明函（货物）</w:t>
      </w:r>
    </w:p>
    <w:p w14:paraId="5FD69A38">
      <w:pPr>
        <w:spacing w:line="360" w:lineRule="auto"/>
        <w:ind w:firstLine="480"/>
        <w:rPr>
          <w:rFonts w:cs="宋体"/>
        </w:rPr>
      </w:pPr>
      <w:r>
        <w:rPr>
          <w:rFonts w:hint="eastAsia" w:cs="宋体"/>
        </w:rPr>
        <w:t>本公司（联合体）郑重声明，根据《政府采购促进中小企业发展管理办法》（财库﹝2020﹞46 号）的规定，本公司（联合体）参加</w:t>
      </w:r>
      <w:r>
        <w:rPr>
          <w:rFonts w:hint="eastAsia" w:cs="宋体"/>
          <w:u w:val="single"/>
        </w:rPr>
        <w:t xml:space="preserve"> （招标人名称）</w:t>
      </w:r>
      <w:r>
        <w:rPr>
          <w:rFonts w:hint="eastAsia" w:cs="宋体"/>
        </w:rPr>
        <w:t xml:space="preserve"> 的</w:t>
      </w:r>
      <w:r>
        <w:rPr>
          <w:rFonts w:hint="eastAsia" w:cs="宋体"/>
          <w:u w:val="single"/>
        </w:rPr>
        <w:t xml:space="preserve"> （项目名称）</w:t>
      </w:r>
      <w:r>
        <w:rPr>
          <w:rFonts w:hint="eastAsia" w:cs="宋体"/>
        </w:rPr>
        <w:t>采购活动，提供的货物全部由符合政策要求的中小企业制造。相关企业（含联合体中的中小企业、签订分包意向协议的中小企业）的具体情况如下：</w:t>
      </w:r>
    </w:p>
    <w:p w14:paraId="4D4E893C">
      <w:pPr>
        <w:spacing w:line="360" w:lineRule="auto"/>
        <w:ind w:firstLine="480"/>
        <w:rPr>
          <w:rFonts w:cs="宋体"/>
        </w:rPr>
      </w:pPr>
      <w:r>
        <w:rPr>
          <w:rFonts w:hint="eastAsia" w:cs="宋体"/>
        </w:rPr>
        <w:t xml:space="preserve">1. </w:t>
      </w:r>
      <w:r>
        <w:rPr>
          <w:rFonts w:hint="eastAsia" w:cs="宋体"/>
          <w:u w:val="single"/>
        </w:rPr>
        <w:t>（标的名称）</w:t>
      </w:r>
      <w:r>
        <w:rPr>
          <w:rFonts w:hint="eastAsia" w:cs="宋体"/>
        </w:rPr>
        <w:t xml:space="preserve"> ，属于 </w:t>
      </w:r>
      <w:r>
        <w:rPr>
          <w:rFonts w:hint="eastAsia" w:cs="宋体"/>
          <w:u w:val="single"/>
        </w:rPr>
        <w:t>（采购文件中明确的所属行业）</w:t>
      </w:r>
      <w:r>
        <w:rPr>
          <w:rFonts w:hint="eastAsia" w:cs="宋体"/>
        </w:rPr>
        <w:t>行业 ；制造商为</w:t>
      </w:r>
      <w:r>
        <w:rPr>
          <w:rFonts w:hint="eastAsia" w:cs="宋体"/>
          <w:u w:val="single"/>
        </w:rPr>
        <w:t>（企业名称）</w:t>
      </w:r>
      <w:r>
        <w:rPr>
          <w:rFonts w:hint="eastAsia" w:cs="宋体"/>
        </w:rPr>
        <w:t xml:space="preserve"> ，从业人员</w:t>
      </w:r>
      <w:r>
        <w:rPr>
          <w:rFonts w:hint="eastAsia" w:cs="宋体"/>
          <w:u w:val="single"/>
        </w:rPr>
        <w:t xml:space="preserve">   </w:t>
      </w:r>
      <w:r>
        <w:rPr>
          <w:rFonts w:hint="eastAsia" w:cs="宋体"/>
        </w:rPr>
        <w:t>人，营业收入为</w:t>
      </w:r>
      <w:r>
        <w:rPr>
          <w:rFonts w:hint="eastAsia" w:cs="宋体"/>
          <w:u w:val="single"/>
        </w:rPr>
        <w:t xml:space="preserve">   </w:t>
      </w:r>
      <w:r>
        <w:rPr>
          <w:rFonts w:hint="eastAsia" w:cs="宋体"/>
        </w:rPr>
        <w:t>万元，资产总额为</w:t>
      </w:r>
      <w:r>
        <w:rPr>
          <w:rFonts w:hint="eastAsia" w:cs="宋体"/>
          <w:u w:val="single"/>
        </w:rPr>
        <w:t xml:space="preserve">   </w:t>
      </w:r>
      <w:r>
        <w:rPr>
          <w:rFonts w:hint="eastAsia" w:cs="宋体"/>
        </w:rPr>
        <w:t>万元，属于</w:t>
      </w:r>
      <w:r>
        <w:rPr>
          <w:rFonts w:hint="eastAsia" w:cs="宋体"/>
          <w:u w:val="single"/>
        </w:rPr>
        <w:t>（中型企业、小型企业、微型企业）</w:t>
      </w:r>
      <w:r>
        <w:rPr>
          <w:rFonts w:hint="eastAsia" w:cs="宋体"/>
        </w:rPr>
        <w:t xml:space="preserve"> ；</w:t>
      </w:r>
    </w:p>
    <w:p w14:paraId="7756924D">
      <w:pPr>
        <w:spacing w:line="360" w:lineRule="auto"/>
        <w:ind w:firstLine="480"/>
        <w:rPr>
          <w:rFonts w:cs="宋体"/>
        </w:rPr>
      </w:pPr>
      <w:r>
        <w:rPr>
          <w:rFonts w:hint="eastAsia" w:cs="宋体"/>
        </w:rPr>
        <w:t xml:space="preserve">2. </w:t>
      </w:r>
      <w:r>
        <w:rPr>
          <w:rFonts w:hint="eastAsia" w:cs="宋体"/>
          <w:u w:val="single"/>
        </w:rPr>
        <w:t>（标的名称）</w:t>
      </w:r>
      <w:r>
        <w:rPr>
          <w:rFonts w:hint="eastAsia" w:cs="宋体"/>
        </w:rPr>
        <w:t xml:space="preserve"> ，属于 </w:t>
      </w:r>
      <w:r>
        <w:rPr>
          <w:rFonts w:hint="eastAsia" w:cs="宋体"/>
          <w:u w:val="single"/>
        </w:rPr>
        <w:t>（采购文件中明确的所属行业）</w:t>
      </w:r>
      <w:r>
        <w:rPr>
          <w:rFonts w:hint="eastAsia" w:cs="宋体"/>
        </w:rPr>
        <w:t>行业 ；制造商为</w:t>
      </w:r>
      <w:r>
        <w:rPr>
          <w:rFonts w:hint="eastAsia" w:cs="宋体"/>
          <w:u w:val="single"/>
        </w:rPr>
        <w:t>（企业名称）</w:t>
      </w:r>
      <w:r>
        <w:rPr>
          <w:rFonts w:hint="eastAsia" w:cs="宋体"/>
        </w:rPr>
        <w:t xml:space="preserve"> ，从业人员</w:t>
      </w:r>
      <w:r>
        <w:rPr>
          <w:rFonts w:hint="eastAsia" w:cs="宋体"/>
          <w:u w:val="single"/>
        </w:rPr>
        <w:t xml:space="preserve">   </w:t>
      </w:r>
      <w:r>
        <w:rPr>
          <w:rFonts w:hint="eastAsia" w:cs="宋体"/>
        </w:rPr>
        <w:t>人，营业收入为</w:t>
      </w:r>
      <w:r>
        <w:rPr>
          <w:rFonts w:hint="eastAsia" w:cs="宋体"/>
          <w:u w:val="single"/>
        </w:rPr>
        <w:t xml:space="preserve">   </w:t>
      </w:r>
      <w:r>
        <w:rPr>
          <w:rFonts w:hint="eastAsia" w:cs="宋体"/>
        </w:rPr>
        <w:t>万元，资产总额为</w:t>
      </w:r>
      <w:r>
        <w:rPr>
          <w:rFonts w:hint="eastAsia" w:cs="宋体"/>
          <w:u w:val="single"/>
        </w:rPr>
        <w:t xml:space="preserve">   </w:t>
      </w:r>
      <w:r>
        <w:rPr>
          <w:rFonts w:hint="eastAsia" w:cs="宋体"/>
        </w:rPr>
        <w:t>万元，属于</w:t>
      </w:r>
      <w:r>
        <w:rPr>
          <w:rFonts w:hint="eastAsia" w:cs="宋体"/>
          <w:u w:val="single"/>
        </w:rPr>
        <w:t>（中型企业、小型企业、微型企业）</w:t>
      </w:r>
      <w:r>
        <w:rPr>
          <w:rFonts w:hint="eastAsia" w:cs="宋体"/>
        </w:rPr>
        <w:t xml:space="preserve"> ；</w:t>
      </w:r>
    </w:p>
    <w:p w14:paraId="12B48D58">
      <w:pPr>
        <w:spacing w:line="360" w:lineRule="auto"/>
        <w:ind w:firstLine="480"/>
        <w:rPr>
          <w:rFonts w:cs="宋体"/>
        </w:rPr>
      </w:pPr>
      <w:r>
        <w:rPr>
          <w:rFonts w:hint="eastAsia" w:cs="宋体"/>
        </w:rPr>
        <w:t>……</w:t>
      </w:r>
    </w:p>
    <w:p w14:paraId="4BEB40C6">
      <w:pPr>
        <w:spacing w:line="360" w:lineRule="auto"/>
        <w:ind w:firstLine="480"/>
        <w:rPr>
          <w:rFonts w:cs="宋体"/>
        </w:rPr>
      </w:pPr>
      <w:r>
        <w:rPr>
          <w:rFonts w:hint="eastAsia" w:cs="宋体"/>
        </w:rPr>
        <w:t>以上企业，不属于大企业的分支机构，不存在控股股东为大企业的情形，也不存在与大企业的负责人为同一人的情形。</w:t>
      </w:r>
    </w:p>
    <w:p w14:paraId="7684578E">
      <w:pPr>
        <w:snapToGrid w:val="0"/>
        <w:spacing w:line="360" w:lineRule="auto"/>
        <w:ind w:left="0" w:leftChars="0" w:firstLine="480" w:firstLineChars="200"/>
        <w:rPr>
          <w:rFonts w:hint="eastAsia" w:cs="宋体"/>
        </w:rPr>
      </w:pPr>
      <w:r>
        <w:rPr>
          <w:rFonts w:hint="eastAsia" w:cs="宋体"/>
        </w:rPr>
        <w:t>本企业对上述声明内容的真实性负责。如有虚假，将依法承担相应责任。</w:t>
      </w:r>
    </w:p>
    <w:p w14:paraId="3CC370CB">
      <w:pPr>
        <w:snapToGrid w:val="0"/>
        <w:spacing w:line="360" w:lineRule="auto"/>
        <w:ind w:firstLine="5640" w:firstLineChars="2350"/>
        <w:rPr>
          <w:rFonts w:hint="eastAsia" w:ascii="宋体" w:hAnsi="宋体" w:cs="宋体"/>
          <w:color w:val="auto"/>
          <w:kern w:val="0"/>
          <w:sz w:val="24"/>
          <w:highlight w:val="none"/>
          <w:lang w:val="zh-CN"/>
        </w:rPr>
      </w:pPr>
    </w:p>
    <w:p w14:paraId="02952C00">
      <w:pPr>
        <w:snapToGrid w:val="0"/>
        <w:spacing w:line="360" w:lineRule="auto"/>
        <w:ind w:firstLine="6120" w:firstLineChars="25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2F9006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F0AA8C3">
      <w:pPr>
        <w:spacing w:line="360" w:lineRule="auto"/>
        <w:ind w:left="0" w:leftChars="0" w:firstLine="422" w:firstLineChars="200"/>
        <w:jc w:val="left"/>
        <w:rPr>
          <w:rFonts w:hint="eastAsia" w:cs="宋体"/>
          <w:b/>
          <w:bCs/>
          <w:color w:val="auto"/>
          <w:sz w:val="21"/>
          <w:szCs w:val="21"/>
          <w:highlight w:val="none"/>
          <w:lang w:eastAsia="zh-CN"/>
        </w:rPr>
      </w:pPr>
    </w:p>
    <w:p w14:paraId="72840C11">
      <w:pPr>
        <w:spacing w:line="360" w:lineRule="auto"/>
        <w:ind w:left="0" w:leftChars="0" w:firstLine="422" w:firstLineChars="200"/>
        <w:jc w:val="left"/>
        <w:rPr>
          <w:rFonts w:ascii="宋体" w:hAnsi="宋体" w:cs="宋体"/>
          <w:b/>
          <w:bCs/>
          <w:color w:val="auto"/>
          <w:sz w:val="21"/>
          <w:szCs w:val="21"/>
          <w:highlight w:val="none"/>
        </w:rPr>
      </w:pPr>
      <w:r>
        <w:rPr>
          <w:rFonts w:hint="eastAsia" w:cs="宋体"/>
          <w:b/>
          <w:bCs/>
          <w:color w:val="auto"/>
          <w:sz w:val="21"/>
          <w:szCs w:val="21"/>
          <w:highlight w:val="none"/>
          <w:lang w:eastAsia="zh-CN"/>
        </w:rPr>
        <w:t>说明：</w:t>
      </w:r>
      <w:r>
        <w:rPr>
          <w:rFonts w:hint="eastAsia" w:ascii="宋体" w:hAnsi="宋体" w:cs="宋体"/>
          <w:b/>
          <w:bCs/>
          <w:color w:val="auto"/>
          <w:sz w:val="21"/>
          <w:szCs w:val="21"/>
          <w:highlight w:val="none"/>
        </w:rPr>
        <w:t>从业人员、营业收入、资产总额填报上一年度数据，无上一年度数据的新成立企业可不填报。</w:t>
      </w:r>
    </w:p>
    <w:p w14:paraId="611A7A17">
      <w:pPr>
        <w:spacing w:line="360" w:lineRule="auto"/>
        <w:ind w:left="0" w:leftChars="0" w:right="420" w:firstLine="0" w:firstLineChars="0"/>
        <w:rPr>
          <w:rFonts w:ascii="宋体" w:hAnsi="宋体" w:cs="宋体"/>
          <w:color w:val="auto"/>
          <w:sz w:val="24"/>
          <w:highlight w:val="none"/>
        </w:rPr>
      </w:pPr>
      <w:r>
        <w:rPr>
          <w:rFonts w:hint="eastAsia" w:ascii="宋体" w:hAnsi="宋体" w:cs="宋体"/>
          <w:color w:val="auto"/>
          <w:sz w:val="24"/>
          <w:highlight w:val="none"/>
        </w:rPr>
        <w:t>注：</w:t>
      </w:r>
    </w:p>
    <w:p w14:paraId="1C8BFB5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cs="宋体"/>
          <w:color w:val="auto"/>
          <w:sz w:val="24"/>
          <w:highlight w:val="none"/>
          <w:lang w:eastAsia="zh-CN"/>
        </w:rPr>
        <w:t>.</w:t>
      </w: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70802E4">
      <w:pPr>
        <w:spacing w:line="360" w:lineRule="auto"/>
        <w:ind w:left="0" w:leftChars="0" w:right="420" w:firstLine="480" w:firstLineChars="200"/>
        <w:rPr>
          <w:rFonts w:hint="eastAsia" w:ascii="宋体" w:hAnsi="宋体" w:cs="宋体"/>
          <w:color w:val="auto"/>
          <w:sz w:val="24"/>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cs="宋体"/>
          <w:color w:val="auto"/>
          <w:sz w:val="24"/>
          <w:highlight w:val="none"/>
        </w:rPr>
        <w:t>2</w:t>
      </w:r>
      <w:r>
        <w:rPr>
          <w:rFonts w:hint="eastAsia" w:cs="宋体"/>
          <w:color w:val="auto"/>
          <w:sz w:val="24"/>
          <w:highlight w:val="none"/>
          <w:lang w:eastAsia="zh-CN"/>
        </w:rPr>
        <w:t>.</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A06D0B">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各行业划型标准</w:t>
      </w:r>
    </w:p>
    <w:p w14:paraId="1A5CA7F5">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（一）农、林、牧、渔业。营业收入20000万元以下的为中小微型企业。其中，营业收入500万元及以上的为中型企业，营业收入50万元及以上的为小型企业，营业收入50万元以下的为微型企业。</w:t>
      </w:r>
    </w:p>
    <w:p w14:paraId="473DD22A">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A34B3A">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361206">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D8BACC">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78DCDE">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935C411">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8CE032">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D21D14">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0EBD63">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4B415">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3BD52A3">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265F115">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B316C6">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77B897">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DE6A97">
      <w:pPr>
        <w:keepNext w:val="0"/>
        <w:keepLines w:val="0"/>
        <w:pageBreakBefore w:val="0"/>
        <w:widowControl w:val="0"/>
        <w:kinsoku/>
        <w:wordWrap/>
        <w:overflowPunct/>
        <w:topLinePunct w:val="0"/>
        <w:autoSpaceDE/>
        <w:autoSpaceDN/>
        <w:bidi w:val="0"/>
        <w:adjustRightInd w:val="0"/>
        <w:snapToGrid w:val="0"/>
        <w:spacing w:line="360" w:lineRule="auto"/>
        <w:ind w:right="0" w:firstLine="440" w:firstLineChars="200"/>
        <w:textAlignment w:val="auto"/>
        <w:rPr>
          <w:rFonts w:hint="eastAsia" w:ascii="宋体" w:hAnsi="宋体" w:cs="宋体"/>
          <w:color w:val="auto"/>
          <w:sz w:val="24"/>
          <w:highlight w:val="none"/>
        </w:rPr>
      </w:pPr>
      <w:r>
        <w:rPr>
          <w:rFonts w:hint="eastAsia" w:ascii="宋体" w:hAnsi="宋体" w:eastAsia="宋体" w:cs="宋体"/>
          <w:color w:val="auto"/>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10FECAAE">
      <w:pPr>
        <w:pStyle w:val="5"/>
        <w:rPr>
          <w:rFonts w:cs="宋体"/>
          <w:color w:val="auto"/>
          <w:highlight w:val="none"/>
        </w:rPr>
        <w:sectPr>
          <w:headerReference r:id="rId20" w:type="default"/>
          <w:footerReference r:id="rId21" w:type="default"/>
          <w:pgSz w:w="11907" w:h="16840"/>
          <w:pgMar w:top="1440" w:right="1080" w:bottom="1440" w:left="1080" w:header="720" w:footer="720" w:gutter="0"/>
          <w:pgNumType w:fmt="decimal"/>
          <w:cols w:space="720" w:num="1"/>
          <w:docGrid w:linePitch="286" w:charSpace="0"/>
        </w:sectPr>
      </w:pPr>
    </w:p>
    <w:p w14:paraId="07EC5791">
      <w:pPr>
        <w:pStyle w:val="5"/>
        <w:jc w:val="center"/>
        <w:rPr>
          <w:rFonts w:cs="宋体"/>
          <w:color w:val="auto"/>
          <w:highlight w:val="none"/>
        </w:rPr>
      </w:pPr>
      <w:r>
        <w:rPr>
          <w:rFonts w:hint="eastAsia" w:cs="宋体"/>
          <w:color w:val="auto"/>
          <w:highlight w:val="none"/>
        </w:rPr>
        <w:t>监狱企业资格证明材料</w:t>
      </w:r>
    </w:p>
    <w:p w14:paraId="19059AF2">
      <w:pPr>
        <w:ind w:firstLine="480"/>
        <w:rPr>
          <w:rFonts w:cs="宋体"/>
          <w:color w:val="auto"/>
          <w:highlight w:val="none"/>
        </w:rPr>
      </w:pPr>
      <w:r>
        <w:rPr>
          <w:rFonts w:hint="eastAsia" w:cs="宋体"/>
          <w:color w:val="auto"/>
          <w:highlight w:val="none"/>
        </w:rPr>
        <w:t>（省级以上监狱管理局、戒毒管理局（含新疆生产建设兵团）出具的属于监狱企业的证明文件）</w:t>
      </w:r>
    </w:p>
    <w:p w14:paraId="3389804A">
      <w:pPr>
        <w:ind w:firstLine="480"/>
        <w:rPr>
          <w:rFonts w:cs="宋体"/>
          <w:color w:val="auto"/>
          <w:highlight w:val="none"/>
        </w:rPr>
      </w:pPr>
    </w:p>
    <w:p w14:paraId="65886F7C">
      <w:pPr>
        <w:ind w:firstLine="480"/>
        <w:rPr>
          <w:rFonts w:cs="宋体"/>
          <w:color w:val="auto"/>
          <w:highlight w:val="none"/>
        </w:rPr>
      </w:pPr>
      <w:r>
        <w:rPr>
          <w:rFonts w:hint="eastAsia" w:cs="宋体"/>
          <w:color w:val="auto"/>
          <w:highlight w:val="none"/>
        </w:rPr>
        <w:t>说明：监狱企业视同小型、微型企业。</w:t>
      </w:r>
    </w:p>
    <w:p w14:paraId="176939D2">
      <w:pPr>
        <w:pStyle w:val="76"/>
        <w:rPr>
          <w:rFonts w:ascii="宋体" w:hAnsi="宋体" w:eastAsia="宋体" w:cs="宋体"/>
          <w:color w:val="auto"/>
          <w:highlight w:val="none"/>
        </w:rPr>
      </w:pPr>
    </w:p>
    <w:p w14:paraId="14503D41">
      <w:pPr>
        <w:pStyle w:val="76"/>
        <w:rPr>
          <w:rFonts w:ascii="宋体" w:hAnsi="宋体" w:eastAsia="宋体" w:cs="宋体"/>
          <w:color w:val="auto"/>
          <w:highlight w:val="none"/>
        </w:rPr>
      </w:pPr>
    </w:p>
    <w:p w14:paraId="7F127825">
      <w:pPr>
        <w:pStyle w:val="76"/>
        <w:rPr>
          <w:rFonts w:ascii="宋体" w:hAnsi="宋体" w:eastAsia="宋体" w:cs="宋体"/>
          <w:color w:val="auto"/>
          <w:highlight w:val="none"/>
        </w:rPr>
      </w:pPr>
    </w:p>
    <w:p w14:paraId="48050635">
      <w:pPr>
        <w:pStyle w:val="5"/>
        <w:jc w:val="center"/>
        <w:rPr>
          <w:rFonts w:cs="宋体"/>
          <w:color w:val="auto"/>
          <w:highlight w:val="none"/>
        </w:rPr>
      </w:pPr>
      <w:r>
        <w:rPr>
          <w:rFonts w:hint="eastAsia" w:cs="宋体"/>
          <w:color w:val="auto"/>
          <w:highlight w:val="none"/>
        </w:rPr>
        <w:t>残疾人福利性单位声明函</w:t>
      </w:r>
    </w:p>
    <w:p w14:paraId="74A6F75F">
      <w:pPr>
        <w:ind w:firstLine="506"/>
        <w:jc w:val="center"/>
        <w:rPr>
          <w:rFonts w:cs="宋体"/>
          <w:b/>
          <w:color w:val="auto"/>
          <w:spacing w:val="6"/>
          <w:szCs w:val="21"/>
          <w:highlight w:val="none"/>
        </w:rPr>
      </w:pPr>
      <w:r>
        <w:rPr>
          <w:rFonts w:hint="eastAsia" w:cs="宋体"/>
          <w:b/>
          <w:color w:val="auto"/>
          <w:spacing w:val="6"/>
          <w:szCs w:val="21"/>
          <w:highlight w:val="none"/>
        </w:rPr>
        <w:t>（非残疾人福利性单位可不提供）</w:t>
      </w:r>
    </w:p>
    <w:p w14:paraId="0860824B">
      <w:pPr>
        <w:ind w:firstLine="504"/>
        <w:rPr>
          <w:rFonts w:cs="宋体"/>
          <w:color w:val="auto"/>
          <w:spacing w:val="6"/>
          <w:highlight w:val="none"/>
        </w:rPr>
      </w:pPr>
      <w:r>
        <w:rPr>
          <w:rFonts w:hint="eastAsia" w:cs="宋体"/>
          <w:color w:val="auto"/>
          <w:spacing w:val="6"/>
          <w:highlight w:val="none"/>
        </w:rPr>
        <w:t>本单位郑重声明，根据《财政部 民政部 中国残疾人联合会关于促进残疾人就业政府采购政策的通知》（财库</w:t>
      </w:r>
      <w:r>
        <w:rPr>
          <w:rFonts w:hint="eastAsia" w:cs="宋体"/>
          <w:color w:val="auto"/>
          <w:highlight w:val="none"/>
        </w:rPr>
        <w:t>[2017]141</w:t>
      </w:r>
      <w:r>
        <w:rPr>
          <w:rFonts w:hint="eastAsia" w:cs="宋体"/>
          <w:color w:val="auto"/>
          <w:spacing w:val="6"/>
          <w:highlight w:val="none"/>
        </w:rPr>
        <w:t>号）的规定，本单位为符合条件的残疾人福利性单位，且本单位参加</w:t>
      </w:r>
      <w:r>
        <w:rPr>
          <w:rFonts w:hint="eastAsia" w:cs="宋体"/>
          <w:color w:val="auto"/>
          <w:spacing w:val="6"/>
          <w:highlight w:val="none"/>
          <w:u w:val="single"/>
        </w:rPr>
        <w:t>（招标人名称）</w:t>
      </w:r>
      <w:r>
        <w:rPr>
          <w:rFonts w:hint="eastAsia" w:cs="宋体"/>
          <w:color w:val="auto"/>
          <w:spacing w:val="6"/>
          <w:highlight w:val="none"/>
        </w:rPr>
        <w:t>的</w:t>
      </w:r>
      <w:r>
        <w:rPr>
          <w:rFonts w:hint="eastAsia" w:cs="宋体"/>
          <w:color w:val="auto"/>
          <w:spacing w:val="6"/>
          <w:highlight w:val="none"/>
          <w:u w:val="single"/>
        </w:rPr>
        <w:t>（项目名称）</w:t>
      </w:r>
      <w:r>
        <w:rPr>
          <w:rFonts w:hint="eastAsia" w:cs="宋体"/>
          <w:color w:val="auto"/>
          <w:spacing w:val="6"/>
          <w:highlight w:val="none"/>
        </w:rPr>
        <w:t>，提供本单位承接的服务，或者提供其他残疾人福利性单位制造的货物（不包括使用非残疾人福利性单位注册商标的货物）。</w:t>
      </w:r>
    </w:p>
    <w:p w14:paraId="35A42469">
      <w:pPr>
        <w:ind w:firstLine="504"/>
        <w:rPr>
          <w:rFonts w:cs="宋体"/>
          <w:color w:val="auto"/>
          <w:spacing w:val="6"/>
          <w:highlight w:val="none"/>
        </w:rPr>
      </w:pPr>
      <w:r>
        <w:rPr>
          <w:rFonts w:hint="eastAsia" w:cs="宋体"/>
          <w:color w:val="auto"/>
          <w:spacing w:val="6"/>
          <w:highlight w:val="none"/>
        </w:rPr>
        <w:t>本单位对上述声明的真实性负责。如有虚假，将依法承担相应责任。</w:t>
      </w:r>
    </w:p>
    <w:p w14:paraId="4612CD8D">
      <w:pPr>
        <w:ind w:firstLine="456"/>
        <w:rPr>
          <w:rFonts w:cs="宋体"/>
          <w:color w:val="auto"/>
          <w:spacing w:val="-6"/>
          <w:highlight w:val="none"/>
        </w:rPr>
      </w:pPr>
    </w:p>
    <w:p w14:paraId="64839447">
      <w:pPr>
        <w:spacing w:line="480" w:lineRule="auto"/>
        <w:ind w:firstLine="480"/>
        <w:rPr>
          <w:rFonts w:cs="宋体"/>
          <w:color w:val="auto"/>
          <w:highlight w:val="none"/>
        </w:rPr>
      </w:pPr>
      <w:r>
        <w:rPr>
          <w:rFonts w:hint="eastAsia" w:cs="宋体"/>
          <w:color w:val="auto"/>
          <w:highlight w:val="none"/>
        </w:rPr>
        <w:t>投标人名称（公章）：</w:t>
      </w:r>
    </w:p>
    <w:p w14:paraId="7F7870CD">
      <w:pPr>
        <w:spacing w:line="480" w:lineRule="auto"/>
        <w:ind w:firstLine="480"/>
        <w:rPr>
          <w:rFonts w:cs="宋体"/>
          <w:color w:val="auto"/>
          <w:highlight w:val="none"/>
        </w:rPr>
      </w:pPr>
      <w:r>
        <w:rPr>
          <w:rFonts w:hint="eastAsia" w:cs="宋体"/>
          <w:color w:val="auto"/>
          <w:highlight w:val="none"/>
        </w:rPr>
        <w:t>法定代表人或其授权代表（签字或盖章）：</w:t>
      </w:r>
    </w:p>
    <w:p w14:paraId="1BED7AEE">
      <w:pPr>
        <w:spacing w:line="480" w:lineRule="auto"/>
        <w:ind w:firstLine="480"/>
        <w:rPr>
          <w:rFonts w:cs="宋体"/>
          <w:color w:val="auto"/>
          <w:highlight w:val="none"/>
        </w:rPr>
      </w:pPr>
      <w:r>
        <w:rPr>
          <w:rFonts w:hint="eastAsia" w:cs="宋体"/>
          <w:color w:val="auto"/>
          <w:highlight w:val="none"/>
        </w:rPr>
        <w:t>日期：  年   月   日</w:t>
      </w:r>
    </w:p>
    <w:p w14:paraId="7B62A087">
      <w:pPr>
        <w:spacing w:line="288" w:lineRule="auto"/>
        <w:ind w:firstLine="506"/>
        <w:jc w:val="left"/>
        <w:rPr>
          <w:rFonts w:cs="宋体"/>
          <w:b/>
          <w:bCs/>
          <w:color w:val="auto"/>
          <w:highlight w:val="none"/>
        </w:rPr>
      </w:pPr>
      <w:r>
        <w:rPr>
          <w:rFonts w:hint="eastAsia" w:cs="宋体"/>
          <w:b/>
          <w:color w:val="auto"/>
          <w:spacing w:val="6"/>
          <w:highlight w:val="none"/>
        </w:rPr>
        <w:t>投标人不属于残疾人福利性单位的，无需提供此声明函，如提供所引起的后果由投标人承担。</w:t>
      </w:r>
    </w:p>
    <w:p w14:paraId="66B4665A">
      <w:pPr>
        <w:spacing w:line="288" w:lineRule="auto"/>
        <w:ind w:firstLine="456"/>
        <w:rPr>
          <w:rFonts w:cs="宋体"/>
          <w:color w:val="auto"/>
          <w:spacing w:val="-6"/>
          <w:highlight w:val="none"/>
        </w:rPr>
      </w:pPr>
    </w:p>
    <w:p w14:paraId="4DD99CD4">
      <w:pPr>
        <w:ind w:firstLine="482"/>
        <w:rPr>
          <w:rFonts w:cs="宋体"/>
          <w:b/>
          <w:bCs/>
          <w:color w:val="auto"/>
          <w:szCs w:val="21"/>
          <w:highlight w:val="none"/>
        </w:rPr>
      </w:pPr>
      <w:r>
        <w:rPr>
          <w:rFonts w:hint="eastAsia" w:cs="宋体"/>
          <w:b/>
          <w:bCs/>
          <w:color w:val="auto"/>
          <w:szCs w:val="21"/>
          <w:highlight w:val="none"/>
        </w:rPr>
        <w:t>说明：</w:t>
      </w:r>
    </w:p>
    <w:p w14:paraId="7D2114DC">
      <w:pPr>
        <w:ind w:firstLine="504"/>
        <w:jc w:val="left"/>
        <w:rPr>
          <w:rFonts w:cs="宋体"/>
          <w:color w:val="auto"/>
          <w:spacing w:val="6"/>
          <w:szCs w:val="21"/>
          <w:highlight w:val="none"/>
        </w:rPr>
      </w:pPr>
      <w:r>
        <w:rPr>
          <w:rFonts w:hint="eastAsia" w:cs="宋体"/>
          <w:color w:val="auto"/>
          <w:spacing w:val="6"/>
          <w:szCs w:val="21"/>
          <w:highlight w:val="none"/>
        </w:rPr>
        <w:t>若投标人同时满足以下条件，则属于依法享受政府采购支持政策的残疾人福利性单位，可提供《残疾人福利性单位声明函》，并对声明的真实性负责：</w:t>
      </w:r>
    </w:p>
    <w:p w14:paraId="746B6848">
      <w:pPr>
        <w:ind w:firstLine="504"/>
        <w:jc w:val="left"/>
        <w:rPr>
          <w:rFonts w:cs="宋体"/>
          <w:color w:val="auto"/>
          <w:spacing w:val="6"/>
          <w:szCs w:val="21"/>
          <w:highlight w:val="none"/>
        </w:rPr>
      </w:pPr>
      <w:r>
        <w:rPr>
          <w:rFonts w:hint="eastAsia" w:cs="宋体"/>
          <w:color w:val="auto"/>
          <w:spacing w:val="6"/>
          <w:szCs w:val="21"/>
          <w:highlight w:val="none"/>
        </w:rPr>
        <w:t>（一）安置的残疾人占本单位在职职工人数的比例不低于25%（含25%），并且安置的残疾人人数不少于10人（含10人）；</w:t>
      </w:r>
    </w:p>
    <w:p w14:paraId="78C9BA59">
      <w:pPr>
        <w:ind w:firstLine="504"/>
        <w:jc w:val="left"/>
        <w:rPr>
          <w:rFonts w:cs="宋体"/>
          <w:color w:val="auto"/>
          <w:spacing w:val="6"/>
          <w:szCs w:val="21"/>
          <w:highlight w:val="none"/>
        </w:rPr>
      </w:pPr>
      <w:r>
        <w:rPr>
          <w:rFonts w:hint="eastAsia" w:cs="宋体"/>
          <w:color w:val="auto"/>
          <w:spacing w:val="6"/>
          <w:szCs w:val="21"/>
          <w:highlight w:val="none"/>
        </w:rPr>
        <w:t>（二）依法与安置的每位残疾人签订了一年以上（含一年）的劳动合同或服务协议；</w:t>
      </w:r>
    </w:p>
    <w:p w14:paraId="50466BD5">
      <w:pPr>
        <w:ind w:firstLine="504"/>
        <w:jc w:val="left"/>
        <w:rPr>
          <w:rFonts w:cs="宋体"/>
          <w:color w:val="auto"/>
          <w:spacing w:val="6"/>
          <w:szCs w:val="21"/>
          <w:highlight w:val="none"/>
        </w:rPr>
      </w:pPr>
      <w:r>
        <w:rPr>
          <w:rFonts w:hint="eastAsia" w:cs="宋体"/>
          <w:color w:val="auto"/>
          <w:spacing w:val="6"/>
          <w:szCs w:val="21"/>
          <w:highlight w:val="none"/>
        </w:rPr>
        <w:t>（三）为安置的每位残疾人按月足额缴纳了基本养老保险、基本医疗保险、失业保险、工伤保险和生育保险等社会保险费；</w:t>
      </w:r>
    </w:p>
    <w:p w14:paraId="1CC28BF8">
      <w:pPr>
        <w:ind w:firstLine="504"/>
        <w:jc w:val="left"/>
        <w:rPr>
          <w:rFonts w:cs="宋体"/>
          <w:color w:val="auto"/>
          <w:spacing w:val="6"/>
          <w:szCs w:val="21"/>
          <w:highlight w:val="none"/>
        </w:rPr>
      </w:pPr>
      <w:r>
        <w:rPr>
          <w:rFonts w:hint="eastAsia" w:cs="宋体"/>
          <w:color w:val="auto"/>
          <w:spacing w:val="6"/>
          <w:szCs w:val="21"/>
          <w:highlight w:val="none"/>
        </w:rPr>
        <w:t>（四）通过银行等金融机构向安置的每位残疾人，按月支付了不低于单位所在区县适用的经省级人民政府批准的月最低工资标准的工资；</w:t>
      </w:r>
    </w:p>
    <w:p w14:paraId="22C58431">
      <w:pPr>
        <w:ind w:firstLine="504"/>
        <w:jc w:val="left"/>
        <w:rPr>
          <w:rFonts w:cs="宋体"/>
          <w:color w:val="auto"/>
          <w:spacing w:val="6"/>
          <w:szCs w:val="21"/>
          <w:highlight w:val="none"/>
        </w:rPr>
      </w:pPr>
      <w:r>
        <w:rPr>
          <w:rFonts w:hint="eastAsia"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14:paraId="45CE41B4">
      <w:pPr>
        <w:ind w:firstLine="504"/>
        <w:jc w:val="left"/>
        <w:rPr>
          <w:rFonts w:cs="宋体"/>
          <w:color w:val="auto"/>
          <w:spacing w:val="6"/>
          <w:szCs w:val="21"/>
          <w:highlight w:val="none"/>
        </w:rPr>
      </w:pPr>
      <w:r>
        <w:rPr>
          <w:rFonts w:hint="eastAsia" w:cs="宋体"/>
          <w:color w:val="auto"/>
          <w:spacing w:val="6"/>
          <w:szCs w:val="21"/>
          <w:highlight w:val="none"/>
        </w:rPr>
        <w:t>1.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2142D2F">
      <w:pPr>
        <w:ind w:firstLine="504"/>
        <w:jc w:val="left"/>
        <w:rPr>
          <w:rFonts w:cs="宋体"/>
          <w:color w:val="auto"/>
          <w:spacing w:val="6"/>
          <w:szCs w:val="21"/>
          <w:highlight w:val="none"/>
        </w:rPr>
      </w:pPr>
      <w:r>
        <w:rPr>
          <w:rFonts w:hint="eastAsia" w:cs="宋体"/>
          <w:color w:val="auto"/>
          <w:spacing w:val="6"/>
          <w:szCs w:val="21"/>
          <w:highlight w:val="none"/>
        </w:rPr>
        <w:t>2.中标人为残疾人福利性单位的，《残疾人福利性单位声明函》随中标结果同时公告，接受社会监督。</w:t>
      </w:r>
    </w:p>
    <w:p w14:paraId="7803D5A7">
      <w:pPr>
        <w:ind w:firstLine="456"/>
        <w:rPr>
          <w:rFonts w:cs="宋体"/>
          <w:bCs/>
          <w:color w:val="auto"/>
          <w:spacing w:val="-6"/>
          <w:highlight w:val="none"/>
        </w:rPr>
        <w:sectPr>
          <w:headerReference r:id="rId22" w:type="default"/>
          <w:footerReference r:id="rId23" w:type="default"/>
          <w:pgSz w:w="11907" w:h="16840"/>
          <w:pgMar w:top="1440" w:right="1080" w:bottom="1440" w:left="1080" w:header="720" w:footer="720" w:gutter="0"/>
          <w:pgNumType w:fmt="decimal"/>
          <w:cols w:space="720" w:num="1"/>
          <w:docGrid w:linePitch="286" w:charSpace="0"/>
        </w:sectPr>
      </w:pPr>
    </w:p>
    <w:p w14:paraId="33A4E013">
      <w:pPr>
        <w:pStyle w:val="5"/>
        <w:rPr>
          <w:rFonts w:cs="宋体"/>
          <w:color w:val="auto"/>
          <w:szCs w:val="24"/>
          <w:highlight w:val="none"/>
        </w:rPr>
      </w:pPr>
      <w:r>
        <w:rPr>
          <w:rFonts w:hint="eastAsia" w:cs="宋体"/>
          <w:color w:val="auto"/>
          <w:szCs w:val="24"/>
          <w:highlight w:val="none"/>
        </w:rPr>
        <w:t>附件四</w:t>
      </w:r>
    </w:p>
    <w:p w14:paraId="3B4211DA">
      <w:pPr>
        <w:ind w:firstLine="0" w:firstLineChars="0"/>
        <w:jc w:val="center"/>
        <w:rPr>
          <w:b/>
          <w:bCs/>
          <w:color w:val="auto"/>
          <w:sz w:val="28"/>
          <w:szCs w:val="28"/>
          <w:highlight w:val="none"/>
        </w:rPr>
      </w:pPr>
      <w:r>
        <w:rPr>
          <w:rFonts w:hint="eastAsia" w:cs="宋体"/>
          <w:b/>
          <w:bCs/>
          <w:color w:val="auto"/>
          <w:sz w:val="28"/>
          <w:szCs w:val="28"/>
          <w:highlight w:val="none"/>
        </w:rPr>
        <w:t>联合体协议</w:t>
      </w:r>
    </w:p>
    <w:p w14:paraId="0AA84215">
      <w:pPr>
        <w:widowControl/>
        <w:ind w:firstLine="482"/>
        <w:jc w:val="left"/>
        <w:rPr>
          <w:rFonts w:cs="宋体"/>
          <w:b/>
          <w:color w:val="auto"/>
          <w:highlight w:val="none"/>
        </w:rPr>
      </w:pPr>
      <w:r>
        <w:rPr>
          <w:rFonts w:hint="eastAsia" w:cs="宋体"/>
          <w:b/>
          <w:color w:val="auto"/>
          <w:highlight w:val="none"/>
        </w:rPr>
        <w:t>（以联合体形式投标的，提供联合协议；本项目不接受联合体投标或者投标人不以联合体形式投标的，则不需要提供）</w:t>
      </w:r>
    </w:p>
    <w:p w14:paraId="6B78A4A0">
      <w:pPr>
        <w:snapToGrid w:val="0"/>
        <w:ind w:firstLine="480"/>
        <w:rPr>
          <w:rFonts w:cs="宋体"/>
          <w:color w:val="auto"/>
          <w:kern w:val="0"/>
          <w:highlight w:val="none"/>
          <w:lang w:val="zh-CN"/>
        </w:rPr>
      </w:pPr>
      <w:r>
        <w:rPr>
          <w:rFonts w:hint="eastAsia" w:cs="宋体"/>
          <w:color w:val="auto"/>
          <w:kern w:val="0"/>
          <w:highlight w:val="none"/>
          <w:u w:val="single"/>
        </w:rPr>
        <w:t>（联合体所有成员名称）</w:t>
      </w:r>
      <w:r>
        <w:rPr>
          <w:rFonts w:hint="eastAsia" w:cs="宋体"/>
          <w:color w:val="auto"/>
          <w:kern w:val="0"/>
          <w:highlight w:val="none"/>
        </w:rPr>
        <w:t>自愿</w:t>
      </w:r>
      <w:r>
        <w:rPr>
          <w:rFonts w:hint="eastAsia" w:cs="宋体"/>
          <w:color w:val="auto"/>
          <w:kern w:val="0"/>
          <w:highlight w:val="none"/>
          <w:lang w:val="zh-CN"/>
        </w:rPr>
        <w:t>组成一个联合体，以一个投标人的身份</w:t>
      </w:r>
      <w:r>
        <w:rPr>
          <w:rFonts w:hint="eastAsia" w:cs="宋体"/>
          <w:color w:val="auto"/>
          <w:kern w:val="0"/>
          <w:highlight w:val="none"/>
        </w:rPr>
        <w:t>参加</w:t>
      </w:r>
      <w:r>
        <w:rPr>
          <w:rFonts w:hint="eastAsia" w:cs="宋体"/>
          <w:color w:val="auto"/>
          <w:highlight w:val="none"/>
        </w:rPr>
        <w:t>（项目名称）【招标编号：（采购编号）】</w:t>
      </w:r>
      <w:r>
        <w:rPr>
          <w:rFonts w:hint="eastAsia" w:cs="宋体"/>
          <w:color w:val="auto"/>
          <w:kern w:val="0"/>
          <w:highlight w:val="none"/>
          <w:lang w:val="zh-CN"/>
        </w:rPr>
        <w:t xml:space="preserve">投标。 </w:t>
      </w:r>
    </w:p>
    <w:p w14:paraId="653FE9E3">
      <w:pPr>
        <w:snapToGrid w:val="0"/>
        <w:ind w:firstLine="480"/>
        <w:rPr>
          <w:rFonts w:cs="宋体"/>
          <w:color w:val="auto"/>
          <w:kern w:val="0"/>
          <w:highlight w:val="none"/>
          <w:lang w:val="zh-CN"/>
        </w:rPr>
      </w:pPr>
      <w:r>
        <w:rPr>
          <w:rFonts w:hint="eastAsia" w:cs="宋体"/>
          <w:color w:val="auto"/>
          <w:kern w:val="0"/>
          <w:highlight w:val="none"/>
          <w:lang w:val="zh-CN"/>
        </w:rPr>
        <w:t>一、各方一致决定，</w:t>
      </w:r>
      <w:r>
        <w:rPr>
          <w:rFonts w:hint="eastAsia" w:cs="宋体"/>
          <w:color w:val="auto"/>
          <w:kern w:val="0"/>
          <w:highlight w:val="none"/>
          <w:u w:val="single"/>
        </w:rPr>
        <w:t>（某联合体成员名称）</w:t>
      </w:r>
      <w:r>
        <w:rPr>
          <w:rFonts w:hint="eastAsia" w:cs="宋体"/>
          <w:color w:val="auto"/>
          <w:kern w:val="0"/>
          <w:highlight w:val="none"/>
        </w:rPr>
        <w:t>为联合体</w:t>
      </w:r>
      <w:r>
        <w:rPr>
          <w:rFonts w:hint="eastAsia" w:cs="宋体"/>
          <w:color w:val="auto"/>
          <w:kern w:val="0"/>
          <w:highlight w:val="none"/>
          <w:lang w:val="zh-CN"/>
        </w:rPr>
        <w:t>牵头人</w:t>
      </w:r>
      <w:r>
        <w:rPr>
          <w:rFonts w:hint="eastAsia" w:cs="宋体"/>
          <w:color w:val="auto"/>
          <w:highlight w:val="none"/>
        </w:rPr>
        <w:t>，代表所有联合体成员负责投标和合同实施阶段的主办、协调工作</w:t>
      </w:r>
      <w:r>
        <w:rPr>
          <w:rFonts w:hint="eastAsia" w:cs="宋体"/>
          <w:color w:val="auto"/>
          <w:kern w:val="0"/>
          <w:highlight w:val="none"/>
          <w:lang w:val="zh-CN"/>
        </w:rPr>
        <w:t>。</w:t>
      </w:r>
    </w:p>
    <w:p w14:paraId="5FFB0412">
      <w:pPr>
        <w:snapToGrid w:val="0"/>
        <w:ind w:firstLine="480"/>
        <w:rPr>
          <w:rFonts w:cs="宋体"/>
          <w:color w:val="auto"/>
          <w:kern w:val="0"/>
          <w:highlight w:val="none"/>
          <w:lang w:val="zh-CN"/>
        </w:rPr>
      </w:pPr>
      <w:r>
        <w:rPr>
          <w:rFonts w:hint="eastAsia" w:cs="宋体"/>
          <w:color w:val="auto"/>
          <w:kern w:val="0"/>
          <w:highlight w:val="none"/>
          <w:lang w:val="zh-CN"/>
        </w:rPr>
        <w:t>二、</w:t>
      </w:r>
      <w:r>
        <w:rPr>
          <w:rFonts w:hint="eastAsia" w:cs="宋体"/>
          <w:color w:val="auto"/>
          <w:highlight w:val="none"/>
        </w:rPr>
        <w:t>所有联合体成员各方签署授权书，授权书载明的</w:t>
      </w:r>
      <w:r>
        <w:rPr>
          <w:rFonts w:hint="eastAsia" w:cs="宋体"/>
          <w:color w:val="auto"/>
          <w:kern w:val="0"/>
          <w:highlight w:val="none"/>
          <w:lang w:val="zh-CN"/>
        </w:rPr>
        <w:t>授权代表根据招标文件规定及投标内容而对招标人、采购机构所作的任何合法承诺，包括书面澄清及相应等均对联合投标各方产生约束力。</w:t>
      </w:r>
    </w:p>
    <w:p w14:paraId="304EF024">
      <w:pPr>
        <w:snapToGrid w:val="0"/>
        <w:ind w:firstLine="480"/>
        <w:rPr>
          <w:rFonts w:cs="宋体"/>
          <w:color w:val="auto"/>
          <w:kern w:val="0"/>
          <w:highlight w:val="none"/>
          <w:lang w:val="zh-CN"/>
        </w:rPr>
      </w:pPr>
      <w:r>
        <w:rPr>
          <w:rFonts w:hint="eastAsia" w:cs="宋体"/>
          <w:color w:val="auto"/>
          <w:kern w:val="0"/>
          <w:highlight w:val="none"/>
          <w:lang w:val="zh-CN"/>
        </w:rPr>
        <w:t>三、本次联合投标中，分工如下：</w:t>
      </w:r>
      <w:r>
        <w:rPr>
          <w:rFonts w:hint="eastAsia" w:cs="宋体"/>
          <w:color w:val="auto"/>
          <w:kern w:val="0"/>
          <w:highlight w:val="none"/>
          <w:u w:val="single"/>
        </w:rPr>
        <w:t>（联合体其中一方成员名称）</w:t>
      </w:r>
      <w:r>
        <w:rPr>
          <w:rFonts w:hint="eastAsia" w:cs="宋体"/>
          <w:color w:val="auto"/>
          <w:kern w:val="0"/>
          <w:highlight w:val="none"/>
          <w:lang w:val="zh-CN"/>
        </w:rPr>
        <w:t>承担的工作和义务为：</w:t>
      </w:r>
      <w:r>
        <w:rPr>
          <w:rFonts w:hint="eastAsia" w:cs="宋体"/>
          <w:color w:val="auto"/>
          <w:highlight w:val="none"/>
          <w:u w:val="single"/>
        </w:rPr>
        <w:t xml:space="preserve">             </w:t>
      </w:r>
      <w:r>
        <w:rPr>
          <w:rFonts w:hint="eastAsia" w:cs="宋体"/>
          <w:color w:val="auto"/>
          <w:kern w:val="0"/>
          <w:highlight w:val="none"/>
          <w:lang w:val="zh-CN"/>
        </w:rPr>
        <w:t>；</w:t>
      </w:r>
      <w:r>
        <w:rPr>
          <w:rFonts w:hint="eastAsia" w:cs="宋体"/>
          <w:color w:val="auto"/>
          <w:kern w:val="0"/>
          <w:highlight w:val="none"/>
          <w:u w:val="single"/>
        </w:rPr>
        <w:t>（联合体其中一方成员名称）</w:t>
      </w:r>
      <w:r>
        <w:rPr>
          <w:rFonts w:hint="eastAsia" w:cs="宋体"/>
          <w:color w:val="auto"/>
          <w:kern w:val="0"/>
          <w:highlight w:val="none"/>
          <w:lang w:val="zh-CN"/>
        </w:rPr>
        <w:t>承担的工作和义务为：</w:t>
      </w:r>
      <w:r>
        <w:rPr>
          <w:rFonts w:hint="eastAsia" w:cs="宋体"/>
          <w:color w:val="auto"/>
          <w:highlight w:val="none"/>
          <w:u w:val="single"/>
        </w:rPr>
        <w:t xml:space="preserve">            </w:t>
      </w:r>
      <w:r>
        <w:rPr>
          <w:rFonts w:hint="eastAsia" w:cs="宋体"/>
          <w:color w:val="auto"/>
          <w:kern w:val="0"/>
          <w:highlight w:val="none"/>
          <w:lang w:val="zh-CN"/>
        </w:rPr>
        <w:t xml:space="preserve"> ；……。</w:t>
      </w:r>
    </w:p>
    <w:p w14:paraId="5D63984D">
      <w:pPr>
        <w:snapToGrid w:val="0"/>
        <w:ind w:firstLine="480"/>
        <w:rPr>
          <w:rFonts w:cs="宋体"/>
          <w:color w:val="auto"/>
          <w:kern w:val="0"/>
          <w:highlight w:val="none"/>
          <w:lang w:val="zh-CN"/>
        </w:rPr>
      </w:pPr>
      <w:r>
        <w:rPr>
          <w:rFonts w:hint="eastAsia" w:cs="宋体"/>
          <w:color w:val="auto"/>
          <w:kern w:val="0"/>
          <w:highlight w:val="none"/>
          <w:lang w:val="zh-CN"/>
        </w:rPr>
        <w:t>四、</w:t>
      </w:r>
      <w:r>
        <w:rPr>
          <w:rFonts w:hint="eastAsia" w:cs="宋体"/>
          <w:color w:val="auto"/>
          <w:highlight w:val="none"/>
        </w:rPr>
        <w:t>中小企业合同金额达到</w:t>
      </w:r>
      <w:r>
        <w:rPr>
          <w:rFonts w:hint="eastAsia" w:cs="宋体"/>
          <w:color w:val="auto"/>
          <w:highlight w:val="none"/>
          <w:u w:val="single"/>
        </w:rPr>
        <w:t xml:space="preserve">    </w:t>
      </w:r>
      <w:r>
        <w:rPr>
          <w:rFonts w:hint="eastAsia" w:cs="宋体"/>
          <w:color w:val="auto"/>
          <w:highlight w:val="none"/>
        </w:rPr>
        <w:t>%，小微企业合同金额达到</w:t>
      </w:r>
      <w:r>
        <w:rPr>
          <w:rFonts w:hint="eastAsia" w:cs="宋体"/>
          <w:color w:val="auto"/>
          <w:highlight w:val="none"/>
          <w:u w:val="single"/>
        </w:rPr>
        <w:t xml:space="preserve">    </w:t>
      </w:r>
      <w:r>
        <w:rPr>
          <w:rFonts w:hint="eastAsia" w:cs="宋体"/>
          <w:color w:val="auto"/>
          <w:highlight w:val="none"/>
        </w:rPr>
        <w:t>%</w:t>
      </w:r>
      <w:r>
        <w:rPr>
          <w:rFonts w:hint="eastAsia" w:cs="宋体"/>
          <w:color w:val="auto"/>
          <w:kern w:val="0"/>
          <w:highlight w:val="none"/>
          <w:lang w:val="zh-CN"/>
        </w:rPr>
        <w:t>。</w:t>
      </w:r>
    </w:p>
    <w:p w14:paraId="4C9796F8">
      <w:pPr>
        <w:snapToGrid w:val="0"/>
        <w:ind w:firstLine="480"/>
        <w:rPr>
          <w:rFonts w:cs="宋体"/>
          <w:color w:val="auto"/>
          <w:kern w:val="0"/>
          <w:highlight w:val="none"/>
          <w:lang w:val="zh-CN"/>
        </w:rPr>
      </w:pPr>
      <w:r>
        <w:rPr>
          <w:rFonts w:hint="eastAsia" w:cs="宋体"/>
          <w:color w:val="auto"/>
          <w:kern w:val="0"/>
          <w:highlight w:val="none"/>
          <w:lang w:val="zh-CN"/>
        </w:rPr>
        <w:t>五、如果中标，</w:t>
      </w:r>
      <w:r>
        <w:rPr>
          <w:rFonts w:hint="eastAsia" w:cs="宋体"/>
          <w:color w:val="auto"/>
          <w:highlight w:val="none"/>
        </w:rPr>
        <w:t>联合体各成员方共同与</w:t>
      </w:r>
      <w:r>
        <w:rPr>
          <w:rFonts w:hint="eastAsia" w:cs="宋体"/>
          <w:color w:val="auto"/>
          <w:highlight w:val="none"/>
          <w:lang w:eastAsia="zh-CN"/>
        </w:rPr>
        <w:t>招标人</w:t>
      </w:r>
      <w:r>
        <w:rPr>
          <w:rFonts w:hint="eastAsia" w:cs="宋体"/>
          <w:color w:val="auto"/>
          <w:highlight w:val="none"/>
        </w:rPr>
        <w:t>签订合同，并就采购合同约定的事项对</w:t>
      </w:r>
      <w:r>
        <w:rPr>
          <w:rFonts w:hint="eastAsia" w:cs="宋体"/>
          <w:color w:val="auto"/>
          <w:highlight w:val="none"/>
          <w:lang w:eastAsia="zh-CN"/>
        </w:rPr>
        <w:t>招标人</w:t>
      </w:r>
      <w:r>
        <w:rPr>
          <w:rFonts w:hint="eastAsia" w:cs="宋体"/>
          <w:color w:val="auto"/>
          <w:highlight w:val="none"/>
        </w:rPr>
        <w:t>承担连带责任。</w:t>
      </w:r>
    </w:p>
    <w:p w14:paraId="36C1568E">
      <w:pPr>
        <w:snapToGrid w:val="0"/>
        <w:ind w:firstLine="480"/>
        <w:rPr>
          <w:rFonts w:cs="宋体"/>
          <w:color w:val="auto"/>
          <w:kern w:val="0"/>
          <w:highlight w:val="none"/>
          <w:lang w:val="zh-CN"/>
        </w:rPr>
      </w:pPr>
      <w:r>
        <w:rPr>
          <w:rFonts w:hint="eastAsia" w:cs="宋体"/>
          <w:color w:val="auto"/>
          <w:kern w:val="0"/>
          <w:highlight w:val="none"/>
          <w:lang w:val="zh-CN"/>
        </w:rPr>
        <w:t>六、有关本次联合投标的其他事宜：</w:t>
      </w:r>
    </w:p>
    <w:p w14:paraId="73E2353D">
      <w:pPr>
        <w:snapToGrid w:val="0"/>
        <w:ind w:firstLine="480"/>
        <w:rPr>
          <w:rFonts w:cs="宋体"/>
          <w:color w:val="auto"/>
          <w:kern w:val="0"/>
          <w:highlight w:val="none"/>
          <w:lang w:val="zh-CN"/>
        </w:rPr>
      </w:pPr>
      <w:r>
        <w:rPr>
          <w:rFonts w:hint="eastAsia" w:cs="宋体"/>
          <w:color w:val="auto"/>
          <w:kern w:val="0"/>
          <w:highlight w:val="none"/>
        </w:rPr>
        <w:t>1.</w:t>
      </w:r>
      <w:r>
        <w:rPr>
          <w:rFonts w:hint="eastAsia" w:cs="宋体"/>
          <w:color w:val="auto"/>
          <w:kern w:val="0"/>
          <w:highlight w:val="none"/>
          <w:lang w:val="zh-CN"/>
        </w:rPr>
        <w:t>联合体各方不再单独参加或者与其他供应商另外组成联合体参加同一合同项下的政府采购活动。</w:t>
      </w:r>
    </w:p>
    <w:p w14:paraId="1C50CD32">
      <w:pPr>
        <w:snapToGrid w:val="0"/>
        <w:ind w:firstLine="480"/>
        <w:rPr>
          <w:rFonts w:cs="宋体"/>
          <w:color w:val="auto"/>
          <w:kern w:val="0"/>
          <w:highlight w:val="none"/>
          <w:lang w:val="zh-CN"/>
        </w:rPr>
      </w:pPr>
      <w:r>
        <w:rPr>
          <w:rFonts w:hint="eastAsia" w:cs="宋体"/>
          <w:color w:val="auto"/>
          <w:kern w:val="0"/>
          <w:highlight w:val="none"/>
        </w:rPr>
        <w:t>2.</w:t>
      </w:r>
      <w:r>
        <w:rPr>
          <w:rFonts w:hint="eastAsia" w:cs="宋体"/>
          <w:color w:val="auto"/>
          <w:kern w:val="0"/>
          <w:highlight w:val="none"/>
          <w:lang w:val="zh-CN"/>
        </w:rPr>
        <w:t>联合体中有同类资质的各方按照联合体分工承担相同工作的，按照资质等级较低的供应商确定资质等级。</w:t>
      </w:r>
    </w:p>
    <w:p w14:paraId="221627EF">
      <w:pPr>
        <w:snapToGrid w:val="0"/>
        <w:ind w:firstLine="480"/>
        <w:rPr>
          <w:rFonts w:cs="宋体"/>
          <w:color w:val="auto"/>
          <w:kern w:val="0"/>
          <w:highlight w:val="none"/>
          <w:lang w:val="zh-CN"/>
        </w:rPr>
      </w:pPr>
      <w:r>
        <w:rPr>
          <w:rFonts w:hint="eastAsia" w:cs="宋体"/>
          <w:color w:val="auto"/>
          <w:kern w:val="0"/>
          <w:highlight w:val="none"/>
        </w:rPr>
        <w:t>3.</w:t>
      </w:r>
      <w:r>
        <w:rPr>
          <w:rFonts w:hint="eastAsia" w:cs="宋体"/>
          <w:color w:val="auto"/>
          <w:kern w:val="0"/>
          <w:highlight w:val="none"/>
          <w:lang w:val="zh-CN"/>
        </w:rPr>
        <w:t>本协议提交招标人、采购机构后，联合体各方不得以任何形式对上述内容进行修改或撤销。</w:t>
      </w:r>
    </w:p>
    <w:p w14:paraId="230A0B05">
      <w:pPr>
        <w:snapToGrid w:val="0"/>
        <w:ind w:firstLine="5040" w:firstLineChars="2100"/>
        <w:rPr>
          <w:rFonts w:cs="宋体"/>
          <w:color w:val="auto"/>
          <w:kern w:val="0"/>
          <w:highlight w:val="none"/>
          <w:lang w:val="zh-CN"/>
        </w:rPr>
      </w:pPr>
      <w:r>
        <w:rPr>
          <w:rFonts w:hint="eastAsia" w:cs="宋体"/>
          <w:color w:val="auto"/>
          <w:kern w:val="0"/>
          <w:highlight w:val="none"/>
          <w:lang w:val="zh-CN"/>
        </w:rPr>
        <w:t>联合体成员名称(电子签名/公章)：</w:t>
      </w:r>
    </w:p>
    <w:p w14:paraId="0079ABBF">
      <w:pPr>
        <w:snapToGrid w:val="0"/>
        <w:ind w:firstLine="5040" w:firstLineChars="2100"/>
        <w:rPr>
          <w:rFonts w:cs="宋体"/>
          <w:color w:val="auto"/>
          <w:kern w:val="0"/>
          <w:highlight w:val="none"/>
          <w:lang w:val="zh-CN"/>
        </w:rPr>
      </w:pPr>
      <w:r>
        <w:rPr>
          <w:rFonts w:hint="eastAsia" w:cs="宋体"/>
          <w:color w:val="auto"/>
          <w:kern w:val="0"/>
          <w:highlight w:val="none"/>
          <w:lang w:val="zh-CN"/>
        </w:rPr>
        <w:t>联合体成员名称(电子签名/公章)：</w:t>
      </w:r>
    </w:p>
    <w:p w14:paraId="491CC5C5">
      <w:pPr>
        <w:snapToGrid w:val="0"/>
        <w:ind w:firstLine="5280" w:firstLineChars="2200"/>
        <w:rPr>
          <w:rFonts w:cs="宋体"/>
          <w:color w:val="auto"/>
          <w:highlight w:val="none"/>
        </w:rPr>
      </w:pPr>
      <w:r>
        <w:rPr>
          <w:rFonts w:hint="eastAsia" w:cs="宋体"/>
          <w:color w:val="auto"/>
          <w:kern w:val="0"/>
          <w:highlight w:val="none"/>
          <w:lang w:val="zh-CN"/>
        </w:rPr>
        <w:t>……</w:t>
      </w:r>
    </w:p>
    <w:p w14:paraId="0CB80BB4">
      <w:pPr>
        <w:rPr>
          <w:rFonts w:cs="宋体"/>
          <w:color w:val="auto"/>
          <w:szCs w:val="24"/>
          <w:highlight w:val="none"/>
        </w:rPr>
      </w:pPr>
      <w:r>
        <w:rPr>
          <w:rFonts w:hint="eastAsia" w:cs="宋体"/>
          <w:color w:val="auto"/>
          <w:kern w:val="0"/>
          <w:highlight w:val="none"/>
          <w:lang w:val="zh-CN"/>
        </w:rPr>
        <w:t xml:space="preserve">                                   </w:t>
      </w:r>
      <w:r>
        <w:rPr>
          <w:rFonts w:hint="eastAsia" w:cs="宋体"/>
          <w:color w:val="auto"/>
          <w:kern w:val="0"/>
          <w:highlight w:val="none"/>
          <w:lang w:val="en-US" w:eastAsia="zh-CN"/>
        </w:rPr>
        <w:t xml:space="preserve"> </w:t>
      </w:r>
      <w:r>
        <w:rPr>
          <w:rFonts w:hint="eastAsia" w:cs="宋体"/>
          <w:color w:val="auto"/>
          <w:kern w:val="0"/>
          <w:highlight w:val="none"/>
          <w:lang w:val="zh-CN"/>
        </w:rPr>
        <w:t xml:space="preserve">  </w:t>
      </w:r>
      <w:r>
        <w:rPr>
          <w:rFonts w:hint="eastAsia" w:cs="宋体"/>
          <w:b w:val="0"/>
          <w:bCs w:val="0"/>
          <w:color w:val="auto"/>
          <w:kern w:val="0"/>
          <w:highlight w:val="none"/>
          <w:lang w:val="zh-CN"/>
        </w:rPr>
        <w:t>日期：  年  月   日</w:t>
      </w:r>
    </w:p>
    <w:p w14:paraId="67352A2D">
      <w:pPr>
        <w:rPr>
          <w:color w:val="auto"/>
          <w:highlight w:val="none"/>
        </w:rPr>
      </w:pPr>
    </w:p>
    <w:p w14:paraId="32E053DE">
      <w:pPr>
        <w:rPr>
          <w:color w:val="auto"/>
          <w:highlight w:val="none"/>
        </w:rPr>
        <w:sectPr>
          <w:pgSz w:w="11907" w:h="16840"/>
          <w:pgMar w:top="1440" w:right="1080" w:bottom="1440" w:left="1080" w:header="720" w:footer="720" w:gutter="0"/>
          <w:pgNumType w:fmt="decimal"/>
          <w:cols w:space="720" w:num="1"/>
          <w:docGrid w:linePitch="286" w:charSpace="0"/>
        </w:sectPr>
      </w:pPr>
    </w:p>
    <w:p w14:paraId="486DAD6C">
      <w:pPr>
        <w:pStyle w:val="5"/>
        <w:jc w:val="center"/>
        <w:rPr>
          <w:rFonts w:cs="宋体"/>
          <w:color w:val="auto"/>
          <w:sz w:val="28"/>
          <w:szCs w:val="28"/>
          <w:highlight w:val="none"/>
        </w:rPr>
      </w:pPr>
      <w:r>
        <w:rPr>
          <w:rFonts w:hint="eastAsia" w:cs="宋体"/>
          <w:color w:val="auto"/>
          <w:sz w:val="28"/>
          <w:szCs w:val="28"/>
          <w:highlight w:val="none"/>
        </w:rPr>
        <w:t>分包意向协议</w:t>
      </w:r>
    </w:p>
    <w:p w14:paraId="114D54C7">
      <w:pPr>
        <w:widowControl/>
        <w:ind w:firstLine="120" w:firstLineChars="50"/>
        <w:jc w:val="left"/>
        <w:rPr>
          <w:rFonts w:cs="宋体"/>
          <w:color w:val="auto"/>
          <w:highlight w:val="none"/>
        </w:rPr>
      </w:pPr>
      <w:r>
        <w:rPr>
          <w:rFonts w:hint="eastAsia" w:cs="宋体"/>
          <w:color w:val="auto"/>
          <w:highlight w:val="none"/>
        </w:rPr>
        <w:t>（</w:t>
      </w:r>
      <w:r>
        <w:rPr>
          <w:rFonts w:hint="eastAsia" w:cs="宋体"/>
          <w:b/>
          <w:color w:val="auto"/>
          <w:highlight w:val="none"/>
        </w:rPr>
        <w:t>中标后以分包方式履行合同的，提供分包意向协议；</w:t>
      </w:r>
      <w:r>
        <w:rPr>
          <w:rFonts w:hint="eastAsia" w:cs="宋体"/>
          <w:b/>
          <w:color w:val="auto"/>
          <w:highlight w:val="none"/>
          <w:lang w:eastAsia="zh-CN"/>
        </w:rPr>
        <w:t>招标人</w:t>
      </w:r>
      <w:r>
        <w:rPr>
          <w:rFonts w:hint="eastAsia" w:cs="宋体"/>
          <w:b/>
          <w:color w:val="auto"/>
          <w:highlight w:val="none"/>
        </w:rPr>
        <w:t>不同意分包或者投标人中标后不以分包方式履行合同的，则不需要提供。</w:t>
      </w:r>
      <w:r>
        <w:rPr>
          <w:rFonts w:hint="eastAsia" w:cs="宋体"/>
          <w:color w:val="auto"/>
          <w:highlight w:val="none"/>
        </w:rPr>
        <w:t>）</w:t>
      </w:r>
    </w:p>
    <w:p w14:paraId="37AFFCCE">
      <w:pPr>
        <w:snapToGrid w:val="0"/>
        <w:ind w:firstLine="480"/>
        <w:rPr>
          <w:rFonts w:cs="宋体"/>
          <w:color w:val="auto"/>
          <w:kern w:val="0"/>
          <w:highlight w:val="none"/>
          <w:lang w:val="zh-CN"/>
        </w:rPr>
      </w:pPr>
      <w:r>
        <w:rPr>
          <w:rFonts w:hint="eastAsia" w:cs="宋体"/>
          <w:color w:val="auto"/>
          <w:kern w:val="0"/>
          <w:highlight w:val="none"/>
          <w:u w:val="single"/>
        </w:rPr>
        <w:t>（投标人名称）</w:t>
      </w:r>
      <w:r>
        <w:rPr>
          <w:rFonts w:hint="eastAsia" w:cs="宋体"/>
          <w:color w:val="auto"/>
          <w:kern w:val="0"/>
          <w:highlight w:val="none"/>
          <w:lang w:val="zh-CN"/>
        </w:rPr>
        <w:t>若成为</w:t>
      </w:r>
      <w:r>
        <w:rPr>
          <w:rFonts w:hint="eastAsia" w:cs="宋体"/>
          <w:color w:val="auto"/>
          <w:highlight w:val="none"/>
        </w:rPr>
        <w:t>（项目名称）【招标编号：（采购编号）】</w:t>
      </w:r>
      <w:r>
        <w:rPr>
          <w:rFonts w:hint="eastAsia" w:cs="宋体"/>
          <w:color w:val="auto"/>
          <w:kern w:val="0"/>
          <w:highlight w:val="none"/>
          <w:lang w:val="zh-CN"/>
        </w:rPr>
        <w:t>的中标人，将依法采取分包方式履行合同。</w:t>
      </w:r>
      <w:r>
        <w:rPr>
          <w:rFonts w:hint="eastAsia" w:cs="宋体"/>
          <w:color w:val="auto"/>
          <w:kern w:val="0"/>
          <w:highlight w:val="none"/>
          <w:u w:val="single"/>
        </w:rPr>
        <w:t>（投标人名称）</w:t>
      </w:r>
      <w:r>
        <w:rPr>
          <w:rFonts w:hint="eastAsia" w:cs="宋体"/>
          <w:color w:val="auto"/>
          <w:kern w:val="0"/>
          <w:highlight w:val="none"/>
        </w:rPr>
        <w:t>与</w:t>
      </w:r>
      <w:r>
        <w:rPr>
          <w:rFonts w:hint="eastAsia" w:cs="宋体"/>
          <w:color w:val="auto"/>
          <w:kern w:val="0"/>
          <w:highlight w:val="none"/>
          <w:u w:val="single"/>
        </w:rPr>
        <w:t>（所有分包供应商名称）</w:t>
      </w:r>
      <w:r>
        <w:rPr>
          <w:rFonts w:hint="eastAsia" w:cs="宋体"/>
          <w:color w:val="auto"/>
          <w:kern w:val="0"/>
          <w:highlight w:val="none"/>
        </w:rPr>
        <w:t>达成分包意向协议</w:t>
      </w:r>
      <w:r>
        <w:rPr>
          <w:rFonts w:hint="eastAsia" w:cs="宋体"/>
          <w:color w:val="auto"/>
          <w:kern w:val="0"/>
          <w:highlight w:val="none"/>
          <w:lang w:val="zh-CN"/>
        </w:rPr>
        <w:t xml:space="preserve">。 </w:t>
      </w:r>
    </w:p>
    <w:p w14:paraId="6948044A">
      <w:pPr>
        <w:snapToGrid w:val="0"/>
        <w:ind w:firstLine="0" w:firstLineChars="0"/>
        <w:rPr>
          <w:rFonts w:cs="宋体"/>
          <w:b/>
          <w:bCs/>
          <w:color w:val="auto"/>
          <w:kern w:val="0"/>
          <w:highlight w:val="none"/>
          <w:lang w:val="zh-CN"/>
        </w:rPr>
      </w:pPr>
      <w:r>
        <w:rPr>
          <w:rFonts w:hint="eastAsia" w:cs="宋体"/>
          <w:b/>
          <w:bCs/>
          <w:color w:val="auto"/>
          <w:kern w:val="0"/>
          <w:highlight w:val="none"/>
          <w:lang w:val="zh-CN"/>
        </w:rPr>
        <w:t>一、分包标的及数量</w:t>
      </w:r>
    </w:p>
    <w:p w14:paraId="40274406">
      <w:pPr>
        <w:snapToGrid w:val="0"/>
        <w:ind w:firstLine="480"/>
        <w:rPr>
          <w:rFonts w:cs="宋体"/>
          <w:color w:val="auto"/>
          <w:kern w:val="0"/>
          <w:highlight w:val="none"/>
          <w:lang w:val="zh-CN"/>
        </w:rPr>
      </w:pPr>
      <w:r>
        <w:rPr>
          <w:rFonts w:hint="eastAsia" w:cs="宋体"/>
          <w:color w:val="auto"/>
          <w:kern w:val="0"/>
          <w:highlight w:val="none"/>
          <w:u w:val="single"/>
        </w:rPr>
        <w:t>（投标人名称）</w:t>
      </w:r>
      <w:r>
        <w:rPr>
          <w:rFonts w:hint="eastAsia" w:cs="宋体"/>
          <w:color w:val="auto"/>
          <w:kern w:val="0"/>
          <w:highlight w:val="none"/>
          <w:lang w:val="zh-CN"/>
        </w:rPr>
        <w:t>将</w:t>
      </w:r>
      <w:r>
        <w:rPr>
          <w:rFonts w:hint="eastAsia" w:cs="宋体"/>
          <w:color w:val="auto"/>
          <w:highlight w:val="none"/>
          <w:u w:val="single"/>
        </w:rPr>
        <w:t xml:space="preserve">   XX工作内容   </w:t>
      </w:r>
      <w:r>
        <w:rPr>
          <w:rFonts w:hint="eastAsia" w:cs="宋体"/>
          <w:color w:val="auto"/>
          <w:highlight w:val="none"/>
        </w:rPr>
        <w:t>分包给</w:t>
      </w:r>
      <w:r>
        <w:rPr>
          <w:rFonts w:hint="eastAsia" w:cs="宋体"/>
          <w:color w:val="auto"/>
          <w:kern w:val="0"/>
          <w:highlight w:val="none"/>
          <w:u w:val="single"/>
        </w:rPr>
        <w:t>（某分包供应商名称）</w:t>
      </w:r>
      <w:r>
        <w:rPr>
          <w:rFonts w:hint="eastAsia" w:cs="宋体"/>
          <w:color w:val="auto"/>
          <w:kern w:val="0"/>
          <w:highlight w:val="none"/>
          <w:lang w:val="zh-CN"/>
        </w:rPr>
        <w:t>，</w:t>
      </w:r>
      <w:r>
        <w:rPr>
          <w:rFonts w:hint="eastAsia" w:cs="宋体"/>
          <w:color w:val="auto"/>
          <w:kern w:val="0"/>
          <w:highlight w:val="none"/>
          <w:u w:val="single"/>
        </w:rPr>
        <w:t>（某分包供应商名称），</w:t>
      </w:r>
      <w:r>
        <w:rPr>
          <w:rFonts w:hint="eastAsia" w:cs="宋体"/>
          <w:color w:val="auto"/>
          <w:kern w:val="0"/>
          <w:highlight w:val="none"/>
          <w:lang w:val="zh-CN"/>
        </w:rPr>
        <w:t>具备承</w:t>
      </w:r>
      <w:r>
        <w:rPr>
          <w:rFonts w:hint="eastAsia" w:cs="宋体"/>
          <w:color w:val="auto"/>
          <w:kern w:val="0"/>
          <w:highlight w:val="none"/>
        </w:rPr>
        <w:t>担</w:t>
      </w:r>
      <w:r>
        <w:rPr>
          <w:rFonts w:hint="eastAsia" w:cs="宋体"/>
          <w:color w:val="auto"/>
          <w:kern w:val="0"/>
          <w:highlight w:val="none"/>
          <w:u w:val="single"/>
          <w:lang w:val="zh-CN"/>
        </w:rPr>
        <w:t>XX工作内容</w:t>
      </w:r>
      <w:r>
        <w:rPr>
          <w:rFonts w:hint="eastAsia" w:cs="宋体"/>
          <w:color w:val="auto"/>
          <w:kern w:val="0"/>
          <w:highlight w:val="none"/>
          <w:lang w:val="zh-CN"/>
        </w:rPr>
        <w:t>相应资质条件且不得再次分包；</w:t>
      </w:r>
    </w:p>
    <w:p w14:paraId="1D990248">
      <w:pPr>
        <w:rPr>
          <w:color w:val="auto"/>
          <w:highlight w:val="none"/>
        </w:rPr>
      </w:pPr>
      <w:r>
        <w:rPr>
          <w:rFonts w:hint="eastAsia"/>
          <w:color w:val="auto"/>
          <w:highlight w:val="none"/>
        </w:rPr>
        <w:t>……</w:t>
      </w:r>
    </w:p>
    <w:p w14:paraId="7F79A6FD">
      <w:pPr>
        <w:snapToGrid w:val="0"/>
        <w:ind w:firstLine="0" w:firstLineChars="0"/>
        <w:rPr>
          <w:rFonts w:cs="宋体"/>
          <w:b/>
          <w:bCs/>
          <w:color w:val="auto"/>
          <w:kern w:val="0"/>
          <w:highlight w:val="none"/>
          <w:lang w:val="zh-CN"/>
        </w:rPr>
      </w:pPr>
      <w:r>
        <w:rPr>
          <w:rFonts w:hint="eastAsia" w:cs="宋体"/>
          <w:b/>
          <w:bCs/>
          <w:color w:val="auto"/>
          <w:kern w:val="0"/>
          <w:highlight w:val="none"/>
          <w:lang w:val="zh-CN"/>
        </w:rPr>
        <w:t>二、分包工作履行期限、地点、方式</w:t>
      </w:r>
    </w:p>
    <w:p w14:paraId="62290C57">
      <w:pPr>
        <w:snapToGrid w:val="0"/>
        <w:ind w:firstLine="480"/>
        <w:rPr>
          <w:rFonts w:cs="宋体"/>
          <w:color w:val="auto"/>
          <w:highlight w:val="none"/>
          <w:u w:val="single"/>
        </w:rPr>
      </w:pPr>
      <w:r>
        <w:rPr>
          <w:rFonts w:hint="eastAsia" w:cs="宋体"/>
          <w:color w:val="auto"/>
          <w:highlight w:val="none"/>
          <w:u w:val="single"/>
        </w:rPr>
        <w:t xml:space="preserve">                                                                                  </w:t>
      </w:r>
    </w:p>
    <w:p w14:paraId="38861F86">
      <w:pPr>
        <w:snapToGrid w:val="0"/>
        <w:ind w:firstLine="0" w:firstLineChars="0"/>
        <w:rPr>
          <w:rFonts w:cs="宋体"/>
          <w:b/>
          <w:bCs/>
          <w:color w:val="auto"/>
          <w:kern w:val="0"/>
          <w:highlight w:val="none"/>
          <w:lang w:val="zh-CN"/>
        </w:rPr>
      </w:pPr>
      <w:r>
        <w:rPr>
          <w:rFonts w:hint="eastAsia" w:cs="宋体"/>
          <w:b/>
          <w:bCs/>
          <w:color w:val="auto"/>
          <w:kern w:val="0"/>
          <w:highlight w:val="none"/>
          <w:lang w:val="zh-CN"/>
        </w:rPr>
        <w:t>三、质量</w:t>
      </w:r>
    </w:p>
    <w:p w14:paraId="07045E90">
      <w:pPr>
        <w:snapToGrid w:val="0"/>
        <w:ind w:firstLine="480"/>
        <w:rPr>
          <w:rFonts w:cs="宋体"/>
          <w:color w:val="auto"/>
          <w:kern w:val="0"/>
          <w:highlight w:val="none"/>
          <w:lang w:val="zh-CN"/>
        </w:rPr>
      </w:pPr>
      <w:r>
        <w:rPr>
          <w:rFonts w:hint="eastAsia" w:cs="宋体"/>
          <w:color w:val="auto"/>
          <w:highlight w:val="none"/>
          <w:u w:val="single"/>
        </w:rPr>
        <w:t xml:space="preserve">                                                                                       </w:t>
      </w:r>
    </w:p>
    <w:p w14:paraId="2668E778">
      <w:pPr>
        <w:snapToGrid w:val="0"/>
        <w:ind w:firstLine="0" w:firstLineChars="0"/>
        <w:rPr>
          <w:rFonts w:cs="宋体"/>
          <w:b/>
          <w:bCs/>
          <w:color w:val="auto"/>
          <w:kern w:val="0"/>
          <w:highlight w:val="none"/>
          <w:lang w:val="zh-CN"/>
        </w:rPr>
      </w:pPr>
      <w:r>
        <w:rPr>
          <w:rFonts w:hint="eastAsia" w:cs="宋体"/>
          <w:b/>
          <w:bCs/>
          <w:color w:val="auto"/>
          <w:kern w:val="0"/>
          <w:highlight w:val="none"/>
          <w:lang w:val="zh-CN"/>
        </w:rPr>
        <w:t>四、价款或者报酬</w:t>
      </w:r>
    </w:p>
    <w:p w14:paraId="38228FD0">
      <w:pPr>
        <w:snapToGrid w:val="0"/>
        <w:ind w:left="655" w:leftChars="273" w:firstLine="480"/>
        <w:rPr>
          <w:rFonts w:cs="宋体"/>
          <w:color w:val="auto"/>
          <w:kern w:val="0"/>
          <w:highlight w:val="none"/>
          <w:lang w:val="zh-CN"/>
        </w:rPr>
      </w:pPr>
      <w:r>
        <w:rPr>
          <w:rFonts w:hint="eastAsia" w:cs="宋体"/>
          <w:color w:val="auto"/>
          <w:highlight w:val="none"/>
          <w:u w:val="single"/>
        </w:rPr>
        <w:t xml:space="preserve">                                                                                     </w:t>
      </w:r>
    </w:p>
    <w:p w14:paraId="687B6C47">
      <w:pPr>
        <w:snapToGrid w:val="0"/>
        <w:ind w:firstLine="0" w:firstLineChars="0"/>
        <w:rPr>
          <w:rFonts w:cs="宋体"/>
          <w:b/>
          <w:bCs/>
          <w:color w:val="auto"/>
          <w:kern w:val="0"/>
          <w:highlight w:val="none"/>
          <w:lang w:val="zh-CN"/>
        </w:rPr>
      </w:pPr>
      <w:r>
        <w:rPr>
          <w:rFonts w:hint="eastAsia" w:cs="宋体"/>
          <w:b/>
          <w:bCs/>
          <w:color w:val="auto"/>
          <w:kern w:val="0"/>
          <w:highlight w:val="none"/>
          <w:lang w:val="zh-CN"/>
        </w:rPr>
        <w:t>五、违约责任</w:t>
      </w:r>
    </w:p>
    <w:p w14:paraId="3498696A">
      <w:pPr>
        <w:snapToGrid w:val="0"/>
        <w:ind w:firstLine="480"/>
        <w:rPr>
          <w:rFonts w:cs="宋体"/>
          <w:color w:val="auto"/>
          <w:kern w:val="0"/>
          <w:highlight w:val="none"/>
          <w:lang w:val="zh-CN"/>
        </w:rPr>
      </w:pPr>
      <w:r>
        <w:rPr>
          <w:rFonts w:hint="eastAsia" w:cs="宋体"/>
          <w:color w:val="auto"/>
          <w:highlight w:val="none"/>
          <w:u w:val="single"/>
        </w:rPr>
        <w:t xml:space="preserve">                                                                                     </w:t>
      </w:r>
    </w:p>
    <w:p w14:paraId="4FE8359D">
      <w:pPr>
        <w:snapToGrid w:val="0"/>
        <w:ind w:firstLine="0" w:firstLineChars="0"/>
        <w:rPr>
          <w:rFonts w:cs="宋体"/>
          <w:b/>
          <w:bCs/>
          <w:color w:val="auto"/>
          <w:kern w:val="0"/>
          <w:highlight w:val="none"/>
          <w:lang w:val="zh-CN"/>
        </w:rPr>
      </w:pPr>
      <w:r>
        <w:rPr>
          <w:rFonts w:hint="eastAsia" w:cs="宋体"/>
          <w:b/>
          <w:bCs/>
          <w:color w:val="auto"/>
          <w:kern w:val="0"/>
          <w:highlight w:val="none"/>
          <w:lang w:val="zh-CN"/>
        </w:rPr>
        <w:t>六、争议解决的办法</w:t>
      </w:r>
    </w:p>
    <w:p w14:paraId="604DB1CA">
      <w:pPr>
        <w:snapToGrid w:val="0"/>
        <w:ind w:firstLine="480"/>
        <w:rPr>
          <w:rFonts w:cs="宋体"/>
          <w:color w:val="auto"/>
          <w:kern w:val="0"/>
          <w:highlight w:val="none"/>
          <w:lang w:val="zh-CN"/>
        </w:rPr>
      </w:pPr>
      <w:r>
        <w:rPr>
          <w:rFonts w:hint="eastAsia" w:cs="宋体"/>
          <w:color w:val="auto"/>
          <w:highlight w:val="none"/>
          <w:u w:val="single"/>
        </w:rPr>
        <w:t xml:space="preserve">                                                                                  </w:t>
      </w:r>
    </w:p>
    <w:p w14:paraId="0908B642">
      <w:pPr>
        <w:snapToGrid w:val="0"/>
        <w:ind w:firstLine="0" w:firstLineChars="0"/>
        <w:rPr>
          <w:rFonts w:cs="宋体"/>
          <w:b/>
          <w:bCs/>
          <w:color w:val="auto"/>
          <w:kern w:val="0"/>
          <w:highlight w:val="none"/>
          <w:lang w:val="zh-CN"/>
        </w:rPr>
      </w:pPr>
      <w:r>
        <w:rPr>
          <w:rFonts w:hint="eastAsia" w:cs="宋体"/>
          <w:b/>
          <w:bCs/>
          <w:color w:val="auto"/>
          <w:kern w:val="0"/>
          <w:highlight w:val="none"/>
          <w:lang w:val="zh-CN"/>
        </w:rPr>
        <w:t>七、其他</w:t>
      </w:r>
    </w:p>
    <w:p w14:paraId="68C79107">
      <w:pPr>
        <w:snapToGrid w:val="0"/>
        <w:ind w:left="5861" w:leftChars="342" w:hanging="5040" w:hangingChars="2100"/>
        <w:rPr>
          <w:rFonts w:cs="宋体"/>
          <w:color w:val="auto"/>
          <w:kern w:val="0"/>
          <w:highlight w:val="none"/>
          <w:lang w:val="zh-CN"/>
        </w:rPr>
      </w:pPr>
      <w:r>
        <w:rPr>
          <w:rFonts w:hint="eastAsia" w:cs="宋体"/>
          <w:color w:val="auto"/>
          <w:highlight w:val="none"/>
        </w:rPr>
        <w:t>中小企业合同金额达到</w:t>
      </w:r>
      <w:r>
        <w:rPr>
          <w:rFonts w:hint="eastAsia" w:cs="宋体"/>
          <w:color w:val="auto"/>
          <w:highlight w:val="none"/>
          <w:u w:val="single"/>
        </w:rPr>
        <w:t xml:space="preserve">    </w:t>
      </w:r>
      <w:r>
        <w:rPr>
          <w:rFonts w:hint="eastAsia" w:cs="宋体"/>
          <w:color w:val="auto"/>
          <w:highlight w:val="none"/>
        </w:rPr>
        <w:t>%，小微企业合同金额达到</w:t>
      </w:r>
      <w:r>
        <w:rPr>
          <w:rFonts w:hint="eastAsia" w:cs="宋体"/>
          <w:color w:val="auto"/>
          <w:highlight w:val="none"/>
          <w:u w:val="single"/>
        </w:rPr>
        <w:t xml:space="preserve">    </w:t>
      </w:r>
      <w:r>
        <w:rPr>
          <w:rFonts w:hint="eastAsia" w:cs="宋体"/>
          <w:color w:val="auto"/>
          <w:highlight w:val="none"/>
        </w:rPr>
        <w:t>%</w:t>
      </w:r>
      <w:r>
        <w:rPr>
          <w:rFonts w:hint="eastAsia" w:cs="宋体"/>
          <w:color w:val="auto"/>
          <w:kern w:val="0"/>
          <w:highlight w:val="none"/>
          <w:lang w:val="zh-CN"/>
        </w:rPr>
        <w:t xml:space="preserve">。                                           </w:t>
      </w:r>
    </w:p>
    <w:p w14:paraId="51616095">
      <w:pPr>
        <w:snapToGrid w:val="0"/>
        <w:ind w:left="5861" w:leftChars="342" w:hanging="5040" w:hangingChars="2100"/>
        <w:rPr>
          <w:rFonts w:cs="宋体"/>
          <w:color w:val="auto"/>
          <w:kern w:val="0"/>
          <w:highlight w:val="none"/>
          <w:lang w:val="zh-CN"/>
        </w:rPr>
      </w:pPr>
    </w:p>
    <w:p w14:paraId="4EBF89B9">
      <w:pPr>
        <w:snapToGrid w:val="0"/>
        <w:ind w:left="5861" w:leftChars="2342" w:hanging="240" w:hangingChars="100"/>
        <w:rPr>
          <w:rFonts w:cs="宋体"/>
          <w:color w:val="auto"/>
          <w:kern w:val="0"/>
          <w:highlight w:val="none"/>
          <w:lang w:val="zh-CN"/>
        </w:rPr>
      </w:pPr>
      <w:r>
        <w:rPr>
          <w:rFonts w:hint="eastAsia" w:cs="宋体"/>
          <w:color w:val="auto"/>
          <w:kern w:val="0"/>
          <w:highlight w:val="none"/>
          <w:lang w:val="zh-CN"/>
        </w:rPr>
        <w:t>投标人名称(电子签名)：</w:t>
      </w:r>
    </w:p>
    <w:p w14:paraId="44BE4375">
      <w:pPr>
        <w:snapToGrid w:val="0"/>
        <w:ind w:firstLine="5640" w:firstLineChars="2350"/>
        <w:rPr>
          <w:rFonts w:cs="宋体"/>
          <w:color w:val="auto"/>
          <w:kern w:val="0"/>
          <w:highlight w:val="none"/>
          <w:lang w:val="zh-CN"/>
        </w:rPr>
      </w:pPr>
      <w:r>
        <w:rPr>
          <w:rFonts w:hint="eastAsia" w:cs="宋体"/>
          <w:color w:val="auto"/>
          <w:kern w:val="0"/>
          <w:highlight w:val="none"/>
          <w:lang w:val="zh-CN"/>
        </w:rPr>
        <w:t>分包供应商名称：</w:t>
      </w:r>
    </w:p>
    <w:p w14:paraId="7C85BE20">
      <w:pPr>
        <w:snapToGrid w:val="0"/>
        <w:ind w:firstLine="5760" w:firstLineChars="2400"/>
        <w:rPr>
          <w:rFonts w:cs="宋体"/>
          <w:color w:val="auto"/>
          <w:highlight w:val="none"/>
        </w:rPr>
      </w:pPr>
      <w:r>
        <w:rPr>
          <w:rFonts w:hint="eastAsia" w:cs="宋体"/>
          <w:color w:val="auto"/>
          <w:kern w:val="0"/>
          <w:highlight w:val="none"/>
          <w:lang w:val="zh-CN"/>
        </w:rPr>
        <w:t>……</w:t>
      </w:r>
    </w:p>
    <w:p w14:paraId="7B6644DC">
      <w:pPr>
        <w:ind w:firstLine="480"/>
        <w:jc w:val="center"/>
        <w:rPr>
          <w:rFonts w:cs="宋体"/>
          <w:color w:val="auto"/>
          <w:kern w:val="0"/>
          <w:highlight w:val="none"/>
          <w:lang w:val="zh-CN"/>
        </w:rPr>
      </w:pPr>
      <w:r>
        <w:rPr>
          <w:rFonts w:hint="eastAsia" w:cs="宋体"/>
          <w:color w:val="auto"/>
          <w:kern w:val="0"/>
          <w:highlight w:val="none"/>
          <w:lang w:val="zh-CN"/>
        </w:rPr>
        <w:t xml:space="preserve">                             日期：  年  月   日</w:t>
      </w:r>
    </w:p>
    <w:p w14:paraId="3476BBB5">
      <w:pPr>
        <w:pStyle w:val="3"/>
        <w:rPr>
          <w:color w:val="auto"/>
          <w:highlight w:val="none"/>
        </w:rPr>
        <w:sectPr>
          <w:pgSz w:w="11907" w:h="16840"/>
          <w:pgMar w:top="1440" w:right="1080" w:bottom="1440" w:left="1080" w:header="720" w:footer="720" w:gutter="0"/>
          <w:pgNumType w:fmt="decimal"/>
          <w:cols w:space="720" w:num="1"/>
          <w:docGrid w:linePitch="286" w:charSpace="0"/>
        </w:sectPr>
      </w:pPr>
    </w:p>
    <w:p w14:paraId="194E2F4D">
      <w:pPr>
        <w:pStyle w:val="4"/>
        <w:rPr>
          <w:rFonts w:cs="宋体"/>
          <w:color w:val="auto"/>
          <w:szCs w:val="24"/>
          <w:highlight w:val="none"/>
        </w:rPr>
      </w:pPr>
      <w:bookmarkStart w:id="106" w:name="_Toc17870"/>
      <w:r>
        <w:rPr>
          <w:rFonts w:hint="eastAsia"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5205095</wp:posOffset>
                </wp:positionH>
                <wp:positionV relativeFrom="paragraph">
                  <wp:posOffset>1270</wp:posOffset>
                </wp:positionV>
                <wp:extent cx="984885" cy="274320"/>
                <wp:effectExtent l="4445" t="5080" r="20320" b="6350"/>
                <wp:wrapNone/>
                <wp:docPr id="2" name="文本框 3"/>
                <wp:cNvGraphicFramePr/>
                <a:graphic xmlns:a="http://schemas.openxmlformats.org/drawingml/2006/main">
                  <a:graphicData uri="http://schemas.microsoft.com/office/word/2010/wordprocessingShape">
                    <wps:wsp>
                      <wps:cNvSpPr txBox="1"/>
                      <wps:spPr>
                        <a:xfrm>
                          <a:off x="0" y="0"/>
                          <a:ext cx="984885" cy="274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7B8989">
                            <w:pPr>
                              <w:ind w:firstLine="0" w:firstLineChars="0"/>
                              <w:rPr>
                                <w:b/>
                                <w:bCs/>
                                <w:sz w:val="32"/>
                                <w:szCs w:val="32"/>
                              </w:rPr>
                            </w:pPr>
                            <w:r>
                              <w:rPr>
                                <w:rFonts w:hint="eastAsia"/>
                                <w:b/>
                                <w:bCs/>
                              </w:rPr>
                              <w:t>正本（</w:t>
                            </w:r>
                            <w:r>
                              <w:rPr>
                                <w:b/>
                                <w:bCs/>
                              </w:rPr>
                              <w:t>副本）</w:t>
                            </w:r>
                          </w:p>
                        </w:txbxContent>
                      </wps:txbx>
                      <wps:bodyPr vert="horz" wrap="square" anchor="t" anchorCtr="0" upright="1"/>
                    </wps:wsp>
                  </a:graphicData>
                </a:graphic>
              </wp:anchor>
            </w:drawing>
          </mc:Choice>
          <mc:Fallback>
            <w:pict>
              <v:shape id="文本框 3" o:spid="_x0000_s1026" o:spt="202" type="#_x0000_t202" style="position:absolute;left:0pt;margin-left:409.85pt;margin-top:0.1pt;height:21.6pt;width:77.55pt;z-index:251665408;mso-width-relative:page;mso-height-relative:page;" fillcolor="#FFFFFF" filled="t" stroked="t" coordsize="21600,21600" o:gfxdata="UEsDBAoAAAAAAIdO4kAAAAAAAAAAAAAAAAAEAAAAZHJzL1BLAwQUAAAACACHTuJA9eweTdcAAAAH&#10;AQAADwAAAGRycy9kb3ducmV2LnhtbE2PwU7DMBBE70j8g7VIXBB10kZNE+L0gASCGy2ovbrxNomI&#10;18F20/L3LCc4rmb05m21vthBTOhD70hBOktAIDXO9NQq+Hh/ul+BCFGT0YMjVPCNAdb19VWlS+PO&#10;tMFpG1vBEAqlVtDFOJZShqZDq8PMjUicHZ23OvLpW2m8PjPcDnKeJEtpdU+80OkRHztsPrcnq2CV&#10;vUz78Lp42zXL41DEu3x6/vJK3d6kyQOIiJf4V4ZffVaHmp0O7kQmiIEZaZFzVcEcBMdFnvEnBwXZ&#10;IgNZV/K/f/0DUEsDBBQAAAAIAIdO4kDeNoTwMAIAAHYEAAAOAAAAZHJzL2Uyb0RvYy54bWytVEuS&#10;0zAQ3VPFHVTaE2c8MxBScaaKCWFDAVUDB1Bk2VaVfkhK4nAAuAErNuw5V87Bk5wJmYFFFnhht6TW&#10;69evuz276bUiG+GDtKaiF6MxJcJwW0vTVvTTx+WzCSUhMlMzZY2o6E4EejN/+mS2dVNR2s6qWngC&#10;EBOmW1fRLkY3LYrAO6FZGFknDA4b6zWLWPq2qD3bAl2rohyPnxdb62vnLRchYHcxHNIDoj8H0DaN&#10;5GJh+VoLEwdULxSLSCl00gU6z2ybRvD4vmmCiERVFJnG/EYQ2Kv0LuYzNm09c53kBwrsHAqPctJM&#10;GgQ9Qi1YZGTt5V9QWnJvg23iiFtdDIlkRZDFxfiRNncdcyLnAqmDO4oe/h8sf7f54ImsK1pSYphG&#10;wfffv+1//Nr//EoukzxbF6bwunPwi/0r26Np7vcDNlPWfeN1+iIfgnOIuzuKK/pIODZfTq4mk2tK&#10;OI7KF1eXZRa/+HPZ+RDfCKtJMirqUbssKdu8DRFE4HrvkmIFq2S9lErlhW9Xt8qTDUOdl/lJHHHl&#10;gZsyZAsm12XiwdC8DZoGpnYQIJg2x3twI5wCj/PzL+BEbMFCNxDICMmNTbWMwmerE6x+bWoSdw4i&#10;G8wWTWS0qClRAqOYrOwZmVTneCI7ZVIQkRv9oFKq11CXZMV+1QM0mStb71BDjD7U7az/gvhofCT+&#10;ec082DDDsV1RKDKYt3GYlLXzsu1wKxe+SGBoxyzvYXRSv5+uYZ/+Lu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XsHk3XAAAABwEAAA8AAAAAAAAAAQAgAAAAIgAAAGRycy9kb3ducmV2LnhtbFBL&#10;AQIUABQAAAAIAIdO4kDeNoTwMAIAAHYEAAAOAAAAAAAAAAEAIAAAACYBAABkcnMvZTJvRG9jLnht&#10;bFBLBQYAAAAABgAGAFkBAADIBQAAAAA=&#10;">
                <v:fill on="t" focussize="0,0"/>
                <v:stroke color="#000000" joinstyle="miter"/>
                <v:imagedata o:title=""/>
                <o:lock v:ext="edit" aspectratio="f"/>
                <v:textbox>
                  <w:txbxContent>
                    <w:p w14:paraId="557B8989">
                      <w:pPr>
                        <w:ind w:firstLine="0" w:firstLineChars="0"/>
                        <w:rPr>
                          <w:b/>
                          <w:bCs/>
                          <w:sz w:val="32"/>
                          <w:szCs w:val="32"/>
                        </w:rPr>
                      </w:pPr>
                      <w:r>
                        <w:rPr>
                          <w:rFonts w:hint="eastAsia"/>
                          <w:b/>
                          <w:bCs/>
                        </w:rPr>
                        <w:t>正本（</w:t>
                      </w:r>
                      <w:r>
                        <w:rPr>
                          <w:b/>
                          <w:bCs/>
                        </w:rPr>
                        <w:t>副本）</w:t>
                      </w:r>
                    </w:p>
                  </w:txbxContent>
                </v:textbox>
              </v:shape>
            </w:pict>
          </mc:Fallback>
        </mc:AlternateContent>
      </w:r>
      <w:r>
        <w:rPr>
          <w:rFonts w:hint="eastAsia" w:cs="宋体"/>
          <w:color w:val="auto"/>
          <w:szCs w:val="24"/>
          <w:highlight w:val="none"/>
        </w:rPr>
        <w:t>报价文件封面</w:t>
      </w:r>
      <w:bookmarkEnd w:id="106"/>
    </w:p>
    <w:p w14:paraId="741600F8">
      <w:pPr>
        <w:ind w:firstLine="482"/>
        <w:jc w:val="center"/>
        <w:rPr>
          <w:rFonts w:cs="宋体"/>
          <w:color w:val="auto"/>
          <w:highlight w:val="none"/>
        </w:rPr>
      </w:pPr>
      <w:r>
        <w:rPr>
          <w:rFonts w:hint="eastAsia" w:cs="宋体"/>
          <w:b/>
          <w:bCs/>
          <w:color w:val="auto"/>
          <w:highlight w:val="none"/>
        </w:rPr>
        <w:t xml:space="preserve"> </w:t>
      </w:r>
    </w:p>
    <w:p w14:paraId="51E9E311">
      <w:pPr>
        <w:ind w:firstLine="480"/>
        <w:rPr>
          <w:rFonts w:cs="宋体"/>
          <w:color w:val="auto"/>
          <w:highlight w:val="none"/>
        </w:rPr>
      </w:pPr>
    </w:p>
    <w:p w14:paraId="4DAB0664">
      <w:pPr>
        <w:ind w:firstLine="0" w:firstLineChars="0"/>
        <w:jc w:val="center"/>
        <w:rPr>
          <w:rFonts w:cs="宋体"/>
          <w:b/>
          <w:bCs/>
          <w:color w:val="auto"/>
          <w:highlight w:val="none"/>
        </w:rPr>
      </w:pPr>
      <w:r>
        <w:rPr>
          <w:rFonts w:hint="eastAsia" w:cs="宋体"/>
          <w:b/>
          <w:bCs/>
          <w:color w:val="auto"/>
          <w:sz w:val="32"/>
          <w:szCs w:val="32"/>
          <w:highlight w:val="none"/>
        </w:rPr>
        <w:t>报价文件</w:t>
      </w:r>
    </w:p>
    <w:p w14:paraId="7817367C">
      <w:pPr>
        <w:pStyle w:val="15"/>
        <w:rPr>
          <w:rFonts w:hAnsi="宋体" w:cs="宋体"/>
          <w:b/>
          <w:bCs/>
          <w:color w:val="auto"/>
          <w:szCs w:val="24"/>
          <w:highlight w:val="none"/>
        </w:rPr>
      </w:pPr>
    </w:p>
    <w:p w14:paraId="5CBD94D6">
      <w:pPr>
        <w:ind w:firstLine="480"/>
        <w:rPr>
          <w:color w:val="auto"/>
          <w:highlight w:val="none"/>
        </w:rPr>
      </w:pPr>
    </w:p>
    <w:p w14:paraId="77EE57B0">
      <w:pPr>
        <w:ind w:firstLine="480"/>
        <w:rPr>
          <w:rFonts w:cs="宋体"/>
          <w:color w:val="auto"/>
          <w:highlight w:val="none"/>
        </w:rPr>
      </w:pPr>
    </w:p>
    <w:p w14:paraId="63B23DFF">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招 标 人：</w:t>
      </w:r>
    </w:p>
    <w:p w14:paraId="355177A7">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项目名称：</w:t>
      </w:r>
    </w:p>
    <w:p w14:paraId="56C66CE9">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项目编号：</w:t>
      </w:r>
    </w:p>
    <w:p w14:paraId="38440F8B">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标项：</w:t>
      </w:r>
    </w:p>
    <w:p w14:paraId="17DAB978">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投标人名称（盖章）：</w:t>
      </w:r>
    </w:p>
    <w:p w14:paraId="42EEAFBB">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投标人地址：</w:t>
      </w:r>
    </w:p>
    <w:p w14:paraId="0B0E38A4">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在    年  月  日  时  分之前不得启封</w:t>
      </w:r>
    </w:p>
    <w:p w14:paraId="74C3C0D2">
      <w:pPr>
        <w:ind w:firstLine="576"/>
        <w:rPr>
          <w:rFonts w:cs="宋体"/>
          <w:bCs/>
          <w:color w:val="auto"/>
          <w:spacing w:val="-6"/>
          <w:sz w:val="30"/>
          <w:szCs w:val="30"/>
          <w:highlight w:val="none"/>
        </w:rPr>
      </w:pPr>
    </w:p>
    <w:p w14:paraId="1E3E8CBB">
      <w:pPr>
        <w:spacing w:line="480" w:lineRule="auto"/>
        <w:ind w:firstLine="576"/>
        <w:rPr>
          <w:rFonts w:cs="宋体"/>
          <w:bCs/>
          <w:color w:val="auto"/>
          <w:spacing w:val="-6"/>
          <w:sz w:val="30"/>
          <w:szCs w:val="30"/>
          <w:highlight w:val="none"/>
        </w:rPr>
      </w:pPr>
      <w:r>
        <w:rPr>
          <w:rFonts w:hint="eastAsia" w:cs="宋体"/>
          <w:color w:val="auto"/>
          <w:spacing w:val="-6"/>
          <w:sz w:val="30"/>
          <w:szCs w:val="30"/>
          <w:highlight w:val="none"/>
        </w:rPr>
        <w:t>法定代表人或其授权代表（签字）</w:t>
      </w:r>
      <w:r>
        <w:rPr>
          <w:rFonts w:hint="eastAsia" w:cs="宋体"/>
          <w:bCs/>
          <w:color w:val="auto"/>
          <w:spacing w:val="-6"/>
          <w:sz w:val="30"/>
          <w:szCs w:val="30"/>
          <w:highlight w:val="none"/>
        </w:rPr>
        <w:t>：</w:t>
      </w:r>
    </w:p>
    <w:p w14:paraId="5181CEB3">
      <w:pPr>
        <w:spacing w:line="480" w:lineRule="auto"/>
        <w:ind w:firstLine="576"/>
        <w:rPr>
          <w:rFonts w:cs="宋体"/>
          <w:color w:val="auto"/>
          <w:highlight w:val="none"/>
        </w:rPr>
        <w:sectPr>
          <w:pgSz w:w="11907" w:h="16840"/>
          <w:pgMar w:top="1440" w:right="1080" w:bottom="1440" w:left="1080" w:header="720" w:footer="720" w:gutter="0"/>
          <w:pgNumType w:fmt="decimal"/>
          <w:cols w:space="720" w:num="1"/>
          <w:docGrid w:linePitch="286" w:charSpace="0"/>
        </w:sectPr>
      </w:pPr>
      <w:r>
        <w:rPr>
          <w:rFonts w:hint="eastAsia" w:cs="宋体"/>
          <w:bCs/>
          <w:color w:val="auto"/>
          <w:spacing w:val="-6"/>
          <w:sz w:val="30"/>
          <w:szCs w:val="30"/>
          <w:highlight w:val="none"/>
        </w:rPr>
        <w:t>日期：    年  月  日</w:t>
      </w:r>
    </w:p>
    <w:p w14:paraId="4D6891C1">
      <w:pPr>
        <w:pStyle w:val="4"/>
        <w:spacing w:line="480" w:lineRule="auto"/>
        <w:jc w:val="center"/>
        <w:rPr>
          <w:color w:val="auto"/>
          <w:sz w:val="28"/>
          <w:szCs w:val="28"/>
          <w:highlight w:val="none"/>
        </w:rPr>
      </w:pPr>
      <w:bookmarkStart w:id="107" w:name="_Toc6136"/>
      <w:bookmarkStart w:id="108" w:name="_Toc26984"/>
      <w:r>
        <w:rPr>
          <w:rFonts w:hint="eastAsia"/>
          <w:color w:val="auto"/>
          <w:sz w:val="28"/>
          <w:szCs w:val="28"/>
          <w:highlight w:val="none"/>
        </w:rPr>
        <w:t>报价文件目录</w:t>
      </w:r>
      <w:bookmarkEnd w:id="107"/>
      <w:bookmarkEnd w:id="108"/>
    </w:p>
    <w:p w14:paraId="19F8CCD1">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1.投标响应函；（附件五）</w:t>
      </w:r>
    </w:p>
    <w:p w14:paraId="1007E676">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cs="宋体"/>
          <w:color w:val="auto"/>
          <w:highlight w:val="none"/>
        </w:rPr>
      </w:pPr>
      <w:r>
        <w:rPr>
          <w:rFonts w:hint="eastAsia" w:cs="宋体"/>
          <w:color w:val="auto"/>
          <w:highlight w:val="none"/>
        </w:rPr>
        <w:t>2.开标一览表；（附件六）</w:t>
      </w:r>
    </w:p>
    <w:p w14:paraId="2397EFEB">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cs="宋体"/>
          <w:color w:val="auto"/>
          <w:highlight w:val="none"/>
        </w:rPr>
      </w:pPr>
      <w:r>
        <w:rPr>
          <w:rFonts w:hint="eastAsia" w:cs="宋体"/>
          <w:color w:val="auto"/>
          <w:highlight w:val="none"/>
        </w:rPr>
        <w:t>3.投标报价明细表；（附件七）</w:t>
      </w:r>
    </w:p>
    <w:p w14:paraId="37FB2320">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eastAsia="宋体" w:cs="宋体"/>
          <w:color w:val="auto"/>
          <w:highlight w:val="none"/>
          <w:lang w:val="en-US" w:eastAsia="zh-CN"/>
        </w:rPr>
      </w:pPr>
      <w:r>
        <w:rPr>
          <w:rFonts w:hint="eastAsia" w:cs="宋体"/>
          <w:color w:val="auto"/>
          <w:highlight w:val="none"/>
          <w:lang w:val="en-US" w:eastAsia="zh-CN"/>
        </w:rPr>
        <w:t>4.</w:t>
      </w:r>
      <w:r>
        <w:rPr>
          <w:rFonts w:hint="eastAsia"/>
        </w:rPr>
        <w:t>缴纳</w:t>
      </w:r>
      <w:r>
        <w:rPr>
          <w:rFonts w:hint="eastAsia"/>
          <w:lang w:eastAsia="zh-CN"/>
        </w:rPr>
        <w:t>采购</w:t>
      </w:r>
      <w:r>
        <w:rPr>
          <w:rFonts w:hint="eastAsia"/>
        </w:rPr>
        <w:t>代理服务费承诺</w:t>
      </w:r>
      <w:r>
        <w:rPr>
          <w:rFonts w:hint="eastAsia"/>
          <w:lang w:eastAsia="zh-CN"/>
        </w:rPr>
        <w:t>书</w:t>
      </w:r>
      <w:r>
        <w:rPr>
          <w:rFonts w:hint="eastAsia"/>
        </w:rPr>
        <w:t>；（附件</w:t>
      </w:r>
      <w:r>
        <w:rPr>
          <w:rFonts w:hint="eastAsia"/>
          <w:lang w:eastAsia="zh-CN"/>
        </w:rPr>
        <w:t>八</w:t>
      </w:r>
      <w:r>
        <w:rPr>
          <w:rFonts w:hint="eastAsia"/>
        </w:rPr>
        <w:t>）</w:t>
      </w:r>
    </w:p>
    <w:p w14:paraId="21A71456">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lang w:val="en-US" w:eastAsia="zh-CN"/>
        </w:rPr>
        <w:t>5</w:t>
      </w:r>
      <w:r>
        <w:rPr>
          <w:rFonts w:hint="eastAsia" w:cs="宋体"/>
          <w:color w:val="auto"/>
          <w:highlight w:val="none"/>
        </w:rPr>
        <w:t>.</w:t>
      </w:r>
      <w:r>
        <w:rPr>
          <w:color w:val="auto"/>
          <w:highlight w:val="none"/>
        </w:rPr>
        <w:t>投标人</w:t>
      </w:r>
      <w:r>
        <w:rPr>
          <w:rFonts w:hint="eastAsia"/>
          <w:color w:val="auto"/>
          <w:highlight w:val="none"/>
        </w:rPr>
        <w:t>针对投标报价认为</w:t>
      </w:r>
      <w:r>
        <w:rPr>
          <w:color w:val="auto"/>
          <w:highlight w:val="none"/>
        </w:rPr>
        <w:t>需要</w:t>
      </w:r>
      <w:r>
        <w:rPr>
          <w:rFonts w:hint="eastAsia"/>
          <w:color w:val="auto"/>
          <w:highlight w:val="none"/>
        </w:rPr>
        <w:t>补充</w:t>
      </w:r>
      <w:r>
        <w:rPr>
          <w:color w:val="auto"/>
          <w:highlight w:val="none"/>
        </w:rPr>
        <w:t>的其他文件和说明</w:t>
      </w:r>
      <w:r>
        <w:rPr>
          <w:rFonts w:hint="eastAsia"/>
          <w:color w:val="auto"/>
          <w:highlight w:val="none"/>
        </w:rPr>
        <w:t>。</w:t>
      </w:r>
    </w:p>
    <w:p w14:paraId="7624A3A2">
      <w:pPr>
        <w:ind w:firstLine="480"/>
        <w:rPr>
          <w:rFonts w:cs="宋体"/>
          <w:color w:val="auto"/>
          <w:highlight w:val="none"/>
        </w:rPr>
        <w:sectPr>
          <w:headerReference r:id="rId24" w:type="default"/>
          <w:pgSz w:w="11907" w:h="16840"/>
          <w:pgMar w:top="1440" w:right="1080" w:bottom="1440" w:left="1080" w:header="720" w:footer="720" w:gutter="0"/>
          <w:pgNumType w:fmt="decimal"/>
          <w:cols w:space="720" w:num="1"/>
          <w:docGrid w:linePitch="286" w:charSpace="0"/>
        </w:sectPr>
      </w:pPr>
    </w:p>
    <w:p w14:paraId="1D39A888">
      <w:pPr>
        <w:pStyle w:val="5"/>
        <w:rPr>
          <w:rFonts w:cs="宋体"/>
          <w:color w:val="auto"/>
          <w:szCs w:val="24"/>
          <w:highlight w:val="none"/>
        </w:rPr>
      </w:pPr>
      <w:r>
        <w:rPr>
          <w:rFonts w:hint="eastAsia" w:cs="宋体"/>
          <w:color w:val="auto"/>
          <w:szCs w:val="24"/>
          <w:highlight w:val="none"/>
        </w:rPr>
        <w:t>附件五</w:t>
      </w:r>
    </w:p>
    <w:p w14:paraId="3BF5A03C">
      <w:pPr>
        <w:snapToGrid w:val="0"/>
        <w:ind w:firstLine="3935" w:firstLineChars="1400"/>
        <w:rPr>
          <w:rFonts w:cs="宋体"/>
          <w:color w:val="auto"/>
          <w:sz w:val="28"/>
          <w:szCs w:val="28"/>
          <w:highlight w:val="none"/>
        </w:rPr>
      </w:pPr>
      <w:r>
        <w:rPr>
          <w:rFonts w:hint="eastAsia" w:cs="宋体"/>
          <w:b/>
          <w:color w:val="auto"/>
          <w:kern w:val="0"/>
          <w:sz w:val="28"/>
          <w:szCs w:val="28"/>
          <w:highlight w:val="none"/>
        </w:rPr>
        <w:t>投标响应</w:t>
      </w:r>
      <w:r>
        <w:rPr>
          <w:rFonts w:hint="eastAsia" w:cs="宋体"/>
          <w:b/>
          <w:color w:val="auto"/>
          <w:sz w:val="28"/>
          <w:szCs w:val="28"/>
          <w:highlight w:val="none"/>
        </w:rPr>
        <w:t>函</w:t>
      </w:r>
    </w:p>
    <w:p w14:paraId="4F540AFD">
      <w:pPr>
        <w:ind w:firstLine="0" w:firstLineChars="0"/>
        <w:rPr>
          <w:rFonts w:cs="宋体"/>
          <w:color w:val="auto"/>
          <w:highlight w:val="none"/>
        </w:rPr>
      </w:pPr>
      <w:r>
        <w:rPr>
          <w:rFonts w:hint="eastAsia" w:cs="宋体"/>
          <w:color w:val="auto"/>
          <w:highlight w:val="none"/>
        </w:rPr>
        <w:t>致：</w:t>
      </w:r>
      <w:r>
        <w:rPr>
          <w:rFonts w:hint="eastAsia" w:cs="宋体"/>
          <w:color w:val="auto"/>
          <w:highlight w:val="none"/>
          <w:u w:val="single"/>
        </w:rPr>
        <w:t>（招标人）（代理机构）</w:t>
      </w:r>
      <w:r>
        <w:rPr>
          <w:rFonts w:hint="eastAsia" w:cs="宋体"/>
          <w:color w:val="auto"/>
          <w:highlight w:val="none"/>
        </w:rPr>
        <w:t xml:space="preserve"> </w:t>
      </w:r>
    </w:p>
    <w:p w14:paraId="73D9DEEB">
      <w:pPr>
        <w:snapToGrid w:val="0"/>
        <w:ind w:firstLine="480"/>
        <w:rPr>
          <w:rFonts w:cs="宋体"/>
          <w:color w:val="auto"/>
          <w:highlight w:val="none"/>
        </w:rPr>
      </w:pPr>
      <w:r>
        <w:rPr>
          <w:rFonts w:hint="eastAsia" w:cs="宋体"/>
          <w:color w:val="auto"/>
          <w:kern w:val="0"/>
          <w:highlight w:val="none"/>
          <w:u w:val="single"/>
          <w:lang w:val="zh-CN"/>
        </w:rPr>
        <w:t xml:space="preserve">                         </w:t>
      </w:r>
      <w:r>
        <w:rPr>
          <w:rFonts w:hint="eastAsia" w:cs="宋体"/>
          <w:color w:val="auto"/>
          <w:highlight w:val="none"/>
        </w:rPr>
        <w:t>(投标人全称)授权</w:t>
      </w:r>
      <w:r>
        <w:rPr>
          <w:rFonts w:hint="eastAsia" w:cs="宋体"/>
          <w:color w:val="auto"/>
          <w:kern w:val="0"/>
          <w:highlight w:val="none"/>
          <w:u w:val="single"/>
          <w:lang w:val="zh-CN"/>
        </w:rPr>
        <w:t xml:space="preserve">                    </w:t>
      </w:r>
      <w:r>
        <w:rPr>
          <w:rFonts w:hint="eastAsia" w:cs="宋体"/>
          <w:color w:val="auto"/>
          <w:highlight w:val="none"/>
        </w:rPr>
        <w:t>(授权代表姓名)</w:t>
      </w:r>
      <w:r>
        <w:rPr>
          <w:rFonts w:hint="eastAsia" w:cs="宋体"/>
          <w:color w:val="auto"/>
          <w:kern w:val="0"/>
          <w:highlight w:val="none"/>
          <w:u w:val="single"/>
          <w:lang w:val="zh-CN"/>
        </w:rPr>
        <w:t xml:space="preserve">              </w:t>
      </w:r>
      <w:r>
        <w:rPr>
          <w:rFonts w:hint="eastAsia" w:cs="宋体"/>
          <w:color w:val="auto"/>
          <w:highlight w:val="none"/>
        </w:rPr>
        <w:t>(职务、职称)为授权代表，参加贵方组织的</w:t>
      </w:r>
      <w:r>
        <w:rPr>
          <w:rFonts w:hint="eastAsia" w:cs="宋体"/>
          <w:color w:val="auto"/>
          <w:highlight w:val="none"/>
          <w:u w:val="single"/>
        </w:rPr>
        <w:t>（项目名称）（项目编号）</w:t>
      </w:r>
      <w:r>
        <w:rPr>
          <w:rFonts w:hint="eastAsia" w:cs="宋体"/>
          <w:color w:val="auto"/>
          <w:highlight w:val="none"/>
        </w:rPr>
        <w:t>招标的有关活动，并对此项目进行投标。为此：</w:t>
      </w:r>
    </w:p>
    <w:p w14:paraId="3C692E5C">
      <w:pPr>
        <w:snapToGrid w:val="0"/>
        <w:ind w:firstLine="480"/>
        <w:rPr>
          <w:rFonts w:cs="宋体"/>
          <w:color w:val="auto"/>
          <w:highlight w:val="none"/>
        </w:rPr>
      </w:pPr>
      <w:r>
        <w:rPr>
          <w:rFonts w:hint="eastAsia" w:cs="宋体"/>
          <w:color w:val="auto"/>
          <w:highlight w:val="none"/>
        </w:rPr>
        <w:t>1.我方同意在投标人</w:t>
      </w:r>
      <w:r>
        <w:rPr>
          <w:rFonts w:hint="eastAsia" w:cs="宋体"/>
          <w:color w:val="auto"/>
          <w:kern w:val="44"/>
          <w:highlight w:val="none"/>
        </w:rPr>
        <w:t>编制和提交</w:t>
      </w:r>
      <w:r>
        <w:rPr>
          <w:rFonts w:hint="eastAsia" w:cs="宋体"/>
          <w:color w:val="auto"/>
          <w:highlight w:val="none"/>
        </w:rPr>
        <w:t>招标</w:t>
      </w:r>
      <w:r>
        <w:rPr>
          <w:rFonts w:hint="eastAsia" w:cs="宋体"/>
          <w:color w:val="auto"/>
          <w:kern w:val="44"/>
          <w:highlight w:val="none"/>
        </w:rPr>
        <w:t>投标文件须知</w:t>
      </w:r>
      <w:r>
        <w:rPr>
          <w:rFonts w:hint="eastAsia" w:cs="宋体"/>
          <w:color w:val="auto"/>
          <w:highlight w:val="none"/>
        </w:rPr>
        <w:t>规定的开标日期起遵守本投标文件中的承诺且在投标有效期满之前均具有约束力。</w:t>
      </w:r>
    </w:p>
    <w:p w14:paraId="5FBEA5A6">
      <w:pPr>
        <w:snapToGrid w:val="0"/>
        <w:ind w:firstLine="480"/>
        <w:rPr>
          <w:rFonts w:cs="宋体"/>
          <w:color w:val="auto"/>
          <w:highlight w:val="none"/>
        </w:rPr>
      </w:pPr>
      <w:r>
        <w:rPr>
          <w:rFonts w:hint="eastAsia" w:cs="宋体"/>
          <w:color w:val="auto"/>
          <w:highlight w:val="none"/>
        </w:rPr>
        <w:t>2.我方承诺已经具备相关法律规定的参加招标活动的投标人应当具备的条件：</w:t>
      </w:r>
    </w:p>
    <w:p w14:paraId="25450454">
      <w:pPr>
        <w:snapToGrid w:val="0"/>
        <w:ind w:firstLine="480"/>
        <w:rPr>
          <w:rFonts w:cs="宋体"/>
          <w:color w:val="auto"/>
          <w:highlight w:val="none"/>
        </w:rPr>
      </w:pPr>
      <w:r>
        <w:rPr>
          <w:rFonts w:hint="eastAsia" w:cs="宋体"/>
          <w:color w:val="auto"/>
          <w:highlight w:val="none"/>
        </w:rPr>
        <w:t>（1）具有独立承担民事责任的能力；</w:t>
      </w:r>
    </w:p>
    <w:p w14:paraId="0A0A10E1">
      <w:pPr>
        <w:snapToGrid w:val="0"/>
        <w:ind w:firstLine="480"/>
        <w:rPr>
          <w:rFonts w:cs="宋体"/>
          <w:color w:val="auto"/>
          <w:highlight w:val="none"/>
        </w:rPr>
      </w:pPr>
      <w:r>
        <w:rPr>
          <w:rFonts w:hint="eastAsia" w:cs="宋体"/>
          <w:color w:val="auto"/>
          <w:highlight w:val="none"/>
        </w:rPr>
        <w:t>（2）遵守国家法律、行政法规，具有良好的信誉和商业道德；</w:t>
      </w:r>
    </w:p>
    <w:p w14:paraId="514856C8">
      <w:pPr>
        <w:snapToGrid w:val="0"/>
        <w:ind w:firstLine="480"/>
        <w:rPr>
          <w:rFonts w:cs="宋体"/>
          <w:color w:val="auto"/>
          <w:highlight w:val="none"/>
        </w:rPr>
      </w:pPr>
      <w:r>
        <w:rPr>
          <w:rFonts w:hint="eastAsia" w:cs="宋体"/>
          <w:color w:val="auto"/>
          <w:highlight w:val="none"/>
        </w:rPr>
        <w:t>（3）具有履行合同的能力和良好的履行合同记录；</w:t>
      </w:r>
    </w:p>
    <w:p w14:paraId="62C824AE">
      <w:pPr>
        <w:snapToGrid w:val="0"/>
        <w:ind w:firstLine="480"/>
        <w:rPr>
          <w:rFonts w:cs="宋体"/>
          <w:color w:val="auto"/>
          <w:highlight w:val="none"/>
        </w:rPr>
      </w:pPr>
      <w:r>
        <w:rPr>
          <w:rFonts w:hint="eastAsia" w:cs="宋体"/>
          <w:color w:val="auto"/>
          <w:highlight w:val="none"/>
        </w:rPr>
        <w:t>（4）良好的资金、财务状况；</w:t>
      </w:r>
    </w:p>
    <w:p w14:paraId="67DF382B">
      <w:pPr>
        <w:snapToGrid w:val="0"/>
        <w:ind w:firstLine="480"/>
        <w:rPr>
          <w:rFonts w:cs="宋体"/>
          <w:color w:val="auto"/>
          <w:highlight w:val="none"/>
        </w:rPr>
      </w:pPr>
      <w:r>
        <w:rPr>
          <w:rFonts w:hint="eastAsia" w:cs="宋体"/>
          <w:color w:val="auto"/>
          <w:highlight w:val="none"/>
        </w:rPr>
        <w:t>（5）产品及生产所需装备符合中国规定的相应技术标准和环保标准；</w:t>
      </w:r>
    </w:p>
    <w:p w14:paraId="16DE3B4B">
      <w:pPr>
        <w:snapToGrid w:val="0"/>
        <w:ind w:firstLine="480"/>
        <w:rPr>
          <w:rFonts w:cs="宋体"/>
          <w:color w:val="auto"/>
          <w:highlight w:val="none"/>
        </w:rPr>
      </w:pPr>
      <w:r>
        <w:rPr>
          <w:rFonts w:hint="eastAsia" w:cs="宋体"/>
          <w:color w:val="auto"/>
          <w:highlight w:val="none"/>
        </w:rPr>
        <w:t>（6）没有违反招标法规、政策的记录；</w:t>
      </w:r>
    </w:p>
    <w:p w14:paraId="2DA8AA1C">
      <w:pPr>
        <w:snapToGrid w:val="0"/>
        <w:ind w:firstLine="480"/>
        <w:rPr>
          <w:rFonts w:cs="宋体"/>
          <w:color w:val="auto"/>
          <w:highlight w:val="none"/>
        </w:rPr>
      </w:pPr>
      <w:r>
        <w:rPr>
          <w:rFonts w:hint="eastAsia" w:cs="宋体"/>
          <w:color w:val="auto"/>
          <w:highlight w:val="none"/>
        </w:rPr>
        <w:t>（7）没有发生重大经济纠纷和走私犯罪记录。</w:t>
      </w:r>
    </w:p>
    <w:p w14:paraId="36973C4B">
      <w:pPr>
        <w:pStyle w:val="2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3.提供</w:t>
      </w:r>
      <w:r>
        <w:rPr>
          <w:rFonts w:hint="eastAsia" w:hAnsi="宋体" w:cs="宋体"/>
          <w:color w:val="auto"/>
          <w:kern w:val="44"/>
          <w:sz w:val="24"/>
          <w:szCs w:val="24"/>
          <w:highlight w:val="none"/>
        </w:rPr>
        <w:t>编制和提交</w:t>
      </w:r>
      <w:r>
        <w:rPr>
          <w:rFonts w:hint="eastAsia" w:hAnsi="宋体" w:cs="宋体"/>
          <w:color w:val="auto"/>
          <w:sz w:val="24"/>
          <w:szCs w:val="24"/>
          <w:highlight w:val="none"/>
        </w:rPr>
        <w:t>招标</w:t>
      </w:r>
      <w:r>
        <w:rPr>
          <w:rFonts w:hint="eastAsia" w:hAnsi="宋体" w:cs="宋体"/>
          <w:color w:val="auto"/>
          <w:kern w:val="44"/>
          <w:sz w:val="24"/>
          <w:szCs w:val="24"/>
          <w:highlight w:val="none"/>
        </w:rPr>
        <w:t>投标文件须知</w:t>
      </w:r>
      <w:r>
        <w:rPr>
          <w:rFonts w:hint="eastAsia" w:hAnsi="宋体" w:cs="宋体"/>
          <w:color w:val="auto"/>
          <w:sz w:val="24"/>
          <w:szCs w:val="24"/>
          <w:highlight w:val="none"/>
        </w:rPr>
        <w:t>规定的全部投标文件，包括</w:t>
      </w:r>
      <w:r>
        <w:rPr>
          <w:rFonts w:hint="eastAsia" w:hAnsi="宋体" w:cs="宋体"/>
          <w:b/>
          <w:bCs/>
          <w:color w:val="auto"/>
          <w:sz w:val="24"/>
          <w:szCs w:val="24"/>
          <w:highlight w:val="none"/>
        </w:rPr>
        <w:t>《资格文件》</w:t>
      </w:r>
      <w:r>
        <w:rPr>
          <w:rFonts w:hint="eastAsia" w:hAnsi="宋体" w:cs="宋体"/>
          <w:b/>
          <w:color w:val="auto"/>
          <w:sz w:val="24"/>
          <w:szCs w:val="24"/>
          <w:highlight w:val="none"/>
        </w:rPr>
        <w:t>、《报价文件》、《商务技术文件》电子版各</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szCs w:val="24"/>
          <w:highlight w:val="none"/>
        </w:rPr>
        <w:t>具体内容为：</w:t>
      </w:r>
    </w:p>
    <w:p w14:paraId="2341F007">
      <w:pPr>
        <w:snapToGrid w:val="0"/>
        <w:ind w:firstLine="480"/>
        <w:rPr>
          <w:rFonts w:cs="宋体"/>
          <w:color w:val="auto"/>
          <w:highlight w:val="none"/>
        </w:rPr>
      </w:pPr>
      <w:r>
        <w:rPr>
          <w:rFonts w:hint="eastAsia" w:cs="宋体"/>
          <w:color w:val="auto"/>
          <w:highlight w:val="none"/>
        </w:rPr>
        <w:t>（1）开标一览表及投标报价明细清单；</w:t>
      </w:r>
    </w:p>
    <w:p w14:paraId="1A982C9F">
      <w:pPr>
        <w:snapToGrid w:val="0"/>
        <w:ind w:firstLine="480"/>
        <w:rPr>
          <w:rFonts w:cs="宋体"/>
          <w:color w:val="auto"/>
          <w:highlight w:val="none"/>
        </w:rPr>
      </w:pPr>
      <w:r>
        <w:rPr>
          <w:rFonts w:hint="eastAsia" w:cs="宋体"/>
          <w:color w:val="auto"/>
          <w:highlight w:val="none"/>
        </w:rPr>
        <w:t>（2）投标商务技术</w:t>
      </w:r>
      <w:r>
        <w:rPr>
          <w:rFonts w:hint="eastAsia" w:cs="宋体"/>
          <w:color w:val="auto"/>
          <w:kern w:val="0"/>
          <w:highlight w:val="none"/>
          <w:lang w:val="zh-CN"/>
        </w:rPr>
        <w:t>文件和</w:t>
      </w:r>
      <w:r>
        <w:rPr>
          <w:rFonts w:hint="eastAsia" w:cs="宋体"/>
          <w:color w:val="auto"/>
          <w:highlight w:val="none"/>
          <w:lang w:val="zh-CN"/>
        </w:rPr>
        <w:t>资格文件</w:t>
      </w:r>
      <w:r>
        <w:rPr>
          <w:rFonts w:hint="eastAsia" w:cs="宋体"/>
          <w:color w:val="auto"/>
          <w:highlight w:val="none"/>
        </w:rPr>
        <w:t>；</w:t>
      </w:r>
    </w:p>
    <w:p w14:paraId="514EA882">
      <w:pPr>
        <w:snapToGrid w:val="0"/>
        <w:ind w:firstLine="480"/>
        <w:rPr>
          <w:rFonts w:cs="宋体"/>
          <w:color w:val="auto"/>
          <w:highlight w:val="none"/>
        </w:rPr>
      </w:pPr>
      <w:r>
        <w:rPr>
          <w:rFonts w:hint="eastAsia" w:cs="宋体"/>
          <w:color w:val="auto"/>
          <w:kern w:val="44"/>
          <w:highlight w:val="none"/>
        </w:rPr>
        <w:t>（3）编制和提交</w:t>
      </w:r>
      <w:r>
        <w:rPr>
          <w:rFonts w:hint="eastAsia" w:cs="宋体"/>
          <w:color w:val="auto"/>
          <w:highlight w:val="none"/>
        </w:rPr>
        <w:t>招标</w:t>
      </w:r>
      <w:r>
        <w:rPr>
          <w:rFonts w:hint="eastAsia" w:cs="宋体"/>
          <w:color w:val="auto"/>
          <w:kern w:val="44"/>
          <w:highlight w:val="none"/>
        </w:rPr>
        <w:t>投标文件须知</w:t>
      </w:r>
      <w:r>
        <w:rPr>
          <w:rFonts w:hint="eastAsia" w:cs="宋体"/>
          <w:color w:val="auto"/>
          <w:highlight w:val="none"/>
        </w:rPr>
        <w:t>要求投标人提交的全部文件；</w:t>
      </w:r>
    </w:p>
    <w:p w14:paraId="09AE5060">
      <w:pPr>
        <w:snapToGrid w:val="0"/>
        <w:ind w:firstLine="480"/>
        <w:rPr>
          <w:rFonts w:cs="宋体"/>
          <w:color w:val="auto"/>
          <w:highlight w:val="none"/>
        </w:rPr>
      </w:pPr>
      <w:r>
        <w:rPr>
          <w:rFonts w:hint="eastAsia" w:cs="宋体"/>
          <w:color w:val="auto"/>
          <w:highlight w:val="none"/>
        </w:rPr>
        <w:t>（4）按招标文件要求提供和交付的货物和服务的投标报价详见投标(开标)一览表；</w:t>
      </w:r>
    </w:p>
    <w:p w14:paraId="37C2E0C0">
      <w:pPr>
        <w:snapToGrid w:val="0"/>
        <w:ind w:firstLine="480"/>
        <w:rPr>
          <w:rFonts w:cs="宋体"/>
          <w:color w:val="auto"/>
          <w:highlight w:val="none"/>
        </w:rPr>
      </w:pPr>
      <w:r>
        <w:rPr>
          <w:rFonts w:hint="eastAsia" w:cs="宋体"/>
          <w:color w:val="auto"/>
          <w:highlight w:val="none"/>
        </w:rPr>
        <w:t>（5）保证忠实地执行双方所签订的合同，并承担合同规定的责任和义务；</w:t>
      </w:r>
    </w:p>
    <w:p w14:paraId="20482654">
      <w:pPr>
        <w:snapToGrid w:val="0"/>
        <w:ind w:firstLine="480"/>
        <w:rPr>
          <w:rFonts w:cs="宋体"/>
          <w:color w:val="auto"/>
          <w:highlight w:val="none"/>
        </w:rPr>
      </w:pPr>
      <w:r>
        <w:rPr>
          <w:rFonts w:hint="eastAsia" w:cs="宋体"/>
          <w:color w:val="auto"/>
          <w:highlight w:val="none"/>
        </w:rPr>
        <w:t>（6）保证遵守招标文件中的其他有关规定。</w:t>
      </w:r>
    </w:p>
    <w:p w14:paraId="118AD0D4">
      <w:pPr>
        <w:snapToGrid w:val="0"/>
        <w:ind w:firstLine="480"/>
        <w:rPr>
          <w:rFonts w:cs="宋体"/>
          <w:color w:val="auto"/>
          <w:highlight w:val="none"/>
        </w:rPr>
      </w:pPr>
      <w:r>
        <w:rPr>
          <w:rFonts w:hint="eastAsia" w:cs="宋体"/>
          <w:color w:val="auto"/>
          <w:highlight w:val="none"/>
        </w:rPr>
        <w:t>4.我方承诺投标有效期从提交投标文件的截止之日起</w:t>
      </w:r>
      <w:r>
        <w:rPr>
          <w:rFonts w:hint="eastAsia" w:cs="宋体"/>
          <w:color w:val="auto"/>
          <w:highlight w:val="none"/>
          <w:u w:val="single"/>
        </w:rPr>
        <w:t xml:space="preserve"> 90</w:t>
      </w:r>
      <w:r>
        <w:rPr>
          <w:rFonts w:hint="eastAsia" w:cs="宋体"/>
          <w:color w:val="auto"/>
          <w:highlight w:val="none"/>
        </w:rPr>
        <w:t>天，不少于招标文件中载明的投标有效期（从提交投标文件的截止之日起90天）。</w:t>
      </w:r>
    </w:p>
    <w:p w14:paraId="789AE0B8">
      <w:pPr>
        <w:snapToGrid w:val="0"/>
        <w:ind w:firstLine="480"/>
        <w:rPr>
          <w:rFonts w:cs="宋体"/>
          <w:color w:val="auto"/>
          <w:highlight w:val="none"/>
        </w:rPr>
      </w:pPr>
      <w:r>
        <w:rPr>
          <w:rFonts w:hint="eastAsia" w:cs="宋体"/>
          <w:color w:val="auto"/>
          <w:highlight w:val="none"/>
        </w:rPr>
        <w:t>5.我方完全理解贵方不一定要接受最低价的投标。</w:t>
      </w:r>
    </w:p>
    <w:p w14:paraId="2F128717">
      <w:pPr>
        <w:snapToGrid w:val="0"/>
        <w:ind w:firstLine="480"/>
        <w:rPr>
          <w:rFonts w:cs="宋体"/>
          <w:color w:val="auto"/>
          <w:highlight w:val="none"/>
        </w:rPr>
      </w:pPr>
      <w:r>
        <w:rPr>
          <w:rFonts w:hint="eastAsia" w:cs="宋体"/>
          <w:color w:val="auto"/>
          <w:highlight w:val="none"/>
        </w:rPr>
        <w:t>6.我方愿意向贵方提供任何与该项投标有关的数据、情况和技术资料。若贵方需要，我方愿意提供我方作出的一切承诺的证明材料。</w:t>
      </w:r>
    </w:p>
    <w:p w14:paraId="2C5DE92E">
      <w:pPr>
        <w:snapToGrid w:val="0"/>
        <w:ind w:firstLine="480"/>
        <w:rPr>
          <w:rFonts w:cs="宋体"/>
          <w:color w:val="auto"/>
          <w:highlight w:val="none"/>
        </w:rPr>
      </w:pPr>
      <w:r>
        <w:rPr>
          <w:rFonts w:hint="eastAsia" w:cs="宋体"/>
          <w:color w:val="auto"/>
          <w:highlight w:val="none"/>
        </w:rPr>
        <w:t>7.我方已详细审核全部招标文件，包括招标文件修改书(如果有)、参考资料及有关附件，确认无误。</w:t>
      </w:r>
    </w:p>
    <w:p w14:paraId="5D7F0FBB">
      <w:pPr>
        <w:snapToGrid w:val="0"/>
        <w:ind w:firstLine="480"/>
        <w:rPr>
          <w:rFonts w:cs="宋体"/>
          <w:color w:val="auto"/>
          <w:highlight w:val="none"/>
        </w:rPr>
      </w:pPr>
      <w:r>
        <w:rPr>
          <w:rFonts w:hint="eastAsia" w:cs="宋体"/>
          <w:color w:val="auto"/>
          <w:highlight w:val="none"/>
        </w:rPr>
        <w:t>8.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14:paraId="56CB75AD">
      <w:pPr>
        <w:snapToGrid w:val="0"/>
        <w:ind w:firstLine="480"/>
        <w:rPr>
          <w:rFonts w:cs="宋体"/>
          <w:color w:val="auto"/>
          <w:highlight w:val="none"/>
        </w:rPr>
      </w:pPr>
      <w:r>
        <w:rPr>
          <w:rFonts w:hint="eastAsia" w:cs="宋体"/>
          <w:color w:val="auto"/>
          <w:highlight w:val="none"/>
        </w:rPr>
        <w:t>a）提供虚假材料谋取中标、成交的；</w:t>
      </w:r>
    </w:p>
    <w:p w14:paraId="7F24AFAB">
      <w:pPr>
        <w:snapToGrid w:val="0"/>
        <w:ind w:firstLine="480"/>
        <w:rPr>
          <w:rFonts w:cs="宋体"/>
          <w:color w:val="auto"/>
          <w:highlight w:val="none"/>
        </w:rPr>
      </w:pPr>
      <w:r>
        <w:rPr>
          <w:rFonts w:hint="eastAsia" w:cs="宋体"/>
          <w:color w:val="auto"/>
          <w:highlight w:val="none"/>
        </w:rPr>
        <w:t>b）采取不正当手段诋毁、排挤其他投标人的；</w:t>
      </w:r>
    </w:p>
    <w:p w14:paraId="449C205D">
      <w:pPr>
        <w:snapToGrid w:val="0"/>
        <w:ind w:firstLine="480"/>
        <w:rPr>
          <w:rFonts w:cs="宋体"/>
          <w:color w:val="auto"/>
          <w:highlight w:val="none"/>
        </w:rPr>
      </w:pPr>
      <w:r>
        <w:rPr>
          <w:rFonts w:hint="eastAsia" w:cs="宋体"/>
          <w:color w:val="auto"/>
          <w:highlight w:val="none"/>
        </w:rPr>
        <w:t>c）与招标人、其它投标人或者招标代理机构恶意串通的；</w:t>
      </w:r>
    </w:p>
    <w:p w14:paraId="18CE109D">
      <w:pPr>
        <w:snapToGrid w:val="0"/>
        <w:ind w:firstLine="480"/>
        <w:rPr>
          <w:rFonts w:cs="宋体"/>
          <w:color w:val="auto"/>
          <w:highlight w:val="none"/>
        </w:rPr>
      </w:pPr>
      <w:r>
        <w:rPr>
          <w:rFonts w:hint="eastAsia" w:cs="宋体"/>
          <w:color w:val="auto"/>
          <w:highlight w:val="none"/>
        </w:rPr>
        <w:t>d）向招标人、招标代理机构行贿或者提供其他不正当利益的；</w:t>
      </w:r>
    </w:p>
    <w:p w14:paraId="16F22D50">
      <w:pPr>
        <w:snapToGrid w:val="0"/>
        <w:ind w:firstLine="480"/>
        <w:rPr>
          <w:rFonts w:cs="宋体"/>
          <w:color w:val="auto"/>
          <w:highlight w:val="none"/>
        </w:rPr>
      </w:pPr>
      <w:r>
        <w:rPr>
          <w:rFonts w:hint="eastAsia" w:cs="宋体"/>
          <w:color w:val="auto"/>
          <w:highlight w:val="none"/>
        </w:rPr>
        <w:t>e）在招标过程中与招标人进行协商谈判的；</w:t>
      </w:r>
    </w:p>
    <w:p w14:paraId="74880641">
      <w:pPr>
        <w:snapToGrid w:val="0"/>
        <w:ind w:firstLine="480"/>
        <w:rPr>
          <w:rFonts w:cs="宋体"/>
          <w:color w:val="auto"/>
          <w:highlight w:val="none"/>
        </w:rPr>
      </w:pPr>
      <w:r>
        <w:rPr>
          <w:rFonts w:hint="eastAsia" w:cs="宋体"/>
          <w:color w:val="auto"/>
          <w:highlight w:val="none"/>
        </w:rPr>
        <w:t>f）拒绝有关部门监督检查或提供虚假情况的。</w:t>
      </w:r>
    </w:p>
    <w:p w14:paraId="673BB645">
      <w:pPr>
        <w:snapToGrid w:val="0"/>
        <w:ind w:firstLine="480"/>
        <w:rPr>
          <w:rFonts w:cs="宋体"/>
          <w:color w:val="auto"/>
          <w:highlight w:val="none"/>
        </w:rPr>
      </w:pPr>
      <w:r>
        <w:rPr>
          <w:rFonts w:hint="eastAsia" w:cs="宋体"/>
          <w:color w:val="auto"/>
          <w:highlight w:val="none"/>
        </w:rPr>
        <w:t>投标人有前款第a)至e)项情形之一的，中标、成交无效。</w:t>
      </w:r>
    </w:p>
    <w:p w14:paraId="3EAE5858">
      <w:pPr>
        <w:ind w:firstLine="3600" w:firstLineChars="1500"/>
        <w:rPr>
          <w:rFonts w:cs="宋体"/>
          <w:color w:val="auto"/>
          <w:highlight w:val="none"/>
        </w:rPr>
      </w:pPr>
    </w:p>
    <w:p w14:paraId="57498172">
      <w:pPr>
        <w:pStyle w:val="76"/>
        <w:rPr>
          <w:rFonts w:ascii="宋体" w:hAnsi="宋体" w:eastAsia="宋体" w:cs="宋体"/>
          <w:color w:val="auto"/>
          <w:highlight w:val="none"/>
        </w:rPr>
      </w:pPr>
    </w:p>
    <w:p w14:paraId="5680D115">
      <w:pPr>
        <w:spacing w:line="480" w:lineRule="auto"/>
        <w:ind w:firstLine="480"/>
        <w:rPr>
          <w:rFonts w:cs="宋体"/>
          <w:color w:val="auto"/>
          <w:highlight w:val="none"/>
        </w:rPr>
      </w:pPr>
      <w:r>
        <w:rPr>
          <w:rFonts w:hint="eastAsia" w:cs="宋体"/>
          <w:color w:val="auto"/>
          <w:highlight w:val="none"/>
        </w:rPr>
        <w:t>投标人名称（公章）：</w:t>
      </w:r>
    </w:p>
    <w:p w14:paraId="727C6AF7">
      <w:pPr>
        <w:spacing w:line="480" w:lineRule="auto"/>
        <w:ind w:firstLine="480"/>
        <w:rPr>
          <w:rFonts w:cs="宋体"/>
          <w:color w:val="auto"/>
          <w:highlight w:val="none"/>
        </w:rPr>
      </w:pPr>
      <w:r>
        <w:rPr>
          <w:rFonts w:hint="eastAsia" w:cs="宋体"/>
          <w:color w:val="auto"/>
          <w:highlight w:val="none"/>
        </w:rPr>
        <w:t>法定代表人或其授权代表（签字或盖章）：</w:t>
      </w:r>
    </w:p>
    <w:p w14:paraId="4FBB7805">
      <w:pPr>
        <w:spacing w:line="480" w:lineRule="auto"/>
        <w:ind w:firstLine="480"/>
        <w:rPr>
          <w:rFonts w:cs="宋体"/>
          <w:color w:val="auto"/>
          <w:highlight w:val="none"/>
        </w:rPr>
      </w:pPr>
      <w:r>
        <w:rPr>
          <w:rFonts w:hint="eastAsia" w:cs="宋体"/>
          <w:color w:val="auto"/>
          <w:highlight w:val="none"/>
        </w:rPr>
        <w:t>日期：  年   月   日</w:t>
      </w:r>
    </w:p>
    <w:p w14:paraId="7B4AE3B9">
      <w:pPr>
        <w:ind w:firstLine="480"/>
        <w:rPr>
          <w:rFonts w:cs="宋体"/>
          <w:color w:val="auto"/>
          <w:highlight w:val="none"/>
        </w:rPr>
      </w:pPr>
      <w:r>
        <w:rPr>
          <w:rFonts w:hint="eastAsia" w:cs="宋体"/>
          <w:color w:val="auto"/>
          <w:highlight w:val="none"/>
          <w:lang w:val="zh-CN"/>
        </w:rPr>
        <w:t xml:space="preserve">                                                 </w:t>
      </w:r>
    </w:p>
    <w:p w14:paraId="33171E57">
      <w:pPr>
        <w:ind w:firstLine="480"/>
        <w:rPr>
          <w:rFonts w:cs="宋体"/>
          <w:color w:val="auto"/>
          <w:highlight w:val="none"/>
        </w:rPr>
      </w:pPr>
      <w:r>
        <w:rPr>
          <w:rFonts w:hint="eastAsia" w:cs="宋体"/>
          <w:color w:val="auto"/>
          <w:highlight w:val="none"/>
          <w:lang w:val="zh-CN"/>
        </w:rPr>
        <w:t xml:space="preserve">                 </w:t>
      </w:r>
    </w:p>
    <w:p w14:paraId="606ED9C8">
      <w:pPr>
        <w:ind w:firstLine="482"/>
        <w:rPr>
          <w:rFonts w:cs="宋体"/>
          <w:b/>
          <w:bCs/>
          <w:color w:val="auto"/>
          <w:highlight w:val="none"/>
          <w:lang w:val="zh-CN"/>
        </w:rPr>
      </w:pPr>
    </w:p>
    <w:p w14:paraId="76D1FCBB">
      <w:pPr>
        <w:ind w:firstLine="482"/>
        <w:rPr>
          <w:rFonts w:cs="宋体"/>
          <w:b/>
          <w:bCs/>
          <w:color w:val="auto"/>
          <w:highlight w:val="none"/>
          <w:lang w:val="zh-CN"/>
        </w:rPr>
      </w:pPr>
      <w:r>
        <w:rPr>
          <w:rFonts w:hint="eastAsia" w:cs="宋体"/>
          <w:b/>
          <w:bCs/>
          <w:color w:val="auto"/>
          <w:highlight w:val="none"/>
          <w:lang w:val="zh-CN"/>
        </w:rPr>
        <w:t>注：未按照本投标响应函要求填报的将被视为非实质性响应投标，从而可能导致该投标被拒绝。</w:t>
      </w:r>
    </w:p>
    <w:p w14:paraId="59A8999E">
      <w:pPr>
        <w:pStyle w:val="76"/>
        <w:rPr>
          <w:rFonts w:ascii="宋体" w:hAnsi="宋体" w:eastAsia="宋体" w:cs="宋体"/>
          <w:b/>
          <w:color w:val="auto"/>
          <w:highlight w:val="none"/>
          <w:lang w:val="zh-CN"/>
        </w:rPr>
      </w:pPr>
    </w:p>
    <w:p w14:paraId="146E51F6">
      <w:pPr>
        <w:pStyle w:val="76"/>
        <w:rPr>
          <w:rFonts w:ascii="宋体" w:hAnsi="宋体" w:eastAsia="宋体" w:cs="宋体"/>
          <w:b/>
          <w:color w:val="auto"/>
          <w:highlight w:val="none"/>
          <w:lang w:val="zh-CN"/>
        </w:rPr>
      </w:pPr>
    </w:p>
    <w:p w14:paraId="4F01E96F">
      <w:pPr>
        <w:pStyle w:val="76"/>
        <w:rPr>
          <w:rFonts w:ascii="宋体" w:hAnsi="宋体" w:eastAsia="宋体" w:cs="宋体"/>
          <w:b/>
          <w:color w:val="auto"/>
          <w:highlight w:val="none"/>
          <w:lang w:val="zh-CN"/>
        </w:rPr>
      </w:pPr>
    </w:p>
    <w:p w14:paraId="0E999D83">
      <w:pPr>
        <w:pStyle w:val="76"/>
        <w:rPr>
          <w:rFonts w:ascii="宋体" w:hAnsi="宋体" w:eastAsia="宋体" w:cs="宋体"/>
          <w:b/>
          <w:color w:val="auto"/>
          <w:highlight w:val="none"/>
          <w:lang w:val="zh-CN"/>
        </w:rPr>
      </w:pPr>
    </w:p>
    <w:p w14:paraId="1B7FBBEF">
      <w:pPr>
        <w:pStyle w:val="76"/>
        <w:rPr>
          <w:rFonts w:ascii="宋体" w:hAnsi="宋体" w:eastAsia="宋体" w:cs="宋体"/>
          <w:b/>
          <w:color w:val="auto"/>
          <w:highlight w:val="none"/>
          <w:lang w:val="zh-CN"/>
        </w:rPr>
        <w:sectPr>
          <w:pgSz w:w="11907" w:h="16840"/>
          <w:pgMar w:top="1440" w:right="1080" w:bottom="1440" w:left="1080" w:header="720" w:footer="720" w:gutter="0"/>
          <w:pgNumType w:fmt="decimal"/>
          <w:cols w:space="720" w:num="1"/>
          <w:docGrid w:linePitch="286" w:charSpace="0"/>
        </w:sectPr>
      </w:pPr>
    </w:p>
    <w:p w14:paraId="6E1317A5">
      <w:pPr>
        <w:pStyle w:val="5"/>
        <w:rPr>
          <w:rFonts w:cs="宋体"/>
          <w:color w:val="auto"/>
          <w:szCs w:val="24"/>
          <w:highlight w:val="none"/>
        </w:rPr>
      </w:pPr>
      <w:r>
        <w:rPr>
          <w:rFonts w:hint="eastAsia" w:cs="宋体"/>
          <w:color w:val="auto"/>
          <w:szCs w:val="24"/>
          <w:highlight w:val="none"/>
        </w:rPr>
        <w:t>附件六</w:t>
      </w:r>
    </w:p>
    <w:p w14:paraId="3A106EA8">
      <w:pPr>
        <w:pStyle w:val="177"/>
        <w:keepNext w:val="0"/>
        <w:pageBreakBefore w:val="0"/>
        <w:tabs>
          <w:tab w:val="clear" w:pos="720"/>
        </w:tabs>
        <w:spacing w:line="460" w:lineRule="exact"/>
        <w:ind w:firstLine="3935" w:firstLineChars="1400"/>
        <w:jc w:val="both"/>
        <w:outlineLvl w:val="9"/>
        <w:rPr>
          <w:rFonts w:ascii="宋体" w:hAnsi="宋体" w:eastAsia="宋体" w:cs="宋体"/>
          <w:bCs/>
          <w:color w:val="auto"/>
          <w:kern w:val="2"/>
          <w:sz w:val="28"/>
          <w:szCs w:val="28"/>
          <w:highlight w:val="none"/>
        </w:rPr>
      </w:pPr>
      <w:bookmarkStart w:id="109" w:name="_Toc446"/>
      <w:bookmarkStart w:id="110" w:name="_Toc14446"/>
      <w:r>
        <w:rPr>
          <w:rFonts w:hint="eastAsia" w:ascii="宋体" w:hAnsi="宋体" w:eastAsia="宋体" w:cs="宋体"/>
          <w:bCs/>
          <w:color w:val="auto"/>
          <w:kern w:val="2"/>
          <w:sz w:val="28"/>
          <w:szCs w:val="28"/>
          <w:highlight w:val="none"/>
        </w:rPr>
        <w:t>开标一览表</w:t>
      </w:r>
      <w:bookmarkEnd w:id="109"/>
      <w:bookmarkEnd w:id="110"/>
    </w:p>
    <w:p w14:paraId="45410FE0">
      <w:pPr>
        <w:pStyle w:val="177"/>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14:paraId="01ECCEE3">
      <w:pPr>
        <w:spacing w:line="480" w:lineRule="auto"/>
        <w:ind w:firstLine="0" w:firstLineChars="0"/>
        <w:rPr>
          <w:rFonts w:cs="宋体"/>
          <w:color w:val="auto"/>
          <w:highlight w:val="none"/>
        </w:rPr>
      </w:pPr>
      <w:r>
        <w:rPr>
          <w:rFonts w:hint="eastAsia" w:cs="宋体"/>
          <w:color w:val="auto"/>
          <w:highlight w:val="none"/>
        </w:rPr>
        <w:t>致：</w:t>
      </w:r>
      <w:r>
        <w:rPr>
          <w:rFonts w:hint="eastAsia" w:cs="宋体"/>
          <w:color w:val="auto"/>
          <w:highlight w:val="none"/>
          <w:u w:val="single"/>
        </w:rPr>
        <w:t>（招标人）（代理机构）</w:t>
      </w:r>
      <w:r>
        <w:rPr>
          <w:rFonts w:hint="eastAsia" w:cs="宋体"/>
          <w:color w:val="auto"/>
          <w:highlight w:val="none"/>
        </w:rPr>
        <w:t xml:space="preserve"> </w:t>
      </w:r>
    </w:p>
    <w:p w14:paraId="71AC0F99">
      <w:pPr>
        <w:pStyle w:val="177"/>
        <w:keepNext w:val="0"/>
        <w:pageBreakBefore w:val="0"/>
        <w:tabs>
          <w:tab w:val="clear" w:pos="720"/>
        </w:tabs>
        <w:spacing w:line="480" w:lineRule="auto"/>
        <w:ind w:firstLine="480"/>
        <w:jc w:val="both"/>
        <w:outlineLvl w:val="9"/>
        <w:rPr>
          <w:rFonts w:ascii="宋体" w:hAnsi="宋体" w:eastAsia="宋体" w:cs="宋体"/>
          <w:b w:val="0"/>
          <w:color w:val="auto"/>
          <w:kern w:val="0"/>
          <w:sz w:val="24"/>
          <w:highlight w:val="none"/>
          <w:lang w:val="zh-CN"/>
        </w:rPr>
      </w:pPr>
      <w:bookmarkStart w:id="111" w:name="_Toc23553"/>
      <w:bookmarkStart w:id="112"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11"/>
      <w:bookmarkEnd w:id="112"/>
    </w:p>
    <w:p w14:paraId="1D228384">
      <w:pPr>
        <w:pStyle w:val="177"/>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p>
    <w:p w14:paraId="45D0C245">
      <w:pPr>
        <w:ind w:firstLine="0" w:firstLineChars="0"/>
        <w:jc w:val="center"/>
        <w:rPr>
          <w:rFonts w:cs="宋体"/>
          <w:b/>
          <w:color w:val="auto"/>
          <w:kern w:val="0"/>
          <w:highlight w:val="none"/>
        </w:rPr>
      </w:pPr>
      <w:r>
        <w:rPr>
          <w:rFonts w:hint="eastAsia" w:cs="宋体"/>
          <w:b/>
          <w:color w:val="auto"/>
          <w:kern w:val="0"/>
          <w:sz w:val="28"/>
          <w:szCs w:val="28"/>
          <w:highlight w:val="none"/>
          <w:lang w:val="zh-CN"/>
        </w:rPr>
        <w:t>开标一览表</w:t>
      </w:r>
    </w:p>
    <w:tbl>
      <w:tblPr>
        <w:tblStyle w:val="44"/>
        <w:tblW w:w="4999" w:type="pct"/>
        <w:tblInd w:w="0" w:type="dxa"/>
        <w:tblBorders>
          <w:top w:val="single" w:color="595959" w:themeColor="text1" w:themeTint="A5" w:sz="2" w:space="0"/>
          <w:left w:val="single" w:color="595959" w:themeColor="text1" w:themeTint="A5" w:sz="2" w:space="0"/>
          <w:bottom w:val="single" w:color="595959" w:themeColor="text1" w:themeTint="A5" w:sz="2" w:space="0"/>
          <w:right w:val="single" w:color="595959" w:themeColor="text1" w:themeTint="A5" w:sz="2" w:space="0"/>
          <w:insideH w:val="single" w:color="595959" w:themeColor="text1" w:themeTint="A5" w:sz="2" w:space="0"/>
          <w:insideV w:val="single" w:color="595959" w:themeColor="text1" w:themeTint="A5" w:sz="2" w:space="0"/>
        </w:tblBorders>
        <w:tblLayout w:type="autofit"/>
        <w:tblCellMar>
          <w:top w:w="0" w:type="dxa"/>
          <w:left w:w="108" w:type="dxa"/>
          <w:bottom w:w="0" w:type="dxa"/>
          <w:right w:w="108" w:type="dxa"/>
        </w:tblCellMar>
      </w:tblPr>
      <w:tblGrid>
        <w:gridCol w:w="4826"/>
        <w:gridCol w:w="5135"/>
      </w:tblGrid>
      <w:tr w14:paraId="6872FBCE">
        <w:tblPrEx>
          <w:tblBorders>
            <w:top w:val="single" w:color="595959" w:themeColor="text1" w:themeTint="A5" w:sz="2" w:space="0"/>
            <w:left w:val="single" w:color="595959" w:themeColor="text1" w:themeTint="A5" w:sz="2" w:space="0"/>
            <w:bottom w:val="single" w:color="595959" w:themeColor="text1" w:themeTint="A5" w:sz="2" w:space="0"/>
            <w:right w:val="single" w:color="595959" w:themeColor="text1" w:themeTint="A5" w:sz="2" w:space="0"/>
            <w:insideH w:val="single" w:color="595959" w:themeColor="text1" w:themeTint="A5" w:sz="2" w:space="0"/>
            <w:insideV w:val="single" w:color="595959" w:themeColor="text1" w:themeTint="A5" w:sz="2" w:space="0"/>
          </w:tblBorders>
          <w:tblCellMar>
            <w:top w:w="0" w:type="dxa"/>
            <w:left w:w="108" w:type="dxa"/>
            <w:bottom w:w="0" w:type="dxa"/>
            <w:right w:w="108" w:type="dxa"/>
          </w:tblCellMar>
        </w:tblPrEx>
        <w:trPr>
          <w:trHeight w:val="425" w:hRule="atLeast"/>
        </w:trPr>
        <w:tc>
          <w:tcPr>
            <w:tcW w:w="2422" w:type="pct"/>
            <w:tcBorders>
              <w:tl2br w:val="nil"/>
              <w:tr2bl w:val="nil"/>
            </w:tcBorders>
            <w:vAlign w:val="center"/>
          </w:tcPr>
          <w:p w14:paraId="5F444696">
            <w:pPr>
              <w:spacing w:before="40" w:after="40" w:line="500" w:lineRule="exact"/>
              <w:ind w:firstLine="482"/>
              <w:jc w:val="center"/>
              <w:rPr>
                <w:rFonts w:cs="宋体"/>
                <w:b/>
                <w:color w:val="auto"/>
                <w:highlight w:val="none"/>
              </w:rPr>
            </w:pPr>
            <w:r>
              <w:rPr>
                <w:rFonts w:hint="eastAsia" w:cs="宋体"/>
                <w:b/>
                <w:color w:val="auto"/>
                <w:highlight w:val="none"/>
              </w:rPr>
              <w:t>项目名称</w:t>
            </w:r>
          </w:p>
        </w:tc>
        <w:tc>
          <w:tcPr>
            <w:tcW w:w="2577" w:type="pct"/>
            <w:tcBorders>
              <w:tl2br w:val="nil"/>
              <w:tr2bl w:val="nil"/>
            </w:tcBorders>
            <w:vAlign w:val="center"/>
          </w:tcPr>
          <w:p w14:paraId="2B1953A2">
            <w:pPr>
              <w:spacing w:before="40" w:after="40" w:line="500" w:lineRule="exact"/>
              <w:ind w:firstLine="482"/>
              <w:jc w:val="center"/>
              <w:rPr>
                <w:rFonts w:cs="宋体"/>
                <w:b/>
                <w:color w:val="auto"/>
                <w:highlight w:val="none"/>
              </w:rPr>
            </w:pPr>
            <w:r>
              <w:rPr>
                <w:rFonts w:hint="eastAsia" w:cs="宋体"/>
                <w:b/>
                <w:color w:val="auto"/>
                <w:highlight w:val="none"/>
              </w:rPr>
              <w:t>总报价（</w:t>
            </w:r>
            <w:r>
              <w:rPr>
                <w:rFonts w:hint="eastAsia" w:cs="宋体"/>
                <w:b/>
                <w:bCs/>
                <w:color w:val="auto"/>
                <w:highlight w:val="none"/>
              </w:rPr>
              <w:t>元</w:t>
            </w:r>
            <w:r>
              <w:rPr>
                <w:rFonts w:hint="eastAsia" w:cs="宋体"/>
                <w:b/>
                <w:color w:val="auto"/>
                <w:highlight w:val="none"/>
              </w:rPr>
              <w:t>）</w:t>
            </w:r>
          </w:p>
        </w:tc>
      </w:tr>
      <w:tr w14:paraId="25FAED9C">
        <w:tblPrEx>
          <w:tblBorders>
            <w:top w:val="single" w:color="595959" w:themeColor="text1" w:themeTint="A5" w:sz="2" w:space="0"/>
            <w:left w:val="single" w:color="595959" w:themeColor="text1" w:themeTint="A5" w:sz="2" w:space="0"/>
            <w:bottom w:val="single" w:color="595959" w:themeColor="text1" w:themeTint="A5" w:sz="2" w:space="0"/>
            <w:right w:val="single" w:color="595959" w:themeColor="text1" w:themeTint="A5" w:sz="2" w:space="0"/>
            <w:insideH w:val="single" w:color="595959" w:themeColor="text1" w:themeTint="A5" w:sz="2" w:space="0"/>
            <w:insideV w:val="single" w:color="595959" w:themeColor="text1" w:themeTint="A5" w:sz="2" w:space="0"/>
          </w:tblBorders>
          <w:tblCellMar>
            <w:top w:w="0" w:type="dxa"/>
            <w:left w:w="108" w:type="dxa"/>
            <w:bottom w:w="0" w:type="dxa"/>
            <w:right w:w="108" w:type="dxa"/>
          </w:tblCellMar>
        </w:tblPrEx>
        <w:trPr>
          <w:trHeight w:val="1203" w:hRule="atLeast"/>
        </w:trPr>
        <w:tc>
          <w:tcPr>
            <w:tcW w:w="2422" w:type="pct"/>
            <w:tcBorders>
              <w:tl2br w:val="nil"/>
              <w:tr2bl w:val="nil"/>
            </w:tcBorders>
            <w:vAlign w:val="center"/>
          </w:tcPr>
          <w:p w14:paraId="7512096C">
            <w:pPr>
              <w:adjustRightInd w:val="0"/>
              <w:snapToGrid w:val="0"/>
              <w:spacing w:before="40" w:after="40" w:line="460" w:lineRule="exact"/>
              <w:ind w:firstLine="0" w:firstLineChars="0"/>
              <w:jc w:val="center"/>
              <w:rPr>
                <w:rFonts w:cs="宋体"/>
                <w:bCs/>
                <w:color w:val="auto"/>
                <w:highlight w:val="none"/>
              </w:rPr>
            </w:pPr>
            <w:r>
              <w:rPr>
                <w:rFonts w:hint="eastAsia"/>
                <w:color w:val="auto"/>
                <w:highlight w:val="none"/>
              </w:rPr>
              <w:t>长兴县</w:t>
            </w:r>
            <w:r>
              <w:rPr>
                <w:rFonts w:hint="eastAsia"/>
                <w:color w:val="auto"/>
                <w:highlight w:val="none"/>
                <w:lang w:eastAsia="zh-CN"/>
              </w:rPr>
              <w:t>学校视频监控升级</w:t>
            </w:r>
            <w:r>
              <w:rPr>
                <w:rFonts w:hint="eastAsia"/>
                <w:color w:val="auto"/>
                <w:highlight w:val="none"/>
              </w:rPr>
              <w:t>采购项目</w:t>
            </w:r>
          </w:p>
        </w:tc>
        <w:tc>
          <w:tcPr>
            <w:tcW w:w="2577" w:type="pct"/>
            <w:tcBorders>
              <w:tl2br w:val="nil"/>
              <w:tr2bl w:val="nil"/>
            </w:tcBorders>
            <w:vAlign w:val="center"/>
          </w:tcPr>
          <w:p w14:paraId="6196D79E">
            <w:pPr>
              <w:spacing w:line="460" w:lineRule="exact"/>
              <w:ind w:firstLine="0" w:firstLineChars="0"/>
              <w:rPr>
                <w:rFonts w:cs="宋体"/>
                <w:color w:val="auto"/>
                <w:highlight w:val="none"/>
                <w:u w:val="single"/>
              </w:rPr>
            </w:pPr>
            <w:r>
              <w:rPr>
                <w:rFonts w:hint="eastAsia" w:cs="宋体"/>
                <w:color w:val="auto"/>
                <w:highlight w:val="none"/>
              </w:rPr>
              <w:t>金额（小写）：</w:t>
            </w:r>
            <w:r>
              <w:rPr>
                <w:rFonts w:hint="eastAsia" w:cs="宋体"/>
                <w:color w:val="auto"/>
                <w:highlight w:val="none"/>
                <w:u w:val="single"/>
              </w:rPr>
              <w:t xml:space="preserve">               </w:t>
            </w:r>
          </w:p>
          <w:p w14:paraId="3D307CD2">
            <w:pPr>
              <w:spacing w:line="460" w:lineRule="exact"/>
              <w:ind w:firstLine="480"/>
              <w:rPr>
                <w:rFonts w:cs="宋体"/>
                <w:color w:val="auto"/>
                <w:highlight w:val="none"/>
                <w:u w:val="single"/>
              </w:rPr>
            </w:pPr>
            <w:r>
              <w:rPr>
                <w:rFonts w:hint="eastAsia" w:cs="宋体"/>
                <w:color w:val="auto"/>
                <w:highlight w:val="none"/>
              </w:rPr>
              <w:t>（大写）：</w:t>
            </w:r>
            <w:r>
              <w:rPr>
                <w:rFonts w:hint="eastAsia" w:cs="宋体"/>
                <w:color w:val="auto"/>
                <w:highlight w:val="none"/>
                <w:u w:val="single"/>
              </w:rPr>
              <w:t xml:space="preserve">               </w:t>
            </w:r>
          </w:p>
        </w:tc>
      </w:tr>
    </w:tbl>
    <w:p w14:paraId="06530E5F">
      <w:pPr>
        <w:snapToGrid w:val="0"/>
        <w:ind w:firstLine="0" w:firstLineChars="0"/>
        <w:rPr>
          <w:rFonts w:cs="宋体"/>
          <w:b/>
          <w:color w:val="auto"/>
          <w:kern w:val="0"/>
          <w:sz w:val="10"/>
          <w:szCs w:val="10"/>
          <w:highlight w:val="none"/>
          <w:lang w:val="zh-CN"/>
        </w:rPr>
      </w:pPr>
    </w:p>
    <w:p w14:paraId="684C74E5">
      <w:pPr>
        <w:snapToGrid w:val="0"/>
        <w:ind w:firstLine="0" w:firstLineChars="0"/>
        <w:rPr>
          <w:rFonts w:cs="宋体"/>
          <w:color w:val="auto"/>
          <w:kern w:val="0"/>
          <w:highlight w:val="none"/>
          <w:lang w:val="zh-CN"/>
        </w:rPr>
      </w:pPr>
      <w:r>
        <w:rPr>
          <w:rFonts w:hint="eastAsia" w:cs="宋体"/>
          <w:b/>
          <w:color w:val="auto"/>
          <w:kern w:val="0"/>
          <w:highlight w:val="none"/>
          <w:lang w:val="zh-CN"/>
        </w:rPr>
        <w:t>注：</w:t>
      </w:r>
      <w:r>
        <w:rPr>
          <w:rFonts w:hint="eastAsia" w:cs="宋体"/>
          <w:color w:val="auto"/>
          <w:kern w:val="0"/>
          <w:highlight w:val="none"/>
          <w:lang w:val="zh-CN"/>
        </w:rPr>
        <w:t>1</w:t>
      </w:r>
      <w:r>
        <w:rPr>
          <w:rFonts w:hint="eastAsia" w:cs="宋体"/>
          <w:color w:val="auto"/>
          <w:kern w:val="0"/>
          <w:highlight w:val="none"/>
        </w:rPr>
        <w:t>.</w:t>
      </w:r>
      <w:r>
        <w:rPr>
          <w:rFonts w:hint="eastAsia" w:cs="宋体"/>
          <w:color w:val="auto"/>
          <w:kern w:val="0"/>
          <w:highlight w:val="none"/>
          <w:lang w:val="zh-CN"/>
        </w:rPr>
        <w:t>投标人需按本表格式填写，不得自行更改。</w:t>
      </w:r>
    </w:p>
    <w:p w14:paraId="58DFCDB2">
      <w:pPr>
        <w:snapToGrid w:val="0"/>
        <w:ind w:firstLine="480"/>
        <w:rPr>
          <w:rFonts w:cs="宋体"/>
          <w:color w:val="auto"/>
          <w:kern w:val="0"/>
          <w:highlight w:val="none"/>
          <w:lang w:val="zh-CN"/>
        </w:rPr>
      </w:pPr>
      <w:r>
        <w:rPr>
          <w:rFonts w:hint="eastAsia" w:cs="宋体"/>
          <w:color w:val="auto"/>
          <w:kern w:val="0"/>
          <w:highlight w:val="none"/>
          <w:lang w:val="zh-CN"/>
        </w:rPr>
        <w:t>2</w:t>
      </w:r>
      <w:r>
        <w:rPr>
          <w:rFonts w:hint="eastAsia" w:cs="宋体"/>
          <w:color w:val="auto"/>
          <w:kern w:val="0"/>
          <w:highlight w:val="none"/>
        </w:rPr>
        <w:t>.</w:t>
      </w:r>
      <w:r>
        <w:rPr>
          <w:rFonts w:hint="eastAsia" w:cs="宋体"/>
          <w:color w:val="auto"/>
          <w:kern w:val="0"/>
          <w:highlight w:val="none"/>
          <w:lang w:val="zh-CN"/>
        </w:rPr>
        <w:t>有关本项目实施所涉及的一切费用（详见前附表）均计入报价。</w:t>
      </w:r>
    </w:p>
    <w:p w14:paraId="1ED92119">
      <w:pPr>
        <w:snapToGrid w:val="0"/>
        <w:ind w:firstLine="480"/>
        <w:rPr>
          <w:rFonts w:cs="宋体"/>
          <w:color w:val="auto"/>
          <w:kern w:val="0"/>
          <w:highlight w:val="none"/>
        </w:rPr>
      </w:pPr>
      <w:r>
        <w:rPr>
          <w:rFonts w:hint="eastAsia" w:cs="宋体"/>
          <w:color w:val="auto"/>
          <w:kern w:val="0"/>
          <w:highlight w:val="none"/>
        </w:rPr>
        <w:t>3.投标总报价不</w:t>
      </w:r>
      <w:r>
        <w:rPr>
          <w:rFonts w:hint="eastAsia" w:cs="宋体"/>
          <w:color w:val="auto"/>
          <w:kern w:val="0"/>
          <w:highlight w:val="none"/>
          <w:lang w:eastAsia="zh-CN"/>
        </w:rPr>
        <w:t>得</w:t>
      </w:r>
      <w:r>
        <w:rPr>
          <w:rFonts w:hint="eastAsia" w:cs="宋体"/>
          <w:color w:val="auto"/>
          <w:kern w:val="0"/>
          <w:highlight w:val="none"/>
        </w:rPr>
        <w:t>超过最高限价，超过最高限价的报价</w:t>
      </w:r>
      <w:r>
        <w:rPr>
          <w:rFonts w:hint="eastAsia" w:cs="宋体"/>
          <w:color w:val="auto"/>
          <w:kern w:val="0"/>
          <w:highlight w:val="none"/>
          <w:lang w:eastAsia="zh-CN"/>
        </w:rPr>
        <w:t>按</w:t>
      </w:r>
      <w:r>
        <w:rPr>
          <w:rFonts w:hint="eastAsia" w:cs="宋体"/>
          <w:color w:val="auto"/>
          <w:kern w:val="0"/>
          <w:highlight w:val="none"/>
        </w:rPr>
        <w:t>无效报价</w:t>
      </w:r>
      <w:r>
        <w:rPr>
          <w:rFonts w:hint="eastAsia" w:cs="宋体"/>
          <w:color w:val="auto"/>
          <w:kern w:val="0"/>
          <w:highlight w:val="none"/>
          <w:lang w:eastAsia="zh-CN"/>
        </w:rPr>
        <w:t>处理</w:t>
      </w:r>
      <w:r>
        <w:rPr>
          <w:rFonts w:hint="eastAsia" w:cs="宋体"/>
          <w:color w:val="auto"/>
          <w:kern w:val="0"/>
          <w:highlight w:val="none"/>
        </w:rPr>
        <w:t>。</w:t>
      </w:r>
    </w:p>
    <w:p w14:paraId="71FEEC1D">
      <w:pPr>
        <w:pStyle w:val="15"/>
        <w:rPr>
          <w:rFonts w:hAnsi="宋体" w:cs="宋体"/>
          <w:color w:val="auto"/>
          <w:highlight w:val="none"/>
          <w:lang w:val="zh-CN"/>
        </w:rPr>
      </w:pPr>
    </w:p>
    <w:p w14:paraId="1BB71E65">
      <w:pPr>
        <w:ind w:firstLine="480"/>
        <w:rPr>
          <w:color w:val="auto"/>
          <w:highlight w:val="none"/>
          <w:lang w:val="zh-CN"/>
        </w:rPr>
      </w:pPr>
    </w:p>
    <w:p w14:paraId="70281FE3">
      <w:pPr>
        <w:spacing w:line="480" w:lineRule="auto"/>
        <w:ind w:firstLine="480"/>
        <w:rPr>
          <w:rFonts w:cs="宋体"/>
          <w:color w:val="auto"/>
          <w:highlight w:val="none"/>
        </w:rPr>
      </w:pPr>
      <w:r>
        <w:rPr>
          <w:rFonts w:hint="eastAsia" w:cs="宋体"/>
          <w:color w:val="auto"/>
          <w:highlight w:val="none"/>
        </w:rPr>
        <w:t>投标人名称（公章）：</w:t>
      </w:r>
    </w:p>
    <w:p w14:paraId="3D0AECD3">
      <w:pPr>
        <w:spacing w:line="480" w:lineRule="auto"/>
        <w:ind w:firstLine="480"/>
        <w:rPr>
          <w:rFonts w:cs="宋体"/>
          <w:color w:val="auto"/>
          <w:highlight w:val="none"/>
        </w:rPr>
      </w:pPr>
      <w:r>
        <w:rPr>
          <w:rFonts w:hint="eastAsia" w:cs="宋体"/>
          <w:color w:val="auto"/>
          <w:highlight w:val="none"/>
        </w:rPr>
        <w:t>法定代表人或其授权代表（签字）：</w:t>
      </w:r>
    </w:p>
    <w:p w14:paraId="018A867B">
      <w:pPr>
        <w:spacing w:line="480" w:lineRule="auto"/>
        <w:ind w:firstLine="480"/>
        <w:rPr>
          <w:rFonts w:cs="宋体"/>
          <w:color w:val="auto"/>
          <w:highlight w:val="none"/>
        </w:rPr>
      </w:pPr>
      <w:r>
        <w:rPr>
          <w:rFonts w:hint="eastAsia" w:cs="宋体"/>
          <w:color w:val="auto"/>
          <w:highlight w:val="none"/>
        </w:rPr>
        <w:t>日期：  年   月   日</w:t>
      </w:r>
    </w:p>
    <w:p w14:paraId="104EAAE8">
      <w:pPr>
        <w:ind w:firstLine="480"/>
        <w:rPr>
          <w:rFonts w:cs="宋体"/>
          <w:color w:val="auto"/>
          <w:highlight w:val="none"/>
          <w:lang w:val="zh-CN"/>
        </w:rPr>
      </w:pPr>
    </w:p>
    <w:p w14:paraId="779BC36D">
      <w:pPr>
        <w:adjustRightInd w:val="0"/>
        <w:snapToGrid w:val="0"/>
        <w:ind w:firstLine="0" w:firstLineChars="0"/>
        <w:rPr>
          <w:rFonts w:cs="宋体"/>
          <w:color w:val="auto"/>
          <w:highlight w:val="none"/>
        </w:rPr>
      </w:pPr>
    </w:p>
    <w:p w14:paraId="0158025A">
      <w:pPr>
        <w:ind w:firstLine="0" w:firstLineChars="0"/>
        <w:rPr>
          <w:rFonts w:cs="宋体"/>
          <w:color w:val="auto"/>
          <w:highlight w:val="none"/>
        </w:rPr>
        <w:sectPr>
          <w:pgSz w:w="11907" w:h="16840"/>
          <w:pgMar w:top="1440" w:right="1080" w:bottom="1440" w:left="1080" w:header="720" w:footer="720" w:gutter="0"/>
          <w:pgNumType w:fmt="decimal"/>
          <w:cols w:space="720" w:num="1"/>
          <w:docGrid w:linePitch="286" w:charSpace="0"/>
        </w:sectPr>
      </w:pPr>
    </w:p>
    <w:p w14:paraId="34138F56">
      <w:pPr>
        <w:pStyle w:val="5"/>
        <w:rPr>
          <w:rFonts w:cs="宋体"/>
          <w:b w:val="0"/>
          <w:bCs w:val="0"/>
          <w:color w:val="auto"/>
          <w:szCs w:val="24"/>
          <w:highlight w:val="none"/>
        </w:rPr>
      </w:pPr>
      <w:r>
        <w:rPr>
          <w:rFonts w:hint="eastAsia" w:cs="宋体"/>
          <w:color w:val="auto"/>
          <w:szCs w:val="24"/>
          <w:highlight w:val="none"/>
        </w:rPr>
        <w:t>附件七</w:t>
      </w:r>
    </w:p>
    <w:p w14:paraId="759B9BF9">
      <w:pPr>
        <w:pStyle w:val="177"/>
        <w:keepNext w:val="0"/>
        <w:pageBreakBefore w:val="0"/>
        <w:tabs>
          <w:tab w:val="clear" w:pos="720"/>
        </w:tabs>
        <w:spacing w:line="460" w:lineRule="exact"/>
        <w:ind w:firstLine="0" w:firstLineChars="0"/>
        <w:outlineLvl w:val="9"/>
        <w:rPr>
          <w:rFonts w:ascii="宋体" w:hAnsi="宋体" w:eastAsia="宋体" w:cs="宋体"/>
          <w:bCs/>
          <w:color w:val="auto"/>
          <w:kern w:val="2"/>
          <w:sz w:val="28"/>
          <w:szCs w:val="28"/>
          <w:highlight w:val="none"/>
        </w:rPr>
      </w:pPr>
      <w:bookmarkStart w:id="113" w:name="_Toc17346"/>
      <w:bookmarkStart w:id="114" w:name="_Toc7511"/>
      <w:r>
        <w:rPr>
          <w:rFonts w:hint="eastAsia" w:ascii="宋体" w:hAnsi="宋体" w:eastAsia="宋体" w:cs="宋体"/>
          <w:bCs/>
          <w:color w:val="auto"/>
          <w:kern w:val="2"/>
          <w:sz w:val="28"/>
          <w:szCs w:val="28"/>
          <w:highlight w:val="none"/>
        </w:rPr>
        <w:t>投标报价明细表</w:t>
      </w:r>
      <w:bookmarkEnd w:id="113"/>
      <w:bookmarkEnd w:id="114"/>
    </w:p>
    <w:p w14:paraId="5211C623">
      <w:pPr>
        <w:pStyle w:val="177"/>
        <w:keepNext w:val="0"/>
        <w:pageBreakBefore w:val="0"/>
        <w:tabs>
          <w:tab w:val="clear" w:pos="720"/>
        </w:tabs>
        <w:spacing w:line="460" w:lineRule="exact"/>
        <w:ind w:firstLine="562"/>
        <w:outlineLvl w:val="9"/>
        <w:rPr>
          <w:rFonts w:ascii="宋体" w:hAnsi="宋体" w:eastAsia="宋体" w:cs="宋体"/>
          <w:bCs/>
          <w:color w:val="auto"/>
          <w:kern w:val="2"/>
          <w:sz w:val="28"/>
          <w:szCs w:val="28"/>
          <w:highlight w:val="none"/>
        </w:rPr>
      </w:pPr>
    </w:p>
    <w:p w14:paraId="29E1487D">
      <w:pPr>
        <w:pStyle w:val="20"/>
        <w:snapToGrid w:val="0"/>
        <w:spacing w:line="360" w:lineRule="auto"/>
        <w:rPr>
          <w:rFonts w:hAnsi="宋体" w:cs="宋体"/>
          <w:color w:val="auto"/>
          <w:sz w:val="24"/>
          <w:szCs w:val="24"/>
          <w:highlight w:val="none"/>
          <w:u w:val="single"/>
        </w:rPr>
      </w:pPr>
      <w:r>
        <w:rPr>
          <w:rFonts w:hint="eastAsia" w:hAnsi="宋体" w:cs="宋体"/>
          <w:color w:val="auto"/>
          <w:sz w:val="24"/>
          <w:szCs w:val="24"/>
          <w:highlight w:val="none"/>
        </w:rPr>
        <w:t xml:space="preserve">项目名称：             项目编号：          </w:t>
      </w:r>
      <w:r>
        <w:rPr>
          <w:rFonts w:hint="eastAsia" w:hAnsi="宋体" w:cs="宋体"/>
          <w:color w:val="auto"/>
          <w:sz w:val="24"/>
          <w:szCs w:val="24"/>
          <w:highlight w:val="none"/>
          <w:u w:val="single"/>
        </w:rPr>
        <w:t xml:space="preserve">             </w:t>
      </w:r>
    </w:p>
    <w:tbl>
      <w:tblPr>
        <w:tblStyle w:val="44"/>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936"/>
        <w:gridCol w:w="2141"/>
        <w:gridCol w:w="1558"/>
        <w:gridCol w:w="873"/>
        <w:gridCol w:w="898"/>
        <w:gridCol w:w="966"/>
        <w:gridCol w:w="928"/>
      </w:tblGrid>
      <w:tr w14:paraId="0A58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gridSpan w:val="8"/>
          </w:tcPr>
          <w:p w14:paraId="57B54776">
            <w:pPr>
              <w:spacing w:line="420" w:lineRule="exact"/>
              <w:ind w:firstLine="0" w:firstLineChars="0"/>
              <w:jc w:val="center"/>
              <w:rPr>
                <w:b/>
                <w:bCs/>
                <w:color w:val="auto"/>
                <w:highlight w:val="none"/>
              </w:rPr>
            </w:pPr>
            <w:r>
              <w:rPr>
                <w:rFonts w:hint="eastAsia"/>
                <w:b/>
                <w:bCs/>
                <w:color w:val="auto"/>
                <w:highlight w:val="none"/>
              </w:rPr>
              <w:t>采购内容清单</w:t>
            </w:r>
          </w:p>
        </w:tc>
      </w:tr>
      <w:tr w14:paraId="3E6B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4B6372BE">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b/>
                <w:bCs/>
              </w:rPr>
            </w:pPr>
            <w:r>
              <w:rPr>
                <w:rFonts w:hint="eastAsia"/>
                <w:b/>
                <w:bCs/>
              </w:rPr>
              <w:t>序号</w:t>
            </w:r>
          </w:p>
        </w:tc>
        <w:tc>
          <w:tcPr>
            <w:tcW w:w="1936" w:type="dxa"/>
          </w:tcPr>
          <w:p w14:paraId="48C31B33">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b/>
                <w:bCs/>
              </w:rPr>
            </w:pPr>
            <w:r>
              <w:rPr>
                <w:rFonts w:hint="eastAsia"/>
                <w:b/>
                <w:bCs/>
              </w:rPr>
              <w:t>设备名称</w:t>
            </w:r>
          </w:p>
        </w:tc>
        <w:tc>
          <w:tcPr>
            <w:tcW w:w="2141" w:type="dxa"/>
          </w:tcPr>
          <w:p w14:paraId="243A444D">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宋体"/>
                <w:b/>
                <w:bCs/>
                <w:lang w:eastAsia="zh-CN"/>
              </w:rPr>
            </w:pPr>
            <w:r>
              <w:rPr>
                <w:rFonts w:hint="eastAsia"/>
                <w:b/>
                <w:bCs/>
                <w:lang w:eastAsia="zh-CN"/>
              </w:rPr>
              <w:t>技术参数</w:t>
            </w:r>
          </w:p>
        </w:tc>
        <w:tc>
          <w:tcPr>
            <w:tcW w:w="1558" w:type="dxa"/>
          </w:tcPr>
          <w:p w14:paraId="11AF9F52">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宋体"/>
                <w:b/>
                <w:bCs/>
                <w:lang w:eastAsia="zh-CN"/>
              </w:rPr>
            </w:pPr>
            <w:r>
              <w:rPr>
                <w:rFonts w:hint="eastAsia"/>
                <w:b/>
                <w:bCs/>
                <w:lang w:eastAsia="zh-CN"/>
              </w:rPr>
              <w:t>品牌（如有）</w:t>
            </w:r>
          </w:p>
        </w:tc>
        <w:tc>
          <w:tcPr>
            <w:tcW w:w="873" w:type="dxa"/>
          </w:tcPr>
          <w:p w14:paraId="5FB55B45">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b/>
                <w:bCs/>
              </w:rPr>
            </w:pPr>
            <w:r>
              <w:rPr>
                <w:rFonts w:hint="eastAsia"/>
                <w:b/>
                <w:bCs/>
              </w:rPr>
              <w:t>数量</w:t>
            </w:r>
          </w:p>
        </w:tc>
        <w:tc>
          <w:tcPr>
            <w:tcW w:w="898" w:type="dxa"/>
          </w:tcPr>
          <w:p w14:paraId="21E2A101">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b/>
                <w:bCs/>
              </w:rPr>
            </w:pPr>
            <w:r>
              <w:rPr>
                <w:rFonts w:hint="eastAsia"/>
                <w:b/>
                <w:bCs/>
              </w:rPr>
              <w:t>单位</w:t>
            </w:r>
          </w:p>
        </w:tc>
        <w:tc>
          <w:tcPr>
            <w:tcW w:w="966" w:type="dxa"/>
          </w:tcPr>
          <w:p w14:paraId="5D222A63">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宋体"/>
                <w:b/>
                <w:bCs/>
                <w:lang w:eastAsia="zh-CN"/>
              </w:rPr>
            </w:pPr>
            <w:r>
              <w:rPr>
                <w:rFonts w:hint="eastAsia"/>
                <w:b/>
                <w:bCs/>
                <w:lang w:eastAsia="zh-CN"/>
              </w:rPr>
              <w:t>单价</w:t>
            </w:r>
          </w:p>
        </w:tc>
        <w:tc>
          <w:tcPr>
            <w:tcW w:w="928" w:type="dxa"/>
          </w:tcPr>
          <w:p w14:paraId="0ACA424B">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宋体"/>
                <w:b/>
                <w:bCs/>
                <w:lang w:eastAsia="zh-CN"/>
              </w:rPr>
            </w:pPr>
            <w:r>
              <w:rPr>
                <w:rFonts w:hint="eastAsia"/>
                <w:b/>
                <w:bCs/>
                <w:lang w:eastAsia="zh-CN"/>
              </w:rPr>
              <w:t>合计</w:t>
            </w:r>
          </w:p>
        </w:tc>
      </w:tr>
      <w:tr w14:paraId="4D8A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400C374A">
            <w:pPr>
              <w:spacing w:line="420" w:lineRule="exact"/>
              <w:ind w:firstLine="0" w:firstLineChars="0"/>
              <w:jc w:val="center"/>
              <w:rPr>
                <w:color w:val="auto"/>
                <w:highlight w:val="none"/>
              </w:rPr>
            </w:pPr>
            <w:r>
              <w:rPr>
                <w:rFonts w:hint="eastAsia"/>
                <w:color w:val="auto"/>
                <w:highlight w:val="none"/>
              </w:rPr>
              <w:t>1</w:t>
            </w:r>
          </w:p>
        </w:tc>
        <w:tc>
          <w:tcPr>
            <w:tcW w:w="1936" w:type="dxa"/>
          </w:tcPr>
          <w:p w14:paraId="69F6B96C">
            <w:pPr>
              <w:spacing w:line="420" w:lineRule="exact"/>
              <w:ind w:firstLine="480"/>
              <w:jc w:val="center"/>
              <w:rPr>
                <w:color w:val="auto"/>
                <w:highlight w:val="none"/>
              </w:rPr>
            </w:pPr>
          </w:p>
        </w:tc>
        <w:tc>
          <w:tcPr>
            <w:tcW w:w="2141" w:type="dxa"/>
          </w:tcPr>
          <w:p w14:paraId="120AD271">
            <w:pPr>
              <w:spacing w:line="420" w:lineRule="exact"/>
              <w:ind w:firstLine="480"/>
              <w:jc w:val="center"/>
              <w:rPr>
                <w:color w:val="auto"/>
                <w:highlight w:val="none"/>
              </w:rPr>
            </w:pPr>
          </w:p>
        </w:tc>
        <w:tc>
          <w:tcPr>
            <w:tcW w:w="1558" w:type="dxa"/>
          </w:tcPr>
          <w:p w14:paraId="009D5A00">
            <w:pPr>
              <w:spacing w:line="420" w:lineRule="exact"/>
              <w:ind w:firstLine="480"/>
              <w:jc w:val="center"/>
              <w:rPr>
                <w:color w:val="auto"/>
                <w:highlight w:val="none"/>
              </w:rPr>
            </w:pPr>
          </w:p>
        </w:tc>
        <w:tc>
          <w:tcPr>
            <w:tcW w:w="873" w:type="dxa"/>
          </w:tcPr>
          <w:p w14:paraId="749D39AC">
            <w:pPr>
              <w:spacing w:line="420" w:lineRule="exact"/>
              <w:ind w:firstLine="480"/>
              <w:jc w:val="center"/>
              <w:rPr>
                <w:color w:val="auto"/>
                <w:highlight w:val="none"/>
              </w:rPr>
            </w:pPr>
          </w:p>
        </w:tc>
        <w:tc>
          <w:tcPr>
            <w:tcW w:w="898" w:type="dxa"/>
          </w:tcPr>
          <w:p w14:paraId="1CCAFEBD">
            <w:pPr>
              <w:spacing w:line="420" w:lineRule="exact"/>
              <w:ind w:firstLine="480"/>
              <w:jc w:val="center"/>
              <w:rPr>
                <w:color w:val="auto"/>
                <w:highlight w:val="none"/>
              </w:rPr>
            </w:pPr>
          </w:p>
        </w:tc>
        <w:tc>
          <w:tcPr>
            <w:tcW w:w="966" w:type="dxa"/>
          </w:tcPr>
          <w:p w14:paraId="56C6777B">
            <w:pPr>
              <w:spacing w:line="420" w:lineRule="exact"/>
              <w:ind w:firstLine="480"/>
              <w:jc w:val="center"/>
              <w:rPr>
                <w:color w:val="auto"/>
                <w:highlight w:val="none"/>
              </w:rPr>
            </w:pPr>
          </w:p>
        </w:tc>
        <w:tc>
          <w:tcPr>
            <w:tcW w:w="928" w:type="dxa"/>
          </w:tcPr>
          <w:p w14:paraId="5033584D">
            <w:pPr>
              <w:spacing w:line="420" w:lineRule="exact"/>
              <w:ind w:firstLine="480"/>
              <w:jc w:val="center"/>
              <w:rPr>
                <w:color w:val="auto"/>
                <w:highlight w:val="none"/>
              </w:rPr>
            </w:pPr>
          </w:p>
        </w:tc>
      </w:tr>
      <w:tr w14:paraId="3A73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77A8AFDA">
            <w:pPr>
              <w:spacing w:line="420" w:lineRule="exact"/>
              <w:ind w:firstLine="0" w:firstLineChars="0"/>
              <w:jc w:val="center"/>
              <w:rPr>
                <w:color w:val="auto"/>
                <w:highlight w:val="none"/>
              </w:rPr>
            </w:pPr>
            <w:r>
              <w:rPr>
                <w:rFonts w:hint="eastAsia"/>
                <w:color w:val="auto"/>
                <w:highlight w:val="none"/>
              </w:rPr>
              <w:t>2</w:t>
            </w:r>
          </w:p>
        </w:tc>
        <w:tc>
          <w:tcPr>
            <w:tcW w:w="1936" w:type="dxa"/>
          </w:tcPr>
          <w:p w14:paraId="5E27085B">
            <w:pPr>
              <w:spacing w:line="420" w:lineRule="exact"/>
              <w:ind w:firstLine="480"/>
              <w:jc w:val="center"/>
              <w:rPr>
                <w:color w:val="auto"/>
                <w:highlight w:val="none"/>
              </w:rPr>
            </w:pPr>
          </w:p>
        </w:tc>
        <w:tc>
          <w:tcPr>
            <w:tcW w:w="2141" w:type="dxa"/>
          </w:tcPr>
          <w:p w14:paraId="426DB42D">
            <w:pPr>
              <w:spacing w:line="420" w:lineRule="exact"/>
              <w:ind w:firstLine="480"/>
              <w:jc w:val="center"/>
              <w:rPr>
                <w:color w:val="auto"/>
                <w:highlight w:val="none"/>
              </w:rPr>
            </w:pPr>
          </w:p>
        </w:tc>
        <w:tc>
          <w:tcPr>
            <w:tcW w:w="1558" w:type="dxa"/>
          </w:tcPr>
          <w:p w14:paraId="7A38D86D">
            <w:pPr>
              <w:spacing w:line="420" w:lineRule="exact"/>
              <w:ind w:firstLine="480"/>
              <w:jc w:val="center"/>
              <w:rPr>
                <w:color w:val="auto"/>
                <w:highlight w:val="none"/>
              </w:rPr>
            </w:pPr>
          </w:p>
        </w:tc>
        <w:tc>
          <w:tcPr>
            <w:tcW w:w="873" w:type="dxa"/>
          </w:tcPr>
          <w:p w14:paraId="01EE4EBB">
            <w:pPr>
              <w:spacing w:line="420" w:lineRule="exact"/>
              <w:ind w:firstLine="480"/>
              <w:jc w:val="center"/>
              <w:rPr>
                <w:color w:val="auto"/>
                <w:highlight w:val="none"/>
              </w:rPr>
            </w:pPr>
          </w:p>
        </w:tc>
        <w:tc>
          <w:tcPr>
            <w:tcW w:w="898" w:type="dxa"/>
          </w:tcPr>
          <w:p w14:paraId="72E2C14A">
            <w:pPr>
              <w:spacing w:line="420" w:lineRule="exact"/>
              <w:ind w:firstLine="480"/>
              <w:jc w:val="center"/>
              <w:rPr>
                <w:color w:val="auto"/>
                <w:highlight w:val="none"/>
              </w:rPr>
            </w:pPr>
          </w:p>
        </w:tc>
        <w:tc>
          <w:tcPr>
            <w:tcW w:w="966" w:type="dxa"/>
          </w:tcPr>
          <w:p w14:paraId="75CA15AE">
            <w:pPr>
              <w:spacing w:line="420" w:lineRule="exact"/>
              <w:ind w:firstLine="480"/>
              <w:jc w:val="center"/>
              <w:rPr>
                <w:color w:val="auto"/>
                <w:highlight w:val="none"/>
              </w:rPr>
            </w:pPr>
          </w:p>
        </w:tc>
        <w:tc>
          <w:tcPr>
            <w:tcW w:w="928" w:type="dxa"/>
          </w:tcPr>
          <w:p w14:paraId="1AF5CDCB">
            <w:pPr>
              <w:spacing w:line="420" w:lineRule="exact"/>
              <w:ind w:firstLine="480"/>
              <w:jc w:val="center"/>
              <w:rPr>
                <w:color w:val="auto"/>
                <w:highlight w:val="none"/>
              </w:rPr>
            </w:pPr>
          </w:p>
        </w:tc>
      </w:tr>
      <w:tr w14:paraId="096F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357D3C4A">
            <w:pPr>
              <w:spacing w:line="420" w:lineRule="exact"/>
              <w:ind w:firstLine="0" w:firstLineChars="0"/>
              <w:jc w:val="center"/>
              <w:rPr>
                <w:color w:val="auto"/>
                <w:highlight w:val="none"/>
              </w:rPr>
            </w:pPr>
            <w:r>
              <w:rPr>
                <w:rFonts w:hint="eastAsia"/>
                <w:color w:val="auto"/>
                <w:highlight w:val="none"/>
              </w:rPr>
              <w:t>3</w:t>
            </w:r>
          </w:p>
        </w:tc>
        <w:tc>
          <w:tcPr>
            <w:tcW w:w="1936" w:type="dxa"/>
          </w:tcPr>
          <w:p w14:paraId="2026607D">
            <w:pPr>
              <w:spacing w:line="420" w:lineRule="exact"/>
              <w:ind w:firstLine="480"/>
              <w:jc w:val="center"/>
              <w:rPr>
                <w:color w:val="auto"/>
                <w:highlight w:val="none"/>
              </w:rPr>
            </w:pPr>
          </w:p>
        </w:tc>
        <w:tc>
          <w:tcPr>
            <w:tcW w:w="2141" w:type="dxa"/>
          </w:tcPr>
          <w:p w14:paraId="06E40344">
            <w:pPr>
              <w:spacing w:line="420" w:lineRule="exact"/>
              <w:ind w:firstLine="480"/>
              <w:jc w:val="center"/>
              <w:rPr>
                <w:color w:val="auto"/>
                <w:highlight w:val="none"/>
              </w:rPr>
            </w:pPr>
          </w:p>
        </w:tc>
        <w:tc>
          <w:tcPr>
            <w:tcW w:w="1558" w:type="dxa"/>
          </w:tcPr>
          <w:p w14:paraId="5C38DD0B">
            <w:pPr>
              <w:spacing w:line="420" w:lineRule="exact"/>
              <w:ind w:firstLine="480"/>
              <w:jc w:val="center"/>
              <w:rPr>
                <w:color w:val="auto"/>
                <w:highlight w:val="none"/>
              </w:rPr>
            </w:pPr>
          </w:p>
        </w:tc>
        <w:tc>
          <w:tcPr>
            <w:tcW w:w="873" w:type="dxa"/>
          </w:tcPr>
          <w:p w14:paraId="6D88E4AC">
            <w:pPr>
              <w:spacing w:line="420" w:lineRule="exact"/>
              <w:ind w:firstLine="480"/>
              <w:jc w:val="center"/>
              <w:rPr>
                <w:color w:val="auto"/>
                <w:highlight w:val="none"/>
              </w:rPr>
            </w:pPr>
          </w:p>
        </w:tc>
        <w:tc>
          <w:tcPr>
            <w:tcW w:w="898" w:type="dxa"/>
          </w:tcPr>
          <w:p w14:paraId="56CB3B82">
            <w:pPr>
              <w:spacing w:line="420" w:lineRule="exact"/>
              <w:ind w:firstLine="480"/>
              <w:jc w:val="center"/>
              <w:rPr>
                <w:color w:val="auto"/>
                <w:highlight w:val="none"/>
              </w:rPr>
            </w:pPr>
          </w:p>
        </w:tc>
        <w:tc>
          <w:tcPr>
            <w:tcW w:w="966" w:type="dxa"/>
          </w:tcPr>
          <w:p w14:paraId="33F4188B">
            <w:pPr>
              <w:spacing w:line="420" w:lineRule="exact"/>
              <w:ind w:firstLine="480"/>
              <w:jc w:val="center"/>
              <w:rPr>
                <w:color w:val="auto"/>
                <w:highlight w:val="none"/>
              </w:rPr>
            </w:pPr>
          </w:p>
        </w:tc>
        <w:tc>
          <w:tcPr>
            <w:tcW w:w="928" w:type="dxa"/>
          </w:tcPr>
          <w:p w14:paraId="0F35EF38">
            <w:pPr>
              <w:spacing w:line="420" w:lineRule="exact"/>
              <w:ind w:firstLine="480"/>
              <w:jc w:val="center"/>
              <w:rPr>
                <w:color w:val="auto"/>
                <w:highlight w:val="none"/>
              </w:rPr>
            </w:pPr>
          </w:p>
        </w:tc>
      </w:tr>
      <w:tr w14:paraId="39B1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7AF1B0CE">
            <w:pPr>
              <w:spacing w:line="420" w:lineRule="exact"/>
              <w:ind w:firstLine="0" w:firstLineChars="0"/>
              <w:jc w:val="center"/>
              <w:rPr>
                <w:color w:val="auto"/>
                <w:highlight w:val="none"/>
              </w:rPr>
            </w:pPr>
            <w:r>
              <w:rPr>
                <w:rFonts w:hint="eastAsia"/>
                <w:color w:val="auto"/>
                <w:highlight w:val="none"/>
              </w:rPr>
              <w:t>4</w:t>
            </w:r>
          </w:p>
        </w:tc>
        <w:tc>
          <w:tcPr>
            <w:tcW w:w="1936" w:type="dxa"/>
          </w:tcPr>
          <w:p w14:paraId="618961A8">
            <w:pPr>
              <w:spacing w:line="420" w:lineRule="exact"/>
              <w:ind w:firstLine="480"/>
              <w:jc w:val="center"/>
              <w:rPr>
                <w:color w:val="auto"/>
                <w:highlight w:val="none"/>
              </w:rPr>
            </w:pPr>
          </w:p>
        </w:tc>
        <w:tc>
          <w:tcPr>
            <w:tcW w:w="2141" w:type="dxa"/>
          </w:tcPr>
          <w:p w14:paraId="68567F65">
            <w:pPr>
              <w:spacing w:line="420" w:lineRule="exact"/>
              <w:ind w:firstLine="480"/>
              <w:jc w:val="center"/>
              <w:rPr>
                <w:color w:val="auto"/>
                <w:highlight w:val="none"/>
              </w:rPr>
            </w:pPr>
          </w:p>
        </w:tc>
        <w:tc>
          <w:tcPr>
            <w:tcW w:w="1558" w:type="dxa"/>
          </w:tcPr>
          <w:p w14:paraId="5B4F82CE">
            <w:pPr>
              <w:spacing w:line="420" w:lineRule="exact"/>
              <w:ind w:firstLine="480"/>
              <w:jc w:val="center"/>
              <w:rPr>
                <w:color w:val="auto"/>
                <w:highlight w:val="none"/>
              </w:rPr>
            </w:pPr>
          </w:p>
        </w:tc>
        <w:tc>
          <w:tcPr>
            <w:tcW w:w="873" w:type="dxa"/>
          </w:tcPr>
          <w:p w14:paraId="2C4FC25A">
            <w:pPr>
              <w:spacing w:line="420" w:lineRule="exact"/>
              <w:ind w:firstLine="480"/>
              <w:jc w:val="center"/>
              <w:rPr>
                <w:color w:val="auto"/>
                <w:highlight w:val="none"/>
              </w:rPr>
            </w:pPr>
          </w:p>
        </w:tc>
        <w:tc>
          <w:tcPr>
            <w:tcW w:w="898" w:type="dxa"/>
          </w:tcPr>
          <w:p w14:paraId="15F4353B">
            <w:pPr>
              <w:spacing w:line="420" w:lineRule="exact"/>
              <w:ind w:firstLine="480"/>
              <w:jc w:val="center"/>
              <w:rPr>
                <w:color w:val="auto"/>
                <w:highlight w:val="none"/>
              </w:rPr>
            </w:pPr>
          </w:p>
        </w:tc>
        <w:tc>
          <w:tcPr>
            <w:tcW w:w="966" w:type="dxa"/>
          </w:tcPr>
          <w:p w14:paraId="3F15B553">
            <w:pPr>
              <w:spacing w:line="420" w:lineRule="exact"/>
              <w:ind w:firstLine="480"/>
              <w:jc w:val="center"/>
              <w:rPr>
                <w:color w:val="auto"/>
                <w:highlight w:val="none"/>
              </w:rPr>
            </w:pPr>
          </w:p>
        </w:tc>
        <w:tc>
          <w:tcPr>
            <w:tcW w:w="928" w:type="dxa"/>
          </w:tcPr>
          <w:p w14:paraId="7C674EE9">
            <w:pPr>
              <w:spacing w:line="420" w:lineRule="exact"/>
              <w:ind w:firstLine="480"/>
              <w:jc w:val="center"/>
              <w:rPr>
                <w:color w:val="auto"/>
                <w:highlight w:val="none"/>
              </w:rPr>
            </w:pPr>
          </w:p>
        </w:tc>
      </w:tr>
      <w:tr w14:paraId="52D8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026B37ED">
            <w:pPr>
              <w:spacing w:line="420" w:lineRule="exact"/>
              <w:ind w:firstLine="0" w:firstLineChars="0"/>
              <w:jc w:val="center"/>
              <w:rPr>
                <w:color w:val="auto"/>
                <w:highlight w:val="none"/>
              </w:rPr>
            </w:pPr>
            <w:r>
              <w:rPr>
                <w:rFonts w:hint="eastAsia"/>
                <w:color w:val="auto"/>
                <w:highlight w:val="none"/>
              </w:rPr>
              <w:t>5</w:t>
            </w:r>
          </w:p>
        </w:tc>
        <w:tc>
          <w:tcPr>
            <w:tcW w:w="1936" w:type="dxa"/>
          </w:tcPr>
          <w:p w14:paraId="4D759E62">
            <w:pPr>
              <w:spacing w:line="420" w:lineRule="exact"/>
              <w:ind w:firstLine="480"/>
              <w:jc w:val="center"/>
              <w:rPr>
                <w:color w:val="auto"/>
                <w:highlight w:val="none"/>
              </w:rPr>
            </w:pPr>
          </w:p>
        </w:tc>
        <w:tc>
          <w:tcPr>
            <w:tcW w:w="2141" w:type="dxa"/>
          </w:tcPr>
          <w:p w14:paraId="0F8F6BBB">
            <w:pPr>
              <w:spacing w:line="420" w:lineRule="exact"/>
              <w:ind w:firstLine="480"/>
              <w:jc w:val="center"/>
              <w:rPr>
                <w:color w:val="auto"/>
                <w:highlight w:val="none"/>
              </w:rPr>
            </w:pPr>
          </w:p>
        </w:tc>
        <w:tc>
          <w:tcPr>
            <w:tcW w:w="1558" w:type="dxa"/>
          </w:tcPr>
          <w:p w14:paraId="23BC98DB">
            <w:pPr>
              <w:spacing w:line="420" w:lineRule="exact"/>
              <w:ind w:firstLine="480"/>
              <w:jc w:val="center"/>
              <w:rPr>
                <w:color w:val="auto"/>
                <w:highlight w:val="none"/>
              </w:rPr>
            </w:pPr>
          </w:p>
        </w:tc>
        <w:tc>
          <w:tcPr>
            <w:tcW w:w="873" w:type="dxa"/>
          </w:tcPr>
          <w:p w14:paraId="480FF754">
            <w:pPr>
              <w:spacing w:line="420" w:lineRule="exact"/>
              <w:ind w:firstLine="480"/>
              <w:jc w:val="center"/>
              <w:rPr>
                <w:color w:val="auto"/>
                <w:highlight w:val="none"/>
              </w:rPr>
            </w:pPr>
          </w:p>
        </w:tc>
        <w:tc>
          <w:tcPr>
            <w:tcW w:w="898" w:type="dxa"/>
          </w:tcPr>
          <w:p w14:paraId="0530E6BF">
            <w:pPr>
              <w:spacing w:line="420" w:lineRule="exact"/>
              <w:ind w:firstLine="480"/>
              <w:jc w:val="center"/>
              <w:rPr>
                <w:color w:val="auto"/>
                <w:highlight w:val="none"/>
              </w:rPr>
            </w:pPr>
          </w:p>
        </w:tc>
        <w:tc>
          <w:tcPr>
            <w:tcW w:w="966" w:type="dxa"/>
          </w:tcPr>
          <w:p w14:paraId="1B1A562E">
            <w:pPr>
              <w:spacing w:line="420" w:lineRule="exact"/>
              <w:ind w:firstLine="480"/>
              <w:jc w:val="center"/>
              <w:rPr>
                <w:color w:val="auto"/>
                <w:highlight w:val="none"/>
              </w:rPr>
            </w:pPr>
          </w:p>
        </w:tc>
        <w:tc>
          <w:tcPr>
            <w:tcW w:w="928" w:type="dxa"/>
          </w:tcPr>
          <w:p w14:paraId="3D8A455E">
            <w:pPr>
              <w:spacing w:line="420" w:lineRule="exact"/>
              <w:ind w:firstLine="480"/>
              <w:jc w:val="center"/>
              <w:rPr>
                <w:color w:val="auto"/>
                <w:highlight w:val="none"/>
              </w:rPr>
            </w:pPr>
          </w:p>
        </w:tc>
      </w:tr>
      <w:tr w14:paraId="49D4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14:paraId="128D6FD6">
            <w:pPr>
              <w:spacing w:line="420" w:lineRule="exact"/>
              <w:ind w:firstLine="0" w:firstLineChars="0"/>
              <w:jc w:val="center"/>
              <w:rPr>
                <w:color w:val="auto"/>
                <w:highlight w:val="none"/>
              </w:rPr>
            </w:pPr>
            <w:r>
              <w:rPr>
                <w:rFonts w:hint="eastAsia"/>
                <w:color w:val="auto"/>
                <w:highlight w:val="none"/>
              </w:rPr>
              <w:t>...</w:t>
            </w:r>
          </w:p>
        </w:tc>
        <w:tc>
          <w:tcPr>
            <w:tcW w:w="1936" w:type="dxa"/>
          </w:tcPr>
          <w:p w14:paraId="26BCF845">
            <w:pPr>
              <w:spacing w:line="420" w:lineRule="exact"/>
              <w:ind w:firstLine="480"/>
              <w:jc w:val="center"/>
              <w:rPr>
                <w:color w:val="auto"/>
                <w:highlight w:val="none"/>
              </w:rPr>
            </w:pPr>
          </w:p>
        </w:tc>
        <w:tc>
          <w:tcPr>
            <w:tcW w:w="2141" w:type="dxa"/>
          </w:tcPr>
          <w:p w14:paraId="6FE11927">
            <w:pPr>
              <w:spacing w:line="420" w:lineRule="exact"/>
              <w:ind w:firstLine="480"/>
              <w:jc w:val="center"/>
              <w:rPr>
                <w:color w:val="auto"/>
                <w:highlight w:val="none"/>
              </w:rPr>
            </w:pPr>
          </w:p>
        </w:tc>
        <w:tc>
          <w:tcPr>
            <w:tcW w:w="1558" w:type="dxa"/>
          </w:tcPr>
          <w:p w14:paraId="0E81C9B9">
            <w:pPr>
              <w:spacing w:line="420" w:lineRule="exact"/>
              <w:ind w:firstLine="480"/>
              <w:jc w:val="center"/>
              <w:rPr>
                <w:color w:val="auto"/>
                <w:highlight w:val="none"/>
              </w:rPr>
            </w:pPr>
          </w:p>
        </w:tc>
        <w:tc>
          <w:tcPr>
            <w:tcW w:w="873" w:type="dxa"/>
          </w:tcPr>
          <w:p w14:paraId="4549060B">
            <w:pPr>
              <w:spacing w:line="420" w:lineRule="exact"/>
              <w:ind w:firstLine="480"/>
              <w:jc w:val="center"/>
              <w:rPr>
                <w:color w:val="auto"/>
                <w:highlight w:val="none"/>
              </w:rPr>
            </w:pPr>
          </w:p>
        </w:tc>
        <w:tc>
          <w:tcPr>
            <w:tcW w:w="898" w:type="dxa"/>
          </w:tcPr>
          <w:p w14:paraId="5956205F">
            <w:pPr>
              <w:spacing w:line="420" w:lineRule="exact"/>
              <w:ind w:firstLine="480"/>
              <w:jc w:val="center"/>
              <w:rPr>
                <w:color w:val="auto"/>
                <w:highlight w:val="none"/>
              </w:rPr>
            </w:pPr>
          </w:p>
        </w:tc>
        <w:tc>
          <w:tcPr>
            <w:tcW w:w="966" w:type="dxa"/>
          </w:tcPr>
          <w:p w14:paraId="5D33FE7B">
            <w:pPr>
              <w:spacing w:line="420" w:lineRule="exact"/>
              <w:ind w:firstLine="480"/>
              <w:jc w:val="center"/>
              <w:rPr>
                <w:color w:val="auto"/>
                <w:highlight w:val="none"/>
              </w:rPr>
            </w:pPr>
          </w:p>
        </w:tc>
        <w:tc>
          <w:tcPr>
            <w:tcW w:w="928" w:type="dxa"/>
          </w:tcPr>
          <w:p w14:paraId="68E61D64">
            <w:pPr>
              <w:spacing w:line="420" w:lineRule="exact"/>
              <w:ind w:firstLine="480"/>
              <w:jc w:val="center"/>
              <w:rPr>
                <w:color w:val="auto"/>
                <w:highlight w:val="none"/>
              </w:rPr>
            </w:pPr>
          </w:p>
        </w:tc>
      </w:tr>
      <w:tr w14:paraId="45A9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064" w:type="dxa"/>
            <w:gridSpan w:val="8"/>
          </w:tcPr>
          <w:p w14:paraId="5E985ED8">
            <w:pPr>
              <w:spacing w:line="420" w:lineRule="exact"/>
              <w:ind w:left="0" w:leftChars="0" w:firstLine="0" w:firstLineChars="0"/>
              <w:jc w:val="both"/>
              <w:rPr>
                <w:rFonts w:hint="eastAsia" w:eastAsia="宋体"/>
                <w:color w:val="auto"/>
                <w:highlight w:val="none"/>
                <w:lang w:eastAsia="zh-CN"/>
              </w:rPr>
            </w:pPr>
            <w:r>
              <w:rPr>
                <w:rFonts w:hint="eastAsia"/>
                <w:b/>
                <w:bCs/>
                <w:color w:val="auto"/>
                <w:highlight w:val="none"/>
                <w:lang w:eastAsia="zh-CN"/>
              </w:rPr>
              <w:t>总报价：</w:t>
            </w:r>
          </w:p>
        </w:tc>
      </w:tr>
    </w:tbl>
    <w:p w14:paraId="0BEFD463">
      <w:pPr>
        <w:pStyle w:val="20"/>
        <w:snapToGrid w:val="0"/>
        <w:spacing w:line="360" w:lineRule="auto"/>
        <w:rPr>
          <w:b/>
          <w:bCs/>
          <w:color w:val="auto"/>
          <w:highlight w:val="none"/>
        </w:rPr>
      </w:pPr>
      <w:r>
        <w:rPr>
          <w:rFonts w:hint="eastAsia"/>
          <w:b/>
          <w:bCs/>
          <w:color w:val="auto"/>
          <w:szCs w:val="21"/>
          <w:highlight w:val="none"/>
        </w:rPr>
        <w:t xml:space="preserve">                                       </w:t>
      </w:r>
    </w:p>
    <w:p w14:paraId="10EB14AD">
      <w:pPr>
        <w:spacing w:line="460" w:lineRule="exact"/>
        <w:ind w:firstLine="0" w:firstLineChars="0"/>
        <w:rPr>
          <w:b/>
          <w:bCs/>
          <w:color w:val="auto"/>
          <w:sz w:val="21"/>
          <w:szCs w:val="21"/>
          <w:highlight w:val="none"/>
        </w:rPr>
      </w:pPr>
    </w:p>
    <w:p w14:paraId="731032A7">
      <w:pPr>
        <w:pStyle w:val="42"/>
        <w:ind w:firstLine="0" w:firstLineChars="0"/>
        <w:jc w:val="center"/>
        <w:rPr>
          <w:rFonts w:hint="eastAsia" w:eastAsia="宋体"/>
          <w:color w:val="auto"/>
          <w:highlight w:val="none"/>
          <w:lang w:eastAsia="zh-CN"/>
        </w:rPr>
      </w:pPr>
      <w:r>
        <w:rPr>
          <w:rFonts w:hint="eastAsia" w:ascii="宋体" w:hAnsi="宋体" w:cs="宋体"/>
          <w:b/>
          <w:bCs/>
          <w:color w:val="auto"/>
          <w:highlight w:val="none"/>
        </w:rPr>
        <w:t>报价明细</w:t>
      </w:r>
      <w:r>
        <w:rPr>
          <w:rFonts w:hint="eastAsia" w:ascii="宋体" w:hAnsi="宋体" w:cs="宋体"/>
          <w:b/>
          <w:bCs/>
          <w:color w:val="auto"/>
          <w:highlight w:val="none"/>
          <w:lang w:eastAsia="zh-CN"/>
        </w:rPr>
        <w:t>表</w:t>
      </w:r>
      <w:r>
        <w:rPr>
          <w:rFonts w:hint="eastAsia" w:ascii="宋体" w:hAnsi="宋体" w:cs="宋体"/>
          <w:b/>
          <w:bCs/>
          <w:color w:val="auto"/>
          <w:highlight w:val="none"/>
        </w:rPr>
        <w:t>内容须严格按照“第二章-采购需求-采购内容清单”</w:t>
      </w:r>
      <w:r>
        <w:rPr>
          <w:rFonts w:hint="eastAsia" w:ascii="宋体" w:hAnsi="宋体" w:cs="宋体"/>
          <w:b/>
          <w:bCs/>
          <w:color w:val="auto"/>
          <w:highlight w:val="none"/>
          <w:lang w:eastAsia="zh-CN"/>
        </w:rPr>
        <w:t>逐一对应</w:t>
      </w:r>
      <w:r>
        <w:rPr>
          <w:rFonts w:hint="eastAsia" w:ascii="宋体" w:hAnsi="宋体" w:cs="宋体"/>
          <w:b/>
          <w:bCs/>
          <w:color w:val="auto"/>
          <w:highlight w:val="none"/>
        </w:rPr>
        <w:t>填写</w:t>
      </w:r>
      <w:r>
        <w:rPr>
          <w:rFonts w:hint="eastAsia" w:ascii="宋体" w:hAnsi="宋体" w:cs="宋体"/>
          <w:b/>
          <w:bCs/>
          <w:color w:val="auto"/>
          <w:highlight w:val="none"/>
          <w:lang w:eastAsia="zh-CN"/>
        </w:rPr>
        <w:t>。</w:t>
      </w:r>
    </w:p>
    <w:p w14:paraId="40D3F2B1">
      <w:pPr>
        <w:spacing w:line="460" w:lineRule="exact"/>
        <w:ind w:firstLine="0" w:firstLineChars="0"/>
        <w:rPr>
          <w:b/>
          <w:bCs/>
          <w:color w:val="auto"/>
          <w:sz w:val="21"/>
          <w:szCs w:val="21"/>
          <w:highlight w:val="none"/>
        </w:rPr>
      </w:pPr>
    </w:p>
    <w:p w14:paraId="75E91262">
      <w:pPr>
        <w:ind w:firstLine="0" w:firstLineChars="0"/>
        <w:rPr>
          <w:rFonts w:cs="宋体"/>
          <w:color w:val="auto"/>
          <w:highlight w:val="none"/>
        </w:rPr>
      </w:pPr>
    </w:p>
    <w:p w14:paraId="2277EE5B">
      <w:pPr>
        <w:ind w:firstLine="0" w:firstLineChars="0"/>
        <w:rPr>
          <w:rFonts w:cs="宋体"/>
          <w:color w:val="auto"/>
          <w:highlight w:val="none"/>
        </w:rPr>
      </w:pPr>
    </w:p>
    <w:p w14:paraId="570EA542">
      <w:pPr>
        <w:pStyle w:val="42"/>
        <w:ind w:firstLine="480"/>
        <w:rPr>
          <w:color w:val="auto"/>
          <w:highlight w:val="none"/>
        </w:rPr>
      </w:pPr>
    </w:p>
    <w:p w14:paraId="49570A09">
      <w:pPr>
        <w:spacing w:line="480" w:lineRule="auto"/>
        <w:ind w:firstLine="0" w:firstLineChars="0"/>
        <w:rPr>
          <w:rFonts w:cs="宋体"/>
          <w:color w:val="auto"/>
          <w:highlight w:val="none"/>
        </w:rPr>
      </w:pPr>
      <w:r>
        <w:rPr>
          <w:rFonts w:hint="eastAsia" w:cs="宋体"/>
          <w:color w:val="auto"/>
          <w:highlight w:val="none"/>
        </w:rPr>
        <w:t>投标人名称（盖章）：</w:t>
      </w:r>
    </w:p>
    <w:p w14:paraId="07BBB67C">
      <w:pPr>
        <w:spacing w:line="480" w:lineRule="auto"/>
        <w:ind w:firstLine="0" w:firstLineChars="0"/>
        <w:rPr>
          <w:rFonts w:cs="宋体"/>
          <w:color w:val="auto"/>
          <w:highlight w:val="none"/>
        </w:rPr>
      </w:pPr>
      <w:r>
        <w:rPr>
          <w:rFonts w:hint="eastAsia" w:cs="宋体"/>
          <w:color w:val="auto"/>
          <w:highlight w:val="none"/>
        </w:rPr>
        <w:t>法定代表人或其授权代表（签字或盖章）：</w:t>
      </w:r>
    </w:p>
    <w:p w14:paraId="79CA78EC">
      <w:pPr>
        <w:spacing w:line="480" w:lineRule="auto"/>
        <w:ind w:firstLine="0" w:firstLineChars="0"/>
        <w:rPr>
          <w:rFonts w:cs="宋体"/>
          <w:color w:val="auto"/>
          <w:highlight w:val="none"/>
        </w:rPr>
      </w:pPr>
      <w:r>
        <w:rPr>
          <w:rFonts w:hint="eastAsia" w:cs="宋体"/>
          <w:color w:val="auto"/>
          <w:highlight w:val="none"/>
        </w:rPr>
        <w:t>日期：    年   月   日</w:t>
      </w:r>
    </w:p>
    <w:p w14:paraId="33025423">
      <w:pPr>
        <w:ind w:firstLine="480"/>
        <w:rPr>
          <w:rFonts w:cs="宋体"/>
          <w:color w:val="auto"/>
          <w:highlight w:val="none"/>
        </w:rPr>
      </w:pPr>
    </w:p>
    <w:p w14:paraId="702F0F1B">
      <w:pPr>
        <w:ind w:firstLine="480"/>
        <w:rPr>
          <w:color w:val="auto"/>
          <w:highlight w:val="none"/>
        </w:rPr>
        <w:sectPr>
          <w:pgSz w:w="11906" w:h="16838"/>
          <w:pgMar w:top="1440" w:right="1080" w:bottom="1440" w:left="1080" w:header="851" w:footer="851" w:gutter="0"/>
          <w:pgNumType w:fmt="decimal"/>
          <w:cols w:space="720" w:num="1"/>
          <w:docGrid w:linePitch="312" w:charSpace="0"/>
        </w:sectPr>
      </w:pPr>
    </w:p>
    <w:p w14:paraId="4F002DAE">
      <w:pPr>
        <w:pStyle w:val="4"/>
        <w:rPr>
          <w:rFonts w:hint="eastAsia" w:cs="宋体"/>
          <w:color w:val="auto"/>
          <w:szCs w:val="24"/>
          <w:highlight w:val="none"/>
          <w:lang w:eastAsia="zh-CN"/>
        </w:rPr>
      </w:pPr>
      <w:bookmarkStart w:id="115" w:name="_Toc31529"/>
      <w:r>
        <w:rPr>
          <w:rFonts w:hint="eastAsia" w:cs="宋体"/>
          <w:color w:val="auto"/>
          <w:szCs w:val="24"/>
          <w:highlight w:val="none"/>
          <w:lang w:eastAsia="zh-CN"/>
        </w:rPr>
        <w:t>附件八</w:t>
      </w:r>
    </w:p>
    <w:p w14:paraId="1519BF19">
      <w:pPr>
        <w:pStyle w:val="214"/>
        <w:spacing w:line="480" w:lineRule="auto"/>
        <w:ind w:left="0" w:leftChars="0" w:firstLine="0" w:firstLineChars="0"/>
        <w:jc w:val="center"/>
        <w:rPr>
          <w:rFonts w:hint="eastAsia" w:ascii="宋体" w:hAnsi="宋体" w:eastAsia="宋体" w:cs="宋体"/>
          <w:b/>
          <w:bCs/>
          <w:color w:val="auto"/>
          <w:sz w:val="32"/>
          <w:szCs w:val="32"/>
        </w:rPr>
      </w:pPr>
      <w:r>
        <w:rPr>
          <w:rFonts w:hint="eastAsia"/>
          <w:lang w:eastAsia="zh-CN"/>
        </w:rPr>
        <w:tab/>
      </w:r>
      <w:r>
        <w:rPr>
          <w:rFonts w:hint="eastAsia" w:ascii="宋体" w:hAnsi="宋体" w:eastAsia="宋体" w:cs="宋体"/>
          <w:b/>
          <w:bCs/>
          <w:color w:val="auto"/>
          <w:sz w:val="28"/>
          <w:szCs w:val="28"/>
        </w:rPr>
        <w:t>缴纳采购代理服务费承诺书</w:t>
      </w:r>
    </w:p>
    <w:p w14:paraId="4F3EE03C">
      <w:pPr>
        <w:spacing w:line="48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浙江</w:t>
      </w:r>
      <w:r>
        <w:rPr>
          <w:rFonts w:hint="eastAsia" w:ascii="宋体" w:hAnsi="宋体" w:eastAsia="宋体" w:cs="宋体"/>
          <w:color w:val="auto"/>
          <w:sz w:val="24"/>
          <w:szCs w:val="24"/>
          <w:u w:val="single"/>
          <w:lang w:val="en-US" w:eastAsia="zh-CN"/>
        </w:rPr>
        <w:t>致信招标代理</w:t>
      </w:r>
      <w:r>
        <w:rPr>
          <w:rFonts w:hint="eastAsia" w:ascii="宋体" w:hAnsi="宋体" w:eastAsia="宋体" w:cs="宋体"/>
          <w:color w:val="auto"/>
          <w:sz w:val="24"/>
          <w:szCs w:val="24"/>
          <w:u w:val="single"/>
          <w:lang w:eastAsia="zh-CN"/>
        </w:rPr>
        <w:t>有限公司</w:t>
      </w:r>
      <w:r>
        <w:rPr>
          <w:rFonts w:hint="eastAsia" w:ascii="宋体" w:hAnsi="宋体" w:eastAsia="宋体" w:cs="宋体"/>
          <w:color w:val="auto"/>
          <w:sz w:val="24"/>
          <w:szCs w:val="24"/>
        </w:rPr>
        <w:t>：</w:t>
      </w:r>
    </w:p>
    <w:p w14:paraId="7FF30F28">
      <w:pPr>
        <w:spacing w:line="48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中标后，按采购文件</w:t>
      </w:r>
      <w:r>
        <w:rPr>
          <w:rFonts w:hint="eastAsia" w:ascii="宋体" w:hAnsi="宋体" w:eastAsia="宋体" w:cs="宋体"/>
          <w:b/>
          <w:color w:val="auto"/>
          <w:sz w:val="24"/>
          <w:szCs w:val="24"/>
        </w:rPr>
        <w:t>“响应</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w:t>
      </w:r>
      <w:r>
        <w:rPr>
          <w:rFonts w:hint="eastAsia" w:ascii="宋体" w:hAnsi="宋体" w:eastAsia="宋体" w:cs="宋体"/>
          <w:sz w:val="24"/>
          <w:szCs w:val="24"/>
          <w:lang w:val="en-US" w:eastAsia="zh-CN"/>
        </w:rPr>
        <w:t>采购代理服务费缴纳标准及方式</w:t>
      </w:r>
      <w:r>
        <w:rPr>
          <w:rFonts w:hint="eastAsia" w:ascii="宋体" w:hAnsi="宋体" w:eastAsia="宋体" w:cs="宋体"/>
          <w:color w:val="auto"/>
          <w:sz w:val="24"/>
          <w:szCs w:val="24"/>
        </w:rPr>
        <w:t>，向你公司支付采购代理服务费。</w:t>
      </w:r>
    </w:p>
    <w:p w14:paraId="367ED477">
      <w:pPr>
        <w:spacing w:line="48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未能按时缴纳采购代理服务费将被视为放弃中标资格，</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我方自行承担。我方承诺，本承诺书一旦签署，即具有法律效力，我方将严格按照承诺书的内容执行</w:t>
      </w:r>
      <w:r>
        <w:rPr>
          <w:rFonts w:hint="eastAsia" w:ascii="宋体" w:hAnsi="宋体" w:eastAsia="宋体" w:cs="宋体"/>
          <w:color w:val="auto"/>
          <w:sz w:val="24"/>
          <w:szCs w:val="24"/>
        </w:rPr>
        <w:t>。</w:t>
      </w:r>
    </w:p>
    <w:p w14:paraId="5F861C24">
      <w:pPr>
        <w:pStyle w:val="214"/>
        <w:spacing w:line="360" w:lineRule="auto"/>
        <w:ind w:firstLine="440"/>
        <w:rPr>
          <w:rFonts w:hint="eastAsia" w:ascii="宋体" w:hAnsi="宋体" w:eastAsia="宋体" w:cs="宋体"/>
          <w:color w:val="auto"/>
          <w:sz w:val="30"/>
          <w:szCs w:val="30"/>
        </w:rPr>
      </w:pPr>
    </w:p>
    <w:p w14:paraId="5E83CE28">
      <w:pPr>
        <w:pStyle w:val="21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494C77E4">
      <w:pPr>
        <w:pStyle w:val="20"/>
        <w:snapToGrid w:val="0"/>
        <w:spacing w:line="360" w:lineRule="auto"/>
      </w:pPr>
    </w:p>
    <w:p w14:paraId="062FC9A9">
      <w:pPr>
        <w:ind w:firstLine="480"/>
      </w:pPr>
    </w:p>
    <w:p w14:paraId="669C68C3">
      <w:pPr>
        <w:spacing w:line="480" w:lineRule="auto"/>
        <w:ind w:firstLine="0" w:firstLineChars="0"/>
        <w:rPr>
          <w:rFonts w:cs="宋体"/>
        </w:rPr>
      </w:pPr>
    </w:p>
    <w:p w14:paraId="5E437AA9">
      <w:pPr>
        <w:spacing w:line="480" w:lineRule="auto"/>
        <w:ind w:firstLine="0" w:firstLineChars="0"/>
        <w:rPr>
          <w:rFonts w:cs="宋体"/>
        </w:rPr>
      </w:pPr>
      <w:r>
        <w:rPr>
          <w:rFonts w:hint="eastAsia" w:cs="宋体"/>
        </w:rPr>
        <w:t>投标人名称（公章）：</w:t>
      </w:r>
    </w:p>
    <w:p w14:paraId="7EBA5F17">
      <w:pPr>
        <w:spacing w:line="480" w:lineRule="auto"/>
        <w:ind w:firstLine="0" w:firstLineChars="0"/>
        <w:rPr>
          <w:rFonts w:cs="宋体"/>
        </w:rPr>
      </w:pPr>
      <w:r>
        <w:rPr>
          <w:rFonts w:hint="eastAsia" w:cs="宋体"/>
        </w:rPr>
        <w:t>法定代表人或其授权代表（签字）：</w:t>
      </w:r>
    </w:p>
    <w:p w14:paraId="20EBD2E3">
      <w:pPr>
        <w:tabs>
          <w:tab w:val="left" w:pos="462"/>
        </w:tabs>
        <w:bidi w:val="0"/>
        <w:ind w:left="0" w:leftChars="0" w:firstLine="0" w:firstLineChars="0"/>
        <w:jc w:val="left"/>
        <w:rPr>
          <w:rFonts w:hint="eastAsia"/>
          <w:lang w:eastAsia="zh-CN"/>
        </w:rPr>
        <w:sectPr>
          <w:headerReference r:id="rId25" w:type="default"/>
          <w:pgSz w:w="11907" w:h="16840"/>
          <w:pgMar w:top="1440" w:right="1080" w:bottom="1440" w:left="1080" w:header="720" w:footer="720" w:gutter="0"/>
          <w:pgNumType w:fmt="decimal"/>
          <w:cols w:space="720" w:num="1"/>
          <w:docGrid w:linePitch="286" w:charSpace="0"/>
        </w:sectPr>
      </w:pPr>
      <w:r>
        <w:rPr>
          <w:rFonts w:hint="eastAsia" w:cs="宋体"/>
        </w:rPr>
        <w:t>日期：  年   月   日</w:t>
      </w:r>
    </w:p>
    <w:p w14:paraId="7648188C">
      <w:pPr>
        <w:pStyle w:val="4"/>
        <w:rPr>
          <w:rFonts w:cs="宋体"/>
          <w:color w:val="auto"/>
          <w:szCs w:val="24"/>
          <w:highlight w:val="none"/>
        </w:rPr>
      </w:pPr>
      <w:r>
        <w:rPr>
          <w:rFonts w:hint="eastAsia"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5203190</wp:posOffset>
                </wp:positionH>
                <wp:positionV relativeFrom="paragraph">
                  <wp:posOffset>635</wp:posOffset>
                </wp:positionV>
                <wp:extent cx="977265" cy="273685"/>
                <wp:effectExtent l="4445" t="4445" r="8890" b="7620"/>
                <wp:wrapNone/>
                <wp:docPr id="3" name="文本框 2"/>
                <wp:cNvGraphicFramePr/>
                <a:graphic xmlns:a="http://schemas.openxmlformats.org/drawingml/2006/main">
                  <a:graphicData uri="http://schemas.microsoft.com/office/word/2010/wordprocessingShape">
                    <wps:wsp>
                      <wps:cNvSpPr txBox="1"/>
                      <wps:spPr>
                        <a:xfrm>
                          <a:off x="0" y="0"/>
                          <a:ext cx="977265" cy="273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C77AAC">
                            <w:pPr>
                              <w:ind w:firstLine="0" w:firstLineChars="0"/>
                              <w:rPr>
                                <w:b/>
                                <w:bCs/>
                              </w:rPr>
                            </w:pPr>
                            <w:r>
                              <w:rPr>
                                <w:rFonts w:hint="eastAsia"/>
                                <w:b/>
                                <w:bCs/>
                              </w:rPr>
                              <w:t>正本（</w:t>
                            </w:r>
                            <w:r>
                              <w:rPr>
                                <w:b/>
                                <w:bCs/>
                              </w:rPr>
                              <w:t>副本）</w:t>
                            </w:r>
                          </w:p>
                        </w:txbxContent>
                      </wps:txbx>
                      <wps:bodyPr vert="horz" wrap="square" anchor="t" anchorCtr="0" upright="1"/>
                    </wps:wsp>
                  </a:graphicData>
                </a:graphic>
              </wp:anchor>
            </w:drawing>
          </mc:Choice>
          <mc:Fallback>
            <w:pict>
              <v:shape id="文本框 2" o:spid="_x0000_s1026" o:spt="202" type="#_x0000_t202" style="position:absolute;left:0pt;margin-left:409.7pt;margin-top:0.05pt;height:21.55pt;width:76.95pt;z-index:251666432;mso-width-relative:page;mso-height-relative:page;" fillcolor="#FFFFFF" filled="t" stroked="t" coordsize="21600,21600" o:gfxdata="UEsDBAoAAAAAAIdO4kAAAAAAAAAAAAAAAAAEAAAAZHJzL1BLAwQUAAAACACHTuJAcR8G+dUAAAAH&#10;AQAADwAAAGRycy9kb3ducmV2LnhtbE2OMU/DMBBGdyT+g3VILKh10kRtE+J0QALBBgWV1Y2vSUR8&#10;Drabln/PdYLx9D69e9XmbAcxoQ+9IwXpPAGB1DjTU6vg4/1xtgYRoiajB0eo4AcDbOrrq0qXxp3o&#10;DadtbAVLKJRaQRfjWEoZmg6tDnM3IjE7OG915NO30nh9Yrkd5CJJltLqnvhDp0d86LD52h6tgnX+&#10;PH2Gl+x11ywPQxHvVtPTt1fq9iZN7kFEPMe/MVzyOR1qbtq7I5kgBnakRc7TCxCMi1WWgdgryLMF&#10;yLqS//vrX1BLAwQUAAAACACHTuJA14MQzi4CAAB2BAAADgAAAGRycy9lMm9Eb2MueG1srVTNjtMw&#10;EL4j8Q6W7zTdrNouUdOV2FIuCJAWHmDqOIkl/2G7TcoDwBtw4sKd5+pzMHaypbtw6AEfnPF4/M3M&#10;NzNZ3vZKkj13Xhhd0qvJlBKumamEbkr66ePmxQ0lPoCuQBrNS3rgnt6unj9bdrbguWmNrLgjCKJ9&#10;0dmStiHYIss8a7kCPzGWa7ysjVMQ8OiarHLQIbqSWT6dzrPOuMo6w7j3qF0Pl3REdJcAmroWjK8N&#10;2ymuw4DquISAKflWWE9XKdq65iy8r2vPA5ElxUxD2tEJytu4Z6slFI0D2wo2hgCXhPAkJwVCo9MT&#10;1BoCkJ0Tf0EpwZzxpg4TZlQ2JJIYwSyupk+4uW/B8pQLUu3tiXT//2DZu/0HR0RV0mtKNCgs+PH7&#10;t+OPX8efX0ke6emsL9Dq3qJd6F+ZHpvmQe9RGbPua6fiF/MheI/kHk7k8j4QhsqXi0U+n1HC8Cpf&#10;XM9vZhEl+/PYOh/ecKNIFErqsHaJUti/9WEwfTCJvryRotoIKdPBNds76cgesM6btEb0R2ZSkw4j&#10;meUxDsDmrbFpUFQWCfC6Sf4evfDnwNO0/gUcA1uDb4cAEkI0g0KJwF2SWg7Va12RcLBIssbZojEY&#10;xStKJMdRjFKyDCDkJZbIndTRCU+NPrIU6zXUJUqh3/YIGsWtqQ5YQxx9ZLc17gv6x8bHxD/vwGE0&#10;oBmqS4qMDOJdGCZlZ51oWnyVCp9FMGzHVLxxdGK/n59RPv9d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R8G+dUAAAAHAQAADwAAAAAAAAABACAAAAAiAAAAZHJzL2Rvd25yZXYueG1sUEsBAhQA&#10;FAAAAAgAh07iQNeDEM4uAgAAdgQAAA4AAAAAAAAAAQAgAAAAJAEAAGRycy9lMm9Eb2MueG1sUEsF&#10;BgAAAAAGAAYAWQEAAMQFAAAAAA==&#10;">
                <v:fill on="t" focussize="0,0"/>
                <v:stroke color="#000000" joinstyle="miter"/>
                <v:imagedata o:title=""/>
                <o:lock v:ext="edit" aspectratio="f"/>
                <v:textbox>
                  <w:txbxContent>
                    <w:p w14:paraId="1EC77AAC">
                      <w:pPr>
                        <w:ind w:firstLine="0" w:firstLineChars="0"/>
                        <w:rPr>
                          <w:b/>
                          <w:bCs/>
                        </w:rPr>
                      </w:pPr>
                      <w:r>
                        <w:rPr>
                          <w:rFonts w:hint="eastAsia"/>
                          <w:b/>
                          <w:bCs/>
                        </w:rPr>
                        <w:t>正本（</w:t>
                      </w:r>
                      <w:r>
                        <w:rPr>
                          <w:b/>
                          <w:bCs/>
                        </w:rPr>
                        <w:t>副本）</w:t>
                      </w:r>
                    </w:p>
                  </w:txbxContent>
                </v:textbox>
              </v:shape>
            </w:pict>
          </mc:Fallback>
        </mc:AlternateContent>
      </w:r>
      <w:r>
        <w:rPr>
          <w:rFonts w:hint="eastAsia" w:cs="宋体"/>
          <w:color w:val="auto"/>
          <w:szCs w:val="24"/>
          <w:highlight w:val="none"/>
        </w:rPr>
        <w:t>商务技术文件封面</w:t>
      </w:r>
      <w:bookmarkEnd w:id="115"/>
    </w:p>
    <w:p w14:paraId="64A2A68E">
      <w:pPr>
        <w:ind w:firstLine="482"/>
        <w:jc w:val="center"/>
        <w:rPr>
          <w:rFonts w:cs="宋体"/>
          <w:color w:val="auto"/>
          <w:highlight w:val="none"/>
        </w:rPr>
      </w:pPr>
      <w:r>
        <w:rPr>
          <w:rFonts w:hint="eastAsia" w:cs="宋体"/>
          <w:b/>
          <w:bCs/>
          <w:color w:val="auto"/>
          <w:highlight w:val="none"/>
        </w:rPr>
        <w:t xml:space="preserve"> </w:t>
      </w:r>
    </w:p>
    <w:p w14:paraId="6323A62F">
      <w:pPr>
        <w:ind w:firstLine="480"/>
        <w:rPr>
          <w:rFonts w:cs="宋体"/>
          <w:color w:val="auto"/>
          <w:highlight w:val="none"/>
        </w:rPr>
      </w:pPr>
    </w:p>
    <w:p w14:paraId="6B298B43">
      <w:pPr>
        <w:ind w:firstLine="0" w:firstLineChars="0"/>
        <w:jc w:val="center"/>
        <w:rPr>
          <w:rFonts w:cs="宋体"/>
          <w:color w:val="auto"/>
          <w:sz w:val="32"/>
          <w:szCs w:val="32"/>
          <w:highlight w:val="none"/>
        </w:rPr>
      </w:pPr>
      <w:r>
        <w:rPr>
          <w:rFonts w:hint="eastAsia" w:cs="宋体"/>
          <w:b/>
          <w:bCs/>
          <w:color w:val="auto"/>
          <w:sz w:val="32"/>
          <w:szCs w:val="32"/>
          <w:highlight w:val="none"/>
        </w:rPr>
        <w:t>商务技术文件</w:t>
      </w:r>
    </w:p>
    <w:p w14:paraId="3BCBFDB1">
      <w:pPr>
        <w:ind w:firstLine="480"/>
        <w:rPr>
          <w:rFonts w:cs="宋体"/>
          <w:color w:val="auto"/>
          <w:highlight w:val="none"/>
        </w:rPr>
      </w:pPr>
    </w:p>
    <w:p w14:paraId="15731DCB">
      <w:pPr>
        <w:pStyle w:val="76"/>
        <w:rPr>
          <w:rFonts w:ascii="宋体" w:hAnsi="宋体" w:eastAsia="宋体" w:cs="宋体"/>
          <w:color w:val="auto"/>
          <w:highlight w:val="none"/>
        </w:rPr>
      </w:pPr>
    </w:p>
    <w:p w14:paraId="0791B990">
      <w:pPr>
        <w:pStyle w:val="76"/>
        <w:rPr>
          <w:rFonts w:ascii="宋体" w:hAnsi="宋体" w:eastAsia="宋体" w:cs="宋体"/>
          <w:color w:val="auto"/>
          <w:highlight w:val="none"/>
        </w:rPr>
      </w:pPr>
    </w:p>
    <w:p w14:paraId="347D8C57">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招 标 人：</w:t>
      </w:r>
    </w:p>
    <w:p w14:paraId="4B53E667">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项目名称：</w:t>
      </w:r>
    </w:p>
    <w:p w14:paraId="78D35681">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项目编号：</w:t>
      </w:r>
    </w:p>
    <w:p w14:paraId="7A000201">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标项：</w:t>
      </w:r>
    </w:p>
    <w:p w14:paraId="19FC11B0">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投标人名称（盖章）：</w:t>
      </w:r>
    </w:p>
    <w:p w14:paraId="6720163E">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投标人地址：</w:t>
      </w:r>
    </w:p>
    <w:p w14:paraId="0DA1CA9A">
      <w:pPr>
        <w:spacing w:line="480" w:lineRule="auto"/>
        <w:ind w:firstLine="576"/>
        <w:rPr>
          <w:rFonts w:cs="宋体"/>
          <w:bCs/>
          <w:color w:val="auto"/>
          <w:spacing w:val="-6"/>
          <w:sz w:val="30"/>
          <w:szCs w:val="30"/>
          <w:highlight w:val="none"/>
        </w:rPr>
      </w:pPr>
      <w:r>
        <w:rPr>
          <w:rFonts w:hint="eastAsia" w:cs="宋体"/>
          <w:bCs/>
          <w:color w:val="auto"/>
          <w:spacing w:val="-6"/>
          <w:sz w:val="30"/>
          <w:szCs w:val="30"/>
          <w:highlight w:val="none"/>
        </w:rPr>
        <w:t>在    年  月  日  时  分之前不得启封</w:t>
      </w:r>
    </w:p>
    <w:p w14:paraId="7BCAA104">
      <w:pPr>
        <w:ind w:firstLine="576"/>
        <w:rPr>
          <w:rFonts w:cs="宋体"/>
          <w:bCs/>
          <w:color w:val="auto"/>
          <w:spacing w:val="-6"/>
          <w:sz w:val="30"/>
          <w:szCs w:val="30"/>
          <w:highlight w:val="none"/>
        </w:rPr>
      </w:pPr>
    </w:p>
    <w:p w14:paraId="69947B12">
      <w:pPr>
        <w:spacing w:line="480" w:lineRule="auto"/>
        <w:ind w:firstLine="576"/>
        <w:rPr>
          <w:rFonts w:cs="宋体"/>
          <w:bCs/>
          <w:color w:val="auto"/>
          <w:spacing w:val="-6"/>
          <w:sz w:val="30"/>
          <w:szCs w:val="30"/>
          <w:highlight w:val="none"/>
        </w:rPr>
      </w:pPr>
      <w:r>
        <w:rPr>
          <w:rFonts w:hint="eastAsia" w:cs="宋体"/>
          <w:color w:val="auto"/>
          <w:spacing w:val="-6"/>
          <w:sz w:val="30"/>
          <w:szCs w:val="30"/>
          <w:highlight w:val="none"/>
        </w:rPr>
        <w:t>法定代表人或其授权代表（签字）</w:t>
      </w:r>
      <w:r>
        <w:rPr>
          <w:rFonts w:hint="eastAsia" w:cs="宋体"/>
          <w:bCs/>
          <w:color w:val="auto"/>
          <w:spacing w:val="-6"/>
          <w:sz w:val="30"/>
          <w:szCs w:val="30"/>
          <w:highlight w:val="none"/>
        </w:rPr>
        <w:t>：</w:t>
      </w:r>
    </w:p>
    <w:p w14:paraId="55D8E0A4">
      <w:pPr>
        <w:spacing w:line="480" w:lineRule="auto"/>
        <w:ind w:firstLine="576"/>
        <w:rPr>
          <w:rFonts w:cs="宋体"/>
          <w:color w:val="auto"/>
          <w:highlight w:val="none"/>
        </w:rPr>
        <w:sectPr>
          <w:pgSz w:w="11907" w:h="16840"/>
          <w:pgMar w:top="1440" w:right="1080" w:bottom="1440" w:left="1080" w:header="720" w:footer="720" w:gutter="0"/>
          <w:pgNumType w:fmt="decimal"/>
          <w:cols w:space="720" w:num="1"/>
          <w:docGrid w:linePitch="286" w:charSpace="0"/>
        </w:sectPr>
      </w:pPr>
      <w:r>
        <w:rPr>
          <w:rFonts w:hint="eastAsia" w:cs="宋体"/>
          <w:bCs/>
          <w:color w:val="auto"/>
          <w:spacing w:val="-6"/>
          <w:sz w:val="30"/>
          <w:szCs w:val="30"/>
          <w:highlight w:val="none"/>
        </w:rPr>
        <w:t>日期：    年  月  日</w:t>
      </w:r>
    </w:p>
    <w:p w14:paraId="324CB9EE">
      <w:pPr>
        <w:pStyle w:val="5"/>
        <w:rPr>
          <w:rFonts w:hint="eastAsia" w:eastAsia="宋体" w:cs="宋体"/>
          <w:color w:val="auto"/>
          <w:szCs w:val="24"/>
          <w:highlight w:val="none"/>
          <w:lang w:eastAsia="zh-CN"/>
        </w:rPr>
      </w:pPr>
      <w:bookmarkStart w:id="116" w:name="_Toc7692"/>
      <w:r>
        <w:rPr>
          <w:rFonts w:hint="eastAsia" w:cs="宋体"/>
          <w:color w:val="auto"/>
          <w:szCs w:val="24"/>
          <w:highlight w:val="none"/>
        </w:rPr>
        <w:t>附件</w:t>
      </w:r>
      <w:r>
        <w:rPr>
          <w:rFonts w:hint="eastAsia" w:cs="宋体"/>
          <w:color w:val="auto"/>
          <w:szCs w:val="24"/>
          <w:highlight w:val="none"/>
          <w:lang w:eastAsia="zh-CN"/>
        </w:rPr>
        <w:t>九</w:t>
      </w:r>
    </w:p>
    <w:p w14:paraId="23366EDB">
      <w:pPr>
        <w:jc w:val="center"/>
        <w:rPr>
          <w:rFonts w:cs="宋体"/>
          <w:b/>
          <w:bCs/>
          <w:color w:val="auto"/>
          <w:sz w:val="28"/>
          <w:szCs w:val="28"/>
          <w:highlight w:val="none"/>
        </w:rPr>
      </w:pPr>
      <w:r>
        <w:rPr>
          <w:rFonts w:hint="eastAsia" w:cs="宋体"/>
          <w:b/>
          <w:bCs/>
          <w:color w:val="auto"/>
          <w:sz w:val="28"/>
          <w:szCs w:val="28"/>
          <w:highlight w:val="none"/>
        </w:rPr>
        <w:t>商务技术评分索引表（请放在目录前页）</w:t>
      </w:r>
    </w:p>
    <w:tbl>
      <w:tblPr>
        <w:tblStyle w:val="44"/>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335"/>
        <w:gridCol w:w="5355"/>
        <w:gridCol w:w="1125"/>
        <w:gridCol w:w="975"/>
      </w:tblGrid>
      <w:tr w14:paraId="0BBE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43" w:type="dxa"/>
          </w:tcPr>
          <w:p w14:paraId="676F350D">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cs="宋体"/>
                <w:b/>
                <w:color w:val="auto"/>
                <w:kern w:val="0"/>
                <w:highlight w:val="none"/>
              </w:rPr>
            </w:pPr>
            <w:r>
              <w:rPr>
                <w:rFonts w:hint="eastAsia" w:cs="宋体"/>
                <w:bCs/>
                <w:color w:val="auto"/>
                <w:kern w:val="0"/>
                <w:highlight w:val="none"/>
              </w:rPr>
              <w:t>序号</w:t>
            </w:r>
          </w:p>
        </w:tc>
        <w:tc>
          <w:tcPr>
            <w:tcW w:w="1335" w:type="dxa"/>
          </w:tcPr>
          <w:p w14:paraId="25EC04C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cs="宋体"/>
                <w:b/>
                <w:color w:val="auto"/>
                <w:kern w:val="0"/>
                <w:highlight w:val="none"/>
              </w:rPr>
            </w:pPr>
            <w:r>
              <w:rPr>
                <w:rFonts w:hint="eastAsia" w:cs="宋体"/>
                <w:bCs/>
                <w:color w:val="auto"/>
                <w:kern w:val="0"/>
                <w:highlight w:val="none"/>
              </w:rPr>
              <w:t>评分内容</w:t>
            </w:r>
          </w:p>
        </w:tc>
        <w:tc>
          <w:tcPr>
            <w:tcW w:w="5355" w:type="dxa"/>
          </w:tcPr>
          <w:p w14:paraId="51AB4E1D">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cs="宋体"/>
                <w:b/>
                <w:color w:val="auto"/>
                <w:kern w:val="0"/>
                <w:highlight w:val="none"/>
              </w:rPr>
            </w:pPr>
            <w:r>
              <w:rPr>
                <w:rFonts w:hint="eastAsia" w:cs="宋体"/>
                <w:bCs/>
                <w:color w:val="auto"/>
                <w:kern w:val="0"/>
                <w:highlight w:val="none"/>
              </w:rPr>
              <w:t>评分原则</w:t>
            </w:r>
          </w:p>
        </w:tc>
        <w:tc>
          <w:tcPr>
            <w:tcW w:w="1125" w:type="dxa"/>
          </w:tcPr>
          <w:p w14:paraId="5CB9FC85">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cs="宋体"/>
                <w:b/>
                <w:color w:val="auto"/>
                <w:kern w:val="0"/>
                <w:highlight w:val="none"/>
              </w:rPr>
            </w:pPr>
            <w:r>
              <w:rPr>
                <w:rFonts w:hint="eastAsia" w:cs="宋体"/>
                <w:bCs/>
                <w:color w:val="auto"/>
                <w:kern w:val="0"/>
                <w:highlight w:val="none"/>
              </w:rPr>
              <w:t>自评分</w:t>
            </w:r>
          </w:p>
        </w:tc>
        <w:tc>
          <w:tcPr>
            <w:tcW w:w="975" w:type="dxa"/>
          </w:tcPr>
          <w:p w14:paraId="1D7EE67A">
            <w:pPr>
              <w:spacing w:line="240" w:lineRule="auto"/>
              <w:ind w:firstLine="0" w:firstLineChars="0"/>
              <w:jc w:val="center"/>
              <w:rPr>
                <w:rFonts w:cs="宋体"/>
                <w:b/>
                <w:color w:val="auto"/>
                <w:kern w:val="0"/>
                <w:highlight w:val="none"/>
              </w:rPr>
            </w:pPr>
            <w:r>
              <w:rPr>
                <w:rFonts w:hint="eastAsia" w:cs="宋体"/>
                <w:bCs/>
                <w:color w:val="auto"/>
                <w:kern w:val="0"/>
                <w:highlight w:val="none"/>
              </w:rPr>
              <w:t>投标文件页码</w:t>
            </w:r>
          </w:p>
        </w:tc>
      </w:tr>
      <w:tr w14:paraId="21AC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Pr>
          <w:p w14:paraId="28C54401">
            <w:pPr>
              <w:ind w:firstLine="0" w:firstLineChars="0"/>
              <w:jc w:val="center"/>
              <w:rPr>
                <w:rFonts w:cs="宋体"/>
                <w:bCs/>
                <w:color w:val="auto"/>
                <w:kern w:val="0"/>
                <w:highlight w:val="none"/>
              </w:rPr>
            </w:pPr>
          </w:p>
          <w:p w14:paraId="708EC289">
            <w:pPr>
              <w:ind w:firstLine="0" w:firstLineChars="0"/>
              <w:jc w:val="center"/>
              <w:rPr>
                <w:rFonts w:cs="宋体"/>
                <w:bCs/>
                <w:color w:val="auto"/>
                <w:kern w:val="0"/>
                <w:highlight w:val="none"/>
              </w:rPr>
            </w:pPr>
            <w:r>
              <w:rPr>
                <w:rFonts w:hint="eastAsia" w:cs="宋体"/>
                <w:bCs/>
                <w:color w:val="auto"/>
                <w:kern w:val="0"/>
                <w:highlight w:val="none"/>
              </w:rPr>
              <w:t>1</w:t>
            </w:r>
          </w:p>
        </w:tc>
        <w:tc>
          <w:tcPr>
            <w:tcW w:w="1335" w:type="dxa"/>
            <w:vMerge w:val="restart"/>
          </w:tcPr>
          <w:p w14:paraId="15FD8D31">
            <w:pPr>
              <w:ind w:firstLine="480"/>
              <w:rPr>
                <w:color w:val="auto"/>
                <w:highlight w:val="none"/>
              </w:rPr>
            </w:pPr>
          </w:p>
          <w:p w14:paraId="08F826B7">
            <w:pPr>
              <w:pStyle w:val="6"/>
              <w:ind w:firstLine="0" w:firstLineChars="0"/>
              <w:jc w:val="center"/>
              <w:rPr>
                <w:color w:val="auto"/>
                <w:highlight w:val="none"/>
              </w:rPr>
            </w:pPr>
            <w:r>
              <w:rPr>
                <w:rFonts w:hint="eastAsia" w:cs="宋体"/>
                <w:b w:val="0"/>
                <w:bCs w:val="0"/>
                <w:color w:val="auto"/>
                <w:kern w:val="0"/>
                <w:highlight w:val="none"/>
              </w:rPr>
              <w:t>资信分</w:t>
            </w:r>
          </w:p>
        </w:tc>
        <w:tc>
          <w:tcPr>
            <w:tcW w:w="5355" w:type="dxa"/>
          </w:tcPr>
          <w:p w14:paraId="3591D076">
            <w:pPr>
              <w:ind w:firstLine="482"/>
              <w:rPr>
                <w:rFonts w:cs="宋体"/>
                <w:b/>
                <w:color w:val="auto"/>
                <w:kern w:val="0"/>
                <w:highlight w:val="none"/>
              </w:rPr>
            </w:pPr>
          </w:p>
        </w:tc>
        <w:tc>
          <w:tcPr>
            <w:tcW w:w="1125" w:type="dxa"/>
          </w:tcPr>
          <w:p w14:paraId="53B413CC">
            <w:pPr>
              <w:ind w:firstLine="482"/>
              <w:rPr>
                <w:rFonts w:cs="宋体"/>
                <w:b/>
                <w:color w:val="auto"/>
                <w:kern w:val="0"/>
                <w:highlight w:val="none"/>
              </w:rPr>
            </w:pPr>
          </w:p>
        </w:tc>
        <w:tc>
          <w:tcPr>
            <w:tcW w:w="975" w:type="dxa"/>
          </w:tcPr>
          <w:p w14:paraId="79EB2A19">
            <w:pPr>
              <w:ind w:firstLine="482"/>
              <w:rPr>
                <w:rFonts w:cs="宋体"/>
                <w:b/>
                <w:color w:val="auto"/>
                <w:kern w:val="0"/>
                <w:highlight w:val="none"/>
              </w:rPr>
            </w:pPr>
          </w:p>
        </w:tc>
      </w:tr>
      <w:tr w14:paraId="4883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14:paraId="29F06F73">
            <w:pPr>
              <w:ind w:firstLine="482"/>
              <w:rPr>
                <w:rFonts w:cs="宋体"/>
                <w:b/>
                <w:color w:val="auto"/>
                <w:kern w:val="0"/>
                <w:highlight w:val="none"/>
              </w:rPr>
            </w:pPr>
          </w:p>
        </w:tc>
        <w:tc>
          <w:tcPr>
            <w:tcW w:w="1335" w:type="dxa"/>
            <w:vMerge w:val="continue"/>
          </w:tcPr>
          <w:p w14:paraId="3C14CF9C">
            <w:pPr>
              <w:ind w:firstLine="482"/>
              <w:rPr>
                <w:rFonts w:cs="宋体"/>
                <w:b/>
                <w:color w:val="auto"/>
                <w:kern w:val="0"/>
                <w:highlight w:val="none"/>
              </w:rPr>
            </w:pPr>
          </w:p>
        </w:tc>
        <w:tc>
          <w:tcPr>
            <w:tcW w:w="5355" w:type="dxa"/>
          </w:tcPr>
          <w:p w14:paraId="27069374">
            <w:pPr>
              <w:ind w:firstLine="482"/>
              <w:rPr>
                <w:rFonts w:cs="宋体"/>
                <w:b/>
                <w:color w:val="auto"/>
                <w:kern w:val="0"/>
                <w:highlight w:val="none"/>
              </w:rPr>
            </w:pPr>
          </w:p>
        </w:tc>
        <w:tc>
          <w:tcPr>
            <w:tcW w:w="1125" w:type="dxa"/>
          </w:tcPr>
          <w:p w14:paraId="688F4DD8">
            <w:pPr>
              <w:ind w:firstLine="482"/>
              <w:rPr>
                <w:rFonts w:cs="宋体"/>
                <w:b/>
                <w:color w:val="auto"/>
                <w:kern w:val="0"/>
                <w:highlight w:val="none"/>
              </w:rPr>
            </w:pPr>
          </w:p>
        </w:tc>
        <w:tc>
          <w:tcPr>
            <w:tcW w:w="975" w:type="dxa"/>
          </w:tcPr>
          <w:p w14:paraId="0839B7E4">
            <w:pPr>
              <w:ind w:firstLine="482"/>
              <w:rPr>
                <w:rFonts w:cs="宋体"/>
                <w:b/>
                <w:color w:val="auto"/>
                <w:kern w:val="0"/>
                <w:highlight w:val="none"/>
              </w:rPr>
            </w:pPr>
          </w:p>
        </w:tc>
      </w:tr>
      <w:tr w14:paraId="0987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14:paraId="0C084825">
            <w:pPr>
              <w:ind w:firstLine="482"/>
              <w:rPr>
                <w:rFonts w:cs="宋体"/>
                <w:b/>
                <w:color w:val="auto"/>
                <w:kern w:val="0"/>
                <w:highlight w:val="none"/>
              </w:rPr>
            </w:pPr>
          </w:p>
        </w:tc>
        <w:tc>
          <w:tcPr>
            <w:tcW w:w="1335" w:type="dxa"/>
            <w:vMerge w:val="continue"/>
          </w:tcPr>
          <w:p w14:paraId="39885D6F">
            <w:pPr>
              <w:ind w:firstLine="482"/>
              <w:rPr>
                <w:rFonts w:cs="宋体"/>
                <w:b/>
                <w:color w:val="auto"/>
                <w:kern w:val="0"/>
                <w:highlight w:val="none"/>
              </w:rPr>
            </w:pPr>
          </w:p>
        </w:tc>
        <w:tc>
          <w:tcPr>
            <w:tcW w:w="5355" w:type="dxa"/>
          </w:tcPr>
          <w:p w14:paraId="6F969E98">
            <w:pPr>
              <w:ind w:firstLine="482"/>
              <w:rPr>
                <w:rFonts w:cs="宋体"/>
                <w:b/>
                <w:color w:val="auto"/>
                <w:kern w:val="0"/>
                <w:highlight w:val="none"/>
              </w:rPr>
            </w:pPr>
          </w:p>
        </w:tc>
        <w:tc>
          <w:tcPr>
            <w:tcW w:w="1125" w:type="dxa"/>
          </w:tcPr>
          <w:p w14:paraId="3C0F70BB">
            <w:pPr>
              <w:ind w:firstLine="482"/>
              <w:rPr>
                <w:rFonts w:cs="宋体"/>
                <w:b/>
                <w:color w:val="auto"/>
                <w:kern w:val="0"/>
                <w:highlight w:val="none"/>
              </w:rPr>
            </w:pPr>
          </w:p>
        </w:tc>
        <w:tc>
          <w:tcPr>
            <w:tcW w:w="975" w:type="dxa"/>
          </w:tcPr>
          <w:p w14:paraId="59000EE6">
            <w:pPr>
              <w:ind w:firstLine="482"/>
              <w:rPr>
                <w:rFonts w:cs="宋体"/>
                <w:b/>
                <w:color w:val="auto"/>
                <w:kern w:val="0"/>
                <w:highlight w:val="none"/>
              </w:rPr>
            </w:pPr>
          </w:p>
        </w:tc>
      </w:tr>
      <w:tr w14:paraId="6E56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Pr>
          <w:p w14:paraId="099405F1">
            <w:pPr>
              <w:ind w:firstLine="0" w:firstLineChars="0"/>
              <w:jc w:val="center"/>
              <w:rPr>
                <w:rFonts w:cs="宋体"/>
                <w:b/>
                <w:color w:val="auto"/>
                <w:kern w:val="0"/>
                <w:highlight w:val="none"/>
              </w:rPr>
            </w:pPr>
          </w:p>
          <w:p w14:paraId="675FA09F">
            <w:pPr>
              <w:ind w:firstLine="0" w:firstLineChars="0"/>
              <w:jc w:val="center"/>
              <w:rPr>
                <w:rFonts w:cs="宋体"/>
                <w:b/>
                <w:color w:val="auto"/>
                <w:kern w:val="0"/>
                <w:highlight w:val="none"/>
              </w:rPr>
            </w:pPr>
          </w:p>
          <w:p w14:paraId="2A2EAE00">
            <w:pPr>
              <w:ind w:firstLine="0" w:firstLineChars="0"/>
              <w:jc w:val="center"/>
              <w:rPr>
                <w:rFonts w:cs="宋体"/>
                <w:b/>
                <w:color w:val="auto"/>
                <w:kern w:val="0"/>
                <w:highlight w:val="none"/>
              </w:rPr>
            </w:pPr>
          </w:p>
          <w:p w14:paraId="3F90302A">
            <w:pPr>
              <w:ind w:firstLine="0" w:firstLineChars="0"/>
              <w:jc w:val="center"/>
              <w:rPr>
                <w:rFonts w:cs="宋体"/>
                <w:b/>
                <w:color w:val="auto"/>
                <w:kern w:val="0"/>
                <w:highlight w:val="none"/>
              </w:rPr>
            </w:pPr>
            <w:r>
              <w:rPr>
                <w:rFonts w:hint="eastAsia" w:cs="宋体"/>
                <w:bCs/>
                <w:color w:val="auto"/>
                <w:kern w:val="0"/>
                <w:highlight w:val="none"/>
              </w:rPr>
              <w:t>2</w:t>
            </w:r>
          </w:p>
        </w:tc>
        <w:tc>
          <w:tcPr>
            <w:tcW w:w="1335" w:type="dxa"/>
            <w:vMerge w:val="restart"/>
          </w:tcPr>
          <w:p w14:paraId="30BD89DD">
            <w:pPr>
              <w:ind w:firstLine="0" w:firstLineChars="0"/>
              <w:rPr>
                <w:rFonts w:cs="宋体"/>
                <w:bCs/>
                <w:color w:val="auto"/>
                <w:kern w:val="0"/>
                <w:highlight w:val="none"/>
              </w:rPr>
            </w:pPr>
          </w:p>
          <w:p w14:paraId="0C6352BF">
            <w:pPr>
              <w:ind w:firstLine="0" w:firstLineChars="0"/>
              <w:rPr>
                <w:rFonts w:cs="宋体"/>
                <w:bCs/>
                <w:color w:val="auto"/>
                <w:kern w:val="0"/>
                <w:highlight w:val="none"/>
              </w:rPr>
            </w:pPr>
          </w:p>
          <w:p w14:paraId="36A8A357">
            <w:pPr>
              <w:ind w:firstLine="0" w:firstLineChars="0"/>
              <w:rPr>
                <w:rFonts w:cs="宋体"/>
                <w:bCs/>
                <w:color w:val="auto"/>
                <w:kern w:val="0"/>
                <w:highlight w:val="none"/>
              </w:rPr>
            </w:pPr>
          </w:p>
          <w:p w14:paraId="2644037A">
            <w:pPr>
              <w:ind w:firstLine="0" w:firstLineChars="0"/>
              <w:jc w:val="center"/>
              <w:rPr>
                <w:rFonts w:cs="宋体"/>
                <w:bCs/>
                <w:color w:val="auto"/>
                <w:kern w:val="0"/>
                <w:highlight w:val="none"/>
              </w:rPr>
            </w:pPr>
            <w:r>
              <w:rPr>
                <w:rFonts w:hint="eastAsia" w:cs="宋体"/>
                <w:bCs/>
                <w:color w:val="auto"/>
                <w:kern w:val="0"/>
                <w:highlight w:val="none"/>
              </w:rPr>
              <w:t>技术分</w:t>
            </w:r>
          </w:p>
        </w:tc>
        <w:tc>
          <w:tcPr>
            <w:tcW w:w="5355" w:type="dxa"/>
          </w:tcPr>
          <w:p w14:paraId="5D1FB2CA">
            <w:pPr>
              <w:ind w:firstLine="482"/>
              <w:rPr>
                <w:rFonts w:cs="宋体"/>
                <w:b/>
                <w:color w:val="auto"/>
                <w:kern w:val="0"/>
                <w:highlight w:val="none"/>
              </w:rPr>
            </w:pPr>
          </w:p>
        </w:tc>
        <w:tc>
          <w:tcPr>
            <w:tcW w:w="1125" w:type="dxa"/>
            <w:vMerge w:val="restart"/>
          </w:tcPr>
          <w:p w14:paraId="2743CC56">
            <w:pPr>
              <w:ind w:firstLine="0" w:firstLineChars="0"/>
              <w:rPr>
                <w:rFonts w:cs="宋体"/>
                <w:bCs/>
                <w:color w:val="auto"/>
                <w:kern w:val="0"/>
                <w:highlight w:val="none"/>
              </w:rPr>
            </w:pPr>
          </w:p>
          <w:p w14:paraId="2656BDCA">
            <w:pPr>
              <w:ind w:firstLine="0" w:firstLineChars="0"/>
              <w:rPr>
                <w:rFonts w:cs="宋体"/>
                <w:bCs/>
                <w:color w:val="auto"/>
                <w:kern w:val="0"/>
                <w:highlight w:val="none"/>
              </w:rPr>
            </w:pPr>
          </w:p>
          <w:p w14:paraId="5C6C9E59">
            <w:pPr>
              <w:ind w:firstLine="0" w:firstLineChars="0"/>
              <w:jc w:val="center"/>
              <w:rPr>
                <w:rFonts w:cs="宋体"/>
                <w:bCs/>
                <w:color w:val="auto"/>
                <w:kern w:val="0"/>
                <w:highlight w:val="none"/>
              </w:rPr>
            </w:pPr>
            <w:r>
              <w:rPr>
                <w:rFonts w:hint="eastAsia" w:cs="宋体"/>
                <w:bCs/>
                <w:color w:val="auto"/>
                <w:kern w:val="0"/>
                <w:highlight w:val="none"/>
              </w:rPr>
              <w:t>专家自主评分</w:t>
            </w:r>
          </w:p>
        </w:tc>
        <w:tc>
          <w:tcPr>
            <w:tcW w:w="975" w:type="dxa"/>
          </w:tcPr>
          <w:p w14:paraId="43E1C29C">
            <w:pPr>
              <w:ind w:firstLine="482"/>
              <w:rPr>
                <w:rFonts w:cs="宋体"/>
                <w:b/>
                <w:color w:val="auto"/>
                <w:kern w:val="0"/>
                <w:highlight w:val="none"/>
              </w:rPr>
            </w:pPr>
          </w:p>
        </w:tc>
      </w:tr>
      <w:tr w14:paraId="01E2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14:paraId="4229EA93">
            <w:pPr>
              <w:ind w:firstLine="482"/>
              <w:rPr>
                <w:rFonts w:cs="宋体"/>
                <w:b/>
                <w:color w:val="auto"/>
                <w:kern w:val="0"/>
                <w:highlight w:val="none"/>
              </w:rPr>
            </w:pPr>
          </w:p>
        </w:tc>
        <w:tc>
          <w:tcPr>
            <w:tcW w:w="1335" w:type="dxa"/>
            <w:vMerge w:val="continue"/>
          </w:tcPr>
          <w:p w14:paraId="57BBD3B9">
            <w:pPr>
              <w:ind w:firstLine="482"/>
              <w:rPr>
                <w:rFonts w:cs="宋体"/>
                <w:b/>
                <w:color w:val="auto"/>
                <w:kern w:val="0"/>
                <w:highlight w:val="none"/>
              </w:rPr>
            </w:pPr>
          </w:p>
        </w:tc>
        <w:tc>
          <w:tcPr>
            <w:tcW w:w="5355" w:type="dxa"/>
          </w:tcPr>
          <w:p w14:paraId="607355E2">
            <w:pPr>
              <w:ind w:firstLine="482"/>
              <w:rPr>
                <w:rFonts w:cs="宋体"/>
                <w:b/>
                <w:color w:val="auto"/>
                <w:kern w:val="0"/>
                <w:highlight w:val="none"/>
              </w:rPr>
            </w:pPr>
          </w:p>
        </w:tc>
        <w:tc>
          <w:tcPr>
            <w:tcW w:w="1125" w:type="dxa"/>
            <w:vMerge w:val="continue"/>
          </w:tcPr>
          <w:p w14:paraId="16034568">
            <w:pPr>
              <w:ind w:firstLine="482"/>
              <w:rPr>
                <w:rFonts w:cs="宋体"/>
                <w:b/>
                <w:color w:val="auto"/>
                <w:kern w:val="0"/>
                <w:highlight w:val="none"/>
              </w:rPr>
            </w:pPr>
          </w:p>
        </w:tc>
        <w:tc>
          <w:tcPr>
            <w:tcW w:w="975" w:type="dxa"/>
          </w:tcPr>
          <w:p w14:paraId="74ED9369">
            <w:pPr>
              <w:ind w:firstLine="482"/>
              <w:rPr>
                <w:rFonts w:cs="宋体"/>
                <w:b/>
                <w:color w:val="auto"/>
                <w:kern w:val="0"/>
                <w:highlight w:val="none"/>
              </w:rPr>
            </w:pPr>
          </w:p>
        </w:tc>
      </w:tr>
      <w:tr w14:paraId="69D0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14:paraId="6EA63A4D">
            <w:pPr>
              <w:ind w:firstLine="482"/>
              <w:rPr>
                <w:rFonts w:cs="宋体"/>
                <w:b/>
                <w:color w:val="auto"/>
                <w:kern w:val="0"/>
                <w:highlight w:val="none"/>
              </w:rPr>
            </w:pPr>
          </w:p>
        </w:tc>
        <w:tc>
          <w:tcPr>
            <w:tcW w:w="1335" w:type="dxa"/>
            <w:vMerge w:val="continue"/>
          </w:tcPr>
          <w:p w14:paraId="1CD4A7C8">
            <w:pPr>
              <w:ind w:firstLine="482"/>
              <w:rPr>
                <w:rFonts w:cs="宋体"/>
                <w:b/>
                <w:color w:val="auto"/>
                <w:kern w:val="0"/>
                <w:highlight w:val="none"/>
              </w:rPr>
            </w:pPr>
          </w:p>
        </w:tc>
        <w:tc>
          <w:tcPr>
            <w:tcW w:w="5355" w:type="dxa"/>
          </w:tcPr>
          <w:p w14:paraId="7F097440">
            <w:pPr>
              <w:ind w:firstLine="482"/>
              <w:rPr>
                <w:rFonts w:cs="宋体"/>
                <w:b/>
                <w:color w:val="auto"/>
                <w:kern w:val="0"/>
                <w:highlight w:val="none"/>
              </w:rPr>
            </w:pPr>
          </w:p>
        </w:tc>
        <w:tc>
          <w:tcPr>
            <w:tcW w:w="1125" w:type="dxa"/>
            <w:vMerge w:val="continue"/>
          </w:tcPr>
          <w:p w14:paraId="1DAA517A">
            <w:pPr>
              <w:ind w:firstLine="482"/>
              <w:rPr>
                <w:rFonts w:cs="宋体"/>
                <w:b/>
                <w:color w:val="auto"/>
                <w:kern w:val="0"/>
                <w:highlight w:val="none"/>
              </w:rPr>
            </w:pPr>
          </w:p>
        </w:tc>
        <w:tc>
          <w:tcPr>
            <w:tcW w:w="975" w:type="dxa"/>
          </w:tcPr>
          <w:p w14:paraId="24E14F85">
            <w:pPr>
              <w:ind w:firstLine="482"/>
              <w:rPr>
                <w:rFonts w:cs="宋体"/>
                <w:b/>
                <w:color w:val="auto"/>
                <w:kern w:val="0"/>
                <w:highlight w:val="none"/>
              </w:rPr>
            </w:pPr>
          </w:p>
        </w:tc>
      </w:tr>
      <w:tr w14:paraId="2DF8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43" w:type="dxa"/>
            <w:vMerge w:val="continue"/>
          </w:tcPr>
          <w:p w14:paraId="04C6F204">
            <w:pPr>
              <w:ind w:firstLine="482"/>
              <w:rPr>
                <w:rFonts w:cs="宋体"/>
                <w:b/>
                <w:color w:val="auto"/>
                <w:kern w:val="0"/>
                <w:highlight w:val="none"/>
              </w:rPr>
            </w:pPr>
          </w:p>
        </w:tc>
        <w:tc>
          <w:tcPr>
            <w:tcW w:w="1335" w:type="dxa"/>
            <w:vMerge w:val="continue"/>
          </w:tcPr>
          <w:p w14:paraId="7843CDA1">
            <w:pPr>
              <w:ind w:firstLine="482"/>
              <w:rPr>
                <w:rFonts w:cs="宋体"/>
                <w:b/>
                <w:color w:val="auto"/>
                <w:kern w:val="0"/>
                <w:highlight w:val="none"/>
              </w:rPr>
            </w:pPr>
          </w:p>
        </w:tc>
        <w:tc>
          <w:tcPr>
            <w:tcW w:w="5355" w:type="dxa"/>
          </w:tcPr>
          <w:p w14:paraId="53559F09">
            <w:pPr>
              <w:ind w:firstLine="482"/>
              <w:rPr>
                <w:rFonts w:cs="宋体"/>
                <w:b/>
                <w:color w:val="auto"/>
                <w:kern w:val="0"/>
                <w:highlight w:val="none"/>
              </w:rPr>
            </w:pPr>
          </w:p>
        </w:tc>
        <w:tc>
          <w:tcPr>
            <w:tcW w:w="1125" w:type="dxa"/>
            <w:vMerge w:val="continue"/>
          </w:tcPr>
          <w:p w14:paraId="4CF56059">
            <w:pPr>
              <w:ind w:firstLine="482"/>
              <w:rPr>
                <w:rFonts w:cs="宋体"/>
                <w:b/>
                <w:color w:val="auto"/>
                <w:kern w:val="0"/>
                <w:highlight w:val="none"/>
              </w:rPr>
            </w:pPr>
          </w:p>
        </w:tc>
        <w:tc>
          <w:tcPr>
            <w:tcW w:w="975" w:type="dxa"/>
          </w:tcPr>
          <w:p w14:paraId="12B04BA8">
            <w:pPr>
              <w:ind w:firstLine="482"/>
              <w:rPr>
                <w:rFonts w:cs="宋体"/>
                <w:b/>
                <w:color w:val="auto"/>
                <w:kern w:val="0"/>
                <w:highlight w:val="none"/>
              </w:rPr>
            </w:pPr>
          </w:p>
        </w:tc>
      </w:tr>
      <w:tr w14:paraId="733E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43" w:type="dxa"/>
            <w:vMerge w:val="continue"/>
          </w:tcPr>
          <w:p w14:paraId="7F0DBE1F">
            <w:pPr>
              <w:ind w:firstLine="482"/>
              <w:rPr>
                <w:rFonts w:cs="宋体"/>
                <w:b/>
                <w:color w:val="auto"/>
                <w:kern w:val="0"/>
                <w:highlight w:val="none"/>
              </w:rPr>
            </w:pPr>
          </w:p>
        </w:tc>
        <w:tc>
          <w:tcPr>
            <w:tcW w:w="1335" w:type="dxa"/>
            <w:vMerge w:val="continue"/>
          </w:tcPr>
          <w:p w14:paraId="57A0BD90">
            <w:pPr>
              <w:ind w:firstLine="482"/>
              <w:rPr>
                <w:rFonts w:cs="宋体"/>
                <w:b/>
                <w:color w:val="auto"/>
                <w:kern w:val="0"/>
                <w:highlight w:val="none"/>
              </w:rPr>
            </w:pPr>
          </w:p>
        </w:tc>
        <w:tc>
          <w:tcPr>
            <w:tcW w:w="5355" w:type="dxa"/>
          </w:tcPr>
          <w:p w14:paraId="25618F13">
            <w:pPr>
              <w:ind w:firstLine="482"/>
              <w:rPr>
                <w:rFonts w:cs="宋体"/>
                <w:b/>
                <w:color w:val="auto"/>
                <w:kern w:val="0"/>
                <w:highlight w:val="none"/>
              </w:rPr>
            </w:pPr>
          </w:p>
        </w:tc>
        <w:tc>
          <w:tcPr>
            <w:tcW w:w="1125" w:type="dxa"/>
            <w:vMerge w:val="continue"/>
          </w:tcPr>
          <w:p w14:paraId="267BE166">
            <w:pPr>
              <w:ind w:firstLine="482"/>
              <w:rPr>
                <w:rFonts w:cs="宋体"/>
                <w:b/>
                <w:color w:val="auto"/>
                <w:kern w:val="0"/>
                <w:highlight w:val="none"/>
              </w:rPr>
            </w:pPr>
          </w:p>
        </w:tc>
        <w:tc>
          <w:tcPr>
            <w:tcW w:w="975" w:type="dxa"/>
          </w:tcPr>
          <w:p w14:paraId="04783018">
            <w:pPr>
              <w:ind w:firstLine="482"/>
              <w:rPr>
                <w:rFonts w:cs="宋体"/>
                <w:b/>
                <w:color w:val="auto"/>
                <w:kern w:val="0"/>
                <w:highlight w:val="none"/>
              </w:rPr>
            </w:pPr>
          </w:p>
        </w:tc>
      </w:tr>
      <w:tr w14:paraId="746E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43" w:type="dxa"/>
            <w:vMerge w:val="continue"/>
          </w:tcPr>
          <w:p w14:paraId="317244FC">
            <w:pPr>
              <w:ind w:firstLine="482"/>
              <w:rPr>
                <w:rFonts w:cs="宋体"/>
                <w:b/>
                <w:color w:val="auto"/>
                <w:kern w:val="0"/>
                <w:highlight w:val="none"/>
              </w:rPr>
            </w:pPr>
          </w:p>
        </w:tc>
        <w:tc>
          <w:tcPr>
            <w:tcW w:w="1335" w:type="dxa"/>
            <w:vMerge w:val="continue"/>
          </w:tcPr>
          <w:p w14:paraId="73E68F62">
            <w:pPr>
              <w:ind w:firstLine="482"/>
              <w:rPr>
                <w:rFonts w:cs="宋体"/>
                <w:b/>
                <w:color w:val="auto"/>
                <w:kern w:val="0"/>
                <w:highlight w:val="none"/>
              </w:rPr>
            </w:pPr>
          </w:p>
        </w:tc>
        <w:tc>
          <w:tcPr>
            <w:tcW w:w="5355" w:type="dxa"/>
          </w:tcPr>
          <w:p w14:paraId="728BF249">
            <w:pPr>
              <w:ind w:firstLine="482"/>
              <w:rPr>
                <w:rFonts w:cs="宋体"/>
                <w:b/>
                <w:color w:val="auto"/>
                <w:kern w:val="0"/>
                <w:highlight w:val="none"/>
              </w:rPr>
            </w:pPr>
          </w:p>
        </w:tc>
        <w:tc>
          <w:tcPr>
            <w:tcW w:w="1125" w:type="dxa"/>
            <w:vMerge w:val="continue"/>
          </w:tcPr>
          <w:p w14:paraId="32A2E06D">
            <w:pPr>
              <w:ind w:firstLine="482"/>
              <w:rPr>
                <w:rFonts w:cs="宋体"/>
                <w:b/>
                <w:color w:val="auto"/>
                <w:kern w:val="0"/>
                <w:highlight w:val="none"/>
              </w:rPr>
            </w:pPr>
          </w:p>
        </w:tc>
        <w:tc>
          <w:tcPr>
            <w:tcW w:w="975" w:type="dxa"/>
          </w:tcPr>
          <w:p w14:paraId="312ED23D">
            <w:pPr>
              <w:ind w:firstLine="482"/>
              <w:rPr>
                <w:rFonts w:cs="宋体"/>
                <w:b/>
                <w:color w:val="auto"/>
                <w:kern w:val="0"/>
                <w:highlight w:val="none"/>
              </w:rPr>
            </w:pPr>
          </w:p>
        </w:tc>
      </w:tr>
    </w:tbl>
    <w:p w14:paraId="0F5D8E0B">
      <w:pPr>
        <w:ind w:firstLine="0" w:firstLineChars="0"/>
        <w:rPr>
          <w:rFonts w:cs="宋体"/>
          <w:b/>
          <w:color w:val="auto"/>
          <w:kern w:val="0"/>
          <w:sz w:val="10"/>
          <w:szCs w:val="10"/>
          <w:highlight w:val="none"/>
        </w:rPr>
      </w:pPr>
    </w:p>
    <w:p w14:paraId="7CDAE4B0">
      <w:pPr>
        <w:ind w:firstLine="0" w:firstLineChars="0"/>
        <w:rPr>
          <w:rFonts w:cs="宋体"/>
          <w:b/>
          <w:color w:val="auto"/>
          <w:kern w:val="0"/>
          <w:highlight w:val="none"/>
        </w:rPr>
      </w:pPr>
      <w:r>
        <w:rPr>
          <w:rFonts w:hint="eastAsia" w:cs="宋体"/>
          <w:b/>
          <w:color w:val="auto"/>
          <w:kern w:val="0"/>
          <w:highlight w:val="none"/>
        </w:rPr>
        <w:t>根据评分标准自行调整。</w:t>
      </w:r>
    </w:p>
    <w:p w14:paraId="23A0FC90">
      <w:pPr>
        <w:ind w:firstLine="482"/>
        <w:rPr>
          <w:rFonts w:cs="宋体"/>
          <w:b/>
          <w:color w:val="auto"/>
          <w:kern w:val="0"/>
          <w:highlight w:val="none"/>
        </w:rPr>
      </w:pPr>
      <w:r>
        <w:rPr>
          <w:rFonts w:hint="eastAsia" w:cs="宋体"/>
          <w:b/>
          <w:color w:val="auto"/>
          <w:kern w:val="0"/>
          <w:highlight w:val="none"/>
        </w:rPr>
        <w:br w:type="page"/>
      </w:r>
    </w:p>
    <w:p w14:paraId="7E85F991">
      <w:pPr>
        <w:pStyle w:val="4"/>
        <w:spacing w:line="480" w:lineRule="auto"/>
        <w:jc w:val="center"/>
        <w:rPr>
          <w:color w:val="auto"/>
          <w:highlight w:val="none"/>
        </w:rPr>
      </w:pPr>
      <w:bookmarkStart w:id="117" w:name="_Toc1447"/>
      <w:r>
        <w:rPr>
          <w:rFonts w:hint="eastAsia"/>
          <w:color w:val="auto"/>
          <w:sz w:val="28"/>
          <w:szCs w:val="28"/>
          <w:highlight w:val="none"/>
        </w:rPr>
        <w:t>商务技术文件目录</w:t>
      </w:r>
      <w:bookmarkEnd w:id="116"/>
      <w:bookmarkEnd w:id="117"/>
    </w:p>
    <w:p w14:paraId="5FAE933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1.投标声明书；（附件</w:t>
      </w:r>
      <w:r>
        <w:rPr>
          <w:rFonts w:hint="eastAsia" w:cs="宋体"/>
          <w:color w:val="auto"/>
          <w:highlight w:val="none"/>
          <w:lang w:eastAsia="zh-CN"/>
        </w:rPr>
        <w:t>十</w:t>
      </w:r>
      <w:r>
        <w:rPr>
          <w:rFonts w:hint="eastAsia" w:cs="宋体"/>
          <w:color w:val="auto"/>
          <w:highlight w:val="none"/>
        </w:rPr>
        <w:t>）</w:t>
      </w:r>
    </w:p>
    <w:p w14:paraId="0DD1838F">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2.廉政承诺书；（附件十</w:t>
      </w:r>
      <w:r>
        <w:rPr>
          <w:rFonts w:hint="eastAsia" w:cs="宋体"/>
          <w:color w:val="auto"/>
          <w:highlight w:val="none"/>
          <w:lang w:eastAsia="zh-CN"/>
        </w:rPr>
        <w:t>一</w:t>
      </w:r>
      <w:r>
        <w:rPr>
          <w:rFonts w:hint="eastAsia" w:cs="宋体"/>
          <w:color w:val="auto"/>
          <w:highlight w:val="none"/>
        </w:rPr>
        <w:t>）</w:t>
      </w:r>
    </w:p>
    <w:p w14:paraId="0585EDEC">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3.投标人股权信息表；（附件十</w:t>
      </w:r>
      <w:r>
        <w:rPr>
          <w:rFonts w:hint="eastAsia" w:cs="宋体"/>
          <w:color w:val="auto"/>
          <w:highlight w:val="none"/>
          <w:lang w:eastAsia="zh-CN"/>
        </w:rPr>
        <w:t>二</w:t>
      </w:r>
      <w:r>
        <w:rPr>
          <w:rFonts w:hint="eastAsia" w:cs="宋体"/>
          <w:color w:val="auto"/>
          <w:highlight w:val="none"/>
        </w:rPr>
        <w:t>）</w:t>
      </w:r>
    </w:p>
    <w:p w14:paraId="4FFBB88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4.商务条款偏离表；（附件十</w:t>
      </w:r>
      <w:r>
        <w:rPr>
          <w:rFonts w:hint="eastAsia" w:cs="宋体"/>
          <w:color w:val="auto"/>
          <w:highlight w:val="none"/>
          <w:lang w:eastAsia="zh-CN"/>
        </w:rPr>
        <w:t>三</w:t>
      </w:r>
      <w:r>
        <w:rPr>
          <w:rFonts w:hint="eastAsia" w:cs="宋体"/>
          <w:color w:val="auto"/>
          <w:highlight w:val="none"/>
        </w:rPr>
        <w:t>）</w:t>
      </w:r>
    </w:p>
    <w:p w14:paraId="6BA6A2BA">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5.技术规范偏离表；（附件十</w:t>
      </w:r>
      <w:r>
        <w:rPr>
          <w:rFonts w:hint="eastAsia" w:cs="宋体"/>
          <w:color w:val="auto"/>
          <w:highlight w:val="none"/>
          <w:lang w:eastAsia="zh-CN"/>
        </w:rPr>
        <w:t>四</w:t>
      </w:r>
      <w:r>
        <w:rPr>
          <w:rFonts w:hint="eastAsia" w:cs="宋体"/>
          <w:color w:val="auto"/>
          <w:highlight w:val="none"/>
        </w:rPr>
        <w:t>）</w:t>
      </w:r>
    </w:p>
    <w:p w14:paraId="3254303C">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6.</w:t>
      </w:r>
      <w:r>
        <w:rPr>
          <w:rFonts w:hint="eastAsia" w:cs="宋体"/>
          <w:color w:val="auto"/>
          <w:szCs w:val="21"/>
          <w:highlight w:val="none"/>
        </w:rPr>
        <w:t>企业业绩：</w:t>
      </w:r>
      <w:r>
        <w:rPr>
          <w:rFonts w:hint="eastAsia" w:cs="宋体"/>
          <w:color w:val="auto"/>
          <w:highlight w:val="none"/>
        </w:rPr>
        <w:t>同类项目实施情况一览表；（附件十</w:t>
      </w:r>
      <w:r>
        <w:rPr>
          <w:rFonts w:hint="eastAsia" w:cs="宋体"/>
          <w:color w:val="auto"/>
          <w:highlight w:val="none"/>
          <w:lang w:eastAsia="zh-CN"/>
        </w:rPr>
        <w:t>五</w:t>
      </w:r>
      <w:r>
        <w:rPr>
          <w:rFonts w:hint="eastAsia" w:cs="宋体"/>
          <w:color w:val="auto"/>
          <w:highlight w:val="none"/>
        </w:rPr>
        <w:t>）</w:t>
      </w:r>
    </w:p>
    <w:p w14:paraId="210108B7">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7.</w:t>
      </w:r>
      <w:r>
        <w:rPr>
          <w:rFonts w:hint="eastAsia" w:cs="宋体"/>
          <w:color w:val="auto"/>
          <w:szCs w:val="21"/>
          <w:highlight w:val="none"/>
        </w:rPr>
        <w:t>企业认证；</w:t>
      </w:r>
    </w:p>
    <w:p w14:paraId="30EDC443">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eastAsia="宋体" w:cs="宋体"/>
          <w:color w:val="auto"/>
          <w:highlight w:val="none"/>
          <w:lang w:val="en-US" w:eastAsia="zh-CN"/>
        </w:rPr>
      </w:pPr>
      <w:r>
        <w:rPr>
          <w:rFonts w:hint="eastAsia" w:cs="宋体"/>
          <w:color w:val="auto"/>
          <w:highlight w:val="none"/>
          <w:lang w:val="en-US" w:eastAsia="zh-CN"/>
        </w:rPr>
        <w:t>8.政策分；</w:t>
      </w:r>
    </w:p>
    <w:p w14:paraId="10A1683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lang w:val="en-US" w:eastAsia="zh-CN"/>
        </w:rPr>
        <w:t>9</w:t>
      </w:r>
      <w:r>
        <w:rPr>
          <w:rFonts w:hint="eastAsia" w:cs="宋体"/>
          <w:color w:val="auto"/>
          <w:highlight w:val="none"/>
        </w:rPr>
        <w:t>.</w:t>
      </w:r>
      <w:r>
        <w:rPr>
          <w:rFonts w:hint="eastAsia" w:cs="宋体"/>
          <w:color w:val="auto"/>
          <w:szCs w:val="21"/>
          <w:highlight w:val="none"/>
        </w:rPr>
        <w:t>技术参数响应程度；（在技术规范偏离表中体现）</w:t>
      </w:r>
    </w:p>
    <w:p w14:paraId="6E6E858F">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lang w:val="en-US" w:eastAsia="zh-CN"/>
        </w:rPr>
        <w:t>10</w:t>
      </w:r>
      <w:r>
        <w:rPr>
          <w:rFonts w:hint="eastAsia" w:cs="宋体"/>
          <w:color w:val="auto"/>
          <w:highlight w:val="none"/>
        </w:rPr>
        <w:t>.</w:t>
      </w:r>
      <w:r>
        <w:rPr>
          <w:rFonts w:hint="eastAsia" w:cs="宋体"/>
          <w:color w:val="auto"/>
          <w:szCs w:val="21"/>
          <w:highlight w:val="none"/>
        </w:rPr>
        <w:t>项目整体方案；</w:t>
      </w:r>
    </w:p>
    <w:p w14:paraId="2D7F9DF8">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1</w:t>
      </w:r>
      <w:r>
        <w:rPr>
          <w:rFonts w:hint="eastAsia" w:cs="宋体"/>
          <w:color w:val="auto"/>
          <w:highlight w:val="none"/>
          <w:lang w:val="en-US" w:eastAsia="zh-CN"/>
        </w:rPr>
        <w:t>1</w:t>
      </w:r>
      <w:r>
        <w:rPr>
          <w:rFonts w:hint="eastAsia" w:cs="宋体"/>
          <w:color w:val="auto"/>
          <w:highlight w:val="none"/>
        </w:rPr>
        <w:t>.</w:t>
      </w:r>
      <w:r>
        <w:rPr>
          <w:rFonts w:hint="eastAsia" w:cs="宋体"/>
          <w:color w:val="auto"/>
          <w:szCs w:val="21"/>
          <w:highlight w:val="none"/>
        </w:rPr>
        <w:t>人员配备；（附件十</w:t>
      </w:r>
      <w:r>
        <w:rPr>
          <w:rFonts w:hint="eastAsia" w:cs="宋体"/>
          <w:color w:val="auto"/>
          <w:szCs w:val="21"/>
          <w:highlight w:val="none"/>
          <w:lang w:eastAsia="zh-CN"/>
        </w:rPr>
        <w:t>六</w:t>
      </w:r>
      <w:r>
        <w:rPr>
          <w:rFonts w:hint="eastAsia" w:cs="宋体"/>
          <w:color w:val="auto"/>
          <w:szCs w:val="21"/>
          <w:highlight w:val="none"/>
        </w:rPr>
        <w:t>）</w:t>
      </w:r>
    </w:p>
    <w:p w14:paraId="607D661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12.</w:t>
      </w:r>
      <w:r>
        <w:rPr>
          <w:rFonts w:hint="eastAsia" w:cs="宋体"/>
          <w:color w:val="auto"/>
          <w:szCs w:val="21"/>
          <w:highlight w:val="none"/>
        </w:rPr>
        <w:t>培训方案；</w:t>
      </w:r>
    </w:p>
    <w:p w14:paraId="3EC0D95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13.</w:t>
      </w:r>
      <w:r>
        <w:rPr>
          <w:rFonts w:hint="eastAsia" w:cs="宋体"/>
          <w:color w:val="auto"/>
          <w:szCs w:val="21"/>
          <w:highlight w:val="none"/>
        </w:rPr>
        <w:t>应急预案</w:t>
      </w:r>
      <w:r>
        <w:rPr>
          <w:rFonts w:hint="eastAsia" w:cs="宋体"/>
          <w:color w:val="auto"/>
          <w:highlight w:val="none"/>
        </w:rPr>
        <w:t>；</w:t>
      </w:r>
    </w:p>
    <w:p w14:paraId="7FC4F5D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szCs w:val="21"/>
          <w:highlight w:val="none"/>
        </w:rPr>
        <w:t>14.售后服务；</w:t>
      </w:r>
    </w:p>
    <w:p w14:paraId="648341C2">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cs="宋体"/>
          <w:color w:val="auto"/>
          <w:highlight w:val="none"/>
        </w:rPr>
      </w:pPr>
      <w:r>
        <w:rPr>
          <w:rFonts w:hint="eastAsia" w:cs="宋体"/>
          <w:color w:val="auto"/>
          <w:highlight w:val="none"/>
        </w:rPr>
        <w:t>15.其它本招标文件评分表要求提供的材料或投标人认为需要的其他技术文件资料或说明。（如有，格式自拟）</w:t>
      </w:r>
    </w:p>
    <w:p w14:paraId="1985A490">
      <w:pPr>
        <w:pStyle w:val="76"/>
        <w:rPr>
          <w:rFonts w:ascii="宋体" w:hAnsi="宋体" w:eastAsia="宋体" w:cs="宋体"/>
          <w:color w:val="auto"/>
          <w:highlight w:val="none"/>
        </w:rPr>
      </w:pPr>
    </w:p>
    <w:p w14:paraId="385DAD15">
      <w:pPr>
        <w:ind w:firstLine="480"/>
        <w:rPr>
          <w:rFonts w:cs="宋体"/>
          <w:iCs/>
          <w:color w:val="auto"/>
          <w:highlight w:val="none"/>
        </w:rPr>
      </w:pPr>
      <w:r>
        <w:rPr>
          <w:rFonts w:hint="eastAsia" w:cs="宋体"/>
          <w:iCs/>
          <w:color w:val="auto"/>
          <w:highlight w:val="none"/>
        </w:rPr>
        <w:br w:type="page"/>
      </w:r>
    </w:p>
    <w:p w14:paraId="7713C321">
      <w:pPr>
        <w:ind w:right="456" w:firstLine="456"/>
        <w:rPr>
          <w:rFonts w:cs="宋体"/>
          <w:bCs/>
          <w:color w:val="auto"/>
          <w:spacing w:val="-6"/>
          <w:highlight w:val="none"/>
        </w:rPr>
        <w:sectPr>
          <w:pgSz w:w="11907" w:h="16840"/>
          <w:pgMar w:top="1440" w:right="1080" w:bottom="1440" w:left="1080" w:header="720" w:footer="720" w:gutter="0"/>
          <w:pgNumType w:fmt="decimal"/>
          <w:cols w:space="720" w:num="1"/>
          <w:docGrid w:linePitch="286" w:charSpace="0"/>
        </w:sectPr>
      </w:pPr>
    </w:p>
    <w:p w14:paraId="6ECC24E9">
      <w:pPr>
        <w:pStyle w:val="5"/>
        <w:rPr>
          <w:rFonts w:hint="eastAsia" w:eastAsia="宋体" w:cs="宋体"/>
          <w:color w:val="auto"/>
          <w:szCs w:val="24"/>
          <w:highlight w:val="none"/>
          <w:lang w:eastAsia="zh-CN"/>
        </w:rPr>
      </w:pPr>
      <w:r>
        <w:rPr>
          <w:rFonts w:hint="eastAsia" w:cs="宋体"/>
          <w:color w:val="auto"/>
          <w:szCs w:val="24"/>
          <w:highlight w:val="none"/>
        </w:rPr>
        <w:t>附件</w:t>
      </w:r>
      <w:r>
        <w:rPr>
          <w:rFonts w:hint="eastAsia" w:cs="宋体"/>
          <w:color w:val="auto"/>
          <w:szCs w:val="24"/>
          <w:highlight w:val="none"/>
          <w:lang w:eastAsia="zh-CN"/>
        </w:rPr>
        <w:t>十</w:t>
      </w:r>
    </w:p>
    <w:p w14:paraId="2B56ECD8">
      <w:pPr>
        <w:spacing w:line="480" w:lineRule="auto"/>
        <w:ind w:firstLine="0" w:firstLineChars="0"/>
        <w:jc w:val="center"/>
        <w:rPr>
          <w:rFonts w:cs="宋体"/>
          <w:b/>
          <w:bCs/>
          <w:color w:val="auto"/>
          <w:sz w:val="28"/>
          <w:szCs w:val="28"/>
          <w:highlight w:val="none"/>
        </w:rPr>
      </w:pPr>
      <w:r>
        <w:rPr>
          <w:rFonts w:hint="eastAsia" w:cs="宋体"/>
          <w:b/>
          <w:bCs/>
          <w:color w:val="auto"/>
          <w:sz w:val="28"/>
          <w:szCs w:val="28"/>
          <w:highlight w:val="none"/>
        </w:rPr>
        <w:t>投标声明书</w:t>
      </w:r>
    </w:p>
    <w:p w14:paraId="0990E024">
      <w:pPr>
        <w:snapToGrid w:val="0"/>
        <w:spacing w:line="480" w:lineRule="auto"/>
        <w:ind w:firstLine="0" w:firstLineChars="0"/>
        <w:rPr>
          <w:rFonts w:cs="宋体"/>
          <w:color w:val="auto"/>
          <w:highlight w:val="none"/>
        </w:rPr>
      </w:pPr>
      <w:r>
        <w:rPr>
          <w:rFonts w:hint="eastAsia" w:cs="宋体"/>
          <w:color w:val="auto"/>
          <w:highlight w:val="none"/>
          <w:u w:val="single"/>
        </w:rPr>
        <w:t>（招标人）（代理机构）</w:t>
      </w:r>
      <w:r>
        <w:rPr>
          <w:rFonts w:hint="eastAsia" w:cs="宋体"/>
          <w:color w:val="auto"/>
          <w:highlight w:val="none"/>
        </w:rPr>
        <w:t>：</w:t>
      </w:r>
    </w:p>
    <w:p w14:paraId="34165020">
      <w:pPr>
        <w:spacing w:line="480" w:lineRule="auto"/>
        <w:ind w:firstLine="480"/>
        <w:rPr>
          <w:rFonts w:cs="宋体"/>
          <w:color w:val="auto"/>
          <w:highlight w:val="none"/>
        </w:rPr>
      </w:pPr>
      <w:r>
        <w:rPr>
          <w:rFonts w:hint="eastAsia" w:cs="宋体"/>
          <w:color w:val="auto"/>
          <w:kern w:val="0"/>
          <w:highlight w:val="none"/>
          <w:lang w:val="zh-CN"/>
        </w:rPr>
        <w:t>我公司</w:t>
      </w:r>
      <w:r>
        <w:rPr>
          <w:rFonts w:hint="eastAsia" w:cs="宋体"/>
          <w:color w:val="auto"/>
          <w:highlight w:val="none"/>
        </w:rPr>
        <w:t>声明截止投标时间近三年以来，在招标</w:t>
      </w:r>
      <w:r>
        <w:rPr>
          <w:rFonts w:hint="eastAsia" w:cs="宋体"/>
          <w:color w:val="auto"/>
          <w:kern w:val="0"/>
          <w:highlight w:val="none"/>
        </w:rPr>
        <w:t>领域中</w:t>
      </w:r>
      <w:r>
        <w:rPr>
          <w:rFonts w:hint="eastAsia" w:cs="宋体"/>
          <w:color w:val="auto"/>
          <w:highlight w:val="none"/>
        </w:rPr>
        <w:t>，在项目招标、投标和合同履约期间无任何不良行为记录和违法、违规行为</w:t>
      </w:r>
      <w:r>
        <w:rPr>
          <w:rFonts w:hint="eastAsia" w:cs="宋体"/>
          <w:color w:val="auto"/>
          <w:kern w:val="0"/>
          <w:highlight w:val="none"/>
          <w:lang w:val="zh-CN"/>
        </w:rPr>
        <w:t>。</w:t>
      </w:r>
    </w:p>
    <w:p w14:paraId="6959736C">
      <w:pPr>
        <w:spacing w:line="480" w:lineRule="auto"/>
        <w:ind w:firstLine="480"/>
        <w:rPr>
          <w:rFonts w:cs="宋体"/>
          <w:color w:val="auto"/>
          <w:highlight w:val="none"/>
        </w:rPr>
      </w:pPr>
      <w:r>
        <w:rPr>
          <w:rFonts w:hint="eastAsia" w:cs="宋体"/>
          <w:color w:val="auto"/>
          <w:highlight w:val="none"/>
        </w:rPr>
        <w:t xml:space="preserve">我公司自愿参加 </w:t>
      </w:r>
      <w:r>
        <w:rPr>
          <w:rFonts w:hint="eastAsia" w:cs="宋体"/>
          <w:color w:val="auto"/>
          <w:highlight w:val="none"/>
          <w:u w:val="single"/>
        </w:rPr>
        <w:t xml:space="preserve">       </w:t>
      </w:r>
      <w:r>
        <w:rPr>
          <w:rFonts w:hint="eastAsia" w:cs="宋体"/>
          <w:color w:val="auto"/>
          <w:highlight w:val="none"/>
        </w:rPr>
        <w:t>项目[招标编号：</w:t>
      </w:r>
      <w:r>
        <w:rPr>
          <w:rFonts w:hint="eastAsia" w:cs="宋体"/>
          <w:color w:val="auto"/>
          <w:highlight w:val="none"/>
          <w:u w:val="single"/>
        </w:rPr>
        <w:t xml:space="preserve">              </w:t>
      </w:r>
      <w:r>
        <w:rPr>
          <w:rFonts w:hint="eastAsia" w:cs="宋体"/>
          <w:color w:val="auto"/>
          <w:highlight w:val="none"/>
        </w:rPr>
        <w:t>]的投标，并保证投标文件中所列举的投标报价文件及相关资料和公司基本情况资料是真实的、合法的。</w:t>
      </w:r>
    </w:p>
    <w:p w14:paraId="552D3D81">
      <w:pPr>
        <w:spacing w:line="480" w:lineRule="auto"/>
        <w:ind w:firstLine="480"/>
        <w:rPr>
          <w:rFonts w:cs="宋体"/>
          <w:color w:val="auto"/>
          <w:kern w:val="0"/>
          <w:highlight w:val="none"/>
          <w:lang w:val="zh-CN"/>
        </w:rPr>
      </w:pPr>
      <w:r>
        <w:rPr>
          <w:rFonts w:hint="eastAsia" w:cs="宋体"/>
          <w:color w:val="auto"/>
          <w:kern w:val="0"/>
          <w:highlight w:val="none"/>
          <w:lang w:val="zh-CN"/>
        </w:rPr>
        <w:t>我公司已详细阅读全部“招标文件”，包括修改文件（如果有）以及全部招标资料和相关附件，并已了解我公司在招投标过程中的权利和义务。</w:t>
      </w:r>
    </w:p>
    <w:p w14:paraId="74501478">
      <w:pPr>
        <w:spacing w:line="480" w:lineRule="auto"/>
        <w:ind w:firstLine="480"/>
        <w:rPr>
          <w:rFonts w:cs="宋体"/>
          <w:color w:val="auto"/>
          <w:highlight w:val="none"/>
        </w:rPr>
      </w:pPr>
      <w:r>
        <w:rPr>
          <w:rFonts w:hint="eastAsia" w:cs="宋体"/>
          <w:color w:val="auto"/>
          <w:kern w:val="0"/>
          <w:highlight w:val="none"/>
          <w:lang w:val="zh-CN"/>
        </w:rPr>
        <w:t>我公司理解并接受招标文件的各项规定和要求，同意此次招标文件中的各项内容，</w:t>
      </w:r>
      <w:r>
        <w:rPr>
          <w:rFonts w:hint="eastAsia" w:cs="宋体"/>
          <w:color w:val="auto"/>
          <w:kern w:val="0"/>
          <w:highlight w:val="none"/>
        </w:rPr>
        <w:t>并</w:t>
      </w:r>
      <w:r>
        <w:rPr>
          <w:rFonts w:hint="eastAsia" w:cs="宋体"/>
          <w:color w:val="auto"/>
          <w:kern w:val="0"/>
          <w:highlight w:val="none"/>
          <w:lang w:val="zh-CN"/>
        </w:rPr>
        <w:t>同意提供按照贵方可能要求的与投标有关的一切数据或资料等。</w:t>
      </w:r>
    </w:p>
    <w:p w14:paraId="414C7CB5">
      <w:pPr>
        <w:spacing w:line="480" w:lineRule="auto"/>
        <w:ind w:firstLine="480"/>
        <w:rPr>
          <w:rFonts w:cs="宋体"/>
          <w:color w:val="auto"/>
          <w:kern w:val="0"/>
          <w:highlight w:val="none"/>
          <w:lang w:val="zh-CN"/>
        </w:rPr>
      </w:pPr>
      <w:r>
        <w:rPr>
          <w:rFonts w:hint="eastAsia" w:cs="宋体"/>
          <w:color w:val="auto"/>
          <w:kern w:val="0"/>
          <w:highlight w:val="none"/>
          <w:lang w:val="zh-CN"/>
        </w:rPr>
        <w:t>本公司如中标，保证按照投标文件的承诺与贵方签订合同，保证履行合同条款并缴纳履约保证金。</w:t>
      </w:r>
    </w:p>
    <w:p w14:paraId="0FC79AA0">
      <w:pPr>
        <w:pStyle w:val="76"/>
        <w:rPr>
          <w:rFonts w:ascii="宋体" w:hAnsi="宋体" w:eastAsia="宋体" w:cs="宋体"/>
          <w:color w:val="auto"/>
          <w:highlight w:val="none"/>
          <w:lang w:val="zh-CN"/>
        </w:rPr>
      </w:pPr>
    </w:p>
    <w:p w14:paraId="50944318">
      <w:pPr>
        <w:pStyle w:val="76"/>
        <w:rPr>
          <w:rFonts w:ascii="宋体" w:hAnsi="宋体" w:eastAsia="宋体" w:cs="宋体"/>
          <w:color w:val="auto"/>
          <w:highlight w:val="none"/>
          <w:lang w:val="zh-CN"/>
        </w:rPr>
      </w:pPr>
    </w:p>
    <w:p w14:paraId="3147449B">
      <w:pPr>
        <w:ind w:firstLine="480"/>
        <w:rPr>
          <w:color w:val="auto"/>
          <w:highlight w:val="none"/>
          <w:lang w:val="zh-CN"/>
        </w:rPr>
      </w:pPr>
    </w:p>
    <w:p w14:paraId="1634CEAD">
      <w:pPr>
        <w:pStyle w:val="76"/>
        <w:rPr>
          <w:rFonts w:ascii="宋体" w:hAnsi="宋体" w:eastAsia="宋体" w:cs="宋体"/>
          <w:color w:val="auto"/>
          <w:highlight w:val="none"/>
          <w:lang w:val="zh-CN"/>
        </w:rPr>
      </w:pPr>
    </w:p>
    <w:p w14:paraId="0E79F964">
      <w:pPr>
        <w:spacing w:line="480" w:lineRule="auto"/>
        <w:ind w:firstLine="480"/>
        <w:rPr>
          <w:rFonts w:cs="宋体"/>
          <w:color w:val="auto"/>
          <w:highlight w:val="none"/>
        </w:rPr>
      </w:pPr>
      <w:r>
        <w:rPr>
          <w:rFonts w:hint="eastAsia" w:cs="宋体"/>
          <w:color w:val="auto"/>
          <w:highlight w:val="none"/>
        </w:rPr>
        <w:t>投标人名称（公章）：</w:t>
      </w:r>
    </w:p>
    <w:p w14:paraId="371C7606">
      <w:pPr>
        <w:spacing w:line="480" w:lineRule="auto"/>
        <w:ind w:firstLine="480"/>
        <w:rPr>
          <w:rFonts w:cs="宋体"/>
          <w:color w:val="auto"/>
          <w:highlight w:val="none"/>
        </w:rPr>
      </w:pPr>
      <w:r>
        <w:rPr>
          <w:rFonts w:hint="eastAsia" w:cs="宋体"/>
          <w:color w:val="auto"/>
          <w:highlight w:val="none"/>
        </w:rPr>
        <w:t>法定代表人或其授权代表（签字或盖章）：</w:t>
      </w:r>
    </w:p>
    <w:p w14:paraId="22F15038">
      <w:pPr>
        <w:spacing w:line="480" w:lineRule="auto"/>
        <w:ind w:firstLine="480"/>
        <w:rPr>
          <w:rFonts w:cs="宋体"/>
          <w:color w:val="auto"/>
          <w:highlight w:val="none"/>
        </w:rPr>
      </w:pPr>
      <w:r>
        <w:rPr>
          <w:rFonts w:hint="eastAsia" w:cs="宋体"/>
          <w:color w:val="auto"/>
          <w:highlight w:val="none"/>
        </w:rPr>
        <w:t>日期：  年   月   日</w:t>
      </w:r>
    </w:p>
    <w:p w14:paraId="3AA10546">
      <w:pPr>
        <w:pStyle w:val="76"/>
        <w:rPr>
          <w:rFonts w:ascii="宋体" w:hAnsi="宋体" w:eastAsia="宋体" w:cs="宋体"/>
          <w:color w:val="auto"/>
          <w:highlight w:val="none"/>
        </w:rPr>
      </w:pPr>
      <w:r>
        <w:rPr>
          <w:rFonts w:hint="eastAsia" w:ascii="宋体" w:hAnsi="宋体" w:eastAsia="宋体" w:cs="宋体"/>
          <w:color w:val="auto"/>
          <w:highlight w:val="none"/>
        </w:rPr>
        <w:t xml:space="preserve">                 </w:t>
      </w:r>
    </w:p>
    <w:p w14:paraId="563C6B1F">
      <w:pPr>
        <w:pStyle w:val="76"/>
        <w:rPr>
          <w:rFonts w:ascii="宋体" w:hAnsi="宋体" w:eastAsia="宋体" w:cs="宋体"/>
          <w:color w:val="auto"/>
          <w:highlight w:val="none"/>
        </w:rPr>
      </w:pPr>
    </w:p>
    <w:p w14:paraId="1B84FEC8">
      <w:pPr>
        <w:pStyle w:val="76"/>
        <w:rPr>
          <w:rFonts w:ascii="宋体" w:hAnsi="宋体" w:eastAsia="宋体" w:cs="宋体"/>
          <w:color w:val="auto"/>
          <w:highlight w:val="none"/>
        </w:rPr>
      </w:pPr>
    </w:p>
    <w:p w14:paraId="0F2DEDDB">
      <w:pPr>
        <w:pStyle w:val="76"/>
        <w:rPr>
          <w:rFonts w:ascii="宋体" w:hAnsi="宋体" w:eastAsia="宋体" w:cs="宋体"/>
          <w:color w:val="auto"/>
          <w:highlight w:val="none"/>
        </w:rPr>
      </w:pPr>
    </w:p>
    <w:p w14:paraId="48E35F8C">
      <w:pPr>
        <w:pStyle w:val="76"/>
        <w:rPr>
          <w:rFonts w:ascii="宋体" w:hAnsi="宋体" w:eastAsia="宋体" w:cs="宋体"/>
          <w:color w:val="auto"/>
          <w:highlight w:val="none"/>
        </w:rPr>
      </w:pPr>
      <w:r>
        <w:rPr>
          <w:rFonts w:hint="eastAsia" w:ascii="宋体" w:hAnsi="宋体" w:eastAsia="宋体" w:cs="宋体"/>
          <w:color w:val="auto"/>
          <w:highlight w:val="none"/>
        </w:rPr>
        <w:br w:type="page"/>
      </w:r>
    </w:p>
    <w:p w14:paraId="27FDFC1B">
      <w:pPr>
        <w:pStyle w:val="5"/>
        <w:rPr>
          <w:rFonts w:hint="eastAsia" w:eastAsia="宋体" w:cs="宋体"/>
          <w:color w:val="auto"/>
          <w:szCs w:val="24"/>
          <w:highlight w:val="none"/>
          <w:lang w:eastAsia="zh-CN"/>
        </w:rPr>
      </w:pPr>
      <w:r>
        <w:rPr>
          <w:rFonts w:hint="eastAsia" w:cs="宋体"/>
          <w:color w:val="auto"/>
          <w:szCs w:val="24"/>
          <w:highlight w:val="none"/>
        </w:rPr>
        <w:t>附件十</w:t>
      </w:r>
      <w:r>
        <w:rPr>
          <w:rFonts w:hint="eastAsia" w:cs="宋体"/>
          <w:color w:val="auto"/>
          <w:szCs w:val="24"/>
          <w:highlight w:val="none"/>
          <w:lang w:eastAsia="zh-CN"/>
        </w:rPr>
        <w:t>一</w:t>
      </w:r>
    </w:p>
    <w:p w14:paraId="404E38E9">
      <w:pPr>
        <w:pStyle w:val="5"/>
        <w:jc w:val="center"/>
        <w:rPr>
          <w:rFonts w:cs="宋体"/>
          <w:color w:val="auto"/>
          <w:szCs w:val="24"/>
          <w:highlight w:val="none"/>
        </w:rPr>
      </w:pPr>
      <w:r>
        <w:rPr>
          <w:rFonts w:hint="eastAsia" w:cs="宋体"/>
          <w:color w:val="auto"/>
          <w:sz w:val="28"/>
          <w:szCs w:val="28"/>
          <w:highlight w:val="none"/>
        </w:rPr>
        <w:t>廉政承诺书</w:t>
      </w:r>
    </w:p>
    <w:p w14:paraId="64474760">
      <w:pPr>
        <w:spacing w:line="240" w:lineRule="auto"/>
        <w:ind w:firstLine="0" w:firstLineChars="0"/>
        <w:rPr>
          <w:rFonts w:cs="宋体"/>
          <w:color w:val="auto"/>
          <w:highlight w:val="none"/>
        </w:rPr>
      </w:pPr>
    </w:p>
    <w:p w14:paraId="10BBDE5D">
      <w:pPr>
        <w:spacing w:line="480" w:lineRule="auto"/>
        <w:ind w:firstLine="0" w:firstLineChars="0"/>
        <w:rPr>
          <w:rFonts w:cs="宋体"/>
          <w:color w:val="auto"/>
          <w:highlight w:val="none"/>
        </w:rPr>
      </w:pPr>
      <w:r>
        <w:rPr>
          <w:rFonts w:hint="eastAsia" w:cs="宋体"/>
          <w:color w:val="auto"/>
          <w:highlight w:val="none"/>
          <w:u w:val="single"/>
        </w:rPr>
        <w:t>（招标人）</w:t>
      </w:r>
      <w:r>
        <w:rPr>
          <w:rFonts w:hint="eastAsia" w:cs="宋体"/>
          <w:color w:val="auto"/>
          <w:highlight w:val="none"/>
        </w:rPr>
        <w:t>：</w:t>
      </w:r>
    </w:p>
    <w:p w14:paraId="612A83B5">
      <w:pPr>
        <w:spacing w:line="480" w:lineRule="auto"/>
        <w:ind w:firstLine="480"/>
        <w:rPr>
          <w:rFonts w:cs="宋体"/>
          <w:color w:val="auto"/>
          <w:highlight w:val="none"/>
        </w:rPr>
      </w:pPr>
      <w:r>
        <w:rPr>
          <w:rFonts w:hint="eastAsia" w:cs="宋体"/>
          <w:color w:val="auto"/>
          <w:highlight w:val="none"/>
        </w:rPr>
        <w:t xml:space="preserve">我单位响应你单位项目招标要求参加投标。在这次投标过程中和中标后，我们将严格遵守国家法律法规要求，并郑重承诺： </w:t>
      </w:r>
    </w:p>
    <w:p w14:paraId="5B990712">
      <w:pPr>
        <w:spacing w:line="480" w:lineRule="auto"/>
        <w:ind w:firstLine="480"/>
        <w:rPr>
          <w:rFonts w:cs="宋体"/>
          <w:color w:val="auto"/>
          <w:highlight w:val="none"/>
        </w:rPr>
      </w:pPr>
      <w:r>
        <w:rPr>
          <w:rFonts w:hint="eastAsia" w:cs="宋体"/>
          <w:color w:val="auto"/>
          <w:highlight w:val="none"/>
        </w:rPr>
        <w:t>一、不向项目有关人员及部门赠送礼金礼物、有价证券、回扣以及中介费、介绍费、咨询费等好处费；</w:t>
      </w:r>
    </w:p>
    <w:p w14:paraId="52D0559E">
      <w:pPr>
        <w:spacing w:line="480" w:lineRule="auto"/>
        <w:ind w:firstLine="480"/>
        <w:rPr>
          <w:rFonts w:cs="宋体"/>
          <w:color w:val="auto"/>
          <w:highlight w:val="none"/>
        </w:rPr>
      </w:pPr>
      <w:r>
        <w:rPr>
          <w:rFonts w:hint="eastAsia" w:cs="宋体"/>
          <w:color w:val="auto"/>
          <w:highlight w:val="none"/>
        </w:rPr>
        <w:t>二、不为项目有关人员及部门报销应由你方单位或个人支付的费用；</w:t>
      </w:r>
    </w:p>
    <w:p w14:paraId="5D23AD77">
      <w:pPr>
        <w:spacing w:line="480" w:lineRule="auto"/>
        <w:ind w:firstLine="480"/>
        <w:rPr>
          <w:rFonts w:cs="宋体"/>
          <w:color w:val="auto"/>
          <w:highlight w:val="none"/>
        </w:rPr>
      </w:pPr>
      <w:r>
        <w:rPr>
          <w:rFonts w:hint="eastAsia" w:cs="宋体"/>
          <w:color w:val="auto"/>
          <w:highlight w:val="none"/>
        </w:rPr>
        <w:t>三、不向项目有关人员及部门提供有可能影响公正的宴请和健身娱乐等活动；</w:t>
      </w:r>
    </w:p>
    <w:p w14:paraId="1C2DB102">
      <w:pPr>
        <w:spacing w:line="480" w:lineRule="auto"/>
        <w:ind w:firstLine="480"/>
        <w:rPr>
          <w:rFonts w:cs="宋体"/>
          <w:color w:val="auto"/>
          <w:highlight w:val="none"/>
        </w:rPr>
      </w:pPr>
      <w:r>
        <w:rPr>
          <w:rFonts w:hint="eastAsia" w:cs="宋体"/>
          <w:color w:val="auto"/>
          <w:highlight w:val="none"/>
        </w:rPr>
        <w:t>四、不为项目有关人员及部门出国（境）、旅游等提供方便；</w:t>
      </w:r>
    </w:p>
    <w:p w14:paraId="33ED85C8">
      <w:pPr>
        <w:spacing w:line="480" w:lineRule="auto"/>
        <w:ind w:firstLine="480"/>
        <w:rPr>
          <w:rFonts w:cs="宋体"/>
          <w:color w:val="auto"/>
          <w:highlight w:val="none"/>
        </w:rPr>
      </w:pPr>
      <w:r>
        <w:rPr>
          <w:rFonts w:hint="eastAsia" w:cs="宋体"/>
          <w:color w:val="auto"/>
          <w:highlight w:val="none"/>
        </w:rPr>
        <w:t>五、不为项目有关人员个人装修住房、婚丧嫁娶、配偶子女工作安排等提供好处；</w:t>
      </w:r>
    </w:p>
    <w:p w14:paraId="761DCCA9">
      <w:pPr>
        <w:spacing w:line="480" w:lineRule="auto"/>
        <w:ind w:firstLine="480"/>
        <w:rPr>
          <w:rFonts w:cs="宋体"/>
          <w:color w:val="auto"/>
          <w:highlight w:val="none"/>
        </w:rPr>
      </w:pPr>
      <w:r>
        <w:rPr>
          <w:rFonts w:hint="eastAsia" w:cs="宋体"/>
          <w:color w:val="auto"/>
          <w:highlight w:val="none"/>
        </w:rPr>
        <w:t>六、严格遵守招标投标法、合同法等法律，诚实守信，合法经营，坚决抵制各种违法违纪行为。</w:t>
      </w:r>
    </w:p>
    <w:p w14:paraId="42DD846C">
      <w:pPr>
        <w:spacing w:line="480" w:lineRule="auto"/>
        <w:ind w:firstLine="480"/>
        <w:rPr>
          <w:rFonts w:cs="宋体"/>
          <w:color w:val="auto"/>
          <w:highlight w:val="none"/>
        </w:rPr>
      </w:pPr>
      <w:r>
        <w:rPr>
          <w:rFonts w:hint="eastAsia" w:cs="宋体"/>
          <w:color w:val="auto"/>
          <w:highlight w:val="none"/>
        </w:rPr>
        <w:t>如违反上述承诺，你单位有权立即取消我单位投标、中标或在建项目的建设资格，有权拒绝我单位在一定时期内进入你单位进行工程建设或其他经营活动，并通报省招标监管处。由此引起的相应损失均由我单位承担。</w:t>
      </w:r>
    </w:p>
    <w:p w14:paraId="798696E5">
      <w:pPr>
        <w:ind w:firstLine="0" w:firstLineChars="0"/>
        <w:rPr>
          <w:rFonts w:cs="宋体"/>
          <w:color w:val="auto"/>
          <w:highlight w:val="none"/>
        </w:rPr>
      </w:pPr>
    </w:p>
    <w:p w14:paraId="6D29F6DD">
      <w:pPr>
        <w:ind w:firstLine="0" w:firstLineChars="0"/>
        <w:jc w:val="left"/>
        <w:rPr>
          <w:rFonts w:cs="宋体"/>
          <w:color w:val="auto"/>
          <w:highlight w:val="none"/>
        </w:rPr>
      </w:pPr>
    </w:p>
    <w:p w14:paraId="21E7CFBE">
      <w:pPr>
        <w:spacing w:line="480" w:lineRule="auto"/>
        <w:ind w:firstLine="480"/>
        <w:rPr>
          <w:rFonts w:cs="宋体"/>
          <w:color w:val="auto"/>
          <w:highlight w:val="none"/>
        </w:rPr>
      </w:pPr>
      <w:r>
        <w:rPr>
          <w:rFonts w:hint="eastAsia" w:cs="宋体"/>
          <w:color w:val="auto"/>
          <w:highlight w:val="none"/>
        </w:rPr>
        <w:t>投标人名称（公章）：</w:t>
      </w:r>
    </w:p>
    <w:p w14:paraId="3C424E29">
      <w:pPr>
        <w:spacing w:line="480" w:lineRule="auto"/>
        <w:ind w:firstLine="480"/>
        <w:rPr>
          <w:rFonts w:cs="宋体"/>
          <w:color w:val="auto"/>
          <w:highlight w:val="none"/>
        </w:rPr>
      </w:pPr>
      <w:r>
        <w:rPr>
          <w:rFonts w:hint="eastAsia" w:cs="宋体"/>
          <w:color w:val="auto"/>
          <w:highlight w:val="none"/>
        </w:rPr>
        <w:t>法定代表人或其授权代表（签字或盖章）：</w:t>
      </w:r>
    </w:p>
    <w:p w14:paraId="242BB5CA">
      <w:pPr>
        <w:spacing w:line="480" w:lineRule="auto"/>
        <w:ind w:firstLine="480"/>
        <w:rPr>
          <w:rFonts w:cs="宋体"/>
          <w:color w:val="auto"/>
          <w:highlight w:val="none"/>
        </w:rPr>
      </w:pPr>
      <w:r>
        <w:rPr>
          <w:rFonts w:hint="eastAsia" w:cs="宋体"/>
          <w:color w:val="auto"/>
          <w:highlight w:val="none"/>
        </w:rPr>
        <w:t>日期：  年   月   日</w:t>
      </w:r>
    </w:p>
    <w:p w14:paraId="3027932D">
      <w:pPr>
        <w:ind w:firstLine="228" w:firstLineChars="95"/>
        <w:jc w:val="left"/>
        <w:rPr>
          <w:rFonts w:cs="宋体"/>
          <w:color w:val="auto"/>
          <w:highlight w:val="none"/>
        </w:rPr>
        <w:sectPr>
          <w:pgSz w:w="11907" w:h="16840"/>
          <w:pgMar w:top="1440" w:right="1080" w:bottom="1440" w:left="1080" w:header="720" w:footer="720" w:gutter="0"/>
          <w:pgNumType w:fmt="decimal"/>
          <w:cols w:space="720" w:num="1"/>
          <w:docGrid w:linePitch="286" w:charSpace="0"/>
        </w:sectPr>
      </w:pPr>
    </w:p>
    <w:p w14:paraId="4B989CB0">
      <w:pPr>
        <w:pStyle w:val="5"/>
        <w:rPr>
          <w:rFonts w:hint="eastAsia" w:eastAsia="宋体" w:cs="宋体"/>
          <w:color w:val="auto"/>
          <w:szCs w:val="24"/>
          <w:highlight w:val="none"/>
          <w:lang w:eastAsia="zh-CN"/>
        </w:rPr>
      </w:pPr>
      <w:r>
        <w:rPr>
          <w:rFonts w:hint="eastAsia" w:cs="宋体"/>
          <w:color w:val="auto"/>
          <w:szCs w:val="24"/>
          <w:highlight w:val="none"/>
        </w:rPr>
        <w:t>附件十</w:t>
      </w:r>
      <w:r>
        <w:rPr>
          <w:rFonts w:hint="eastAsia" w:cs="宋体"/>
          <w:color w:val="auto"/>
          <w:szCs w:val="24"/>
          <w:highlight w:val="none"/>
          <w:lang w:eastAsia="zh-CN"/>
        </w:rPr>
        <w:t>二</w:t>
      </w:r>
    </w:p>
    <w:tbl>
      <w:tblPr>
        <w:tblStyle w:val="43"/>
        <w:tblW w:w="9471" w:type="dxa"/>
        <w:tblInd w:w="93" w:type="dxa"/>
        <w:tblLayout w:type="fixed"/>
        <w:tblCellMar>
          <w:top w:w="0" w:type="dxa"/>
          <w:left w:w="108" w:type="dxa"/>
          <w:bottom w:w="0" w:type="dxa"/>
          <w:right w:w="108" w:type="dxa"/>
        </w:tblCellMar>
      </w:tblPr>
      <w:tblGrid>
        <w:gridCol w:w="758"/>
        <w:gridCol w:w="1541"/>
        <w:gridCol w:w="1622"/>
        <w:gridCol w:w="2032"/>
        <w:gridCol w:w="1036"/>
        <w:gridCol w:w="1009"/>
        <w:gridCol w:w="1473"/>
      </w:tblGrid>
      <w:tr w14:paraId="5A825B00">
        <w:tblPrEx>
          <w:tblCellMar>
            <w:top w:w="0" w:type="dxa"/>
            <w:left w:w="108" w:type="dxa"/>
            <w:bottom w:w="0" w:type="dxa"/>
            <w:right w:w="108" w:type="dxa"/>
          </w:tblCellMar>
        </w:tblPrEx>
        <w:trPr>
          <w:trHeight w:val="495" w:hRule="atLeast"/>
        </w:trPr>
        <w:tc>
          <w:tcPr>
            <w:tcW w:w="94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0183">
            <w:pPr>
              <w:widowControl/>
              <w:spacing w:line="440" w:lineRule="exact"/>
              <w:ind w:firstLine="482"/>
              <w:jc w:val="center"/>
              <w:textAlignment w:val="center"/>
              <w:rPr>
                <w:rFonts w:cs="宋体"/>
                <w:b/>
                <w:bCs/>
                <w:color w:val="auto"/>
                <w:highlight w:val="none"/>
              </w:rPr>
            </w:pPr>
            <w:r>
              <w:rPr>
                <w:rFonts w:hint="eastAsia" w:cs="宋体"/>
                <w:b/>
                <w:bCs/>
                <w:color w:val="auto"/>
                <w:kern w:val="0"/>
                <w:highlight w:val="none"/>
                <w:lang w:bidi="ar"/>
              </w:rPr>
              <w:t>投标人股权信息表</w:t>
            </w:r>
          </w:p>
        </w:tc>
      </w:tr>
      <w:tr w14:paraId="3E1AD7D5">
        <w:tblPrEx>
          <w:tblCellMar>
            <w:top w:w="0" w:type="dxa"/>
            <w:left w:w="108" w:type="dxa"/>
            <w:bottom w:w="0" w:type="dxa"/>
            <w:right w:w="108" w:type="dxa"/>
          </w:tblCellMar>
        </w:tblPrEx>
        <w:trPr>
          <w:trHeight w:val="480" w:hRule="atLeast"/>
        </w:trPr>
        <w:tc>
          <w:tcPr>
            <w:tcW w:w="94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FD3B">
            <w:pPr>
              <w:widowControl/>
              <w:spacing w:line="440" w:lineRule="exact"/>
              <w:ind w:firstLine="0" w:firstLineChars="0"/>
              <w:jc w:val="left"/>
              <w:textAlignment w:val="center"/>
              <w:rPr>
                <w:rFonts w:cs="宋体"/>
                <w:color w:val="auto"/>
                <w:highlight w:val="none"/>
              </w:rPr>
            </w:pPr>
            <w:r>
              <w:rPr>
                <w:rFonts w:hint="eastAsia" w:cs="宋体"/>
                <w:color w:val="auto"/>
                <w:kern w:val="0"/>
                <w:highlight w:val="none"/>
                <w:lang w:bidi="ar"/>
              </w:rPr>
              <w:t>项目编号：</w:t>
            </w:r>
          </w:p>
        </w:tc>
      </w:tr>
      <w:tr w14:paraId="4FFA4FF5">
        <w:tblPrEx>
          <w:tblCellMar>
            <w:top w:w="0" w:type="dxa"/>
            <w:left w:w="108" w:type="dxa"/>
            <w:bottom w:w="0" w:type="dxa"/>
            <w:right w:w="108" w:type="dxa"/>
          </w:tblCellMar>
        </w:tblPrEx>
        <w:trPr>
          <w:trHeight w:val="520" w:hRule="atLeast"/>
        </w:trPr>
        <w:tc>
          <w:tcPr>
            <w:tcW w:w="94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D70C">
            <w:pPr>
              <w:spacing w:line="440" w:lineRule="exact"/>
              <w:ind w:firstLine="0" w:firstLineChars="0"/>
              <w:jc w:val="left"/>
              <w:rPr>
                <w:rFonts w:cs="宋体"/>
                <w:color w:val="auto"/>
                <w:highlight w:val="none"/>
              </w:rPr>
            </w:pPr>
            <w:r>
              <w:rPr>
                <w:rFonts w:hint="eastAsia" w:cs="宋体"/>
                <w:color w:val="auto"/>
                <w:kern w:val="0"/>
                <w:highlight w:val="none"/>
                <w:lang w:bidi="ar"/>
              </w:rPr>
              <w:t>项目名称：</w:t>
            </w:r>
          </w:p>
        </w:tc>
      </w:tr>
      <w:tr w14:paraId="6CFF428D">
        <w:tblPrEx>
          <w:tblCellMar>
            <w:top w:w="0" w:type="dxa"/>
            <w:left w:w="108" w:type="dxa"/>
            <w:bottom w:w="0" w:type="dxa"/>
            <w:right w:w="108"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E4C5">
            <w:pPr>
              <w:widowControl/>
              <w:spacing w:line="440" w:lineRule="exact"/>
              <w:ind w:firstLine="0" w:firstLineChars="0"/>
              <w:jc w:val="center"/>
              <w:textAlignment w:val="center"/>
              <w:rPr>
                <w:rFonts w:cs="宋体"/>
                <w:color w:val="auto"/>
                <w:highlight w:val="none"/>
              </w:rPr>
            </w:pPr>
            <w:r>
              <w:rPr>
                <w:rFonts w:hint="eastAsia" w:cs="宋体"/>
                <w:color w:val="auto"/>
                <w:kern w:val="0"/>
                <w:highlight w:val="none"/>
                <w:lang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9DF">
            <w:pPr>
              <w:widowControl/>
              <w:spacing w:line="440" w:lineRule="exact"/>
              <w:ind w:firstLine="0" w:firstLineChars="0"/>
              <w:jc w:val="center"/>
              <w:textAlignment w:val="center"/>
              <w:rPr>
                <w:rFonts w:cs="宋体"/>
                <w:color w:val="auto"/>
                <w:highlight w:val="none"/>
              </w:rPr>
            </w:pPr>
            <w:r>
              <w:rPr>
                <w:rFonts w:hint="eastAsia" w:cs="宋体"/>
                <w:color w:val="auto"/>
                <w:kern w:val="0"/>
                <w:highlight w:val="none"/>
                <w:lang w:bidi="ar"/>
              </w:rPr>
              <w:t>投标人名称</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88CE">
            <w:pPr>
              <w:widowControl/>
              <w:spacing w:line="440" w:lineRule="exact"/>
              <w:ind w:firstLine="0" w:firstLineChars="0"/>
              <w:jc w:val="center"/>
              <w:textAlignment w:val="center"/>
              <w:rPr>
                <w:rFonts w:cs="宋体"/>
                <w:color w:val="auto"/>
                <w:highlight w:val="none"/>
              </w:rPr>
            </w:pPr>
            <w:r>
              <w:rPr>
                <w:rFonts w:hint="eastAsia" w:cs="宋体"/>
                <w:color w:val="auto"/>
                <w:kern w:val="0"/>
                <w:highlight w:val="none"/>
                <w:lang w:bidi="ar"/>
              </w:rPr>
              <w:t>法定代表人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75C1">
            <w:pPr>
              <w:widowControl/>
              <w:spacing w:line="440" w:lineRule="exact"/>
              <w:ind w:firstLine="0" w:firstLineChars="0"/>
              <w:textAlignment w:val="center"/>
              <w:rPr>
                <w:rFonts w:cs="宋体"/>
                <w:color w:val="auto"/>
                <w:highlight w:val="none"/>
              </w:rPr>
            </w:pPr>
            <w:r>
              <w:rPr>
                <w:rFonts w:hint="eastAsia" w:cs="宋体"/>
                <w:color w:val="auto"/>
                <w:kern w:val="0"/>
                <w:highlight w:val="none"/>
                <w:lang w:bidi="ar"/>
              </w:rPr>
              <w:t>股东（股权比例）</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E4A0">
            <w:pPr>
              <w:widowControl/>
              <w:spacing w:line="440" w:lineRule="exact"/>
              <w:ind w:firstLine="0" w:firstLineChars="0"/>
              <w:jc w:val="center"/>
              <w:textAlignment w:val="center"/>
              <w:rPr>
                <w:rFonts w:cs="宋体"/>
                <w:color w:val="auto"/>
                <w:highlight w:val="none"/>
              </w:rPr>
            </w:pPr>
            <w:r>
              <w:rPr>
                <w:rFonts w:hint="eastAsia" w:cs="宋体"/>
                <w:color w:val="auto"/>
                <w:kern w:val="0"/>
                <w:highlight w:val="none"/>
                <w:lang w:bidi="ar"/>
              </w:rPr>
              <w:t>董事</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7759">
            <w:pPr>
              <w:widowControl/>
              <w:spacing w:line="440" w:lineRule="exact"/>
              <w:ind w:firstLine="0" w:firstLineChars="0"/>
              <w:jc w:val="center"/>
              <w:textAlignment w:val="center"/>
              <w:rPr>
                <w:rFonts w:cs="宋体"/>
                <w:color w:val="auto"/>
                <w:highlight w:val="none"/>
              </w:rPr>
            </w:pPr>
            <w:r>
              <w:rPr>
                <w:rFonts w:hint="eastAsia" w:cs="宋体"/>
                <w:color w:val="auto"/>
                <w:kern w:val="0"/>
                <w:highlight w:val="none"/>
                <w:lang w:bidi="ar"/>
              </w:rPr>
              <w:t>监事</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4E37">
            <w:pPr>
              <w:widowControl/>
              <w:spacing w:line="440" w:lineRule="exact"/>
              <w:ind w:firstLine="0" w:firstLineChars="0"/>
              <w:jc w:val="center"/>
              <w:textAlignment w:val="center"/>
              <w:rPr>
                <w:rFonts w:cs="宋体"/>
                <w:color w:val="auto"/>
                <w:highlight w:val="none"/>
              </w:rPr>
            </w:pPr>
            <w:r>
              <w:rPr>
                <w:rFonts w:hint="eastAsia" w:cs="宋体"/>
                <w:color w:val="auto"/>
                <w:kern w:val="0"/>
                <w:highlight w:val="none"/>
                <w:lang w:bidi="ar"/>
              </w:rPr>
              <w:t>授权代表</w:t>
            </w:r>
          </w:p>
        </w:tc>
      </w:tr>
      <w:tr w14:paraId="3B0DE0E9">
        <w:tblPrEx>
          <w:tblCellMar>
            <w:top w:w="0" w:type="dxa"/>
            <w:left w:w="108" w:type="dxa"/>
            <w:bottom w:w="0" w:type="dxa"/>
            <w:right w:w="108" w:type="dxa"/>
          </w:tblCellMar>
        </w:tblPrEx>
        <w:trPr>
          <w:trHeight w:val="531"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60E1">
            <w:pPr>
              <w:widowControl/>
              <w:spacing w:line="440" w:lineRule="exact"/>
              <w:ind w:firstLine="0" w:firstLineChars="0"/>
              <w:jc w:val="center"/>
              <w:textAlignment w:val="center"/>
              <w:rPr>
                <w:rFonts w:cs="宋体"/>
                <w:color w:val="auto"/>
                <w:highlight w:val="none"/>
              </w:rPr>
            </w:pPr>
            <w:r>
              <w:rPr>
                <w:rFonts w:hint="eastAsia" w:cs="宋体"/>
                <w:color w:val="auto"/>
                <w:kern w:val="0"/>
                <w:highlight w:val="none"/>
                <w:lang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8D3F">
            <w:pPr>
              <w:spacing w:line="440" w:lineRule="exact"/>
              <w:ind w:firstLine="480"/>
              <w:jc w:val="center"/>
              <w:rPr>
                <w:rFonts w:cs="宋体"/>
                <w:color w:val="auto"/>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75AF">
            <w:pPr>
              <w:spacing w:line="440" w:lineRule="exact"/>
              <w:ind w:firstLine="480"/>
              <w:jc w:val="center"/>
              <w:rPr>
                <w:rFonts w:cs="宋体"/>
                <w:color w:val="auto"/>
                <w:highlight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82F3">
            <w:pPr>
              <w:spacing w:line="440" w:lineRule="exact"/>
              <w:ind w:firstLine="480"/>
              <w:jc w:val="center"/>
              <w:rPr>
                <w:rFonts w:cs="宋体"/>
                <w:color w:val="auto"/>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507B">
            <w:pPr>
              <w:spacing w:line="440" w:lineRule="exact"/>
              <w:ind w:firstLine="480"/>
              <w:jc w:val="center"/>
              <w:rPr>
                <w:rFonts w:cs="宋体"/>
                <w:color w:val="auto"/>
                <w:highlight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619F">
            <w:pPr>
              <w:spacing w:line="440" w:lineRule="exact"/>
              <w:ind w:firstLine="480"/>
              <w:jc w:val="center"/>
              <w:rPr>
                <w:rFonts w:cs="宋体"/>
                <w:color w:val="auto"/>
                <w:highlight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8A2C">
            <w:pPr>
              <w:spacing w:line="440" w:lineRule="exact"/>
              <w:ind w:firstLine="480"/>
              <w:jc w:val="center"/>
              <w:rPr>
                <w:rFonts w:cs="宋体"/>
                <w:color w:val="auto"/>
                <w:highlight w:val="none"/>
              </w:rPr>
            </w:pPr>
          </w:p>
        </w:tc>
      </w:tr>
      <w:tr w14:paraId="7442ED70">
        <w:tblPrEx>
          <w:tblCellMar>
            <w:top w:w="0" w:type="dxa"/>
            <w:left w:w="108" w:type="dxa"/>
            <w:bottom w:w="0" w:type="dxa"/>
            <w:right w:w="108" w:type="dxa"/>
          </w:tblCellMar>
        </w:tblPrEx>
        <w:trPr>
          <w:trHeight w:val="1057" w:hRule="atLeast"/>
        </w:trPr>
        <w:tc>
          <w:tcPr>
            <w:tcW w:w="94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BB87">
            <w:pPr>
              <w:widowControl/>
              <w:spacing w:line="440" w:lineRule="exact"/>
              <w:ind w:firstLine="0" w:firstLineChars="0"/>
              <w:jc w:val="left"/>
              <w:textAlignment w:val="center"/>
              <w:rPr>
                <w:rFonts w:cs="宋体"/>
                <w:color w:val="auto"/>
                <w:highlight w:val="none"/>
              </w:rPr>
            </w:pPr>
            <w:r>
              <w:rPr>
                <w:rFonts w:hint="eastAsia" w:cs="宋体"/>
                <w:color w:val="auto"/>
                <w:kern w:val="0"/>
                <w:highlight w:val="none"/>
                <w:lang w:bidi="ar"/>
              </w:rPr>
              <w:t>投标人全称（盖章）：</w:t>
            </w:r>
          </w:p>
        </w:tc>
      </w:tr>
      <w:tr w14:paraId="73031C00">
        <w:tblPrEx>
          <w:tblCellMar>
            <w:top w:w="0" w:type="dxa"/>
            <w:left w:w="108" w:type="dxa"/>
            <w:bottom w:w="0" w:type="dxa"/>
            <w:right w:w="108" w:type="dxa"/>
          </w:tblCellMar>
        </w:tblPrEx>
        <w:trPr>
          <w:trHeight w:val="1073" w:hRule="atLeast"/>
        </w:trPr>
        <w:tc>
          <w:tcPr>
            <w:tcW w:w="94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33EA">
            <w:pPr>
              <w:widowControl/>
              <w:spacing w:line="440" w:lineRule="exact"/>
              <w:ind w:firstLine="0" w:firstLineChars="0"/>
              <w:jc w:val="left"/>
              <w:textAlignment w:val="center"/>
              <w:rPr>
                <w:rFonts w:cs="宋体"/>
                <w:color w:val="auto"/>
                <w:highlight w:val="none"/>
              </w:rPr>
            </w:pPr>
            <w:r>
              <w:rPr>
                <w:rFonts w:hint="eastAsia" w:cs="宋体"/>
                <w:color w:val="auto"/>
                <w:kern w:val="0"/>
                <w:highlight w:val="none"/>
                <w:lang w:bidi="ar"/>
              </w:rPr>
              <w:t xml:space="preserve">法定代表人或其授权代表（签字）：                                            </w:t>
            </w:r>
          </w:p>
        </w:tc>
      </w:tr>
    </w:tbl>
    <w:p w14:paraId="0C6B81CC">
      <w:pPr>
        <w:pStyle w:val="3"/>
        <w:rPr>
          <w:color w:val="auto"/>
          <w:highlight w:val="none"/>
        </w:rPr>
        <w:sectPr>
          <w:pgSz w:w="11907" w:h="16840"/>
          <w:pgMar w:top="1440" w:right="1080" w:bottom="1440" w:left="1080" w:header="720" w:footer="720" w:gutter="0"/>
          <w:pgNumType w:fmt="decimal"/>
          <w:cols w:space="720" w:num="1"/>
          <w:docGrid w:linePitch="286" w:charSpace="0"/>
        </w:sectPr>
      </w:pPr>
    </w:p>
    <w:p w14:paraId="29AC9EC6">
      <w:pPr>
        <w:pStyle w:val="5"/>
        <w:rPr>
          <w:rFonts w:cs="宋体"/>
          <w:color w:val="auto"/>
          <w:szCs w:val="24"/>
          <w:highlight w:val="none"/>
        </w:rPr>
      </w:pPr>
      <w:r>
        <w:rPr>
          <w:rFonts w:hint="eastAsia" w:cs="宋体"/>
          <w:color w:val="auto"/>
          <w:szCs w:val="24"/>
          <w:highlight w:val="none"/>
        </w:rPr>
        <w:t>附件十</w:t>
      </w:r>
      <w:r>
        <w:rPr>
          <w:rFonts w:hint="eastAsia" w:cs="宋体"/>
          <w:color w:val="auto"/>
          <w:szCs w:val="24"/>
          <w:highlight w:val="none"/>
          <w:lang w:eastAsia="zh-CN"/>
        </w:rPr>
        <w:t>三</w:t>
      </w:r>
      <w:r>
        <w:rPr>
          <w:rFonts w:hint="eastAsia" w:cs="宋体"/>
          <w:color w:val="auto"/>
          <w:szCs w:val="24"/>
          <w:highlight w:val="none"/>
        </w:rPr>
        <w:t xml:space="preserve"> </w:t>
      </w:r>
    </w:p>
    <w:p w14:paraId="576C2D82">
      <w:pPr>
        <w:ind w:firstLine="0" w:firstLineChars="0"/>
        <w:jc w:val="center"/>
        <w:rPr>
          <w:rFonts w:cs="宋体"/>
          <w:color w:val="auto"/>
          <w:highlight w:val="none"/>
        </w:rPr>
      </w:pPr>
      <w:r>
        <w:rPr>
          <w:rFonts w:hint="eastAsia" w:cs="宋体"/>
          <w:b/>
          <w:bCs/>
          <w:color w:val="auto"/>
          <w:sz w:val="28"/>
          <w:szCs w:val="28"/>
          <w:highlight w:val="none"/>
        </w:rPr>
        <w:t>商务条款偏离表</w:t>
      </w:r>
    </w:p>
    <w:p w14:paraId="5598A4A8">
      <w:pPr>
        <w:ind w:firstLine="0" w:firstLineChars="0"/>
        <w:rPr>
          <w:rFonts w:cs="宋体"/>
          <w:color w:val="auto"/>
          <w:highlight w:val="none"/>
        </w:rPr>
      </w:pPr>
      <w:r>
        <w:rPr>
          <w:rFonts w:hint="eastAsia" w:cs="宋体"/>
          <w:color w:val="auto"/>
          <w:highlight w:val="none"/>
        </w:rPr>
        <w:t xml:space="preserve">项目名称：              项目编号：               </w:t>
      </w:r>
    </w:p>
    <w:tbl>
      <w:tblPr>
        <w:tblStyle w:val="4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218"/>
        <w:gridCol w:w="3212"/>
        <w:gridCol w:w="2187"/>
      </w:tblGrid>
      <w:tr w14:paraId="4DAD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14:paraId="597446E4">
            <w:pPr>
              <w:spacing w:line="460" w:lineRule="exact"/>
              <w:ind w:firstLine="0" w:firstLineChars="0"/>
              <w:jc w:val="center"/>
              <w:rPr>
                <w:rFonts w:cs="宋体"/>
                <w:color w:val="auto"/>
                <w:highlight w:val="none"/>
              </w:rPr>
            </w:pPr>
            <w:r>
              <w:rPr>
                <w:rFonts w:hint="eastAsia" w:cs="宋体"/>
                <w:color w:val="auto"/>
                <w:highlight w:val="none"/>
              </w:rPr>
              <w:t>序号</w:t>
            </w:r>
          </w:p>
        </w:tc>
        <w:tc>
          <w:tcPr>
            <w:tcW w:w="3218" w:type="dxa"/>
            <w:vAlign w:val="center"/>
          </w:tcPr>
          <w:p w14:paraId="04E51572">
            <w:pPr>
              <w:spacing w:line="460" w:lineRule="exact"/>
              <w:ind w:firstLine="0" w:firstLineChars="0"/>
              <w:jc w:val="center"/>
              <w:rPr>
                <w:rFonts w:cs="宋体"/>
                <w:color w:val="auto"/>
                <w:highlight w:val="none"/>
              </w:rPr>
            </w:pPr>
            <w:r>
              <w:rPr>
                <w:rFonts w:hint="eastAsia" w:cs="宋体"/>
                <w:color w:val="auto"/>
                <w:highlight w:val="none"/>
              </w:rPr>
              <w:t>招标要求</w:t>
            </w:r>
          </w:p>
        </w:tc>
        <w:tc>
          <w:tcPr>
            <w:tcW w:w="3212" w:type="dxa"/>
            <w:vAlign w:val="center"/>
          </w:tcPr>
          <w:p w14:paraId="46842E2C">
            <w:pPr>
              <w:spacing w:line="460" w:lineRule="exact"/>
              <w:ind w:left="102" w:firstLine="0" w:firstLineChars="0"/>
              <w:jc w:val="center"/>
              <w:rPr>
                <w:rFonts w:cs="宋体"/>
                <w:color w:val="auto"/>
                <w:highlight w:val="none"/>
              </w:rPr>
            </w:pPr>
            <w:r>
              <w:rPr>
                <w:rFonts w:hint="eastAsia" w:cs="宋体"/>
                <w:color w:val="auto"/>
                <w:highlight w:val="none"/>
              </w:rPr>
              <w:t>投标响应</w:t>
            </w:r>
          </w:p>
        </w:tc>
        <w:tc>
          <w:tcPr>
            <w:tcW w:w="2187" w:type="dxa"/>
            <w:vAlign w:val="center"/>
          </w:tcPr>
          <w:p w14:paraId="3B06EC2E">
            <w:pPr>
              <w:spacing w:line="460" w:lineRule="exact"/>
              <w:ind w:firstLine="0" w:firstLineChars="0"/>
              <w:jc w:val="center"/>
              <w:rPr>
                <w:rFonts w:cs="宋体"/>
                <w:color w:val="auto"/>
                <w:highlight w:val="none"/>
              </w:rPr>
            </w:pPr>
            <w:r>
              <w:rPr>
                <w:rFonts w:hint="eastAsia" w:cs="宋体"/>
                <w:color w:val="auto"/>
                <w:highlight w:val="none"/>
              </w:rPr>
              <w:t>偏离情况</w:t>
            </w:r>
          </w:p>
        </w:tc>
      </w:tr>
      <w:tr w14:paraId="3AAF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14:paraId="30ABF50D">
            <w:pPr>
              <w:spacing w:line="460" w:lineRule="exact"/>
              <w:ind w:firstLine="0" w:firstLineChars="0"/>
              <w:rPr>
                <w:rFonts w:cs="宋体"/>
                <w:color w:val="auto"/>
                <w:highlight w:val="none"/>
              </w:rPr>
            </w:pPr>
          </w:p>
        </w:tc>
        <w:tc>
          <w:tcPr>
            <w:tcW w:w="3218" w:type="dxa"/>
          </w:tcPr>
          <w:p w14:paraId="3D2E9C0D">
            <w:pPr>
              <w:spacing w:line="460" w:lineRule="exact"/>
              <w:ind w:firstLine="0" w:firstLineChars="0"/>
              <w:rPr>
                <w:rFonts w:cs="宋体"/>
                <w:color w:val="auto"/>
                <w:highlight w:val="none"/>
              </w:rPr>
            </w:pPr>
          </w:p>
        </w:tc>
        <w:tc>
          <w:tcPr>
            <w:tcW w:w="3212" w:type="dxa"/>
          </w:tcPr>
          <w:p w14:paraId="63C98913">
            <w:pPr>
              <w:spacing w:line="460" w:lineRule="exact"/>
              <w:ind w:firstLine="0" w:firstLineChars="0"/>
              <w:rPr>
                <w:rFonts w:cs="宋体"/>
                <w:color w:val="auto"/>
                <w:highlight w:val="none"/>
              </w:rPr>
            </w:pPr>
          </w:p>
        </w:tc>
        <w:tc>
          <w:tcPr>
            <w:tcW w:w="2187" w:type="dxa"/>
          </w:tcPr>
          <w:p w14:paraId="05BED9BC">
            <w:pPr>
              <w:spacing w:line="460" w:lineRule="exact"/>
              <w:ind w:firstLine="0" w:firstLineChars="0"/>
              <w:rPr>
                <w:rFonts w:cs="宋体"/>
                <w:color w:val="auto"/>
                <w:highlight w:val="none"/>
              </w:rPr>
            </w:pPr>
          </w:p>
        </w:tc>
      </w:tr>
      <w:tr w14:paraId="00CB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14:paraId="18A0E4DF">
            <w:pPr>
              <w:spacing w:line="460" w:lineRule="exact"/>
              <w:ind w:firstLine="0" w:firstLineChars="0"/>
              <w:rPr>
                <w:rFonts w:cs="宋体"/>
                <w:color w:val="auto"/>
                <w:highlight w:val="none"/>
              </w:rPr>
            </w:pPr>
          </w:p>
        </w:tc>
        <w:tc>
          <w:tcPr>
            <w:tcW w:w="3218" w:type="dxa"/>
          </w:tcPr>
          <w:p w14:paraId="3C2F3A89">
            <w:pPr>
              <w:spacing w:line="460" w:lineRule="exact"/>
              <w:ind w:firstLine="0" w:firstLineChars="0"/>
              <w:rPr>
                <w:rFonts w:cs="宋体"/>
                <w:color w:val="auto"/>
                <w:highlight w:val="none"/>
              </w:rPr>
            </w:pPr>
          </w:p>
        </w:tc>
        <w:tc>
          <w:tcPr>
            <w:tcW w:w="3212" w:type="dxa"/>
          </w:tcPr>
          <w:p w14:paraId="3191254B">
            <w:pPr>
              <w:spacing w:line="460" w:lineRule="exact"/>
              <w:ind w:firstLine="0" w:firstLineChars="0"/>
              <w:rPr>
                <w:rFonts w:cs="宋体"/>
                <w:color w:val="auto"/>
                <w:highlight w:val="none"/>
              </w:rPr>
            </w:pPr>
          </w:p>
        </w:tc>
        <w:tc>
          <w:tcPr>
            <w:tcW w:w="2187" w:type="dxa"/>
          </w:tcPr>
          <w:p w14:paraId="2A1B3318">
            <w:pPr>
              <w:spacing w:line="460" w:lineRule="exact"/>
              <w:ind w:firstLine="0" w:firstLineChars="0"/>
              <w:rPr>
                <w:rFonts w:cs="宋体"/>
                <w:color w:val="auto"/>
                <w:highlight w:val="none"/>
              </w:rPr>
            </w:pPr>
          </w:p>
        </w:tc>
      </w:tr>
      <w:tr w14:paraId="20F1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14:paraId="2B649D9A">
            <w:pPr>
              <w:spacing w:line="460" w:lineRule="exact"/>
              <w:ind w:firstLine="0" w:firstLineChars="0"/>
              <w:rPr>
                <w:rFonts w:cs="宋体"/>
                <w:color w:val="auto"/>
                <w:highlight w:val="none"/>
              </w:rPr>
            </w:pPr>
          </w:p>
        </w:tc>
        <w:tc>
          <w:tcPr>
            <w:tcW w:w="3218" w:type="dxa"/>
          </w:tcPr>
          <w:p w14:paraId="3A088CAC">
            <w:pPr>
              <w:spacing w:line="460" w:lineRule="exact"/>
              <w:ind w:firstLine="0" w:firstLineChars="0"/>
              <w:rPr>
                <w:rFonts w:cs="宋体"/>
                <w:color w:val="auto"/>
                <w:highlight w:val="none"/>
              </w:rPr>
            </w:pPr>
          </w:p>
        </w:tc>
        <w:tc>
          <w:tcPr>
            <w:tcW w:w="3212" w:type="dxa"/>
          </w:tcPr>
          <w:p w14:paraId="0FEF0A34">
            <w:pPr>
              <w:spacing w:line="460" w:lineRule="exact"/>
              <w:ind w:firstLine="0" w:firstLineChars="0"/>
              <w:rPr>
                <w:rFonts w:cs="宋体"/>
                <w:color w:val="auto"/>
                <w:highlight w:val="none"/>
              </w:rPr>
            </w:pPr>
          </w:p>
        </w:tc>
        <w:tc>
          <w:tcPr>
            <w:tcW w:w="2187" w:type="dxa"/>
          </w:tcPr>
          <w:p w14:paraId="1138FE6F">
            <w:pPr>
              <w:spacing w:line="460" w:lineRule="exact"/>
              <w:ind w:firstLine="0" w:firstLineChars="0"/>
              <w:rPr>
                <w:rFonts w:cs="宋体"/>
                <w:color w:val="auto"/>
                <w:highlight w:val="none"/>
              </w:rPr>
            </w:pPr>
          </w:p>
        </w:tc>
      </w:tr>
      <w:tr w14:paraId="5012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14:paraId="462F8214">
            <w:pPr>
              <w:spacing w:line="460" w:lineRule="exact"/>
              <w:ind w:firstLine="0" w:firstLineChars="0"/>
              <w:rPr>
                <w:rFonts w:cs="宋体"/>
                <w:color w:val="auto"/>
                <w:highlight w:val="none"/>
              </w:rPr>
            </w:pPr>
          </w:p>
        </w:tc>
        <w:tc>
          <w:tcPr>
            <w:tcW w:w="3218" w:type="dxa"/>
          </w:tcPr>
          <w:p w14:paraId="0FC138D5">
            <w:pPr>
              <w:spacing w:line="460" w:lineRule="exact"/>
              <w:ind w:firstLine="0" w:firstLineChars="0"/>
              <w:rPr>
                <w:rFonts w:cs="宋体"/>
                <w:color w:val="auto"/>
                <w:highlight w:val="none"/>
              </w:rPr>
            </w:pPr>
          </w:p>
        </w:tc>
        <w:tc>
          <w:tcPr>
            <w:tcW w:w="3212" w:type="dxa"/>
          </w:tcPr>
          <w:p w14:paraId="4D4CC349">
            <w:pPr>
              <w:spacing w:line="460" w:lineRule="exact"/>
              <w:ind w:firstLine="0" w:firstLineChars="0"/>
              <w:rPr>
                <w:rFonts w:cs="宋体"/>
                <w:color w:val="auto"/>
                <w:highlight w:val="none"/>
              </w:rPr>
            </w:pPr>
          </w:p>
        </w:tc>
        <w:tc>
          <w:tcPr>
            <w:tcW w:w="2187" w:type="dxa"/>
          </w:tcPr>
          <w:p w14:paraId="729F3894">
            <w:pPr>
              <w:spacing w:line="460" w:lineRule="exact"/>
              <w:ind w:firstLine="0" w:firstLineChars="0"/>
              <w:rPr>
                <w:rFonts w:cs="宋体"/>
                <w:color w:val="auto"/>
                <w:highlight w:val="none"/>
              </w:rPr>
            </w:pPr>
          </w:p>
        </w:tc>
      </w:tr>
      <w:tr w14:paraId="093E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14:paraId="1CE9B105">
            <w:pPr>
              <w:spacing w:line="460" w:lineRule="exact"/>
              <w:ind w:firstLine="0" w:firstLineChars="0"/>
              <w:rPr>
                <w:rFonts w:cs="宋体"/>
                <w:color w:val="auto"/>
                <w:highlight w:val="none"/>
              </w:rPr>
            </w:pPr>
          </w:p>
        </w:tc>
        <w:tc>
          <w:tcPr>
            <w:tcW w:w="3218" w:type="dxa"/>
          </w:tcPr>
          <w:p w14:paraId="101682C2">
            <w:pPr>
              <w:spacing w:line="460" w:lineRule="exact"/>
              <w:ind w:firstLine="0" w:firstLineChars="0"/>
              <w:rPr>
                <w:rFonts w:cs="宋体"/>
                <w:color w:val="auto"/>
                <w:highlight w:val="none"/>
              </w:rPr>
            </w:pPr>
          </w:p>
        </w:tc>
        <w:tc>
          <w:tcPr>
            <w:tcW w:w="3212" w:type="dxa"/>
          </w:tcPr>
          <w:p w14:paraId="4A3B9EAA">
            <w:pPr>
              <w:spacing w:line="460" w:lineRule="exact"/>
              <w:ind w:firstLine="0" w:firstLineChars="0"/>
              <w:rPr>
                <w:rFonts w:cs="宋体"/>
                <w:color w:val="auto"/>
                <w:highlight w:val="none"/>
              </w:rPr>
            </w:pPr>
          </w:p>
        </w:tc>
        <w:tc>
          <w:tcPr>
            <w:tcW w:w="2187" w:type="dxa"/>
          </w:tcPr>
          <w:p w14:paraId="6220A254">
            <w:pPr>
              <w:spacing w:line="460" w:lineRule="exact"/>
              <w:ind w:firstLine="0" w:firstLineChars="0"/>
              <w:rPr>
                <w:rFonts w:cs="宋体"/>
                <w:color w:val="auto"/>
                <w:highlight w:val="none"/>
              </w:rPr>
            </w:pPr>
          </w:p>
        </w:tc>
      </w:tr>
      <w:tr w14:paraId="04A3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14:paraId="6646A7C2">
            <w:pPr>
              <w:spacing w:line="460" w:lineRule="exact"/>
              <w:ind w:firstLine="0" w:firstLineChars="0"/>
              <w:rPr>
                <w:rFonts w:cs="宋体"/>
                <w:color w:val="auto"/>
                <w:highlight w:val="none"/>
              </w:rPr>
            </w:pPr>
          </w:p>
        </w:tc>
        <w:tc>
          <w:tcPr>
            <w:tcW w:w="3218" w:type="dxa"/>
          </w:tcPr>
          <w:p w14:paraId="39C23487">
            <w:pPr>
              <w:spacing w:line="460" w:lineRule="exact"/>
              <w:ind w:firstLine="0" w:firstLineChars="0"/>
              <w:rPr>
                <w:rFonts w:cs="宋体"/>
                <w:color w:val="auto"/>
                <w:highlight w:val="none"/>
              </w:rPr>
            </w:pPr>
          </w:p>
        </w:tc>
        <w:tc>
          <w:tcPr>
            <w:tcW w:w="3212" w:type="dxa"/>
          </w:tcPr>
          <w:p w14:paraId="54619F58">
            <w:pPr>
              <w:spacing w:line="460" w:lineRule="exact"/>
              <w:ind w:firstLine="0" w:firstLineChars="0"/>
              <w:rPr>
                <w:rFonts w:cs="宋体"/>
                <w:color w:val="auto"/>
                <w:highlight w:val="none"/>
              </w:rPr>
            </w:pPr>
          </w:p>
        </w:tc>
        <w:tc>
          <w:tcPr>
            <w:tcW w:w="2187" w:type="dxa"/>
          </w:tcPr>
          <w:p w14:paraId="67B6AF42">
            <w:pPr>
              <w:spacing w:line="460" w:lineRule="exact"/>
              <w:ind w:firstLine="0" w:firstLineChars="0"/>
              <w:rPr>
                <w:rFonts w:cs="宋体"/>
                <w:color w:val="auto"/>
                <w:highlight w:val="none"/>
              </w:rPr>
            </w:pPr>
          </w:p>
        </w:tc>
      </w:tr>
      <w:tr w14:paraId="4915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14:paraId="72009145">
            <w:pPr>
              <w:spacing w:line="460" w:lineRule="exact"/>
              <w:ind w:firstLine="0" w:firstLineChars="0"/>
              <w:rPr>
                <w:rFonts w:cs="宋体"/>
                <w:color w:val="auto"/>
                <w:highlight w:val="none"/>
              </w:rPr>
            </w:pPr>
          </w:p>
        </w:tc>
        <w:tc>
          <w:tcPr>
            <w:tcW w:w="3218" w:type="dxa"/>
          </w:tcPr>
          <w:p w14:paraId="2DF1779B">
            <w:pPr>
              <w:spacing w:line="460" w:lineRule="exact"/>
              <w:ind w:firstLine="0" w:firstLineChars="0"/>
              <w:rPr>
                <w:rFonts w:cs="宋体"/>
                <w:color w:val="auto"/>
                <w:highlight w:val="none"/>
              </w:rPr>
            </w:pPr>
          </w:p>
        </w:tc>
        <w:tc>
          <w:tcPr>
            <w:tcW w:w="3212" w:type="dxa"/>
          </w:tcPr>
          <w:p w14:paraId="485694AC">
            <w:pPr>
              <w:spacing w:line="460" w:lineRule="exact"/>
              <w:ind w:firstLine="0" w:firstLineChars="0"/>
              <w:rPr>
                <w:rFonts w:cs="宋体"/>
                <w:color w:val="auto"/>
                <w:highlight w:val="none"/>
              </w:rPr>
            </w:pPr>
          </w:p>
        </w:tc>
        <w:tc>
          <w:tcPr>
            <w:tcW w:w="2187" w:type="dxa"/>
          </w:tcPr>
          <w:p w14:paraId="62B8848B">
            <w:pPr>
              <w:spacing w:line="460" w:lineRule="exact"/>
              <w:ind w:firstLine="0" w:firstLineChars="0"/>
              <w:rPr>
                <w:rFonts w:cs="宋体"/>
                <w:color w:val="auto"/>
                <w:highlight w:val="none"/>
              </w:rPr>
            </w:pPr>
          </w:p>
        </w:tc>
      </w:tr>
      <w:tr w14:paraId="77E5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14:paraId="0F81AF5B">
            <w:pPr>
              <w:spacing w:line="460" w:lineRule="exact"/>
              <w:ind w:firstLine="0" w:firstLineChars="0"/>
              <w:rPr>
                <w:rFonts w:cs="宋体"/>
                <w:color w:val="auto"/>
                <w:highlight w:val="none"/>
              </w:rPr>
            </w:pPr>
          </w:p>
        </w:tc>
        <w:tc>
          <w:tcPr>
            <w:tcW w:w="3218" w:type="dxa"/>
          </w:tcPr>
          <w:p w14:paraId="2921C926">
            <w:pPr>
              <w:spacing w:line="460" w:lineRule="exact"/>
              <w:ind w:firstLine="0" w:firstLineChars="0"/>
              <w:rPr>
                <w:rFonts w:cs="宋体"/>
                <w:color w:val="auto"/>
                <w:highlight w:val="none"/>
              </w:rPr>
            </w:pPr>
          </w:p>
        </w:tc>
        <w:tc>
          <w:tcPr>
            <w:tcW w:w="3212" w:type="dxa"/>
          </w:tcPr>
          <w:p w14:paraId="70D417A8">
            <w:pPr>
              <w:spacing w:line="460" w:lineRule="exact"/>
              <w:ind w:firstLine="0" w:firstLineChars="0"/>
              <w:rPr>
                <w:rFonts w:cs="宋体"/>
                <w:color w:val="auto"/>
                <w:highlight w:val="none"/>
              </w:rPr>
            </w:pPr>
          </w:p>
        </w:tc>
        <w:tc>
          <w:tcPr>
            <w:tcW w:w="2187" w:type="dxa"/>
          </w:tcPr>
          <w:p w14:paraId="033A955B">
            <w:pPr>
              <w:spacing w:line="460" w:lineRule="exact"/>
              <w:ind w:firstLine="0" w:firstLineChars="0"/>
              <w:rPr>
                <w:rFonts w:cs="宋体"/>
                <w:color w:val="auto"/>
                <w:highlight w:val="none"/>
              </w:rPr>
            </w:pPr>
          </w:p>
        </w:tc>
      </w:tr>
      <w:tr w14:paraId="3B91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14:paraId="57EC4AFE">
            <w:pPr>
              <w:spacing w:line="460" w:lineRule="exact"/>
              <w:ind w:firstLine="0" w:firstLineChars="0"/>
              <w:rPr>
                <w:rFonts w:cs="宋体"/>
                <w:color w:val="auto"/>
                <w:highlight w:val="none"/>
              </w:rPr>
            </w:pPr>
          </w:p>
        </w:tc>
        <w:tc>
          <w:tcPr>
            <w:tcW w:w="3218" w:type="dxa"/>
          </w:tcPr>
          <w:p w14:paraId="6476B473">
            <w:pPr>
              <w:spacing w:line="460" w:lineRule="exact"/>
              <w:ind w:firstLine="0" w:firstLineChars="0"/>
              <w:rPr>
                <w:rFonts w:cs="宋体"/>
                <w:color w:val="auto"/>
                <w:highlight w:val="none"/>
              </w:rPr>
            </w:pPr>
          </w:p>
        </w:tc>
        <w:tc>
          <w:tcPr>
            <w:tcW w:w="3212" w:type="dxa"/>
          </w:tcPr>
          <w:p w14:paraId="391BD260">
            <w:pPr>
              <w:spacing w:line="460" w:lineRule="exact"/>
              <w:ind w:firstLine="0" w:firstLineChars="0"/>
              <w:rPr>
                <w:rFonts w:cs="宋体"/>
                <w:color w:val="auto"/>
                <w:highlight w:val="none"/>
              </w:rPr>
            </w:pPr>
          </w:p>
        </w:tc>
        <w:tc>
          <w:tcPr>
            <w:tcW w:w="2187" w:type="dxa"/>
          </w:tcPr>
          <w:p w14:paraId="7EFB8222">
            <w:pPr>
              <w:spacing w:line="460" w:lineRule="exact"/>
              <w:ind w:firstLine="0" w:firstLineChars="0"/>
              <w:rPr>
                <w:rFonts w:cs="宋体"/>
                <w:color w:val="auto"/>
                <w:highlight w:val="none"/>
              </w:rPr>
            </w:pPr>
          </w:p>
        </w:tc>
      </w:tr>
      <w:tr w14:paraId="65AE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14:paraId="5F0201E2">
            <w:pPr>
              <w:spacing w:line="460" w:lineRule="exact"/>
              <w:ind w:firstLine="0" w:firstLineChars="0"/>
              <w:rPr>
                <w:rFonts w:cs="宋体"/>
                <w:color w:val="auto"/>
                <w:highlight w:val="none"/>
              </w:rPr>
            </w:pPr>
          </w:p>
        </w:tc>
        <w:tc>
          <w:tcPr>
            <w:tcW w:w="3218" w:type="dxa"/>
          </w:tcPr>
          <w:p w14:paraId="1F8FEC50">
            <w:pPr>
              <w:spacing w:line="460" w:lineRule="exact"/>
              <w:ind w:firstLine="0" w:firstLineChars="0"/>
              <w:rPr>
                <w:rFonts w:cs="宋体"/>
                <w:color w:val="auto"/>
                <w:highlight w:val="none"/>
              </w:rPr>
            </w:pPr>
          </w:p>
        </w:tc>
        <w:tc>
          <w:tcPr>
            <w:tcW w:w="3212" w:type="dxa"/>
          </w:tcPr>
          <w:p w14:paraId="6499BF41">
            <w:pPr>
              <w:spacing w:line="460" w:lineRule="exact"/>
              <w:ind w:firstLine="0" w:firstLineChars="0"/>
              <w:rPr>
                <w:rFonts w:cs="宋体"/>
                <w:color w:val="auto"/>
                <w:highlight w:val="none"/>
              </w:rPr>
            </w:pPr>
          </w:p>
        </w:tc>
        <w:tc>
          <w:tcPr>
            <w:tcW w:w="2187" w:type="dxa"/>
          </w:tcPr>
          <w:p w14:paraId="2A526FFA">
            <w:pPr>
              <w:spacing w:line="460" w:lineRule="exact"/>
              <w:ind w:firstLine="0" w:firstLineChars="0"/>
              <w:rPr>
                <w:rFonts w:cs="宋体"/>
                <w:color w:val="auto"/>
                <w:highlight w:val="none"/>
              </w:rPr>
            </w:pPr>
          </w:p>
        </w:tc>
      </w:tr>
    </w:tbl>
    <w:p w14:paraId="5805B9DE">
      <w:pPr>
        <w:ind w:firstLine="0" w:firstLineChars="0"/>
        <w:rPr>
          <w:rFonts w:cs="宋体"/>
          <w:color w:val="auto"/>
          <w:highlight w:val="none"/>
        </w:rPr>
      </w:pPr>
    </w:p>
    <w:p w14:paraId="2E49B390">
      <w:pPr>
        <w:pStyle w:val="76"/>
        <w:rPr>
          <w:rFonts w:ascii="宋体" w:hAnsi="宋体" w:eastAsia="宋体" w:cs="宋体"/>
          <w:color w:val="auto"/>
          <w:highlight w:val="none"/>
        </w:rPr>
      </w:pPr>
    </w:p>
    <w:p w14:paraId="3A2AE114">
      <w:pPr>
        <w:pStyle w:val="76"/>
        <w:rPr>
          <w:rFonts w:ascii="宋体" w:hAnsi="宋体" w:eastAsia="宋体" w:cs="宋体"/>
          <w:color w:val="auto"/>
          <w:highlight w:val="none"/>
        </w:rPr>
      </w:pPr>
    </w:p>
    <w:p w14:paraId="02137EC6">
      <w:pPr>
        <w:spacing w:line="480" w:lineRule="auto"/>
        <w:ind w:firstLine="0" w:firstLineChars="0"/>
        <w:rPr>
          <w:rFonts w:cs="宋体"/>
          <w:color w:val="auto"/>
          <w:highlight w:val="none"/>
        </w:rPr>
      </w:pPr>
      <w:r>
        <w:rPr>
          <w:rFonts w:hint="eastAsia" w:cs="宋体"/>
          <w:color w:val="auto"/>
          <w:highlight w:val="none"/>
        </w:rPr>
        <w:t>投标人名称（公章）：</w:t>
      </w:r>
    </w:p>
    <w:p w14:paraId="748C6CCA">
      <w:pPr>
        <w:spacing w:line="480" w:lineRule="auto"/>
        <w:ind w:firstLine="0" w:firstLineChars="0"/>
        <w:rPr>
          <w:rFonts w:cs="宋体"/>
          <w:color w:val="auto"/>
          <w:highlight w:val="none"/>
        </w:rPr>
      </w:pPr>
      <w:r>
        <w:rPr>
          <w:rFonts w:hint="eastAsia" w:cs="宋体"/>
          <w:color w:val="auto"/>
          <w:highlight w:val="none"/>
        </w:rPr>
        <w:t>法定代表人或其授权代表（签字或盖章）：</w:t>
      </w:r>
    </w:p>
    <w:p w14:paraId="3B42220C">
      <w:pPr>
        <w:spacing w:line="480" w:lineRule="auto"/>
        <w:ind w:firstLine="0" w:firstLineChars="0"/>
        <w:rPr>
          <w:rFonts w:cs="宋体"/>
          <w:color w:val="auto"/>
          <w:highlight w:val="none"/>
        </w:rPr>
      </w:pPr>
      <w:r>
        <w:rPr>
          <w:rFonts w:hint="eastAsia" w:cs="宋体"/>
          <w:color w:val="auto"/>
          <w:highlight w:val="none"/>
        </w:rPr>
        <w:t>日期：  年   月   日</w:t>
      </w:r>
    </w:p>
    <w:p w14:paraId="1FF038AF">
      <w:pPr>
        <w:spacing w:line="500" w:lineRule="exact"/>
        <w:ind w:firstLine="480"/>
        <w:rPr>
          <w:rFonts w:cs="宋体"/>
          <w:color w:val="auto"/>
          <w:highlight w:val="none"/>
        </w:rPr>
      </w:pPr>
    </w:p>
    <w:p w14:paraId="46E3DFDC">
      <w:pPr>
        <w:ind w:firstLine="480"/>
        <w:rPr>
          <w:rFonts w:cs="宋体"/>
          <w:color w:val="auto"/>
          <w:highlight w:val="none"/>
        </w:rPr>
      </w:pPr>
    </w:p>
    <w:p w14:paraId="14D29117">
      <w:pPr>
        <w:ind w:firstLine="0" w:firstLineChars="0"/>
        <w:rPr>
          <w:rFonts w:cs="宋体"/>
          <w:color w:val="auto"/>
          <w:highlight w:val="none"/>
        </w:rPr>
        <w:sectPr>
          <w:pgSz w:w="11907" w:h="16840"/>
          <w:pgMar w:top="1440" w:right="1080" w:bottom="1440" w:left="1080" w:header="720" w:footer="720" w:gutter="0"/>
          <w:pgNumType w:fmt="decimal"/>
          <w:cols w:space="720" w:num="1"/>
          <w:docGrid w:linePitch="286" w:charSpace="0"/>
        </w:sectPr>
      </w:pPr>
    </w:p>
    <w:p w14:paraId="540C6D67">
      <w:pPr>
        <w:pStyle w:val="5"/>
        <w:rPr>
          <w:rFonts w:hint="eastAsia" w:eastAsia="宋体" w:cs="宋体"/>
          <w:color w:val="auto"/>
          <w:szCs w:val="24"/>
          <w:highlight w:val="none"/>
          <w:lang w:eastAsia="zh-CN"/>
        </w:rPr>
      </w:pPr>
      <w:r>
        <w:rPr>
          <w:rFonts w:hint="eastAsia" w:cs="宋体"/>
          <w:color w:val="auto"/>
          <w:szCs w:val="24"/>
          <w:highlight w:val="none"/>
        </w:rPr>
        <w:t>附件十</w:t>
      </w:r>
      <w:r>
        <w:rPr>
          <w:rFonts w:hint="eastAsia" w:cs="宋体"/>
          <w:color w:val="auto"/>
          <w:szCs w:val="24"/>
          <w:highlight w:val="none"/>
          <w:lang w:eastAsia="zh-CN"/>
        </w:rPr>
        <w:t>四</w:t>
      </w:r>
    </w:p>
    <w:p w14:paraId="10E4870C">
      <w:pPr>
        <w:ind w:firstLine="0" w:firstLineChars="0"/>
        <w:jc w:val="center"/>
        <w:rPr>
          <w:rFonts w:cs="宋体"/>
          <w:b/>
          <w:bCs/>
          <w:color w:val="auto"/>
          <w:sz w:val="28"/>
          <w:szCs w:val="28"/>
          <w:highlight w:val="none"/>
        </w:rPr>
      </w:pPr>
      <w:r>
        <w:rPr>
          <w:rFonts w:hint="eastAsia" w:cs="宋体"/>
          <w:b/>
          <w:bCs/>
          <w:color w:val="auto"/>
          <w:sz w:val="28"/>
          <w:szCs w:val="28"/>
          <w:highlight w:val="none"/>
        </w:rPr>
        <w:t>技术规范偏离表</w:t>
      </w:r>
    </w:p>
    <w:p w14:paraId="1AAEB00D">
      <w:pPr>
        <w:ind w:firstLine="0" w:firstLineChars="0"/>
        <w:rPr>
          <w:rFonts w:cs="宋体"/>
          <w:color w:val="auto"/>
          <w:highlight w:val="none"/>
        </w:rPr>
      </w:pPr>
      <w:r>
        <w:rPr>
          <w:rFonts w:hint="eastAsia" w:cs="宋体"/>
          <w:color w:val="auto"/>
          <w:highlight w:val="none"/>
        </w:rPr>
        <w:t xml:space="preserve">项目名称：            项目编号：               </w:t>
      </w:r>
    </w:p>
    <w:tbl>
      <w:tblPr>
        <w:tblStyle w:val="43"/>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08"/>
        <w:gridCol w:w="3602"/>
        <w:gridCol w:w="2046"/>
        <w:gridCol w:w="2154"/>
      </w:tblGrid>
      <w:tr w14:paraId="6683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0" w:type="dxa"/>
            <w:vAlign w:val="center"/>
          </w:tcPr>
          <w:p w14:paraId="29B11FF3">
            <w:pPr>
              <w:spacing w:line="400" w:lineRule="exact"/>
              <w:ind w:firstLine="0" w:firstLineChars="0"/>
              <w:jc w:val="center"/>
              <w:rPr>
                <w:rFonts w:cs="宋体"/>
                <w:b/>
                <w:bCs/>
                <w:color w:val="auto"/>
                <w:highlight w:val="none"/>
              </w:rPr>
            </w:pPr>
            <w:r>
              <w:rPr>
                <w:rFonts w:hint="eastAsia" w:cs="宋体"/>
                <w:b/>
                <w:bCs/>
                <w:color w:val="auto"/>
                <w:highlight w:val="none"/>
              </w:rPr>
              <w:t>序号</w:t>
            </w:r>
          </w:p>
        </w:tc>
        <w:tc>
          <w:tcPr>
            <w:tcW w:w="1308" w:type="dxa"/>
            <w:vAlign w:val="center"/>
          </w:tcPr>
          <w:p w14:paraId="5D1AE93F">
            <w:pPr>
              <w:spacing w:line="400" w:lineRule="exact"/>
              <w:ind w:firstLine="0" w:firstLineChars="0"/>
              <w:jc w:val="center"/>
              <w:rPr>
                <w:rFonts w:cs="宋体"/>
                <w:b/>
                <w:bCs/>
                <w:color w:val="auto"/>
                <w:highlight w:val="none"/>
              </w:rPr>
            </w:pPr>
            <w:r>
              <w:rPr>
                <w:rFonts w:hint="eastAsia" w:cs="宋体"/>
                <w:b/>
                <w:bCs/>
                <w:color w:val="auto"/>
                <w:highlight w:val="none"/>
              </w:rPr>
              <w:t>产品名称</w:t>
            </w:r>
          </w:p>
        </w:tc>
        <w:tc>
          <w:tcPr>
            <w:tcW w:w="3602" w:type="dxa"/>
            <w:vAlign w:val="center"/>
          </w:tcPr>
          <w:p w14:paraId="17A3D244">
            <w:pPr>
              <w:spacing w:line="400" w:lineRule="exact"/>
              <w:ind w:firstLine="0" w:firstLineChars="0"/>
              <w:jc w:val="center"/>
              <w:rPr>
                <w:rFonts w:cs="宋体"/>
                <w:b/>
                <w:bCs/>
                <w:color w:val="auto"/>
                <w:highlight w:val="none"/>
              </w:rPr>
            </w:pPr>
            <w:r>
              <w:rPr>
                <w:rFonts w:hint="eastAsia" w:cs="宋体"/>
                <w:b/>
                <w:bCs/>
              </w:rPr>
              <w:t>规格、技术参数要求</w:t>
            </w:r>
          </w:p>
        </w:tc>
        <w:tc>
          <w:tcPr>
            <w:tcW w:w="2046" w:type="dxa"/>
            <w:vAlign w:val="center"/>
          </w:tcPr>
          <w:p w14:paraId="37D37B75">
            <w:pPr>
              <w:spacing w:line="400" w:lineRule="exact"/>
              <w:ind w:firstLine="0" w:firstLineChars="0"/>
              <w:jc w:val="center"/>
              <w:rPr>
                <w:rFonts w:cs="宋体"/>
                <w:b/>
                <w:bCs/>
                <w:color w:val="auto"/>
                <w:highlight w:val="none"/>
              </w:rPr>
            </w:pPr>
            <w:r>
              <w:rPr>
                <w:rFonts w:hint="eastAsia" w:cs="宋体"/>
                <w:b/>
                <w:bCs/>
                <w:color w:val="auto"/>
                <w:highlight w:val="none"/>
              </w:rPr>
              <w:t>投标响应</w:t>
            </w:r>
          </w:p>
        </w:tc>
        <w:tc>
          <w:tcPr>
            <w:tcW w:w="2154" w:type="dxa"/>
            <w:vAlign w:val="center"/>
          </w:tcPr>
          <w:p w14:paraId="7A641C46">
            <w:pPr>
              <w:spacing w:line="400" w:lineRule="exact"/>
              <w:ind w:firstLine="0" w:firstLineChars="0"/>
              <w:jc w:val="center"/>
              <w:rPr>
                <w:rFonts w:cs="宋体"/>
                <w:b/>
                <w:bCs/>
                <w:color w:val="auto"/>
                <w:highlight w:val="none"/>
              </w:rPr>
            </w:pPr>
            <w:r>
              <w:rPr>
                <w:rFonts w:hint="eastAsia" w:cs="宋体"/>
                <w:b/>
                <w:bCs/>
                <w:color w:val="auto"/>
                <w:highlight w:val="none"/>
              </w:rPr>
              <w:t>偏离情况</w:t>
            </w:r>
          </w:p>
        </w:tc>
      </w:tr>
      <w:tr w14:paraId="21B1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0E15A3A4">
            <w:pPr>
              <w:ind w:firstLine="0" w:firstLineChars="0"/>
              <w:rPr>
                <w:rFonts w:cs="宋体"/>
                <w:color w:val="auto"/>
                <w:highlight w:val="none"/>
              </w:rPr>
            </w:pPr>
          </w:p>
        </w:tc>
        <w:tc>
          <w:tcPr>
            <w:tcW w:w="1308" w:type="dxa"/>
          </w:tcPr>
          <w:p w14:paraId="16FCC6C8">
            <w:pPr>
              <w:ind w:firstLine="0" w:firstLineChars="0"/>
              <w:rPr>
                <w:rFonts w:cs="宋体"/>
                <w:color w:val="auto"/>
                <w:highlight w:val="none"/>
              </w:rPr>
            </w:pPr>
          </w:p>
        </w:tc>
        <w:tc>
          <w:tcPr>
            <w:tcW w:w="3602" w:type="dxa"/>
          </w:tcPr>
          <w:p w14:paraId="7323FF7A">
            <w:pPr>
              <w:ind w:firstLine="0" w:firstLineChars="0"/>
              <w:rPr>
                <w:rFonts w:cs="宋体"/>
                <w:color w:val="auto"/>
                <w:highlight w:val="none"/>
              </w:rPr>
            </w:pPr>
          </w:p>
        </w:tc>
        <w:tc>
          <w:tcPr>
            <w:tcW w:w="2046" w:type="dxa"/>
          </w:tcPr>
          <w:p w14:paraId="7E48FAAB">
            <w:pPr>
              <w:ind w:firstLine="0" w:firstLineChars="0"/>
              <w:rPr>
                <w:rFonts w:cs="宋体"/>
                <w:color w:val="auto"/>
                <w:highlight w:val="none"/>
              </w:rPr>
            </w:pPr>
          </w:p>
        </w:tc>
        <w:tc>
          <w:tcPr>
            <w:tcW w:w="2154" w:type="dxa"/>
          </w:tcPr>
          <w:p w14:paraId="595D0807">
            <w:pPr>
              <w:ind w:firstLine="0" w:firstLineChars="0"/>
              <w:rPr>
                <w:rFonts w:cs="宋体"/>
                <w:color w:val="auto"/>
                <w:highlight w:val="none"/>
              </w:rPr>
            </w:pPr>
          </w:p>
        </w:tc>
      </w:tr>
      <w:tr w14:paraId="44DC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2820E995">
            <w:pPr>
              <w:ind w:firstLine="0" w:firstLineChars="0"/>
              <w:rPr>
                <w:rFonts w:cs="宋体"/>
                <w:color w:val="auto"/>
                <w:highlight w:val="none"/>
              </w:rPr>
            </w:pPr>
          </w:p>
        </w:tc>
        <w:tc>
          <w:tcPr>
            <w:tcW w:w="1308" w:type="dxa"/>
          </w:tcPr>
          <w:p w14:paraId="6AB8A904">
            <w:pPr>
              <w:ind w:firstLine="0" w:firstLineChars="0"/>
              <w:rPr>
                <w:rFonts w:cs="宋体"/>
                <w:color w:val="auto"/>
                <w:highlight w:val="none"/>
              </w:rPr>
            </w:pPr>
          </w:p>
        </w:tc>
        <w:tc>
          <w:tcPr>
            <w:tcW w:w="3602" w:type="dxa"/>
          </w:tcPr>
          <w:p w14:paraId="77C5A49F">
            <w:pPr>
              <w:ind w:firstLine="0" w:firstLineChars="0"/>
              <w:rPr>
                <w:rFonts w:cs="宋体"/>
                <w:color w:val="auto"/>
                <w:highlight w:val="none"/>
              </w:rPr>
            </w:pPr>
          </w:p>
        </w:tc>
        <w:tc>
          <w:tcPr>
            <w:tcW w:w="2046" w:type="dxa"/>
          </w:tcPr>
          <w:p w14:paraId="164D7212">
            <w:pPr>
              <w:ind w:firstLine="0" w:firstLineChars="0"/>
              <w:rPr>
                <w:rFonts w:cs="宋体"/>
                <w:color w:val="auto"/>
                <w:highlight w:val="none"/>
              </w:rPr>
            </w:pPr>
          </w:p>
        </w:tc>
        <w:tc>
          <w:tcPr>
            <w:tcW w:w="2154" w:type="dxa"/>
          </w:tcPr>
          <w:p w14:paraId="2A16ABAA">
            <w:pPr>
              <w:ind w:firstLine="0" w:firstLineChars="0"/>
              <w:rPr>
                <w:rFonts w:cs="宋体"/>
                <w:color w:val="auto"/>
                <w:highlight w:val="none"/>
              </w:rPr>
            </w:pPr>
          </w:p>
        </w:tc>
      </w:tr>
      <w:tr w14:paraId="30D3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05429341">
            <w:pPr>
              <w:ind w:firstLine="0" w:firstLineChars="0"/>
              <w:rPr>
                <w:rFonts w:cs="宋体"/>
                <w:color w:val="auto"/>
                <w:highlight w:val="none"/>
              </w:rPr>
            </w:pPr>
          </w:p>
        </w:tc>
        <w:tc>
          <w:tcPr>
            <w:tcW w:w="1308" w:type="dxa"/>
          </w:tcPr>
          <w:p w14:paraId="6CA8BEC7">
            <w:pPr>
              <w:ind w:firstLine="0" w:firstLineChars="0"/>
              <w:rPr>
                <w:rFonts w:cs="宋体"/>
                <w:color w:val="auto"/>
                <w:highlight w:val="none"/>
              </w:rPr>
            </w:pPr>
          </w:p>
        </w:tc>
        <w:tc>
          <w:tcPr>
            <w:tcW w:w="3602" w:type="dxa"/>
          </w:tcPr>
          <w:p w14:paraId="70456AC5">
            <w:pPr>
              <w:ind w:firstLine="0" w:firstLineChars="0"/>
              <w:rPr>
                <w:rFonts w:cs="宋体"/>
                <w:color w:val="auto"/>
                <w:highlight w:val="none"/>
              </w:rPr>
            </w:pPr>
          </w:p>
        </w:tc>
        <w:tc>
          <w:tcPr>
            <w:tcW w:w="2046" w:type="dxa"/>
          </w:tcPr>
          <w:p w14:paraId="79F4392F">
            <w:pPr>
              <w:ind w:firstLine="0" w:firstLineChars="0"/>
              <w:rPr>
                <w:rFonts w:cs="宋体"/>
                <w:color w:val="auto"/>
                <w:highlight w:val="none"/>
              </w:rPr>
            </w:pPr>
          </w:p>
        </w:tc>
        <w:tc>
          <w:tcPr>
            <w:tcW w:w="2154" w:type="dxa"/>
          </w:tcPr>
          <w:p w14:paraId="19A089BE">
            <w:pPr>
              <w:ind w:firstLine="0" w:firstLineChars="0"/>
              <w:rPr>
                <w:rFonts w:cs="宋体"/>
                <w:color w:val="auto"/>
                <w:highlight w:val="none"/>
              </w:rPr>
            </w:pPr>
          </w:p>
        </w:tc>
      </w:tr>
      <w:tr w14:paraId="5B15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6CF43EB3">
            <w:pPr>
              <w:ind w:firstLine="0" w:firstLineChars="0"/>
              <w:rPr>
                <w:rFonts w:cs="宋体"/>
                <w:color w:val="auto"/>
                <w:highlight w:val="none"/>
              </w:rPr>
            </w:pPr>
          </w:p>
        </w:tc>
        <w:tc>
          <w:tcPr>
            <w:tcW w:w="1308" w:type="dxa"/>
          </w:tcPr>
          <w:p w14:paraId="089A5C6C">
            <w:pPr>
              <w:ind w:firstLine="0" w:firstLineChars="0"/>
              <w:rPr>
                <w:rFonts w:cs="宋体"/>
                <w:color w:val="auto"/>
                <w:highlight w:val="none"/>
              </w:rPr>
            </w:pPr>
          </w:p>
        </w:tc>
        <w:tc>
          <w:tcPr>
            <w:tcW w:w="3602" w:type="dxa"/>
          </w:tcPr>
          <w:p w14:paraId="3BC96B60">
            <w:pPr>
              <w:ind w:firstLine="0" w:firstLineChars="0"/>
              <w:rPr>
                <w:rFonts w:cs="宋体"/>
                <w:color w:val="auto"/>
                <w:highlight w:val="none"/>
              </w:rPr>
            </w:pPr>
          </w:p>
        </w:tc>
        <w:tc>
          <w:tcPr>
            <w:tcW w:w="2046" w:type="dxa"/>
          </w:tcPr>
          <w:p w14:paraId="7C49FE29">
            <w:pPr>
              <w:ind w:firstLine="0" w:firstLineChars="0"/>
              <w:rPr>
                <w:rFonts w:cs="宋体"/>
                <w:color w:val="auto"/>
                <w:highlight w:val="none"/>
              </w:rPr>
            </w:pPr>
          </w:p>
        </w:tc>
        <w:tc>
          <w:tcPr>
            <w:tcW w:w="2154" w:type="dxa"/>
          </w:tcPr>
          <w:p w14:paraId="6F995710">
            <w:pPr>
              <w:ind w:firstLine="0" w:firstLineChars="0"/>
              <w:rPr>
                <w:rFonts w:cs="宋体"/>
                <w:color w:val="auto"/>
                <w:highlight w:val="none"/>
              </w:rPr>
            </w:pPr>
          </w:p>
        </w:tc>
      </w:tr>
      <w:tr w14:paraId="77BE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19782968">
            <w:pPr>
              <w:ind w:firstLine="0" w:firstLineChars="0"/>
              <w:rPr>
                <w:rFonts w:cs="宋体"/>
                <w:color w:val="auto"/>
                <w:highlight w:val="none"/>
              </w:rPr>
            </w:pPr>
          </w:p>
        </w:tc>
        <w:tc>
          <w:tcPr>
            <w:tcW w:w="1308" w:type="dxa"/>
          </w:tcPr>
          <w:p w14:paraId="142FFB0B">
            <w:pPr>
              <w:ind w:firstLine="0" w:firstLineChars="0"/>
              <w:rPr>
                <w:rFonts w:cs="宋体"/>
                <w:color w:val="auto"/>
                <w:highlight w:val="none"/>
              </w:rPr>
            </w:pPr>
          </w:p>
        </w:tc>
        <w:tc>
          <w:tcPr>
            <w:tcW w:w="3602" w:type="dxa"/>
          </w:tcPr>
          <w:p w14:paraId="4D07CF10">
            <w:pPr>
              <w:ind w:firstLine="0" w:firstLineChars="0"/>
              <w:rPr>
                <w:rFonts w:cs="宋体"/>
                <w:color w:val="auto"/>
                <w:highlight w:val="none"/>
              </w:rPr>
            </w:pPr>
          </w:p>
        </w:tc>
        <w:tc>
          <w:tcPr>
            <w:tcW w:w="2046" w:type="dxa"/>
          </w:tcPr>
          <w:p w14:paraId="1B152401">
            <w:pPr>
              <w:ind w:firstLine="0" w:firstLineChars="0"/>
              <w:rPr>
                <w:rFonts w:cs="宋体"/>
                <w:color w:val="auto"/>
                <w:highlight w:val="none"/>
              </w:rPr>
            </w:pPr>
          </w:p>
        </w:tc>
        <w:tc>
          <w:tcPr>
            <w:tcW w:w="2154" w:type="dxa"/>
          </w:tcPr>
          <w:p w14:paraId="2FB326DB">
            <w:pPr>
              <w:ind w:firstLine="0" w:firstLineChars="0"/>
              <w:rPr>
                <w:rFonts w:cs="宋体"/>
                <w:color w:val="auto"/>
                <w:highlight w:val="none"/>
              </w:rPr>
            </w:pPr>
          </w:p>
        </w:tc>
      </w:tr>
      <w:tr w14:paraId="3819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0A9DC610">
            <w:pPr>
              <w:ind w:firstLine="0" w:firstLineChars="0"/>
              <w:rPr>
                <w:rFonts w:cs="宋体"/>
                <w:color w:val="auto"/>
                <w:highlight w:val="none"/>
              </w:rPr>
            </w:pPr>
          </w:p>
        </w:tc>
        <w:tc>
          <w:tcPr>
            <w:tcW w:w="1308" w:type="dxa"/>
          </w:tcPr>
          <w:p w14:paraId="73D28DEC">
            <w:pPr>
              <w:ind w:firstLine="0" w:firstLineChars="0"/>
              <w:rPr>
                <w:rFonts w:cs="宋体"/>
                <w:color w:val="auto"/>
                <w:highlight w:val="none"/>
              </w:rPr>
            </w:pPr>
          </w:p>
        </w:tc>
        <w:tc>
          <w:tcPr>
            <w:tcW w:w="3602" w:type="dxa"/>
          </w:tcPr>
          <w:p w14:paraId="444EFB35">
            <w:pPr>
              <w:ind w:firstLine="0" w:firstLineChars="0"/>
              <w:rPr>
                <w:rFonts w:cs="宋体"/>
                <w:color w:val="auto"/>
                <w:highlight w:val="none"/>
              </w:rPr>
            </w:pPr>
          </w:p>
        </w:tc>
        <w:tc>
          <w:tcPr>
            <w:tcW w:w="2046" w:type="dxa"/>
          </w:tcPr>
          <w:p w14:paraId="69115C7A">
            <w:pPr>
              <w:ind w:firstLine="0" w:firstLineChars="0"/>
              <w:rPr>
                <w:rFonts w:cs="宋体"/>
                <w:color w:val="auto"/>
                <w:highlight w:val="none"/>
              </w:rPr>
            </w:pPr>
          </w:p>
        </w:tc>
        <w:tc>
          <w:tcPr>
            <w:tcW w:w="2154" w:type="dxa"/>
          </w:tcPr>
          <w:p w14:paraId="139A966C">
            <w:pPr>
              <w:ind w:firstLine="0" w:firstLineChars="0"/>
              <w:rPr>
                <w:rFonts w:cs="宋体"/>
                <w:color w:val="auto"/>
                <w:highlight w:val="none"/>
              </w:rPr>
            </w:pPr>
          </w:p>
        </w:tc>
      </w:tr>
      <w:tr w14:paraId="3D70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395E7F69">
            <w:pPr>
              <w:ind w:firstLine="0" w:firstLineChars="0"/>
              <w:rPr>
                <w:rFonts w:cs="宋体"/>
                <w:color w:val="auto"/>
                <w:highlight w:val="none"/>
              </w:rPr>
            </w:pPr>
          </w:p>
        </w:tc>
        <w:tc>
          <w:tcPr>
            <w:tcW w:w="1308" w:type="dxa"/>
          </w:tcPr>
          <w:p w14:paraId="7FC1DCA1">
            <w:pPr>
              <w:ind w:firstLine="0" w:firstLineChars="0"/>
              <w:rPr>
                <w:rFonts w:cs="宋体"/>
                <w:color w:val="auto"/>
                <w:highlight w:val="none"/>
              </w:rPr>
            </w:pPr>
          </w:p>
        </w:tc>
        <w:tc>
          <w:tcPr>
            <w:tcW w:w="3602" w:type="dxa"/>
          </w:tcPr>
          <w:p w14:paraId="22C614DF">
            <w:pPr>
              <w:ind w:firstLine="0" w:firstLineChars="0"/>
              <w:rPr>
                <w:rFonts w:cs="宋体"/>
                <w:color w:val="auto"/>
                <w:highlight w:val="none"/>
              </w:rPr>
            </w:pPr>
          </w:p>
        </w:tc>
        <w:tc>
          <w:tcPr>
            <w:tcW w:w="2046" w:type="dxa"/>
          </w:tcPr>
          <w:p w14:paraId="52D58000">
            <w:pPr>
              <w:ind w:firstLine="0" w:firstLineChars="0"/>
              <w:rPr>
                <w:rFonts w:cs="宋体"/>
                <w:color w:val="auto"/>
                <w:highlight w:val="none"/>
              </w:rPr>
            </w:pPr>
          </w:p>
        </w:tc>
        <w:tc>
          <w:tcPr>
            <w:tcW w:w="2154" w:type="dxa"/>
          </w:tcPr>
          <w:p w14:paraId="4C4316D9">
            <w:pPr>
              <w:ind w:firstLine="0" w:firstLineChars="0"/>
              <w:rPr>
                <w:rFonts w:cs="宋体"/>
                <w:color w:val="auto"/>
                <w:highlight w:val="none"/>
              </w:rPr>
            </w:pPr>
          </w:p>
        </w:tc>
      </w:tr>
      <w:tr w14:paraId="5A03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688D9938">
            <w:pPr>
              <w:ind w:firstLine="0" w:firstLineChars="0"/>
              <w:rPr>
                <w:rFonts w:cs="宋体"/>
                <w:color w:val="auto"/>
                <w:highlight w:val="none"/>
              </w:rPr>
            </w:pPr>
          </w:p>
        </w:tc>
        <w:tc>
          <w:tcPr>
            <w:tcW w:w="1308" w:type="dxa"/>
          </w:tcPr>
          <w:p w14:paraId="4313A14F">
            <w:pPr>
              <w:ind w:firstLine="0" w:firstLineChars="0"/>
              <w:rPr>
                <w:rFonts w:cs="宋体"/>
                <w:color w:val="auto"/>
                <w:highlight w:val="none"/>
              </w:rPr>
            </w:pPr>
          </w:p>
        </w:tc>
        <w:tc>
          <w:tcPr>
            <w:tcW w:w="3602" w:type="dxa"/>
          </w:tcPr>
          <w:p w14:paraId="2D64C77C">
            <w:pPr>
              <w:ind w:firstLine="0" w:firstLineChars="0"/>
              <w:rPr>
                <w:rFonts w:cs="宋体"/>
                <w:color w:val="auto"/>
                <w:highlight w:val="none"/>
              </w:rPr>
            </w:pPr>
          </w:p>
        </w:tc>
        <w:tc>
          <w:tcPr>
            <w:tcW w:w="2046" w:type="dxa"/>
          </w:tcPr>
          <w:p w14:paraId="3EA0E787">
            <w:pPr>
              <w:ind w:firstLine="0" w:firstLineChars="0"/>
              <w:rPr>
                <w:rFonts w:cs="宋体"/>
                <w:color w:val="auto"/>
                <w:highlight w:val="none"/>
              </w:rPr>
            </w:pPr>
          </w:p>
        </w:tc>
        <w:tc>
          <w:tcPr>
            <w:tcW w:w="2154" w:type="dxa"/>
          </w:tcPr>
          <w:p w14:paraId="4B26E23F">
            <w:pPr>
              <w:ind w:firstLine="0" w:firstLineChars="0"/>
              <w:rPr>
                <w:rFonts w:cs="宋体"/>
                <w:color w:val="auto"/>
                <w:highlight w:val="none"/>
              </w:rPr>
            </w:pPr>
          </w:p>
        </w:tc>
      </w:tr>
      <w:tr w14:paraId="4933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376787A0">
            <w:pPr>
              <w:ind w:firstLine="0" w:firstLineChars="0"/>
              <w:rPr>
                <w:rFonts w:cs="宋体"/>
                <w:color w:val="auto"/>
                <w:highlight w:val="none"/>
              </w:rPr>
            </w:pPr>
          </w:p>
        </w:tc>
        <w:tc>
          <w:tcPr>
            <w:tcW w:w="1308" w:type="dxa"/>
          </w:tcPr>
          <w:p w14:paraId="22DF6038">
            <w:pPr>
              <w:ind w:firstLine="0" w:firstLineChars="0"/>
              <w:rPr>
                <w:rFonts w:cs="宋体"/>
                <w:color w:val="auto"/>
                <w:highlight w:val="none"/>
              </w:rPr>
            </w:pPr>
          </w:p>
        </w:tc>
        <w:tc>
          <w:tcPr>
            <w:tcW w:w="3602" w:type="dxa"/>
          </w:tcPr>
          <w:p w14:paraId="032D31CE">
            <w:pPr>
              <w:ind w:firstLine="0" w:firstLineChars="0"/>
              <w:rPr>
                <w:rFonts w:cs="宋体"/>
                <w:color w:val="auto"/>
                <w:highlight w:val="none"/>
              </w:rPr>
            </w:pPr>
          </w:p>
        </w:tc>
        <w:tc>
          <w:tcPr>
            <w:tcW w:w="2046" w:type="dxa"/>
          </w:tcPr>
          <w:p w14:paraId="19991922">
            <w:pPr>
              <w:ind w:firstLine="0" w:firstLineChars="0"/>
              <w:rPr>
                <w:rFonts w:cs="宋体"/>
                <w:color w:val="auto"/>
                <w:highlight w:val="none"/>
              </w:rPr>
            </w:pPr>
          </w:p>
        </w:tc>
        <w:tc>
          <w:tcPr>
            <w:tcW w:w="2154" w:type="dxa"/>
          </w:tcPr>
          <w:p w14:paraId="3C0B9D58">
            <w:pPr>
              <w:ind w:firstLine="0" w:firstLineChars="0"/>
              <w:rPr>
                <w:rFonts w:cs="宋体"/>
                <w:color w:val="auto"/>
                <w:highlight w:val="none"/>
              </w:rPr>
            </w:pPr>
          </w:p>
        </w:tc>
      </w:tr>
      <w:tr w14:paraId="02C7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07DA7972">
            <w:pPr>
              <w:ind w:firstLine="0" w:firstLineChars="0"/>
              <w:rPr>
                <w:rFonts w:cs="宋体"/>
                <w:color w:val="auto"/>
                <w:highlight w:val="none"/>
              </w:rPr>
            </w:pPr>
          </w:p>
        </w:tc>
        <w:tc>
          <w:tcPr>
            <w:tcW w:w="1308" w:type="dxa"/>
          </w:tcPr>
          <w:p w14:paraId="6841482A">
            <w:pPr>
              <w:ind w:firstLine="0" w:firstLineChars="0"/>
              <w:rPr>
                <w:rFonts w:cs="宋体"/>
                <w:color w:val="auto"/>
                <w:highlight w:val="none"/>
              </w:rPr>
            </w:pPr>
          </w:p>
        </w:tc>
        <w:tc>
          <w:tcPr>
            <w:tcW w:w="3602" w:type="dxa"/>
          </w:tcPr>
          <w:p w14:paraId="45E6ADF8">
            <w:pPr>
              <w:ind w:firstLine="0" w:firstLineChars="0"/>
              <w:rPr>
                <w:rFonts w:cs="宋体"/>
                <w:color w:val="auto"/>
                <w:highlight w:val="none"/>
              </w:rPr>
            </w:pPr>
          </w:p>
        </w:tc>
        <w:tc>
          <w:tcPr>
            <w:tcW w:w="2046" w:type="dxa"/>
          </w:tcPr>
          <w:p w14:paraId="491C3E95">
            <w:pPr>
              <w:ind w:firstLine="0" w:firstLineChars="0"/>
              <w:rPr>
                <w:rFonts w:cs="宋体"/>
                <w:color w:val="auto"/>
                <w:highlight w:val="none"/>
              </w:rPr>
            </w:pPr>
          </w:p>
        </w:tc>
        <w:tc>
          <w:tcPr>
            <w:tcW w:w="2154" w:type="dxa"/>
          </w:tcPr>
          <w:p w14:paraId="4B51C4A8">
            <w:pPr>
              <w:ind w:firstLine="0" w:firstLineChars="0"/>
              <w:rPr>
                <w:rFonts w:cs="宋体"/>
                <w:color w:val="auto"/>
                <w:highlight w:val="none"/>
              </w:rPr>
            </w:pPr>
          </w:p>
        </w:tc>
      </w:tr>
    </w:tbl>
    <w:p w14:paraId="24CF570E">
      <w:pPr>
        <w:ind w:firstLine="0" w:firstLineChars="0"/>
        <w:rPr>
          <w:rFonts w:cs="宋体"/>
          <w:color w:val="auto"/>
          <w:highlight w:val="none"/>
        </w:rPr>
      </w:pPr>
    </w:p>
    <w:p w14:paraId="6347F3B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pPr>
      <w:r>
        <w:rPr>
          <w:rFonts w:hint="eastAsia"/>
        </w:rPr>
        <w:t>注：1.逐项按照招标文件</w:t>
      </w:r>
      <w:r>
        <w:rPr>
          <w:rFonts w:hint="eastAsia"/>
          <w:lang w:eastAsia="zh-CN"/>
        </w:rPr>
        <w:t>“第二章</w:t>
      </w:r>
      <w:r>
        <w:rPr>
          <w:rFonts w:hint="eastAsia"/>
          <w:lang w:val="en-US" w:eastAsia="zh-CN"/>
        </w:rPr>
        <w:t>-采购需求-采购内容清单</w:t>
      </w:r>
      <w:r>
        <w:rPr>
          <w:rFonts w:hint="eastAsia"/>
          <w:lang w:eastAsia="zh-CN"/>
        </w:rPr>
        <w:t>”</w:t>
      </w:r>
      <w:r>
        <w:rPr>
          <w:rFonts w:hint="eastAsia"/>
        </w:rPr>
        <w:t>要求</w:t>
      </w:r>
      <w:r>
        <w:rPr>
          <w:rFonts w:hint="eastAsia"/>
          <w:lang w:eastAsia="zh-CN"/>
        </w:rPr>
        <w:t>，如实</w:t>
      </w:r>
      <w:r>
        <w:rPr>
          <w:rFonts w:hint="eastAsia"/>
        </w:rPr>
        <w:t>填写</w:t>
      </w:r>
      <w:r>
        <w:rPr>
          <w:rFonts w:hint="eastAsia"/>
          <w:lang w:eastAsia="zh-CN"/>
        </w:rPr>
        <w:t>设备</w:t>
      </w:r>
      <w:r>
        <w:rPr>
          <w:rFonts w:hint="eastAsia"/>
        </w:rPr>
        <w:t>响应</w:t>
      </w:r>
      <w:r>
        <w:rPr>
          <w:rFonts w:hint="eastAsia"/>
          <w:lang w:eastAsia="zh-CN"/>
        </w:rPr>
        <w:t>情况</w:t>
      </w:r>
      <w:r>
        <w:rPr>
          <w:rFonts w:hint="eastAsia"/>
        </w:rPr>
        <w:t>；</w:t>
      </w:r>
    </w:p>
    <w:p w14:paraId="013309E1">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2.</w:t>
      </w:r>
      <w:r>
        <w:rPr>
          <w:rFonts w:hint="eastAsia"/>
          <w:lang w:eastAsia="zh-CN"/>
        </w:rPr>
        <w:t>根据实际投标响应情况，在“偏离情况”栏内如实填写“正偏离”、“无偏离”或“负偏离”</w:t>
      </w:r>
      <w:r>
        <w:rPr>
          <w:rFonts w:hint="eastAsia"/>
        </w:rPr>
        <w:t>；</w:t>
      </w:r>
    </w:p>
    <w:p w14:paraId="09267F02">
      <w:pPr>
        <w:keepNext w:val="0"/>
        <w:keepLines w:val="0"/>
        <w:pageBreakBefore w:val="0"/>
        <w:widowControl w:val="0"/>
        <w:kinsoku/>
        <w:wordWrap/>
        <w:overflowPunct/>
        <w:topLinePunct w:val="0"/>
        <w:autoSpaceDE/>
        <w:autoSpaceDN/>
        <w:bidi w:val="0"/>
        <w:adjustRightInd/>
        <w:snapToGrid/>
        <w:spacing w:line="460" w:lineRule="exact"/>
        <w:textAlignment w:val="auto"/>
      </w:pPr>
      <w:r>
        <w:rPr>
          <w:rFonts w:hint="eastAsia"/>
        </w:rPr>
        <w:t>3.投标人可提供同等于或优于招标文件要求的设备和服务。</w:t>
      </w:r>
    </w:p>
    <w:p w14:paraId="54D382CE">
      <w:pPr>
        <w:pStyle w:val="76"/>
        <w:rPr>
          <w:rFonts w:ascii="宋体" w:hAnsi="宋体" w:eastAsia="宋体" w:cs="宋体"/>
          <w:color w:val="auto"/>
          <w:highlight w:val="none"/>
        </w:rPr>
      </w:pPr>
    </w:p>
    <w:p w14:paraId="129DF7CE">
      <w:pPr>
        <w:pStyle w:val="76"/>
        <w:rPr>
          <w:rFonts w:ascii="宋体" w:hAnsi="宋体" w:eastAsia="宋体" w:cs="宋体"/>
          <w:color w:val="auto"/>
          <w:highlight w:val="none"/>
        </w:rPr>
      </w:pPr>
    </w:p>
    <w:p w14:paraId="595F7286">
      <w:pPr>
        <w:spacing w:line="480" w:lineRule="auto"/>
        <w:ind w:firstLine="480"/>
        <w:rPr>
          <w:rFonts w:cs="宋体"/>
          <w:color w:val="auto"/>
          <w:highlight w:val="none"/>
        </w:rPr>
      </w:pPr>
      <w:r>
        <w:rPr>
          <w:rFonts w:hint="eastAsia" w:cs="宋体"/>
          <w:color w:val="auto"/>
          <w:highlight w:val="none"/>
        </w:rPr>
        <w:t>投标人名称（公章）：</w:t>
      </w:r>
    </w:p>
    <w:p w14:paraId="60D9BE53">
      <w:pPr>
        <w:spacing w:line="480" w:lineRule="auto"/>
        <w:ind w:firstLine="480"/>
        <w:rPr>
          <w:rFonts w:cs="宋体"/>
          <w:color w:val="auto"/>
          <w:highlight w:val="none"/>
        </w:rPr>
      </w:pPr>
      <w:r>
        <w:rPr>
          <w:rFonts w:hint="eastAsia" w:cs="宋体"/>
          <w:color w:val="auto"/>
          <w:highlight w:val="none"/>
        </w:rPr>
        <w:t>法定代表人或其授权代表（签字或盖章）：</w:t>
      </w:r>
    </w:p>
    <w:p w14:paraId="3D9CBBE1">
      <w:pPr>
        <w:spacing w:line="480" w:lineRule="auto"/>
        <w:ind w:firstLine="480"/>
        <w:rPr>
          <w:rFonts w:cs="宋体"/>
          <w:color w:val="auto"/>
          <w:highlight w:val="none"/>
        </w:rPr>
        <w:sectPr>
          <w:pgSz w:w="11907" w:h="16840"/>
          <w:pgMar w:top="1440" w:right="1080" w:bottom="1440" w:left="1080" w:header="720" w:footer="720" w:gutter="0"/>
          <w:pgNumType w:fmt="decimal"/>
          <w:cols w:space="720" w:num="1"/>
          <w:docGrid w:linePitch="286" w:charSpace="0"/>
        </w:sectPr>
      </w:pPr>
      <w:r>
        <w:rPr>
          <w:rFonts w:hint="eastAsia" w:cs="宋体"/>
          <w:color w:val="auto"/>
          <w:highlight w:val="none"/>
        </w:rPr>
        <w:t>日期：  年   月   日</w:t>
      </w:r>
    </w:p>
    <w:p w14:paraId="65AC7107">
      <w:pPr>
        <w:pStyle w:val="5"/>
        <w:rPr>
          <w:rFonts w:cs="宋体"/>
          <w:color w:val="auto"/>
          <w:szCs w:val="24"/>
          <w:highlight w:val="none"/>
        </w:rPr>
      </w:pPr>
      <w:r>
        <w:rPr>
          <w:rFonts w:hint="eastAsia" w:cs="宋体"/>
          <w:color w:val="auto"/>
          <w:szCs w:val="24"/>
          <w:highlight w:val="none"/>
        </w:rPr>
        <w:t>附件十</w:t>
      </w:r>
      <w:r>
        <w:rPr>
          <w:rFonts w:hint="eastAsia" w:cs="宋体"/>
          <w:color w:val="auto"/>
          <w:szCs w:val="24"/>
          <w:highlight w:val="none"/>
          <w:lang w:eastAsia="zh-CN"/>
        </w:rPr>
        <w:t>五</w:t>
      </w:r>
      <w:r>
        <w:rPr>
          <w:rFonts w:hint="eastAsia" w:cs="宋体"/>
          <w:color w:val="auto"/>
          <w:szCs w:val="24"/>
          <w:highlight w:val="none"/>
        </w:rPr>
        <w:t>、类似业绩</w:t>
      </w:r>
    </w:p>
    <w:p w14:paraId="177F6D00">
      <w:pPr>
        <w:ind w:firstLine="0" w:firstLineChars="0"/>
        <w:jc w:val="center"/>
        <w:rPr>
          <w:rFonts w:cs="宋体"/>
          <w:b/>
          <w:bCs/>
          <w:color w:val="auto"/>
          <w:sz w:val="28"/>
          <w:szCs w:val="28"/>
          <w:highlight w:val="none"/>
        </w:rPr>
      </w:pPr>
      <w:r>
        <w:rPr>
          <w:rFonts w:hint="eastAsia" w:cs="宋体"/>
          <w:b/>
          <w:bCs/>
          <w:color w:val="auto"/>
          <w:sz w:val="28"/>
          <w:szCs w:val="28"/>
          <w:highlight w:val="none"/>
        </w:rPr>
        <w:t>同类项目实施情况一览表</w:t>
      </w:r>
    </w:p>
    <w:p w14:paraId="329D4982">
      <w:pPr>
        <w:ind w:firstLine="0" w:firstLineChars="0"/>
        <w:rPr>
          <w:rFonts w:cs="宋体"/>
          <w:b/>
          <w:bCs/>
          <w:color w:val="auto"/>
          <w:highlight w:val="none"/>
          <w:lang w:val="zh-CN"/>
        </w:rPr>
      </w:pPr>
      <w:r>
        <w:rPr>
          <w:rFonts w:hint="eastAsia" w:cs="宋体"/>
          <w:color w:val="auto"/>
          <w:highlight w:val="none"/>
        </w:rPr>
        <w:t xml:space="preserve">项目名称：                   项目编号：              </w:t>
      </w:r>
    </w:p>
    <w:tbl>
      <w:tblPr>
        <w:tblStyle w:val="43"/>
        <w:tblW w:w="94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160"/>
        <w:gridCol w:w="1440"/>
        <w:gridCol w:w="2340"/>
        <w:gridCol w:w="1676"/>
        <w:gridCol w:w="1024"/>
      </w:tblGrid>
      <w:tr w14:paraId="1B792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vAlign w:val="center"/>
          </w:tcPr>
          <w:p w14:paraId="59C3C880">
            <w:pPr>
              <w:spacing w:line="300" w:lineRule="exact"/>
              <w:ind w:firstLine="0" w:firstLineChars="0"/>
              <w:jc w:val="center"/>
              <w:rPr>
                <w:rFonts w:cs="宋体"/>
                <w:color w:val="auto"/>
                <w:highlight w:val="none"/>
              </w:rPr>
            </w:pPr>
            <w:r>
              <w:rPr>
                <w:rFonts w:hint="eastAsia"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79BCBF4">
            <w:pPr>
              <w:spacing w:line="300" w:lineRule="exact"/>
              <w:ind w:firstLine="0" w:firstLineChars="0"/>
              <w:jc w:val="center"/>
              <w:rPr>
                <w:rFonts w:cs="宋体"/>
                <w:color w:val="auto"/>
                <w:highlight w:val="none"/>
              </w:rPr>
            </w:pPr>
            <w:r>
              <w:rPr>
                <w:rFonts w:hint="eastAsia"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14:paraId="391B6EE6">
            <w:pPr>
              <w:spacing w:line="300" w:lineRule="exact"/>
              <w:ind w:firstLine="0" w:firstLineChars="0"/>
              <w:jc w:val="center"/>
              <w:rPr>
                <w:rFonts w:cs="宋体"/>
                <w:color w:val="auto"/>
                <w:highlight w:val="none"/>
              </w:rPr>
            </w:pPr>
            <w:r>
              <w:rPr>
                <w:rFonts w:hint="eastAsia" w:cs="宋体"/>
                <w:color w:val="auto"/>
                <w:highlight w:val="none"/>
                <w:lang w:val="zh-CN"/>
              </w:rPr>
              <w:t>项目时间</w:t>
            </w:r>
          </w:p>
          <w:p w14:paraId="4C26C64A">
            <w:pPr>
              <w:spacing w:line="300" w:lineRule="exact"/>
              <w:ind w:firstLine="0" w:firstLineChars="0"/>
              <w:jc w:val="center"/>
              <w:rPr>
                <w:rFonts w:cs="宋体"/>
                <w:color w:val="auto"/>
                <w:highlight w:val="none"/>
              </w:rPr>
            </w:pPr>
            <w:r>
              <w:rPr>
                <w:rFonts w:hint="eastAsia"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0F048741">
            <w:pPr>
              <w:spacing w:line="300" w:lineRule="exact"/>
              <w:ind w:firstLine="0" w:firstLineChars="0"/>
              <w:jc w:val="center"/>
              <w:rPr>
                <w:rFonts w:cs="宋体"/>
                <w:color w:val="auto"/>
                <w:highlight w:val="none"/>
              </w:rPr>
            </w:pPr>
            <w:r>
              <w:rPr>
                <w:rFonts w:hint="eastAsia"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79651D67">
            <w:pPr>
              <w:spacing w:line="300" w:lineRule="exact"/>
              <w:ind w:firstLine="0" w:firstLineChars="0"/>
              <w:jc w:val="center"/>
              <w:rPr>
                <w:rFonts w:cs="宋体"/>
                <w:color w:val="auto"/>
                <w:highlight w:val="none"/>
              </w:rPr>
            </w:pPr>
            <w:r>
              <w:rPr>
                <w:rFonts w:hint="eastAsia"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36D26F47">
            <w:pPr>
              <w:spacing w:line="300" w:lineRule="exact"/>
              <w:ind w:firstLine="0" w:firstLineChars="0"/>
              <w:jc w:val="center"/>
              <w:rPr>
                <w:rFonts w:cs="宋体"/>
                <w:color w:val="auto"/>
                <w:highlight w:val="none"/>
              </w:rPr>
            </w:pPr>
            <w:r>
              <w:rPr>
                <w:rFonts w:hint="eastAsia" w:cs="宋体"/>
                <w:color w:val="auto"/>
                <w:highlight w:val="none"/>
                <w:lang w:val="zh-CN"/>
              </w:rPr>
              <w:t>备 注</w:t>
            </w:r>
          </w:p>
        </w:tc>
      </w:tr>
      <w:tr w14:paraId="055E2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tcPr>
          <w:p w14:paraId="6C03E2D8">
            <w:pPr>
              <w:spacing w:line="420" w:lineRule="exact"/>
              <w:ind w:firstLine="0" w:firstLineChars="0"/>
              <w:jc w:val="center"/>
              <w:rPr>
                <w:rFonts w:cs="宋体"/>
                <w:color w:val="auto"/>
                <w:highlight w:val="none"/>
              </w:rPr>
            </w:pPr>
            <w:r>
              <w:rPr>
                <w:rFonts w:hint="eastAsia"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14:paraId="482BF018">
            <w:pPr>
              <w:spacing w:line="42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17552DCF">
            <w:pPr>
              <w:spacing w:line="420" w:lineRule="exact"/>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14:paraId="09045F58">
            <w:pPr>
              <w:spacing w:line="420" w:lineRule="exact"/>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14:paraId="4ABCDC62">
            <w:pPr>
              <w:spacing w:line="42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3511CD7F">
            <w:pPr>
              <w:spacing w:line="420" w:lineRule="exact"/>
              <w:ind w:firstLine="0" w:firstLineChars="0"/>
              <w:rPr>
                <w:rFonts w:cs="宋体"/>
                <w:color w:val="auto"/>
                <w:highlight w:val="none"/>
              </w:rPr>
            </w:pPr>
          </w:p>
        </w:tc>
      </w:tr>
      <w:tr w14:paraId="0667A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tcPr>
          <w:p w14:paraId="5ACC3C78">
            <w:pPr>
              <w:spacing w:line="420" w:lineRule="exact"/>
              <w:ind w:firstLine="0" w:firstLineChars="0"/>
              <w:jc w:val="center"/>
              <w:rPr>
                <w:rFonts w:cs="宋体"/>
                <w:color w:val="auto"/>
                <w:highlight w:val="none"/>
              </w:rPr>
            </w:pPr>
            <w:r>
              <w:rPr>
                <w:rFonts w:hint="eastAsia"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14:paraId="165C60E5">
            <w:pPr>
              <w:spacing w:line="42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1F8C4FE1">
            <w:pPr>
              <w:spacing w:line="420" w:lineRule="exact"/>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14:paraId="2257DB30">
            <w:pPr>
              <w:spacing w:line="420" w:lineRule="exact"/>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14:paraId="3853FFD7">
            <w:pPr>
              <w:spacing w:line="42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2EAD64F4">
            <w:pPr>
              <w:spacing w:line="420" w:lineRule="exact"/>
              <w:ind w:firstLine="0" w:firstLineChars="0"/>
              <w:rPr>
                <w:rFonts w:cs="宋体"/>
                <w:color w:val="auto"/>
                <w:highlight w:val="none"/>
              </w:rPr>
            </w:pPr>
          </w:p>
        </w:tc>
      </w:tr>
      <w:tr w14:paraId="17A08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tcPr>
          <w:p w14:paraId="0D97C4E0">
            <w:pPr>
              <w:spacing w:line="420" w:lineRule="exact"/>
              <w:ind w:firstLine="0" w:firstLineChars="0"/>
              <w:jc w:val="center"/>
              <w:rPr>
                <w:rFonts w:cs="宋体"/>
                <w:color w:val="auto"/>
                <w:highlight w:val="none"/>
              </w:rPr>
            </w:pPr>
            <w:r>
              <w:rPr>
                <w:rFonts w:hint="eastAsia"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14:paraId="603BA113">
            <w:pPr>
              <w:spacing w:line="42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453050F2">
            <w:pPr>
              <w:spacing w:line="420" w:lineRule="exact"/>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14:paraId="05EE7EF0">
            <w:pPr>
              <w:spacing w:line="420" w:lineRule="exact"/>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14:paraId="3AB694B7">
            <w:pPr>
              <w:spacing w:line="42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4A79E866">
            <w:pPr>
              <w:spacing w:line="420" w:lineRule="exact"/>
              <w:ind w:firstLine="0" w:firstLineChars="0"/>
              <w:rPr>
                <w:rFonts w:cs="宋体"/>
                <w:color w:val="auto"/>
                <w:highlight w:val="none"/>
              </w:rPr>
            </w:pPr>
          </w:p>
        </w:tc>
      </w:tr>
      <w:tr w14:paraId="144A8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tcPr>
          <w:p w14:paraId="2B1A4179">
            <w:pPr>
              <w:spacing w:line="420" w:lineRule="exact"/>
              <w:ind w:firstLine="0" w:firstLineChars="0"/>
              <w:jc w:val="center"/>
              <w:rPr>
                <w:rFonts w:cs="宋体"/>
                <w:color w:val="auto"/>
                <w:highlight w:val="none"/>
              </w:rPr>
            </w:pPr>
            <w:r>
              <w:rPr>
                <w:rFonts w:hint="eastAsia"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14:paraId="7CA0FCAA">
            <w:pPr>
              <w:spacing w:line="42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5EDD2043">
            <w:pPr>
              <w:spacing w:line="420" w:lineRule="exact"/>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14:paraId="7BA00C70">
            <w:pPr>
              <w:spacing w:line="420" w:lineRule="exact"/>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14:paraId="6C479027">
            <w:pPr>
              <w:spacing w:line="42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61145633">
            <w:pPr>
              <w:spacing w:line="420" w:lineRule="exact"/>
              <w:ind w:firstLine="0" w:firstLineChars="0"/>
              <w:rPr>
                <w:rFonts w:cs="宋体"/>
                <w:color w:val="auto"/>
                <w:highlight w:val="none"/>
              </w:rPr>
            </w:pPr>
          </w:p>
        </w:tc>
      </w:tr>
      <w:tr w14:paraId="57921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tcPr>
          <w:p w14:paraId="61604199">
            <w:pPr>
              <w:spacing w:line="420" w:lineRule="exact"/>
              <w:ind w:firstLine="0" w:firstLineChars="0"/>
              <w:jc w:val="center"/>
              <w:rPr>
                <w:rFonts w:cs="宋体"/>
                <w:color w:val="auto"/>
                <w:highlight w:val="none"/>
              </w:rPr>
            </w:pPr>
            <w:r>
              <w:rPr>
                <w:rFonts w:hint="eastAsia"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14:paraId="316112F8">
            <w:pPr>
              <w:spacing w:line="42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0D61E4CF">
            <w:pPr>
              <w:spacing w:line="420" w:lineRule="exact"/>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14:paraId="54CB3470">
            <w:pPr>
              <w:spacing w:line="420" w:lineRule="exact"/>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14:paraId="59525D3D">
            <w:pPr>
              <w:spacing w:line="42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4C9AB2E8">
            <w:pPr>
              <w:spacing w:line="420" w:lineRule="exact"/>
              <w:ind w:firstLine="0" w:firstLineChars="0"/>
              <w:rPr>
                <w:rFonts w:cs="宋体"/>
                <w:color w:val="auto"/>
                <w:highlight w:val="none"/>
              </w:rPr>
            </w:pPr>
          </w:p>
        </w:tc>
      </w:tr>
      <w:tr w14:paraId="7BDCD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tcPr>
          <w:p w14:paraId="7709AE59">
            <w:pPr>
              <w:spacing w:line="420" w:lineRule="exact"/>
              <w:ind w:firstLine="0" w:firstLineChars="0"/>
              <w:jc w:val="center"/>
              <w:rPr>
                <w:rFonts w:cs="宋体"/>
                <w:color w:val="auto"/>
                <w:highlight w:val="none"/>
              </w:rPr>
            </w:pPr>
            <w:r>
              <w:rPr>
                <w:rFonts w:hint="eastAsia"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14:paraId="456EAC82">
            <w:pPr>
              <w:spacing w:line="42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4F5CD4E9">
            <w:pPr>
              <w:spacing w:line="420" w:lineRule="exact"/>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14:paraId="648EB3EC">
            <w:pPr>
              <w:spacing w:line="420" w:lineRule="exact"/>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14:paraId="628AC552">
            <w:pPr>
              <w:spacing w:line="42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41AEA251">
            <w:pPr>
              <w:spacing w:line="420" w:lineRule="exact"/>
              <w:ind w:firstLine="0" w:firstLineChars="0"/>
              <w:rPr>
                <w:rFonts w:cs="宋体"/>
                <w:color w:val="auto"/>
                <w:highlight w:val="none"/>
              </w:rPr>
            </w:pPr>
          </w:p>
        </w:tc>
      </w:tr>
      <w:tr w14:paraId="3950F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tcPr>
          <w:p w14:paraId="7EA4235F">
            <w:pPr>
              <w:spacing w:line="420" w:lineRule="exact"/>
              <w:ind w:firstLine="0" w:firstLineChars="0"/>
              <w:jc w:val="center"/>
              <w:rPr>
                <w:rFonts w:cs="宋体"/>
                <w:color w:val="auto"/>
                <w:highlight w:val="none"/>
              </w:rPr>
            </w:pPr>
            <w:r>
              <w:rPr>
                <w:rFonts w:hint="eastAsia"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14:paraId="5480207F">
            <w:pPr>
              <w:spacing w:line="42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51CB36C2">
            <w:pPr>
              <w:spacing w:line="420" w:lineRule="exact"/>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14:paraId="5F931A98">
            <w:pPr>
              <w:spacing w:line="420" w:lineRule="exact"/>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14:paraId="6344BF4B">
            <w:pPr>
              <w:spacing w:line="42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2AD39A55">
            <w:pPr>
              <w:spacing w:line="420" w:lineRule="exact"/>
              <w:ind w:firstLine="0" w:firstLineChars="0"/>
              <w:rPr>
                <w:rFonts w:cs="宋体"/>
                <w:color w:val="auto"/>
                <w:highlight w:val="none"/>
              </w:rPr>
            </w:pPr>
          </w:p>
        </w:tc>
      </w:tr>
      <w:tr w14:paraId="49BFD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tcPr>
          <w:p w14:paraId="62DC111A">
            <w:pPr>
              <w:spacing w:line="420" w:lineRule="exact"/>
              <w:ind w:firstLine="0" w:firstLineChars="0"/>
              <w:jc w:val="center"/>
              <w:rPr>
                <w:rFonts w:cs="宋体"/>
                <w:color w:val="auto"/>
                <w:highlight w:val="none"/>
              </w:rPr>
            </w:pPr>
            <w:r>
              <w:rPr>
                <w:rFonts w:hint="eastAsia"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14:paraId="39C5FAF6">
            <w:pPr>
              <w:spacing w:line="42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58979F4E">
            <w:pPr>
              <w:spacing w:line="420" w:lineRule="exact"/>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14:paraId="1BA46A9B">
            <w:pPr>
              <w:spacing w:line="420" w:lineRule="exact"/>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14:paraId="4FF93248">
            <w:pPr>
              <w:spacing w:line="42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2453F09C">
            <w:pPr>
              <w:spacing w:line="420" w:lineRule="exact"/>
              <w:ind w:firstLine="0" w:firstLineChars="0"/>
              <w:rPr>
                <w:rFonts w:cs="宋体"/>
                <w:color w:val="auto"/>
                <w:highlight w:val="none"/>
              </w:rPr>
            </w:pPr>
          </w:p>
        </w:tc>
      </w:tr>
      <w:tr w14:paraId="685CC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tcPr>
          <w:p w14:paraId="48B56F75">
            <w:pPr>
              <w:spacing w:line="420" w:lineRule="exact"/>
              <w:ind w:firstLine="0" w:firstLineChars="0"/>
              <w:jc w:val="center"/>
              <w:rPr>
                <w:rFonts w:cs="宋体"/>
                <w:color w:val="auto"/>
                <w:highlight w:val="none"/>
              </w:rPr>
            </w:pPr>
            <w:r>
              <w:rPr>
                <w:rFonts w:hint="eastAsia" w:cs="宋体"/>
                <w:color w:val="auto"/>
                <w:highlight w:val="none"/>
              </w:rPr>
              <w:t>...</w:t>
            </w:r>
          </w:p>
        </w:tc>
        <w:tc>
          <w:tcPr>
            <w:tcW w:w="2160" w:type="dxa"/>
            <w:tcBorders>
              <w:top w:val="single" w:color="auto" w:sz="4" w:space="0"/>
              <w:left w:val="single" w:color="auto" w:sz="4" w:space="0"/>
              <w:bottom w:val="single" w:color="auto" w:sz="4" w:space="0"/>
              <w:right w:val="single" w:color="auto" w:sz="4" w:space="0"/>
            </w:tcBorders>
          </w:tcPr>
          <w:p w14:paraId="6ED160FC">
            <w:pPr>
              <w:spacing w:line="42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73715EDF">
            <w:pPr>
              <w:spacing w:line="420" w:lineRule="exact"/>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14:paraId="4502227D">
            <w:pPr>
              <w:spacing w:line="420" w:lineRule="exact"/>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14:paraId="61BE7A5B">
            <w:pPr>
              <w:spacing w:line="42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7C0E6204">
            <w:pPr>
              <w:spacing w:line="420" w:lineRule="exact"/>
              <w:ind w:firstLine="0" w:firstLineChars="0"/>
              <w:rPr>
                <w:rFonts w:cs="宋体"/>
                <w:color w:val="auto"/>
                <w:highlight w:val="none"/>
              </w:rPr>
            </w:pPr>
          </w:p>
        </w:tc>
      </w:tr>
    </w:tbl>
    <w:p w14:paraId="3E8BFADA">
      <w:pPr>
        <w:ind w:firstLine="458"/>
        <w:rPr>
          <w:rFonts w:cs="宋体"/>
          <w:b/>
          <w:color w:val="auto"/>
          <w:spacing w:val="-6"/>
          <w:highlight w:val="none"/>
        </w:rPr>
      </w:pPr>
    </w:p>
    <w:p w14:paraId="099C9B2F">
      <w:pPr>
        <w:ind w:firstLine="0" w:firstLineChars="0"/>
        <w:rPr>
          <w:rFonts w:cs="宋体"/>
          <w:b/>
          <w:color w:val="auto"/>
          <w:spacing w:val="-6"/>
          <w:highlight w:val="none"/>
        </w:rPr>
      </w:pPr>
      <w:r>
        <w:rPr>
          <w:rFonts w:hint="eastAsia" w:cs="宋体"/>
          <w:b/>
          <w:color w:val="auto"/>
          <w:spacing w:val="-6"/>
          <w:highlight w:val="none"/>
        </w:rPr>
        <w:t>说明：</w:t>
      </w:r>
    </w:p>
    <w:p w14:paraId="721C613D">
      <w:pPr>
        <w:ind w:firstLine="458"/>
        <w:rPr>
          <w:rFonts w:cs="宋体"/>
          <w:b/>
          <w:color w:val="auto"/>
          <w:spacing w:val="-6"/>
          <w:highlight w:val="none"/>
        </w:rPr>
      </w:pPr>
      <w:r>
        <w:rPr>
          <w:rFonts w:hint="eastAsia" w:cs="宋体"/>
          <w:b/>
          <w:color w:val="auto"/>
          <w:spacing w:val="-6"/>
          <w:highlight w:val="none"/>
        </w:rPr>
        <w:t>1.投标人须按照评分标准要求提交相应证明材料；</w:t>
      </w:r>
    </w:p>
    <w:p w14:paraId="79D88EA9">
      <w:pPr>
        <w:ind w:firstLine="458"/>
        <w:rPr>
          <w:rFonts w:cs="宋体"/>
          <w:b/>
          <w:color w:val="auto"/>
          <w:spacing w:val="-6"/>
          <w:highlight w:val="none"/>
        </w:rPr>
      </w:pPr>
      <w:r>
        <w:rPr>
          <w:rFonts w:hint="eastAsia" w:cs="宋体"/>
          <w:b/>
          <w:color w:val="auto"/>
          <w:spacing w:val="-6"/>
          <w:highlight w:val="none"/>
        </w:rPr>
        <w:t>2.所有证明材料复印件应清晰，应能体现签订时间、双方签字盖章等内容；</w:t>
      </w:r>
    </w:p>
    <w:p w14:paraId="09622CCA">
      <w:pPr>
        <w:ind w:firstLine="458"/>
        <w:rPr>
          <w:rFonts w:cs="宋体"/>
          <w:b/>
          <w:color w:val="auto"/>
          <w:spacing w:val="-6"/>
          <w:highlight w:val="none"/>
        </w:rPr>
      </w:pPr>
      <w:r>
        <w:rPr>
          <w:rFonts w:hint="eastAsia" w:cs="宋体"/>
          <w:b/>
          <w:color w:val="auto"/>
          <w:spacing w:val="-6"/>
          <w:highlight w:val="none"/>
        </w:rPr>
        <w:t>3.投标人应在不涉及商业秘密的前提下尽可能提供详细的复印件内容。</w:t>
      </w:r>
    </w:p>
    <w:p w14:paraId="51B6537E">
      <w:pPr>
        <w:ind w:firstLine="0" w:firstLineChars="0"/>
        <w:rPr>
          <w:rFonts w:cs="宋体"/>
          <w:color w:val="auto"/>
          <w:highlight w:val="none"/>
        </w:rPr>
      </w:pPr>
    </w:p>
    <w:p w14:paraId="1FE7E32A">
      <w:pPr>
        <w:ind w:left="-720" w:right="-960" w:firstLine="0" w:firstLineChars="0"/>
        <w:rPr>
          <w:rFonts w:cs="宋体"/>
          <w:color w:val="auto"/>
          <w:spacing w:val="4"/>
          <w:highlight w:val="none"/>
        </w:rPr>
      </w:pPr>
    </w:p>
    <w:p w14:paraId="6ED1B1BF">
      <w:pPr>
        <w:spacing w:line="480" w:lineRule="auto"/>
        <w:ind w:firstLine="480"/>
        <w:rPr>
          <w:rFonts w:cs="宋体"/>
          <w:color w:val="auto"/>
          <w:highlight w:val="none"/>
        </w:rPr>
      </w:pPr>
      <w:r>
        <w:rPr>
          <w:rFonts w:hint="eastAsia" w:cs="宋体"/>
          <w:color w:val="auto"/>
          <w:highlight w:val="none"/>
        </w:rPr>
        <w:t>投标人名称（公章）：</w:t>
      </w:r>
    </w:p>
    <w:p w14:paraId="6DE002E1">
      <w:pPr>
        <w:spacing w:line="480" w:lineRule="auto"/>
        <w:ind w:firstLine="480"/>
        <w:rPr>
          <w:rFonts w:cs="宋体"/>
          <w:color w:val="auto"/>
          <w:highlight w:val="none"/>
        </w:rPr>
      </w:pPr>
      <w:r>
        <w:rPr>
          <w:rFonts w:hint="eastAsia" w:cs="宋体"/>
          <w:color w:val="auto"/>
          <w:highlight w:val="none"/>
        </w:rPr>
        <w:t>法定代表人或其授权代表（签字或盖章）：</w:t>
      </w:r>
    </w:p>
    <w:p w14:paraId="68F5EB6B">
      <w:pPr>
        <w:tabs>
          <w:tab w:val="left" w:pos="790"/>
        </w:tabs>
        <w:spacing w:line="480" w:lineRule="auto"/>
        <w:ind w:firstLine="480"/>
        <w:jc w:val="left"/>
        <w:rPr>
          <w:color w:val="auto"/>
          <w:highlight w:val="none"/>
        </w:rPr>
        <w:sectPr>
          <w:pgSz w:w="11907" w:h="16840"/>
          <w:pgMar w:top="1440" w:right="1080" w:bottom="1440" w:left="1080" w:header="720" w:footer="720" w:gutter="0"/>
          <w:pgNumType w:fmt="decimal"/>
          <w:cols w:space="720" w:num="1"/>
          <w:docGrid w:linePitch="286" w:charSpace="0"/>
        </w:sectPr>
      </w:pPr>
      <w:r>
        <w:rPr>
          <w:rFonts w:hint="eastAsia" w:cs="宋体"/>
          <w:color w:val="auto"/>
          <w:highlight w:val="none"/>
        </w:rPr>
        <w:t>日期：  年   月   日</w:t>
      </w:r>
    </w:p>
    <w:p w14:paraId="5EC6F451">
      <w:pPr>
        <w:pStyle w:val="5"/>
        <w:rPr>
          <w:rFonts w:cs="宋体"/>
          <w:color w:val="auto"/>
          <w:szCs w:val="24"/>
          <w:highlight w:val="none"/>
        </w:rPr>
      </w:pPr>
      <w:r>
        <w:rPr>
          <w:rFonts w:hint="eastAsia" w:cs="宋体"/>
          <w:color w:val="auto"/>
          <w:szCs w:val="24"/>
          <w:highlight w:val="none"/>
        </w:rPr>
        <w:t>附件十</w:t>
      </w:r>
      <w:r>
        <w:rPr>
          <w:rFonts w:hint="eastAsia" w:cs="宋体"/>
          <w:color w:val="auto"/>
          <w:szCs w:val="24"/>
          <w:highlight w:val="none"/>
          <w:lang w:eastAsia="zh-CN"/>
        </w:rPr>
        <w:t>六</w:t>
      </w:r>
      <w:r>
        <w:rPr>
          <w:rFonts w:hint="eastAsia" w:cs="宋体"/>
          <w:color w:val="auto"/>
          <w:szCs w:val="24"/>
          <w:highlight w:val="none"/>
        </w:rPr>
        <w:t>、人员配备</w:t>
      </w:r>
    </w:p>
    <w:p w14:paraId="7D59A035">
      <w:pPr>
        <w:ind w:left="-720" w:right="-965" w:firstLine="0" w:firstLineChars="0"/>
        <w:jc w:val="center"/>
        <w:rPr>
          <w:rFonts w:cs="宋体"/>
          <w:b/>
          <w:bCs/>
          <w:color w:val="auto"/>
          <w:spacing w:val="30"/>
          <w:sz w:val="28"/>
          <w:szCs w:val="28"/>
          <w:highlight w:val="none"/>
        </w:rPr>
      </w:pPr>
      <w:r>
        <w:rPr>
          <w:rFonts w:hint="eastAsia" w:cs="宋体"/>
          <w:b/>
          <w:bCs/>
          <w:color w:val="auto"/>
          <w:spacing w:val="30"/>
          <w:sz w:val="28"/>
          <w:szCs w:val="28"/>
          <w:highlight w:val="none"/>
        </w:rPr>
        <w:t>项目负责人情况表</w:t>
      </w:r>
    </w:p>
    <w:p w14:paraId="165E8383">
      <w:pPr>
        <w:ind w:firstLine="0" w:firstLineChars="0"/>
        <w:rPr>
          <w:rFonts w:cs="宋体"/>
          <w:color w:val="auto"/>
          <w:highlight w:val="none"/>
        </w:rPr>
      </w:pPr>
      <w:r>
        <w:rPr>
          <w:rFonts w:hint="eastAsia" w:cs="宋体"/>
          <w:color w:val="auto"/>
          <w:highlight w:val="none"/>
        </w:rPr>
        <w:t xml:space="preserve">项目名称：            项目编号：           </w:t>
      </w:r>
    </w:p>
    <w:tbl>
      <w:tblPr>
        <w:tblStyle w:val="43"/>
        <w:tblW w:w="9710" w:type="dxa"/>
        <w:tblInd w:w="38" w:type="dxa"/>
        <w:tblLayout w:type="fixed"/>
        <w:tblCellMar>
          <w:top w:w="0" w:type="dxa"/>
          <w:left w:w="108" w:type="dxa"/>
          <w:bottom w:w="0" w:type="dxa"/>
          <w:right w:w="108" w:type="dxa"/>
        </w:tblCellMar>
      </w:tblPr>
      <w:tblGrid>
        <w:gridCol w:w="2591"/>
        <w:gridCol w:w="1806"/>
        <w:gridCol w:w="5313"/>
      </w:tblGrid>
      <w:tr w14:paraId="40640874">
        <w:tblPrEx>
          <w:tblCellMar>
            <w:top w:w="0" w:type="dxa"/>
            <w:left w:w="108" w:type="dxa"/>
            <w:bottom w:w="0" w:type="dxa"/>
            <w:right w:w="108" w:type="dxa"/>
          </w:tblCellMar>
        </w:tblPrEx>
        <w:trPr>
          <w:trHeight w:val="434" w:hRule="atLeast"/>
        </w:trPr>
        <w:tc>
          <w:tcPr>
            <w:tcW w:w="2591" w:type="dxa"/>
            <w:tcBorders>
              <w:top w:val="single" w:color="auto" w:sz="6" w:space="0"/>
              <w:left w:val="single" w:color="auto" w:sz="6" w:space="0"/>
              <w:bottom w:val="single" w:color="auto" w:sz="6" w:space="0"/>
              <w:right w:val="single" w:color="auto" w:sz="6" w:space="0"/>
            </w:tcBorders>
            <w:vAlign w:val="center"/>
          </w:tcPr>
          <w:p w14:paraId="41CD1443">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姓名</w:t>
            </w:r>
          </w:p>
        </w:tc>
        <w:tc>
          <w:tcPr>
            <w:tcW w:w="1806" w:type="dxa"/>
            <w:tcBorders>
              <w:top w:val="single" w:color="auto" w:sz="6" w:space="0"/>
              <w:left w:val="single" w:color="auto" w:sz="6" w:space="0"/>
              <w:bottom w:val="single" w:color="auto" w:sz="6" w:space="0"/>
              <w:right w:val="single" w:color="auto" w:sz="6" w:space="0"/>
            </w:tcBorders>
            <w:vAlign w:val="center"/>
          </w:tcPr>
          <w:p w14:paraId="3266E0AF">
            <w:pPr>
              <w:adjustRightInd w:val="0"/>
              <w:snapToGrid w:val="0"/>
              <w:spacing w:line="400" w:lineRule="exact"/>
              <w:ind w:firstLine="0" w:firstLineChars="0"/>
              <w:jc w:val="center"/>
              <w:rPr>
                <w:rFonts w:cs="宋体"/>
                <w:color w:val="auto"/>
                <w:highlight w:val="none"/>
              </w:rPr>
            </w:pPr>
          </w:p>
        </w:tc>
        <w:tc>
          <w:tcPr>
            <w:tcW w:w="5313" w:type="dxa"/>
            <w:tcBorders>
              <w:top w:val="single" w:color="auto" w:sz="6" w:space="0"/>
              <w:left w:val="single" w:color="auto" w:sz="6" w:space="0"/>
              <w:bottom w:val="single" w:color="auto" w:sz="6" w:space="0"/>
              <w:right w:val="single" w:color="auto" w:sz="6" w:space="0"/>
            </w:tcBorders>
            <w:vAlign w:val="center"/>
          </w:tcPr>
          <w:p w14:paraId="1AB6E8E9">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业绩及承担的主要工作情况</w:t>
            </w:r>
          </w:p>
        </w:tc>
      </w:tr>
      <w:tr w14:paraId="4034A279">
        <w:tblPrEx>
          <w:tblCellMar>
            <w:top w:w="0" w:type="dxa"/>
            <w:left w:w="108" w:type="dxa"/>
            <w:bottom w:w="0" w:type="dxa"/>
            <w:right w:w="108" w:type="dxa"/>
          </w:tblCellMar>
        </w:tblPrEx>
        <w:trPr>
          <w:cantSplit/>
          <w:trHeight w:val="345" w:hRule="atLeast"/>
        </w:trPr>
        <w:tc>
          <w:tcPr>
            <w:tcW w:w="2591" w:type="dxa"/>
            <w:tcBorders>
              <w:top w:val="single" w:color="auto" w:sz="6" w:space="0"/>
              <w:left w:val="single" w:color="auto" w:sz="6" w:space="0"/>
              <w:bottom w:val="single" w:color="auto" w:sz="6" w:space="0"/>
              <w:right w:val="single" w:color="auto" w:sz="6" w:space="0"/>
            </w:tcBorders>
            <w:vAlign w:val="center"/>
          </w:tcPr>
          <w:p w14:paraId="304B9585">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性别</w:t>
            </w:r>
          </w:p>
        </w:tc>
        <w:tc>
          <w:tcPr>
            <w:tcW w:w="1806" w:type="dxa"/>
            <w:tcBorders>
              <w:top w:val="single" w:color="auto" w:sz="6" w:space="0"/>
              <w:left w:val="single" w:color="auto" w:sz="6" w:space="0"/>
              <w:bottom w:val="single" w:color="auto" w:sz="6" w:space="0"/>
              <w:right w:val="single" w:color="auto" w:sz="6" w:space="0"/>
            </w:tcBorders>
            <w:vAlign w:val="center"/>
          </w:tcPr>
          <w:p w14:paraId="4F1AF504">
            <w:pPr>
              <w:adjustRightInd w:val="0"/>
              <w:snapToGrid w:val="0"/>
              <w:spacing w:line="400" w:lineRule="exact"/>
              <w:ind w:firstLine="0" w:firstLineChars="0"/>
              <w:jc w:val="center"/>
              <w:rPr>
                <w:rFonts w:cs="宋体"/>
                <w:color w:val="auto"/>
                <w:highlight w:val="none"/>
              </w:rPr>
            </w:pPr>
          </w:p>
        </w:tc>
        <w:tc>
          <w:tcPr>
            <w:tcW w:w="5313" w:type="dxa"/>
            <w:vMerge w:val="restart"/>
            <w:tcBorders>
              <w:top w:val="single" w:color="auto" w:sz="6" w:space="0"/>
              <w:left w:val="single" w:color="auto" w:sz="6" w:space="0"/>
              <w:bottom w:val="single" w:color="auto" w:sz="6" w:space="0"/>
              <w:right w:val="single" w:color="auto" w:sz="6" w:space="0"/>
            </w:tcBorders>
            <w:vAlign w:val="center"/>
          </w:tcPr>
          <w:p w14:paraId="522AC570">
            <w:pPr>
              <w:adjustRightInd w:val="0"/>
              <w:snapToGrid w:val="0"/>
              <w:spacing w:after="120" w:afterLines="50"/>
              <w:ind w:firstLine="0" w:firstLineChars="0"/>
              <w:jc w:val="center"/>
              <w:rPr>
                <w:rFonts w:cs="宋体"/>
                <w:color w:val="auto"/>
                <w:highlight w:val="none"/>
              </w:rPr>
            </w:pPr>
          </w:p>
        </w:tc>
      </w:tr>
      <w:tr w14:paraId="6A92FA9B">
        <w:tblPrEx>
          <w:tblCellMar>
            <w:top w:w="0" w:type="dxa"/>
            <w:left w:w="108" w:type="dxa"/>
            <w:bottom w:w="0" w:type="dxa"/>
            <w:right w:w="108" w:type="dxa"/>
          </w:tblCellMar>
        </w:tblPrEx>
        <w:trPr>
          <w:cantSplit/>
          <w:trHeight w:val="337" w:hRule="atLeast"/>
        </w:trPr>
        <w:tc>
          <w:tcPr>
            <w:tcW w:w="2591" w:type="dxa"/>
            <w:tcBorders>
              <w:top w:val="single" w:color="auto" w:sz="6" w:space="0"/>
              <w:left w:val="single" w:color="auto" w:sz="6" w:space="0"/>
              <w:bottom w:val="single" w:color="auto" w:sz="6" w:space="0"/>
              <w:right w:val="single" w:color="auto" w:sz="6" w:space="0"/>
            </w:tcBorders>
            <w:vAlign w:val="center"/>
          </w:tcPr>
          <w:p w14:paraId="2C7C25A8">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年龄</w:t>
            </w:r>
          </w:p>
        </w:tc>
        <w:tc>
          <w:tcPr>
            <w:tcW w:w="1806" w:type="dxa"/>
            <w:tcBorders>
              <w:top w:val="single" w:color="auto" w:sz="6" w:space="0"/>
              <w:left w:val="single" w:color="auto" w:sz="6" w:space="0"/>
              <w:bottom w:val="single" w:color="auto" w:sz="6" w:space="0"/>
              <w:right w:val="single" w:color="auto" w:sz="6" w:space="0"/>
            </w:tcBorders>
            <w:vAlign w:val="center"/>
          </w:tcPr>
          <w:p w14:paraId="2F532B65">
            <w:pPr>
              <w:adjustRightInd w:val="0"/>
              <w:snapToGrid w:val="0"/>
              <w:spacing w:line="400" w:lineRule="exact"/>
              <w:ind w:firstLine="0" w:firstLineChars="0"/>
              <w:jc w:val="center"/>
              <w:rPr>
                <w:rFonts w:cs="宋体"/>
                <w:color w:val="auto"/>
                <w:highlight w:val="none"/>
              </w:rPr>
            </w:pPr>
          </w:p>
        </w:tc>
        <w:tc>
          <w:tcPr>
            <w:tcW w:w="5313" w:type="dxa"/>
            <w:vMerge w:val="continue"/>
            <w:tcBorders>
              <w:top w:val="single" w:color="auto" w:sz="6" w:space="0"/>
              <w:left w:val="single" w:color="auto" w:sz="6" w:space="0"/>
              <w:bottom w:val="single" w:color="auto" w:sz="6" w:space="0"/>
              <w:right w:val="single" w:color="auto" w:sz="6" w:space="0"/>
            </w:tcBorders>
            <w:vAlign w:val="center"/>
          </w:tcPr>
          <w:p w14:paraId="2997ABAC">
            <w:pPr>
              <w:adjustRightInd w:val="0"/>
              <w:snapToGrid w:val="0"/>
              <w:spacing w:after="120" w:afterLines="50"/>
              <w:ind w:firstLine="0" w:firstLineChars="0"/>
              <w:jc w:val="center"/>
              <w:rPr>
                <w:rFonts w:cs="宋体"/>
                <w:color w:val="auto"/>
                <w:highlight w:val="none"/>
              </w:rPr>
            </w:pPr>
          </w:p>
        </w:tc>
      </w:tr>
      <w:tr w14:paraId="4273087E">
        <w:tblPrEx>
          <w:tblCellMar>
            <w:top w:w="0" w:type="dxa"/>
            <w:left w:w="108" w:type="dxa"/>
            <w:bottom w:w="0" w:type="dxa"/>
            <w:right w:w="108" w:type="dxa"/>
          </w:tblCellMar>
        </w:tblPrEx>
        <w:trPr>
          <w:cantSplit/>
          <w:trHeight w:val="345" w:hRule="atLeast"/>
        </w:trPr>
        <w:tc>
          <w:tcPr>
            <w:tcW w:w="2591" w:type="dxa"/>
            <w:tcBorders>
              <w:top w:val="single" w:color="auto" w:sz="6" w:space="0"/>
              <w:left w:val="single" w:color="auto" w:sz="6" w:space="0"/>
              <w:bottom w:val="single" w:color="auto" w:sz="6" w:space="0"/>
              <w:right w:val="single" w:color="auto" w:sz="6" w:space="0"/>
            </w:tcBorders>
            <w:vAlign w:val="center"/>
          </w:tcPr>
          <w:p w14:paraId="375F07B0">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职称</w:t>
            </w:r>
          </w:p>
        </w:tc>
        <w:tc>
          <w:tcPr>
            <w:tcW w:w="1806" w:type="dxa"/>
            <w:tcBorders>
              <w:top w:val="single" w:color="auto" w:sz="6" w:space="0"/>
              <w:left w:val="single" w:color="auto" w:sz="6" w:space="0"/>
              <w:bottom w:val="single" w:color="auto" w:sz="6" w:space="0"/>
              <w:right w:val="single" w:color="auto" w:sz="6" w:space="0"/>
            </w:tcBorders>
            <w:vAlign w:val="center"/>
          </w:tcPr>
          <w:p w14:paraId="09F87417">
            <w:pPr>
              <w:adjustRightInd w:val="0"/>
              <w:snapToGrid w:val="0"/>
              <w:spacing w:line="400" w:lineRule="exact"/>
              <w:ind w:firstLine="0" w:firstLineChars="0"/>
              <w:jc w:val="center"/>
              <w:rPr>
                <w:rFonts w:cs="宋体"/>
                <w:color w:val="auto"/>
                <w:highlight w:val="none"/>
              </w:rPr>
            </w:pPr>
          </w:p>
        </w:tc>
        <w:tc>
          <w:tcPr>
            <w:tcW w:w="5313" w:type="dxa"/>
            <w:vMerge w:val="continue"/>
            <w:tcBorders>
              <w:top w:val="single" w:color="auto" w:sz="6" w:space="0"/>
              <w:left w:val="single" w:color="auto" w:sz="6" w:space="0"/>
              <w:bottom w:val="single" w:color="auto" w:sz="6" w:space="0"/>
              <w:right w:val="single" w:color="auto" w:sz="6" w:space="0"/>
            </w:tcBorders>
            <w:vAlign w:val="center"/>
          </w:tcPr>
          <w:p w14:paraId="036E7AD6">
            <w:pPr>
              <w:adjustRightInd w:val="0"/>
              <w:snapToGrid w:val="0"/>
              <w:spacing w:after="120" w:afterLines="50"/>
              <w:ind w:firstLine="0" w:firstLineChars="0"/>
              <w:jc w:val="center"/>
              <w:rPr>
                <w:rFonts w:cs="宋体"/>
                <w:color w:val="auto"/>
                <w:highlight w:val="none"/>
              </w:rPr>
            </w:pPr>
          </w:p>
        </w:tc>
      </w:tr>
      <w:tr w14:paraId="26FC21A3">
        <w:tblPrEx>
          <w:tblCellMar>
            <w:top w:w="0" w:type="dxa"/>
            <w:left w:w="108" w:type="dxa"/>
            <w:bottom w:w="0" w:type="dxa"/>
            <w:right w:w="108" w:type="dxa"/>
          </w:tblCellMar>
        </w:tblPrEx>
        <w:trPr>
          <w:cantSplit/>
          <w:trHeight w:val="345" w:hRule="atLeast"/>
        </w:trPr>
        <w:tc>
          <w:tcPr>
            <w:tcW w:w="2591" w:type="dxa"/>
            <w:tcBorders>
              <w:top w:val="single" w:color="auto" w:sz="6" w:space="0"/>
              <w:left w:val="single" w:color="auto" w:sz="6" w:space="0"/>
              <w:bottom w:val="single" w:color="auto" w:sz="6" w:space="0"/>
              <w:right w:val="single" w:color="auto" w:sz="6" w:space="0"/>
            </w:tcBorders>
            <w:vAlign w:val="center"/>
          </w:tcPr>
          <w:p w14:paraId="3C03990A">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毕业时间</w:t>
            </w:r>
          </w:p>
        </w:tc>
        <w:tc>
          <w:tcPr>
            <w:tcW w:w="1806" w:type="dxa"/>
            <w:tcBorders>
              <w:top w:val="single" w:color="auto" w:sz="6" w:space="0"/>
              <w:left w:val="single" w:color="auto" w:sz="6" w:space="0"/>
              <w:bottom w:val="single" w:color="auto" w:sz="6" w:space="0"/>
              <w:right w:val="single" w:color="auto" w:sz="6" w:space="0"/>
            </w:tcBorders>
            <w:vAlign w:val="center"/>
          </w:tcPr>
          <w:p w14:paraId="666091D0">
            <w:pPr>
              <w:adjustRightInd w:val="0"/>
              <w:snapToGrid w:val="0"/>
              <w:spacing w:line="400" w:lineRule="exact"/>
              <w:ind w:firstLine="0" w:firstLineChars="0"/>
              <w:jc w:val="center"/>
              <w:rPr>
                <w:rFonts w:cs="宋体"/>
                <w:color w:val="auto"/>
                <w:highlight w:val="none"/>
              </w:rPr>
            </w:pPr>
          </w:p>
        </w:tc>
        <w:tc>
          <w:tcPr>
            <w:tcW w:w="5313" w:type="dxa"/>
            <w:vMerge w:val="continue"/>
            <w:tcBorders>
              <w:top w:val="single" w:color="auto" w:sz="6" w:space="0"/>
              <w:left w:val="single" w:color="auto" w:sz="6" w:space="0"/>
              <w:bottom w:val="single" w:color="auto" w:sz="6" w:space="0"/>
              <w:right w:val="single" w:color="auto" w:sz="6" w:space="0"/>
            </w:tcBorders>
            <w:vAlign w:val="center"/>
          </w:tcPr>
          <w:p w14:paraId="66AA820F">
            <w:pPr>
              <w:adjustRightInd w:val="0"/>
              <w:snapToGrid w:val="0"/>
              <w:spacing w:after="120" w:afterLines="50"/>
              <w:ind w:firstLine="0" w:firstLineChars="0"/>
              <w:jc w:val="center"/>
              <w:rPr>
                <w:rFonts w:cs="宋体"/>
                <w:color w:val="auto"/>
                <w:highlight w:val="none"/>
              </w:rPr>
            </w:pPr>
          </w:p>
        </w:tc>
      </w:tr>
      <w:tr w14:paraId="06294E50">
        <w:tblPrEx>
          <w:tblCellMar>
            <w:top w:w="0" w:type="dxa"/>
            <w:left w:w="108" w:type="dxa"/>
            <w:bottom w:w="0" w:type="dxa"/>
            <w:right w:w="108" w:type="dxa"/>
          </w:tblCellMar>
        </w:tblPrEx>
        <w:trPr>
          <w:cantSplit/>
          <w:trHeight w:val="422" w:hRule="atLeast"/>
        </w:trPr>
        <w:tc>
          <w:tcPr>
            <w:tcW w:w="2591" w:type="dxa"/>
            <w:tcBorders>
              <w:top w:val="single" w:color="auto" w:sz="6" w:space="0"/>
              <w:left w:val="single" w:color="auto" w:sz="6" w:space="0"/>
              <w:bottom w:val="single" w:color="auto" w:sz="6" w:space="0"/>
              <w:right w:val="single" w:color="auto" w:sz="6" w:space="0"/>
            </w:tcBorders>
            <w:vAlign w:val="center"/>
          </w:tcPr>
          <w:p w14:paraId="5E341D77">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所学专业</w:t>
            </w:r>
          </w:p>
        </w:tc>
        <w:tc>
          <w:tcPr>
            <w:tcW w:w="1806" w:type="dxa"/>
            <w:tcBorders>
              <w:top w:val="single" w:color="auto" w:sz="6" w:space="0"/>
              <w:left w:val="single" w:color="auto" w:sz="6" w:space="0"/>
              <w:bottom w:val="single" w:color="auto" w:sz="6" w:space="0"/>
              <w:right w:val="single" w:color="auto" w:sz="6" w:space="0"/>
            </w:tcBorders>
            <w:vAlign w:val="center"/>
          </w:tcPr>
          <w:p w14:paraId="0493149C">
            <w:pPr>
              <w:adjustRightInd w:val="0"/>
              <w:snapToGrid w:val="0"/>
              <w:spacing w:line="400" w:lineRule="exact"/>
              <w:ind w:firstLine="0" w:firstLineChars="0"/>
              <w:jc w:val="center"/>
              <w:rPr>
                <w:rFonts w:cs="宋体"/>
                <w:color w:val="auto"/>
                <w:highlight w:val="none"/>
              </w:rPr>
            </w:pPr>
          </w:p>
        </w:tc>
        <w:tc>
          <w:tcPr>
            <w:tcW w:w="5313" w:type="dxa"/>
            <w:vMerge w:val="continue"/>
            <w:tcBorders>
              <w:top w:val="single" w:color="auto" w:sz="6" w:space="0"/>
              <w:left w:val="single" w:color="auto" w:sz="6" w:space="0"/>
              <w:bottom w:val="single" w:color="auto" w:sz="6" w:space="0"/>
              <w:right w:val="single" w:color="auto" w:sz="6" w:space="0"/>
            </w:tcBorders>
            <w:vAlign w:val="center"/>
          </w:tcPr>
          <w:p w14:paraId="428B370D">
            <w:pPr>
              <w:adjustRightInd w:val="0"/>
              <w:snapToGrid w:val="0"/>
              <w:spacing w:after="120" w:afterLines="50"/>
              <w:ind w:firstLine="0" w:firstLineChars="0"/>
              <w:jc w:val="center"/>
              <w:rPr>
                <w:rFonts w:cs="宋体"/>
                <w:color w:val="auto"/>
                <w:highlight w:val="none"/>
              </w:rPr>
            </w:pPr>
          </w:p>
        </w:tc>
      </w:tr>
      <w:tr w14:paraId="1D1DD922">
        <w:tblPrEx>
          <w:tblCellMar>
            <w:top w:w="0" w:type="dxa"/>
            <w:left w:w="108" w:type="dxa"/>
            <w:bottom w:w="0" w:type="dxa"/>
            <w:right w:w="108" w:type="dxa"/>
          </w:tblCellMar>
        </w:tblPrEx>
        <w:trPr>
          <w:cantSplit/>
          <w:trHeight w:val="416" w:hRule="atLeast"/>
        </w:trPr>
        <w:tc>
          <w:tcPr>
            <w:tcW w:w="2591" w:type="dxa"/>
            <w:tcBorders>
              <w:top w:val="single" w:color="auto" w:sz="6" w:space="0"/>
              <w:left w:val="single" w:color="auto" w:sz="6" w:space="0"/>
              <w:bottom w:val="single" w:color="auto" w:sz="6" w:space="0"/>
              <w:right w:val="single" w:color="auto" w:sz="6" w:space="0"/>
            </w:tcBorders>
            <w:vAlign w:val="center"/>
          </w:tcPr>
          <w:p w14:paraId="1C59733E">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学历</w:t>
            </w:r>
          </w:p>
        </w:tc>
        <w:tc>
          <w:tcPr>
            <w:tcW w:w="1806" w:type="dxa"/>
            <w:tcBorders>
              <w:top w:val="single" w:color="auto" w:sz="6" w:space="0"/>
              <w:left w:val="single" w:color="auto" w:sz="6" w:space="0"/>
              <w:bottom w:val="single" w:color="auto" w:sz="6" w:space="0"/>
              <w:right w:val="single" w:color="auto" w:sz="6" w:space="0"/>
            </w:tcBorders>
            <w:vAlign w:val="center"/>
          </w:tcPr>
          <w:p w14:paraId="5BAF297B">
            <w:pPr>
              <w:adjustRightInd w:val="0"/>
              <w:snapToGrid w:val="0"/>
              <w:spacing w:line="400" w:lineRule="exact"/>
              <w:ind w:firstLine="0" w:firstLineChars="0"/>
              <w:jc w:val="center"/>
              <w:rPr>
                <w:rFonts w:cs="宋体"/>
                <w:color w:val="auto"/>
                <w:highlight w:val="none"/>
              </w:rPr>
            </w:pPr>
          </w:p>
        </w:tc>
        <w:tc>
          <w:tcPr>
            <w:tcW w:w="5313" w:type="dxa"/>
            <w:vMerge w:val="continue"/>
            <w:tcBorders>
              <w:top w:val="single" w:color="auto" w:sz="6" w:space="0"/>
              <w:left w:val="single" w:color="auto" w:sz="6" w:space="0"/>
              <w:bottom w:val="single" w:color="auto" w:sz="6" w:space="0"/>
              <w:right w:val="single" w:color="auto" w:sz="6" w:space="0"/>
            </w:tcBorders>
            <w:vAlign w:val="center"/>
          </w:tcPr>
          <w:p w14:paraId="15257C2F">
            <w:pPr>
              <w:adjustRightInd w:val="0"/>
              <w:snapToGrid w:val="0"/>
              <w:spacing w:after="120" w:afterLines="50"/>
              <w:ind w:firstLine="0" w:firstLineChars="0"/>
              <w:jc w:val="center"/>
              <w:rPr>
                <w:rFonts w:cs="宋体"/>
                <w:color w:val="auto"/>
                <w:highlight w:val="none"/>
              </w:rPr>
            </w:pPr>
          </w:p>
        </w:tc>
      </w:tr>
      <w:tr w14:paraId="0B33907A">
        <w:tblPrEx>
          <w:tblCellMar>
            <w:top w:w="0" w:type="dxa"/>
            <w:left w:w="108" w:type="dxa"/>
            <w:bottom w:w="0" w:type="dxa"/>
            <w:right w:w="108" w:type="dxa"/>
          </w:tblCellMar>
        </w:tblPrEx>
        <w:trPr>
          <w:cantSplit/>
          <w:trHeight w:val="585" w:hRule="atLeast"/>
        </w:trPr>
        <w:tc>
          <w:tcPr>
            <w:tcW w:w="2591" w:type="dxa"/>
            <w:tcBorders>
              <w:top w:val="single" w:color="auto" w:sz="6" w:space="0"/>
              <w:left w:val="single" w:color="auto" w:sz="6" w:space="0"/>
              <w:bottom w:val="single" w:color="auto" w:sz="6" w:space="0"/>
              <w:right w:val="single" w:color="auto" w:sz="6" w:space="0"/>
            </w:tcBorders>
            <w:vAlign w:val="center"/>
          </w:tcPr>
          <w:p w14:paraId="5046F4F9">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资质证书编号(如有)</w:t>
            </w:r>
          </w:p>
        </w:tc>
        <w:tc>
          <w:tcPr>
            <w:tcW w:w="1806" w:type="dxa"/>
            <w:tcBorders>
              <w:top w:val="single" w:color="auto" w:sz="6" w:space="0"/>
              <w:left w:val="single" w:color="auto" w:sz="6" w:space="0"/>
              <w:bottom w:val="single" w:color="auto" w:sz="6" w:space="0"/>
              <w:right w:val="single" w:color="auto" w:sz="6" w:space="0"/>
            </w:tcBorders>
            <w:vAlign w:val="center"/>
          </w:tcPr>
          <w:p w14:paraId="0924DDB0">
            <w:pPr>
              <w:adjustRightInd w:val="0"/>
              <w:snapToGrid w:val="0"/>
              <w:spacing w:line="400" w:lineRule="exact"/>
              <w:ind w:firstLine="0" w:firstLineChars="0"/>
              <w:jc w:val="center"/>
              <w:rPr>
                <w:rFonts w:cs="宋体"/>
                <w:color w:val="auto"/>
                <w:highlight w:val="none"/>
              </w:rPr>
            </w:pPr>
          </w:p>
        </w:tc>
        <w:tc>
          <w:tcPr>
            <w:tcW w:w="5313" w:type="dxa"/>
            <w:vMerge w:val="continue"/>
            <w:tcBorders>
              <w:top w:val="single" w:color="auto" w:sz="6" w:space="0"/>
              <w:left w:val="single" w:color="auto" w:sz="6" w:space="0"/>
              <w:bottom w:val="single" w:color="auto" w:sz="6" w:space="0"/>
              <w:right w:val="single" w:color="auto" w:sz="6" w:space="0"/>
            </w:tcBorders>
            <w:vAlign w:val="center"/>
          </w:tcPr>
          <w:p w14:paraId="3DDB1482">
            <w:pPr>
              <w:adjustRightInd w:val="0"/>
              <w:snapToGrid w:val="0"/>
              <w:spacing w:after="120" w:afterLines="50"/>
              <w:ind w:firstLine="0" w:firstLineChars="0"/>
              <w:jc w:val="center"/>
              <w:rPr>
                <w:rFonts w:cs="宋体"/>
                <w:color w:val="auto"/>
                <w:highlight w:val="none"/>
              </w:rPr>
            </w:pPr>
          </w:p>
        </w:tc>
      </w:tr>
      <w:tr w14:paraId="261DD04B">
        <w:tblPrEx>
          <w:tblCellMar>
            <w:top w:w="0" w:type="dxa"/>
            <w:left w:w="108" w:type="dxa"/>
            <w:bottom w:w="0" w:type="dxa"/>
            <w:right w:w="108" w:type="dxa"/>
          </w:tblCellMar>
        </w:tblPrEx>
        <w:trPr>
          <w:cantSplit/>
          <w:trHeight w:val="572" w:hRule="atLeast"/>
        </w:trPr>
        <w:tc>
          <w:tcPr>
            <w:tcW w:w="2591" w:type="dxa"/>
            <w:tcBorders>
              <w:top w:val="single" w:color="auto" w:sz="6" w:space="0"/>
              <w:left w:val="single" w:color="auto" w:sz="6" w:space="0"/>
              <w:bottom w:val="single" w:color="auto" w:sz="6" w:space="0"/>
              <w:right w:val="single" w:color="auto" w:sz="6" w:space="0"/>
            </w:tcBorders>
            <w:vAlign w:val="center"/>
          </w:tcPr>
          <w:p w14:paraId="5C0DD7E6">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其他资质情况(如有)</w:t>
            </w:r>
          </w:p>
        </w:tc>
        <w:tc>
          <w:tcPr>
            <w:tcW w:w="1806" w:type="dxa"/>
            <w:tcBorders>
              <w:top w:val="single" w:color="auto" w:sz="6" w:space="0"/>
              <w:left w:val="single" w:color="auto" w:sz="6" w:space="0"/>
              <w:bottom w:val="single" w:color="auto" w:sz="6" w:space="0"/>
              <w:right w:val="single" w:color="auto" w:sz="6" w:space="0"/>
            </w:tcBorders>
            <w:vAlign w:val="center"/>
          </w:tcPr>
          <w:p w14:paraId="237D7BCD">
            <w:pPr>
              <w:adjustRightInd w:val="0"/>
              <w:snapToGrid w:val="0"/>
              <w:spacing w:line="400" w:lineRule="exact"/>
              <w:ind w:firstLine="0" w:firstLineChars="0"/>
              <w:jc w:val="center"/>
              <w:rPr>
                <w:rFonts w:cs="宋体"/>
                <w:color w:val="auto"/>
                <w:highlight w:val="none"/>
              </w:rPr>
            </w:pPr>
          </w:p>
        </w:tc>
        <w:tc>
          <w:tcPr>
            <w:tcW w:w="5313" w:type="dxa"/>
            <w:vMerge w:val="continue"/>
            <w:tcBorders>
              <w:top w:val="single" w:color="auto" w:sz="6" w:space="0"/>
              <w:left w:val="single" w:color="auto" w:sz="6" w:space="0"/>
              <w:bottom w:val="single" w:color="auto" w:sz="6" w:space="0"/>
              <w:right w:val="single" w:color="auto" w:sz="6" w:space="0"/>
            </w:tcBorders>
            <w:vAlign w:val="center"/>
          </w:tcPr>
          <w:p w14:paraId="5410FFFC">
            <w:pPr>
              <w:adjustRightInd w:val="0"/>
              <w:snapToGrid w:val="0"/>
              <w:spacing w:after="120" w:afterLines="50"/>
              <w:ind w:firstLine="0" w:firstLineChars="0"/>
              <w:jc w:val="center"/>
              <w:rPr>
                <w:rFonts w:cs="宋体"/>
                <w:color w:val="auto"/>
                <w:highlight w:val="none"/>
              </w:rPr>
            </w:pPr>
          </w:p>
        </w:tc>
      </w:tr>
      <w:tr w14:paraId="40A1B790">
        <w:tblPrEx>
          <w:tblCellMar>
            <w:top w:w="0" w:type="dxa"/>
            <w:left w:w="108" w:type="dxa"/>
            <w:bottom w:w="0" w:type="dxa"/>
            <w:right w:w="108" w:type="dxa"/>
          </w:tblCellMar>
        </w:tblPrEx>
        <w:trPr>
          <w:cantSplit/>
          <w:trHeight w:val="473" w:hRule="atLeast"/>
        </w:trPr>
        <w:tc>
          <w:tcPr>
            <w:tcW w:w="2591" w:type="dxa"/>
            <w:tcBorders>
              <w:top w:val="single" w:color="auto" w:sz="6" w:space="0"/>
              <w:left w:val="single" w:color="auto" w:sz="6" w:space="0"/>
              <w:bottom w:val="single" w:color="auto" w:sz="6" w:space="0"/>
              <w:right w:val="single" w:color="auto" w:sz="6" w:space="0"/>
            </w:tcBorders>
            <w:vAlign w:val="center"/>
          </w:tcPr>
          <w:p w14:paraId="2AB24B5D">
            <w:pPr>
              <w:adjustRightInd w:val="0"/>
              <w:snapToGrid w:val="0"/>
              <w:spacing w:line="400" w:lineRule="exact"/>
              <w:ind w:firstLine="0" w:firstLineChars="0"/>
              <w:jc w:val="center"/>
              <w:rPr>
                <w:rFonts w:cs="宋体"/>
                <w:color w:val="auto"/>
                <w:highlight w:val="none"/>
              </w:rPr>
            </w:pPr>
            <w:r>
              <w:rPr>
                <w:rFonts w:hint="eastAsia" w:cs="宋体"/>
                <w:color w:val="auto"/>
                <w:highlight w:val="none"/>
                <w:lang w:val="zh-CN"/>
              </w:rPr>
              <w:t>联系电话</w:t>
            </w:r>
          </w:p>
        </w:tc>
        <w:tc>
          <w:tcPr>
            <w:tcW w:w="1806" w:type="dxa"/>
            <w:tcBorders>
              <w:top w:val="single" w:color="auto" w:sz="6" w:space="0"/>
              <w:left w:val="single" w:color="auto" w:sz="6" w:space="0"/>
              <w:bottom w:val="single" w:color="auto" w:sz="6" w:space="0"/>
              <w:right w:val="single" w:color="auto" w:sz="6" w:space="0"/>
            </w:tcBorders>
            <w:vAlign w:val="center"/>
          </w:tcPr>
          <w:p w14:paraId="0AD2E075">
            <w:pPr>
              <w:adjustRightInd w:val="0"/>
              <w:snapToGrid w:val="0"/>
              <w:spacing w:line="400" w:lineRule="exact"/>
              <w:ind w:firstLine="0" w:firstLineChars="0"/>
              <w:jc w:val="center"/>
              <w:rPr>
                <w:rFonts w:cs="宋体"/>
                <w:color w:val="auto"/>
                <w:highlight w:val="none"/>
              </w:rPr>
            </w:pPr>
          </w:p>
        </w:tc>
        <w:tc>
          <w:tcPr>
            <w:tcW w:w="5313" w:type="dxa"/>
            <w:vMerge w:val="continue"/>
            <w:tcBorders>
              <w:top w:val="single" w:color="auto" w:sz="6" w:space="0"/>
              <w:left w:val="single" w:color="auto" w:sz="6" w:space="0"/>
              <w:bottom w:val="single" w:color="auto" w:sz="6" w:space="0"/>
              <w:right w:val="single" w:color="auto" w:sz="6" w:space="0"/>
            </w:tcBorders>
            <w:vAlign w:val="center"/>
          </w:tcPr>
          <w:p w14:paraId="708D8063">
            <w:pPr>
              <w:adjustRightInd w:val="0"/>
              <w:snapToGrid w:val="0"/>
              <w:spacing w:after="120" w:afterLines="50"/>
              <w:ind w:firstLine="0" w:firstLineChars="0"/>
              <w:jc w:val="center"/>
              <w:rPr>
                <w:rFonts w:cs="宋体"/>
                <w:color w:val="auto"/>
                <w:highlight w:val="none"/>
              </w:rPr>
            </w:pPr>
          </w:p>
        </w:tc>
      </w:tr>
    </w:tbl>
    <w:p w14:paraId="1A7B1023">
      <w:pPr>
        <w:ind w:left="-720" w:right="-965" w:firstLine="0" w:firstLineChars="0"/>
        <w:jc w:val="center"/>
        <w:rPr>
          <w:rFonts w:cs="宋体"/>
          <w:b/>
          <w:bCs/>
          <w:color w:val="auto"/>
          <w:spacing w:val="30"/>
          <w:highlight w:val="none"/>
        </w:rPr>
      </w:pPr>
    </w:p>
    <w:p w14:paraId="25668BE7">
      <w:pPr>
        <w:ind w:left="-720" w:right="-965" w:firstLine="0" w:firstLineChars="0"/>
        <w:jc w:val="center"/>
        <w:rPr>
          <w:rFonts w:cs="宋体"/>
          <w:b/>
          <w:bCs/>
          <w:color w:val="auto"/>
          <w:spacing w:val="30"/>
          <w:sz w:val="28"/>
          <w:szCs w:val="28"/>
          <w:highlight w:val="none"/>
        </w:rPr>
      </w:pPr>
      <w:r>
        <w:rPr>
          <w:rFonts w:hint="eastAsia" w:cs="宋体"/>
          <w:b/>
          <w:bCs/>
          <w:color w:val="auto"/>
          <w:spacing w:val="30"/>
          <w:sz w:val="28"/>
          <w:szCs w:val="28"/>
          <w:highlight w:val="none"/>
        </w:rPr>
        <w:t>实施技术人员一览表</w:t>
      </w:r>
    </w:p>
    <w:tbl>
      <w:tblPr>
        <w:tblStyle w:val="43"/>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
        <w:gridCol w:w="1460"/>
        <w:gridCol w:w="1440"/>
        <w:gridCol w:w="2520"/>
        <w:gridCol w:w="2396"/>
        <w:gridCol w:w="1024"/>
      </w:tblGrid>
      <w:tr w14:paraId="030F7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309608B9">
            <w:pPr>
              <w:spacing w:line="440" w:lineRule="exact"/>
              <w:ind w:firstLine="0" w:firstLineChars="0"/>
              <w:jc w:val="center"/>
              <w:rPr>
                <w:rFonts w:cs="宋体"/>
                <w:color w:val="auto"/>
                <w:highlight w:val="none"/>
              </w:rPr>
            </w:pPr>
            <w:r>
              <w:rPr>
                <w:rFonts w:hint="eastAsia" w:cs="宋体"/>
                <w:color w:val="auto"/>
                <w:highlight w:val="none"/>
                <w:lang w:val="zh-CN"/>
              </w:rPr>
              <w:t>序号</w:t>
            </w:r>
          </w:p>
        </w:tc>
        <w:tc>
          <w:tcPr>
            <w:tcW w:w="1460" w:type="dxa"/>
            <w:tcBorders>
              <w:top w:val="single" w:color="auto" w:sz="4" w:space="0"/>
              <w:left w:val="single" w:color="auto" w:sz="4" w:space="0"/>
              <w:bottom w:val="single" w:color="auto" w:sz="4" w:space="0"/>
              <w:right w:val="single" w:color="auto" w:sz="4" w:space="0"/>
            </w:tcBorders>
            <w:vAlign w:val="center"/>
          </w:tcPr>
          <w:p w14:paraId="1FB41E86">
            <w:pPr>
              <w:spacing w:line="440" w:lineRule="exact"/>
              <w:ind w:firstLine="0" w:firstLineChars="0"/>
              <w:jc w:val="center"/>
              <w:rPr>
                <w:rFonts w:cs="宋体"/>
                <w:color w:val="auto"/>
                <w:highlight w:val="none"/>
              </w:rPr>
            </w:pPr>
            <w:r>
              <w:rPr>
                <w:rFonts w:hint="eastAsia" w:cs="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14:paraId="6DD0BDCA">
            <w:pPr>
              <w:spacing w:line="440" w:lineRule="exact"/>
              <w:ind w:firstLine="0" w:firstLineChars="0"/>
              <w:jc w:val="center"/>
              <w:rPr>
                <w:rFonts w:cs="宋体"/>
                <w:color w:val="auto"/>
                <w:highlight w:val="none"/>
              </w:rPr>
            </w:pPr>
            <w:r>
              <w:rPr>
                <w:rFonts w:hint="eastAsia" w:cs="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14:paraId="62224250">
            <w:pPr>
              <w:spacing w:line="440" w:lineRule="exact"/>
              <w:ind w:firstLine="0" w:firstLineChars="0"/>
              <w:jc w:val="center"/>
              <w:rPr>
                <w:rFonts w:cs="宋体"/>
                <w:color w:val="auto"/>
                <w:highlight w:val="none"/>
              </w:rPr>
            </w:pPr>
            <w:r>
              <w:rPr>
                <w:rFonts w:hint="eastAsia" w:cs="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14:paraId="6FB9194D">
            <w:pPr>
              <w:spacing w:line="440" w:lineRule="exact"/>
              <w:ind w:firstLine="0" w:firstLineChars="0"/>
              <w:jc w:val="center"/>
              <w:rPr>
                <w:rFonts w:cs="宋体"/>
                <w:color w:val="auto"/>
                <w:highlight w:val="none"/>
              </w:rPr>
            </w:pPr>
            <w:r>
              <w:rPr>
                <w:rFonts w:hint="eastAsia" w:cs="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14:paraId="0D8D7DC5">
            <w:pPr>
              <w:spacing w:line="440" w:lineRule="exact"/>
              <w:ind w:firstLine="0" w:firstLineChars="0"/>
              <w:jc w:val="center"/>
              <w:rPr>
                <w:rFonts w:cs="宋体"/>
                <w:color w:val="auto"/>
                <w:highlight w:val="none"/>
              </w:rPr>
            </w:pPr>
            <w:r>
              <w:rPr>
                <w:rFonts w:hint="eastAsia" w:cs="宋体"/>
                <w:color w:val="auto"/>
                <w:highlight w:val="none"/>
                <w:lang w:val="zh-CN"/>
              </w:rPr>
              <w:t>备 注</w:t>
            </w:r>
          </w:p>
        </w:tc>
      </w:tr>
      <w:tr w14:paraId="31B24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tcPr>
          <w:p w14:paraId="67622665">
            <w:pPr>
              <w:spacing w:line="440" w:lineRule="exact"/>
              <w:ind w:firstLine="0" w:firstLineChars="0"/>
              <w:jc w:val="center"/>
              <w:rPr>
                <w:rFonts w:cs="宋体"/>
                <w:color w:val="auto"/>
                <w:highlight w:val="none"/>
              </w:rPr>
            </w:pPr>
            <w:r>
              <w:rPr>
                <w:rFonts w:hint="eastAsia" w:cs="宋体"/>
                <w:color w:val="auto"/>
                <w:highlight w:val="none"/>
              </w:rPr>
              <w:t>1</w:t>
            </w:r>
          </w:p>
        </w:tc>
        <w:tc>
          <w:tcPr>
            <w:tcW w:w="1460" w:type="dxa"/>
            <w:tcBorders>
              <w:top w:val="single" w:color="auto" w:sz="4" w:space="0"/>
              <w:left w:val="single" w:color="auto" w:sz="4" w:space="0"/>
              <w:bottom w:val="single" w:color="auto" w:sz="4" w:space="0"/>
              <w:right w:val="single" w:color="auto" w:sz="4" w:space="0"/>
            </w:tcBorders>
          </w:tcPr>
          <w:p w14:paraId="70814CD3">
            <w:pPr>
              <w:spacing w:line="44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24094206">
            <w:pPr>
              <w:spacing w:line="440" w:lineRule="exact"/>
              <w:ind w:firstLine="0" w:firstLineChars="0"/>
              <w:rPr>
                <w:rFonts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14:paraId="571B4EF9">
            <w:pPr>
              <w:spacing w:line="440" w:lineRule="exact"/>
              <w:ind w:firstLine="0" w:firstLineChars="0"/>
              <w:rPr>
                <w:rFonts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14:paraId="1B852472">
            <w:pPr>
              <w:spacing w:line="44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41BA923A">
            <w:pPr>
              <w:spacing w:line="440" w:lineRule="exact"/>
              <w:ind w:firstLine="0" w:firstLineChars="0"/>
              <w:rPr>
                <w:rFonts w:cs="宋体"/>
                <w:color w:val="auto"/>
                <w:highlight w:val="none"/>
              </w:rPr>
            </w:pPr>
          </w:p>
        </w:tc>
      </w:tr>
      <w:tr w14:paraId="5BDF7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tcPr>
          <w:p w14:paraId="290F3FE9">
            <w:pPr>
              <w:spacing w:line="440" w:lineRule="exact"/>
              <w:ind w:firstLine="0" w:firstLineChars="0"/>
              <w:jc w:val="center"/>
              <w:rPr>
                <w:rFonts w:cs="宋体"/>
                <w:color w:val="auto"/>
                <w:highlight w:val="none"/>
              </w:rPr>
            </w:pPr>
            <w:r>
              <w:rPr>
                <w:rFonts w:hint="eastAsia" w:cs="宋体"/>
                <w:color w:val="auto"/>
                <w:highlight w:val="none"/>
              </w:rPr>
              <w:t>2</w:t>
            </w:r>
          </w:p>
        </w:tc>
        <w:tc>
          <w:tcPr>
            <w:tcW w:w="1460" w:type="dxa"/>
            <w:tcBorders>
              <w:top w:val="single" w:color="auto" w:sz="4" w:space="0"/>
              <w:left w:val="single" w:color="auto" w:sz="4" w:space="0"/>
              <w:bottom w:val="single" w:color="auto" w:sz="4" w:space="0"/>
              <w:right w:val="single" w:color="auto" w:sz="4" w:space="0"/>
            </w:tcBorders>
          </w:tcPr>
          <w:p w14:paraId="75AD4640">
            <w:pPr>
              <w:spacing w:line="44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2F621427">
            <w:pPr>
              <w:spacing w:line="440" w:lineRule="exact"/>
              <w:ind w:firstLine="0" w:firstLineChars="0"/>
              <w:rPr>
                <w:rFonts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14:paraId="3AECD167">
            <w:pPr>
              <w:spacing w:line="440" w:lineRule="exact"/>
              <w:ind w:firstLine="0" w:firstLineChars="0"/>
              <w:rPr>
                <w:rFonts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14:paraId="6F706BB5">
            <w:pPr>
              <w:spacing w:line="44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131B0758">
            <w:pPr>
              <w:spacing w:line="440" w:lineRule="exact"/>
              <w:ind w:firstLine="0" w:firstLineChars="0"/>
              <w:rPr>
                <w:rFonts w:cs="宋体"/>
                <w:color w:val="auto"/>
                <w:highlight w:val="none"/>
              </w:rPr>
            </w:pPr>
          </w:p>
        </w:tc>
      </w:tr>
      <w:tr w14:paraId="6D338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tcPr>
          <w:p w14:paraId="3E443495">
            <w:pPr>
              <w:spacing w:line="440" w:lineRule="exact"/>
              <w:ind w:firstLine="0" w:firstLineChars="0"/>
              <w:jc w:val="center"/>
              <w:rPr>
                <w:rFonts w:cs="宋体"/>
                <w:color w:val="auto"/>
                <w:highlight w:val="none"/>
              </w:rPr>
            </w:pPr>
            <w:r>
              <w:rPr>
                <w:rFonts w:hint="eastAsia" w:cs="宋体"/>
                <w:color w:val="auto"/>
                <w:highlight w:val="none"/>
              </w:rPr>
              <w:t>3</w:t>
            </w:r>
          </w:p>
        </w:tc>
        <w:tc>
          <w:tcPr>
            <w:tcW w:w="1460" w:type="dxa"/>
            <w:tcBorders>
              <w:top w:val="single" w:color="auto" w:sz="4" w:space="0"/>
              <w:left w:val="single" w:color="auto" w:sz="4" w:space="0"/>
              <w:bottom w:val="single" w:color="auto" w:sz="4" w:space="0"/>
              <w:right w:val="single" w:color="auto" w:sz="4" w:space="0"/>
            </w:tcBorders>
          </w:tcPr>
          <w:p w14:paraId="5B97DCBD">
            <w:pPr>
              <w:spacing w:line="44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5F7B275D">
            <w:pPr>
              <w:spacing w:line="440" w:lineRule="exact"/>
              <w:ind w:firstLine="0" w:firstLineChars="0"/>
              <w:rPr>
                <w:rFonts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14:paraId="2BCC7BB2">
            <w:pPr>
              <w:spacing w:line="440" w:lineRule="exact"/>
              <w:ind w:firstLine="0" w:firstLineChars="0"/>
              <w:rPr>
                <w:rFonts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14:paraId="760E8A72">
            <w:pPr>
              <w:spacing w:line="44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33DC8807">
            <w:pPr>
              <w:spacing w:line="440" w:lineRule="exact"/>
              <w:ind w:firstLine="0" w:firstLineChars="0"/>
              <w:rPr>
                <w:rFonts w:cs="宋体"/>
                <w:color w:val="auto"/>
                <w:highlight w:val="none"/>
              </w:rPr>
            </w:pPr>
          </w:p>
        </w:tc>
      </w:tr>
      <w:tr w14:paraId="1B681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tcPr>
          <w:p w14:paraId="2659AD47">
            <w:pPr>
              <w:spacing w:line="440" w:lineRule="exact"/>
              <w:ind w:firstLine="0" w:firstLineChars="0"/>
              <w:jc w:val="center"/>
              <w:rPr>
                <w:rFonts w:cs="宋体"/>
                <w:color w:val="auto"/>
                <w:highlight w:val="none"/>
              </w:rPr>
            </w:pPr>
            <w:r>
              <w:rPr>
                <w:rFonts w:hint="eastAsia" w:cs="宋体"/>
                <w:color w:val="auto"/>
                <w:highlight w:val="none"/>
              </w:rPr>
              <w:t>4</w:t>
            </w:r>
          </w:p>
        </w:tc>
        <w:tc>
          <w:tcPr>
            <w:tcW w:w="1460" w:type="dxa"/>
            <w:tcBorders>
              <w:top w:val="single" w:color="auto" w:sz="4" w:space="0"/>
              <w:left w:val="single" w:color="auto" w:sz="4" w:space="0"/>
              <w:bottom w:val="single" w:color="auto" w:sz="4" w:space="0"/>
              <w:right w:val="single" w:color="auto" w:sz="4" w:space="0"/>
            </w:tcBorders>
          </w:tcPr>
          <w:p w14:paraId="1B13E53F">
            <w:pPr>
              <w:spacing w:line="44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46F9C668">
            <w:pPr>
              <w:spacing w:line="440" w:lineRule="exact"/>
              <w:ind w:firstLine="0" w:firstLineChars="0"/>
              <w:rPr>
                <w:rFonts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14:paraId="4AE5467E">
            <w:pPr>
              <w:spacing w:line="440" w:lineRule="exact"/>
              <w:ind w:firstLine="0" w:firstLineChars="0"/>
              <w:rPr>
                <w:rFonts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14:paraId="7680BA10">
            <w:pPr>
              <w:spacing w:line="44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585B628F">
            <w:pPr>
              <w:spacing w:line="440" w:lineRule="exact"/>
              <w:ind w:firstLine="0" w:firstLineChars="0"/>
              <w:rPr>
                <w:rFonts w:cs="宋体"/>
                <w:color w:val="auto"/>
                <w:highlight w:val="none"/>
              </w:rPr>
            </w:pPr>
          </w:p>
        </w:tc>
      </w:tr>
      <w:tr w14:paraId="2AE27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tcPr>
          <w:p w14:paraId="5A840935">
            <w:pPr>
              <w:spacing w:line="440" w:lineRule="exact"/>
              <w:ind w:firstLine="0" w:firstLineChars="0"/>
              <w:jc w:val="center"/>
              <w:rPr>
                <w:rFonts w:cs="宋体"/>
                <w:color w:val="auto"/>
                <w:highlight w:val="none"/>
              </w:rPr>
            </w:pPr>
            <w:r>
              <w:rPr>
                <w:rFonts w:hint="eastAsia" w:cs="宋体"/>
                <w:color w:val="auto"/>
                <w:highlight w:val="none"/>
              </w:rPr>
              <w:t>5</w:t>
            </w:r>
          </w:p>
        </w:tc>
        <w:tc>
          <w:tcPr>
            <w:tcW w:w="1460" w:type="dxa"/>
            <w:tcBorders>
              <w:top w:val="single" w:color="auto" w:sz="4" w:space="0"/>
              <w:left w:val="single" w:color="auto" w:sz="4" w:space="0"/>
              <w:bottom w:val="single" w:color="auto" w:sz="4" w:space="0"/>
              <w:right w:val="single" w:color="auto" w:sz="4" w:space="0"/>
            </w:tcBorders>
          </w:tcPr>
          <w:p w14:paraId="5D711515">
            <w:pPr>
              <w:spacing w:line="44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237457EF">
            <w:pPr>
              <w:spacing w:line="440" w:lineRule="exact"/>
              <w:ind w:firstLine="0" w:firstLineChars="0"/>
              <w:rPr>
                <w:rFonts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14:paraId="67B1ACDB">
            <w:pPr>
              <w:spacing w:line="440" w:lineRule="exact"/>
              <w:ind w:firstLine="0" w:firstLineChars="0"/>
              <w:rPr>
                <w:rFonts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14:paraId="54831958">
            <w:pPr>
              <w:spacing w:line="44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74F2286D">
            <w:pPr>
              <w:spacing w:line="440" w:lineRule="exact"/>
              <w:ind w:firstLine="0" w:firstLineChars="0"/>
              <w:rPr>
                <w:rFonts w:cs="宋体"/>
                <w:color w:val="auto"/>
                <w:highlight w:val="none"/>
              </w:rPr>
            </w:pPr>
          </w:p>
        </w:tc>
      </w:tr>
      <w:tr w14:paraId="0CD1D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tcPr>
          <w:p w14:paraId="1896C3C3">
            <w:pPr>
              <w:spacing w:line="440" w:lineRule="exact"/>
              <w:ind w:firstLine="0" w:firstLineChars="0"/>
              <w:jc w:val="center"/>
              <w:rPr>
                <w:rFonts w:cs="宋体"/>
                <w:color w:val="auto"/>
                <w:highlight w:val="none"/>
              </w:rPr>
            </w:pPr>
            <w:r>
              <w:rPr>
                <w:rFonts w:hint="eastAsia" w:cs="宋体"/>
                <w:color w:val="auto"/>
                <w:highlight w:val="none"/>
              </w:rPr>
              <w:t>6</w:t>
            </w:r>
          </w:p>
        </w:tc>
        <w:tc>
          <w:tcPr>
            <w:tcW w:w="1460" w:type="dxa"/>
            <w:tcBorders>
              <w:top w:val="single" w:color="auto" w:sz="4" w:space="0"/>
              <w:left w:val="single" w:color="auto" w:sz="4" w:space="0"/>
              <w:bottom w:val="single" w:color="auto" w:sz="4" w:space="0"/>
              <w:right w:val="single" w:color="auto" w:sz="4" w:space="0"/>
            </w:tcBorders>
          </w:tcPr>
          <w:p w14:paraId="414C3860">
            <w:pPr>
              <w:spacing w:line="44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1B15CB79">
            <w:pPr>
              <w:spacing w:line="440" w:lineRule="exact"/>
              <w:ind w:firstLine="0" w:firstLineChars="0"/>
              <w:rPr>
                <w:rFonts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14:paraId="6B4807E1">
            <w:pPr>
              <w:spacing w:line="440" w:lineRule="exact"/>
              <w:ind w:firstLine="0" w:firstLineChars="0"/>
              <w:rPr>
                <w:rFonts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14:paraId="41789F32">
            <w:pPr>
              <w:spacing w:line="44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0F5FEC00">
            <w:pPr>
              <w:spacing w:line="440" w:lineRule="exact"/>
              <w:ind w:firstLine="0" w:firstLineChars="0"/>
              <w:rPr>
                <w:rFonts w:cs="宋体"/>
                <w:color w:val="auto"/>
                <w:highlight w:val="none"/>
              </w:rPr>
            </w:pPr>
          </w:p>
        </w:tc>
      </w:tr>
      <w:tr w14:paraId="5ACE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tcPr>
          <w:p w14:paraId="417FBFA4">
            <w:pPr>
              <w:spacing w:line="440" w:lineRule="exact"/>
              <w:ind w:firstLine="0" w:firstLineChars="0"/>
              <w:jc w:val="center"/>
              <w:rPr>
                <w:rFonts w:cs="宋体"/>
                <w:color w:val="auto"/>
                <w:highlight w:val="none"/>
              </w:rPr>
            </w:pPr>
            <w:r>
              <w:rPr>
                <w:rFonts w:hint="eastAsia" w:cs="宋体"/>
                <w:color w:val="auto"/>
                <w:highlight w:val="none"/>
              </w:rPr>
              <w:t>7</w:t>
            </w:r>
          </w:p>
        </w:tc>
        <w:tc>
          <w:tcPr>
            <w:tcW w:w="1460" w:type="dxa"/>
            <w:tcBorders>
              <w:top w:val="single" w:color="auto" w:sz="4" w:space="0"/>
              <w:left w:val="single" w:color="auto" w:sz="4" w:space="0"/>
              <w:bottom w:val="single" w:color="auto" w:sz="4" w:space="0"/>
              <w:right w:val="single" w:color="auto" w:sz="4" w:space="0"/>
            </w:tcBorders>
          </w:tcPr>
          <w:p w14:paraId="5B5669EE">
            <w:pPr>
              <w:spacing w:line="44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6954709E">
            <w:pPr>
              <w:spacing w:line="440" w:lineRule="exact"/>
              <w:ind w:firstLine="0" w:firstLineChars="0"/>
              <w:rPr>
                <w:rFonts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14:paraId="09088177">
            <w:pPr>
              <w:spacing w:line="440" w:lineRule="exact"/>
              <w:ind w:firstLine="0" w:firstLineChars="0"/>
              <w:rPr>
                <w:rFonts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14:paraId="15C392AF">
            <w:pPr>
              <w:spacing w:line="44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5EE5B44F">
            <w:pPr>
              <w:spacing w:line="440" w:lineRule="exact"/>
              <w:ind w:firstLine="0" w:firstLineChars="0"/>
              <w:rPr>
                <w:rFonts w:cs="宋体"/>
                <w:color w:val="auto"/>
                <w:highlight w:val="none"/>
              </w:rPr>
            </w:pPr>
          </w:p>
        </w:tc>
      </w:tr>
      <w:tr w14:paraId="674CC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tcPr>
          <w:p w14:paraId="7835ED10">
            <w:pPr>
              <w:spacing w:line="440" w:lineRule="exact"/>
              <w:ind w:firstLine="0" w:firstLineChars="0"/>
              <w:jc w:val="center"/>
              <w:rPr>
                <w:rFonts w:cs="宋体"/>
                <w:color w:val="auto"/>
                <w:highlight w:val="none"/>
              </w:rPr>
            </w:pPr>
            <w:r>
              <w:rPr>
                <w:rFonts w:hint="eastAsia" w:cs="宋体"/>
                <w:color w:val="auto"/>
                <w:highlight w:val="none"/>
              </w:rPr>
              <w:t>8</w:t>
            </w:r>
          </w:p>
        </w:tc>
        <w:tc>
          <w:tcPr>
            <w:tcW w:w="1460" w:type="dxa"/>
            <w:tcBorders>
              <w:top w:val="single" w:color="auto" w:sz="4" w:space="0"/>
              <w:left w:val="single" w:color="auto" w:sz="4" w:space="0"/>
              <w:bottom w:val="single" w:color="auto" w:sz="4" w:space="0"/>
              <w:right w:val="single" w:color="auto" w:sz="4" w:space="0"/>
            </w:tcBorders>
          </w:tcPr>
          <w:p w14:paraId="223E82B8">
            <w:pPr>
              <w:spacing w:line="44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0F211707">
            <w:pPr>
              <w:spacing w:line="440" w:lineRule="exact"/>
              <w:ind w:firstLine="0" w:firstLineChars="0"/>
              <w:rPr>
                <w:rFonts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14:paraId="2F63EB6C">
            <w:pPr>
              <w:spacing w:line="440" w:lineRule="exact"/>
              <w:ind w:firstLine="0" w:firstLineChars="0"/>
              <w:rPr>
                <w:rFonts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14:paraId="347F0EAB">
            <w:pPr>
              <w:spacing w:line="44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27CC44FA">
            <w:pPr>
              <w:spacing w:line="440" w:lineRule="exact"/>
              <w:ind w:firstLine="0" w:firstLineChars="0"/>
              <w:rPr>
                <w:rFonts w:cs="宋体"/>
                <w:color w:val="auto"/>
                <w:highlight w:val="none"/>
              </w:rPr>
            </w:pPr>
          </w:p>
        </w:tc>
      </w:tr>
      <w:tr w14:paraId="20387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tcPr>
          <w:p w14:paraId="4A852DB8">
            <w:pPr>
              <w:spacing w:line="440" w:lineRule="exact"/>
              <w:ind w:firstLine="0" w:firstLineChars="0"/>
              <w:jc w:val="center"/>
              <w:rPr>
                <w:rFonts w:cs="宋体"/>
                <w:color w:val="auto"/>
                <w:highlight w:val="none"/>
              </w:rPr>
            </w:pPr>
            <w:r>
              <w:rPr>
                <w:rFonts w:hint="eastAsia" w:cs="宋体"/>
                <w:color w:val="auto"/>
                <w:highlight w:val="none"/>
              </w:rPr>
              <w:t>9</w:t>
            </w:r>
          </w:p>
        </w:tc>
        <w:tc>
          <w:tcPr>
            <w:tcW w:w="1460" w:type="dxa"/>
            <w:tcBorders>
              <w:top w:val="single" w:color="auto" w:sz="4" w:space="0"/>
              <w:left w:val="single" w:color="auto" w:sz="4" w:space="0"/>
              <w:bottom w:val="single" w:color="auto" w:sz="4" w:space="0"/>
              <w:right w:val="single" w:color="auto" w:sz="4" w:space="0"/>
            </w:tcBorders>
          </w:tcPr>
          <w:p w14:paraId="6F6C1557">
            <w:pPr>
              <w:spacing w:line="440" w:lineRule="exact"/>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733303AB">
            <w:pPr>
              <w:spacing w:line="440" w:lineRule="exact"/>
              <w:ind w:firstLine="0" w:firstLineChars="0"/>
              <w:rPr>
                <w:rFonts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14:paraId="611C60F4">
            <w:pPr>
              <w:spacing w:line="440" w:lineRule="exact"/>
              <w:ind w:firstLine="0" w:firstLineChars="0"/>
              <w:rPr>
                <w:rFonts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14:paraId="35ED173D">
            <w:pPr>
              <w:spacing w:line="440" w:lineRule="exact"/>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14:paraId="7F79AFCE">
            <w:pPr>
              <w:spacing w:line="440" w:lineRule="exact"/>
              <w:ind w:firstLine="0" w:firstLineChars="0"/>
              <w:rPr>
                <w:rFonts w:cs="宋体"/>
                <w:color w:val="auto"/>
                <w:highlight w:val="none"/>
              </w:rPr>
            </w:pPr>
          </w:p>
        </w:tc>
      </w:tr>
    </w:tbl>
    <w:p w14:paraId="60669D7C">
      <w:pPr>
        <w:ind w:firstLine="0" w:firstLineChars="0"/>
        <w:rPr>
          <w:rFonts w:cs="宋体"/>
          <w:color w:val="auto"/>
          <w:highlight w:val="none"/>
        </w:rPr>
      </w:pPr>
    </w:p>
    <w:p w14:paraId="0D00B8A6">
      <w:pPr>
        <w:ind w:firstLine="0" w:firstLineChars="0"/>
        <w:rPr>
          <w:rFonts w:cs="宋体"/>
          <w:color w:val="auto"/>
          <w:highlight w:val="none"/>
        </w:rPr>
      </w:pPr>
      <w:r>
        <w:rPr>
          <w:rFonts w:hint="eastAsia" w:cs="宋体"/>
          <w:color w:val="auto"/>
          <w:highlight w:val="none"/>
        </w:rPr>
        <w:t>投标人名称（公章）：</w:t>
      </w:r>
    </w:p>
    <w:p w14:paraId="124B51DF">
      <w:pPr>
        <w:ind w:firstLine="0" w:firstLineChars="0"/>
        <w:rPr>
          <w:rFonts w:cs="宋体"/>
          <w:color w:val="auto"/>
          <w:highlight w:val="none"/>
        </w:rPr>
      </w:pPr>
      <w:r>
        <w:rPr>
          <w:rFonts w:hint="eastAsia" w:cs="宋体"/>
          <w:color w:val="auto"/>
          <w:highlight w:val="none"/>
        </w:rPr>
        <w:t>法定代表人或其授权代表（签字或盖章）：</w:t>
      </w:r>
    </w:p>
    <w:p w14:paraId="278260FE">
      <w:pPr>
        <w:ind w:firstLine="0" w:firstLineChars="0"/>
        <w:rPr>
          <w:rFonts w:cs="宋体"/>
          <w:color w:val="auto"/>
          <w:highlight w:val="none"/>
        </w:rPr>
      </w:pPr>
      <w:r>
        <w:rPr>
          <w:rFonts w:hint="eastAsia" w:cs="宋体"/>
          <w:color w:val="auto"/>
          <w:highlight w:val="none"/>
        </w:rPr>
        <w:t>日期：  年   月   日</w:t>
      </w:r>
    </w:p>
    <w:p w14:paraId="114C69A3">
      <w:pPr>
        <w:pStyle w:val="5"/>
        <w:rPr>
          <w:rFonts w:cs="宋体"/>
          <w:color w:val="auto"/>
          <w:szCs w:val="24"/>
          <w:highlight w:val="none"/>
        </w:rPr>
        <w:sectPr>
          <w:pgSz w:w="11907" w:h="16840"/>
          <w:pgMar w:top="1440" w:right="1080" w:bottom="1440" w:left="1080" w:header="720" w:footer="720" w:gutter="0"/>
          <w:pgNumType w:fmt="decimal"/>
          <w:cols w:space="720" w:num="1"/>
          <w:docGrid w:linePitch="286" w:charSpace="0"/>
        </w:sectPr>
      </w:pPr>
    </w:p>
    <w:bookmarkEnd w:id="48"/>
    <w:bookmarkEnd w:id="49"/>
    <w:bookmarkEnd w:id="50"/>
    <w:bookmarkEnd w:id="51"/>
    <w:bookmarkEnd w:id="52"/>
    <w:bookmarkEnd w:id="53"/>
    <w:bookmarkEnd w:id="54"/>
    <w:bookmarkEnd w:id="55"/>
    <w:p w14:paraId="25FE7F9C">
      <w:pPr>
        <w:pStyle w:val="5"/>
        <w:rPr>
          <w:rFonts w:hint="eastAsia" w:eastAsia="宋体"/>
          <w:color w:val="auto"/>
          <w:highlight w:val="none"/>
          <w:lang w:eastAsia="zh-CN"/>
        </w:rPr>
      </w:pPr>
      <w:r>
        <w:rPr>
          <w:rFonts w:hint="eastAsia"/>
          <w:color w:val="auto"/>
          <w:highlight w:val="none"/>
        </w:rPr>
        <w:t>附件十</w:t>
      </w:r>
      <w:r>
        <w:rPr>
          <w:rFonts w:hint="eastAsia"/>
          <w:color w:val="auto"/>
          <w:highlight w:val="none"/>
          <w:lang w:eastAsia="zh-CN"/>
        </w:rPr>
        <w:t>七</w:t>
      </w:r>
    </w:p>
    <w:p w14:paraId="0331519E">
      <w:pPr>
        <w:ind w:firstLine="0" w:firstLineChars="0"/>
        <w:jc w:val="center"/>
        <w:rPr>
          <w:rFonts w:cs="宋体"/>
          <w:b/>
          <w:bCs/>
          <w:color w:val="auto"/>
          <w:sz w:val="28"/>
          <w:szCs w:val="28"/>
          <w:highlight w:val="none"/>
        </w:rPr>
      </w:pPr>
      <w:r>
        <w:rPr>
          <w:rFonts w:hint="eastAsia" w:cs="宋体"/>
          <w:b/>
          <w:bCs/>
          <w:color w:val="auto"/>
          <w:sz w:val="28"/>
          <w:szCs w:val="28"/>
          <w:highlight w:val="none"/>
        </w:rPr>
        <w:t>弃标函</w:t>
      </w:r>
    </w:p>
    <w:p w14:paraId="6CA935C7">
      <w:pPr>
        <w:ind w:firstLine="480"/>
        <w:rPr>
          <w:rFonts w:cs="宋体"/>
          <w:color w:val="auto"/>
          <w:highlight w:val="none"/>
        </w:rPr>
      </w:pPr>
    </w:p>
    <w:p w14:paraId="795BC5A5">
      <w:pPr>
        <w:ind w:firstLine="0" w:firstLineChars="0"/>
        <w:rPr>
          <w:rFonts w:cs="宋体"/>
          <w:b/>
          <w:color w:val="auto"/>
          <w:highlight w:val="none"/>
        </w:rPr>
      </w:pPr>
      <w:r>
        <w:rPr>
          <w:rFonts w:hint="eastAsia" w:cs="宋体"/>
          <w:color w:val="auto"/>
          <w:highlight w:val="none"/>
          <w:u w:val="single"/>
        </w:rPr>
        <w:t>（代理机构）</w:t>
      </w:r>
      <w:r>
        <w:rPr>
          <w:rFonts w:hint="eastAsia" w:cs="宋体"/>
          <w:color w:val="auto"/>
          <w:highlight w:val="none"/>
        </w:rPr>
        <w:t>：</w:t>
      </w:r>
    </w:p>
    <w:p w14:paraId="6869B9B7">
      <w:pPr>
        <w:ind w:firstLine="480"/>
        <w:rPr>
          <w:rFonts w:cs="宋体"/>
          <w:color w:val="auto"/>
          <w:highlight w:val="none"/>
        </w:rPr>
      </w:pPr>
    </w:p>
    <w:p w14:paraId="162AA16E">
      <w:pPr>
        <w:spacing w:line="480" w:lineRule="auto"/>
        <w:ind w:firstLine="480"/>
        <w:rPr>
          <w:color w:val="auto"/>
          <w:highlight w:val="none"/>
        </w:rPr>
      </w:pPr>
      <w:r>
        <w:rPr>
          <w:rFonts w:hint="eastAsia"/>
          <w:color w:val="auto"/>
          <w:highlight w:val="none"/>
        </w:rPr>
        <w:t>我公司</w:t>
      </w:r>
      <w:r>
        <w:rPr>
          <w:rFonts w:hint="eastAsia"/>
          <w:color w:val="auto"/>
          <w:highlight w:val="none"/>
          <w:u w:val="single"/>
        </w:rPr>
        <w:t xml:space="preserve">              </w:t>
      </w:r>
      <w:r>
        <w:rPr>
          <w:rFonts w:hint="eastAsia"/>
          <w:color w:val="auto"/>
          <w:highlight w:val="none"/>
        </w:rPr>
        <w:t>，于2024年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日报名参与</w:t>
      </w:r>
      <w:r>
        <w:rPr>
          <w:rFonts w:hint="eastAsia"/>
          <w:color w:val="auto"/>
          <w:highlight w:val="none"/>
          <w:u w:val="single"/>
        </w:rPr>
        <w:t xml:space="preserve">    （项目名称）     </w:t>
      </w:r>
      <w:r>
        <w:rPr>
          <w:rFonts w:hint="eastAsia"/>
          <w:color w:val="auto"/>
          <w:highlight w:val="none"/>
        </w:rPr>
        <w:t>项目，由于</w:t>
      </w:r>
      <w:r>
        <w:rPr>
          <w:rFonts w:hint="eastAsia"/>
          <w:color w:val="auto"/>
          <w:highlight w:val="none"/>
          <w:u w:val="single"/>
        </w:rPr>
        <w:t xml:space="preserve">                </w:t>
      </w:r>
      <w:r>
        <w:rPr>
          <w:rFonts w:hint="eastAsia"/>
          <w:color w:val="auto"/>
          <w:highlight w:val="none"/>
        </w:rPr>
        <w:t>原因，经研究决定放弃投标。特此声明。</w:t>
      </w:r>
    </w:p>
    <w:p w14:paraId="05795A1E">
      <w:pPr>
        <w:ind w:firstLine="480"/>
        <w:rPr>
          <w:rFonts w:cs="宋体"/>
          <w:color w:val="auto"/>
          <w:highlight w:val="none"/>
        </w:rPr>
      </w:pPr>
    </w:p>
    <w:p w14:paraId="088D87E2">
      <w:pPr>
        <w:ind w:firstLine="480"/>
        <w:rPr>
          <w:rFonts w:cs="宋体"/>
          <w:color w:val="auto"/>
          <w:highlight w:val="none"/>
        </w:rPr>
      </w:pPr>
    </w:p>
    <w:p w14:paraId="48CFA0D6">
      <w:pPr>
        <w:ind w:firstLine="480"/>
        <w:rPr>
          <w:rFonts w:cs="宋体"/>
          <w:color w:val="auto"/>
          <w:highlight w:val="none"/>
        </w:rPr>
      </w:pPr>
    </w:p>
    <w:p w14:paraId="42B2F7C9">
      <w:pPr>
        <w:ind w:firstLine="480"/>
        <w:rPr>
          <w:rFonts w:cs="宋体"/>
          <w:color w:val="auto"/>
          <w:highlight w:val="none"/>
        </w:rPr>
      </w:pPr>
    </w:p>
    <w:p w14:paraId="7345A63B">
      <w:pPr>
        <w:ind w:firstLine="480"/>
        <w:rPr>
          <w:rFonts w:cs="宋体"/>
          <w:color w:val="auto"/>
          <w:highlight w:val="none"/>
        </w:rPr>
      </w:pPr>
    </w:p>
    <w:p w14:paraId="1F6FE75D">
      <w:pPr>
        <w:spacing w:line="480" w:lineRule="auto"/>
        <w:ind w:firstLine="480"/>
        <w:rPr>
          <w:rFonts w:cs="宋体"/>
          <w:color w:val="auto"/>
          <w:highlight w:val="none"/>
        </w:rPr>
      </w:pPr>
      <w:r>
        <w:rPr>
          <w:rFonts w:hint="eastAsia" w:cs="宋体"/>
          <w:color w:val="auto"/>
          <w:highlight w:val="none"/>
        </w:rPr>
        <w:t>投标人名称（公章）：</w:t>
      </w:r>
    </w:p>
    <w:p w14:paraId="26C985EE">
      <w:pPr>
        <w:spacing w:line="480" w:lineRule="auto"/>
        <w:ind w:firstLine="480"/>
        <w:rPr>
          <w:rFonts w:cs="宋体"/>
          <w:color w:val="auto"/>
          <w:highlight w:val="none"/>
        </w:rPr>
      </w:pPr>
      <w:r>
        <w:rPr>
          <w:rFonts w:hint="eastAsia" w:cs="宋体"/>
          <w:color w:val="auto"/>
          <w:highlight w:val="none"/>
        </w:rPr>
        <w:t>日期：  年   月   日</w:t>
      </w:r>
    </w:p>
    <w:p w14:paraId="0AE6FBBA">
      <w:pPr>
        <w:ind w:firstLine="480"/>
        <w:rPr>
          <w:rFonts w:cs="宋体"/>
          <w:color w:val="auto"/>
          <w:highlight w:val="none"/>
        </w:rPr>
      </w:pPr>
    </w:p>
    <w:p w14:paraId="7D673CB3">
      <w:pPr>
        <w:ind w:firstLine="480"/>
        <w:rPr>
          <w:rFonts w:cs="宋体"/>
          <w:color w:val="auto"/>
          <w:highlight w:val="none"/>
        </w:rPr>
      </w:pPr>
    </w:p>
    <w:p w14:paraId="0211AD9F">
      <w:pPr>
        <w:ind w:firstLine="480"/>
        <w:rPr>
          <w:rFonts w:cs="宋体"/>
          <w:color w:val="auto"/>
          <w:highlight w:val="none"/>
          <w:u w:val="single"/>
        </w:rPr>
      </w:pPr>
      <w:r>
        <w:rPr>
          <w:rFonts w:hint="eastAsia" w:cs="宋体"/>
          <w:color w:val="auto"/>
          <w:highlight w:val="none"/>
        </w:rPr>
        <w:t>注：报名单位若不参与该项目的投标，请于开标截止前3个工作日将弃标函盖章发送至我公司邮箱。邮箱地址：</w:t>
      </w:r>
      <w:r>
        <w:rPr>
          <w:rFonts w:hint="eastAsia" w:cs="宋体"/>
          <w:color w:val="auto"/>
          <w:kern w:val="0"/>
          <w:highlight w:val="none"/>
          <w:u w:val="single"/>
        </w:rPr>
        <w:t>hzzx@zxbidding.cn</w:t>
      </w:r>
      <w:r>
        <w:rPr>
          <w:rFonts w:hint="eastAsia" w:cs="宋体"/>
          <w:color w:val="auto"/>
          <w:highlight w:val="none"/>
          <w:u w:val="single"/>
        </w:rPr>
        <w:t xml:space="preserve">             </w:t>
      </w:r>
    </w:p>
    <w:p w14:paraId="53243ACF">
      <w:pPr>
        <w:ind w:firstLine="480"/>
        <w:rPr>
          <w:rStyle w:val="51"/>
          <w:rFonts w:ascii="宋体" w:hAnsi="宋体" w:cs="宋体"/>
          <w:color w:val="auto"/>
          <w:highlight w:val="none"/>
        </w:rPr>
      </w:pPr>
      <w:r>
        <w:rPr>
          <w:rFonts w:hint="eastAsia" w:cs="宋体"/>
          <w:color w:val="auto"/>
          <w:highlight w:val="none"/>
        </w:rPr>
        <w:fldChar w:fldCharType="begin"/>
      </w:r>
      <w:r>
        <w:rPr>
          <w:rFonts w:hint="eastAsia" w:cs="宋体"/>
          <w:color w:val="auto"/>
          <w:highlight w:val="none"/>
        </w:rPr>
        <w:instrText xml:space="preserve"> HYPERLINK "mailto:2810140286@qq.com。" </w:instrText>
      </w:r>
      <w:r>
        <w:rPr>
          <w:rFonts w:hint="eastAsia" w:cs="宋体"/>
          <w:color w:val="auto"/>
          <w:highlight w:val="none"/>
        </w:rPr>
        <w:fldChar w:fldCharType="separate"/>
      </w:r>
    </w:p>
    <w:p w14:paraId="1E218E1A">
      <w:pPr>
        <w:pStyle w:val="5"/>
        <w:rPr>
          <w:rFonts w:cs="宋体"/>
          <w:color w:val="auto"/>
          <w:szCs w:val="24"/>
          <w:highlight w:val="none"/>
        </w:rPr>
        <w:sectPr>
          <w:pgSz w:w="11906" w:h="16838"/>
          <w:pgMar w:top="1440" w:right="1080" w:bottom="1440" w:left="1080" w:header="851" w:footer="992" w:gutter="0"/>
          <w:pgNumType w:fmt="decimal"/>
          <w:cols w:space="720" w:num="1"/>
          <w:docGrid w:type="lines" w:linePitch="312" w:charSpace="0"/>
        </w:sectPr>
      </w:pPr>
    </w:p>
    <w:p w14:paraId="5C465ABB">
      <w:pPr>
        <w:pStyle w:val="5"/>
        <w:rPr>
          <w:rFonts w:cs="宋体"/>
          <w:b/>
          <w:bCs/>
          <w:color w:val="auto"/>
          <w:highlight w:val="none"/>
        </w:rPr>
      </w:pPr>
      <w:r>
        <w:rPr>
          <w:rFonts w:hint="eastAsia" w:cs="宋体"/>
          <w:color w:val="auto"/>
          <w:highlight w:val="none"/>
        </w:rPr>
        <w:fldChar w:fldCharType="end"/>
      </w:r>
      <w:r>
        <w:rPr>
          <w:rFonts w:hint="eastAsia" w:cs="宋体"/>
          <w:b/>
          <w:bCs/>
          <w:color w:val="auto"/>
          <w:highlight w:val="none"/>
        </w:rPr>
        <w:t>附件十</w:t>
      </w:r>
      <w:r>
        <w:rPr>
          <w:rFonts w:hint="eastAsia" w:cs="宋体"/>
          <w:b/>
          <w:bCs/>
          <w:color w:val="auto"/>
          <w:highlight w:val="none"/>
          <w:lang w:eastAsia="zh-CN"/>
        </w:rPr>
        <w:t>八</w:t>
      </w:r>
      <w:r>
        <w:rPr>
          <w:rFonts w:hint="eastAsia" w:cs="宋体"/>
          <w:b/>
          <w:bCs/>
          <w:color w:val="auto"/>
          <w:highlight w:val="none"/>
        </w:rPr>
        <w:t>、质疑函范本及制作说明</w:t>
      </w:r>
    </w:p>
    <w:p w14:paraId="6CB47D71">
      <w:pPr>
        <w:ind w:firstLine="4103" w:firstLineChars="1400"/>
        <w:rPr>
          <w:rFonts w:cs="宋体"/>
          <w:b/>
          <w:color w:val="auto"/>
          <w:spacing w:val="6"/>
          <w:sz w:val="28"/>
          <w:szCs w:val="28"/>
          <w:highlight w:val="none"/>
        </w:rPr>
      </w:pPr>
      <w:r>
        <w:rPr>
          <w:rFonts w:hint="eastAsia" w:cs="宋体"/>
          <w:b/>
          <w:color w:val="auto"/>
          <w:spacing w:val="6"/>
          <w:sz w:val="28"/>
          <w:szCs w:val="28"/>
          <w:highlight w:val="none"/>
        </w:rPr>
        <w:t>质疑函范本</w:t>
      </w:r>
    </w:p>
    <w:p w14:paraId="41C97D68">
      <w:pPr>
        <w:snapToGrid w:val="0"/>
        <w:spacing w:before="312" w:beforeLines="100"/>
        <w:ind w:firstLine="480"/>
        <w:rPr>
          <w:rFonts w:cs="宋体"/>
          <w:bCs/>
          <w:color w:val="auto"/>
          <w:highlight w:val="none"/>
        </w:rPr>
      </w:pPr>
      <w:r>
        <w:rPr>
          <w:rFonts w:hint="eastAsia" w:cs="宋体"/>
          <w:bCs/>
          <w:color w:val="auto"/>
          <w:highlight w:val="none"/>
        </w:rPr>
        <w:t>一、质疑投标人基本信息</w:t>
      </w:r>
    </w:p>
    <w:p w14:paraId="7DEF1C38">
      <w:pPr>
        <w:snapToGrid w:val="0"/>
        <w:ind w:firstLine="480"/>
        <w:rPr>
          <w:rFonts w:cs="宋体"/>
          <w:color w:val="auto"/>
          <w:highlight w:val="none"/>
          <w:u w:val="dotted"/>
        </w:rPr>
      </w:pPr>
      <w:r>
        <w:rPr>
          <w:rFonts w:hint="eastAsia" w:cs="宋体"/>
          <w:color w:val="auto"/>
          <w:highlight w:val="none"/>
        </w:rPr>
        <w:t>质疑投标人：</w:t>
      </w:r>
      <w:r>
        <w:rPr>
          <w:rFonts w:hint="eastAsia" w:cs="宋体"/>
          <w:color w:val="auto"/>
          <w:highlight w:val="none"/>
          <w:u w:val="dotted"/>
        </w:rPr>
        <w:t xml:space="preserve">                                        </w:t>
      </w:r>
    </w:p>
    <w:p w14:paraId="53E717B0">
      <w:pPr>
        <w:snapToGrid w:val="0"/>
        <w:ind w:firstLine="480"/>
        <w:rPr>
          <w:rFonts w:cs="宋体"/>
          <w:color w:val="auto"/>
          <w:highlight w:val="none"/>
        </w:rPr>
      </w:pPr>
      <w:r>
        <w:rPr>
          <w:rFonts w:hint="eastAsia" w:cs="宋体"/>
          <w:color w:val="auto"/>
          <w:highlight w:val="none"/>
        </w:rPr>
        <w:t>地址：</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p>
    <w:p w14:paraId="6C2A20FE">
      <w:pPr>
        <w:snapToGrid w:val="0"/>
        <w:ind w:firstLine="480"/>
        <w:rPr>
          <w:rFonts w:cs="宋体"/>
          <w:color w:val="auto"/>
          <w:highlight w:val="none"/>
        </w:rPr>
      </w:pPr>
      <w:r>
        <w:rPr>
          <w:rFonts w:hint="eastAsia" w:cs="宋体"/>
          <w:color w:val="auto"/>
          <w:highlight w:val="none"/>
        </w:rPr>
        <w:t>联系人：</w:t>
      </w:r>
      <w:r>
        <w:rPr>
          <w:rFonts w:hint="eastAsia" w:cs="宋体"/>
          <w:color w:val="auto"/>
          <w:highlight w:val="none"/>
          <w:u w:val="dotted"/>
        </w:rPr>
        <w:t xml:space="preserve">                      </w:t>
      </w:r>
      <w:r>
        <w:rPr>
          <w:rFonts w:hint="eastAsia" w:cs="宋体"/>
          <w:color w:val="auto"/>
          <w:highlight w:val="none"/>
        </w:rPr>
        <w:t>联系电话：</w:t>
      </w:r>
      <w:r>
        <w:rPr>
          <w:rFonts w:hint="eastAsia" w:cs="宋体"/>
          <w:color w:val="auto"/>
          <w:highlight w:val="none"/>
          <w:u w:val="dotted"/>
        </w:rPr>
        <w:t xml:space="preserve">             </w:t>
      </w:r>
    </w:p>
    <w:p w14:paraId="004DC4EE">
      <w:pPr>
        <w:snapToGrid w:val="0"/>
        <w:ind w:firstLine="480"/>
        <w:rPr>
          <w:rFonts w:cs="宋体"/>
          <w:color w:val="auto"/>
          <w:highlight w:val="none"/>
          <w:u w:val="dotted"/>
        </w:rPr>
      </w:pPr>
      <w:r>
        <w:rPr>
          <w:rFonts w:hint="eastAsia" w:cs="宋体"/>
          <w:color w:val="auto"/>
          <w:highlight w:val="none"/>
        </w:rPr>
        <w:t>授权代表：</w:t>
      </w:r>
      <w:r>
        <w:rPr>
          <w:rFonts w:hint="eastAsia" w:cs="宋体"/>
          <w:color w:val="auto"/>
          <w:highlight w:val="none"/>
          <w:u w:val="dotted"/>
        </w:rPr>
        <w:t xml:space="preserve">                                          </w:t>
      </w:r>
    </w:p>
    <w:p w14:paraId="096447ED">
      <w:pPr>
        <w:snapToGrid w:val="0"/>
        <w:ind w:firstLine="480"/>
        <w:rPr>
          <w:rFonts w:cs="宋体"/>
          <w:color w:val="auto"/>
          <w:highlight w:val="none"/>
        </w:rPr>
      </w:pPr>
      <w:r>
        <w:rPr>
          <w:rFonts w:hint="eastAsia" w:cs="宋体"/>
          <w:color w:val="auto"/>
          <w:highlight w:val="none"/>
        </w:rPr>
        <w:t>联系电话：</w:t>
      </w:r>
      <w:r>
        <w:rPr>
          <w:rFonts w:hint="eastAsia" w:cs="宋体"/>
          <w:color w:val="auto"/>
          <w:highlight w:val="none"/>
          <w:u w:val="dotted"/>
        </w:rPr>
        <w:t xml:space="preserve">                                           </w:t>
      </w:r>
      <w:r>
        <w:rPr>
          <w:rFonts w:hint="eastAsia" w:cs="宋体"/>
          <w:color w:val="auto"/>
          <w:highlight w:val="none"/>
        </w:rPr>
        <w:t xml:space="preserve"> </w:t>
      </w:r>
    </w:p>
    <w:p w14:paraId="5A10C270">
      <w:pPr>
        <w:snapToGrid w:val="0"/>
        <w:ind w:firstLine="480"/>
        <w:rPr>
          <w:rFonts w:cs="宋体"/>
          <w:color w:val="auto"/>
          <w:highlight w:val="none"/>
        </w:rPr>
      </w:pPr>
      <w:r>
        <w:rPr>
          <w:rFonts w:hint="eastAsia" w:cs="宋体"/>
          <w:color w:val="auto"/>
          <w:highlight w:val="none"/>
        </w:rPr>
        <w:t xml:space="preserve">地址： </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p>
    <w:p w14:paraId="24E2C665">
      <w:pPr>
        <w:snapToGrid w:val="0"/>
        <w:ind w:firstLine="480"/>
        <w:rPr>
          <w:rFonts w:cs="宋体"/>
          <w:bCs/>
          <w:color w:val="auto"/>
          <w:highlight w:val="none"/>
        </w:rPr>
      </w:pPr>
      <w:r>
        <w:rPr>
          <w:rFonts w:hint="eastAsia" w:cs="宋体"/>
          <w:bCs/>
          <w:color w:val="auto"/>
          <w:highlight w:val="none"/>
        </w:rPr>
        <w:t>二、质疑项目基本情况</w:t>
      </w:r>
    </w:p>
    <w:p w14:paraId="2B041D31">
      <w:pPr>
        <w:snapToGrid w:val="0"/>
        <w:ind w:firstLine="480"/>
        <w:rPr>
          <w:rFonts w:cs="宋体"/>
          <w:color w:val="auto"/>
          <w:highlight w:val="none"/>
        </w:rPr>
      </w:pPr>
      <w:r>
        <w:rPr>
          <w:rFonts w:hint="eastAsia" w:cs="宋体"/>
          <w:color w:val="auto"/>
          <w:highlight w:val="none"/>
        </w:rPr>
        <w:t>质疑项目的名称：</w:t>
      </w:r>
      <w:r>
        <w:rPr>
          <w:rFonts w:hint="eastAsia" w:cs="宋体"/>
          <w:color w:val="auto"/>
          <w:highlight w:val="none"/>
          <w:u w:val="dotted"/>
        </w:rPr>
        <w:t xml:space="preserve">                                      </w:t>
      </w:r>
    </w:p>
    <w:p w14:paraId="5C0A103A">
      <w:pPr>
        <w:snapToGrid w:val="0"/>
        <w:ind w:firstLine="480"/>
        <w:rPr>
          <w:rFonts w:cs="宋体"/>
          <w:color w:val="auto"/>
          <w:highlight w:val="none"/>
        </w:rPr>
      </w:pPr>
      <w:r>
        <w:rPr>
          <w:rFonts w:hint="eastAsia" w:cs="宋体"/>
          <w:color w:val="auto"/>
          <w:highlight w:val="none"/>
        </w:rPr>
        <w:t>质疑项目的编号：</w:t>
      </w:r>
      <w:r>
        <w:rPr>
          <w:rFonts w:hint="eastAsia" w:cs="宋体"/>
          <w:color w:val="auto"/>
          <w:highlight w:val="none"/>
          <w:u w:val="dotted"/>
        </w:rPr>
        <w:t xml:space="preserve">               </w:t>
      </w:r>
      <w:r>
        <w:rPr>
          <w:rFonts w:hint="eastAsia" w:cs="宋体"/>
          <w:color w:val="auto"/>
          <w:highlight w:val="none"/>
        </w:rPr>
        <w:t>包号：</w:t>
      </w:r>
      <w:r>
        <w:rPr>
          <w:rFonts w:hint="eastAsia" w:cs="宋体"/>
          <w:color w:val="auto"/>
          <w:highlight w:val="none"/>
          <w:u w:val="dotted"/>
        </w:rPr>
        <w:t xml:space="preserve">                 </w:t>
      </w:r>
    </w:p>
    <w:p w14:paraId="265189C9">
      <w:pPr>
        <w:snapToGrid w:val="0"/>
        <w:ind w:firstLine="480"/>
        <w:rPr>
          <w:rFonts w:cs="宋体"/>
          <w:color w:val="auto"/>
          <w:highlight w:val="none"/>
          <w:u w:val="dotted"/>
        </w:rPr>
      </w:pPr>
      <w:r>
        <w:rPr>
          <w:rFonts w:hint="eastAsia" w:cs="宋体"/>
          <w:color w:val="auto"/>
          <w:highlight w:val="none"/>
        </w:rPr>
        <w:t>招标人名称：</w:t>
      </w:r>
      <w:r>
        <w:rPr>
          <w:rFonts w:hint="eastAsia" w:cs="宋体"/>
          <w:color w:val="auto"/>
          <w:highlight w:val="none"/>
          <w:u w:val="dotted"/>
        </w:rPr>
        <w:t xml:space="preserve">                                         </w:t>
      </w:r>
    </w:p>
    <w:p w14:paraId="1DC11841">
      <w:pPr>
        <w:snapToGrid w:val="0"/>
        <w:ind w:firstLine="480"/>
        <w:rPr>
          <w:rFonts w:cs="宋体"/>
          <w:color w:val="auto"/>
          <w:highlight w:val="none"/>
        </w:rPr>
      </w:pPr>
      <w:r>
        <w:rPr>
          <w:rFonts w:hint="eastAsia" w:cs="宋体"/>
          <w:color w:val="auto"/>
          <w:highlight w:val="none"/>
        </w:rPr>
        <w:t>招标文件获取日期：</w:t>
      </w:r>
      <w:r>
        <w:rPr>
          <w:rFonts w:hint="eastAsia" w:cs="宋体"/>
          <w:color w:val="auto"/>
          <w:highlight w:val="none"/>
          <w:u w:val="dotted"/>
        </w:rPr>
        <w:t xml:space="preserve">                                    </w:t>
      </w:r>
    </w:p>
    <w:p w14:paraId="7EF51928">
      <w:pPr>
        <w:snapToGrid w:val="0"/>
        <w:ind w:firstLine="480"/>
        <w:rPr>
          <w:rFonts w:cs="宋体"/>
          <w:bCs/>
          <w:color w:val="auto"/>
          <w:highlight w:val="none"/>
        </w:rPr>
      </w:pPr>
      <w:r>
        <w:rPr>
          <w:rFonts w:hint="eastAsia" w:cs="宋体"/>
          <w:bCs/>
          <w:color w:val="auto"/>
          <w:highlight w:val="none"/>
        </w:rPr>
        <w:t>三、质疑事项具体内容</w:t>
      </w:r>
    </w:p>
    <w:p w14:paraId="45A4CECD">
      <w:pPr>
        <w:snapToGrid w:val="0"/>
        <w:ind w:firstLine="480"/>
        <w:rPr>
          <w:rFonts w:cs="宋体"/>
          <w:color w:val="auto"/>
          <w:highlight w:val="none"/>
          <w:u w:val="dotted"/>
        </w:rPr>
      </w:pPr>
      <w:r>
        <w:rPr>
          <w:rFonts w:hint="eastAsia" w:cs="宋体"/>
          <w:color w:val="auto"/>
          <w:highlight w:val="none"/>
        </w:rPr>
        <w:t>质疑事项1：</w:t>
      </w:r>
      <w:r>
        <w:rPr>
          <w:rFonts w:hint="eastAsia" w:cs="宋体"/>
          <w:color w:val="auto"/>
          <w:highlight w:val="none"/>
          <w:u w:val="dotted"/>
        </w:rPr>
        <w:t xml:space="preserve">                                         </w:t>
      </w:r>
    </w:p>
    <w:p w14:paraId="0F900C14">
      <w:pPr>
        <w:snapToGrid w:val="0"/>
        <w:ind w:firstLine="480"/>
        <w:rPr>
          <w:rFonts w:cs="宋体"/>
          <w:color w:val="auto"/>
          <w:highlight w:val="none"/>
          <w:u w:val="dotted"/>
        </w:rPr>
      </w:pPr>
      <w:r>
        <w:rPr>
          <w:rFonts w:hint="eastAsia" w:cs="宋体"/>
          <w:color w:val="auto"/>
          <w:highlight w:val="none"/>
        </w:rPr>
        <w:t>事实依据：</w:t>
      </w:r>
      <w:r>
        <w:rPr>
          <w:rFonts w:hint="eastAsia" w:cs="宋体"/>
          <w:color w:val="auto"/>
          <w:highlight w:val="none"/>
          <w:u w:val="dotted"/>
        </w:rPr>
        <w:t xml:space="preserve">                                          </w:t>
      </w:r>
    </w:p>
    <w:p w14:paraId="2F5D2778">
      <w:pPr>
        <w:snapToGrid w:val="0"/>
        <w:ind w:firstLine="480"/>
        <w:rPr>
          <w:rFonts w:cs="宋体"/>
          <w:color w:val="auto"/>
          <w:highlight w:val="none"/>
        </w:rPr>
      </w:pPr>
      <w:r>
        <w:rPr>
          <w:rFonts w:hint="eastAsia" w:cs="宋体"/>
          <w:color w:val="auto"/>
          <w:highlight w:val="none"/>
          <w:u w:val="dotted"/>
        </w:rPr>
        <w:t xml:space="preserve">                                                       </w:t>
      </w:r>
    </w:p>
    <w:p w14:paraId="0227BA0E">
      <w:pPr>
        <w:snapToGrid w:val="0"/>
        <w:ind w:firstLine="480"/>
        <w:rPr>
          <w:rFonts w:cs="宋体"/>
          <w:color w:val="auto"/>
          <w:highlight w:val="none"/>
          <w:u w:val="dotted"/>
        </w:rPr>
      </w:pPr>
      <w:r>
        <w:rPr>
          <w:rFonts w:hint="eastAsia" w:cs="宋体"/>
          <w:color w:val="auto"/>
          <w:highlight w:val="none"/>
        </w:rPr>
        <w:t>法律依据：</w:t>
      </w:r>
      <w:r>
        <w:rPr>
          <w:rFonts w:hint="eastAsia" w:cs="宋体"/>
          <w:color w:val="auto"/>
          <w:highlight w:val="none"/>
          <w:u w:val="dotted"/>
        </w:rPr>
        <w:t xml:space="preserve">                                          </w:t>
      </w:r>
    </w:p>
    <w:p w14:paraId="7259CA49">
      <w:pPr>
        <w:snapToGrid w:val="0"/>
        <w:ind w:firstLine="480"/>
        <w:rPr>
          <w:rFonts w:cs="宋体"/>
          <w:color w:val="auto"/>
          <w:highlight w:val="none"/>
          <w:u w:val="dotted"/>
        </w:rPr>
      </w:pPr>
      <w:r>
        <w:rPr>
          <w:rFonts w:hint="eastAsia" w:cs="宋体"/>
          <w:color w:val="auto"/>
          <w:highlight w:val="none"/>
          <w:u w:val="dotted"/>
        </w:rPr>
        <w:t xml:space="preserve">                                                     </w:t>
      </w:r>
    </w:p>
    <w:p w14:paraId="4F93C0B1">
      <w:pPr>
        <w:snapToGrid w:val="0"/>
        <w:ind w:firstLine="480"/>
        <w:rPr>
          <w:rFonts w:cs="宋体"/>
          <w:color w:val="auto"/>
          <w:highlight w:val="none"/>
          <w:u w:val="dotted"/>
        </w:rPr>
      </w:pPr>
      <w:r>
        <w:rPr>
          <w:rFonts w:hint="eastAsia" w:cs="宋体"/>
          <w:color w:val="auto"/>
          <w:highlight w:val="none"/>
        </w:rPr>
        <w:t>质疑事项2</w:t>
      </w:r>
    </w:p>
    <w:p w14:paraId="213A68EB">
      <w:pPr>
        <w:snapToGrid w:val="0"/>
        <w:ind w:firstLine="480"/>
        <w:rPr>
          <w:rFonts w:cs="宋体"/>
          <w:color w:val="auto"/>
          <w:highlight w:val="none"/>
        </w:rPr>
      </w:pPr>
      <w:r>
        <w:rPr>
          <w:rFonts w:hint="eastAsia" w:cs="宋体"/>
          <w:color w:val="auto"/>
          <w:highlight w:val="none"/>
        </w:rPr>
        <w:t>……</w:t>
      </w:r>
    </w:p>
    <w:p w14:paraId="56A088C8">
      <w:pPr>
        <w:snapToGrid w:val="0"/>
        <w:ind w:firstLine="480"/>
        <w:rPr>
          <w:rFonts w:cs="宋体"/>
          <w:bCs/>
          <w:color w:val="auto"/>
          <w:highlight w:val="none"/>
        </w:rPr>
      </w:pPr>
      <w:r>
        <w:rPr>
          <w:rFonts w:hint="eastAsia" w:cs="宋体"/>
          <w:bCs/>
          <w:color w:val="auto"/>
          <w:highlight w:val="none"/>
        </w:rPr>
        <w:t>四、与质疑事项相关的质疑请求</w:t>
      </w:r>
    </w:p>
    <w:p w14:paraId="54D6C205">
      <w:pPr>
        <w:snapToGrid w:val="0"/>
        <w:ind w:firstLine="480"/>
        <w:rPr>
          <w:rFonts w:cs="宋体"/>
          <w:color w:val="auto"/>
          <w:highlight w:val="none"/>
          <w:u w:val="dotted"/>
        </w:rPr>
      </w:pPr>
      <w:r>
        <w:rPr>
          <w:rFonts w:hint="eastAsia" w:cs="宋体"/>
          <w:color w:val="auto"/>
          <w:highlight w:val="none"/>
        </w:rPr>
        <w:t>请求：</w:t>
      </w:r>
      <w:r>
        <w:rPr>
          <w:rFonts w:hint="eastAsia" w:cs="宋体"/>
          <w:color w:val="auto"/>
          <w:highlight w:val="none"/>
          <w:u w:val="dotted"/>
        </w:rPr>
        <w:t xml:space="preserve">                                               </w:t>
      </w:r>
    </w:p>
    <w:p w14:paraId="474D90BA">
      <w:pPr>
        <w:rPr>
          <w:color w:val="auto"/>
          <w:highlight w:val="none"/>
        </w:rPr>
      </w:pPr>
    </w:p>
    <w:p w14:paraId="7278B6C7">
      <w:pPr>
        <w:ind w:firstLine="480"/>
        <w:rPr>
          <w:rFonts w:cs="宋体"/>
          <w:color w:val="auto"/>
          <w:highlight w:val="none"/>
        </w:rPr>
      </w:pPr>
      <w:r>
        <w:rPr>
          <w:rFonts w:hint="eastAsia" w:cs="宋体"/>
          <w:color w:val="auto"/>
          <w:highlight w:val="none"/>
        </w:rPr>
        <w:t xml:space="preserve">签字(签章)：                公章：                      </w:t>
      </w:r>
    </w:p>
    <w:p w14:paraId="72C93074">
      <w:pPr>
        <w:ind w:firstLine="480"/>
        <w:rPr>
          <w:rFonts w:cs="宋体"/>
          <w:color w:val="auto"/>
          <w:highlight w:val="none"/>
        </w:rPr>
      </w:pPr>
      <w:r>
        <w:rPr>
          <w:rFonts w:hint="eastAsia" w:cs="宋体"/>
          <w:color w:val="auto"/>
          <w:highlight w:val="none"/>
        </w:rPr>
        <w:t xml:space="preserve">日期：    </w:t>
      </w:r>
    </w:p>
    <w:p w14:paraId="5EC92D6C">
      <w:pPr>
        <w:ind w:firstLine="482"/>
        <w:jc w:val="center"/>
        <w:rPr>
          <w:rFonts w:cs="宋体"/>
          <w:b/>
          <w:bCs/>
          <w:color w:val="auto"/>
          <w:highlight w:val="none"/>
        </w:rPr>
      </w:pPr>
    </w:p>
    <w:p w14:paraId="674FBA83">
      <w:pPr>
        <w:ind w:firstLine="482"/>
        <w:rPr>
          <w:rFonts w:cs="宋体"/>
          <w:b/>
          <w:color w:val="auto"/>
          <w:highlight w:val="none"/>
        </w:rPr>
      </w:pPr>
    </w:p>
    <w:p w14:paraId="32D7DC69">
      <w:pPr>
        <w:ind w:firstLine="482"/>
        <w:rPr>
          <w:rFonts w:cs="宋体"/>
          <w:b/>
          <w:color w:val="auto"/>
          <w:highlight w:val="none"/>
        </w:rPr>
      </w:pPr>
      <w:r>
        <w:rPr>
          <w:rFonts w:hint="eastAsia" w:cs="宋体"/>
          <w:b/>
          <w:color w:val="auto"/>
          <w:highlight w:val="none"/>
        </w:rPr>
        <w:t>质疑函制作说明：</w:t>
      </w:r>
    </w:p>
    <w:p w14:paraId="368005CE">
      <w:pPr>
        <w:widowControl/>
        <w:ind w:firstLine="480"/>
        <w:jc w:val="left"/>
        <w:rPr>
          <w:rFonts w:cs="宋体"/>
          <w:color w:val="auto"/>
          <w:highlight w:val="none"/>
        </w:rPr>
      </w:pPr>
      <w:r>
        <w:rPr>
          <w:rFonts w:hint="eastAsia" w:cs="宋体"/>
          <w:color w:val="auto"/>
          <w:highlight w:val="none"/>
        </w:rPr>
        <w:t>1.投标人提出质疑时，应提交质疑函和必要的证明材料。</w:t>
      </w:r>
    </w:p>
    <w:p w14:paraId="1EB05102">
      <w:pPr>
        <w:widowControl/>
        <w:ind w:firstLine="480"/>
        <w:jc w:val="left"/>
        <w:rPr>
          <w:rFonts w:cs="宋体"/>
          <w:color w:val="auto"/>
          <w:highlight w:val="none"/>
        </w:rPr>
      </w:pPr>
      <w:r>
        <w:rPr>
          <w:rFonts w:hint="eastAsia" w:cs="宋体"/>
          <w:color w:val="auto"/>
          <w:highlight w:val="none"/>
        </w:rPr>
        <w:t>2.质疑投标人若委托代理人进行质疑的，质疑函应按要求列明“授权代表”的有关内容，并在附件中提交由质疑</w:t>
      </w:r>
      <w:r>
        <w:rPr>
          <w:rFonts w:hint="eastAsia" w:cs="宋体"/>
          <w:color w:val="auto"/>
          <w:kern w:val="0"/>
          <w:highlight w:val="none"/>
        </w:rPr>
        <w:t>投标人签署的授权委托书。授权委托书应载明代理人的姓名或者名称、代理事项、具体权限、期限和相关事项。</w:t>
      </w:r>
    </w:p>
    <w:p w14:paraId="6C5C2B73">
      <w:pPr>
        <w:widowControl/>
        <w:ind w:firstLine="480"/>
        <w:jc w:val="left"/>
        <w:rPr>
          <w:rFonts w:cs="宋体"/>
          <w:color w:val="auto"/>
          <w:highlight w:val="none"/>
        </w:rPr>
      </w:pPr>
      <w:r>
        <w:rPr>
          <w:rFonts w:hint="eastAsia" w:cs="宋体"/>
          <w:color w:val="auto"/>
          <w:highlight w:val="none"/>
        </w:rPr>
        <w:t>3.质疑函的质疑事项应具体、明确，并有必要的事实依据和法律依据。</w:t>
      </w:r>
    </w:p>
    <w:p w14:paraId="7F3FB820">
      <w:pPr>
        <w:widowControl/>
        <w:ind w:firstLine="480"/>
        <w:jc w:val="left"/>
        <w:rPr>
          <w:rFonts w:cs="宋体"/>
          <w:color w:val="auto"/>
          <w:highlight w:val="none"/>
        </w:rPr>
      </w:pPr>
      <w:r>
        <w:rPr>
          <w:rFonts w:hint="eastAsia" w:cs="宋体"/>
          <w:color w:val="auto"/>
          <w:highlight w:val="none"/>
        </w:rPr>
        <w:t>4.质疑函的质疑请求应与质疑事项相关。</w:t>
      </w:r>
    </w:p>
    <w:p w14:paraId="17343412">
      <w:pPr>
        <w:widowControl/>
        <w:ind w:firstLine="480"/>
        <w:jc w:val="left"/>
        <w:rPr>
          <w:rFonts w:cs="宋体"/>
          <w:color w:val="auto"/>
          <w:highlight w:val="none"/>
        </w:rPr>
      </w:pPr>
      <w:r>
        <w:rPr>
          <w:rFonts w:hint="eastAsia" w:cs="宋体"/>
          <w:color w:val="auto"/>
          <w:highlight w:val="none"/>
        </w:rPr>
        <w:t>5.质疑投标人为自然人的，质疑函应由本人签字；质疑投标人为法人或者其他组织的，质疑函应由法定代表人、主要负责人，或者其授权代表签字或者盖章，并加盖公章。</w:t>
      </w:r>
    </w:p>
    <w:p w14:paraId="79D5E307">
      <w:pPr>
        <w:widowControl/>
        <w:ind w:firstLine="600"/>
        <w:jc w:val="left"/>
        <w:rPr>
          <w:rFonts w:cs="宋体"/>
          <w:color w:val="auto"/>
          <w:sz w:val="30"/>
          <w:szCs w:val="30"/>
          <w:highlight w:val="none"/>
        </w:rPr>
      </w:pPr>
    </w:p>
    <w:p w14:paraId="1068D56C">
      <w:pPr>
        <w:ind w:firstLine="667"/>
        <w:jc w:val="center"/>
        <w:rPr>
          <w:rFonts w:cs="宋体"/>
          <w:b/>
          <w:color w:val="auto"/>
          <w:spacing w:val="6"/>
          <w:sz w:val="32"/>
          <w:szCs w:val="32"/>
          <w:highlight w:val="none"/>
        </w:rPr>
      </w:pPr>
    </w:p>
    <w:p w14:paraId="603EA24E">
      <w:pPr>
        <w:ind w:firstLine="667"/>
        <w:jc w:val="center"/>
        <w:rPr>
          <w:rFonts w:cs="宋体"/>
          <w:b/>
          <w:color w:val="auto"/>
          <w:spacing w:val="6"/>
          <w:sz w:val="32"/>
          <w:szCs w:val="32"/>
          <w:highlight w:val="none"/>
        </w:rPr>
        <w:sectPr>
          <w:headerReference r:id="rId26" w:type="default"/>
          <w:footerReference r:id="rId27" w:type="default"/>
          <w:pgSz w:w="11906" w:h="16838"/>
          <w:pgMar w:top="1440" w:right="1080" w:bottom="1440" w:left="1080" w:header="851" w:footer="992" w:gutter="0"/>
          <w:pgNumType w:fmt="decimal"/>
          <w:cols w:space="720" w:num="1"/>
          <w:docGrid w:type="lines" w:linePitch="312" w:charSpace="0"/>
        </w:sectPr>
      </w:pPr>
    </w:p>
    <w:p w14:paraId="4852544C">
      <w:pPr>
        <w:pStyle w:val="5"/>
        <w:rPr>
          <w:color w:val="auto"/>
          <w:highlight w:val="none"/>
        </w:rPr>
      </w:pPr>
      <w:r>
        <w:rPr>
          <w:rFonts w:hint="eastAsia"/>
          <w:color w:val="auto"/>
          <w:highlight w:val="none"/>
        </w:rPr>
        <w:t>附件十</w:t>
      </w:r>
      <w:r>
        <w:rPr>
          <w:rFonts w:hint="eastAsia"/>
          <w:color w:val="auto"/>
          <w:highlight w:val="none"/>
          <w:lang w:eastAsia="zh-CN"/>
        </w:rPr>
        <w:t>九</w:t>
      </w:r>
      <w:r>
        <w:rPr>
          <w:rFonts w:hint="eastAsia"/>
          <w:color w:val="auto"/>
          <w:highlight w:val="none"/>
        </w:rPr>
        <w:t>、投诉书范本及制作说明</w:t>
      </w:r>
    </w:p>
    <w:p w14:paraId="13AA5094">
      <w:pPr>
        <w:ind w:firstLine="4103" w:firstLineChars="1400"/>
        <w:rPr>
          <w:rFonts w:cs="宋体"/>
          <w:b/>
          <w:color w:val="auto"/>
          <w:spacing w:val="6"/>
          <w:sz w:val="28"/>
          <w:szCs w:val="28"/>
          <w:highlight w:val="none"/>
        </w:rPr>
      </w:pPr>
      <w:r>
        <w:rPr>
          <w:rFonts w:hint="eastAsia" w:cs="宋体"/>
          <w:b/>
          <w:color w:val="auto"/>
          <w:spacing w:val="6"/>
          <w:sz w:val="28"/>
          <w:szCs w:val="28"/>
          <w:highlight w:val="none"/>
        </w:rPr>
        <w:t>投诉书范本</w:t>
      </w:r>
    </w:p>
    <w:p w14:paraId="579081A4">
      <w:pPr>
        <w:ind w:firstLine="480"/>
        <w:rPr>
          <w:rFonts w:cs="宋体"/>
          <w:color w:val="auto"/>
          <w:highlight w:val="none"/>
        </w:rPr>
      </w:pPr>
      <w:r>
        <w:rPr>
          <w:rFonts w:hint="eastAsia" w:cs="宋体"/>
          <w:color w:val="auto"/>
          <w:highlight w:val="none"/>
        </w:rPr>
        <w:t>一、投诉相关主体基本情况</w:t>
      </w:r>
    </w:p>
    <w:p w14:paraId="5499DEA2">
      <w:pPr>
        <w:ind w:firstLine="480"/>
        <w:rPr>
          <w:rFonts w:cs="宋体"/>
          <w:color w:val="auto"/>
          <w:highlight w:val="none"/>
          <w:u w:val="dotted"/>
        </w:rPr>
      </w:pPr>
      <w:r>
        <w:rPr>
          <w:rFonts w:hint="eastAsia" w:cs="宋体"/>
          <w:color w:val="auto"/>
          <w:highlight w:val="none"/>
        </w:rPr>
        <w:t>投诉人：</w:t>
      </w:r>
      <w:r>
        <w:rPr>
          <w:rFonts w:hint="eastAsia" w:cs="宋体"/>
          <w:color w:val="auto"/>
          <w:highlight w:val="none"/>
          <w:u w:val="dotted"/>
        </w:rPr>
        <w:t xml:space="preserve">                                               </w:t>
      </w:r>
    </w:p>
    <w:p w14:paraId="010BB66F">
      <w:pPr>
        <w:ind w:firstLine="480"/>
        <w:rPr>
          <w:rFonts w:cs="宋体"/>
          <w:color w:val="auto"/>
          <w:highlight w:val="none"/>
          <w:u w:val="single"/>
        </w:rPr>
      </w:pPr>
      <w:r>
        <w:rPr>
          <w:rFonts w:hint="eastAsia" w:cs="宋体"/>
          <w:color w:val="auto"/>
          <w:highlight w:val="none"/>
        </w:rPr>
        <w:t>地     址：</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p>
    <w:p w14:paraId="34C58345">
      <w:pPr>
        <w:tabs>
          <w:tab w:val="left" w:pos="6510"/>
        </w:tabs>
        <w:ind w:firstLine="480"/>
        <w:jc w:val="left"/>
        <w:rPr>
          <w:rFonts w:cs="宋体"/>
          <w:color w:val="auto"/>
          <w:highlight w:val="none"/>
        </w:rPr>
      </w:pPr>
      <w:r>
        <w:rPr>
          <w:rFonts w:hint="eastAsia" w:cs="宋体"/>
          <w:color w:val="auto"/>
          <w:highlight w:val="none"/>
        </w:rPr>
        <w:t>法定代表人/主要负责人：</w:t>
      </w:r>
      <w:r>
        <w:rPr>
          <w:rFonts w:hint="eastAsia" w:cs="宋体"/>
          <w:color w:val="auto"/>
          <w:highlight w:val="none"/>
          <w:u w:val="dotted"/>
        </w:rPr>
        <w:t xml:space="preserve">                                   </w:t>
      </w:r>
      <w:r>
        <w:rPr>
          <w:rFonts w:hint="eastAsia" w:cs="宋体"/>
          <w:color w:val="auto"/>
          <w:highlight w:val="none"/>
        </w:rPr>
        <w:t xml:space="preserve">  </w:t>
      </w:r>
    </w:p>
    <w:p w14:paraId="491D953C">
      <w:pPr>
        <w:tabs>
          <w:tab w:val="left" w:pos="6510"/>
        </w:tabs>
        <w:ind w:firstLine="480"/>
        <w:rPr>
          <w:rFonts w:cs="宋体"/>
          <w:color w:val="auto"/>
          <w:highlight w:val="none"/>
          <w:u w:val="dotted"/>
        </w:rPr>
      </w:pPr>
      <w:r>
        <w:rPr>
          <w:rFonts w:hint="eastAsia" w:cs="宋体"/>
          <w:color w:val="auto"/>
          <w:highlight w:val="none"/>
        </w:rPr>
        <w:t>联系电话：</w:t>
      </w:r>
      <w:r>
        <w:rPr>
          <w:rFonts w:hint="eastAsia" w:cs="宋体"/>
          <w:color w:val="auto"/>
          <w:highlight w:val="none"/>
          <w:u w:val="dotted"/>
        </w:rPr>
        <w:t xml:space="preserve">                                             </w:t>
      </w:r>
    </w:p>
    <w:p w14:paraId="1176E4FA">
      <w:pPr>
        <w:ind w:firstLine="480"/>
        <w:rPr>
          <w:rFonts w:cs="宋体"/>
          <w:color w:val="auto"/>
          <w:highlight w:val="none"/>
          <w:u w:val="dotted"/>
        </w:rPr>
      </w:pPr>
      <w:r>
        <w:rPr>
          <w:rFonts w:hint="eastAsia" w:cs="宋体"/>
          <w:color w:val="auto"/>
          <w:highlight w:val="none"/>
        </w:rPr>
        <w:t>授权代表：</w:t>
      </w:r>
      <w:r>
        <w:rPr>
          <w:rFonts w:hint="eastAsia" w:cs="宋体"/>
          <w:color w:val="auto"/>
          <w:highlight w:val="none"/>
          <w:u w:val="dotted"/>
        </w:rPr>
        <w:t xml:space="preserve">             </w:t>
      </w:r>
      <w:r>
        <w:rPr>
          <w:rFonts w:hint="eastAsia" w:cs="宋体"/>
          <w:color w:val="auto"/>
          <w:highlight w:val="none"/>
        </w:rPr>
        <w:t>联系电话</w:t>
      </w:r>
      <w:r>
        <w:rPr>
          <w:rFonts w:hint="eastAsia" w:cs="宋体"/>
          <w:color w:val="auto"/>
          <w:highlight w:val="none"/>
          <w:u w:val="dotted"/>
        </w:rPr>
        <w:t xml:space="preserve">：                  </w:t>
      </w:r>
    </w:p>
    <w:p w14:paraId="6563671D">
      <w:pPr>
        <w:ind w:firstLine="480"/>
        <w:rPr>
          <w:rFonts w:cs="宋体"/>
          <w:color w:val="auto"/>
          <w:highlight w:val="none"/>
          <w:u w:val="dotted"/>
        </w:rPr>
      </w:pPr>
      <w:r>
        <w:rPr>
          <w:rFonts w:hint="eastAsia" w:cs="宋体"/>
          <w:color w:val="auto"/>
          <w:highlight w:val="none"/>
        </w:rPr>
        <w:t>地     址：</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p>
    <w:p w14:paraId="1DE721A2">
      <w:pPr>
        <w:ind w:firstLine="480"/>
        <w:rPr>
          <w:rFonts w:cs="宋体"/>
          <w:color w:val="auto"/>
          <w:highlight w:val="none"/>
          <w:u w:val="single"/>
        </w:rPr>
      </w:pPr>
      <w:r>
        <w:rPr>
          <w:rFonts w:hint="eastAsia" w:cs="宋体"/>
          <w:color w:val="auto"/>
          <w:highlight w:val="none"/>
        </w:rPr>
        <w:t>被投诉人1：</w:t>
      </w:r>
      <w:r>
        <w:rPr>
          <w:rFonts w:hint="eastAsia" w:cs="宋体"/>
          <w:color w:val="auto"/>
          <w:highlight w:val="none"/>
          <w:u w:val="dotted"/>
        </w:rPr>
        <w:t xml:space="preserve">                                           </w:t>
      </w:r>
    </w:p>
    <w:p w14:paraId="5220D316">
      <w:pPr>
        <w:ind w:firstLine="480"/>
        <w:rPr>
          <w:rFonts w:cs="宋体"/>
          <w:color w:val="auto"/>
          <w:highlight w:val="none"/>
          <w:u w:val="single"/>
        </w:rPr>
      </w:pPr>
      <w:r>
        <w:rPr>
          <w:rFonts w:hint="eastAsia" w:cs="宋体"/>
          <w:color w:val="auto"/>
          <w:highlight w:val="none"/>
        </w:rPr>
        <w:t>地     址：</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p>
    <w:p w14:paraId="3FE30203">
      <w:pPr>
        <w:ind w:firstLine="480"/>
        <w:rPr>
          <w:rFonts w:cs="宋体"/>
          <w:color w:val="auto"/>
          <w:highlight w:val="none"/>
          <w:u w:val="single"/>
        </w:rPr>
      </w:pPr>
      <w:r>
        <w:rPr>
          <w:rFonts w:hint="eastAsia" w:cs="宋体"/>
          <w:color w:val="auto"/>
          <w:highlight w:val="none"/>
        </w:rPr>
        <w:t>联系人：</w:t>
      </w:r>
      <w:r>
        <w:rPr>
          <w:rFonts w:hint="eastAsia" w:cs="宋体"/>
          <w:color w:val="auto"/>
          <w:highlight w:val="none"/>
          <w:u w:val="dotted"/>
        </w:rPr>
        <w:t xml:space="preserve">               </w:t>
      </w:r>
      <w:r>
        <w:rPr>
          <w:rFonts w:hint="eastAsia" w:cs="宋体"/>
          <w:color w:val="auto"/>
          <w:highlight w:val="none"/>
        </w:rPr>
        <w:t>联系电话：</w:t>
      </w:r>
      <w:r>
        <w:rPr>
          <w:rFonts w:hint="eastAsia" w:cs="宋体"/>
          <w:color w:val="auto"/>
          <w:highlight w:val="none"/>
          <w:u w:val="dotted"/>
        </w:rPr>
        <w:t xml:space="preserve">                      </w:t>
      </w:r>
    </w:p>
    <w:p w14:paraId="1F0385A6">
      <w:pPr>
        <w:ind w:firstLine="480"/>
        <w:rPr>
          <w:rFonts w:cs="宋体"/>
          <w:color w:val="auto"/>
          <w:highlight w:val="none"/>
        </w:rPr>
      </w:pPr>
      <w:r>
        <w:rPr>
          <w:rFonts w:hint="eastAsia" w:cs="宋体"/>
          <w:color w:val="auto"/>
          <w:highlight w:val="none"/>
        </w:rPr>
        <w:t>被投诉人2</w:t>
      </w:r>
    </w:p>
    <w:p w14:paraId="6C312570">
      <w:pPr>
        <w:ind w:firstLine="480"/>
        <w:rPr>
          <w:rFonts w:cs="宋体"/>
          <w:color w:val="auto"/>
          <w:highlight w:val="none"/>
          <w:u w:val="dotted"/>
        </w:rPr>
      </w:pPr>
      <w:r>
        <w:rPr>
          <w:rFonts w:hint="eastAsia" w:cs="宋体"/>
          <w:color w:val="auto"/>
          <w:highlight w:val="none"/>
        </w:rPr>
        <w:t>……</w:t>
      </w:r>
    </w:p>
    <w:p w14:paraId="2DF77D4E">
      <w:pPr>
        <w:ind w:firstLine="480"/>
        <w:rPr>
          <w:rFonts w:cs="宋体"/>
          <w:color w:val="auto"/>
          <w:highlight w:val="none"/>
          <w:u w:val="single"/>
        </w:rPr>
      </w:pPr>
      <w:r>
        <w:rPr>
          <w:rFonts w:hint="eastAsia" w:cs="宋体"/>
          <w:color w:val="auto"/>
          <w:highlight w:val="none"/>
        </w:rPr>
        <w:t>相关投标人：</w:t>
      </w:r>
      <w:r>
        <w:rPr>
          <w:rFonts w:hint="eastAsia" w:cs="宋体"/>
          <w:color w:val="auto"/>
          <w:highlight w:val="none"/>
          <w:u w:val="dotted"/>
        </w:rPr>
        <w:t xml:space="preserve">                                           </w:t>
      </w:r>
    </w:p>
    <w:p w14:paraId="48C55195">
      <w:pPr>
        <w:ind w:firstLine="480"/>
        <w:rPr>
          <w:rFonts w:cs="宋体"/>
          <w:color w:val="auto"/>
          <w:highlight w:val="none"/>
          <w:u w:val="single"/>
        </w:rPr>
      </w:pPr>
      <w:r>
        <w:rPr>
          <w:rFonts w:hint="eastAsia" w:cs="宋体"/>
          <w:color w:val="auto"/>
          <w:highlight w:val="none"/>
        </w:rPr>
        <w:t>地     址：</w:t>
      </w:r>
      <w:r>
        <w:rPr>
          <w:rFonts w:hint="eastAsia" w:cs="宋体"/>
          <w:color w:val="auto"/>
          <w:highlight w:val="none"/>
          <w:u w:val="dotted"/>
        </w:rPr>
        <w:t xml:space="preserve">                             </w:t>
      </w:r>
      <w:r>
        <w:rPr>
          <w:rFonts w:hint="eastAsia" w:cs="宋体"/>
          <w:color w:val="auto"/>
          <w:highlight w:val="none"/>
        </w:rPr>
        <w:t>邮编：</w:t>
      </w:r>
      <w:r>
        <w:rPr>
          <w:rFonts w:hint="eastAsia" w:cs="宋体"/>
          <w:color w:val="auto"/>
          <w:highlight w:val="none"/>
          <w:u w:val="dotted"/>
        </w:rPr>
        <w:t xml:space="preserve">          </w:t>
      </w:r>
    </w:p>
    <w:p w14:paraId="4F6B5B10">
      <w:pPr>
        <w:ind w:firstLine="480"/>
        <w:rPr>
          <w:rFonts w:cs="宋体"/>
          <w:color w:val="auto"/>
          <w:highlight w:val="none"/>
          <w:u w:val="single"/>
        </w:rPr>
      </w:pPr>
      <w:r>
        <w:rPr>
          <w:rFonts w:hint="eastAsia" w:cs="宋体"/>
          <w:color w:val="auto"/>
          <w:highlight w:val="none"/>
        </w:rPr>
        <w:t>联系人：</w:t>
      </w:r>
      <w:r>
        <w:rPr>
          <w:rFonts w:hint="eastAsia" w:cs="宋体"/>
          <w:color w:val="auto"/>
          <w:highlight w:val="none"/>
          <w:u w:val="dotted"/>
        </w:rPr>
        <w:t xml:space="preserve">               </w:t>
      </w:r>
      <w:r>
        <w:rPr>
          <w:rFonts w:hint="eastAsia" w:cs="宋体"/>
          <w:color w:val="auto"/>
          <w:highlight w:val="none"/>
        </w:rPr>
        <w:t>联系电话：</w:t>
      </w:r>
      <w:r>
        <w:rPr>
          <w:rFonts w:hint="eastAsia" w:cs="宋体"/>
          <w:color w:val="auto"/>
          <w:highlight w:val="none"/>
          <w:u w:val="dotted"/>
        </w:rPr>
        <w:t xml:space="preserve">                      </w:t>
      </w:r>
    </w:p>
    <w:p w14:paraId="7885179F">
      <w:pPr>
        <w:ind w:firstLine="480"/>
        <w:rPr>
          <w:rFonts w:cs="宋体"/>
          <w:color w:val="auto"/>
          <w:highlight w:val="none"/>
        </w:rPr>
      </w:pPr>
      <w:r>
        <w:rPr>
          <w:rFonts w:hint="eastAsia" w:cs="宋体"/>
          <w:color w:val="auto"/>
          <w:highlight w:val="none"/>
        </w:rPr>
        <w:t>二、投诉项目基本情况</w:t>
      </w:r>
    </w:p>
    <w:p w14:paraId="68B73AE2">
      <w:pPr>
        <w:ind w:firstLine="480"/>
        <w:rPr>
          <w:rFonts w:cs="宋体"/>
          <w:color w:val="auto"/>
          <w:highlight w:val="none"/>
          <w:u w:val="dotted"/>
        </w:rPr>
      </w:pPr>
      <w:r>
        <w:rPr>
          <w:rFonts w:hint="eastAsia" w:cs="宋体"/>
          <w:color w:val="auto"/>
          <w:highlight w:val="none"/>
        </w:rPr>
        <w:t>采购项目名称：</w:t>
      </w:r>
      <w:r>
        <w:rPr>
          <w:rFonts w:hint="eastAsia" w:cs="宋体"/>
          <w:color w:val="auto"/>
          <w:highlight w:val="none"/>
          <w:u w:val="dotted"/>
        </w:rPr>
        <w:t xml:space="preserve">                                        </w:t>
      </w:r>
    </w:p>
    <w:p w14:paraId="0B94676A">
      <w:pPr>
        <w:ind w:firstLine="480"/>
        <w:rPr>
          <w:rFonts w:cs="宋体"/>
          <w:color w:val="auto"/>
          <w:highlight w:val="none"/>
          <w:u w:val="single"/>
        </w:rPr>
      </w:pPr>
      <w:r>
        <w:rPr>
          <w:rFonts w:hint="eastAsia" w:cs="宋体"/>
          <w:color w:val="auto"/>
          <w:highlight w:val="none"/>
        </w:rPr>
        <w:t>采购项目编号：</w:t>
      </w:r>
      <w:r>
        <w:rPr>
          <w:rFonts w:hint="eastAsia" w:cs="宋体"/>
          <w:color w:val="auto"/>
          <w:highlight w:val="none"/>
          <w:u w:val="dotted"/>
        </w:rPr>
        <w:t xml:space="preserve">                 </w:t>
      </w:r>
      <w:r>
        <w:rPr>
          <w:rFonts w:hint="eastAsia" w:cs="宋体"/>
          <w:color w:val="auto"/>
          <w:highlight w:val="none"/>
        </w:rPr>
        <w:t>包号：</w:t>
      </w:r>
      <w:r>
        <w:rPr>
          <w:rFonts w:hint="eastAsia" w:cs="宋体"/>
          <w:color w:val="auto"/>
          <w:highlight w:val="none"/>
          <w:u w:val="dotted"/>
        </w:rPr>
        <w:t xml:space="preserve">              </w:t>
      </w:r>
    </w:p>
    <w:p w14:paraId="47FF3F10">
      <w:pPr>
        <w:ind w:firstLine="480"/>
        <w:rPr>
          <w:rFonts w:cs="宋体"/>
          <w:color w:val="auto"/>
          <w:highlight w:val="none"/>
        </w:rPr>
      </w:pPr>
      <w:r>
        <w:rPr>
          <w:rFonts w:hint="eastAsia" w:cs="宋体"/>
          <w:color w:val="auto"/>
          <w:highlight w:val="none"/>
        </w:rPr>
        <w:t>招标人名称：</w:t>
      </w:r>
      <w:r>
        <w:rPr>
          <w:rFonts w:hint="eastAsia" w:cs="宋体"/>
          <w:color w:val="auto"/>
          <w:highlight w:val="none"/>
          <w:u w:val="dotted"/>
        </w:rPr>
        <w:t xml:space="preserve">                                           </w:t>
      </w:r>
    </w:p>
    <w:p w14:paraId="59C64B33">
      <w:pPr>
        <w:ind w:firstLine="480"/>
        <w:rPr>
          <w:rFonts w:cs="宋体"/>
          <w:color w:val="auto"/>
          <w:highlight w:val="none"/>
          <w:u w:val="single"/>
        </w:rPr>
      </w:pPr>
      <w:r>
        <w:rPr>
          <w:rFonts w:hint="eastAsia" w:cs="宋体"/>
          <w:color w:val="auto"/>
          <w:highlight w:val="none"/>
        </w:rPr>
        <w:t>招标代理机构名称：</w:t>
      </w:r>
      <w:r>
        <w:rPr>
          <w:rFonts w:hint="eastAsia" w:cs="宋体"/>
          <w:color w:val="auto"/>
          <w:highlight w:val="none"/>
          <w:u w:val="dotted"/>
        </w:rPr>
        <w:t xml:space="preserve">                                         </w:t>
      </w:r>
    </w:p>
    <w:p w14:paraId="7F321537">
      <w:pPr>
        <w:ind w:firstLine="480"/>
        <w:rPr>
          <w:rFonts w:cs="宋体"/>
          <w:color w:val="auto"/>
          <w:highlight w:val="none"/>
          <w:u w:val="dotted"/>
        </w:rPr>
      </w:pPr>
      <w:r>
        <w:rPr>
          <w:rFonts w:hint="eastAsia" w:cs="宋体"/>
          <w:color w:val="auto"/>
          <w:highlight w:val="none"/>
        </w:rPr>
        <w:t>招标文件公告:</w:t>
      </w:r>
      <w:r>
        <w:rPr>
          <w:rFonts w:hint="eastAsia" w:cs="宋体"/>
          <w:color w:val="auto"/>
          <w:highlight w:val="none"/>
          <w:u w:val="dotted"/>
        </w:rPr>
        <w:t xml:space="preserve">是/否 </w:t>
      </w:r>
      <w:r>
        <w:rPr>
          <w:rFonts w:hint="eastAsia" w:cs="宋体"/>
          <w:color w:val="auto"/>
          <w:highlight w:val="none"/>
        </w:rPr>
        <w:t>公告期限：</w:t>
      </w:r>
      <w:r>
        <w:rPr>
          <w:rFonts w:hint="eastAsia" w:cs="宋体"/>
          <w:color w:val="auto"/>
          <w:highlight w:val="none"/>
          <w:u w:val="dotted"/>
        </w:rPr>
        <w:t xml:space="preserve">                                 </w:t>
      </w:r>
    </w:p>
    <w:p w14:paraId="2711EBAC">
      <w:pPr>
        <w:ind w:firstLine="480"/>
        <w:rPr>
          <w:rFonts w:cs="宋体"/>
          <w:color w:val="auto"/>
          <w:highlight w:val="none"/>
          <w:u w:val="single"/>
        </w:rPr>
      </w:pPr>
      <w:r>
        <w:rPr>
          <w:rFonts w:hint="eastAsia" w:cs="宋体"/>
          <w:color w:val="auto"/>
          <w:highlight w:val="none"/>
        </w:rPr>
        <w:t>招标结果公告:</w:t>
      </w:r>
      <w:r>
        <w:rPr>
          <w:rFonts w:hint="eastAsia" w:cs="宋体"/>
          <w:color w:val="auto"/>
          <w:highlight w:val="none"/>
          <w:u w:val="dotted"/>
        </w:rPr>
        <w:t xml:space="preserve">是/否 </w:t>
      </w:r>
      <w:r>
        <w:rPr>
          <w:rFonts w:hint="eastAsia" w:cs="宋体"/>
          <w:color w:val="auto"/>
          <w:highlight w:val="none"/>
        </w:rPr>
        <w:t>公告期限：</w:t>
      </w:r>
      <w:r>
        <w:rPr>
          <w:rFonts w:hint="eastAsia" w:cs="宋体"/>
          <w:color w:val="auto"/>
          <w:highlight w:val="none"/>
          <w:u w:val="dotted"/>
        </w:rPr>
        <w:t xml:space="preserve">                        </w:t>
      </w:r>
    </w:p>
    <w:p w14:paraId="0807F511">
      <w:pPr>
        <w:ind w:firstLine="480"/>
        <w:rPr>
          <w:rFonts w:cs="宋体"/>
          <w:color w:val="auto"/>
          <w:highlight w:val="none"/>
        </w:rPr>
      </w:pPr>
      <w:r>
        <w:rPr>
          <w:rFonts w:hint="eastAsia" w:cs="宋体"/>
          <w:color w:val="auto"/>
          <w:highlight w:val="none"/>
        </w:rPr>
        <w:t>三、质疑基本情况</w:t>
      </w:r>
    </w:p>
    <w:p w14:paraId="17C57C5B">
      <w:pPr>
        <w:ind w:firstLine="480"/>
        <w:rPr>
          <w:rFonts w:cs="宋体"/>
          <w:color w:val="auto"/>
          <w:highlight w:val="none"/>
          <w:u w:val="dotted"/>
        </w:rPr>
      </w:pPr>
      <w:r>
        <w:rPr>
          <w:rFonts w:hint="eastAsia" w:cs="宋体"/>
          <w:color w:val="auto"/>
          <w:highlight w:val="none"/>
        </w:rPr>
        <w:t>投诉人于</w:t>
      </w:r>
      <w:r>
        <w:rPr>
          <w:rFonts w:hint="eastAsia" w:cs="宋体"/>
          <w:color w:val="auto"/>
          <w:highlight w:val="none"/>
          <w:u w:val="dotted"/>
        </w:rPr>
        <w:t xml:space="preserve">   </w:t>
      </w:r>
      <w:r>
        <w:rPr>
          <w:rFonts w:hint="eastAsia" w:cs="宋体"/>
          <w:color w:val="auto"/>
          <w:highlight w:val="none"/>
        </w:rPr>
        <w:t>年</w:t>
      </w:r>
      <w:r>
        <w:rPr>
          <w:rFonts w:hint="eastAsia" w:cs="宋体"/>
          <w:color w:val="auto"/>
          <w:highlight w:val="none"/>
          <w:u w:val="dotted"/>
        </w:rPr>
        <w:t xml:space="preserve">   </w:t>
      </w:r>
      <w:r>
        <w:rPr>
          <w:rFonts w:hint="eastAsia" w:cs="宋体"/>
          <w:color w:val="auto"/>
          <w:highlight w:val="none"/>
        </w:rPr>
        <w:t>月</w:t>
      </w:r>
      <w:r>
        <w:rPr>
          <w:rFonts w:hint="eastAsia" w:cs="宋体"/>
          <w:color w:val="auto"/>
          <w:highlight w:val="none"/>
          <w:u w:val="dotted"/>
        </w:rPr>
        <w:t xml:space="preserve">  </w:t>
      </w:r>
      <w:r>
        <w:rPr>
          <w:rFonts w:hint="eastAsia" w:cs="宋体"/>
          <w:color w:val="auto"/>
          <w:highlight w:val="none"/>
        </w:rPr>
        <w:t>日，向</w:t>
      </w:r>
      <w:r>
        <w:rPr>
          <w:rFonts w:hint="eastAsia" w:cs="宋体"/>
          <w:color w:val="auto"/>
          <w:highlight w:val="none"/>
          <w:u w:val="dotted"/>
        </w:rPr>
        <w:t xml:space="preserve">                   </w:t>
      </w:r>
      <w:r>
        <w:rPr>
          <w:rFonts w:hint="eastAsia" w:cs="宋体"/>
          <w:color w:val="auto"/>
          <w:highlight w:val="none"/>
        </w:rPr>
        <w:t>提出质疑，质疑事项为：</w:t>
      </w:r>
      <w:r>
        <w:rPr>
          <w:rFonts w:hint="eastAsia" w:cs="宋体"/>
          <w:color w:val="auto"/>
          <w:highlight w:val="none"/>
          <w:u w:val="dotted"/>
        </w:rPr>
        <w:t xml:space="preserve">                                </w:t>
      </w:r>
    </w:p>
    <w:p w14:paraId="166CAE54">
      <w:pPr>
        <w:ind w:firstLine="480"/>
        <w:rPr>
          <w:rFonts w:cs="宋体"/>
          <w:color w:val="auto"/>
          <w:highlight w:val="none"/>
          <w:u w:val="dotted"/>
        </w:rPr>
      </w:pPr>
      <w:r>
        <w:rPr>
          <w:rFonts w:hint="eastAsia" w:cs="宋体"/>
          <w:color w:val="auto"/>
          <w:highlight w:val="none"/>
          <w:u w:val="dotted"/>
        </w:rPr>
        <w:t xml:space="preserve">                                                     </w:t>
      </w:r>
      <w:r>
        <w:rPr>
          <w:rFonts w:hint="eastAsia" w:cs="宋体"/>
          <w:color w:val="auto"/>
          <w:highlight w:val="none"/>
        </w:rPr>
        <w:t xml:space="preserve">  </w:t>
      </w:r>
    </w:p>
    <w:p w14:paraId="64E1883A">
      <w:pPr>
        <w:ind w:firstLine="360" w:firstLineChars="150"/>
        <w:rPr>
          <w:rFonts w:cs="宋体"/>
          <w:color w:val="auto"/>
          <w:highlight w:val="none"/>
        </w:rPr>
      </w:pPr>
      <w:r>
        <w:rPr>
          <w:rFonts w:hint="eastAsia" w:cs="宋体"/>
          <w:color w:val="auto"/>
          <w:highlight w:val="none"/>
          <w:u w:val="dotted"/>
        </w:rPr>
        <w:t>招标人/招标代理机构</w:t>
      </w:r>
      <w:r>
        <w:rPr>
          <w:rFonts w:hint="eastAsia" w:cs="宋体"/>
          <w:color w:val="auto"/>
          <w:highlight w:val="none"/>
        </w:rPr>
        <w:t>于</w:t>
      </w:r>
      <w:r>
        <w:rPr>
          <w:rFonts w:hint="eastAsia" w:cs="宋体"/>
          <w:color w:val="auto"/>
          <w:highlight w:val="none"/>
          <w:u w:val="dotted"/>
        </w:rPr>
        <w:t xml:space="preserve">   </w:t>
      </w:r>
      <w:r>
        <w:rPr>
          <w:rFonts w:hint="eastAsia" w:cs="宋体"/>
          <w:color w:val="auto"/>
          <w:highlight w:val="none"/>
        </w:rPr>
        <w:t>年</w:t>
      </w:r>
      <w:r>
        <w:rPr>
          <w:rFonts w:hint="eastAsia" w:cs="宋体"/>
          <w:color w:val="auto"/>
          <w:highlight w:val="none"/>
          <w:u w:val="dotted"/>
        </w:rPr>
        <w:t xml:space="preserve">   </w:t>
      </w:r>
      <w:r>
        <w:rPr>
          <w:rFonts w:hint="eastAsia" w:cs="宋体"/>
          <w:color w:val="auto"/>
          <w:highlight w:val="none"/>
        </w:rPr>
        <w:t>月</w:t>
      </w:r>
      <w:r>
        <w:rPr>
          <w:rFonts w:hint="eastAsia" w:cs="宋体"/>
          <w:color w:val="auto"/>
          <w:highlight w:val="none"/>
          <w:u w:val="dotted"/>
        </w:rPr>
        <w:t xml:space="preserve">   </w:t>
      </w:r>
      <w:r>
        <w:rPr>
          <w:rFonts w:hint="eastAsia" w:cs="宋体"/>
          <w:color w:val="auto"/>
          <w:highlight w:val="none"/>
        </w:rPr>
        <w:t>日,就质疑事项作出了答复/没有在法定期限内作出答复。</w:t>
      </w:r>
    </w:p>
    <w:p w14:paraId="79568F16">
      <w:pPr>
        <w:ind w:firstLine="480"/>
        <w:rPr>
          <w:rFonts w:cs="宋体"/>
          <w:color w:val="auto"/>
          <w:highlight w:val="none"/>
        </w:rPr>
      </w:pPr>
      <w:r>
        <w:rPr>
          <w:rFonts w:hint="eastAsia" w:cs="宋体"/>
          <w:color w:val="auto"/>
          <w:highlight w:val="none"/>
        </w:rPr>
        <w:t>四、投诉事项具体内容</w:t>
      </w:r>
    </w:p>
    <w:p w14:paraId="21623CA4">
      <w:pPr>
        <w:ind w:firstLine="480"/>
        <w:rPr>
          <w:rFonts w:cs="宋体"/>
          <w:color w:val="auto"/>
          <w:highlight w:val="none"/>
          <w:u w:val="single"/>
        </w:rPr>
      </w:pPr>
      <w:r>
        <w:rPr>
          <w:rFonts w:hint="eastAsia" w:cs="宋体"/>
          <w:color w:val="auto"/>
          <w:highlight w:val="none"/>
        </w:rPr>
        <w:t>投诉事项 1：</w:t>
      </w:r>
      <w:r>
        <w:rPr>
          <w:rFonts w:hint="eastAsia" w:cs="宋体"/>
          <w:color w:val="auto"/>
          <w:highlight w:val="none"/>
          <w:u w:val="dotted"/>
        </w:rPr>
        <w:t xml:space="preserve">                                       </w:t>
      </w:r>
    </w:p>
    <w:p w14:paraId="420ACEA6">
      <w:pPr>
        <w:ind w:firstLine="480"/>
        <w:rPr>
          <w:rFonts w:cs="宋体"/>
          <w:color w:val="auto"/>
          <w:highlight w:val="none"/>
        </w:rPr>
      </w:pPr>
      <w:r>
        <w:rPr>
          <w:rFonts w:hint="eastAsia" w:cs="宋体"/>
          <w:color w:val="auto"/>
          <w:highlight w:val="none"/>
        </w:rPr>
        <w:t>事实依据：</w:t>
      </w:r>
      <w:r>
        <w:rPr>
          <w:rFonts w:hint="eastAsia" w:cs="宋体"/>
          <w:color w:val="auto"/>
          <w:highlight w:val="none"/>
          <w:u w:val="dotted"/>
        </w:rPr>
        <w:t xml:space="preserve">                                         </w:t>
      </w:r>
    </w:p>
    <w:p w14:paraId="756AD161">
      <w:pPr>
        <w:ind w:firstLine="480"/>
        <w:rPr>
          <w:rFonts w:cs="宋体"/>
          <w:color w:val="auto"/>
          <w:highlight w:val="none"/>
          <w:u w:val="dotted"/>
        </w:rPr>
      </w:pPr>
      <w:r>
        <w:rPr>
          <w:rFonts w:hint="eastAsia" w:cs="宋体"/>
          <w:color w:val="auto"/>
          <w:highlight w:val="none"/>
          <w:u w:val="dotted"/>
        </w:rPr>
        <w:t xml:space="preserve">                                                      </w:t>
      </w:r>
    </w:p>
    <w:p w14:paraId="2218ED0D">
      <w:pPr>
        <w:ind w:firstLine="480"/>
        <w:rPr>
          <w:rFonts w:cs="宋体"/>
          <w:color w:val="auto"/>
          <w:highlight w:val="none"/>
          <w:u w:val="single"/>
        </w:rPr>
      </w:pPr>
      <w:r>
        <w:rPr>
          <w:rFonts w:hint="eastAsia" w:cs="宋体"/>
          <w:color w:val="auto"/>
          <w:highlight w:val="none"/>
        </w:rPr>
        <w:t>法律依据：</w:t>
      </w:r>
      <w:r>
        <w:rPr>
          <w:rFonts w:hint="eastAsia" w:cs="宋体"/>
          <w:color w:val="auto"/>
          <w:highlight w:val="none"/>
          <w:u w:val="dotted"/>
        </w:rPr>
        <w:t xml:space="preserve">                                          </w:t>
      </w:r>
    </w:p>
    <w:p w14:paraId="70A4E85F">
      <w:pPr>
        <w:ind w:firstLine="480"/>
        <w:rPr>
          <w:rFonts w:cs="宋体"/>
          <w:color w:val="auto"/>
          <w:highlight w:val="none"/>
          <w:u w:val="dotted"/>
        </w:rPr>
      </w:pPr>
      <w:r>
        <w:rPr>
          <w:rFonts w:hint="eastAsia" w:cs="宋体"/>
          <w:color w:val="auto"/>
          <w:highlight w:val="none"/>
          <w:u w:val="dotted"/>
        </w:rPr>
        <w:t xml:space="preserve">                                                      </w:t>
      </w:r>
    </w:p>
    <w:p w14:paraId="2D93C4E0">
      <w:pPr>
        <w:ind w:firstLine="480"/>
        <w:rPr>
          <w:rFonts w:cs="宋体"/>
          <w:color w:val="auto"/>
          <w:highlight w:val="none"/>
        </w:rPr>
      </w:pPr>
      <w:r>
        <w:rPr>
          <w:rFonts w:hint="eastAsia" w:cs="宋体"/>
          <w:color w:val="auto"/>
          <w:highlight w:val="none"/>
        </w:rPr>
        <w:t>投诉事项2</w:t>
      </w:r>
    </w:p>
    <w:p w14:paraId="09F55095">
      <w:pPr>
        <w:ind w:firstLine="480"/>
        <w:rPr>
          <w:rFonts w:cs="宋体"/>
          <w:color w:val="auto"/>
          <w:highlight w:val="none"/>
          <w:u w:val="dotted"/>
        </w:rPr>
      </w:pPr>
      <w:r>
        <w:rPr>
          <w:rFonts w:hint="eastAsia" w:cs="宋体"/>
          <w:color w:val="auto"/>
          <w:highlight w:val="none"/>
        </w:rPr>
        <w:t>……</w:t>
      </w:r>
    </w:p>
    <w:p w14:paraId="7BEDD3F5">
      <w:pPr>
        <w:ind w:firstLine="480"/>
        <w:rPr>
          <w:rFonts w:cs="宋体"/>
          <w:color w:val="auto"/>
          <w:highlight w:val="none"/>
        </w:rPr>
      </w:pPr>
      <w:r>
        <w:rPr>
          <w:rFonts w:hint="eastAsia" w:cs="宋体"/>
          <w:color w:val="auto"/>
          <w:highlight w:val="none"/>
        </w:rPr>
        <w:t>五、与投诉事项相关的投诉请求</w:t>
      </w:r>
    </w:p>
    <w:p w14:paraId="14F19CF0">
      <w:pPr>
        <w:ind w:firstLine="480"/>
        <w:rPr>
          <w:rFonts w:cs="宋体"/>
          <w:color w:val="auto"/>
          <w:highlight w:val="none"/>
        </w:rPr>
      </w:pPr>
      <w:r>
        <w:rPr>
          <w:rFonts w:hint="eastAsia" w:cs="宋体"/>
          <w:color w:val="auto"/>
          <w:highlight w:val="none"/>
        </w:rPr>
        <w:t>请求：</w:t>
      </w:r>
      <w:r>
        <w:rPr>
          <w:rFonts w:hint="eastAsia" w:cs="宋体"/>
          <w:color w:val="auto"/>
          <w:highlight w:val="none"/>
          <w:u w:val="dotted"/>
        </w:rPr>
        <w:t xml:space="preserve">                                              </w:t>
      </w:r>
      <w:r>
        <w:rPr>
          <w:rFonts w:hint="eastAsia" w:cs="宋体"/>
          <w:color w:val="auto"/>
          <w:highlight w:val="none"/>
        </w:rPr>
        <w:t xml:space="preserve"> </w:t>
      </w:r>
    </w:p>
    <w:p w14:paraId="4E730BBD">
      <w:pPr>
        <w:ind w:firstLine="480"/>
        <w:rPr>
          <w:rFonts w:cs="宋体"/>
          <w:color w:val="auto"/>
          <w:highlight w:val="none"/>
          <w:u w:val="single"/>
        </w:rPr>
      </w:pPr>
      <w:r>
        <w:rPr>
          <w:rFonts w:hint="eastAsia" w:cs="宋体"/>
          <w:color w:val="auto"/>
          <w:highlight w:val="none"/>
        </w:rPr>
        <w:t xml:space="preserve">                                                                                                    </w:t>
      </w:r>
    </w:p>
    <w:p w14:paraId="31BCC3A9">
      <w:pPr>
        <w:ind w:firstLine="480"/>
        <w:rPr>
          <w:rFonts w:cs="宋体"/>
          <w:color w:val="auto"/>
          <w:highlight w:val="none"/>
        </w:rPr>
      </w:pPr>
      <w:r>
        <w:rPr>
          <w:rFonts w:hint="eastAsia" w:cs="宋体"/>
          <w:color w:val="auto"/>
          <w:highlight w:val="none"/>
        </w:rPr>
        <w:t xml:space="preserve">签字(签章)：                   公章：                      </w:t>
      </w:r>
    </w:p>
    <w:p w14:paraId="2FDB985A">
      <w:pPr>
        <w:ind w:firstLine="480"/>
        <w:rPr>
          <w:rFonts w:cs="宋体"/>
          <w:color w:val="auto"/>
          <w:highlight w:val="none"/>
        </w:rPr>
      </w:pPr>
      <w:r>
        <w:rPr>
          <w:rFonts w:hint="eastAsia" w:cs="宋体"/>
          <w:color w:val="auto"/>
          <w:highlight w:val="none"/>
        </w:rPr>
        <w:t xml:space="preserve">日期：    </w:t>
      </w:r>
    </w:p>
    <w:p w14:paraId="339E00AE">
      <w:pPr>
        <w:ind w:firstLine="482"/>
        <w:rPr>
          <w:rFonts w:cs="宋体"/>
          <w:b/>
          <w:color w:val="auto"/>
          <w:highlight w:val="none"/>
        </w:rPr>
      </w:pPr>
    </w:p>
    <w:p w14:paraId="5EE2144F">
      <w:pPr>
        <w:ind w:firstLine="482"/>
        <w:rPr>
          <w:rFonts w:cs="宋体"/>
          <w:b/>
          <w:color w:val="auto"/>
          <w:highlight w:val="none"/>
        </w:rPr>
      </w:pPr>
    </w:p>
    <w:p w14:paraId="694EB602">
      <w:pPr>
        <w:ind w:firstLine="482"/>
        <w:rPr>
          <w:rFonts w:cs="宋体"/>
          <w:b/>
          <w:color w:val="auto"/>
          <w:highlight w:val="none"/>
        </w:rPr>
      </w:pPr>
      <w:r>
        <w:rPr>
          <w:rFonts w:hint="eastAsia" w:cs="宋体"/>
          <w:b/>
          <w:color w:val="auto"/>
          <w:highlight w:val="none"/>
        </w:rPr>
        <w:t>投诉书制作说明：</w:t>
      </w:r>
    </w:p>
    <w:p w14:paraId="654A2264">
      <w:pPr>
        <w:widowControl/>
        <w:ind w:firstLine="480"/>
        <w:rPr>
          <w:rFonts w:cs="宋体"/>
          <w:color w:val="auto"/>
          <w:kern w:val="0"/>
          <w:highlight w:val="none"/>
        </w:rPr>
      </w:pPr>
      <w:r>
        <w:rPr>
          <w:rFonts w:hint="eastAsia" w:cs="宋体"/>
          <w:color w:val="auto"/>
          <w:highlight w:val="none"/>
        </w:rPr>
        <w:t>1.投诉人提起投诉时，应当提交投诉书和必要的证明材料，并按照被投诉人和与投诉事项有关的投标人数量提供投诉书副本。</w:t>
      </w:r>
    </w:p>
    <w:p w14:paraId="2FA1A63B">
      <w:pPr>
        <w:widowControl/>
        <w:ind w:firstLine="480"/>
        <w:jc w:val="left"/>
        <w:rPr>
          <w:rFonts w:cs="宋体"/>
          <w:color w:val="auto"/>
          <w:kern w:val="0"/>
          <w:highlight w:val="none"/>
        </w:rPr>
      </w:pPr>
      <w:r>
        <w:rPr>
          <w:rFonts w:hint="eastAsia" w:cs="宋体"/>
          <w:color w:val="auto"/>
          <w:highlight w:val="none"/>
        </w:rPr>
        <w:t>2.投诉人若委托代理人进行投诉的，投诉书应按照要求列明“授权代表”的有关内容，并在附件中提交由</w:t>
      </w:r>
      <w:r>
        <w:rPr>
          <w:rFonts w:hint="eastAsia" w:cs="宋体"/>
          <w:color w:val="auto"/>
          <w:kern w:val="0"/>
          <w:highlight w:val="none"/>
        </w:rPr>
        <w:t>投诉人签署的授权委托书。授权委托书应当载明代理人的姓名或者名称、代理事项、具体权限、期限和相关事项。</w:t>
      </w:r>
    </w:p>
    <w:p w14:paraId="6E32962C">
      <w:pPr>
        <w:widowControl/>
        <w:ind w:firstLine="480"/>
        <w:jc w:val="left"/>
        <w:rPr>
          <w:rFonts w:cs="宋体"/>
          <w:color w:val="auto"/>
          <w:highlight w:val="none"/>
        </w:rPr>
      </w:pPr>
      <w:r>
        <w:rPr>
          <w:rFonts w:hint="eastAsia" w:cs="宋体"/>
          <w:color w:val="auto"/>
          <w:highlight w:val="none"/>
        </w:rPr>
        <w:t>3.投诉书应简要列明质疑事项，质疑函、质疑答复等作为附件材料提供。</w:t>
      </w:r>
    </w:p>
    <w:p w14:paraId="214D8BD9">
      <w:pPr>
        <w:widowControl/>
        <w:ind w:firstLine="480"/>
        <w:jc w:val="left"/>
        <w:rPr>
          <w:rFonts w:cs="宋体"/>
          <w:color w:val="auto"/>
          <w:highlight w:val="none"/>
        </w:rPr>
      </w:pPr>
      <w:r>
        <w:rPr>
          <w:rFonts w:hint="eastAsia" w:cs="宋体"/>
          <w:color w:val="auto"/>
          <w:highlight w:val="none"/>
        </w:rPr>
        <w:t>4.投诉书的投诉事项应具体、明确，并有必要的事实依据和法律依据。</w:t>
      </w:r>
    </w:p>
    <w:p w14:paraId="14CE199B">
      <w:pPr>
        <w:widowControl/>
        <w:ind w:firstLine="480"/>
        <w:jc w:val="left"/>
        <w:rPr>
          <w:rFonts w:cs="宋体"/>
          <w:color w:val="auto"/>
          <w:highlight w:val="none"/>
        </w:rPr>
      </w:pPr>
      <w:r>
        <w:rPr>
          <w:rFonts w:hint="eastAsia" w:cs="宋体"/>
          <w:color w:val="auto"/>
          <w:highlight w:val="none"/>
        </w:rPr>
        <w:t>5.投诉书的投诉请求应与投诉事项相关。</w:t>
      </w:r>
    </w:p>
    <w:p w14:paraId="739EB0B6">
      <w:pPr>
        <w:widowControl/>
        <w:ind w:firstLine="480"/>
        <w:jc w:val="left"/>
        <w:rPr>
          <w:rFonts w:cs="宋体"/>
          <w:color w:val="auto"/>
          <w:kern w:val="0"/>
          <w:highlight w:val="none"/>
        </w:rPr>
      </w:pPr>
      <w:r>
        <w:rPr>
          <w:rFonts w:hint="eastAsia" w:cs="宋体"/>
          <w:color w:val="auto"/>
          <w:highlight w:val="none"/>
        </w:rPr>
        <w:t>6.投诉人为自然人的，投诉书应当由本人签字；投诉人为法人或者其他组织的，投诉书应当由法定代表人、主要负责人，或者其授权代表签字或者盖章，并加盖公章。</w:t>
      </w:r>
    </w:p>
    <w:p w14:paraId="73B79E03">
      <w:pPr>
        <w:ind w:firstLine="482"/>
        <w:rPr>
          <w:rFonts w:cs="宋体"/>
          <w:b/>
          <w:color w:val="auto"/>
          <w:highlight w:val="none"/>
        </w:rPr>
      </w:pPr>
    </w:p>
    <w:sectPr>
      <w:pgSz w:w="11906" w:h="16838"/>
      <w:pgMar w:top="1440" w:right="1080" w:bottom="1440" w:left="108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金山简黑体">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BFC5">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FCFB0">
    <w:pPr>
      <w:pStyle w:val="26"/>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65D76">
                          <w:pPr>
                            <w:pStyle w:val="26"/>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165D76">
                    <w:pPr>
                      <w:pStyle w:val="26"/>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8441">
    <w:pPr>
      <w:pStyle w:val="26"/>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F74D1">
                          <w:pPr>
                            <w:pStyle w:val="26"/>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37F74D1">
                    <w:pPr>
                      <w:pStyle w:val="26"/>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73FF">
    <w:pPr>
      <w:pStyle w:val="26"/>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C8D59">
                          <w:pPr>
                            <w:pStyle w:val="26"/>
                          </w:pPr>
                          <w:r>
                            <w:t xml:space="preserve">第 </w:t>
                          </w:r>
                          <w:r>
                            <w:fldChar w:fldCharType="begin"/>
                          </w:r>
                          <w:r>
                            <w:instrText xml:space="preserve"> PAGE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8C8D59">
                    <w:pPr>
                      <w:pStyle w:val="26"/>
                    </w:pPr>
                    <w:r>
                      <w:t xml:space="preserve">第 </w:t>
                    </w:r>
                    <w:r>
                      <w:fldChar w:fldCharType="begin"/>
                    </w:r>
                    <w:r>
                      <w:instrText xml:space="preserve"> PAGE  \* MERGEFORMAT </w:instrText>
                    </w:r>
                    <w:r>
                      <w:fldChar w:fldCharType="separate"/>
                    </w:r>
                    <w:r>
                      <w:t>104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F86D">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8D51C">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D704">
    <w:pPr>
      <w:pStyle w:val="2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065F">
    <w:pPr>
      <w:pStyle w:val="2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71B1F">
    <w:pPr>
      <w:pStyle w:val="2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8F0AF">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48F0AF">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B6B23">
    <w:pPr>
      <w:pStyle w:val="2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D89A">
                          <w:pPr>
                            <w:pStyle w:val="26"/>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32D89A">
                    <w:pPr>
                      <w:pStyle w:val="26"/>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D5D9">
    <w:pPr>
      <w:autoSpaceDE w:val="0"/>
      <w:autoSpaceDN w:val="0"/>
      <w:adjustRightInd w:val="0"/>
      <w:ind w:firstLine="480"/>
      <w:rPr>
        <w:rFonts w:ascii="宋体"/>
        <w:kern w:val="0"/>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D2F31">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1D2F31">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D12D">
    <w:pPr>
      <w:spacing w:line="14" w:lineRule="auto"/>
      <w:ind w:firstLine="40"/>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192D3">
                          <w:pPr>
                            <w:pStyle w:val="26"/>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8192D3">
                    <w:pPr>
                      <w:pStyle w:val="26"/>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932C">
    <w:pPr>
      <w:pStyle w:val="28"/>
      <w:pBdr>
        <w:bottom w:val="none" w:color="auto" w:sz="0" w:space="1"/>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7896">
    <w:pPr>
      <w:pStyle w:val="28"/>
      <w:pBdr>
        <w:bottom w:val="none" w:color="auto" w:sz="0" w:space="1"/>
      </w:pBdr>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92FB">
    <w:pPr>
      <w:pStyle w:val="2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783D">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BB17">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B6B5">
    <w:pPr>
      <w:autoSpaceDE w:val="0"/>
      <w:autoSpaceDN w:val="0"/>
      <w:adjustRightInd w:val="0"/>
      <w:ind w:firstLine="480"/>
      <w:rPr>
        <w:rFonts w:ascii="宋体"/>
        <w:kern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40CC">
    <w:pPr>
      <w:pStyle w:val="28"/>
      <w:pBdr>
        <w:bottom w:val="none" w:color="auto" w:sz="0" w:space="1"/>
      </w:pBdr>
      <w:ind w:firstLine="0" w:firstLineChars="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7E782">
    <w:pPr>
      <w:pStyle w:val="28"/>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5111">
    <w:pPr>
      <w:pStyle w:val="28"/>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7FE7D">
    <w:pPr>
      <w:pStyle w:val="28"/>
      <w:pBdr>
        <w:bottom w:val="none" w:color="auto" w:sz="0" w:space="1"/>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A144">
    <w:pPr>
      <w:pStyle w:val="2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70B27"/>
    <w:multiLevelType w:val="singleLevel"/>
    <w:tmpl w:val="C7B70B27"/>
    <w:lvl w:ilvl="0" w:tentative="0">
      <w:start w:val="2"/>
      <w:numFmt w:val="chineseCounting"/>
      <w:suff w:val="space"/>
      <w:lvlText w:val="第%1章"/>
      <w:lvlJc w:val="left"/>
      <w:rPr>
        <w:rFonts w:hint="eastAsia"/>
      </w:rPr>
    </w:lvl>
  </w:abstractNum>
  <w:abstractNum w:abstractNumId="1">
    <w:nsid w:val="E21998DF"/>
    <w:multiLevelType w:val="singleLevel"/>
    <w:tmpl w:val="E21998DF"/>
    <w:lvl w:ilvl="0" w:tentative="0">
      <w:start w:val="1"/>
      <w:numFmt w:val="chineseCounting"/>
      <w:suff w:val="space"/>
      <w:lvlText w:val="第%1章"/>
      <w:lvlJc w:val="left"/>
      <w:rPr>
        <w:rFonts w:hint="eastAsia"/>
      </w:rPr>
    </w:lvl>
  </w:abstractNum>
  <w:abstractNum w:abstractNumId="2">
    <w:nsid w:val="E451AFB4"/>
    <w:multiLevelType w:val="singleLevel"/>
    <w:tmpl w:val="E451AFB4"/>
    <w:lvl w:ilvl="0" w:tentative="0">
      <w:start w:val="10"/>
      <w:numFmt w:val="chineseCounting"/>
      <w:suff w:val="space"/>
      <w:lvlText w:val="第%1节"/>
      <w:lvlJc w:val="left"/>
      <w:rPr>
        <w:rFonts w:hint="eastAsia"/>
      </w:rPr>
    </w:lvl>
  </w:abstractNum>
  <w:abstractNum w:abstractNumId="3">
    <w:nsid w:val="00000006"/>
    <w:multiLevelType w:val="multilevel"/>
    <w:tmpl w:val="0000000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9"/>
    <w:multiLevelType w:val="multilevel"/>
    <w:tmpl w:val="00000009"/>
    <w:lvl w:ilvl="0" w:tentative="0">
      <w:start w:val="1"/>
      <w:numFmt w:val="decimal"/>
      <w:lvlText w:val="%1."/>
      <w:lvlJc w:val="left"/>
      <w:pPr>
        <w:ind w:left="420" w:hanging="420"/>
      </w:pPr>
    </w:lvl>
    <w:lvl w:ilvl="1" w:tentative="0">
      <w:start w:val="1"/>
      <w:numFmt w:val="lowerLetter"/>
      <w:pStyle w:val="124"/>
      <w:lvlText w:val="%2)"/>
      <w:lvlJc w:val="left"/>
      <w:pPr>
        <w:ind w:left="840" w:hanging="420"/>
      </w:pPr>
    </w:lvl>
    <w:lvl w:ilvl="2" w:tentative="0">
      <w:start w:val="1"/>
      <w:numFmt w:val="lowerRoman"/>
      <w:pStyle w:val="17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10"/>
    <w:multiLevelType w:val="multilevel"/>
    <w:tmpl w:val="0000001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jA2YzQ4YjM4MzJhY2FhNjQwYzcxZGFmNTE5NWUifQ=="/>
  </w:docVars>
  <w:rsids>
    <w:rsidRoot w:val="00172A27"/>
    <w:rsid w:val="0000025A"/>
    <w:rsid w:val="00001CC1"/>
    <w:rsid w:val="000035F4"/>
    <w:rsid w:val="000037F0"/>
    <w:rsid w:val="00011721"/>
    <w:rsid w:val="000138E8"/>
    <w:rsid w:val="00015136"/>
    <w:rsid w:val="0001591E"/>
    <w:rsid w:val="0001599C"/>
    <w:rsid w:val="00015D46"/>
    <w:rsid w:val="00017060"/>
    <w:rsid w:val="00017A9F"/>
    <w:rsid w:val="00017E92"/>
    <w:rsid w:val="000203D3"/>
    <w:rsid w:val="00020CF8"/>
    <w:rsid w:val="00025F4A"/>
    <w:rsid w:val="00026A02"/>
    <w:rsid w:val="00030E74"/>
    <w:rsid w:val="00031467"/>
    <w:rsid w:val="0003254D"/>
    <w:rsid w:val="00032E39"/>
    <w:rsid w:val="00034AF2"/>
    <w:rsid w:val="00035A54"/>
    <w:rsid w:val="00036D69"/>
    <w:rsid w:val="000404A4"/>
    <w:rsid w:val="00041C10"/>
    <w:rsid w:val="00042B4E"/>
    <w:rsid w:val="00042EB3"/>
    <w:rsid w:val="00044BCE"/>
    <w:rsid w:val="00045487"/>
    <w:rsid w:val="000466DF"/>
    <w:rsid w:val="000501FA"/>
    <w:rsid w:val="00050C78"/>
    <w:rsid w:val="000522E6"/>
    <w:rsid w:val="0005297E"/>
    <w:rsid w:val="000559D6"/>
    <w:rsid w:val="00055E6D"/>
    <w:rsid w:val="00056173"/>
    <w:rsid w:val="0005637F"/>
    <w:rsid w:val="00057D5B"/>
    <w:rsid w:val="000604C8"/>
    <w:rsid w:val="00060EE0"/>
    <w:rsid w:val="00060F38"/>
    <w:rsid w:val="000613C9"/>
    <w:rsid w:val="00061709"/>
    <w:rsid w:val="00061751"/>
    <w:rsid w:val="0006421C"/>
    <w:rsid w:val="00064331"/>
    <w:rsid w:val="0006488C"/>
    <w:rsid w:val="00066FF5"/>
    <w:rsid w:val="0007147A"/>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4CF"/>
    <w:rsid w:val="000A06EB"/>
    <w:rsid w:val="000A1C87"/>
    <w:rsid w:val="000A1CDE"/>
    <w:rsid w:val="000A1D3B"/>
    <w:rsid w:val="000A2B27"/>
    <w:rsid w:val="000A5003"/>
    <w:rsid w:val="000A587C"/>
    <w:rsid w:val="000A7A8F"/>
    <w:rsid w:val="000B1739"/>
    <w:rsid w:val="000B18F5"/>
    <w:rsid w:val="000B3801"/>
    <w:rsid w:val="000B46DF"/>
    <w:rsid w:val="000B4DE1"/>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0F7916"/>
    <w:rsid w:val="0010080A"/>
    <w:rsid w:val="0010157A"/>
    <w:rsid w:val="00103897"/>
    <w:rsid w:val="0011181B"/>
    <w:rsid w:val="0011211A"/>
    <w:rsid w:val="00112B47"/>
    <w:rsid w:val="001148C6"/>
    <w:rsid w:val="00115094"/>
    <w:rsid w:val="001200F0"/>
    <w:rsid w:val="00123CE3"/>
    <w:rsid w:val="0012516A"/>
    <w:rsid w:val="001266F7"/>
    <w:rsid w:val="00127E3B"/>
    <w:rsid w:val="00130D49"/>
    <w:rsid w:val="00134E45"/>
    <w:rsid w:val="001354D5"/>
    <w:rsid w:val="0013792B"/>
    <w:rsid w:val="00140519"/>
    <w:rsid w:val="001443A3"/>
    <w:rsid w:val="0014477F"/>
    <w:rsid w:val="00144E22"/>
    <w:rsid w:val="00145FC1"/>
    <w:rsid w:val="00153938"/>
    <w:rsid w:val="00154FA3"/>
    <w:rsid w:val="00155BCC"/>
    <w:rsid w:val="001568D6"/>
    <w:rsid w:val="001603BB"/>
    <w:rsid w:val="00160F1A"/>
    <w:rsid w:val="001613F6"/>
    <w:rsid w:val="00162AC7"/>
    <w:rsid w:val="00163CF5"/>
    <w:rsid w:val="00163D3F"/>
    <w:rsid w:val="00164038"/>
    <w:rsid w:val="0016454E"/>
    <w:rsid w:val="00164B17"/>
    <w:rsid w:val="00165D8D"/>
    <w:rsid w:val="00166F73"/>
    <w:rsid w:val="0017056C"/>
    <w:rsid w:val="00170665"/>
    <w:rsid w:val="00170679"/>
    <w:rsid w:val="001719C5"/>
    <w:rsid w:val="0017260C"/>
    <w:rsid w:val="00172A27"/>
    <w:rsid w:val="0017509E"/>
    <w:rsid w:val="00176C19"/>
    <w:rsid w:val="00181D19"/>
    <w:rsid w:val="00182B31"/>
    <w:rsid w:val="00182C1C"/>
    <w:rsid w:val="0018410D"/>
    <w:rsid w:val="001843C6"/>
    <w:rsid w:val="0018455B"/>
    <w:rsid w:val="00184735"/>
    <w:rsid w:val="00184FB7"/>
    <w:rsid w:val="00185384"/>
    <w:rsid w:val="001858A6"/>
    <w:rsid w:val="00186FFB"/>
    <w:rsid w:val="00187352"/>
    <w:rsid w:val="00187590"/>
    <w:rsid w:val="00187674"/>
    <w:rsid w:val="00190477"/>
    <w:rsid w:val="00194B73"/>
    <w:rsid w:val="00195532"/>
    <w:rsid w:val="00195534"/>
    <w:rsid w:val="00195F5B"/>
    <w:rsid w:val="001967ED"/>
    <w:rsid w:val="001A0A45"/>
    <w:rsid w:val="001A1F36"/>
    <w:rsid w:val="001A24A9"/>
    <w:rsid w:val="001A5AD8"/>
    <w:rsid w:val="001A6304"/>
    <w:rsid w:val="001B0AEC"/>
    <w:rsid w:val="001B223C"/>
    <w:rsid w:val="001B4607"/>
    <w:rsid w:val="001B6084"/>
    <w:rsid w:val="001B68D8"/>
    <w:rsid w:val="001C031F"/>
    <w:rsid w:val="001C09CF"/>
    <w:rsid w:val="001C42CD"/>
    <w:rsid w:val="001C441C"/>
    <w:rsid w:val="001C4DD1"/>
    <w:rsid w:val="001C4DE4"/>
    <w:rsid w:val="001C6E99"/>
    <w:rsid w:val="001C78A7"/>
    <w:rsid w:val="001D0433"/>
    <w:rsid w:val="001D25B6"/>
    <w:rsid w:val="001D2793"/>
    <w:rsid w:val="001D3200"/>
    <w:rsid w:val="001D6435"/>
    <w:rsid w:val="001D67D5"/>
    <w:rsid w:val="001E45D9"/>
    <w:rsid w:val="001E4700"/>
    <w:rsid w:val="001E6BA1"/>
    <w:rsid w:val="001F09C8"/>
    <w:rsid w:val="001F1D58"/>
    <w:rsid w:val="001F2B86"/>
    <w:rsid w:val="001F2C3F"/>
    <w:rsid w:val="001F30F7"/>
    <w:rsid w:val="001F3E81"/>
    <w:rsid w:val="001F4CF7"/>
    <w:rsid w:val="001F6B29"/>
    <w:rsid w:val="001F72A2"/>
    <w:rsid w:val="001F7AB6"/>
    <w:rsid w:val="00200203"/>
    <w:rsid w:val="00200224"/>
    <w:rsid w:val="00201004"/>
    <w:rsid w:val="00202DB8"/>
    <w:rsid w:val="00204B71"/>
    <w:rsid w:val="00207178"/>
    <w:rsid w:val="002122DB"/>
    <w:rsid w:val="00213792"/>
    <w:rsid w:val="00213994"/>
    <w:rsid w:val="00213B07"/>
    <w:rsid w:val="002152F0"/>
    <w:rsid w:val="00216D32"/>
    <w:rsid w:val="00216EB4"/>
    <w:rsid w:val="00221913"/>
    <w:rsid w:val="00221953"/>
    <w:rsid w:val="00226E86"/>
    <w:rsid w:val="00226F50"/>
    <w:rsid w:val="002273FF"/>
    <w:rsid w:val="00230A4E"/>
    <w:rsid w:val="00232602"/>
    <w:rsid w:val="00232F13"/>
    <w:rsid w:val="00233085"/>
    <w:rsid w:val="0023344E"/>
    <w:rsid w:val="00234F46"/>
    <w:rsid w:val="00237051"/>
    <w:rsid w:val="002372E3"/>
    <w:rsid w:val="002408C8"/>
    <w:rsid w:val="002416E9"/>
    <w:rsid w:val="0024232D"/>
    <w:rsid w:val="00242A24"/>
    <w:rsid w:val="002434B6"/>
    <w:rsid w:val="002447B7"/>
    <w:rsid w:val="002452ED"/>
    <w:rsid w:val="00245594"/>
    <w:rsid w:val="002510A9"/>
    <w:rsid w:val="0025343D"/>
    <w:rsid w:val="002539A2"/>
    <w:rsid w:val="00254E25"/>
    <w:rsid w:val="0026022B"/>
    <w:rsid w:val="002621F0"/>
    <w:rsid w:val="002631AE"/>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4F2C"/>
    <w:rsid w:val="00287043"/>
    <w:rsid w:val="00290DB3"/>
    <w:rsid w:val="002A0D60"/>
    <w:rsid w:val="002A1458"/>
    <w:rsid w:val="002A2966"/>
    <w:rsid w:val="002A2D74"/>
    <w:rsid w:val="002A350A"/>
    <w:rsid w:val="002A5605"/>
    <w:rsid w:val="002A6116"/>
    <w:rsid w:val="002B1E3C"/>
    <w:rsid w:val="002B4EEF"/>
    <w:rsid w:val="002B510A"/>
    <w:rsid w:val="002B5196"/>
    <w:rsid w:val="002B5982"/>
    <w:rsid w:val="002B6139"/>
    <w:rsid w:val="002C1486"/>
    <w:rsid w:val="002C44B8"/>
    <w:rsid w:val="002C549E"/>
    <w:rsid w:val="002C55D2"/>
    <w:rsid w:val="002D39A3"/>
    <w:rsid w:val="002D3BB1"/>
    <w:rsid w:val="002D4566"/>
    <w:rsid w:val="002D4C27"/>
    <w:rsid w:val="002D4D08"/>
    <w:rsid w:val="002D6292"/>
    <w:rsid w:val="002D6B47"/>
    <w:rsid w:val="002D73CD"/>
    <w:rsid w:val="002E2BEE"/>
    <w:rsid w:val="002E3121"/>
    <w:rsid w:val="002E3D90"/>
    <w:rsid w:val="002E41DB"/>
    <w:rsid w:val="002E5135"/>
    <w:rsid w:val="002E5D7F"/>
    <w:rsid w:val="002F1165"/>
    <w:rsid w:val="002F19EB"/>
    <w:rsid w:val="002F2D4B"/>
    <w:rsid w:val="002F3D28"/>
    <w:rsid w:val="002F603A"/>
    <w:rsid w:val="003032C9"/>
    <w:rsid w:val="003034D2"/>
    <w:rsid w:val="00305221"/>
    <w:rsid w:val="00306305"/>
    <w:rsid w:val="0030784B"/>
    <w:rsid w:val="00311320"/>
    <w:rsid w:val="00312109"/>
    <w:rsid w:val="00312A65"/>
    <w:rsid w:val="00313655"/>
    <w:rsid w:val="00313C6B"/>
    <w:rsid w:val="00314DA9"/>
    <w:rsid w:val="00317FBE"/>
    <w:rsid w:val="0032495C"/>
    <w:rsid w:val="00325B6A"/>
    <w:rsid w:val="0032613D"/>
    <w:rsid w:val="0032700C"/>
    <w:rsid w:val="00327F94"/>
    <w:rsid w:val="00330393"/>
    <w:rsid w:val="0033149C"/>
    <w:rsid w:val="00331EDE"/>
    <w:rsid w:val="00335987"/>
    <w:rsid w:val="003455D3"/>
    <w:rsid w:val="00345C73"/>
    <w:rsid w:val="00345F39"/>
    <w:rsid w:val="0034601A"/>
    <w:rsid w:val="00347C07"/>
    <w:rsid w:val="00350C68"/>
    <w:rsid w:val="00353396"/>
    <w:rsid w:val="00354041"/>
    <w:rsid w:val="00355FD0"/>
    <w:rsid w:val="00356AA8"/>
    <w:rsid w:val="003578D6"/>
    <w:rsid w:val="003618CD"/>
    <w:rsid w:val="003625D8"/>
    <w:rsid w:val="003630D0"/>
    <w:rsid w:val="00365782"/>
    <w:rsid w:val="00366D40"/>
    <w:rsid w:val="00367ED7"/>
    <w:rsid w:val="003751EF"/>
    <w:rsid w:val="00375E93"/>
    <w:rsid w:val="003845CC"/>
    <w:rsid w:val="00394765"/>
    <w:rsid w:val="003977AF"/>
    <w:rsid w:val="00397FCB"/>
    <w:rsid w:val="003A118C"/>
    <w:rsid w:val="003A17D7"/>
    <w:rsid w:val="003A21C4"/>
    <w:rsid w:val="003A3CE9"/>
    <w:rsid w:val="003A52B2"/>
    <w:rsid w:val="003A699A"/>
    <w:rsid w:val="003B0382"/>
    <w:rsid w:val="003B27FD"/>
    <w:rsid w:val="003C0650"/>
    <w:rsid w:val="003C0693"/>
    <w:rsid w:val="003C399C"/>
    <w:rsid w:val="003C430F"/>
    <w:rsid w:val="003C6FB6"/>
    <w:rsid w:val="003C70A4"/>
    <w:rsid w:val="003D111D"/>
    <w:rsid w:val="003D1A1D"/>
    <w:rsid w:val="003D441F"/>
    <w:rsid w:val="003D655A"/>
    <w:rsid w:val="003D71E5"/>
    <w:rsid w:val="003D7511"/>
    <w:rsid w:val="003D77DA"/>
    <w:rsid w:val="003D79E7"/>
    <w:rsid w:val="003E20EF"/>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3C6D"/>
    <w:rsid w:val="00427C54"/>
    <w:rsid w:val="00427CA5"/>
    <w:rsid w:val="0043001F"/>
    <w:rsid w:val="004341AA"/>
    <w:rsid w:val="004345EE"/>
    <w:rsid w:val="00434685"/>
    <w:rsid w:val="00434C28"/>
    <w:rsid w:val="0043524F"/>
    <w:rsid w:val="00435437"/>
    <w:rsid w:val="00437350"/>
    <w:rsid w:val="0043763D"/>
    <w:rsid w:val="004376E4"/>
    <w:rsid w:val="00440896"/>
    <w:rsid w:val="00443217"/>
    <w:rsid w:val="00445CFD"/>
    <w:rsid w:val="004468DE"/>
    <w:rsid w:val="00447492"/>
    <w:rsid w:val="00447A63"/>
    <w:rsid w:val="0045047B"/>
    <w:rsid w:val="004537CA"/>
    <w:rsid w:val="0045693A"/>
    <w:rsid w:val="004574CF"/>
    <w:rsid w:val="0045750D"/>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25DD"/>
    <w:rsid w:val="00483296"/>
    <w:rsid w:val="0048641F"/>
    <w:rsid w:val="00486775"/>
    <w:rsid w:val="00487BD0"/>
    <w:rsid w:val="0049040C"/>
    <w:rsid w:val="00492413"/>
    <w:rsid w:val="00492B7F"/>
    <w:rsid w:val="00492C6B"/>
    <w:rsid w:val="00492E09"/>
    <w:rsid w:val="00493CA6"/>
    <w:rsid w:val="004943E8"/>
    <w:rsid w:val="00495E2B"/>
    <w:rsid w:val="00495E3C"/>
    <w:rsid w:val="004A020F"/>
    <w:rsid w:val="004A4AEB"/>
    <w:rsid w:val="004A62DD"/>
    <w:rsid w:val="004B067B"/>
    <w:rsid w:val="004B2E62"/>
    <w:rsid w:val="004B308A"/>
    <w:rsid w:val="004B5EC6"/>
    <w:rsid w:val="004B6762"/>
    <w:rsid w:val="004B6CFF"/>
    <w:rsid w:val="004B7F6E"/>
    <w:rsid w:val="004C16D5"/>
    <w:rsid w:val="004C199B"/>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E7B1A"/>
    <w:rsid w:val="004F0B26"/>
    <w:rsid w:val="004F0FCE"/>
    <w:rsid w:val="004F1662"/>
    <w:rsid w:val="004F202B"/>
    <w:rsid w:val="004F3507"/>
    <w:rsid w:val="004F36B4"/>
    <w:rsid w:val="004F3EE4"/>
    <w:rsid w:val="004F42C4"/>
    <w:rsid w:val="004F5477"/>
    <w:rsid w:val="004F7E99"/>
    <w:rsid w:val="004F7FE8"/>
    <w:rsid w:val="0050000D"/>
    <w:rsid w:val="00500645"/>
    <w:rsid w:val="00501EE6"/>
    <w:rsid w:val="00503042"/>
    <w:rsid w:val="00503AA5"/>
    <w:rsid w:val="00504E09"/>
    <w:rsid w:val="005165AB"/>
    <w:rsid w:val="00516B63"/>
    <w:rsid w:val="00517129"/>
    <w:rsid w:val="005206C3"/>
    <w:rsid w:val="00521C7F"/>
    <w:rsid w:val="00522CAF"/>
    <w:rsid w:val="00524C9D"/>
    <w:rsid w:val="00526755"/>
    <w:rsid w:val="00526C59"/>
    <w:rsid w:val="00530109"/>
    <w:rsid w:val="005307BC"/>
    <w:rsid w:val="00530BB1"/>
    <w:rsid w:val="00530CDC"/>
    <w:rsid w:val="0053248E"/>
    <w:rsid w:val="00532B43"/>
    <w:rsid w:val="00533248"/>
    <w:rsid w:val="005345B3"/>
    <w:rsid w:val="00537959"/>
    <w:rsid w:val="0054009A"/>
    <w:rsid w:val="00541249"/>
    <w:rsid w:val="00541A28"/>
    <w:rsid w:val="00543072"/>
    <w:rsid w:val="00546782"/>
    <w:rsid w:val="005507B7"/>
    <w:rsid w:val="005527B8"/>
    <w:rsid w:val="005548A9"/>
    <w:rsid w:val="005561D8"/>
    <w:rsid w:val="00557FFD"/>
    <w:rsid w:val="005618A8"/>
    <w:rsid w:val="00561DC5"/>
    <w:rsid w:val="005630BA"/>
    <w:rsid w:val="005661C0"/>
    <w:rsid w:val="00566D88"/>
    <w:rsid w:val="005701DE"/>
    <w:rsid w:val="0057111D"/>
    <w:rsid w:val="0057269B"/>
    <w:rsid w:val="005731F7"/>
    <w:rsid w:val="00574EF9"/>
    <w:rsid w:val="00576E2C"/>
    <w:rsid w:val="005770DF"/>
    <w:rsid w:val="00577127"/>
    <w:rsid w:val="00580F00"/>
    <w:rsid w:val="005827EF"/>
    <w:rsid w:val="00583761"/>
    <w:rsid w:val="0058503E"/>
    <w:rsid w:val="0058622B"/>
    <w:rsid w:val="00587A9A"/>
    <w:rsid w:val="005964EA"/>
    <w:rsid w:val="00596694"/>
    <w:rsid w:val="005A002A"/>
    <w:rsid w:val="005A010C"/>
    <w:rsid w:val="005A130D"/>
    <w:rsid w:val="005A1600"/>
    <w:rsid w:val="005A1ACF"/>
    <w:rsid w:val="005A1B31"/>
    <w:rsid w:val="005A5DD6"/>
    <w:rsid w:val="005A6194"/>
    <w:rsid w:val="005A6EA3"/>
    <w:rsid w:val="005A7C49"/>
    <w:rsid w:val="005B06FB"/>
    <w:rsid w:val="005B6142"/>
    <w:rsid w:val="005B681E"/>
    <w:rsid w:val="005B7300"/>
    <w:rsid w:val="005C0C63"/>
    <w:rsid w:val="005C0E04"/>
    <w:rsid w:val="005C0E74"/>
    <w:rsid w:val="005C19C0"/>
    <w:rsid w:val="005C6B3F"/>
    <w:rsid w:val="005D46CD"/>
    <w:rsid w:val="005D4A96"/>
    <w:rsid w:val="005D4C9B"/>
    <w:rsid w:val="005D5E1B"/>
    <w:rsid w:val="005E2155"/>
    <w:rsid w:val="005E2B9A"/>
    <w:rsid w:val="005E654C"/>
    <w:rsid w:val="005E7132"/>
    <w:rsid w:val="005F108D"/>
    <w:rsid w:val="005F26B4"/>
    <w:rsid w:val="005F2D62"/>
    <w:rsid w:val="005F2D88"/>
    <w:rsid w:val="005F328D"/>
    <w:rsid w:val="005F4D1B"/>
    <w:rsid w:val="005F4FB8"/>
    <w:rsid w:val="005F69F6"/>
    <w:rsid w:val="005F6C39"/>
    <w:rsid w:val="005F79FD"/>
    <w:rsid w:val="006000B7"/>
    <w:rsid w:val="00600341"/>
    <w:rsid w:val="00602E21"/>
    <w:rsid w:val="00602F17"/>
    <w:rsid w:val="00603612"/>
    <w:rsid w:val="0060380C"/>
    <w:rsid w:val="00603FC0"/>
    <w:rsid w:val="0060545C"/>
    <w:rsid w:val="00605AF4"/>
    <w:rsid w:val="00606A27"/>
    <w:rsid w:val="00606E06"/>
    <w:rsid w:val="00607AAE"/>
    <w:rsid w:val="00613372"/>
    <w:rsid w:val="0062425C"/>
    <w:rsid w:val="00624392"/>
    <w:rsid w:val="006259C0"/>
    <w:rsid w:val="006262D0"/>
    <w:rsid w:val="00626C87"/>
    <w:rsid w:val="006270E1"/>
    <w:rsid w:val="00633F76"/>
    <w:rsid w:val="00635A21"/>
    <w:rsid w:val="006371A6"/>
    <w:rsid w:val="00640C70"/>
    <w:rsid w:val="006411C0"/>
    <w:rsid w:val="006444C5"/>
    <w:rsid w:val="00644AED"/>
    <w:rsid w:val="006457E3"/>
    <w:rsid w:val="00646067"/>
    <w:rsid w:val="00646D28"/>
    <w:rsid w:val="00647592"/>
    <w:rsid w:val="0065067F"/>
    <w:rsid w:val="006506AA"/>
    <w:rsid w:val="00652FD2"/>
    <w:rsid w:val="006531B2"/>
    <w:rsid w:val="006542CD"/>
    <w:rsid w:val="006544E3"/>
    <w:rsid w:val="00654780"/>
    <w:rsid w:val="00655B0E"/>
    <w:rsid w:val="006566B1"/>
    <w:rsid w:val="0065716B"/>
    <w:rsid w:val="0065776D"/>
    <w:rsid w:val="0066048B"/>
    <w:rsid w:val="006607A7"/>
    <w:rsid w:val="00664BDC"/>
    <w:rsid w:val="00665DFD"/>
    <w:rsid w:val="006672C1"/>
    <w:rsid w:val="00667489"/>
    <w:rsid w:val="0067442F"/>
    <w:rsid w:val="006766BF"/>
    <w:rsid w:val="00676964"/>
    <w:rsid w:val="00682742"/>
    <w:rsid w:val="0068504F"/>
    <w:rsid w:val="006876EE"/>
    <w:rsid w:val="00690CFF"/>
    <w:rsid w:val="00690F83"/>
    <w:rsid w:val="0069131A"/>
    <w:rsid w:val="006923E4"/>
    <w:rsid w:val="00693444"/>
    <w:rsid w:val="006938F3"/>
    <w:rsid w:val="00694E7B"/>
    <w:rsid w:val="006A06BA"/>
    <w:rsid w:val="006A31FD"/>
    <w:rsid w:val="006A482E"/>
    <w:rsid w:val="006A594F"/>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155"/>
    <w:rsid w:val="006E67C2"/>
    <w:rsid w:val="006F033A"/>
    <w:rsid w:val="006F4513"/>
    <w:rsid w:val="006F5547"/>
    <w:rsid w:val="00701BD2"/>
    <w:rsid w:val="00703DFE"/>
    <w:rsid w:val="0070413B"/>
    <w:rsid w:val="007066D4"/>
    <w:rsid w:val="00706F94"/>
    <w:rsid w:val="00711281"/>
    <w:rsid w:val="0071168F"/>
    <w:rsid w:val="007133A7"/>
    <w:rsid w:val="00714297"/>
    <w:rsid w:val="00714D40"/>
    <w:rsid w:val="0071607F"/>
    <w:rsid w:val="00716992"/>
    <w:rsid w:val="00717FBE"/>
    <w:rsid w:val="00720A4F"/>
    <w:rsid w:val="00721700"/>
    <w:rsid w:val="0072377B"/>
    <w:rsid w:val="007238B9"/>
    <w:rsid w:val="007256CA"/>
    <w:rsid w:val="00731786"/>
    <w:rsid w:val="00740830"/>
    <w:rsid w:val="00741369"/>
    <w:rsid w:val="007420A7"/>
    <w:rsid w:val="00742819"/>
    <w:rsid w:val="00742F45"/>
    <w:rsid w:val="007454AA"/>
    <w:rsid w:val="00746A57"/>
    <w:rsid w:val="00747F36"/>
    <w:rsid w:val="00751D07"/>
    <w:rsid w:val="00751D77"/>
    <w:rsid w:val="007543CB"/>
    <w:rsid w:val="00754AB3"/>
    <w:rsid w:val="0075502A"/>
    <w:rsid w:val="00756186"/>
    <w:rsid w:val="00756D95"/>
    <w:rsid w:val="007647EC"/>
    <w:rsid w:val="00765986"/>
    <w:rsid w:val="00765AAB"/>
    <w:rsid w:val="00770034"/>
    <w:rsid w:val="00771DDD"/>
    <w:rsid w:val="0077232D"/>
    <w:rsid w:val="00772782"/>
    <w:rsid w:val="00772943"/>
    <w:rsid w:val="00772DBD"/>
    <w:rsid w:val="0077469F"/>
    <w:rsid w:val="00774992"/>
    <w:rsid w:val="007805C7"/>
    <w:rsid w:val="00781678"/>
    <w:rsid w:val="0078362A"/>
    <w:rsid w:val="0078748F"/>
    <w:rsid w:val="00790F04"/>
    <w:rsid w:val="00791C63"/>
    <w:rsid w:val="0079359D"/>
    <w:rsid w:val="007941ED"/>
    <w:rsid w:val="00794800"/>
    <w:rsid w:val="007949C9"/>
    <w:rsid w:val="00795E7E"/>
    <w:rsid w:val="007A02ED"/>
    <w:rsid w:val="007A0B2E"/>
    <w:rsid w:val="007A117E"/>
    <w:rsid w:val="007A1406"/>
    <w:rsid w:val="007A17EB"/>
    <w:rsid w:val="007A1D06"/>
    <w:rsid w:val="007A1E93"/>
    <w:rsid w:val="007A2211"/>
    <w:rsid w:val="007A3CB2"/>
    <w:rsid w:val="007A492F"/>
    <w:rsid w:val="007A4BE9"/>
    <w:rsid w:val="007A4DCD"/>
    <w:rsid w:val="007A4FBC"/>
    <w:rsid w:val="007A5E90"/>
    <w:rsid w:val="007A7FF2"/>
    <w:rsid w:val="007B0B00"/>
    <w:rsid w:val="007B67A3"/>
    <w:rsid w:val="007C15BB"/>
    <w:rsid w:val="007C2C88"/>
    <w:rsid w:val="007C39DB"/>
    <w:rsid w:val="007C3B8F"/>
    <w:rsid w:val="007C4D0F"/>
    <w:rsid w:val="007C505D"/>
    <w:rsid w:val="007C5A6B"/>
    <w:rsid w:val="007C6A54"/>
    <w:rsid w:val="007C6DEE"/>
    <w:rsid w:val="007C797E"/>
    <w:rsid w:val="007D0365"/>
    <w:rsid w:val="007D3F32"/>
    <w:rsid w:val="007D40E3"/>
    <w:rsid w:val="007D42F2"/>
    <w:rsid w:val="007D4474"/>
    <w:rsid w:val="007D56F8"/>
    <w:rsid w:val="007D6B9C"/>
    <w:rsid w:val="007E0CC3"/>
    <w:rsid w:val="007E1506"/>
    <w:rsid w:val="007E1B9A"/>
    <w:rsid w:val="007E410D"/>
    <w:rsid w:val="007E59B5"/>
    <w:rsid w:val="007E6012"/>
    <w:rsid w:val="007E6600"/>
    <w:rsid w:val="007F215E"/>
    <w:rsid w:val="007F5E73"/>
    <w:rsid w:val="007F622F"/>
    <w:rsid w:val="007F7FBD"/>
    <w:rsid w:val="00800A78"/>
    <w:rsid w:val="008020EC"/>
    <w:rsid w:val="008045A8"/>
    <w:rsid w:val="0080561C"/>
    <w:rsid w:val="00811D55"/>
    <w:rsid w:val="00813D5B"/>
    <w:rsid w:val="008143A5"/>
    <w:rsid w:val="008153C6"/>
    <w:rsid w:val="00816BC7"/>
    <w:rsid w:val="00816D37"/>
    <w:rsid w:val="00817EFC"/>
    <w:rsid w:val="00820225"/>
    <w:rsid w:val="00824D2A"/>
    <w:rsid w:val="00825638"/>
    <w:rsid w:val="00831D3E"/>
    <w:rsid w:val="00834967"/>
    <w:rsid w:val="00835A5B"/>
    <w:rsid w:val="00836D1E"/>
    <w:rsid w:val="00837C31"/>
    <w:rsid w:val="0084192B"/>
    <w:rsid w:val="00841B4E"/>
    <w:rsid w:val="00841DFE"/>
    <w:rsid w:val="00841F1F"/>
    <w:rsid w:val="0084228A"/>
    <w:rsid w:val="008447E2"/>
    <w:rsid w:val="00845A18"/>
    <w:rsid w:val="0084601B"/>
    <w:rsid w:val="00850352"/>
    <w:rsid w:val="00850D6C"/>
    <w:rsid w:val="00852693"/>
    <w:rsid w:val="008527E2"/>
    <w:rsid w:val="00852A18"/>
    <w:rsid w:val="00853B02"/>
    <w:rsid w:val="008540D8"/>
    <w:rsid w:val="00854DBF"/>
    <w:rsid w:val="00854F0A"/>
    <w:rsid w:val="008562A3"/>
    <w:rsid w:val="00856D3F"/>
    <w:rsid w:val="008571D4"/>
    <w:rsid w:val="00860099"/>
    <w:rsid w:val="00860F92"/>
    <w:rsid w:val="00862E74"/>
    <w:rsid w:val="008630CF"/>
    <w:rsid w:val="00863205"/>
    <w:rsid w:val="00863AA6"/>
    <w:rsid w:val="00863B59"/>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37FF"/>
    <w:rsid w:val="00893E20"/>
    <w:rsid w:val="00895CE2"/>
    <w:rsid w:val="00897974"/>
    <w:rsid w:val="008A35CC"/>
    <w:rsid w:val="008A389F"/>
    <w:rsid w:val="008A52F9"/>
    <w:rsid w:val="008B14D4"/>
    <w:rsid w:val="008B1740"/>
    <w:rsid w:val="008B36B7"/>
    <w:rsid w:val="008B3A60"/>
    <w:rsid w:val="008B3DCC"/>
    <w:rsid w:val="008B3EE4"/>
    <w:rsid w:val="008B4E9D"/>
    <w:rsid w:val="008B5DE4"/>
    <w:rsid w:val="008B5F28"/>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2A0E"/>
    <w:rsid w:val="008E2B68"/>
    <w:rsid w:val="008E62C8"/>
    <w:rsid w:val="008F0A38"/>
    <w:rsid w:val="008F2CC1"/>
    <w:rsid w:val="008F488E"/>
    <w:rsid w:val="008F5610"/>
    <w:rsid w:val="008F5A54"/>
    <w:rsid w:val="008F7594"/>
    <w:rsid w:val="0090119A"/>
    <w:rsid w:val="00901E6E"/>
    <w:rsid w:val="0090228C"/>
    <w:rsid w:val="00902733"/>
    <w:rsid w:val="00903B2E"/>
    <w:rsid w:val="0090571D"/>
    <w:rsid w:val="00906DFB"/>
    <w:rsid w:val="009073FB"/>
    <w:rsid w:val="0091112C"/>
    <w:rsid w:val="0091169D"/>
    <w:rsid w:val="009145A2"/>
    <w:rsid w:val="009153BC"/>
    <w:rsid w:val="00915E4E"/>
    <w:rsid w:val="0091775E"/>
    <w:rsid w:val="009178D0"/>
    <w:rsid w:val="00917E73"/>
    <w:rsid w:val="00917EF0"/>
    <w:rsid w:val="00921EB3"/>
    <w:rsid w:val="0092282C"/>
    <w:rsid w:val="00923A58"/>
    <w:rsid w:val="009249F8"/>
    <w:rsid w:val="00926BC7"/>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83F"/>
    <w:rsid w:val="00974FBE"/>
    <w:rsid w:val="00975A8E"/>
    <w:rsid w:val="0097668C"/>
    <w:rsid w:val="009766A1"/>
    <w:rsid w:val="00976A77"/>
    <w:rsid w:val="0097746C"/>
    <w:rsid w:val="00977776"/>
    <w:rsid w:val="00980747"/>
    <w:rsid w:val="00980C44"/>
    <w:rsid w:val="00983278"/>
    <w:rsid w:val="0098366F"/>
    <w:rsid w:val="00983806"/>
    <w:rsid w:val="0098475D"/>
    <w:rsid w:val="00984782"/>
    <w:rsid w:val="009856E0"/>
    <w:rsid w:val="00986CB3"/>
    <w:rsid w:val="0099174A"/>
    <w:rsid w:val="009946C9"/>
    <w:rsid w:val="00994B9D"/>
    <w:rsid w:val="00995EBC"/>
    <w:rsid w:val="00997A29"/>
    <w:rsid w:val="009A0068"/>
    <w:rsid w:val="009A1124"/>
    <w:rsid w:val="009A1381"/>
    <w:rsid w:val="009A21A8"/>
    <w:rsid w:val="009A22B8"/>
    <w:rsid w:val="009A3005"/>
    <w:rsid w:val="009A5355"/>
    <w:rsid w:val="009A627B"/>
    <w:rsid w:val="009A6797"/>
    <w:rsid w:val="009A6D84"/>
    <w:rsid w:val="009A7882"/>
    <w:rsid w:val="009B22B7"/>
    <w:rsid w:val="009B3A51"/>
    <w:rsid w:val="009B45ED"/>
    <w:rsid w:val="009B5462"/>
    <w:rsid w:val="009B7465"/>
    <w:rsid w:val="009C6164"/>
    <w:rsid w:val="009C6AB8"/>
    <w:rsid w:val="009C6EC4"/>
    <w:rsid w:val="009C761C"/>
    <w:rsid w:val="009C7993"/>
    <w:rsid w:val="009D0232"/>
    <w:rsid w:val="009D0EC8"/>
    <w:rsid w:val="009D34ED"/>
    <w:rsid w:val="009D436A"/>
    <w:rsid w:val="009D4F8D"/>
    <w:rsid w:val="009D7FCF"/>
    <w:rsid w:val="009E0760"/>
    <w:rsid w:val="009E09CB"/>
    <w:rsid w:val="009E25ED"/>
    <w:rsid w:val="009E3BB3"/>
    <w:rsid w:val="009E4587"/>
    <w:rsid w:val="009E5E84"/>
    <w:rsid w:val="009E6073"/>
    <w:rsid w:val="009F1945"/>
    <w:rsid w:val="009F1FBA"/>
    <w:rsid w:val="009F2A5C"/>
    <w:rsid w:val="009F4B23"/>
    <w:rsid w:val="009F4DCC"/>
    <w:rsid w:val="009F51EC"/>
    <w:rsid w:val="009F5A70"/>
    <w:rsid w:val="009F636D"/>
    <w:rsid w:val="009F63CA"/>
    <w:rsid w:val="00A007F1"/>
    <w:rsid w:val="00A02599"/>
    <w:rsid w:val="00A0280C"/>
    <w:rsid w:val="00A03400"/>
    <w:rsid w:val="00A06D5A"/>
    <w:rsid w:val="00A07964"/>
    <w:rsid w:val="00A1043F"/>
    <w:rsid w:val="00A12827"/>
    <w:rsid w:val="00A153C9"/>
    <w:rsid w:val="00A15FDB"/>
    <w:rsid w:val="00A208F6"/>
    <w:rsid w:val="00A20C64"/>
    <w:rsid w:val="00A242D8"/>
    <w:rsid w:val="00A26FA5"/>
    <w:rsid w:val="00A27D3E"/>
    <w:rsid w:val="00A27F2E"/>
    <w:rsid w:val="00A31392"/>
    <w:rsid w:val="00A33955"/>
    <w:rsid w:val="00A35E28"/>
    <w:rsid w:val="00A40EA1"/>
    <w:rsid w:val="00A416A5"/>
    <w:rsid w:val="00A41CDC"/>
    <w:rsid w:val="00A4648E"/>
    <w:rsid w:val="00A46692"/>
    <w:rsid w:val="00A4669B"/>
    <w:rsid w:val="00A4744B"/>
    <w:rsid w:val="00A47B0E"/>
    <w:rsid w:val="00A52FA5"/>
    <w:rsid w:val="00A53271"/>
    <w:rsid w:val="00A558DC"/>
    <w:rsid w:val="00A6086B"/>
    <w:rsid w:val="00A60970"/>
    <w:rsid w:val="00A61171"/>
    <w:rsid w:val="00A6337F"/>
    <w:rsid w:val="00A64FF4"/>
    <w:rsid w:val="00A71092"/>
    <w:rsid w:val="00A72D91"/>
    <w:rsid w:val="00A72F72"/>
    <w:rsid w:val="00A767E4"/>
    <w:rsid w:val="00A775F2"/>
    <w:rsid w:val="00A7767F"/>
    <w:rsid w:val="00A825C8"/>
    <w:rsid w:val="00A82E91"/>
    <w:rsid w:val="00A82F39"/>
    <w:rsid w:val="00A83F86"/>
    <w:rsid w:val="00A851FF"/>
    <w:rsid w:val="00A852A7"/>
    <w:rsid w:val="00A8628D"/>
    <w:rsid w:val="00A87B94"/>
    <w:rsid w:val="00A92DEE"/>
    <w:rsid w:val="00A93771"/>
    <w:rsid w:val="00A941EE"/>
    <w:rsid w:val="00A97026"/>
    <w:rsid w:val="00A971A4"/>
    <w:rsid w:val="00AA0F8D"/>
    <w:rsid w:val="00AA14B3"/>
    <w:rsid w:val="00AA36B8"/>
    <w:rsid w:val="00AA587A"/>
    <w:rsid w:val="00AB202E"/>
    <w:rsid w:val="00AB20E9"/>
    <w:rsid w:val="00AB2666"/>
    <w:rsid w:val="00AB52D8"/>
    <w:rsid w:val="00AB590A"/>
    <w:rsid w:val="00AB5926"/>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D7C5A"/>
    <w:rsid w:val="00AE169A"/>
    <w:rsid w:val="00AE193A"/>
    <w:rsid w:val="00AE2626"/>
    <w:rsid w:val="00AE2C2A"/>
    <w:rsid w:val="00AE4371"/>
    <w:rsid w:val="00AE44AF"/>
    <w:rsid w:val="00AE45F5"/>
    <w:rsid w:val="00AE5166"/>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137"/>
    <w:rsid w:val="00B234F6"/>
    <w:rsid w:val="00B2387A"/>
    <w:rsid w:val="00B24D66"/>
    <w:rsid w:val="00B25010"/>
    <w:rsid w:val="00B25637"/>
    <w:rsid w:val="00B26DF0"/>
    <w:rsid w:val="00B273CA"/>
    <w:rsid w:val="00B27E1C"/>
    <w:rsid w:val="00B27E49"/>
    <w:rsid w:val="00B303E7"/>
    <w:rsid w:val="00B333BE"/>
    <w:rsid w:val="00B339BA"/>
    <w:rsid w:val="00B35FE2"/>
    <w:rsid w:val="00B3632A"/>
    <w:rsid w:val="00B3712B"/>
    <w:rsid w:val="00B4367A"/>
    <w:rsid w:val="00B440A3"/>
    <w:rsid w:val="00B45C49"/>
    <w:rsid w:val="00B46ACC"/>
    <w:rsid w:val="00B46E85"/>
    <w:rsid w:val="00B47A71"/>
    <w:rsid w:val="00B51B99"/>
    <w:rsid w:val="00B56F8E"/>
    <w:rsid w:val="00B57506"/>
    <w:rsid w:val="00B57683"/>
    <w:rsid w:val="00B613C7"/>
    <w:rsid w:val="00B627FD"/>
    <w:rsid w:val="00B65613"/>
    <w:rsid w:val="00B7027F"/>
    <w:rsid w:val="00B72636"/>
    <w:rsid w:val="00B72B6B"/>
    <w:rsid w:val="00B734A3"/>
    <w:rsid w:val="00B74E07"/>
    <w:rsid w:val="00B757B0"/>
    <w:rsid w:val="00B7754F"/>
    <w:rsid w:val="00B81E5E"/>
    <w:rsid w:val="00B8205F"/>
    <w:rsid w:val="00B83A8F"/>
    <w:rsid w:val="00B84D2E"/>
    <w:rsid w:val="00B9324A"/>
    <w:rsid w:val="00B93255"/>
    <w:rsid w:val="00B939AC"/>
    <w:rsid w:val="00B93F2F"/>
    <w:rsid w:val="00B948A0"/>
    <w:rsid w:val="00B954D6"/>
    <w:rsid w:val="00B95CDD"/>
    <w:rsid w:val="00B972D7"/>
    <w:rsid w:val="00B97E4A"/>
    <w:rsid w:val="00BA1774"/>
    <w:rsid w:val="00BA3161"/>
    <w:rsid w:val="00BA31C9"/>
    <w:rsid w:val="00BA5BA6"/>
    <w:rsid w:val="00BB033B"/>
    <w:rsid w:val="00BB2CD1"/>
    <w:rsid w:val="00BB3FF1"/>
    <w:rsid w:val="00BB4B19"/>
    <w:rsid w:val="00BB4E29"/>
    <w:rsid w:val="00BB534A"/>
    <w:rsid w:val="00BB68FF"/>
    <w:rsid w:val="00BB6D81"/>
    <w:rsid w:val="00BB7868"/>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16B9"/>
    <w:rsid w:val="00BF3167"/>
    <w:rsid w:val="00BF4E44"/>
    <w:rsid w:val="00BF5EF7"/>
    <w:rsid w:val="00BF6E9F"/>
    <w:rsid w:val="00C028CC"/>
    <w:rsid w:val="00C02E8B"/>
    <w:rsid w:val="00C035A8"/>
    <w:rsid w:val="00C05B68"/>
    <w:rsid w:val="00C12049"/>
    <w:rsid w:val="00C1235B"/>
    <w:rsid w:val="00C13BEA"/>
    <w:rsid w:val="00C1406E"/>
    <w:rsid w:val="00C1483A"/>
    <w:rsid w:val="00C14A02"/>
    <w:rsid w:val="00C14B1B"/>
    <w:rsid w:val="00C15DA0"/>
    <w:rsid w:val="00C16FE9"/>
    <w:rsid w:val="00C178DB"/>
    <w:rsid w:val="00C201E6"/>
    <w:rsid w:val="00C22097"/>
    <w:rsid w:val="00C228FA"/>
    <w:rsid w:val="00C23B23"/>
    <w:rsid w:val="00C25289"/>
    <w:rsid w:val="00C25B05"/>
    <w:rsid w:val="00C26519"/>
    <w:rsid w:val="00C26FC4"/>
    <w:rsid w:val="00C2766D"/>
    <w:rsid w:val="00C27CFE"/>
    <w:rsid w:val="00C30EEC"/>
    <w:rsid w:val="00C3196C"/>
    <w:rsid w:val="00C34B63"/>
    <w:rsid w:val="00C369E9"/>
    <w:rsid w:val="00C376AD"/>
    <w:rsid w:val="00C37E7D"/>
    <w:rsid w:val="00C40516"/>
    <w:rsid w:val="00C416C2"/>
    <w:rsid w:val="00C423A8"/>
    <w:rsid w:val="00C426AE"/>
    <w:rsid w:val="00C43374"/>
    <w:rsid w:val="00C433DB"/>
    <w:rsid w:val="00C438F0"/>
    <w:rsid w:val="00C44291"/>
    <w:rsid w:val="00C45722"/>
    <w:rsid w:val="00C47B02"/>
    <w:rsid w:val="00C53349"/>
    <w:rsid w:val="00C54AAD"/>
    <w:rsid w:val="00C54EDF"/>
    <w:rsid w:val="00C564FA"/>
    <w:rsid w:val="00C5747E"/>
    <w:rsid w:val="00C57981"/>
    <w:rsid w:val="00C62C73"/>
    <w:rsid w:val="00C63C80"/>
    <w:rsid w:val="00C6573F"/>
    <w:rsid w:val="00C66CCE"/>
    <w:rsid w:val="00C66F21"/>
    <w:rsid w:val="00C713DA"/>
    <w:rsid w:val="00C72AF5"/>
    <w:rsid w:val="00C75619"/>
    <w:rsid w:val="00C75EF1"/>
    <w:rsid w:val="00C7782D"/>
    <w:rsid w:val="00C80DFF"/>
    <w:rsid w:val="00C82B0E"/>
    <w:rsid w:val="00C82F96"/>
    <w:rsid w:val="00C8440C"/>
    <w:rsid w:val="00C85F20"/>
    <w:rsid w:val="00C860FF"/>
    <w:rsid w:val="00C902F1"/>
    <w:rsid w:val="00C90A69"/>
    <w:rsid w:val="00C91706"/>
    <w:rsid w:val="00C92EBB"/>
    <w:rsid w:val="00C94CCC"/>
    <w:rsid w:val="00C951F9"/>
    <w:rsid w:val="00C96BA0"/>
    <w:rsid w:val="00C96BAC"/>
    <w:rsid w:val="00C96C28"/>
    <w:rsid w:val="00C97DD4"/>
    <w:rsid w:val="00C97FDC"/>
    <w:rsid w:val="00CA15E8"/>
    <w:rsid w:val="00CA2440"/>
    <w:rsid w:val="00CA3316"/>
    <w:rsid w:val="00CA42DF"/>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3DE"/>
    <w:rsid w:val="00CD269D"/>
    <w:rsid w:val="00CD7E0E"/>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2ABF"/>
    <w:rsid w:val="00D0412A"/>
    <w:rsid w:val="00D044BD"/>
    <w:rsid w:val="00D05127"/>
    <w:rsid w:val="00D0616B"/>
    <w:rsid w:val="00D10DE4"/>
    <w:rsid w:val="00D115A1"/>
    <w:rsid w:val="00D116A9"/>
    <w:rsid w:val="00D15295"/>
    <w:rsid w:val="00D15437"/>
    <w:rsid w:val="00D1591F"/>
    <w:rsid w:val="00D16044"/>
    <w:rsid w:val="00D1689A"/>
    <w:rsid w:val="00D2256C"/>
    <w:rsid w:val="00D259BA"/>
    <w:rsid w:val="00D25AC3"/>
    <w:rsid w:val="00D27E7B"/>
    <w:rsid w:val="00D3031A"/>
    <w:rsid w:val="00D322C5"/>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5BB8"/>
    <w:rsid w:val="00D56D8B"/>
    <w:rsid w:val="00D57109"/>
    <w:rsid w:val="00D57421"/>
    <w:rsid w:val="00D575E6"/>
    <w:rsid w:val="00D61D10"/>
    <w:rsid w:val="00D62454"/>
    <w:rsid w:val="00D65D0C"/>
    <w:rsid w:val="00D70AC4"/>
    <w:rsid w:val="00D718ED"/>
    <w:rsid w:val="00D71D46"/>
    <w:rsid w:val="00D72FB4"/>
    <w:rsid w:val="00D74228"/>
    <w:rsid w:val="00D74CF3"/>
    <w:rsid w:val="00D75DB5"/>
    <w:rsid w:val="00D7611F"/>
    <w:rsid w:val="00D77E6B"/>
    <w:rsid w:val="00D818E5"/>
    <w:rsid w:val="00D822A3"/>
    <w:rsid w:val="00D8342B"/>
    <w:rsid w:val="00D83B39"/>
    <w:rsid w:val="00D84923"/>
    <w:rsid w:val="00D865C6"/>
    <w:rsid w:val="00D870D4"/>
    <w:rsid w:val="00D9046D"/>
    <w:rsid w:val="00D90D8A"/>
    <w:rsid w:val="00D927F2"/>
    <w:rsid w:val="00D93B3F"/>
    <w:rsid w:val="00D9574A"/>
    <w:rsid w:val="00D95D1E"/>
    <w:rsid w:val="00D979A1"/>
    <w:rsid w:val="00DA2CF3"/>
    <w:rsid w:val="00DA49E9"/>
    <w:rsid w:val="00DA5D97"/>
    <w:rsid w:val="00DA5FD3"/>
    <w:rsid w:val="00DB082A"/>
    <w:rsid w:val="00DB0F0C"/>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3C1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27AF"/>
    <w:rsid w:val="00E13ABE"/>
    <w:rsid w:val="00E1516B"/>
    <w:rsid w:val="00E16DE7"/>
    <w:rsid w:val="00E16F67"/>
    <w:rsid w:val="00E20612"/>
    <w:rsid w:val="00E221EF"/>
    <w:rsid w:val="00E27ED1"/>
    <w:rsid w:val="00E30ACB"/>
    <w:rsid w:val="00E32B9F"/>
    <w:rsid w:val="00E3363C"/>
    <w:rsid w:val="00E33708"/>
    <w:rsid w:val="00E35027"/>
    <w:rsid w:val="00E35714"/>
    <w:rsid w:val="00E36281"/>
    <w:rsid w:val="00E36879"/>
    <w:rsid w:val="00E36B29"/>
    <w:rsid w:val="00E37772"/>
    <w:rsid w:val="00E37FA9"/>
    <w:rsid w:val="00E40758"/>
    <w:rsid w:val="00E40BBF"/>
    <w:rsid w:val="00E40F88"/>
    <w:rsid w:val="00E45DBA"/>
    <w:rsid w:val="00E45E27"/>
    <w:rsid w:val="00E4698C"/>
    <w:rsid w:val="00E479F6"/>
    <w:rsid w:val="00E50C26"/>
    <w:rsid w:val="00E51177"/>
    <w:rsid w:val="00E521C8"/>
    <w:rsid w:val="00E52BDA"/>
    <w:rsid w:val="00E54450"/>
    <w:rsid w:val="00E544B2"/>
    <w:rsid w:val="00E57012"/>
    <w:rsid w:val="00E611BD"/>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1010"/>
    <w:rsid w:val="00E926BB"/>
    <w:rsid w:val="00E93C39"/>
    <w:rsid w:val="00E93D5E"/>
    <w:rsid w:val="00E945CE"/>
    <w:rsid w:val="00E946AD"/>
    <w:rsid w:val="00E9697F"/>
    <w:rsid w:val="00E96E50"/>
    <w:rsid w:val="00E978CB"/>
    <w:rsid w:val="00E97BB5"/>
    <w:rsid w:val="00EA0DA7"/>
    <w:rsid w:val="00EA1CCD"/>
    <w:rsid w:val="00EA3335"/>
    <w:rsid w:val="00EA33AB"/>
    <w:rsid w:val="00EA3643"/>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C62EE"/>
    <w:rsid w:val="00EC7AFD"/>
    <w:rsid w:val="00ED1089"/>
    <w:rsid w:val="00ED25DF"/>
    <w:rsid w:val="00ED315D"/>
    <w:rsid w:val="00ED70EB"/>
    <w:rsid w:val="00EE08B0"/>
    <w:rsid w:val="00EE1A84"/>
    <w:rsid w:val="00EE265E"/>
    <w:rsid w:val="00EE3550"/>
    <w:rsid w:val="00EE4578"/>
    <w:rsid w:val="00EE47DC"/>
    <w:rsid w:val="00EE5B1E"/>
    <w:rsid w:val="00EE6FE7"/>
    <w:rsid w:val="00EF0786"/>
    <w:rsid w:val="00EF0B21"/>
    <w:rsid w:val="00EF2236"/>
    <w:rsid w:val="00EF34D3"/>
    <w:rsid w:val="00EF3E8B"/>
    <w:rsid w:val="00EF4179"/>
    <w:rsid w:val="00EF4F5D"/>
    <w:rsid w:val="00EF5BA2"/>
    <w:rsid w:val="00EF736F"/>
    <w:rsid w:val="00EF78A8"/>
    <w:rsid w:val="00F000C6"/>
    <w:rsid w:val="00F006BD"/>
    <w:rsid w:val="00F013B5"/>
    <w:rsid w:val="00F01936"/>
    <w:rsid w:val="00F02A37"/>
    <w:rsid w:val="00F04F95"/>
    <w:rsid w:val="00F05EC5"/>
    <w:rsid w:val="00F10401"/>
    <w:rsid w:val="00F1486D"/>
    <w:rsid w:val="00F15AAE"/>
    <w:rsid w:val="00F15BDE"/>
    <w:rsid w:val="00F16CB9"/>
    <w:rsid w:val="00F17DAE"/>
    <w:rsid w:val="00F20EFD"/>
    <w:rsid w:val="00F25157"/>
    <w:rsid w:val="00F266D4"/>
    <w:rsid w:val="00F27B43"/>
    <w:rsid w:val="00F31F60"/>
    <w:rsid w:val="00F33890"/>
    <w:rsid w:val="00F33B48"/>
    <w:rsid w:val="00F3479A"/>
    <w:rsid w:val="00F34962"/>
    <w:rsid w:val="00F408D3"/>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0A7D"/>
    <w:rsid w:val="00F61148"/>
    <w:rsid w:val="00F627DC"/>
    <w:rsid w:val="00F629C7"/>
    <w:rsid w:val="00F63C23"/>
    <w:rsid w:val="00F655E3"/>
    <w:rsid w:val="00F663AD"/>
    <w:rsid w:val="00F715F2"/>
    <w:rsid w:val="00F721E7"/>
    <w:rsid w:val="00F72640"/>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26F17"/>
    <w:rsid w:val="010B6B80"/>
    <w:rsid w:val="0120743C"/>
    <w:rsid w:val="01214D97"/>
    <w:rsid w:val="012275AF"/>
    <w:rsid w:val="012A0698"/>
    <w:rsid w:val="014001AC"/>
    <w:rsid w:val="01447C0F"/>
    <w:rsid w:val="0146574D"/>
    <w:rsid w:val="016013A4"/>
    <w:rsid w:val="01713612"/>
    <w:rsid w:val="01721EAA"/>
    <w:rsid w:val="017B5688"/>
    <w:rsid w:val="018500D3"/>
    <w:rsid w:val="01A01AFA"/>
    <w:rsid w:val="01A3631D"/>
    <w:rsid w:val="01A9153E"/>
    <w:rsid w:val="01B110AA"/>
    <w:rsid w:val="01B45801"/>
    <w:rsid w:val="01BD7A4F"/>
    <w:rsid w:val="01C25065"/>
    <w:rsid w:val="01CB5453"/>
    <w:rsid w:val="01CD78AF"/>
    <w:rsid w:val="01D22D0C"/>
    <w:rsid w:val="01E55EEF"/>
    <w:rsid w:val="01EC5C3E"/>
    <w:rsid w:val="01F66F81"/>
    <w:rsid w:val="01FA5625"/>
    <w:rsid w:val="020F70C0"/>
    <w:rsid w:val="02104022"/>
    <w:rsid w:val="021307A7"/>
    <w:rsid w:val="02132159"/>
    <w:rsid w:val="0213766F"/>
    <w:rsid w:val="021F4F27"/>
    <w:rsid w:val="0227311A"/>
    <w:rsid w:val="02467A44"/>
    <w:rsid w:val="02557A8D"/>
    <w:rsid w:val="025F5776"/>
    <w:rsid w:val="02627F17"/>
    <w:rsid w:val="02644C33"/>
    <w:rsid w:val="0269067C"/>
    <w:rsid w:val="026B3007"/>
    <w:rsid w:val="0273635F"/>
    <w:rsid w:val="02752C82"/>
    <w:rsid w:val="02786099"/>
    <w:rsid w:val="027866EB"/>
    <w:rsid w:val="027C1216"/>
    <w:rsid w:val="02881E0B"/>
    <w:rsid w:val="02964532"/>
    <w:rsid w:val="02AD361F"/>
    <w:rsid w:val="02C32E43"/>
    <w:rsid w:val="02D05560"/>
    <w:rsid w:val="02D70676"/>
    <w:rsid w:val="02DA1F3A"/>
    <w:rsid w:val="02DB6B5E"/>
    <w:rsid w:val="02DF1863"/>
    <w:rsid w:val="02EF1804"/>
    <w:rsid w:val="02F01C71"/>
    <w:rsid w:val="02F95629"/>
    <w:rsid w:val="02F96864"/>
    <w:rsid w:val="02FB5F58"/>
    <w:rsid w:val="02FF7BF3"/>
    <w:rsid w:val="030169EC"/>
    <w:rsid w:val="03045296"/>
    <w:rsid w:val="0315748B"/>
    <w:rsid w:val="03172312"/>
    <w:rsid w:val="03210061"/>
    <w:rsid w:val="034D691F"/>
    <w:rsid w:val="037A7CCB"/>
    <w:rsid w:val="037B196F"/>
    <w:rsid w:val="037E21EA"/>
    <w:rsid w:val="0381685A"/>
    <w:rsid w:val="03820A53"/>
    <w:rsid w:val="03A50209"/>
    <w:rsid w:val="03B30E76"/>
    <w:rsid w:val="03B327EA"/>
    <w:rsid w:val="03BB1D6C"/>
    <w:rsid w:val="03BD1A8A"/>
    <w:rsid w:val="03D04B5D"/>
    <w:rsid w:val="03D21196"/>
    <w:rsid w:val="03D90444"/>
    <w:rsid w:val="03DD33B8"/>
    <w:rsid w:val="03F11C32"/>
    <w:rsid w:val="03F907DC"/>
    <w:rsid w:val="0419673B"/>
    <w:rsid w:val="041A2F36"/>
    <w:rsid w:val="041B0A5C"/>
    <w:rsid w:val="041B2E0E"/>
    <w:rsid w:val="04216F92"/>
    <w:rsid w:val="042651A1"/>
    <w:rsid w:val="042A2109"/>
    <w:rsid w:val="04322762"/>
    <w:rsid w:val="043B11C4"/>
    <w:rsid w:val="043F299D"/>
    <w:rsid w:val="04415EE3"/>
    <w:rsid w:val="04614F31"/>
    <w:rsid w:val="046B6B89"/>
    <w:rsid w:val="046C750A"/>
    <w:rsid w:val="047775AF"/>
    <w:rsid w:val="04796C45"/>
    <w:rsid w:val="047A0F03"/>
    <w:rsid w:val="047A445E"/>
    <w:rsid w:val="0487697C"/>
    <w:rsid w:val="048A774A"/>
    <w:rsid w:val="04981258"/>
    <w:rsid w:val="04A50EF5"/>
    <w:rsid w:val="04B87DBA"/>
    <w:rsid w:val="04BB625C"/>
    <w:rsid w:val="04BD72DF"/>
    <w:rsid w:val="04BE782C"/>
    <w:rsid w:val="04BF763A"/>
    <w:rsid w:val="04C335CE"/>
    <w:rsid w:val="04C441DA"/>
    <w:rsid w:val="04C60B97"/>
    <w:rsid w:val="04CC2591"/>
    <w:rsid w:val="04CD7FA9"/>
    <w:rsid w:val="04CE27B5"/>
    <w:rsid w:val="04D12AAC"/>
    <w:rsid w:val="04D24492"/>
    <w:rsid w:val="04DD2267"/>
    <w:rsid w:val="04E978D1"/>
    <w:rsid w:val="050D396D"/>
    <w:rsid w:val="051040E9"/>
    <w:rsid w:val="051D2795"/>
    <w:rsid w:val="05243941"/>
    <w:rsid w:val="05253F13"/>
    <w:rsid w:val="05273450"/>
    <w:rsid w:val="05345B40"/>
    <w:rsid w:val="05350AC1"/>
    <w:rsid w:val="053A13B6"/>
    <w:rsid w:val="05407B21"/>
    <w:rsid w:val="05432019"/>
    <w:rsid w:val="054B15E0"/>
    <w:rsid w:val="054B5371"/>
    <w:rsid w:val="05575AC4"/>
    <w:rsid w:val="055B1BE8"/>
    <w:rsid w:val="056F500B"/>
    <w:rsid w:val="057523EE"/>
    <w:rsid w:val="05760640"/>
    <w:rsid w:val="05856AD5"/>
    <w:rsid w:val="0591284D"/>
    <w:rsid w:val="05917228"/>
    <w:rsid w:val="05982B82"/>
    <w:rsid w:val="059C0170"/>
    <w:rsid w:val="05AA02EA"/>
    <w:rsid w:val="05AF3B52"/>
    <w:rsid w:val="05B01605"/>
    <w:rsid w:val="05BB6053"/>
    <w:rsid w:val="05C20CAE"/>
    <w:rsid w:val="05CE0AF4"/>
    <w:rsid w:val="05D021CE"/>
    <w:rsid w:val="06020126"/>
    <w:rsid w:val="060A1391"/>
    <w:rsid w:val="060C2F7B"/>
    <w:rsid w:val="063103D5"/>
    <w:rsid w:val="063E4C5A"/>
    <w:rsid w:val="06407893"/>
    <w:rsid w:val="064D3A02"/>
    <w:rsid w:val="06581AF4"/>
    <w:rsid w:val="0658414F"/>
    <w:rsid w:val="065B2A94"/>
    <w:rsid w:val="066A7233"/>
    <w:rsid w:val="0671265E"/>
    <w:rsid w:val="067A1D26"/>
    <w:rsid w:val="067C06B2"/>
    <w:rsid w:val="06844B0F"/>
    <w:rsid w:val="06874187"/>
    <w:rsid w:val="068D647E"/>
    <w:rsid w:val="069906DD"/>
    <w:rsid w:val="06B21BFC"/>
    <w:rsid w:val="06BA455D"/>
    <w:rsid w:val="06C705E9"/>
    <w:rsid w:val="06CB49BC"/>
    <w:rsid w:val="06CE625A"/>
    <w:rsid w:val="06D962A2"/>
    <w:rsid w:val="06DB44A7"/>
    <w:rsid w:val="06E415DA"/>
    <w:rsid w:val="06F32C4C"/>
    <w:rsid w:val="06F55595"/>
    <w:rsid w:val="06FA7CDF"/>
    <w:rsid w:val="06FC7E63"/>
    <w:rsid w:val="06FE6E39"/>
    <w:rsid w:val="07006D77"/>
    <w:rsid w:val="07015758"/>
    <w:rsid w:val="07035F04"/>
    <w:rsid w:val="070365AA"/>
    <w:rsid w:val="070954E4"/>
    <w:rsid w:val="070D0B30"/>
    <w:rsid w:val="07111D78"/>
    <w:rsid w:val="07113D89"/>
    <w:rsid w:val="071708A1"/>
    <w:rsid w:val="0717375D"/>
    <w:rsid w:val="071828A5"/>
    <w:rsid w:val="07221759"/>
    <w:rsid w:val="07247C28"/>
    <w:rsid w:val="07257354"/>
    <w:rsid w:val="072D2F81"/>
    <w:rsid w:val="072E5B90"/>
    <w:rsid w:val="07322345"/>
    <w:rsid w:val="07391EF0"/>
    <w:rsid w:val="073C1416"/>
    <w:rsid w:val="0745526F"/>
    <w:rsid w:val="07457A64"/>
    <w:rsid w:val="074B1659"/>
    <w:rsid w:val="07540148"/>
    <w:rsid w:val="075E16C2"/>
    <w:rsid w:val="076C7767"/>
    <w:rsid w:val="077C3131"/>
    <w:rsid w:val="07845EBA"/>
    <w:rsid w:val="078E7909"/>
    <w:rsid w:val="07996EB4"/>
    <w:rsid w:val="079E733B"/>
    <w:rsid w:val="079F684B"/>
    <w:rsid w:val="07A94598"/>
    <w:rsid w:val="07B207DE"/>
    <w:rsid w:val="07BC2B7A"/>
    <w:rsid w:val="07CA4C73"/>
    <w:rsid w:val="07D945DC"/>
    <w:rsid w:val="07DC0D8D"/>
    <w:rsid w:val="07E01966"/>
    <w:rsid w:val="07EF6488"/>
    <w:rsid w:val="08032164"/>
    <w:rsid w:val="080965E5"/>
    <w:rsid w:val="080B6354"/>
    <w:rsid w:val="080D690E"/>
    <w:rsid w:val="08107785"/>
    <w:rsid w:val="08171283"/>
    <w:rsid w:val="081F0F94"/>
    <w:rsid w:val="082D669C"/>
    <w:rsid w:val="082F0F7A"/>
    <w:rsid w:val="083C30E3"/>
    <w:rsid w:val="084C7436"/>
    <w:rsid w:val="08563ADB"/>
    <w:rsid w:val="085A4F7E"/>
    <w:rsid w:val="087010E6"/>
    <w:rsid w:val="087526D9"/>
    <w:rsid w:val="08762705"/>
    <w:rsid w:val="08766BA9"/>
    <w:rsid w:val="087E4CB6"/>
    <w:rsid w:val="08814108"/>
    <w:rsid w:val="08836BD0"/>
    <w:rsid w:val="08855AD6"/>
    <w:rsid w:val="088E3EF3"/>
    <w:rsid w:val="08986B20"/>
    <w:rsid w:val="08B5096B"/>
    <w:rsid w:val="08C44AB9"/>
    <w:rsid w:val="08DD5D84"/>
    <w:rsid w:val="08E15D8E"/>
    <w:rsid w:val="08F11066"/>
    <w:rsid w:val="08FD2E27"/>
    <w:rsid w:val="08FD4BD5"/>
    <w:rsid w:val="09070A03"/>
    <w:rsid w:val="090B5543"/>
    <w:rsid w:val="090D502E"/>
    <w:rsid w:val="09200A13"/>
    <w:rsid w:val="092D4ADB"/>
    <w:rsid w:val="09497E1A"/>
    <w:rsid w:val="094B0040"/>
    <w:rsid w:val="095347F5"/>
    <w:rsid w:val="0967211C"/>
    <w:rsid w:val="096B7ED1"/>
    <w:rsid w:val="096D0679"/>
    <w:rsid w:val="09735C6C"/>
    <w:rsid w:val="097924AD"/>
    <w:rsid w:val="098A544D"/>
    <w:rsid w:val="098E3A7F"/>
    <w:rsid w:val="09991B6A"/>
    <w:rsid w:val="09A028E1"/>
    <w:rsid w:val="09A13A7B"/>
    <w:rsid w:val="09AB0DDA"/>
    <w:rsid w:val="09AB2883"/>
    <w:rsid w:val="09B13AC3"/>
    <w:rsid w:val="09B93488"/>
    <w:rsid w:val="09B94817"/>
    <w:rsid w:val="09C3247E"/>
    <w:rsid w:val="09C63218"/>
    <w:rsid w:val="09C758AE"/>
    <w:rsid w:val="09C943AD"/>
    <w:rsid w:val="09D51869"/>
    <w:rsid w:val="09DF70B8"/>
    <w:rsid w:val="09E33DCA"/>
    <w:rsid w:val="09F00DFE"/>
    <w:rsid w:val="09FF5296"/>
    <w:rsid w:val="0A122902"/>
    <w:rsid w:val="0A232419"/>
    <w:rsid w:val="0A276B2A"/>
    <w:rsid w:val="0A2C751F"/>
    <w:rsid w:val="0A2D5989"/>
    <w:rsid w:val="0A301A70"/>
    <w:rsid w:val="0A322A2E"/>
    <w:rsid w:val="0A3F75E5"/>
    <w:rsid w:val="0A486318"/>
    <w:rsid w:val="0A4F28BA"/>
    <w:rsid w:val="0A526E2C"/>
    <w:rsid w:val="0A5A0A93"/>
    <w:rsid w:val="0A676977"/>
    <w:rsid w:val="0A710A18"/>
    <w:rsid w:val="0A746570"/>
    <w:rsid w:val="0A834AB9"/>
    <w:rsid w:val="0A84735B"/>
    <w:rsid w:val="0A913826"/>
    <w:rsid w:val="0A917CCA"/>
    <w:rsid w:val="0AA01CBB"/>
    <w:rsid w:val="0AA51080"/>
    <w:rsid w:val="0ABA4A34"/>
    <w:rsid w:val="0AC06B0B"/>
    <w:rsid w:val="0ACB5B1C"/>
    <w:rsid w:val="0ACC0D02"/>
    <w:rsid w:val="0AD12118"/>
    <w:rsid w:val="0AD213F2"/>
    <w:rsid w:val="0AD759C8"/>
    <w:rsid w:val="0ADF4592"/>
    <w:rsid w:val="0AEA1189"/>
    <w:rsid w:val="0AED75C5"/>
    <w:rsid w:val="0AF461CA"/>
    <w:rsid w:val="0AFD2C6A"/>
    <w:rsid w:val="0AFE662A"/>
    <w:rsid w:val="0B043FF8"/>
    <w:rsid w:val="0B077F8D"/>
    <w:rsid w:val="0B08474F"/>
    <w:rsid w:val="0B234241"/>
    <w:rsid w:val="0B380146"/>
    <w:rsid w:val="0B4968BC"/>
    <w:rsid w:val="0B4B0BC0"/>
    <w:rsid w:val="0B504A69"/>
    <w:rsid w:val="0B541106"/>
    <w:rsid w:val="0B550CF8"/>
    <w:rsid w:val="0B55760E"/>
    <w:rsid w:val="0B5673B8"/>
    <w:rsid w:val="0B58265A"/>
    <w:rsid w:val="0B626F71"/>
    <w:rsid w:val="0B776EC0"/>
    <w:rsid w:val="0B811AED"/>
    <w:rsid w:val="0B8B296C"/>
    <w:rsid w:val="0BA15CEB"/>
    <w:rsid w:val="0BA33880"/>
    <w:rsid w:val="0BA76046"/>
    <w:rsid w:val="0BAB761D"/>
    <w:rsid w:val="0BAF708A"/>
    <w:rsid w:val="0BB61997"/>
    <w:rsid w:val="0BB63DAF"/>
    <w:rsid w:val="0BB75D2B"/>
    <w:rsid w:val="0BBA5BBB"/>
    <w:rsid w:val="0BBB741F"/>
    <w:rsid w:val="0BD827AC"/>
    <w:rsid w:val="0BE61950"/>
    <w:rsid w:val="0BE76511"/>
    <w:rsid w:val="0BEF750E"/>
    <w:rsid w:val="0BF53ECA"/>
    <w:rsid w:val="0C012C2E"/>
    <w:rsid w:val="0C03399C"/>
    <w:rsid w:val="0C054E2C"/>
    <w:rsid w:val="0C123827"/>
    <w:rsid w:val="0C2169D7"/>
    <w:rsid w:val="0C317937"/>
    <w:rsid w:val="0C4220A7"/>
    <w:rsid w:val="0C622303"/>
    <w:rsid w:val="0C637445"/>
    <w:rsid w:val="0C670EE5"/>
    <w:rsid w:val="0C6F4513"/>
    <w:rsid w:val="0C7526A4"/>
    <w:rsid w:val="0C770F15"/>
    <w:rsid w:val="0C882A07"/>
    <w:rsid w:val="0C88488C"/>
    <w:rsid w:val="0C915BFB"/>
    <w:rsid w:val="0C94198B"/>
    <w:rsid w:val="0CA43CE5"/>
    <w:rsid w:val="0CA8083B"/>
    <w:rsid w:val="0CA83953"/>
    <w:rsid w:val="0CA84E57"/>
    <w:rsid w:val="0CBB4B8B"/>
    <w:rsid w:val="0CC463BD"/>
    <w:rsid w:val="0CD10852"/>
    <w:rsid w:val="0CD26A47"/>
    <w:rsid w:val="0CE2480D"/>
    <w:rsid w:val="0CE64047"/>
    <w:rsid w:val="0CF972AE"/>
    <w:rsid w:val="0D006A41"/>
    <w:rsid w:val="0D1150F2"/>
    <w:rsid w:val="0D244299"/>
    <w:rsid w:val="0D2758D8"/>
    <w:rsid w:val="0D3938D4"/>
    <w:rsid w:val="0D434D12"/>
    <w:rsid w:val="0D444B80"/>
    <w:rsid w:val="0D4B3979"/>
    <w:rsid w:val="0D520D84"/>
    <w:rsid w:val="0D523741"/>
    <w:rsid w:val="0D570D57"/>
    <w:rsid w:val="0D582A8B"/>
    <w:rsid w:val="0D6B7814"/>
    <w:rsid w:val="0D853282"/>
    <w:rsid w:val="0DA12654"/>
    <w:rsid w:val="0DA43871"/>
    <w:rsid w:val="0DBB5789"/>
    <w:rsid w:val="0DC22040"/>
    <w:rsid w:val="0DCA3859"/>
    <w:rsid w:val="0DCA5C92"/>
    <w:rsid w:val="0DCB704F"/>
    <w:rsid w:val="0DD759F4"/>
    <w:rsid w:val="0DDA4FD1"/>
    <w:rsid w:val="0DDB2E19"/>
    <w:rsid w:val="0DDE177A"/>
    <w:rsid w:val="0DE65231"/>
    <w:rsid w:val="0DEE2D3E"/>
    <w:rsid w:val="0DF648A0"/>
    <w:rsid w:val="0DFE5677"/>
    <w:rsid w:val="0E0457D8"/>
    <w:rsid w:val="0E084E26"/>
    <w:rsid w:val="0E1359FA"/>
    <w:rsid w:val="0E19549D"/>
    <w:rsid w:val="0E25660A"/>
    <w:rsid w:val="0E285C93"/>
    <w:rsid w:val="0E3777BE"/>
    <w:rsid w:val="0E4140E1"/>
    <w:rsid w:val="0E43308A"/>
    <w:rsid w:val="0E471A2C"/>
    <w:rsid w:val="0E553AB9"/>
    <w:rsid w:val="0E574D87"/>
    <w:rsid w:val="0E655F3E"/>
    <w:rsid w:val="0E8D23F9"/>
    <w:rsid w:val="0E9C061A"/>
    <w:rsid w:val="0E9E53ED"/>
    <w:rsid w:val="0EAD49A7"/>
    <w:rsid w:val="0EB05D52"/>
    <w:rsid w:val="0EC046DA"/>
    <w:rsid w:val="0EC341CA"/>
    <w:rsid w:val="0EC56195"/>
    <w:rsid w:val="0ECC307F"/>
    <w:rsid w:val="0ED0372F"/>
    <w:rsid w:val="0EE43718"/>
    <w:rsid w:val="0EE90B68"/>
    <w:rsid w:val="0EF34C60"/>
    <w:rsid w:val="0EF702B3"/>
    <w:rsid w:val="0EFB5712"/>
    <w:rsid w:val="0F064208"/>
    <w:rsid w:val="0F0B4AD1"/>
    <w:rsid w:val="0F0C142F"/>
    <w:rsid w:val="0F0E2F32"/>
    <w:rsid w:val="0F162637"/>
    <w:rsid w:val="0F1D7D7F"/>
    <w:rsid w:val="0F2729AB"/>
    <w:rsid w:val="0F333C8A"/>
    <w:rsid w:val="0F375915"/>
    <w:rsid w:val="0F441053"/>
    <w:rsid w:val="0F475ED1"/>
    <w:rsid w:val="0F4A0704"/>
    <w:rsid w:val="0F545BF4"/>
    <w:rsid w:val="0F563291"/>
    <w:rsid w:val="0F6605CC"/>
    <w:rsid w:val="0F6D01FB"/>
    <w:rsid w:val="0F7A5202"/>
    <w:rsid w:val="0F8171C9"/>
    <w:rsid w:val="0F953DB9"/>
    <w:rsid w:val="0F9C04A9"/>
    <w:rsid w:val="0F9E1CC2"/>
    <w:rsid w:val="0FB10A42"/>
    <w:rsid w:val="0FB12275"/>
    <w:rsid w:val="0FB32491"/>
    <w:rsid w:val="0FB90D84"/>
    <w:rsid w:val="0FBC0D1A"/>
    <w:rsid w:val="0FC7252D"/>
    <w:rsid w:val="0FCB3337"/>
    <w:rsid w:val="0FD301EE"/>
    <w:rsid w:val="0FE32D76"/>
    <w:rsid w:val="0FF07241"/>
    <w:rsid w:val="0FF1693E"/>
    <w:rsid w:val="0FF860F6"/>
    <w:rsid w:val="0FFA6B94"/>
    <w:rsid w:val="10022AD1"/>
    <w:rsid w:val="10245DEE"/>
    <w:rsid w:val="10255C82"/>
    <w:rsid w:val="102927A5"/>
    <w:rsid w:val="102942B6"/>
    <w:rsid w:val="1031606C"/>
    <w:rsid w:val="10377139"/>
    <w:rsid w:val="103C7D7B"/>
    <w:rsid w:val="103F7234"/>
    <w:rsid w:val="10475F34"/>
    <w:rsid w:val="1049459B"/>
    <w:rsid w:val="104B26C9"/>
    <w:rsid w:val="104C58A2"/>
    <w:rsid w:val="104D01F0"/>
    <w:rsid w:val="105832FC"/>
    <w:rsid w:val="105F7F23"/>
    <w:rsid w:val="10625108"/>
    <w:rsid w:val="10757746"/>
    <w:rsid w:val="10790711"/>
    <w:rsid w:val="108160EB"/>
    <w:rsid w:val="108F25B6"/>
    <w:rsid w:val="10A94CBF"/>
    <w:rsid w:val="10B740C7"/>
    <w:rsid w:val="10BE6725"/>
    <w:rsid w:val="10C05F28"/>
    <w:rsid w:val="10C61D50"/>
    <w:rsid w:val="10C770AD"/>
    <w:rsid w:val="10CC55B8"/>
    <w:rsid w:val="10CD4AC6"/>
    <w:rsid w:val="10E558CF"/>
    <w:rsid w:val="10F87069"/>
    <w:rsid w:val="10F93ED3"/>
    <w:rsid w:val="10FE679F"/>
    <w:rsid w:val="11032FA4"/>
    <w:rsid w:val="111A666F"/>
    <w:rsid w:val="111B28D9"/>
    <w:rsid w:val="11253D0E"/>
    <w:rsid w:val="112C2155"/>
    <w:rsid w:val="113413B0"/>
    <w:rsid w:val="11477335"/>
    <w:rsid w:val="11611BCB"/>
    <w:rsid w:val="116B3023"/>
    <w:rsid w:val="118006F3"/>
    <w:rsid w:val="118440E5"/>
    <w:rsid w:val="1185289A"/>
    <w:rsid w:val="118E3A13"/>
    <w:rsid w:val="119971FF"/>
    <w:rsid w:val="11A448F7"/>
    <w:rsid w:val="11A842FF"/>
    <w:rsid w:val="11B00A36"/>
    <w:rsid w:val="11B02C56"/>
    <w:rsid w:val="11B91F74"/>
    <w:rsid w:val="11C113C0"/>
    <w:rsid w:val="11CB7251"/>
    <w:rsid w:val="11D6242F"/>
    <w:rsid w:val="11DA72E4"/>
    <w:rsid w:val="11DB2ACD"/>
    <w:rsid w:val="11DD37F5"/>
    <w:rsid w:val="11E93F48"/>
    <w:rsid w:val="11F808F6"/>
    <w:rsid w:val="12001018"/>
    <w:rsid w:val="12040D82"/>
    <w:rsid w:val="12072620"/>
    <w:rsid w:val="120B1F32"/>
    <w:rsid w:val="120E0E48"/>
    <w:rsid w:val="121511E1"/>
    <w:rsid w:val="12170AB5"/>
    <w:rsid w:val="121805F1"/>
    <w:rsid w:val="122724A7"/>
    <w:rsid w:val="12331667"/>
    <w:rsid w:val="123756BE"/>
    <w:rsid w:val="123A0C48"/>
    <w:rsid w:val="123D6042"/>
    <w:rsid w:val="123F4C14"/>
    <w:rsid w:val="124949E7"/>
    <w:rsid w:val="12532C90"/>
    <w:rsid w:val="12541D09"/>
    <w:rsid w:val="12575356"/>
    <w:rsid w:val="126747E7"/>
    <w:rsid w:val="12747F48"/>
    <w:rsid w:val="127B6FC1"/>
    <w:rsid w:val="128B1C28"/>
    <w:rsid w:val="128F2D41"/>
    <w:rsid w:val="128F2E97"/>
    <w:rsid w:val="129E4D32"/>
    <w:rsid w:val="12A04982"/>
    <w:rsid w:val="12B1627A"/>
    <w:rsid w:val="12B675EB"/>
    <w:rsid w:val="12CB1F54"/>
    <w:rsid w:val="12CD23B6"/>
    <w:rsid w:val="12CF6372"/>
    <w:rsid w:val="12DB4D4F"/>
    <w:rsid w:val="12E46319"/>
    <w:rsid w:val="12EC5084"/>
    <w:rsid w:val="12F12AA5"/>
    <w:rsid w:val="130E25D9"/>
    <w:rsid w:val="13314543"/>
    <w:rsid w:val="133912C6"/>
    <w:rsid w:val="13424BEA"/>
    <w:rsid w:val="13465C7A"/>
    <w:rsid w:val="13474ECD"/>
    <w:rsid w:val="1347603A"/>
    <w:rsid w:val="136C4BC6"/>
    <w:rsid w:val="13710699"/>
    <w:rsid w:val="137C620C"/>
    <w:rsid w:val="137D05A4"/>
    <w:rsid w:val="13855EF2"/>
    <w:rsid w:val="139323BD"/>
    <w:rsid w:val="13950B2E"/>
    <w:rsid w:val="1399374C"/>
    <w:rsid w:val="139A199E"/>
    <w:rsid w:val="139A7BF0"/>
    <w:rsid w:val="139B78EC"/>
    <w:rsid w:val="13A75277"/>
    <w:rsid w:val="13AA6F73"/>
    <w:rsid w:val="13AD0145"/>
    <w:rsid w:val="13B11DF8"/>
    <w:rsid w:val="13B54A2A"/>
    <w:rsid w:val="13BF7656"/>
    <w:rsid w:val="13D053C0"/>
    <w:rsid w:val="13DA5E2D"/>
    <w:rsid w:val="13E316E0"/>
    <w:rsid w:val="13E417B9"/>
    <w:rsid w:val="13F0437C"/>
    <w:rsid w:val="13F61959"/>
    <w:rsid w:val="13F74118"/>
    <w:rsid w:val="13FD67D7"/>
    <w:rsid w:val="14000B3D"/>
    <w:rsid w:val="1402655C"/>
    <w:rsid w:val="1403238B"/>
    <w:rsid w:val="140D728C"/>
    <w:rsid w:val="14100369"/>
    <w:rsid w:val="14180622"/>
    <w:rsid w:val="141A42B8"/>
    <w:rsid w:val="142213DA"/>
    <w:rsid w:val="14237BE5"/>
    <w:rsid w:val="14252BF2"/>
    <w:rsid w:val="143516C6"/>
    <w:rsid w:val="143617C0"/>
    <w:rsid w:val="1437543F"/>
    <w:rsid w:val="143C2C0A"/>
    <w:rsid w:val="14424C33"/>
    <w:rsid w:val="14495172"/>
    <w:rsid w:val="144F3B57"/>
    <w:rsid w:val="14673E28"/>
    <w:rsid w:val="147A2410"/>
    <w:rsid w:val="14830684"/>
    <w:rsid w:val="148368D6"/>
    <w:rsid w:val="14852C6F"/>
    <w:rsid w:val="148B12E6"/>
    <w:rsid w:val="148F2F85"/>
    <w:rsid w:val="14961298"/>
    <w:rsid w:val="149A5BA6"/>
    <w:rsid w:val="14A05F9F"/>
    <w:rsid w:val="14A502EF"/>
    <w:rsid w:val="14B24AC5"/>
    <w:rsid w:val="14D2188D"/>
    <w:rsid w:val="14DE617B"/>
    <w:rsid w:val="14E82F29"/>
    <w:rsid w:val="14F926F4"/>
    <w:rsid w:val="15095EDF"/>
    <w:rsid w:val="150B2427"/>
    <w:rsid w:val="15163C58"/>
    <w:rsid w:val="152B4D84"/>
    <w:rsid w:val="152F1D82"/>
    <w:rsid w:val="1534197E"/>
    <w:rsid w:val="15372517"/>
    <w:rsid w:val="153866E8"/>
    <w:rsid w:val="153C6A85"/>
    <w:rsid w:val="154A0C01"/>
    <w:rsid w:val="154D0C92"/>
    <w:rsid w:val="155301FE"/>
    <w:rsid w:val="155E2586"/>
    <w:rsid w:val="156A1D3D"/>
    <w:rsid w:val="156F28CC"/>
    <w:rsid w:val="157439B7"/>
    <w:rsid w:val="157E7EAE"/>
    <w:rsid w:val="157F3975"/>
    <w:rsid w:val="15871E93"/>
    <w:rsid w:val="158F3058"/>
    <w:rsid w:val="15930009"/>
    <w:rsid w:val="15AA23E4"/>
    <w:rsid w:val="15B211A0"/>
    <w:rsid w:val="15B36916"/>
    <w:rsid w:val="15C50828"/>
    <w:rsid w:val="15CD0226"/>
    <w:rsid w:val="15D4104B"/>
    <w:rsid w:val="15F003C1"/>
    <w:rsid w:val="15F555B1"/>
    <w:rsid w:val="15F61009"/>
    <w:rsid w:val="15F65644"/>
    <w:rsid w:val="15FB249C"/>
    <w:rsid w:val="15FC3115"/>
    <w:rsid w:val="15FF3D3A"/>
    <w:rsid w:val="16184DFC"/>
    <w:rsid w:val="16225C7A"/>
    <w:rsid w:val="16264AED"/>
    <w:rsid w:val="162B4D52"/>
    <w:rsid w:val="163D4862"/>
    <w:rsid w:val="164400AE"/>
    <w:rsid w:val="166234A0"/>
    <w:rsid w:val="1666200B"/>
    <w:rsid w:val="166D2513"/>
    <w:rsid w:val="16770685"/>
    <w:rsid w:val="1686345A"/>
    <w:rsid w:val="16956E5A"/>
    <w:rsid w:val="16A27000"/>
    <w:rsid w:val="16A44B2E"/>
    <w:rsid w:val="16A6504A"/>
    <w:rsid w:val="16A97E9C"/>
    <w:rsid w:val="16AC36B8"/>
    <w:rsid w:val="16AD7067"/>
    <w:rsid w:val="16C83D17"/>
    <w:rsid w:val="16FE0496"/>
    <w:rsid w:val="17057BF5"/>
    <w:rsid w:val="170959CD"/>
    <w:rsid w:val="170C7344"/>
    <w:rsid w:val="171D2C7F"/>
    <w:rsid w:val="172F68A1"/>
    <w:rsid w:val="174340FA"/>
    <w:rsid w:val="17445402"/>
    <w:rsid w:val="174561CC"/>
    <w:rsid w:val="17546308"/>
    <w:rsid w:val="17630885"/>
    <w:rsid w:val="176F3141"/>
    <w:rsid w:val="1773299C"/>
    <w:rsid w:val="17785D56"/>
    <w:rsid w:val="17793C92"/>
    <w:rsid w:val="177E0DEC"/>
    <w:rsid w:val="1787335F"/>
    <w:rsid w:val="17876721"/>
    <w:rsid w:val="1798546C"/>
    <w:rsid w:val="179F5F07"/>
    <w:rsid w:val="17A05ADA"/>
    <w:rsid w:val="17A7618E"/>
    <w:rsid w:val="17A8092A"/>
    <w:rsid w:val="17AA1892"/>
    <w:rsid w:val="17B40B54"/>
    <w:rsid w:val="17C53665"/>
    <w:rsid w:val="17CA2B8F"/>
    <w:rsid w:val="17E0741E"/>
    <w:rsid w:val="17E504A9"/>
    <w:rsid w:val="17EE22B8"/>
    <w:rsid w:val="17F72AB1"/>
    <w:rsid w:val="17FA3821"/>
    <w:rsid w:val="18130773"/>
    <w:rsid w:val="182F377B"/>
    <w:rsid w:val="18354C40"/>
    <w:rsid w:val="183B1275"/>
    <w:rsid w:val="184D0DFC"/>
    <w:rsid w:val="18556009"/>
    <w:rsid w:val="185E284C"/>
    <w:rsid w:val="186A5109"/>
    <w:rsid w:val="18730A0F"/>
    <w:rsid w:val="187604BA"/>
    <w:rsid w:val="18786026"/>
    <w:rsid w:val="188569AA"/>
    <w:rsid w:val="188B7B07"/>
    <w:rsid w:val="189656EE"/>
    <w:rsid w:val="18A65A0A"/>
    <w:rsid w:val="18AD0BC4"/>
    <w:rsid w:val="18B81109"/>
    <w:rsid w:val="18BC198A"/>
    <w:rsid w:val="18BD6D95"/>
    <w:rsid w:val="18E00489"/>
    <w:rsid w:val="18EA17CE"/>
    <w:rsid w:val="18EB259A"/>
    <w:rsid w:val="18EB4A4A"/>
    <w:rsid w:val="19067AD5"/>
    <w:rsid w:val="19093EEF"/>
    <w:rsid w:val="19141227"/>
    <w:rsid w:val="191826FE"/>
    <w:rsid w:val="19282791"/>
    <w:rsid w:val="192C2D7A"/>
    <w:rsid w:val="192F4360"/>
    <w:rsid w:val="19322678"/>
    <w:rsid w:val="195125DD"/>
    <w:rsid w:val="19516371"/>
    <w:rsid w:val="19544A48"/>
    <w:rsid w:val="19585862"/>
    <w:rsid w:val="19810432"/>
    <w:rsid w:val="198C1E2A"/>
    <w:rsid w:val="199571A7"/>
    <w:rsid w:val="199C2DB7"/>
    <w:rsid w:val="199D3F96"/>
    <w:rsid w:val="19A1335A"/>
    <w:rsid w:val="19A3586C"/>
    <w:rsid w:val="19A417DA"/>
    <w:rsid w:val="19AF139A"/>
    <w:rsid w:val="19BA2109"/>
    <w:rsid w:val="19C40560"/>
    <w:rsid w:val="19CA465F"/>
    <w:rsid w:val="19CF6BA8"/>
    <w:rsid w:val="19D674A8"/>
    <w:rsid w:val="19EA6AAF"/>
    <w:rsid w:val="19F45009"/>
    <w:rsid w:val="19F53DD2"/>
    <w:rsid w:val="19F90CCD"/>
    <w:rsid w:val="19FD61E8"/>
    <w:rsid w:val="19FE255B"/>
    <w:rsid w:val="1A043F1E"/>
    <w:rsid w:val="1A125CC5"/>
    <w:rsid w:val="1A271C9F"/>
    <w:rsid w:val="1A304FA1"/>
    <w:rsid w:val="1A335B12"/>
    <w:rsid w:val="1A3B624B"/>
    <w:rsid w:val="1A3D12AA"/>
    <w:rsid w:val="1A450640"/>
    <w:rsid w:val="1A50725A"/>
    <w:rsid w:val="1A5E1863"/>
    <w:rsid w:val="1A6E148E"/>
    <w:rsid w:val="1A7B3BAB"/>
    <w:rsid w:val="1A7F19A7"/>
    <w:rsid w:val="1A8354B6"/>
    <w:rsid w:val="1A937147"/>
    <w:rsid w:val="1A9A09EA"/>
    <w:rsid w:val="1AA50EEE"/>
    <w:rsid w:val="1AB83062"/>
    <w:rsid w:val="1ABC669E"/>
    <w:rsid w:val="1AC42365"/>
    <w:rsid w:val="1AC75042"/>
    <w:rsid w:val="1AD05CA5"/>
    <w:rsid w:val="1AD707D0"/>
    <w:rsid w:val="1AE96D67"/>
    <w:rsid w:val="1AEC7D11"/>
    <w:rsid w:val="1AF5570C"/>
    <w:rsid w:val="1B03218F"/>
    <w:rsid w:val="1B0818E3"/>
    <w:rsid w:val="1B0B13D3"/>
    <w:rsid w:val="1B0C1B5C"/>
    <w:rsid w:val="1B0F2763"/>
    <w:rsid w:val="1B200375"/>
    <w:rsid w:val="1B284CAF"/>
    <w:rsid w:val="1B460738"/>
    <w:rsid w:val="1B487BDF"/>
    <w:rsid w:val="1B4B3AAE"/>
    <w:rsid w:val="1B4E306E"/>
    <w:rsid w:val="1B532C99"/>
    <w:rsid w:val="1B535AAD"/>
    <w:rsid w:val="1B61466C"/>
    <w:rsid w:val="1B636B19"/>
    <w:rsid w:val="1B6A61A2"/>
    <w:rsid w:val="1B7879AA"/>
    <w:rsid w:val="1B7E0BC0"/>
    <w:rsid w:val="1B855EFD"/>
    <w:rsid w:val="1B87118E"/>
    <w:rsid w:val="1B8C6D94"/>
    <w:rsid w:val="1B8D413C"/>
    <w:rsid w:val="1B9E607F"/>
    <w:rsid w:val="1BA3160C"/>
    <w:rsid w:val="1BA535D6"/>
    <w:rsid w:val="1BBC26CD"/>
    <w:rsid w:val="1BC51582"/>
    <w:rsid w:val="1BC872C4"/>
    <w:rsid w:val="1BCA6B98"/>
    <w:rsid w:val="1BE802F9"/>
    <w:rsid w:val="1BE90439"/>
    <w:rsid w:val="1BFF3FFC"/>
    <w:rsid w:val="1C0C027B"/>
    <w:rsid w:val="1C0F23B1"/>
    <w:rsid w:val="1C0F6CA1"/>
    <w:rsid w:val="1C1B5646"/>
    <w:rsid w:val="1C382442"/>
    <w:rsid w:val="1C402578"/>
    <w:rsid w:val="1C42747C"/>
    <w:rsid w:val="1C5A0F49"/>
    <w:rsid w:val="1C600B5E"/>
    <w:rsid w:val="1C623275"/>
    <w:rsid w:val="1C625023"/>
    <w:rsid w:val="1C672639"/>
    <w:rsid w:val="1C7002B8"/>
    <w:rsid w:val="1C70153A"/>
    <w:rsid w:val="1C734C79"/>
    <w:rsid w:val="1C7869D6"/>
    <w:rsid w:val="1C8C02F2"/>
    <w:rsid w:val="1C981059"/>
    <w:rsid w:val="1C9D085E"/>
    <w:rsid w:val="1C9D605B"/>
    <w:rsid w:val="1CA266AD"/>
    <w:rsid w:val="1CC02E89"/>
    <w:rsid w:val="1CC74C88"/>
    <w:rsid w:val="1CCA129F"/>
    <w:rsid w:val="1CCC4B92"/>
    <w:rsid w:val="1CD67DAB"/>
    <w:rsid w:val="1CDD604F"/>
    <w:rsid w:val="1CE444E1"/>
    <w:rsid w:val="1CEC0AC3"/>
    <w:rsid w:val="1D012A8E"/>
    <w:rsid w:val="1D0245C4"/>
    <w:rsid w:val="1D1A76AB"/>
    <w:rsid w:val="1D2422D8"/>
    <w:rsid w:val="1D2C66ED"/>
    <w:rsid w:val="1D2D11BD"/>
    <w:rsid w:val="1D2E13A9"/>
    <w:rsid w:val="1D305121"/>
    <w:rsid w:val="1D35029E"/>
    <w:rsid w:val="1D3A0BF1"/>
    <w:rsid w:val="1D496AC7"/>
    <w:rsid w:val="1D66649D"/>
    <w:rsid w:val="1D6B6BFB"/>
    <w:rsid w:val="1D74500E"/>
    <w:rsid w:val="1D750A90"/>
    <w:rsid w:val="1D7A7CFD"/>
    <w:rsid w:val="1D7C153E"/>
    <w:rsid w:val="1D7E40DE"/>
    <w:rsid w:val="1D8109A8"/>
    <w:rsid w:val="1D81772B"/>
    <w:rsid w:val="1D8410A5"/>
    <w:rsid w:val="1D844C2F"/>
    <w:rsid w:val="1D84721B"/>
    <w:rsid w:val="1D897121"/>
    <w:rsid w:val="1DB45AE2"/>
    <w:rsid w:val="1DC13FCB"/>
    <w:rsid w:val="1DD753AF"/>
    <w:rsid w:val="1DDC2BB3"/>
    <w:rsid w:val="1DDF4451"/>
    <w:rsid w:val="1DE23F8D"/>
    <w:rsid w:val="1DE35CF5"/>
    <w:rsid w:val="1DEC706D"/>
    <w:rsid w:val="1DEE6320"/>
    <w:rsid w:val="1DFA0484"/>
    <w:rsid w:val="1E012619"/>
    <w:rsid w:val="1E055C9E"/>
    <w:rsid w:val="1E0A7720"/>
    <w:rsid w:val="1E0D0FF4"/>
    <w:rsid w:val="1E0F0A85"/>
    <w:rsid w:val="1E206F43"/>
    <w:rsid w:val="1E207B73"/>
    <w:rsid w:val="1E334B2F"/>
    <w:rsid w:val="1E397B74"/>
    <w:rsid w:val="1E42510C"/>
    <w:rsid w:val="1E4862CB"/>
    <w:rsid w:val="1E4B08B6"/>
    <w:rsid w:val="1E562965"/>
    <w:rsid w:val="1E601A36"/>
    <w:rsid w:val="1E646060"/>
    <w:rsid w:val="1E6A74EE"/>
    <w:rsid w:val="1E6E72FA"/>
    <w:rsid w:val="1E82375A"/>
    <w:rsid w:val="1E895CEE"/>
    <w:rsid w:val="1E8D072E"/>
    <w:rsid w:val="1E91399D"/>
    <w:rsid w:val="1E9952FE"/>
    <w:rsid w:val="1EAA3478"/>
    <w:rsid w:val="1EAF2075"/>
    <w:rsid w:val="1EB07A86"/>
    <w:rsid w:val="1EB2279E"/>
    <w:rsid w:val="1EC13614"/>
    <w:rsid w:val="1ED41526"/>
    <w:rsid w:val="1EDB5833"/>
    <w:rsid w:val="1EFD1033"/>
    <w:rsid w:val="1F0136F8"/>
    <w:rsid w:val="1F01795F"/>
    <w:rsid w:val="1F1C1A13"/>
    <w:rsid w:val="1F255754"/>
    <w:rsid w:val="1F274302"/>
    <w:rsid w:val="1F2D3DB4"/>
    <w:rsid w:val="1F2E743E"/>
    <w:rsid w:val="1F3C0C78"/>
    <w:rsid w:val="1F4A727D"/>
    <w:rsid w:val="1F4B7FF0"/>
    <w:rsid w:val="1F6B2440"/>
    <w:rsid w:val="1F6F0AF9"/>
    <w:rsid w:val="1F721A21"/>
    <w:rsid w:val="1F804DC6"/>
    <w:rsid w:val="1F8A0112"/>
    <w:rsid w:val="1F9562A9"/>
    <w:rsid w:val="1F985608"/>
    <w:rsid w:val="1FA12306"/>
    <w:rsid w:val="1FA13A24"/>
    <w:rsid w:val="1FA62BF3"/>
    <w:rsid w:val="1FB21E1D"/>
    <w:rsid w:val="1FB27DE5"/>
    <w:rsid w:val="1FB65DB1"/>
    <w:rsid w:val="1FB77434"/>
    <w:rsid w:val="1FC02472"/>
    <w:rsid w:val="1FC2787D"/>
    <w:rsid w:val="1FC61D6D"/>
    <w:rsid w:val="1FCC4AAA"/>
    <w:rsid w:val="1FCD71AC"/>
    <w:rsid w:val="1FF02946"/>
    <w:rsid w:val="1FF6589D"/>
    <w:rsid w:val="1FF70178"/>
    <w:rsid w:val="1FFC7CC2"/>
    <w:rsid w:val="2000527E"/>
    <w:rsid w:val="20015A6D"/>
    <w:rsid w:val="200C3AA1"/>
    <w:rsid w:val="20166850"/>
    <w:rsid w:val="201D477E"/>
    <w:rsid w:val="2029533F"/>
    <w:rsid w:val="20313E68"/>
    <w:rsid w:val="20464691"/>
    <w:rsid w:val="2059498F"/>
    <w:rsid w:val="205B4263"/>
    <w:rsid w:val="205B4D16"/>
    <w:rsid w:val="20654C19"/>
    <w:rsid w:val="206A30D6"/>
    <w:rsid w:val="206B546A"/>
    <w:rsid w:val="207215AC"/>
    <w:rsid w:val="20782AFD"/>
    <w:rsid w:val="2079142E"/>
    <w:rsid w:val="2079293B"/>
    <w:rsid w:val="20801F1B"/>
    <w:rsid w:val="208927A0"/>
    <w:rsid w:val="20951ECE"/>
    <w:rsid w:val="20974516"/>
    <w:rsid w:val="20992FDD"/>
    <w:rsid w:val="20A96A99"/>
    <w:rsid w:val="20A976C4"/>
    <w:rsid w:val="20AC34E7"/>
    <w:rsid w:val="20AE211E"/>
    <w:rsid w:val="20B16F4C"/>
    <w:rsid w:val="20B5492D"/>
    <w:rsid w:val="20B83D70"/>
    <w:rsid w:val="20C1210B"/>
    <w:rsid w:val="20C14C32"/>
    <w:rsid w:val="20C31E08"/>
    <w:rsid w:val="20C52024"/>
    <w:rsid w:val="20CB3924"/>
    <w:rsid w:val="20D90628"/>
    <w:rsid w:val="20DB2FF3"/>
    <w:rsid w:val="20DD2ECA"/>
    <w:rsid w:val="20DE6C42"/>
    <w:rsid w:val="20E10703"/>
    <w:rsid w:val="20E24D63"/>
    <w:rsid w:val="20E56222"/>
    <w:rsid w:val="20E60F42"/>
    <w:rsid w:val="20F31288"/>
    <w:rsid w:val="20F6042F"/>
    <w:rsid w:val="20FF594C"/>
    <w:rsid w:val="21034850"/>
    <w:rsid w:val="210C37AF"/>
    <w:rsid w:val="21116A82"/>
    <w:rsid w:val="2119526B"/>
    <w:rsid w:val="21220D3E"/>
    <w:rsid w:val="212A1E36"/>
    <w:rsid w:val="21332739"/>
    <w:rsid w:val="21354AB4"/>
    <w:rsid w:val="21364C79"/>
    <w:rsid w:val="21387E7B"/>
    <w:rsid w:val="214A3DCF"/>
    <w:rsid w:val="21535882"/>
    <w:rsid w:val="215F299B"/>
    <w:rsid w:val="21751354"/>
    <w:rsid w:val="21752A69"/>
    <w:rsid w:val="217A0240"/>
    <w:rsid w:val="217C182D"/>
    <w:rsid w:val="218461CF"/>
    <w:rsid w:val="21894E00"/>
    <w:rsid w:val="21974C34"/>
    <w:rsid w:val="219C5412"/>
    <w:rsid w:val="21AB00E8"/>
    <w:rsid w:val="21AB205E"/>
    <w:rsid w:val="21BF1049"/>
    <w:rsid w:val="21BF72A1"/>
    <w:rsid w:val="21C02800"/>
    <w:rsid w:val="21C3592D"/>
    <w:rsid w:val="21C55F53"/>
    <w:rsid w:val="21C739A4"/>
    <w:rsid w:val="21D13526"/>
    <w:rsid w:val="21DB6E7F"/>
    <w:rsid w:val="21DC50B7"/>
    <w:rsid w:val="21E861CC"/>
    <w:rsid w:val="21FC530F"/>
    <w:rsid w:val="22120EF4"/>
    <w:rsid w:val="222B78BA"/>
    <w:rsid w:val="22356D36"/>
    <w:rsid w:val="223C100F"/>
    <w:rsid w:val="224D0EBF"/>
    <w:rsid w:val="224D407F"/>
    <w:rsid w:val="224E6146"/>
    <w:rsid w:val="22563FE2"/>
    <w:rsid w:val="225818BF"/>
    <w:rsid w:val="225A2932"/>
    <w:rsid w:val="22600A35"/>
    <w:rsid w:val="226B2757"/>
    <w:rsid w:val="226F6BC0"/>
    <w:rsid w:val="22863542"/>
    <w:rsid w:val="2299772B"/>
    <w:rsid w:val="229A263B"/>
    <w:rsid w:val="22A60671"/>
    <w:rsid w:val="22A84E37"/>
    <w:rsid w:val="22B4304D"/>
    <w:rsid w:val="22BF5A51"/>
    <w:rsid w:val="22C7400A"/>
    <w:rsid w:val="22CC769A"/>
    <w:rsid w:val="22D63E70"/>
    <w:rsid w:val="22E06CA1"/>
    <w:rsid w:val="22E64C5B"/>
    <w:rsid w:val="22E90B51"/>
    <w:rsid w:val="22F44F68"/>
    <w:rsid w:val="230010F2"/>
    <w:rsid w:val="23021720"/>
    <w:rsid w:val="231064EB"/>
    <w:rsid w:val="231C6D05"/>
    <w:rsid w:val="232272BA"/>
    <w:rsid w:val="232741BD"/>
    <w:rsid w:val="233A2E59"/>
    <w:rsid w:val="23403BE4"/>
    <w:rsid w:val="234447CD"/>
    <w:rsid w:val="234A68AA"/>
    <w:rsid w:val="234C4337"/>
    <w:rsid w:val="2352623A"/>
    <w:rsid w:val="23594B35"/>
    <w:rsid w:val="235E0C64"/>
    <w:rsid w:val="23655DFC"/>
    <w:rsid w:val="237240DB"/>
    <w:rsid w:val="237C10C0"/>
    <w:rsid w:val="237C2E6E"/>
    <w:rsid w:val="23815AAD"/>
    <w:rsid w:val="2382654D"/>
    <w:rsid w:val="238B1303"/>
    <w:rsid w:val="238B509A"/>
    <w:rsid w:val="2398757C"/>
    <w:rsid w:val="239A1546"/>
    <w:rsid w:val="23BD591B"/>
    <w:rsid w:val="23D20CE0"/>
    <w:rsid w:val="23E71185"/>
    <w:rsid w:val="23E80503"/>
    <w:rsid w:val="23EA5690"/>
    <w:rsid w:val="23F437C8"/>
    <w:rsid w:val="240E2941"/>
    <w:rsid w:val="24100D5B"/>
    <w:rsid w:val="24233AAA"/>
    <w:rsid w:val="2426102C"/>
    <w:rsid w:val="24401886"/>
    <w:rsid w:val="244157BB"/>
    <w:rsid w:val="244A6AC8"/>
    <w:rsid w:val="24537BF4"/>
    <w:rsid w:val="2455546D"/>
    <w:rsid w:val="24596D0B"/>
    <w:rsid w:val="245B76D1"/>
    <w:rsid w:val="24616FB0"/>
    <w:rsid w:val="246A42CA"/>
    <w:rsid w:val="246D68B4"/>
    <w:rsid w:val="246D6C5B"/>
    <w:rsid w:val="247240E4"/>
    <w:rsid w:val="247973AD"/>
    <w:rsid w:val="247F5D13"/>
    <w:rsid w:val="249935AC"/>
    <w:rsid w:val="24A20CE8"/>
    <w:rsid w:val="24A563F4"/>
    <w:rsid w:val="24AA2584"/>
    <w:rsid w:val="24AE2274"/>
    <w:rsid w:val="24BF7AF3"/>
    <w:rsid w:val="24C0322E"/>
    <w:rsid w:val="24C26FA6"/>
    <w:rsid w:val="24C70119"/>
    <w:rsid w:val="24D2380E"/>
    <w:rsid w:val="24D54DB0"/>
    <w:rsid w:val="24DD44A9"/>
    <w:rsid w:val="24E0216B"/>
    <w:rsid w:val="24E625D6"/>
    <w:rsid w:val="24E9072C"/>
    <w:rsid w:val="24EA2059"/>
    <w:rsid w:val="24EC5DD1"/>
    <w:rsid w:val="24F82B87"/>
    <w:rsid w:val="25072C0B"/>
    <w:rsid w:val="25105740"/>
    <w:rsid w:val="2514705E"/>
    <w:rsid w:val="253D487F"/>
    <w:rsid w:val="25407ECB"/>
    <w:rsid w:val="25457290"/>
    <w:rsid w:val="254A1B42"/>
    <w:rsid w:val="254C1482"/>
    <w:rsid w:val="25511EB6"/>
    <w:rsid w:val="257F61AC"/>
    <w:rsid w:val="258B55EA"/>
    <w:rsid w:val="25922D54"/>
    <w:rsid w:val="2595516C"/>
    <w:rsid w:val="259879AE"/>
    <w:rsid w:val="25A272D2"/>
    <w:rsid w:val="25AA7CDE"/>
    <w:rsid w:val="25B82C5F"/>
    <w:rsid w:val="25BD2CE7"/>
    <w:rsid w:val="25C05DF8"/>
    <w:rsid w:val="25C66622"/>
    <w:rsid w:val="25C90E6F"/>
    <w:rsid w:val="25D27E7B"/>
    <w:rsid w:val="25D80104"/>
    <w:rsid w:val="25E777B3"/>
    <w:rsid w:val="25F86609"/>
    <w:rsid w:val="261965FA"/>
    <w:rsid w:val="26207390"/>
    <w:rsid w:val="262D48F3"/>
    <w:rsid w:val="262F6807"/>
    <w:rsid w:val="263C3A44"/>
    <w:rsid w:val="26487037"/>
    <w:rsid w:val="264D6441"/>
    <w:rsid w:val="26673AB3"/>
    <w:rsid w:val="26700C16"/>
    <w:rsid w:val="2696419A"/>
    <w:rsid w:val="269815C4"/>
    <w:rsid w:val="269B4526"/>
    <w:rsid w:val="26AD56A2"/>
    <w:rsid w:val="26AE4F87"/>
    <w:rsid w:val="26BA730E"/>
    <w:rsid w:val="26BD14E9"/>
    <w:rsid w:val="26E53F53"/>
    <w:rsid w:val="26E61628"/>
    <w:rsid w:val="26EB1117"/>
    <w:rsid w:val="26F3796C"/>
    <w:rsid w:val="26F937E6"/>
    <w:rsid w:val="270964D5"/>
    <w:rsid w:val="27140311"/>
    <w:rsid w:val="27141BEE"/>
    <w:rsid w:val="27144105"/>
    <w:rsid w:val="271A6966"/>
    <w:rsid w:val="27217726"/>
    <w:rsid w:val="272916F4"/>
    <w:rsid w:val="272950BB"/>
    <w:rsid w:val="272D1633"/>
    <w:rsid w:val="273E5664"/>
    <w:rsid w:val="274076DB"/>
    <w:rsid w:val="274D41DE"/>
    <w:rsid w:val="274F2171"/>
    <w:rsid w:val="274F712B"/>
    <w:rsid w:val="27514612"/>
    <w:rsid w:val="27576182"/>
    <w:rsid w:val="275E0F3C"/>
    <w:rsid w:val="27644345"/>
    <w:rsid w:val="27656BD3"/>
    <w:rsid w:val="27693B39"/>
    <w:rsid w:val="276F7DBD"/>
    <w:rsid w:val="27724B77"/>
    <w:rsid w:val="27772CF5"/>
    <w:rsid w:val="27797DE0"/>
    <w:rsid w:val="277A238F"/>
    <w:rsid w:val="27836B4A"/>
    <w:rsid w:val="278D208C"/>
    <w:rsid w:val="27922E3B"/>
    <w:rsid w:val="279271FC"/>
    <w:rsid w:val="27956CD8"/>
    <w:rsid w:val="27965B8B"/>
    <w:rsid w:val="27983FEE"/>
    <w:rsid w:val="279D1605"/>
    <w:rsid w:val="279F2E2C"/>
    <w:rsid w:val="27AF5F7F"/>
    <w:rsid w:val="27C90259"/>
    <w:rsid w:val="27E923A6"/>
    <w:rsid w:val="27EA3E51"/>
    <w:rsid w:val="27F05935"/>
    <w:rsid w:val="27F632DD"/>
    <w:rsid w:val="27FC632B"/>
    <w:rsid w:val="2801093C"/>
    <w:rsid w:val="280C265D"/>
    <w:rsid w:val="280F02B1"/>
    <w:rsid w:val="28186EDD"/>
    <w:rsid w:val="282657F7"/>
    <w:rsid w:val="283F5857"/>
    <w:rsid w:val="284C5056"/>
    <w:rsid w:val="284E4E2B"/>
    <w:rsid w:val="28514BDE"/>
    <w:rsid w:val="285C14C0"/>
    <w:rsid w:val="285C7BC6"/>
    <w:rsid w:val="286A598B"/>
    <w:rsid w:val="286E52A5"/>
    <w:rsid w:val="28710B0E"/>
    <w:rsid w:val="287C01BD"/>
    <w:rsid w:val="287C4933"/>
    <w:rsid w:val="287F59EE"/>
    <w:rsid w:val="288610ED"/>
    <w:rsid w:val="2887456A"/>
    <w:rsid w:val="28990AF5"/>
    <w:rsid w:val="28AC7146"/>
    <w:rsid w:val="28BB61E6"/>
    <w:rsid w:val="28C30148"/>
    <w:rsid w:val="28C452EB"/>
    <w:rsid w:val="28CE5BC0"/>
    <w:rsid w:val="28D472A8"/>
    <w:rsid w:val="28D86C53"/>
    <w:rsid w:val="28D9041B"/>
    <w:rsid w:val="28E12EEC"/>
    <w:rsid w:val="28E219C5"/>
    <w:rsid w:val="28EB3D47"/>
    <w:rsid w:val="28F05B32"/>
    <w:rsid w:val="28F74D45"/>
    <w:rsid w:val="28FC2B68"/>
    <w:rsid w:val="29003771"/>
    <w:rsid w:val="290B259E"/>
    <w:rsid w:val="290F42BC"/>
    <w:rsid w:val="291131F8"/>
    <w:rsid w:val="291204B3"/>
    <w:rsid w:val="29147CD7"/>
    <w:rsid w:val="29172B11"/>
    <w:rsid w:val="29223179"/>
    <w:rsid w:val="292313E1"/>
    <w:rsid w:val="29237292"/>
    <w:rsid w:val="29256EDA"/>
    <w:rsid w:val="292F2731"/>
    <w:rsid w:val="29395AD1"/>
    <w:rsid w:val="29415547"/>
    <w:rsid w:val="294A768D"/>
    <w:rsid w:val="294B33A8"/>
    <w:rsid w:val="29523F82"/>
    <w:rsid w:val="295977AD"/>
    <w:rsid w:val="29607ADA"/>
    <w:rsid w:val="29712D49"/>
    <w:rsid w:val="29730EAB"/>
    <w:rsid w:val="297529B6"/>
    <w:rsid w:val="29780EC3"/>
    <w:rsid w:val="297F63E2"/>
    <w:rsid w:val="29811004"/>
    <w:rsid w:val="298B39A7"/>
    <w:rsid w:val="29997386"/>
    <w:rsid w:val="299D58EC"/>
    <w:rsid w:val="29AA4023"/>
    <w:rsid w:val="29B029E9"/>
    <w:rsid w:val="29B10B3F"/>
    <w:rsid w:val="29C72969"/>
    <w:rsid w:val="29D506B9"/>
    <w:rsid w:val="29D82DC8"/>
    <w:rsid w:val="29DE55FF"/>
    <w:rsid w:val="29DF3D43"/>
    <w:rsid w:val="29E67293"/>
    <w:rsid w:val="29E928DF"/>
    <w:rsid w:val="29EC23D0"/>
    <w:rsid w:val="29FA2D3E"/>
    <w:rsid w:val="29FF498C"/>
    <w:rsid w:val="2A00613A"/>
    <w:rsid w:val="2A0F172D"/>
    <w:rsid w:val="2A1A6F3D"/>
    <w:rsid w:val="2A3B1864"/>
    <w:rsid w:val="2A456589"/>
    <w:rsid w:val="2A4A6D03"/>
    <w:rsid w:val="2A510485"/>
    <w:rsid w:val="2A5B4807"/>
    <w:rsid w:val="2A6C52BE"/>
    <w:rsid w:val="2A7725E1"/>
    <w:rsid w:val="2A7C4806"/>
    <w:rsid w:val="2A837B23"/>
    <w:rsid w:val="2A845E7D"/>
    <w:rsid w:val="2A985DA7"/>
    <w:rsid w:val="2AAB4039"/>
    <w:rsid w:val="2AB7478C"/>
    <w:rsid w:val="2ABF7AE4"/>
    <w:rsid w:val="2AC46B39"/>
    <w:rsid w:val="2ACD2201"/>
    <w:rsid w:val="2ADA3B97"/>
    <w:rsid w:val="2ADE0C2E"/>
    <w:rsid w:val="2AE632C3"/>
    <w:rsid w:val="2AF33558"/>
    <w:rsid w:val="2AF51085"/>
    <w:rsid w:val="2AF754D0"/>
    <w:rsid w:val="2AFF1E1F"/>
    <w:rsid w:val="2B0717DF"/>
    <w:rsid w:val="2B16314B"/>
    <w:rsid w:val="2B175A2B"/>
    <w:rsid w:val="2B261911"/>
    <w:rsid w:val="2B3109E2"/>
    <w:rsid w:val="2B4008AA"/>
    <w:rsid w:val="2B4C75CA"/>
    <w:rsid w:val="2B4D4A0F"/>
    <w:rsid w:val="2B4F3C9D"/>
    <w:rsid w:val="2B53670E"/>
    <w:rsid w:val="2B613833"/>
    <w:rsid w:val="2B622B1C"/>
    <w:rsid w:val="2B667F60"/>
    <w:rsid w:val="2B724B56"/>
    <w:rsid w:val="2B77780F"/>
    <w:rsid w:val="2B795EE5"/>
    <w:rsid w:val="2B7B1662"/>
    <w:rsid w:val="2B7E34FB"/>
    <w:rsid w:val="2B8C17C6"/>
    <w:rsid w:val="2BA024ED"/>
    <w:rsid w:val="2BA07916"/>
    <w:rsid w:val="2BAF4C77"/>
    <w:rsid w:val="2BBD2055"/>
    <w:rsid w:val="2BE85785"/>
    <w:rsid w:val="2C09185D"/>
    <w:rsid w:val="2C0B7DF0"/>
    <w:rsid w:val="2C0E274C"/>
    <w:rsid w:val="2C1864B9"/>
    <w:rsid w:val="2C247FC6"/>
    <w:rsid w:val="2C3042EA"/>
    <w:rsid w:val="2C484235"/>
    <w:rsid w:val="2C5466FC"/>
    <w:rsid w:val="2C597F25"/>
    <w:rsid w:val="2C5B3022"/>
    <w:rsid w:val="2C5C4E15"/>
    <w:rsid w:val="2C5C5FE3"/>
    <w:rsid w:val="2C680433"/>
    <w:rsid w:val="2C701096"/>
    <w:rsid w:val="2C8B6E08"/>
    <w:rsid w:val="2C90798A"/>
    <w:rsid w:val="2C9F3729"/>
    <w:rsid w:val="2CB12100"/>
    <w:rsid w:val="2CBC6189"/>
    <w:rsid w:val="2CBD0053"/>
    <w:rsid w:val="2CC64572"/>
    <w:rsid w:val="2CD14882"/>
    <w:rsid w:val="2CDA6E57"/>
    <w:rsid w:val="2CDD4252"/>
    <w:rsid w:val="2CE93835"/>
    <w:rsid w:val="2CF05003"/>
    <w:rsid w:val="2CF3753A"/>
    <w:rsid w:val="2D012636"/>
    <w:rsid w:val="2D045637"/>
    <w:rsid w:val="2D143511"/>
    <w:rsid w:val="2D1F5163"/>
    <w:rsid w:val="2D2760DA"/>
    <w:rsid w:val="2D320A41"/>
    <w:rsid w:val="2D4477EE"/>
    <w:rsid w:val="2D455343"/>
    <w:rsid w:val="2D482D83"/>
    <w:rsid w:val="2D4F19D0"/>
    <w:rsid w:val="2D566DA8"/>
    <w:rsid w:val="2D597D7C"/>
    <w:rsid w:val="2D7352E2"/>
    <w:rsid w:val="2D7B000F"/>
    <w:rsid w:val="2D7D77CA"/>
    <w:rsid w:val="2D7E7EA2"/>
    <w:rsid w:val="2D806488"/>
    <w:rsid w:val="2D8172D3"/>
    <w:rsid w:val="2D964B2C"/>
    <w:rsid w:val="2DAE6D54"/>
    <w:rsid w:val="2DB11BBA"/>
    <w:rsid w:val="2DB906C1"/>
    <w:rsid w:val="2DC41DAC"/>
    <w:rsid w:val="2DC53269"/>
    <w:rsid w:val="2DC5361A"/>
    <w:rsid w:val="2DD108D9"/>
    <w:rsid w:val="2DD41AF8"/>
    <w:rsid w:val="2DD4300E"/>
    <w:rsid w:val="2DF91807"/>
    <w:rsid w:val="2DFD104F"/>
    <w:rsid w:val="2E024503"/>
    <w:rsid w:val="2E093550"/>
    <w:rsid w:val="2E097F8A"/>
    <w:rsid w:val="2E0A551A"/>
    <w:rsid w:val="2E175D83"/>
    <w:rsid w:val="2E214A56"/>
    <w:rsid w:val="2E3014D6"/>
    <w:rsid w:val="2E373AE6"/>
    <w:rsid w:val="2E3747BF"/>
    <w:rsid w:val="2E3D636F"/>
    <w:rsid w:val="2E413F38"/>
    <w:rsid w:val="2E5642BC"/>
    <w:rsid w:val="2E652751"/>
    <w:rsid w:val="2E666CF2"/>
    <w:rsid w:val="2E74441E"/>
    <w:rsid w:val="2E7B2A71"/>
    <w:rsid w:val="2E7D0881"/>
    <w:rsid w:val="2EA161B8"/>
    <w:rsid w:val="2EA2662E"/>
    <w:rsid w:val="2EAE40F8"/>
    <w:rsid w:val="2EAE7056"/>
    <w:rsid w:val="2EBF6A4D"/>
    <w:rsid w:val="2EC14611"/>
    <w:rsid w:val="2EC93613"/>
    <w:rsid w:val="2ECA6749"/>
    <w:rsid w:val="2ED469B6"/>
    <w:rsid w:val="2ED81ADC"/>
    <w:rsid w:val="2EE852E1"/>
    <w:rsid w:val="2EED4AA2"/>
    <w:rsid w:val="2EFD54E9"/>
    <w:rsid w:val="2F1228D8"/>
    <w:rsid w:val="2F152242"/>
    <w:rsid w:val="2F1D7684"/>
    <w:rsid w:val="2F1F4CE5"/>
    <w:rsid w:val="2F1F63D3"/>
    <w:rsid w:val="2F215A85"/>
    <w:rsid w:val="2F3009DC"/>
    <w:rsid w:val="2F34294E"/>
    <w:rsid w:val="2F3D07E8"/>
    <w:rsid w:val="2F3D0E38"/>
    <w:rsid w:val="2F57478F"/>
    <w:rsid w:val="2F58148F"/>
    <w:rsid w:val="2F6173BC"/>
    <w:rsid w:val="2F6442A6"/>
    <w:rsid w:val="2F65220E"/>
    <w:rsid w:val="2F68699C"/>
    <w:rsid w:val="2F7964B4"/>
    <w:rsid w:val="2F9C21A2"/>
    <w:rsid w:val="2F9F4A06"/>
    <w:rsid w:val="2FA0007A"/>
    <w:rsid w:val="2FA15CAB"/>
    <w:rsid w:val="2FA36539"/>
    <w:rsid w:val="2FB715F3"/>
    <w:rsid w:val="2FC16D53"/>
    <w:rsid w:val="2FC57B6E"/>
    <w:rsid w:val="2FD30FB9"/>
    <w:rsid w:val="2FDE27BA"/>
    <w:rsid w:val="2FE25779"/>
    <w:rsid w:val="2FED78BE"/>
    <w:rsid w:val="2FF535C3"/>
    <w:rsid w:val="2FFB4856"/>
    <w:rsid w:val="30030473"/>
    <w:rsid w:val="300E2CF5"/>
    <w:rsid w:val="30122CCE"/>
    <w:rsid w:val="301508B6"/>
    <w:rsid w:val="301D33E3"/>
    <w:rsid w:val="302132D1"/>
    <w:rsid w:val="30300320"/>
    <w:rsid w:val="3050788F"/>
    <w:rsid w:val="305D0430"/>
    <w:rsid w:val="305E4CC4"/>
    <w:rsid w:val="305F3029"/>
    <w:rsid w:val="30696528"/>
    <w:rsid w:val="307B15A7"/>
    <w:rsid w:val="307C26FF"/>
    <w:rsid w:val="30847A39"/>
    <w:rsid w:val="308D1A99"/>
    <w:rsid w:val="308E5F8F"/>
    <w:rsid w:val="30A34066"/>
    <w:rsid w:val="30AE52FE"/>
    <w:rsid w:val="30C85B92"/>
    <w:rsid w:val="30C9346B"/>
    <w:rsid w:val="30CE5DA2"/>
    <w:rsid w:val="30DF47AA"/>
    <w:rsid w:val="30EB518F"/>
    <w:rsid w:val="30F524B2"/>
    <w:rsid w:val="310224D9"/>
    <w:rsid w:val="31091D0B"/>
    <w:rsid w:val="311A734D"/>
    <w:rsid w:val="31216E03"/>
    <w:rsid w:val="31244B7C"/>
    <w:rsid w:val="31264419"/>
    <w:rsid w:val="313528AE"/>
    <w:rsid w:val="31402388"/>
    <w:rsid w:val="31436D79"/>
    <w:rsid w:val="31496359"/>
    <w:rsid w:val="314A45AB"/>
    <w:rsid w:val="315009A2"/>
    <w:rsid w:val="3157644A"/>
    <w:rsid w:val="31592A40"/>
    <w:rsid w:val="315F792B"/>
    <w:rsid w:val="3166494C"/>
    <w:rsid w:val="316B2774"/>
    <w:rsid w:val="31703B9E"/>
    <w:rsid w:val="31744DC4"/>
    <w:rsid w:val="31774C75"/>
    <w:rsid w:val="317C672F"/>
    <w:rsid w:val="31815AF3"/>
    <w:rsid w:val="31984B67"/>
    <w:rsid w:val="31AA0972"/>
    <w:rsid w:val="31B1462B"/>
    <w:rsid w:val="31B9703B"/>
    <w:rsid w:val="31BF0C8F"/>
    <w:rsid w:val="31BF543B"/>
    <w:rsid w:val="31D803A4"/>
    <w:rsid w:val="31EE4BAA"/>
    <w:rsid w:val="31F5436E"/>
    <w:rsid w:val="320107D3"/>
    <w:rsid w:val="32017CE3"/>
    <w:rsid w:val="32047242"/>
    <w:rsid w:val="32090D5E"/>
    <w:rsid w:val="320E1310"/>
    <w:rsid w:val="3216623C"/>
    <w:rsid w:val="321E77E6"/>
    <w:rsid w:val="32243194"/>
    <w:rsid w:val="32293461"/>
    <w:rsid w:val="323668DE"/>
    <w:rsid w:val="3239017C"/>
    <w:rsid w:val="323E38D2"/>
    <w:rsid w:val="323E5792"/>
    <w:rsid w:val="324E00CB"/>
    <w:rsid w:val="3263631F"/>
    <w:rsid w:val="32700E61"/>
    <w:rsid w:val="32717916"/>
    <w:rsid w:val="327242F9"/>
    <w:rsid w:val="32747406"/>
    <w:rsid w:val="32751552"/>
    <w:rsid w:val="32911D66"/>
    <w:rsid w:val="329449DE"/>
    <w:rsid w:val="32952EAB"/>
    <w:rsid w:val="329E2C95"/>
    <w:rsid w:val="329F394D"/>
    <w:rsid w:val="329F5FB7"/>
    <w:rsid w:val="32A355BC"/>
    <w:rsid w:val="32A93554"/>
    <w:rsid w:val="32AB72CC"/>
    <w:rsid w:val="32C00D78"/>
    <w:rsid w:val="32D11EE7"/>
    <w:rsid w:val="32D53264"/>
    <w:rsid w:val="32DF0D23"/>
    <w:rsid w:val="32FE389F"/>
    <w:rsid w:val="330F350A"/>
    <w:rsid w:val="33222A9A"/>
    <w:rsid w:val="332570B0"/>
    <w:rsid w:val="3328091C"/>
    <w:rsid w:val="332D1CBE"/>
    <w:rsid w:val="33311883"/>
    <w:rsid w:val="3333106F"/>
    <w:rsid w:val="333332E1"/>
    <w:rsid w:val="33347687"/>
    <w:rsid w:val="333E48AD"/>
    <w:rsid w:val="33435D00"/>
    <w:rsid w:val="33480719"/>
    <w:rsid w:val="335C05C6"/>
    <w:rsid w:val="336B7E4A"/>
    <w:rsid w:val="336F38F7"/>
    <w:rsid w:val="3370375F"/>
    <w:rsid w:val="33823315"/>
    <w:rsid w:val="3393648E"/>
    <w:rsid w:val="339C412A"/>
    <w:rsid w:val="339D5261"/>
    <w:rsid w:val="33A24189"/>
    <w:rsid w:val="33B0446E"/>
    <w:rsid w:val="33B062B8"/>
    <w:rsid w:val="33B213D9"/>
    <w:rsid w:val="33C5616B"/>
    <w:rsid w:val="33CB1E46"/>
    <w:rsid w:val="33CC47F2"/>
    <w:rsid w:val="33D33385"/>
    <w:rsid w:val="33E12879"/>
    <w:rsid w:val="33EB36F8"/>
    <w:rsid w:val="33EF4F96"/>
    <w:rsid w:val="33F4771A"/>
    <w:rsid w:val="33F61444"/>
    <w:rsid w:val="340B78F6"/>
    <w:rsid w:val="340F5638"/>
    <w:rsid w:val="341A704C"/>
    <w:rsid w:val="341C0ACF"/>
    <w:rsid w:val="342E2692"/>
    <w:rsid w:val="343243ED"/>
    <w:rsid w:val="343432F1"/>
    <w:rsid w:val="343469C4"/>
    <w:rsid w:val="344D6D76"/>
    <w:rsid w:val="34624864"/>
    <w:rsid w:val="34802092"/>
    <w:rsid w:val="348801BE"/>
    <w:rsid w:val="34897199"/>
    <w:rsid w:val="34937C60"/>
    <w:rsid w:val="34955EDA"/>
    <w:rsid w:val="349A334C"/>
    <w:rsid w:val="349B511E"/>
    <w:rsid w:val="34B911CA"/>
    <w:rsid w:val="34CA78C0"/>
    <w:rsid w:val="34D643A8"/>
    <w:rsid w:val="34E062AB"/>
    <w:rsid w:val="34E24AFB"/>
    <w:rsid w:val="34F463A2"/>
    <w:rsid w:val="34F76CCC"/>
    <w:rsid w:val="34FC0DC9"/>
    <w:rsid w:val="34FD397E"/>
    <w:rsid w:val="350155EE"/>
    <w:rsid w:val="35066C35"/>
    <w:rsid w:val="35175DFE"/>
    <w:rsid w:val="35224584"/>
    <w:rsid w:val="35284C04"/>
    <w:rsid w:val="353512EA"/>
    <w:rsid w:val="353C420B"/>
    <w:rsid w:val="353D61D5"/>
    <w:rsid w:val="35411821"/>
    <w:rsid w:val="354A0A0E"/>
    <w:rsid w:val="354D466A"/>
    <w:rsid w:val="35586223"/>
    <w:rsid w:val="355C343D"/>
    <w:rsid w:val="357670D7"/>
    <w:rsid w:val="35830C72"/>
    <w:rsid w:val="35832DF3"/>
    <w:rsid w:val="35843E04"/>
    <w:rsid w:val="358D6981"/>
    <w:rsid w:val="359140AD"/>
    <w:rsid w:val="3592207D"/>
    <w:rsid w:val="35935DF5"/>
    <w:rsid w:val="35A418C4"/>
    <w:rsid w:val="35AB75E3"/>
    <w:rsid w:val="35B34B48"/>
    <w:rsid w:val="35C04C98"/>
    <w:rsid w:val="35D86C1A"/>
    <w:rsid w:val="35E10D4E"/>
    <w:rsid w:val="35ED30EC"/>
    <w:rsid w:val="35F30F0B"/>
    <w:rsid w:val="35F40911"/>
    <w:rsid w:val="35F80B06"/>
    <w:rsid w:val="35FA5E74"/>
    <w:rsid w:val="36015455"/>
    <w:rsid w:val="360D1791"/>
    <w:rsid w:val="360D204B"/>
    <w:rsid w:val="360D425A"/>
    <w:rsid w:val="3614778B"/>
    <w:rsid w:val="36160F00"/>
    <w:rsid w:val="361E6007"/>
    <w:rsid w:val="36253B84"/>
    <w:rsid w:val="362A49AB"/>
    <w:rsid w:val="362E4D60"/>
    <w:rsid w:val="36315D3A"/>
    <w:rsid w:val="363C3B87"/>
    <w:rsid w:val="363F240E"/>
    <w:rsid w:val="36401A4A"/>
    <w:rsid w:val="36455341"/>
    <w:rsid w:val="36581519"/>
    <w:rsid w:val="36645DCC"/>
    <w:rsid w:val="366652B8"/>
    <w:rsid w:val="36767721"/>
    <w:rsid w:val="368447D1"/>
    <w:rsid w:val="368920CF"/>
    <w:rsid w:val="369313B0"/>
    <w:rsid w:val="369462C9"/>
    <w:rsid w:val="36AE738B"/>
    <w:rsid w:val="36C070BE"/>
    <w:rsid w:val="36CC3F1F"/>
    <w:rsid w:val="36CE3589"/>
    <w:rsid w:val="36D36DF1"/>
    <w:rsid w:val="36D92E29"/>
    <w:rsid w:val="36DC66B2"/>
    <w:rsid w:val="36E83F1F"/>
    <w:rsid w:val="36F079A3"/>
    <w:rsid w:val="36F51074"/>
    <w:rsid w:val="36FB1DFA"/>
    <w:rsid w:val="36FE5573"/>
    <w:rsid w:val="3701395E"/>
    <w:rsid w:val="37040D59"/>
    <w:rsid w:val="37060F75"/>
    <w:rsid w:val="3720190B"/>
    <w:rsid w:val="372F1B4E"/>
    <w:rsid w:val="373E065A"/>
    <w:rsid w:val="374E277E"/>
    <w:rsid w:val="3756526F"/>
    <w:rsid w:val="375A5436"/>
    <w:rsid w:val="375E0F6A"/>
    <w:rsid w:val="37627328"/>
    <w:rsid w:val="376B527C"/>
    <w:rsid w:val="37734130"/>
    <w:rsid w:val="37774F80"/>
    <w:rsid w:val="377F3E14"/>
    <w:rsid w:val="378123A9"/>
    <w:rsid w:val="378B7ED8"/>
    <w:rsid w:val="379426EC"/>
    <w:rsid w:val="37A676C7"/>
    <w:rsid w:val="37B54749"/>
    <w:rsid w:val="37C53281"/>
    <w:rsid w:val="37CA21FC"/>
    <w:rsid w:val="37D078F7"/>
    <w:rsid w:val="37D44BCF"/>
    <w:rsid w:val="37DA51B5"/>
    <w:rsid w:val="37E1553E"/>
    <w:rsid w:val="37E34E12"/>
    <w:rsid w:val="37EF6A22"/>
    <w:rsid w:val="37F76452"/>
    <w:rsid w:val="37FC5ED4"/>
    <w:rsid w:val="38013533"/>
    <w:rsid w:val="38091915"/>
    <w:rsid w:val="380E52E1"/>
    <w:rsid w:val="3814014A"/>
    <w:rsid w:val="381F0D0F"/>
    <w:rsid w:val="383C0BAF"/>
    <w:rsid w:val="38402264"/>
    <w:rsid w:val="384653A1"/>
    <w:rsid w:val="38653A79"/>
    <w:rsid w:val="38660EF8"/>
    <w:rsid w:val="386C1BC7"/>
    <w:rsid w:val="38735C94"/>
    <w:rsid w:val="387437CA"/>
    <w:rsid w:val="387F20BB"/>
    <w:rsid w:val="38846074"/>
    <w:rsid w:val="38883C0B"/>
    <w:rsid w:val="388C5876"/>
    <w:rsid w:val="388E7474"/>
    <w:rsid w:val="389035A6"/>
    <w:rsid w:val="38A54269"/>
    <w:rsid w:val="38AF2F46"/>
    <w:rsid w:val="38BA34C1"/>
    <w:rsid w:val="38BB5D8F"/>
    <w:rsid w:val="38BE762D"/>
    <w:rsid w:val="38BF32F0"/>
    <w:rsid w:val="38CE707C"/>
    <w:rsid w:val="38D0176E"/>
    <w:rsid w:val="38D97FC3"/>
    <w:rsid w:val="38DA69E4"/>
    <w:rsid w:val="38E766C8"/>
    <w:rsid w:val="38F66192"/>
    <w:rsid w:val="38FB4AF5"/>
    <w:rsid w:val="390A460D"/>
    <w:rsid w:val="390F665A"/>
    <w:rsid w:val="39104B12"/>
    <w:rsid w:val="39113C01"/>
    <w:rsid w:val="39175051"/>
    <w:rsid w:val="391F1DEA"/>
    <w:rsid w:val="39253208"/>
    <w:rsid w:val="39273424"/>
    <w:rsid w:val="393128FC"/>
    <w:rsid w:val="39347724"/>
    <w:rsid w:val="39371423"/>
    <w:rsid w:val="393D0552"/>
    <w:rsid w:val="39517FD6"/>
    <w:rsid w:val="395858F1"/>
    <w:rsid w:val="3976431E"/>
    <w:rsid w:val="397A17A6"/>
    <w:rsid w:val="39893797"/>
    <w:rsid w:val="399B34CA"/>
    <w:rsid w:val="399F1857"/>
    <w:rsid w:val="39A93E39"/>
    <w:rsid w:val="39C16CB7"/>
    <w:rsid w:val="39C328D0"/>
    <w:rsid w:val="39C90037"/>
    <w:rsid w:val="39E52F7A"/>
    <w:rsid w:val="39E743E6"/>
    <w:rsid w:val="39ED0E67"/>
    <w:rsid w:val="39F03816"/>
    <w:rsid w:val="39F07CBA"/>
    <w:rsid w:val="39F51FB5"/>
    <w:rsid w:val="39F64605"/>
    <w:rsid w:val="3A0260D2"/>
    <w:rsid w:val="3A145757"/>
    <w:rsid w:val="3A1B760C"/>
    <w:rsid w:val="3A1D3EBE"/>
    <w:rsid w:val="3A287CE7"/>
    <w:rsid w:val="3A331955"/>
    <w:rsid w:val="3A377697"/>
    <w:rsid w:val="3A3E4582"/>
    <w:rsid w:val="3A3F4401"/>
    <w:rsid w:val="3A426D04"/>
    <w:rsid w:val="3A5913BB"/>
    <w:rsid w:val="3A633141"/>
    <w:rsid w:val="3A6D62B1"/>
    <w:rsid w:val="3A726421"/>
    <w:rsid w:val="3A74136D"/>
    <w:rsid w:val="3A7C748B"/>
    <w:rsid w:val="3A7D171B"/>
    <w:rsid w:val="3A8A5D21"/>
    <w:rsid w:val="3A983753"/>
    <w:rsid w:val="3A9E7716"/>
    <w:rsid w:val="3AAC2A57"/>
    <w:rsid w:val="3AAF38E7"/>
    <w:rsid w:val="3AB15AD2"/>
    <w:rsid w:val="3AB74334"/>
    <w:rsid w:val="3AC14026"/>
    <w:rsid w:val="3ACD10F0"/>
    <w:rsid w:val="3AD36319"/>
    <w:rsid w:val="3AD94F10"/>
    <w:rsid w:val="3ADB1608"/>
    <w:rsid w:val="3AE74C19"/>
    <w:rsid w:val="3AEC222F"/>
    <w:rsid w:val="3AF0613B"/>
    <w:rsid w:val="3B014BDD"/>
    <w:rsid w:val="3B0925AD"/>
    <w:rsid w:val="3B0F1778"/>
    <w:rsid w:val="3B131EB2"/>
    <w:rsid w:val="3B196D9D"/>
    <w:rsid w:val="3B1B2B15"/>
    <w:rsid w:val="3B216441"/>
    <w:rsid w:val="3B2C087E"/>
    <w:rsid w:val="3B307F9B"/>
    <w:rsid w:val="3B334302"/>
    <w:rsid w:val="3B3B1402"/>
    <w:rsid w:val="3B437B88"/>
    <w:rsid w:val="3B46796D"/>
    <w:rsid w:val="3B4A33FA"/>
    <w:rsid w:val="3B4D7BE0"/>
    <w:rsid w:val="3B4E14F1"/>
    <w:rsid w:val="3B503883"/>
    <w:rsid w:val="3B615C43"/>
    <w:rsid w:val="3B691AD2"/>
    <w:rsid w:val="3B7172BA"/>
    <w:rsid w:val="3B7C6EA7"/>
    <w:rsid w:val="3B863350"/>
    <w:rsid w:val="3B866206"/>
    <w:rsid w:val="3B8909D3"/>
    <w:rsid w:val="3B8A37F6"/>
    <w:rsid w:val="3B950B19"/>
    <w:rsid w:val="3BA15D36"/>
    <w:rsid w:val="3BA62195"/>
    <w:rsid w:val="3BBA0580"/>
    <w:rsid w:val="3BBA36FA"/>
    <w:rsid w:val="3BCA6C26"/>
    <w:rsid w:val="3BD03E27"/>
    <w:rsid w:val="3BD30538"/>
    <w:rsid w:val="3BD749B5"/>
    <w:rsid w:val="3BE50E37"/>
    <w:rsid w:val="3BED1476"/>
    <w:rsid w:val="3BF45F34"/>
    <w:rsid w:val="3BFB40D3"/>
    <w:rsid w:val="3BFB42C7"/>
    <w:rsid w:val="3C012E3F"/>
    <w:rsid w:val="3C0346C4"/>
    <w:rsid w:val="3C096E11"/>
    <w:rsid w:val="3C1351AF"/>
    <w:rsid w:val="3C1A7270"/>
    <w:rsid w:val="3C202D31"/>
    <w:rsid w:val="3C2D6E50"/>
    <w:rsid w:val="3C2F2A38"/>
    <w:rsid w:val="3C3079FF"/>
    <w:rsid w:val="3C37572C"/>
    <w:rsid w:val="3C3F2833"/>
    <w:rsid w:val="3C414954"/>
    <w:rsid w:val="3C4427C8"/>
    <w:rsid w:val="3C4F7A3D"/>
    <w:rsid w:val="3C513234"/>
    <w:rsid w:val="3C6504EB"/>
    <w:rsid w:val="3C794FD5"/>
    <w:rsid w:val="3C7C5134"/>
    <w:rsid w:val="3C7F6E5C"/>
    <w:rsid w:val="3C8D17F0"/>
    <w:rsid w:val="3C8D7E78"/>
    <w:rsid w:val="3C905FB9"/>
    <w:rsid w:val="3C9938BC"/>
    <w:rsid w:val="3CA134EE"/>
    <w:rsid w:val="3CA1704A"/>
    <w:rsid w:val="3CA671C4"/>
    <w:rsid w:val="3CAA46F7"/>
    <w:rsid w:val="3CB00D50"/>
    <w:rsid w:val="3CB23005"/>
    <w:rsid w:val="3CB2325A"/>
    <w:rsid w:val="3CB64857"/>
    <w:rsid w:val="3CBF2E36"/>
    <w:rsid w:val="3CC52D38"/>
    <w:rsid w:val="3CE417D3"/>
    <w:rsid w:val="3CE57D2D"/>
    <w:rsid w:val="3CE77BA9"/>
    <w:rsid w:val="3CED04E1"/>
    <w:rsid w:val="3CF8135F"/>
    <w:rsid w:val="3CFD7AAA"/>
    <w:rsid w:val="3D023F8C"/>
    <w:rsid w:val="3D024CDB"/>
    <w:rsid w:val="3D07311F"/>
    <w:rsid w:val="3D08531B"/>
    <w:rsid w:val="3D3028D3"/>
    <w:rsid w:val="3D3A30F4"/>
    <w:rsid w:val="3D3D3216"/>
    <w:rsid w:val="3D3D4FC4"/>
    <w:rsid w:val="3D3E1294"/>
    <w:rsid w:val="3D3E5251"/>
    <w:rsid w:val="3D485717"/>
    <w:rsid w:val="3D4A6E81"/>
    <w:rsid w:val="3D4C3459"/>
    <w:rsid w:val="3D4F6AA6"/>
    <w:rsid w:val="3D5170E9"/>
    <w:rsid w:val="3D6764E5"/>
    <w:rsid w:val="3D711112"/>
    <w:rsid w:val="3D83453A"/>
    <w:rsid w:val="3D846543"/>
    <w:rsid w:val="3D864BBD"/>
    <w:rsid w:val="3D88002B"/>
    <w:rsid w:val="3D88120B"/>
    <w:rsid w:val="3D8F3346"/>
    <w:rsid w:val="3DA037A5"/>
    <w:rsid w:val="3DAC6706"/>
    <w:rsid w:val="3DAD475F"/>
    <w:rsid w:val="3DC01751"/>
    <w:rsid w:val="3DC56D68"/>
    <w:rsid w:val="3DC77B39"/>
    <w:rsid w:val="3DCE1A6F"/>
    <w:rsid w:val="3DF338D5"/>
    <w:rsid w:val="3DF5589F"/>
    <w:rsid w:val="3DF74D1B"/>
    <w:rsid w:val="3E097C2A"/>
    <w:rsid w:val="3E0E070F"/>
    <w:rsid w:val="3E10092B"/>
    <w:rsid w:val="3E151A9D"/>
    <w:rsid w:val="3E1C69D9"/>
    <w:rsid w:val="3E217459"/>
    <w:rsid w:val="3E217DC9"/>
    <w:rsid w:val="3E261EFC"/>
    <w:rsid w:val="3E2805F5"/>
    <w:rsid w:val="3E2972F7"/>
    <w:rsid w:val="3E2A4E15"/>
    <w:rsid w:val="3E392EA0"/>
    <w:rsid w:val="3E3E3028"/>
    <w:rsid w:val="3E3F2444"/>
    <w:rsid w:val="3E497999"/>
    <w:rsid w:val="3E4B54BF"/>
    <w:rsid w:val="3E4D1F1B"/>
    <w:rsid w:val="3E5B27BE"/>
    <w:rsid w:val="3E5D51F2"/>
    <w:rsid w:val="3E6F00C0"/>
    <w:rsid w:val="3E6F27D4"/>
    <w:rsid w:val="3E75253C"/>
    <w:rsid w:val="3E7D50BC"/>
    <w:rsid w:val="3E885F20"/>
    <w:rsid w:val="3E90381A"/>
    <w:rsid w:val="3E9317F5"/>
    <w:rsid w:val="3E9C1E20"/>
    <w:rsid w:val="3E9E1A93"/>
    <w:rsid w:val="3EBD79D8"/>
    <w:rsid w:val="3ED90D1D"/>
    <w:rsid w:val="3EE31B9B"/>
    <w:rsid w:val="3EFA2D23"/>
    <w:rsid w:val="3F1B1335"/>
    <w:rsid w:val="3F255D56"/>
    <w:rsid w:val="3F2F4DE1"/>
    <w:rsid w:val="3F2F67AA"/>
    <w:rsid w:val="3F324F50"/>
    <w:rsid w:val="3F367F1D"/>
    <w:rsid w:val="3F3917BB"/>
    <w:rsid w:val="3F397A0D"/>
    <w:rsid w:val="3F416A26"/>
    <w:rsid w:val="3F536D21"/>
    <w:rsid w:val="3F5518B5"/>
    <w:rsid w:val="3F5869C0"/>
    <w:rsid w:val="3F6820A1"/>
    <w:rsid w:val="3F6F1681"/>
    <w:rsid w:val="3F760C61"/>
    <w:rsid w:val="3F79215C"/>
    <w:rsid w:val="3F8844F1"/>
    <w:rsid w:val="3F900EAE"/>
    <w:rsid w:val="3F920365"/>
    <w:rsid w:val="3F995ACE"/>
    <w:rsid w:val="3FA05CDE"/>
    <w:rsid w:val="3FB27839"/>
    <w:rsid w:val="3FB5178A"/>
    <w:rsid w:val="3FB9006E"/>
    <w:rsid w:val="3FC75019"/>
    <w:rsid w:val="3FE47979"/>
    <w:rsid w:val="3FE57DDC"/>
    <w:rsid w:val="3FEB618B"/>
    <w:rsid w:val="3FF322B2"/>
    <w:rsid w:val="400A1411"/>
    <w:rsid w:val="400A245B"/>
    <w:rsid w:val="40137591"/>
    <w:rsid w:val="401A2BE8"/>
    <w:rsid w:val="40223FBC"/>
    <w:rsid w:val="40282828"/>
    <w:rsid w:val="402C5E5F"/>
    <w:rsid w:val="4037219F"/>
    <w:rsid w:val="403A57EB"/>
    <w:rsid w:val="40466AD2"/>
    <w:rsid w:val="404B2046"/>
    <w:rsid w:val="404B79F8"/>
    <w:rsid w:val="404F74B4"/>
    <w:rsid w:val="405868B6"/>
    <w:rsid w:val="406867FC"/>
    <w:rsid w:val="407E01F4"/>
    <w:rsid w:val="407E7A8A"/>
    <w:rsid w:val="4081341A"/>
    <w:rsid w:val="4082593F"/>
    <w:rsid w:val="40947735"/>
    <w:rsid w:val="40A11D0E"/>
    <w:rsid w:val="40B732E0"/>
    <w:rsid w:val="40BD028F"/>
    <w:rsid w:val="40BF3F42"/>
    <w:rsid w:val="40CA1167"/>
    <w:rsid w:val="40CB7856"/>
    <w:rsid w:val="40D81D6B"/>
    <w:rsid w:val="40E21D0B"/>
    <w:rsid w:val="40E30CEE"/>
    <w:rsid w:val="40E340D5"/>
    <w:rsid w:val="40F954CC"/>
    <w:rsid w:val="40FB5F01"/>
    <w:rsid w:val="410A47C8"/>
    <w:rsid w:val="410E5281"/>
    <w:rsid w:val="4112467C"/>
    <w:rsid w:val="41164A69"/>
    <w:rsid w:val="41200E85"/>
    <w:rsid w:val="41203230"/>
    <w:rsid w:val="41263FC1"/>
    <w:rsid w:val="41265D6F"/>
    <w:rsid w:val="41271C26"/>
    <w:rsid w:val="41351907"/>
    <w:rsid w:val="413B5CBF"/>
    <w:rsid w:val="414601C0"/>
    <w:rsid w:val="4146702D"/>
    <w:rsid w:val="41474308"/>
    <w:rsid w:val="41483F38"/>
    <w:rsid w:val="414A5F02"/>
    <w:rsid w:val="41627555"/>
    <w:rsid w:val="41662985"/>
    <w:rsid w:val="41681941"/>
    <w:rsid w:val="41796CC4"/>
    <w:rsid w:val="417C1E33"/>
    <w:rsid w:val="418D5DEE"/>
    <w:rsid w:val="4191768D"/>
    <w:rsid w:val="41917D44"/>
    <w:rsid w:val="41923405"/>
    <w:rsid w:val="41941EBC"/>
    <w:rsid w:val="419929E5"/>
    <w:rsid w:val="419F7B26"/>
    <w:rsid w:val="41A02E29"/>
    <w:rsid w:val="41C23074"/>
    <w:rsid w:val="41C9151C"/>
    <w:rsid w:val="41CA0DF1"/>
    <w:rsid w:val="41D25B23"/>
    <w:rsid w:val="41D5426E"/>
    <w:rsid w:val="41E47D60"/>
    <w:rsid w:val="41E73615"/>
    <w:rsid w:val="41EB04EA"/>
    <w:rsid w:val="41F145CF"/>
    <w:rsid w:val="42042555"/>
    <w:rsid w:val="42156510"/>
    <w:rsid w:val="42164036"/>
    <w:rsid w:val="421E7906"/>
    <w:rsid w:val="422024E8"/>
    <w:rsid w:val="42357FBE"/>
    <w:rsid w:val="423840AC"/>
    <w:rsid w:val="423D6569"/>
    <w:rsid w:val="42415557"/>
    <w:rsid w:val="425911DE"/>
    <w:rsid w:val="42627827"/>
    <w:rsid w:val="426D00FA"/>
    <w:rsid w:val="427A6373"/>
    <w:rsid w:val="42802F50"/>
    <w:rsid w:val="428E3B91"/>
    <w:rsid w:val="42980EEF"/>
    <w:rsid w:val="429B4C6D"/>
    <w:rsid w:val="42B6123C"/>
    <w:rsid w:val="42BA2C13"/>
    <w:rsid w:val="42BA7ADD"/>
    <w:rsid w:val="42D3512D"/>
    <w:rsid w:val="42D77C69"/>
    <w:rsid w:val="42D812EB"/>
    <w:rsid w:val="42D834C8"/>
    <w:rsid w:val="42DA5063"/>
    <w:rsid w:val="42E74159"/>
    <w:rsid w:val="42EB54C2"/>
    <w:rsid w:val="42FE7B16"/>
    <w:rsid w:val="4303280C"/>
    <w:rsid w:val="4320516C"/>
    <w:rsid w:val="43236A0A"/>
    <w:rsid w:val="432D7889"/>
    <w:rsid w:val="432E715D"/>
    <w:rsid w:val="43405474"/>
    <w:rsid w:val="43410AEC"/>
    <w:rsid w:val="435337DD"/>
    <w:rsid w:val="4355563F"/>
    <w:rsid w:val="435E4B1C"/>
    <w:rsid w:val="436A63E7"/>
    <w:rsid w:val="437B3C36"/>
    <w:rsid w:val="43811983"/>
    <w:rsid w:val="438301FC"/>
    <w:rsid w:val="438B6EC5"/>
    <w:rsid w:val="43982D20"/>
    <w:rsid w:val="439E2535"/>
    <w:rsid w:val="43A15B81"/>
    <w:rsid w:val="43A6733A"/>
    <w:rsid w:val="43A86B9A"/>
    <w:rsid w:val="43AD2778"/>
    <w:rsid w:val="43AD4526"/>
    <w:rsid w:val="43D23F8D"/>
    <w:rsid w:val="43DB21A0"/>
    <w:rsid w:val="43F71164"/>
    <w:rsid w:val="44006D4C"/>
    <w:rsid w:val="442C5D93"/>
    <w:rsid w:val="442E1B0B"/>
    <w:rsid w:val="443B5FD6"/>
    <w:rsid w:val="443B7D84"/>
    <w:rsid w:val="444A6219"/>
    <w:rsid w:val="444E7B57"/>
    <w:rsid w:val="44560F40"/>
    <w:rsid w:val="445A2900"/>
    <w:rsid w:val="446F25CF"/>
    <w:rsid w:val="447119F7"/>
    <w:rsid w:val="44720E16"/>
    <w:rsid w:val="44806671"/>
    <w:rsid w:val="44896D41"/>
    <w:rsid w:val="4494257C"/>
    <w:rsid w:val="449A4533"/>
    <w:rsid w:val="449C6C72"/>
    <w:rsid w:val="449F0313"/>
    <w:rsid w:val="44AD6ED3"/>
    <w:rsid w:val="44B40707"/>
    <w:rsid w:val="44BC349B"/>
    <w:rsid w:val="44BF2763"/>
    <w:rsid w:val="44C41913"/>
    <w:rsid w:val="44C449AF"/>
    <w:rsid w:val="44CC6C2E"/>
    <w:rsid w:val="44D619FA"/>
    <w:rsid w:val="44D86B0F"/>
    <w:rsid w:val="44D97DE0"/>
    <w:rsid w:val="44DA134B"/>
    <w:rsid w:val="44E948FA"/>
    <w:rsid w:val="44F43EB0"/>
    <w:rsid w:val="44F86822"/>
    <w:rsid w:val="450D2191"/>
    <w:rsid w:val="450F36EA"/>
    <w:rsid w:val="45274B16"/>
    <w:rsid w:val="452D197F"/>
    <w:rsid w:val="452F5B3A"/>
    <w:rsid w:val="45317451"/>
    <w:rsid w:val="45365AFE"/>
    <w:rsid w:val="45465FBE"/>
    <w:rsid w:val="454964D0"/>
    <w:rsid w:val="454A2974"/>
    <w:rsid w:val="454F1EDE"/>
    <w:rsid w:val="4565108C"/>
    <w:rsid w:val="4568104C"/>
    <w:rsid w:val="45745BF8"/>
    <w:rsid w:val="4585431B"/>
    <w:rsid w:val="45887264"/>
    <w:rsid w:val="459C2AA4"/>
    <w:rsid w:val="459E05CA"/>
    <w:rsid w:val="45AA3413"/>
    <w:rsid w:val="45AC2555"/>
    <w:rsid w:val="45B002FD"/>
    <w:rsid w:val="45B44292"/>
    <w:rsid w:val="45B778DE"/>
    <w:rsid w:val="45BA050C"/>
    <w:rsid w:val="45DB2F62"/>
    <w:rsid w:val="45DD362E"/>
    <w:rsid w:val="45E54860"/>
    <w:rsid w:val="45FB3C6E"/>
    <w:rsid w:val="45FB77CB"/>
    <w:rsid w:val="46073ABA"/>
    <w:rsid w:val="460801EB"/>
    <w:rsid w:val="460D7F5B"/>
    <w:rsid w:val="46172618"/>
    <w:rsid w:val="461E3DE8"/>
    <w:rsid w:val="4626673A"/>
    <w:rsid w:val="46284338"/>
    <w:rsid w:val="46332E71"/>
    <w:rsid w:val="46335C74"/>
    <w:rsid w:val="46434587"/>
    <w:rsid w:val="46454B00"/>
    <w:rsid w:val="46503AF6"/>
    <w:rsid w:val="465348EC"/>
    <w:rsid w:val="46582E6F"/>
    <w:rsid w:val="46591D60"/>
    <w:rsid w:val="46607F75"/>
    <w:rsid w:val="46623CEE"/>
    <w:rsid w:val="466A3F19"/>
    <w:rsid w:val="466A6B98"/>
    <w:rsid w:val="466C6EAA"/>
    <w:rsid w:val="46712183"/>
    <w:rsid w:val="467D1A2A"/>
    <w:rsid w:val="467F21AA"/>
    <w:rsid w:val="468257E0"/>
    <w:rsid w:val="468C48C7"/>
    <w:rsid w:val="469371FA"/>
    <w:rsid w:val="469F108B"/>
    <w:rsid w:val="46A23E91"/>
    <w:rsid w:val="46A55988"/>
    <w:rsid w:val="46C71DA3"/>
    <w:rsid w:val="46E22739"/>
    <w:rsid w:val="46E62229"/>
    <w:rsid w:val="46ED7A5B"/>
    <w:rsid w:val="4703102D"/>
    <w:rsid w:val="470B5C0D"/>
    <w:rsid w:val="4710374A"/>
    <w:rsid w:val="471512F0"/>
    <w:rsid w:val="471A7157"/>
    <w:rsid w:val="472114B3"/>
    <w:rsid w:val="472D7E58"/>
    <w:rsid w:val="47327794"/>
    <w:rsid w:val="473311E6"/>
    <w:rsid w:val="473D6B0A"/>
    <w:rsid w:val="474358CD"/>
    <w:rsid w:val="474D22A8"/>
    <w:rsid w:val="47523D62"/>
    <w:rsid w:val="47665118"/>
    <w:rsid w:val="4770243A"/>
    <w:rsid w:val="477171B1"/>
    <w:rsid w:val="4784369C"/>
    <w:rsid w:val="478B1E43"/>
    <w:rsid w:val="47951660"/>
    <w:rsid w:val="479C6D22"/>
    <w:rsid w:val="47A350BA"/>
    <w:rsid w:val="47AE4BA8"/>
    <w:rsid w:val="47AF74A4"/>
    <w:rsid w:val="47B40E45"/>
    <w:rsid w:val="47C77EA6"/>
    <w:rsid w:val="47E21344"/>
    <w:rsid w:val="47E66258"/>
    <w:rsid w:val="47F421E2"/>
    <w:rsid w:val="47F9272D"/>
    <w:rsid w:val="480007EC"/>
    <w:rsid w:val="4801120B"/>
    <w:rsid w:val="480963DC"/>
    <w:rsid w:val="480F755D"/>
    <w:rsid w:val="482A04BC"/>
    <w:rsid w:val="482B2304"/>
    <w:rsid w:val="482B3E5F"/>
    <w:rsid w:val="483600A9"/>
    <w:rsid w:val="483D46DD"/>
    <w:rsid w:val="484D0086"/>
    <w:rsid w:val="4853715D"/>
    <w:rsid w:val="485960C4"/>
    <w:rsid w:val="488225AD"/>
    <w:rsid w:val="48835C23"/>
    <w:rsid w:val="48857D26"/>
    <w:rsid w:val="48857FBF"/>
    <w:rsid w:val="48872F9F"/>
    <w:rsid w:val="488E1472"/>
    <w:rsid w:val="48934632"/>
    <w:rsid w:val="48A57EC2"/>
    <w:rsid w:val="48AC2FFE"/>
    <w:rsid w:val="48C21E3A"/>
    <w:rsid w:val="48C54084"/>
    <w:rsid w:val="48DA0A02"/>
    <w:rsid w:val="48DB6BF9"/>
    <w:rsid w:val="48DE11B8"/>
    <w:rsid w:val="48E22EC4"/>
    <w:rsid w:val="48EC5AF0"/>
    <w:rsid w:val="48F97216"/>
    <w:rsid w:val="4901159C"/>
    <w:rsid w:val="49142FC2"/>
    <w:rsid w:val="491C0184"/>
    <w:rsid w:val="49205619"/>
    <w:rsid w:val="49223487"/>
    <w:rsid w:val="4922547B"/>
    <w:rsid w:val="49332FD1"/>
    <w:rsid w:val="49383158"/>
    <w:rsid w:val="493C0826"/>
    <w:rsid w:val="494F1719"/>
    <w:rsid w:val="4969756D"/>
    <w:rsid w:val="49862A25"/>
    <w:rsid w:val="498D0519"/>
    <w:rsid w:val="49910364"/>
    <w:rsid w:val="499E6DEB"/>
    <w:rsid w:val="49A5461D"/>
    <w:rsid w:val="49AA1C33"/>
    <w:rsid w:val="49AB59AC"/>
    <w:rsid w:val="49AD5280"/>
    <w:rsid w:val="49AE4A8C"/>
    <w:rsid w:val="49BD2527"/>
    <w:rsid w:val="49C50426"/>
    <w:rsid w:val="49CF169A"/>
    <w:rsid w:val="49D54F3C"/>
    <w:rsid w:val="49F3033B"/>
    <w:rsid w:val="49F33776"/>
    <w:rsid w:val="49FC19CF"/>
    <w:rsid w:val="49FF6776"/>
    <w:rsid w:val="4A04645A"/>
    <w:rsid w:val="4A07132A"/>
    <w:rsid w:val="4A0C7B9A"/>
    <w:rsid w:val="4A1967D4"/>
    <w:rsid w:val="4A1F67CA"/>
    <w:rsid w:val="4A201EF6"/>
    <w:rsid w:val="4A2512BA"/>
    <w:rsid w:val="4A4331D9"/>
    <w:rsid w:val="4A5B281D"/>
    <w:rsid w:val="4A657908"/>
    <w:rsid w:val="4A8E50B1"/>
    <w:rsid w:val="4A934476"/>
    <w:rsid w:val="4A983750"/>
    <w:rsid w:val="4AAE12AF"/>
    <w:rsid w:val="4AB052A3"/>
    <w:rsid w:val="4AB16FF2"/>
    <w:rsid w:val="4AB7573A"/>
    <w:rsid w:val="4AB8212E"/>
    <w:rsid w:val="4ABD14F2"/>
    <w:rsid w:val="4AC07235"/>
    <w:rsid w:val="4AC63524"/>
    <w:rsid w:val="4ACA2744"/>
    <w:rsid w:val="4ACA3C0F"/>
    <w:rsid w:val="4AD32D88"/>
    <w:rsid w:val="4ADF3B5F"/>
    <w:rsid w:val="4ADF590D"/>
    <w:rsid w:val="4AE178D7"/>
    <w:rsid w:val="4B0B0407"/>
    <w:rsid w:val="4B11530B"/>
    <w:rsid w:val="4B177530"/>
    <w:rsid w:val="4B1911AA"/>
    <w:rsid w:val="4B257C2A"/>
    <w:rsid w:val="4B4D1B86"/>
    <w:rsid w:val="4B4E749F"/>
    <w:rsid w:val="4B5300A9"/>
    <w:rsid w:val="4B5736F5"/>
    <w:rsid w:val="4B5961CB"/>
    <w:rsid w:val="4B616322"/>
    <w:rsid w:val="4B766709"/>
    <w:rsid w:val="4B8464B4"/>
    <w:rsid w:val="4B8A72CF"/>
    <w:rsid w:val="4B972445"/>
    <w:rsid w:val="4BA3693A"/>
    <w:rsid w:val="4BBF2422"/>
    <w:rsid w:val="4BC56B16"/>
    <w:rsid w:val="4BC600CD"/>
    <w:rsid w:val="4BDD49AB"/>
    <w:rsid w:val="4BE742E9"/>
    <w:rsid w:val="4BFE6267"/>
    <w:rsid w:val="4C016908"/>
    <w:rsid w:val="4C0373D9"/>
    <w:rsid w:val="4C0C1A4C"/>
    <w:rsid w:val="4C0E62BA"/>
    <w:rsid w:val="4C1065B5"/>
    <w:rsid w:val="4C1650F5"/>
    <w:rsid w:val="4C1C493F"/>
    <w:rsid w:val="4C217E66"/>
    <w:rsid w:val="4C2832E3"/>
    <w:rsid w:val="4C386633"/>
    <w:rsid w:val="4C40062D"/>
    <w:rsid w:val="4C5E194A"/>
    <w:rsid w:val="4C60482B"/>
    <w:rsid w:val="4C687B84"/>
    <w:rsid w:val="4C6B3A5A"/>
    <w:rsid w:val="4C6C4B2C"/>
    <w:rsid w:val="4C70027F"/>
    <w:rsid w:val="4C7A4B90"/>
    <w:rsid w:val="4C7B3413"/>
    <w:rsid w:val="4C7E2F03"/>
    <w:rsid w:val="4C8428B7"/>
    <w:rsid w:val="4C8937D3"/>
    <w:rsid w:val="4C8F4D41"/>
    <w:rsid w:val="4C987B90"/>
    <w:rsid w:val="4CA478EC"/>
    <w:rsid w:val="4CAA1F6A"/>
    <w:rsid w:val="4CAA33E9"/>
    <w:rsid w:val="4CB132D9"/>
    <w:rsid w:val="4CB42DC9"/>
    <w:rsid w:val="4CCC2A4A"/>
    <w:rsid w:val="4CD27085"/>
    <w:rsid w:val="4CDD791C"/>
    <w:rsid w:val="4CE176C2"/>
    <w:rsid w:val="4CEA4C7F"/>
    <w:rsid w:val="4CF37A31"/>
    <w:rsid w:val="4CF66F3E"/>
    <w:rsid w:val="4D0B5DD8"/>
    <w:rsid w:val="4D1F0243"/>
    <w:rsid w:val="4D267B5A"/>
    <w:rsid w:val="4D331F6B"/>
    <w:rsid w:val="4D336D7D"/>
    <w:rsid w:val="4D357A66"/>
    <w:rsid w:val="4D414FD9"/>
    <w:rsid w:val="4D4575A8"/>
    <w:rsid w:val="4D5A5B74"/>
    <w:rsid w:val="4D661307"/>
    <w:rsid w:val="4D73013E"/>
    <w:rsid w:val="4D734226"/>
    <w:rsid w:val="4D7351DC"/>
    <w:rsid w:val="4D7C6C95"/>
    <w:rsid w:val="4D7C70D9"/>
    <w:rsid w:val="4D7C7ACE"/>
    <w:rsid w:val="4D8E361A"/>
    <w:rsid w:val="4D943011"/>
    <w:rsid w:val="4DA22CB7"/>
    <w:rsid w:val="4DA370C6"/>
    <w:rsid w:val="4DA84E15"/>
    <w:rsid w:val="4DAB41CC"/>
    <w:rsid w:val="4DAD0E3D"/>
    <w:rsid w:val="4DAD1CF2"/>
    <w:rsid w:val="4DCE2493"/>
    <w:rsid w:val="4DDD3C5A"/>
    <w:rsid w:val="4DDF3F73"/>
    <w:rsid w:val="4DF53125"/>
    <w:rsid w:val="4DFF0074"/>
    <w:rsid w:val="4E031912"/>
    <w:rsid w:val="4E05589E"/>
    <w:rsid w:val="4E06294E"/>
    <w:rsid w:val="4E1458CD"/>
    <w:rsid w:val="4E173FF8"/>
    <w:rsid w:val="4E211946"/>
    <w:rsid w:val="4E231FB4"/>
    <w:rsid w:val="4E250444"/>
    <w:rsid w:val="4E4071E9"/>
    <w:rsid w:val="4E6C24C1"/>
    <w:rsid w:val="4E6D6781"/>
    <w:rsid w:val="4E704ACE"/>
    <w:rsid w:val="4E7147F3"/>
    <w:rsid w:val="4E720846"/>
    <w:rsid w:val="4E7520E4"/>
    <w:rsid w:val="4E7F7F94"/>
    <w:rsid w:val="4E810A89"/>
    <w:rsid w:val="4E9C1F4B"/>
    <w:rsid w:val="4EBB043F"/>
    <w:rsid w:val="4EC23915"/>
    <w:rsid w:val="4ED17C62"/>
    <w:rsid w:val="4ED351DE"/>
    <w:rsid w:val="4EDC13F9"/>
    <w:rsid w:val="4EE03A01"/>
    <w:rsid w:val="4EE10C8F"/>
    <w:rsid w:val="4EE63C76"/>
    <w:rsid w:val="4EF64F2D"/>
    <w:rsid w:val="4EFD7495"/>
    <w:rsid w:val="4F0771E0"/>
    <w:rsid w:val="4F0A6CD0"/>
    <w:rsid w:val="4F135B85"/>
    <w:rsid w:val="4F1B0EDE"/>
    <w:rsid w:val="4F1F09CE"/>
    <w:rsid w:val="4F2064F4"/>
    <w:rsid w:val="4F2E0C11"/>
    <w:rsid w:val="4F2F55A5"/>
    <w:rsid w:val="4F3132DD"/>
    <w:rsid w:val="4F327F6F"/>
    <w:rsid w:val="4F361873"/>
    <w:rsid w:val="4F3B7298"/>
    <w:rsid w:val="4F3C2AD4"/>
    <w:rsid w:val="4F471CD3"/>
    <w:rsid w:val="4F5228E3"/>
    <w:rsid w:val="4F522D7B"/>
    <w:rsid w:val="4F5543EF"/>
    <w:rsid w:val="4F5D5052"/>
    <w:rsid w:val="4F626B0C"/>
    <w:rsid w:val="4F673C06"/>
    <w:rsid w:val="4F684B0A"/>
    <w:rsid w:val="4F8046F1"/>
    <w:rsid w:val="4F8119B1"/>
    <w:rsid w:val="4F814D8D"/>
    <w:rsid w:val="4F8D310E"/>
    <w:rsid w:val="4F90367A"/>
    <w:rsid w:val="4F92238A"/>
    <w:rsid w:val="4FA06CA8"/>
    <w:rsid w:val="4FB07878"/>
    <w:rsid w:val="4FC11A85"/>
    <w:rsid w:val="4FD712A8"/>
    <w:rsid w:val="4FD74728"/>
    <w:rsid w:val="4FD7736E"/>
    <w:rsid w:val="4FE062A3"/>
    <w:rsid w:val="4FE9249D"/>
    <w:rsid w:val="4FF10EFA"/>
    <w:rsid w:val="4FF37764"/>
    <w:rsid w:val="4FF82FCD"/>
    <w:rsid w:val="5006624C"/>
    <w:rsid w:val="501C0729"/>
    <w:rsid w:val="50296C0E"/>
    <w:rsid w:val="50370581"/>
    <w:rsid w:val="503D51A9"/>
    <w:rsid w:val="5040333A"/>
    <w:rsid w:val="504172EE"/>
    <w:rsid w:val="5043798C"/>
    <w:rsid w:val="504A3803"/>
    <w:rsid w:val="504E1603"/>
    <w:rsid w:val="505521CD"/>
    <w:rsid w:val="505B3DB1"/>
    <w:rsid w:val="505D4A94"/>
    <w:rsid w:val="50610B72"/>
    <w:rsid w:val="50683735"/>
    <w:rsid w:val="506B04F9"/>
    <w:rsid w:val="506B6C77"/>
    <w:rsid w:val="506E5024"/>
    <w:rsid w:val="507056E2"/>
    <w:rsid w:val="50710751"/>
    <w:rsid w:val="50731BAF"/>
    <w:rsid w:val="50777A45"/>
    <w:rsid w:val="508370CE"/>
    <w:rsid w:val="50901457"/>
    <w:rsid w:val="5096168B"/>
    <w:rsid w:val="509A15E0"/>
    <w:rsid w:val="509E1DC6"/>
    <w:rsid w:val="50B769E4"/>
    <w:rsid w:val="50B912B2"/>
    <w:rsid w:val="50BD2394"/>
    <w:rsid w:val="50CC6286"/>
    <w:rsid w:val="50D43A3A"/>
    <w:rsid w:val="50E53B1E"/>
    <w:rsid w:val="50EC1681"/>
    <w:rsid w:val="50EC48E0"/>
    <w:rsid w:val="510E0E2A"/>
    <w:rsid w:val="511831E3"/>
    <w:rsid w:val="511A58F1"/>
    <w:rsid w:val="511B0F22"/>
    <w:rsid w:val="511F2F07"/>
    <w:rsid w:val="512E144B"/>
    <w:rsid w:val="51351D05"/>
    <w:rsid w:val="51374476"/>
    <w:rsid w:val="51402D6E"/>
    <w:rsid w:val="514648DC"/>
    <w:rsid w:val="514B501A"/>
    <w:rsid w:val="51570B9A"/>
    <w:rsid w:val="51591C3E"/>
    <w:rsid w:val="515B5BAE"/>
    <w:rsid w:val="516B68C8"/>
    <w:rsid w:val="51750DAF"/>
    <w:rsid w:val="518C1C1F"/>
    <w:rsid w:val="51B00003"/>
    <w:rsid w:val="51B573C7"/>
    <w:rsid w:val="51B8400A"/>
    <w:rsid w:val="51B84DE7"/>
    <w:rsid w:val="51C25525"/>
    <w:rsid w:val="51D07D5D"/>
    <w:rsid w:val="51D7767B"/>
    <w:rsid w:val="51E63A25"/>
    <w:rsid w:val="51E657D3"/>
    <w:rsid w:val="51E76EB9"/>
    <w:rsid w:val="51ED7E6D"/>
    <w:rsid w:val="520173B9"/>
    <w:rsid w:val="520914C1"/>
    <w:rsid w:val="522E0F28"/>
    <w:rsid w:val="523302EC"/>
    <w:rsid w:val="52462715"/>
    <w:rsid w:val="52497B10"/>
    <w:rsid w:val="526606C2"/>
    <w:rsid w:val="526861E8"/>
    <w:rsid w:val="526A392D"/>
    <w:rsid w:val="526D7CA2"/>
    <w:rsid w:val="52716CAD"/>
    <w:rsid w:val="5276038A"/>
    <w:rsid w:val="5288688A"/>
    <w:rsid w:val="528D20F2"/>
    <w:rsid w:val="529677E9"/>
    <w:rsid w:val="52976ACD"/>
    <w:rsid w:val="5298489A"/>
    <w:rsid w:val="52992414"/>
    <w:rsid w:val="52993A23"/>
    <w:rsid w:val="52BB6C5F"/>
    <w:rsid w:val="52C804AE"/>
    <w:rsid w:val="52CF270B"/>
    <w:rsid w:val="52D054FF"/>
    <w:rsid w:val="52D204C0"/>
    <w:rsid w:val="52D47D21"/>
    <w:rsid w:val="52DC0984"/>
    <w:rsid w:val="52E223AA"/>
    <w:rsid w:val="52E46445"/>
    <w:rsid w:val="52E8557B"/>
    <w:rsid w:val="52EC6E19"/>
    <w:rsid w:val="53071EA5"/>
    <w:rsid w:val="53191BD8"/>
    <w:rsid w:val="53206AC2"/>
    <w:rsid w:val="53515075"/>
    <w:rsid w:val="536410A5"/>
    <w:rsid w:val="537466D6"/>
    <w:rsid w:val="53794425"/>
    <w:rsid w:val="537B03C9"/>
    <w:rsid w:val="538452A3"/>
    <w:rsid w:val="538F59F6"/>
    <w:rsid w:val="539757E8"/>
    <w:rsid w:val="53977D81"/>
    <w:rsid w:val="53A70F92"/>
    <w:rsid w:val="53A92559"/>
    <w:rsid w:val="53B00620"/>
    <w:rsid w:val="53B646B1"/>
    <w:rsid w:val="53D9426A"/>
    <w:rsid w:val="53DC50DF"/>
    <w:rsid w:val="53EA6804"/>
    <w:rsid w:val="53F1220D"/>
    <w:rsid w:val="53F23C98"/>
    <w:rsid w:val="53F83061"/>
    <w:rsid w:val="53FC2BBB"/>
    <w:rsid w:val="53FD089E"/>
    <w:rsid w:val="54014B46"/>
    <w:rsid w:val="540B638D"/>
    <w:rsid w:val="541C7EC3"/>
    <w:rsid w:val="54211998"/>
    <w:rsid w:val="542567FE"/>
    <w:rsid w:val="54262873"/>
    <w:rsid w:val="542C4FC6"/>
    <w:rsid w:val="54321EEE"/>
    <w:rsid w:val="54453B17"/>
    <w:rsid w:val="5458228C"/>
    <w:rsid w:val="54586776"/>
    <w:rsid w:val="545E741A"/>
    <w:rsid w:val="54694089"/>
    <w:rsid w:val="546B0D84"/>
    <w:rsid w:val="546B635E"/>
    <w:rsid w:val="546B7C81"/>
    <w:rsid w:val="54707003"/>
    <w:rsid w:val="54734B94"/>
    <w:rsid w:val="54765614"/>
    <w:rsid w:val="547D645D"/>
    <w:rsid w:val="54837D65"/>
    <w:rsid w:val="548B2661"/>
    <w:rsid w:val="54963849"/>
    <w:rsid w:val="54A159E1"/>
    <w:rsid w:val="54B14434"/>
    <w:rsid w:val="54C165F9"/>
    <w:rsid w:val="54C17E31"/>
    <w:rsid w:val="54DD4ED3"/>
    <w:rsid w:val="54DD4EE8"/>
    <w:rsid w:val="54DF2E0B"/>
    <w:rsid w:val="54E300E5"/>
    <w:rsid w:val="54E767C0"/>
    <w:rsid w:val="54ED0C26"/>
    <w:rsid w:val="54F2448F"/>
    <w:rsid w:val="54FC355F"/>
    <w:rsid w:val="5505768E"/>
    <w:rsid w:val="55070DBA"/>
    <w:rsid w:val="550764E1"/>
    <w:rsid w:val="55081F04"/>
    <w:rsid w:val="550B2186"/>
    <w:rsid w:val="550B72FE"/>
    <w:rsid w:val="5518177A"/>
    <w:rsid w:val="551E5284"/>
    <w:rsid w:val="55222B45"/>
    <w:rsid w:val="552312D6"/>
    <w:rsid w:val="55241341"/>
    <w:rsid w:val="552C47D7"/>
    <w:rsid w:val="55304D63"/>
    <w:rsid w:val="55323649"/>
    <w:rsid w:val="55434480"/>
    <w:rsid w:val="55452810"/>
    <w:rsid w:val="554B002C"/>
    <w:rsid w:val="55545149"/>
    <w:rsid w:val="55572544"/>
    <w:rsid w:val="556A2FD5"/>
    <w:rsid w:val="556D3970"/>
    <w:rsid w:val="557120E4"/>
    <w:rsid w:val="55733831"/>
    <w:rsid w:val="557E4463"/>
    <w:rsid w:val="559317CE"/>
    <w:rsid w:val="559C5C59"/>
    <w:rsid w:val="55A559A5"/>
    <w:rsid w:val="55AA6B17"/>
    <w:rsid w:val="55AA6B6B"/>
    <w:rsid w:val="55B81484"/>
    <w:rsid w:val="55BD22C5"/>
    <w:rsid w:val="55CB34C3"/>
    <w:rsid w:val="55D634ED"/>
    <w:rsid w:val="55DA38A0"/>
    <w:rsid w:val="55DB4F23"/>
    <w:rsid w:val="55E97640"/>
    <w:rsid w:val="55F935FB"/>
    <w:rsid w:val="56026953"/>
    <w:rsid w:val="56056C87"/>
    <w:rsid w:val="560D1E90"/>
    <w:rsid w:val="561514B0"/>
    <w:rsid w:val="56185AEC"/>
    <w:rsid w:val="562B5EAA"/>
    <w:rsid w:val="56512F92"/>
    <w:rsid w:val="56594B43"/>
    <w:rsid w:val="56674A08"/>
    <w:rsid w:val="566C201F"/>
    <w:rsid w:val="56777341"/>
    <w:rsid w:val="569A6B8C"/>
    <w:rsid w:val="569F70F3"/>
    <w:rsid w:val="56B22127"/>
    <w:rsid w:val="56B332E9"/>
    <w:rsid w:val="56B70EBE"/>
    <w:rsid w:val="56B75990"/>
    <w:rsid w:val="56BF74F0"/>
    <w:rsid w:val="56CB46F0"/>
    <w:rsid w:val="56D32B91"/>
    <w:rsid w:val="56E132C8"/>
    <w:rsid w:val="56E9749A"/>
    <w:rsid w:val="56EF47DB"/>
    <w:rsid w:val="56EF6ED8"/>
    <w:rsid w:val="56F15F08"/>
    <w:rsid w:val="56F4277B"/>
    <w:rsid w:val="56F91B04"/>
    <w:rsid w:val="570404A9"/>
    <w:rsid w:val="5707677F"/>
    <w:rsid w:val="570A713B"/>
    <w:rsid w:val="57160908"/>
    <w:rsid w:val="571826D1"/>
    <w:rsid w:val="571D1301"/>
    <w:rsid w:val="57272B15"/>
    <w:rsid w:val="572A1C7A"/>
    <w:rsid w:val="572C6110"/>
    <w:rsid w:val="573C7181"/>
    <w:rsid w:val="57436AF9"/>
    <w:rsid w:val="5750468A"/>
    <w:rsid w:val="57585F64"/>
    <w:rsid w:val="575B74AD"/>
    <w:rsid w:val="57662A4F"/>
    <w:rsid w:val="57783371"/>
    <w:rsid w:val="57806E95"/>
    <w:rsid w:val="57845DEC"/>
    <w:rsid w:val="578D049F"/>
    <w:rsid w:val="57935E69"/>
    <w:rsid w:val="57936E27"/>
    <w:rsid w:val="57943DCF"/>
    <w:rsid w:val="57A44FBE"/>
    <w:rsid w:val="57AB49EF"/>
    <w:rsid w:val="57AD28EF"/>
    <w:rsid w:val="57AF6667"/>
    <w:rsid w:val="57B1418D"/>
    <w:rsid w:val="57BF5665"/>
    <w:rsid w:val="57C02C3A"/>
    <w:rsid w:val="57C254B3"/>
    <w:rsid w:val="57C62622"/>
    <w:rsid w:val="57C7123B"/>
    <w:rsid w:val="57F57290"/>
    <w:rsid w:val="58242BB1"/>
    <w:rsid w:val="582A3F3F"/>
    <w:rsid w:val="58311772"/>
    <w:rsid w:val="58460A2B"/>
    <w:rsid w:val="585D5FB5"/>
    <w:rsid w:val="585E1736"/>
    <w:rsid w:val="58824576"/>
    <w:rsid w:val="58873140"/>
    <w:rsid w:val="588B0E82"/>
    <w:rsid w:val="5893734D"/>
    <w:rsid w:val="58951D01"/>
    <w:rsid w:val="58971419"/>
    <w:rsid w:val="58AB6E2E"/>
    <w:rsid w:val="58B23CBA"/>
    <w:rsid w:val="58BA3515"/>
    <w:rsid w:val="58C919AA"/>
    <w:rsid w:val="58DF11CE"/>
    <w:rsid w:val="58E65BE8"/>
    <w:rsid w:val="58F619BB"/>
    <w:rsid w:val="58FD3C4A"/>
    <w:rsid w:val="591712B0"/>
    <w:rsid w:val="5920775E"/>
    <w:rsid w:val="59262959"/>
    <w:rsid w:val="593178E4"/>
    <w:rsid w:val="593B0594"/>
    <w:rsid w:val="594A4899"/>
    <w:rsid w:val="5961766F"/>
    <w:rsid w:val="59814033"/>
    <w:rsid w:val="59A0270B"/>
    <w:rsid w:val="59B03D7E"/>
    <w:rsid w:val="59BF3C49"/>
    <w:rsid w:val="59C815C4"/>
    <w:rsid w:val="59CC52AE"/>
    <w:rsid w:val="59D7792D"/>
    <w:rsid w:val="59D914B7"/>
    <w:rsid w:val="59D93E6F"/>
    <w:rsid w:val="59DA6C87"/>
    <w:rsid w:val="59E4075B"/>
    <w:rsid w:val="59E42F07"/>
    <w:rsid w:val="59F36CDF"/>
    <w:rsid w:val="59F51CED"/>
    <w:rsid w:val="59FD775E"/>
    <w:rsid w:val="5A094754"/>
    <w:rsid w:val="5A0D1E28"/>
    <w:rsid w:val="5A0F069B"/>
    <w:rsid w:val="5A164F6F"/>
    <w:rsid w:val="5A1B7FE4"/>
    <w:rsid w:val="5A300A8A"/>
    <w:rsid w:val="5A343384"/>
    <w:rsid w:val="5A364E1D"/>
    <w:rsid w:val="5A394CD1"/>
    <w:rsid w:val="5A3A6C1A"/>
    <w:rsid w:val="5A601E9A"/>
    <w:rsid w:val="5A696FA1"/>
    <w:rsid w:val="5A6C6CEF"/>
    <w:rsid w:val="5A753B98"/>
    <w:rsid w:val="5A755F7A"/>
    <w:rsid w:val="5A7818D2"/>
    <w:rsid w:val="5A783688"/>
    <w:rsid w:val="5A8111AE"/>
    <w:rsid w:val="5A814A3F"/>
    <w:rsid w:val="5A877662"/>
    <w:rsid w:val="5A8E4C59"/>
    <w:rsid w:val="5A9B0FE9"/>
    <w:rsid w:val="5A9F2ADC"/>
    <w:rsid w:val="5AA07351"/>
    <w:rsid w:val="5AA91A93"/>
    <w:rsid w:val="5AB32912"/>
    <w:rsid w:val="5ABC3575"/>
    <w:rsid w:val="5AC62645"/>
    <w:rsid w:val="5ACC0284"/>
    <w:rsid w:val="5ACC7530"/>
    <w:rsid w:val="5AE04951"/>
    <w:rsid w:val="5AE12FDB"/>
    <w:rsid w:val="5AE452A1"/>
    <w:rsid w:val="5AE8436A"/>
    <w:rsid w:val="5AED5A81"/>
    <w:rsid w:val="5B0647F0"/>
    <w:rsid w:val="5B0B0834"/>
    <w:rsid w:val="5B0C31E8"/>
    <w:rsid w:val="5B0D4C47"/>
    <w:rsid w:val="5B0F2F87"/>
    <w:rsid w:val="5B242B93"/>
    <w:rsid w:val="5B24736C"/>
    <w:rsid w:val="5B252510"/>
    <w:rsid w:val="5B3A7AB8"/>
    <w:rsid w:val="5B422FE3"/>
    <w:rsid w:val="5B4A5737"/>
    <w:rsid w:val="5B557525"/>
    <w:rsid w:val="5B565680"/>
    <w:rsid w:val="5B590DC3"/>
    <w:rsid w:val="5B694D7F"/>
    <w:rsid w:val="5B7200D7"/>
    <w:rsid w:val="5B721E85"/>
    <w:rsid w:val="5B7420A1"/>
    <w:rsid w:val="5B77749C"/>
    <w:rsid w:val="5B7C71A8"/>
    <w:rsid w:val="5B7E082A"/>
    <w:rsid w:val="5B7F69CB"/>
    <w:rsid w:val="5B80569B"/>
    <w:rsid w:val="5B8364E3"/>
    <w:rsid w:val="5B8950CA"/>
    <w:rsid w:val="5B8B1AD3"/>
    <w:rsid w:val="5B8B6467"/>
    <w:rsid w:val="5B9562A9"/>
    <w:rsid w:val="5BB95D06"/>
    <w:rsid w:val="5BC0128D"/>
    <w:rsid w:val="5BCA161A"/>
    <w:rsid w:val="5BE30FD5"/>
    <w:rsid w:val="5BF03C12"/>
    <w:rsid w:val="5BF413B6"/>
    <w:rsid w:val="5BF546AE"/>
    <w:rsid w:val="5BFF7AE6"/>
    <w:rsid w:val="5C0509B4"/>
    <w:rsid w:val="5C0B789C"/>
    <w:rsid w:val="5C115B42"/>
    <w:rsid w:val="5C163158"/>
    <w:rsid w:val="5C2F421A"/>
    <w:rsid w:val="5C372F37"/>
    <w:rsid w:val="5C403D31"/>
    <w:rsid w:val="5C4557EC"/>
    <w:rsid w:val="5C4A4BB0"/>
    <w:rsid w:val="5C6358C5"/>
    <w:rsid w:val="5C7D7655"/>
    <w:rsid w:val="5C91306D"/>
    <w:rsid w:val="5C94019A"/>
    <w:rsid w:val="5CAB7727"/>
    <w:rsid w:val="5CB5624E"/>
    <w:rsid w:val="5CBD35D4"/>
    <w:rsid w:val="5CC441E1"/>
    <w:rsid w:val="5CCC30BE"/>
    <w:rsid w:val="5CD10E2D"/>
    <w:rsid w:val="5CE3549B"/>
    <w:rsid w:val="5CE46DB3"/>
    <w:rsid w:val="5CE62A5E"/>
    <w:rsid w:val="5CE760ED"/>
    <w:rsid w:val="5CF76AE6"/>
    <w:rsid w:val="5CFB1C2D"/>
    <w:rsid w:val="5CFE60C6"/>
    <w:rsid w:val="5D283143"/>
    <w:rsid w:val="5D2D2508"/>
    <w:rsid w:val="5D382FC2"/>
    <w:rsid w:val="5D397704"/>
    <w:rsid w:val="5D3C274B"/>
    <w:rsid w:val="5D591638"/>
    <w:rsid w:val="5D5D4A1E"/>
    <w:rsid w:val="5D610403"/>
    <w:rsid w:val="5D630025"/>
    <w:rsid w:val="5D673A5A"/>
    <w:rsid w:val="5D6837FA"/>
    <w:rsid w:val="5D6D4FFA"/>
    <w:rsid w:val="5D7C5F32"/>
    <w:rsid w:val="5D814602"/>
    <w:rsid w:val="5D86574C"/>
    <w:rsid w:val="5D8D5661"/>
    <w:rsid w:val="5D8D62B3"/>
    <w:rsid w:val="5D9021D1"/>
    <w:rsid w:val="5DA3067A"/>
    <w:rsid w:val="5DBE4262"/>
    <w:rsid w:val="5DBE5856"/>
    <w:rsid w:val="5DC170F4"/>
    <w:rsid w:val="5DE0046A"/>
    <w:rsid w:val="5DEC6D1B"/>
    <w:rsid w:val="5DF254FF"/>
    <w:rsid w:val="5DFC1EDA"/>
    <w:rsid w:val="5E0569C2"/>
    <w:rsid w:val="5E0705E5"/>
    <w:rsid w:val="5E174F66"/>
    <w:rsid w:val="5E225DE5"/>
    <w:rsid w:val="5E226D3C"/>
    <w:rsid w:val="5E253E84"/>
    <w:rsid w:val="5E2A7441"/>
    <w:rsid w:val="5E427E32"/>
    <w:rsid w:val="5E4715FE"/>
    <w:rsid w:val="5E5127F9"/>
    <w:rsid w:val="5E5132EC"/>
    <w:rsid w:val="5E547F68"/>
    <w:rsid w:val="5E671A49"/>
    <w:rsid w:val="5E745F14"/>
    <w:rsid w:val="5E7971E5"/>
    <w:rsid w:val="5E851E72"/>
    <w:rsid w:val="5E9345EC"/>
    <w:rsid w:val="5E941B9A"/>
    <w:rsid w:val="5E943106"/>
    <w:rsid w:val="5E9A6159"/>
    <w:rsid w:val="5EA12C1A"/>
    <w:rsid w:val="5EA62EF7"/>
    <w:rsid w:val="5EAB349A"/>
    <w:rsid w:val="5EBA517D"/>
    <w:rsid w:val="5EC075BB"/>
    <w:rsid w:val="5EC96260"/>
    <w:rsid w:val="5ED115B9"/>
    <w:rsid w:val="5ED75432"/>
    <w:rsid w:val="5EDE253E"/>
    <w:rsid w:val="5EE37062"/>
    <w:rsid w:val="5EE43E9B"/>
    <w:rsid w:val="5EEC4DA1"/>
    <w:rsid w:val="5F0715BE"/>
    <w:rsid w:val="5F190344"/>
    <w:rsid w:val="5F1C521A"/>
    <w:rsid w:val="5F203BE5"/>
    <w:rsid w:val="5F245B8C"/>
    <w:rsid w:val="5F265461"/>
    <w:rsid w:val="5F281498"/>
    <w:rsid w:val="5F3129DD"/>
    <w:rsid w:val="5F3B6A32"/>
    <w:rsid w:val="5F3B7727"/>
    <w:rsid w:val="5F3E7162"/>
    <w:rsid w:val="5F440A6B"/>
    <w:rsid w:val="5F45519E"/>
    <w:rsid w:val="5F553F98"/>
    <w:rsid w:val="5F61293D"/>
    <w:rsid w:val="5F667638"/>
    <w:rsid w:val="5F692089"/>
    <w:rsid w:val="5F697A43"/>
    <w:rsid w:val="5F7C184F"/>
    <w:rsid w:val="5F887EC9"/>
    <w:rsid w:val="5F91272E"/>
    <w:rsid w:val="5F931795"/>
    <w:rsid w:val="5FAD04CC"/>
    <w:rsid w:val="5FAD16DE"/>
    <w:rsid w:val="5FAD7930"/>
    <w:rsid w:val="5FB011CE"/>
    <w:rsid w:val="5FC058B5"/>
    <w:rsid w:val="5FCF0430"/>
    <w:rsid w:val="5FD01870"/>
    <w:rsid w:val="5FD21144"/>
    <w:rsid w:val="5FD32821"/>
    <w:rsid w:val="5FD667B9"/>
    <w:rsid w:val="5FD924D3"/>
    <w:rsid w:val="5FDA1C75"/>
    <w:rsid w:val="5FF00F0B"/>
    <w:rsid w:val="5FFA1888"/>
    <w:rsid w:val="60001041"/>
    <w:rsid w:val="60011A2A"/>
    <w:rsid w:val="60095A9E"/>
    <w:rsid w:val="600960AF"/>
    <w:rsid w:val="601C6864"/>
    <w:rsid w:val="601E082E"/>
    <w:rsid w:val="60212F1C"/>
    <w:rsid w:val="6023073C"/>
    <w:rsid w:val="6037369D"/>
    <w:rsid w:val="60501C67"/>
    <w:rsid w:val="605063DF"/>
    <w:rsid w:val="605C64DD"/>
    <w:rsid w:val="605F57DA"/>
    <w:rsid w:val="60605DBF"/>
    <w:rsid w:val="60805044"/>
    <w:rsid w:val="609E3AA7"/>
    <w:rsid w:val="60AC5E39"/>
    <w:rsid w:val="60AD390E"/>
    <w:rsid w:val="60B847DE"/>
    <w:rsid w:val="60B947C9"/>
    <w:rsid w:val="60BF5B6D"/>
    <w:rsid w:val="60C56BDC"/>
    <w:rsid w:val="60C64578"/>
    <w:rsid w:val="60C767CF"/>
    <w:rsid w:val="60C80E91"/>
    <w:rsid w:val="60CD6B00"/>
    <w:rsid w:val="60D1764E"/>
    <w:rsid w:val="60D26B4A"/>
    <w:rsid w:val="60D3575A"/>
    <w:rsid w:val="60D46326"/>
    <w:rsid w:val="60DA29A7"/>
    <w:rsid w:val="60F037E4"/>
    <w:rsid w:val="60FF5E9B"/>
    <w:rsid w:val="610417D1"/>
    <w:rsid w:val="610C0686"/>
    <w:rsid w:val="61131A15"/>
    <w:rsid w:val="611543D1"/>
    <w:rsid w:val="6117728B"/>
    <w:rsid w:val="61190304"/>
    <w:rsid w:val="61247DC5"/>
    <w:rsid w:val="61251748"/>
    <w:rsid w:val="613D10EA"/>
    <w:rsid w:val="613F4944"/>
    <w:rsid w:val="614222FA"/>
    <w:rsid w:val="61454633"/>
    <w:rsid w:val="61460D58"/>
    <w:rsid w:val="615F5AD8"/>
    <w:rsid w:val="61656047"/>
    <w:rsid w:val="617226F2"/>
    <w:rsid w:val="617E5752"/>
    <w:rsid w:val="61842A3D"/>
    <w:rsid w:val="618D5C6B"/>
    <w:rsid w:val="619603DB"/>
    <w:rsid w:val="61984DF6"/>
    <w:rsid w:val="619F599E"/>
    <w:rsid w:val="61AD3C17"/>
    <w:rsid w:val="61B34FA6"/>
    <w:rsid w:val="61BA4586"/>
    <w:rsid w:val="61BE1664"/>
    <w:rsid w:val="61BE7D2A"/>
    <w:rsid w:val="61D531FE"/>
    <w:rsid w:val="61E627A8"/>
    <w:rsid w:val="61F2297E"/>
    <w:rsid w:val="61F23F94"/>
    <w:rsid w:val="61FE6777"/>
    <w:rsid w:val="620514A4"/>
    <w:rsid w:val="62090567"/>
    <w:rsid w:val="621023F8"/>
    <w:rsid w:val="62104EDF"/>
    <w:rsid w:val="62127F1E"/>
    <w:rsid w:val="62193481"/>
    <w:rsid w:val="62201702"/>
    <w:rsid w:val="62270F23"/>
    <w:rsid w:val="62324E78"/>
    <w:rsid w:val="623A1223"/>
    <w:rsid w:val="62456545"/>
    <w:rsid w:val="62487DE4"/>
    <w:rsid w:val="625872E8"/>
    <w:rsid w:val="625B3673"/>
    <w:rsid w:val="627511AF"/>
    <w:rsid w:val="629468C0"/>
    <w:rsid w:val="62970EE5"/>
    <w:rsid w:val="62981979"/>
    <w:rsid w:val="629923ED"/>
    <w:rsid w:val="629D1EDE"/>
    <w:rsid w:val="629E7A04"/>
    <w:rsid w:val="62A0577C"/>
    <w:rsid w:val="62A06EB6"/>
    <w:rsid w:val="62A3501A"/>
    <w:rsid w:val="62A573BE"/>
    <w:rsid w:val="62B57DB5"/>
    <w:rsid w:val="62BF3354"/>
    <w:rsid w:val="62C14FC9"/>
    <w:rsid w:val="62CC5D8F"/>
    <w:rsid w:val="62CE0974"/>
    <w:rsid w:val="62DD22DA"/>
    <w:rsid w:val="62E0024A"/>
    <w:rsid w:val="62E66DD3"/>
    <w:rsid w:val="62FB633C"/>
    <w:rsid w:val="62FE553A"/>
    <w:rsid w:val="630A6E47"/>
    <w:rsid w:val="630B232D"/>
    <w:rsid w:val="63102896"/>
    <w:rsid w:val="63114EA6"/>
    <w:rsid w:val="63127C48"/>
    <w:rsid w:val="63135514"/>
    <w:rsid w:val="631F6D97"/>
    <w:rsid w:val="63253C81"/>
    <w:rsid w:val="63367C3C"/>
    <w:rsid w:val="633F4D43"/>
    <w:rsid w:val="634219A9"/>
    <w:rsid w:val="63463232"/>
    <w:rsid w:val="635316E1"/>
    <w:rsid w:val="63536A40"/>
    <w:rsid w:val="63591084"/>
    <w:rsid w:val="635C0B38"/>
    <w:rsid w:val="636B19CD"/>
    <w:rsid w:val="637444F9"/>
    <w:rsid w:val="637716C3"/>
    <w:rsid w:val="637D1D0F"/>
    <w:rsid w:val="637F3391"/>
    <w:rsid w:val="63817A26"/>
    <w:rsid w:val="63830457"/>
    <w:rsid w:val="63846E1B"/>
    <w:rsid w:val="638D78FB"/>
    <w:rsid w:val="6390559E"/>
    <w:rsid w:val="639A641D"/>
    <w:rsid w:val="63A86D8C"/>
    <w:rsid w:val="63AB23D8"/>
    <w:rsid w:val="63C24031"/>
    <w:rsid w:val="63CB4828"/>
    <w:rsid w:val="63CD38F1"/>
    <w:rsid w:val="63DF2082"/>
    <w:rsid w:val="63E36C50"/>
    <w:rsid w:val="63E82E91"/>
    <w:rsid w:val="63EF4A55"/>
    <w:rsid w:val="63F14DDB"/>
    <w:rsid w:val="63FE4BFE"/>
    <w:rsid w:val="64034CF8"/>
    <w:rsid w:val="64045B83"/>
    <w:rsid w:val="64055261"/>
    <w:rsid w:val="64063FB3"/>
    <w:rsid w:val="6409723D"/>
    <w:rsid w:val="6414138E"/>
    <w:rsid w:val="641724DD"/>
    <w:rsid w:val="64234664"/>
    <w:rsid w:val="64237D39"/>
    <w:rsid w:val="642729F9"/>
    <w:rsid w:val="642B1D6C"/>
    <w:rsid w:val="64340620"/>
    <w:rsid w:val="64410902"/>
    <w:rsid w:val="6445410C"/>
    <w:rsid w:val="644D156E"/>
    <w:rsid w:val="644F09B6"/>
    <w:rsid w:val="64516D3E"/>
    <w:rsid w:val="64540CC2"/>
    <w:rsid w:val="64682D09"/>
    <w:rsid w:val="647B7FFD"/>
    <w:rsid w:val="647E7AED"/>
    <w:rsid w:val="64857591"/>
    <w:rsid w:val="648D420D"/>
    <w:rsid w:val="648D4DC3"/>
    <w:rsid w:val="6492732E"/>
    <w:rsid w:val="64937B40"/>
    <w:rsid w:val="64970025"/>
    <w:rsid w:val="649C7F73"/>
    <w:rsid w:val="64A77232"/>
    <w:rsid w:val="64A853C4"/>
    <w:rsid w:val="64A87A3E"/>
    <w:rsid w:val="64AC6408"/>
    <w:rsid w:val="64C10B7B"/>
    <w:rsid w:val="64C32220"/>
    <w:rsid w:val="64C72A0B"/>
    <w:rsid w:val="64D01D48"/>
    <w:rsid w:val="64DE2339"/>
    <w:rsid w:val="64E414E0"/>
    <w:rsid w:val="64E536C8"/>
    <w:rsid w:val="64E813DB"/>
    <w:rsid w:val="64EB7DD2"/>
    <w:rsid w:val="64F210E5"/>
    <w:rsid w:val="650606C1"/>
    <w:rsid w:val="650A0BA4"/>
    <w:rsid w:val="651641C9"/>
    <w:rsid w:val="6522491C"/>
    <w:rsid w:val="652C15E3"/>
    <w:rsid w:val="652E32C1"/>
    <w:rsid w:val="65314AB8"/>
    <w:rsid w:val="653463FD"/>
    <w:rsid w:val="653C786E"/>
    <w:rsid w:val="65455984"/>
    <w:rsid w:val="65493C57"/>
    <w:rsid w:val="65524A6E"/>
    <w:rsid w:val="655D5954"/>
    <w:rsid w:val="6562740E"/>
    <w:rsid w:val="65644F35"/>
    <w:rsid w:val="65690C5E"/>
    <w:rsid w:val="656B25DE"/>
    <w:rsid w:val="65890608"/>
    <w:rsid w:val="65953340"/>
    <w:rsid w:val="65966BFC"/>
    <w:rsid w:val="65971D5F"/>
    <w:rsid w:val="65991807"/>
    <w:rsid w:val="659D3FA3"/>
    <w:rsid w:val="65A43583"/>
    <w:rsid w:val="65B85280"/>
    <w:rsid w:val="65BE6B77"/>
    <w:rsid w:val="65C42B4E"/>
    <w:rsid w:val="65C44787"/>
    <w:rsid w:val="65CC2343"/>
    <w:rsid w:val="65D0360F"/>
    <w:rsid w:val="65D34B1C"/>
    <w:rsid w:val="65E10333"/>
    <w:rsid w:val="660015B1"/>
    <w:rsid w:val="660226AB"/>
    <w:rsid w:val="660559C1"/>
    <w:rsid w:val="660F796A"/>
    <w:rsid w:val="662270C4"/>
    <w:rsid w:val="66264F05"/>
    <w:rsid w:val="662D5327"/>
    <w:rsid w:val="662E109F"/>
    <w:rsid w:val="66344907"/>
    <w:rsid w:val="663703FD"/>
    <w:rsid w:val="66394DEE"/>
    <w:rsid w:val="663B1C63"/>
    <w:rsid w:val="663E5786"/>
    <w:rsid w:val="66407F82"/>
    <w:rsid w:val="66415276"/>
    <w:rsid w:val="664219D3"/>
    <w:rsid w:val="664A237C"/>
    <w:rsid w:val="664D7D9C"/>
    <w:rsid w:val="664E34EF"/>
    <w:rsid w:val="665C3A62"/>
    <w:rsid w:val="665F1C74"/>
    <w:rsid w:val="66730C34"/>
    <w:rsid w:val="667F75BE"/>
    <w:rsid w:val="66846F11"/>
    <w:rsid w:val="669058B5"/>
    <w:rsid w:val="66976C44"/>
    <w:rsid w:val="66A43656"/>
    <w:rsid w:val="66AC6E68"/>
    <w:rsid w:val="66B45A48"/>
    <w:rsid w:val="66B5531C"/>
    <w:rsid w:val="66C67529"/>
    <w:rsid w:val="66C806BD"/>
    <w:rsid w:val="66E225B5"/>
    <w:rsid w:val="66E3632D"/>
    <w:rsid w:val="66E36EB5"/>
    <w:rsid w:val="66E83943"/>
    <w:rsid w:val="66E97CC5"/>
    <w:rsid w:val="66ED148A"/>
    <w:rsid w:val="66EF7312"/>
    <w:rsid w:val="66F44D63"/>
    <w:rsid w:val="670342D9"/>
    <w:rsid w:val="670B5DEE"/>
    <w:rsid w:val="672B514D"/>
    <w:rsid w:val="672D1356"/>
    <w:rsid w:val="673812B4"/>
    <w:rsid w:val="675C1FE9"/>
    <w:rsid w:val="6764121C"/>
    <w:rsid w:val="677E0BCC"/>
    <w:rsid w:val="677F6056"/>
    <w:rsid w:val="67822F4A"/>
    <w:rsid w:val="67A04650"/>
    <w:rsid w:val="67AC5587"/>
    <w:rsid w:val="67AE2497"/>
    <w:rsid w:val="67B01AFC"/>
    <w:rsid w:val="67D60B2D"/>
    <w:rsid w:val="67D96418"/>
    <w:rsid w:val="67E914B3"/>
    <w:rsid w:val="67E97973"/>
    <w:rsid w:val="68014D26"/>
    <w:rsid w:val="680F0D3C"/>
    <w:rsid w:val="681B32D8"/>
    <w:rsid w:val="68224C33"/>
    <w:rsid w:val="68231932"/>
    <w:rsid w:val="682747B8"/>
    <w:rsid w:val="68297331"/>
    <w:rsid w:val="682A1594"/>
    <w:rsid w:val="682C554B"/>
    <w:rsid w:val="684626D0"/>
    <w:rsid w:val="68577E81"/>
    <w:rsid w:val="68631F9E"/>
    <w:rsid w:val="686B207C"/>
    <w:rsid w:val="68752FB5"/>
    <w:rsid w:val="68757459"/>
    <w:rsid w:val="687D6223"/>
    <w:rsid w:val="68815DFE"/>
    <w:rsid w:val="68817BAC"/>
    <w:rsid w:val="689618A9"/>
    <w:rsid w:val="6899033F"/>
    <w:rsid w:val="68994EF5"/>
    <w:rsid w:val="68B44EF0"/>
    <w:rsid w:val="68C006D4"/>
    <w:rsid w:val="68C47A98"/>
    <w:rsid w:val="68C63810"/>
    <w:rsid w:val="68C66398"/>
    <w:rsid w:val="68C93662"/>
    <w:rsid w:val="68D51CA5"/>
    <w:rsid w:val="68D65429"/>
    <w:rsid w:val="68E82E72"/>
    <w:rsid w:val="68EF0FB9"/>
    <w:rsid w:val="68F63773"/>
    <w:rsid w:val="68F93BE6"/>
    <w:rsid w:val="68FB18DD"/>
    <w:rsid w:val="69006D97"/>
    <w:rsid w:val="69010518"/>
    <w:rsid w:val="69026B93"/>
    <w:rsid w:val="690507DD"/>
    <w:rsid w:val="69084D97"/>
    <w:rsid w:val="690F781B"/>
    <w:rsid w:val="691746E1"/>
    <w:rsid w:val="69211740"/>
    <w:rsid w:val="6936674C"/>
    <w:rsid w:val="693C3AD3"/>
    <w:rsid w:val="69421E14"/>
    <w:rsid w:val="69440073"/>
    <w:rsid w:val="694C5F76"/>
    <w:rsid w:val="69614DFF"/>
    <w:rsid w:val="69735746"/>
    <w:rsid w:val="697C50FB"/>
    <w:rsid w:val="697D4817"/>
    <w:rsid w:val="698138EA"/>
    <w:rsid w:val="699459C4"/>
    <w:rsid w:val="69974E78"/>
    <w:rsid w:val="69A55B1C"/>
    <w:rsid w:val="69AA3132"/>
    <w:rsid w:val="69AC6EAA"/>
    <w:rsid w:val="69B600E5"/>
    <w:rsid w:val="69D75E91"/>
    <w:rsid w:val="69E105C7"/>
    <w:rsid w:val="69E44896"/>
    <w:rsid w:val="69F34ED6"/>
    <w:rsid w:val="69F50851"/>
    <w:rsid w:val="69F82C36"/>
    <w:rsid w:val="69FD33AB"/>
    <w:rsid w:val="6A1D07AC"/>
    <w:rsid w:val="6A221DEB"/>
    <w:rsid w:val="6A273D6D"/>
    <w:rsid w:val="6A4E3ABD"/>
    <w:rsid w:val="6A520F40"/>
    <w:rsid w:val="6A6606CE"/>
    <w:rsid w:val="6A686672"/>
    <w:rsid w:val="6A707ED8"/>
    <w:rsid w:val="6A760816"/>
    <w:rsid w:val="6A806406"/>
    <w:rsid w:val="6A8A71EB"/>
    <w:rsid w:val="6A8E441C"/>
    <w:rsid w:val="6A907BF0"/>
    <w:rsid w:val="6A927CA8"/>
    <w:rsid w:val="6A995680"/>
    <w:rsid w:val="6AAB0F10"/>
    <w:rsid w:val="6AAC1383"/>
    <w:rsid w:val="6AAC6B9E"/>
    <w:rsid w:val="6AAD2EDA"/>
    <w:rsid w:val="6AAF69A7"/>
    <w:rsid w:val="6ABF2FE7"/>
    <w:rsid w:val="6ACB15B2"/>
    <w:rsid w:val="6ACE3875"/>
    <w:rsid w:val="6AD246EE"/>
    <w:rsid w:val="6AD62431"/>
    <w:rsid w:val="6AD902FE"/>
    <w:rsid w:val="6AEA3E69"/>
    <w:rsid w:val="6AF34616"/>
    <w:rsid w:val="6AF34882"/>
    <w:rsid w:val="6AF6662F"/>
    <w:rsid w:val="6B0A0803"/>
    <w:rsid w:val="6B0D754B"/>
    <w:rsid w:val="6B151B7B"/>
    <w:rsid w:val="6B222D57"/>
    <w:rsid w:val="6B2D76DD"/>
    <w:rsid w:val="6B523D5A"/>
    <w:rsid w:val="6B6F018F"/>
    <w:rsid w:val="6B715CB5"/>
    <w:rsid w:val="6B7203BB"/>
    <w:rsid w:val="6B824366"/>
    <w:rsid w:val="6B83149A"/>
    <w:rsid w:val="6B865118"/>
    <w:rsid w:val="6B871777"/>
    <w:rsid w:val="6B8F63AA"/>
    <w:rsid w:val="6B9607BE"/>
    <w:rsid w:val="6B9A6192"/>
    <w:rsid w:val="6B9B0F84"/>
    <w:rsid w:val="6BA33D7F"/>
    <w:rsid w:val="6BA77061"/>
    <w:rsid w:val="6BB36E88"/>
    <w:rsid w:val="6BBF210A"/>
    <w:rsid w:val="6BC0346B"/>
    <w:rsid w:val="6BC64931"/>
    <w:rsid w:val="6BCB7818"/>
    <w:rsid w:val="6BD34BC2"/>
    <w:rsid w:val="6BEC4054"/>
    <w:rsid w:val="6BF15048"/>
    <w:rsid w:val="6BF32268"/>
    <w:rsid w:val="6BF95CAB"/>
    <w:rsid w:val="6BFC2786"/>
    <w:rsid w:val="6C0D5A20"/>
    <w:rsid w:val="6C106849"/>
    <w:rsid w:val="6C1D408F"/>
    <w:rsid w:val="6C1E03F6"/>
    <w:rsid w:val="6C2C2459"/>
    <w:rsid w:val="6C361283"/>
    <w:rsid w:val="6C4B7810"/>
    <w:rsid w:val="6C693A2C"/>
    <w:rsid w:val="6C6A1D7E"/>
    <w:rsid w:val="6C6C46CF"/>
    <w:rsid w:val="6C7041BF"/>
    <w:rsid w:val="6C7216FC"/>
    <w:rsid w:val="6C7E3795"/>
    <w:rsid w:val="6C84053E"/>
    <w:rsid w:val="6C861C34"/>
    <w:rsid w:val="6C887360"/>
    <w:rsid w:val="6C8E11F8"/>
    <w:rsid w:val="6C932959"/>
    <w:rsid w:val="6C9746BD"/>
    <w:rsid w:val="6CB33C5E"/>
    <w:rsid w:val="6CB542C8"/>
    <w:rsid w:val="6CCF5389"/>
    <w:rsid w:val="6CD3474E"/>
    <w:rsid w:val="6CDD66D0"/>
    <w:rsid w:val="6CDE737B"/>
    <w:rsid w:val="6CE150BD"/>
    <w:rsid w:val="6CEA0CB0"/>
    <w:rsid w:val="6CEB7CE9"/>
    <w:rsid w:val="6CF03552"/>
    <w:rsid w:val="6CF05300"/>
    <w:rsid w:val="6CF36A4E"/>
    <w:rsid w:val="6D0A4613"/>
    <w:rsid w:val="6D0E7D64"/>
    <w:rsid w:val="6D1159A2"/>
    <w:rsid w:val="6D241F19"/>
    <w:rsid w:val="6D295025"/>
    <w:rsid w:val="6D2952A3"/>
    <w:rsid w:val="6D396896"/>
    <w:rsid w:val="6D396CA7"/>
    <w:rsid w:val="6D46263C"/>
    <w:rsid w:val="6D476454"/>
    <w:rsid w:val="6D490DE7"/>
    <w:rsid w:val="6D4F64CA"/>
    <w:rsid w:val="6D505D9E"/>
    <w:rsid w:val="6D555DAC"/>
    <w:rsid w:val="6D5E6C64"/>
    <w:rsid w:val="6D67149A"/>
    <w:rsid w:val="6D6A7E66"/>
    <w:rsid w:val="6D761442"/>
    <w:rsid w:val="6D7962BE"/>
    <w:rsid w:val="6D7C4ED1"/>
    <w:rsid w:val="6D8223FC"/>
    <w:rsid w:val="6D8C4E98"/>
    <w:rsid w:val="6D99255B"/>
    <w:rsid w:val="6DA716ED"/>
    <w:rsid w:val="6DB07064"/>
    <w:rsid w:val="6DB620A5"/>
    <w:rsid w:val="6DC72298"/>
    <w:rsid w:val="6DD1441F"/>
    <w:rsid w:val="6DD72987"/>
    <w:rsid w:val="6DDB1B0C"/>
    <w:rsid w:val="6DDD256B"/>
    <w:rsid w:val="6DDE33AA"/>
    <w:rsid w:val="6DEA4515"/>
    <w:rsid w:val="6DF1132F"/>
    <w:rsid w:val="6DF30C26"/>
    <w:rsid w:val="6DFA4688"/>
    <w:rsid w:val="6E045599"/>
    <w:rsid w:val="6E14501E"/>
    <w:rsid w:val="6E16692B"/>
    <w:rsid w:val="6E1E369F"/>
    <w:rsid w:val="6E34121C"/>
    <w:rsid w:val="6E356DE0"/>
    <w:rsid w:val="6E3776AA"/>
    <w:rsid w:val="6E3851B0"/>
    <w:rsid w:val="6E39307B"/>
    <w:rsid w:val="6E3A33C0"/>
    <w:rsid w:val="6E3B25AB"/>
    <w:rsid w:val="6E4325C4"/>
    <w:rsid w:val="6E4A7CF8"/>
    <w:rsid w:val="6E5F098F"/>
    <w:rsid w:val="6E611FA0"/>
    <w:rsid w:val="6E75503C"/>
    <w:rsid w:val="6E7767A1"/>
    <w:rsid w:val="6E7A7FD0"/>
    <w:rsid w:val="6E80101B"/>
    <w:rsid w:val="6E875598"/>
    <w:rsid w:val="6E892224"/>
    <w:rsid w:val="6E9709DF"/>
    <w:rsid w:val="6E9817AB"/>
    <w:rsid w:val="6E9D3438"/>
    <w:rsid w:val="6EA52037"/>
    <w:rsid w:val="6EA6036C"/>
    <w:rsid w:val="6EA75E92"/>
    <w:rsid w:val="6EAC7DA4"/>
    <w:rsid w:val="6EAE5472"/>
    <w:rsid w:val="6EB831D2"/>
    <w:rsid w:val="6ECD4377"/>
    <w:rsid w:val="6ED254D5"/>
    <w:rsid w:val="6EDA3413"/>
    <w:rsid w:val="6EE5683D"/>
    <w:rsid w:val="6EF410D7"/>
    <w:rsid w:val="6EFE0E98"/>
    <w:rsid w:val="6F0247A4"/>
    <w:rsid w:val="6F046FF9"/>
    <w:rsid w:val="6F104249"/>
    <w:rsid w:val="6F17672B"/>
    <w:rsid w:val="6F197EA7"/>
    <w:rsid w:val="6F1F4CEB"/>
    <w:rsid w:val="6F221091"/>
    <w:rsid w:val="6F273343"/>
    <w:rsid w:val="6F2C13F5"/>
    <w:rsid w:val="6F2C770E"/>
    <w:rsid w:val="6F2D45E9"/>
    <w:rsid w:val="6F3565C2"/>
    <w:rsid w:val="6F3C4AC2"/>
    <w:rsid w:val="6F4147F7"/>
    <w:rsid w:val="6F472915"/>
    <w:rsid w:val="6F5002D8"/>
    <w:rsid w:val="6F51652A"/>
    <w:rsid w:val="6F54601A"/>
    <w:rsid w:val="6F6A1399"/>
    <w:rsid w:val="6F6C08B9"/>
    <w:rsid w:val="6F711689"/>
    <w:rsid w:val="6F7A39FD"/>
    <w:rsid w:val="6F7E7C9B"/>
    <w:rsid w:val="6F823ECC"/>
    <w:rsid w:val="6F871F4B"/>
    <w:rsid w:val="6F9B6AE5"/>
    <w:rsid w:val="6FB22D40"/>
    <w:rsid w:val="6FB91458"/>
    <w:rsid w:val="6FD74555"/>
    <w:rsid w:val="6FEB5E87"/>
    <w:rsid w:val="6FF9096F"/>
    <w:rsid w:val="6FFA1703"/>
    <w:rsid w:val="6FFD4D9E"/>
    <w:rsid w:val="70003AAC"/>
    <w:rsid w:val="70025D58"/>
    <w:rsid w:val="70053E82"/>
    <w:rsid w:val="70125253"/>
    <w:rsid w:val="70151F71"/>
    <w:rsid w:val="702B530B"/>
    <w:rsid w:val="70310109"/>
    <w:rsid w:val="7036788E"/>
    <w:rsid w:val="70730315"/>
    <w:rsid w:val="70887E51"/>
    <w:rsid w:val="708B7819"/>
    <w:rsid w:val="70926DFA"/>
    <w:rsid w:val="709A551D"/>
    <w:rsid w:val="70B7060E"/>
    <w:rsid w:val="70C73471"/>
    <w:rsid w:val="70D61991"/>
    <w:rsid w:val="70DC41C6"/>
    <w:rsid w:val="70E92792"/>
    <w:rsid w:val="70E94540"/>
    <w:rsid w:val="70F024E8"/>
    <w:rsid w:val="70F05252"/>
    <w:rsid w:val="70F21646"/>
    <w:rsid w:val="70FC1DE6"/>
    <w:rsid w:val="71000A51"/>
    <w:rsid w:val="71092ED4"/>
    <w:rsid w:val="710B095A"/>
    <w:rsid w:val="71110778"/>
    <w:rsid w:val="71143AA9"/>
    <w:rsid w:val="71196D38"/>
    <w:rsid w:val="711D41EA"/>
    <w:rsid w:val="71245578"/>
    <w:rsid w:val="71341C5F"/>
    <w:rsid w:val="713C78A1"/>
    <w:rsid w:val="714A55F4"/>
    <w:rsid w:val="715776FB"/>
    <w:rsid w:val="715A71EC"/>
    <w:rsid w:val="715F105E"/>
    <w:rsid w:val="71614A1E"/>
    <w:rsid w:val="716562BC"/>
    <w:rsid w:val="717952C7"/>
    <w:rsid w:val="717C53B4"/>
    <w:rsid w:val="718D7BCE"/>
    <w:rsid w:val="7194538F"/>
    <w:rsid w:val="719713F5"/>
    <w:rsid w:val="719B2E25"/>
    <w:rsid w:val="71A05546"/>
    <w:rsid w:val="71B43C30"/>
    <w:rsid w:val="71C50B09"/>
    <w:rsid w:val="71CD5C10"/>
    <w:rsid w:val="71DC5E53"/>
    <w:rsid w:val="71E963C9"/>
    <w:rsid w:val="71EF53EB"/>
    <w:rsid w:val="71F03973"/>
    <w:rsid w:val="71FA003D"/>
    <w:rsid w:val="71FA2E59"/>
    <w:rsid w:val="7200567F"/>
    <w:rsid w:val="721101F2"/>
    <w:rsid w:val="72163DEB"/>
    <w:rsid w:val="721719F8"/>
    <w:rsid w:val="722259B7"/>
    <w:rsid w:val="722515A8"/>
    <w:rsid w:val="72306485"/>
    <w:rsid w:val="72330D72"/>
    <w:rsid w:val="72335600"/>
    <w:rsid w:val="7239784C"/>
    <w:rsid w:val="723F6B0D"/>
    <w:rsid w:val="72403536"/>
    <w:rsid w:val="72412263"/>
    <w:rsid w:val="725618E7"/>
    <w:rsid w:val="72597CE5"/>
    <w:rsid w:val="725F46DB"/>
    <w:rsid w:val="72640322"/>
    <w:rsid w:val="726447C6"/>
    <w:rsid w:val="72667E4B"/>
    <w:rsid w:val="726C7AEF"/>
    <w:rsid w:val="727845D2"/>
    <w:rsid w:val="727B566C"/>
    <w:rsid w:val="727C1491"/>
    <w:rsid w:val="7289422C"/>
    <w:rsid w:val="728A58AF"/>
    <w:rsid w:val="72B27DED"/>
    <w:rsid w:val="72B566B1"/>
    <w:rsid w:val="72B62B48"/>
    <w:rsid w:val="72B768CA"/>
    <w:rsid w:val="72BB3CBA"/>
    <w:rsid w:val="72BC0BF9"/>
    <w:rsid w:val="72C41013"/>
    <w:rsid w:val="72D14842"/>
    <w:rsid w:val="72D37256"/>
    <w:rsid w:val="72D60D73"/>
    <w:rsid w:val="72ED5B8D"/>
    <w:rsid w:val="72F316A6"/>
    <w:rsid w:val="730456BB"/>
    <w:rsid w:val="7306450E"/>
    <w:rsid w:val="73075151"/>
    <w:rsid w:val="73115E73"/>
    <w:rsid w:val="73200009"/>
    <w:rsid w:val="734354C1"/>
    <w:rsid w:val="73470BCB"/>
    <w:rsid w:val="7349576A"/>
    <w:rsid w:val="734D22BF"/>
    <w:rsid w:val="73597B32"/>
    <w:rsid w:val="735A34D3"/>
    <w:rsid w:val="735A511C"/>
    <w:rsid w:val="73634A7D"/>
    <w:rsid w:val="736E1F2C"/>
    <w:rsid w:val="737027D3"/>
    <w:rsid w:val="73703C5B"/>
    <w:rsid w:val="737431A0"/>
    <w:rsid w:val="737A3B75"/>
    <w:rsid w:val="737B5663"/>
    <w:rsid w:val="73832A2A"/>
    <w:rsid w:val="738467A2"/>
    <w:rsid w:val="73890598"/>
    <w:rsid w:val="73891B3E"/>
    <w:rsid w:val="738B0DA0"/>
    <w:rsid w:val="739369E5"/>
    <w:rsid w:val="739764D5"/>
    <w:rsid w:val="73A3155A"/>
    <w:rsid w:val="73A56E44"/>
    <w:rsid w:val="73A776A3"/>
    <w:rsid w:val="73B01345"/>
    <w:rsid w:val="73B230BD"/>
    <w:rsid w:val="73C041F3"/>
    <w:rsid w:val="73CB65DE"/>
    <w:rsid w:val="73CF5E6E"/>
    <w:rsid w:val="73E3796C"/>
    <w:rsid w:val="73EC2CE6"/>
    <w:rsid w:val="73EF1E6D"/>
    <w:rsid w:val="73F05BE5"/>
    <w:rsid w:val="74161AF0"/>
    <w:rsid w:val="741C4C2C"/>
    <w:rsid w:val="7425049B"/>
    <w:rsid w:val="742F4960"/>
    <w:rsid w:val="743106D8"/>
    <w:rsid w:val="7431692A"/>
    <w:rsid w:val="74343D24"/>
    <w:rsid w:val="74425093"/>
    <w:rsid w:val="74484AA2"/>
    <w:rsid w:val="745B5755"/>
    <w:rsid w:val="745F24CF"/>
    <w:rsid w:val="74707384"/>
    <w:rsid w:val="74707A28"/>
    <w:rsid w:val="74714F78"/>
    <w:rsid w:val="747D56CB"/>
    <w:rsid w:val="747F401A"/>
    <w:rsid w:val="74904B57"/>
    <w:rsid w:val="74A810B4"/>
    <w:rsid w:val="74AB7F91"/>
    <w:rsid w:val="74BE5525"/>
    <w:rsid w:val="74C55558"/>
    <w:rsid w:val="74C652C4"/>
    <w:rsid w:val="74C9722F"/>
    <w:rsid w:val="74E01FC7"/>
    <w:rsid w:val="75001F88"/>
    <w:rsid w:val="750513B9"/>
    <w:rsid w:val="75051C58"/>
    <w:rsid w:val="750B23F3"/>
    <w:rsid w:val="750E27C7"/>
    <w:rsid w:val="75101554"/>
    <w:rsid w:val="75194C2E"/>
    <w:rsid w:val="751D0282"/>
    <w:rsid w:val="75330480"/>
    <w:rsid w:val="753517C8"/>
    <w:rsid w:val="75443288"/>
    <w:rsid w:val="75514610"/>
    <w:rsid w:val="755328D0"/>
    <w:rsid w:val="755A171E"/>
    <w:rsid w:val="75720FA8"/>
    <w:rsid w:val="757C7A9C"/>
    <w:rsid w:val="758461E8"/>
    <w:rsid w:val="758C30DA"/>
    <w:rsid w:val="75A30A62"/>
    <w:rsid w:val="75A4312B"/>
    <w:rsid w:val="75AA6994"/>
    <w:rsid w:val="75B87F01"/>
    <w:rsid w:val="75BA4BA7"/>
    <w:rsid w:val="75BC277D"/>
    <w:rsid w:val="75CB706E"/>
    <w:rsid w:val="75CD0C8A"/>
    <w:rsid w:val="75D037E8"/>
    <w:rsid w:val="75D532E5"/>
    <w:rsid w:val="75DC2DB7"/>
    <w:rsid w:val="75E32B1D"/>
    <w:rsid w:val="75F031A2"/>
    <w:rsid w:val="75F35AFA"/>
    <w:rsid w:val="75F66D26"/>
    <w:rsid w:val="7612587E"/>
    <w:rsid w:val="7620450E"/>
    <w:rsid w:val="7629332B"/>
    <w:rsid w:val="762F4B6E"/>
    <w:rsid w:val="763D5565"/>
    <w:rsid w:val="764721C1"/>
    <w:rsid w:val="76490BE8"/>
    <w:rsid w:val="764979B2"/>
    <w:rsid w:val="764B1A5E"/>
    <w:rsid w:val="76500BBD"/>
    <w:rsid w:val="765F3B48"/>
    <w:rsid w:val="766052A4"/>
    <w:rsid w:val="76633CEC"/>
    <w:rsid w:val="76635F23"/>
    <w:rsid w:val="766C22C4"/>
    <w:rsid w:val="766E3BB5"/>
    <w:rsid w:val="76935963"/>
    <w:rsid w:val="769B262C"/>
    <w:rsid w:val="76A553AD"/>
    <w:rsid w:val="76B11EAD"/>
    <w:rsid w:val="76B65034"/>
    <w:rsid w:val="76BF021D"/>
    <w:rsid w:val="76C21ABB"/>
    <w:rsid w:val="76C3664E"/>
    <w:rsid w:val="76C43A85"/>
    <w:rsid w:val="76C45E58"/>
    <w:rsid w:val="76C84CCD"/>
    <w:rsid w:val="76C975D8"/>
    <w:rsid w:val="76CD220E"/>
    <w:rsid w:val="76E44D42"/>
    <w:rsid w:val="76F01E2B"/>
    <w:rsid w:val="76F22868"/>
    <w:rsid w:val="76F459ED"/>
    <w:rsid w:val="76F53C3E"/>
    <w:rsid w:val="76F71810"/>
    <w:rsid w:val="76FA1255"/>
    <w:rsid w:val="76FB321F"/>
    <w:rsid w:val="770E29B0"/>
    <w:rsid w:val="771437FA"/>
    <w:rsid w:val="771D3195"/>
    <w:rsid w:val="771D355A"/>
    <w:rsid w:val="77264C34"/>
    <w:rsid w:val="772919B5"/>
    <w:rsid w:val="772A69D9"/>
    <w:rsid w:val="772C3EBC"/>
    <w:rsid w:val="77381836"/>
    <w:rsid w:val="773A5AF5"/>
    <w:rsid w:val="773B6955"/>
    <w:rsid w:val="773F4EBA"/>
    <w:rsid w:val="77407E24"/>
    <w:rsid w:val="77422BFC"/>
    <w:rsid w:val="774A385E"/>
    <w:rsid w:val="774B32A4"/>
    <w:rsid w:val="775A7F45"/>
    <w:rsid w:val="775C3CBE"/>
    <w:rsid w:val="775F730A"/>
    <w:rsid w:val="77672932"/>
    <w:rsid w:val="77774E17"/>
    <w:rsid w:val="777D48CF"/>
    <w:rsid w:val="777D59E2"/>
    <w:rsid w:val="777F5BFE"/>
    <w:rsid w:val="77845AF5"/>
    <w:rsid w:val="7785279A"/>
    <w:rsid w:val="779C3BC2"/>
    <w:rsid w:val="77B12F20"/>
    <w:rsid w:val="77BF2B51"/>
    <w:rsid w:val="77C41863"/>
    <w:rsid w:val="77CA6CE6"/>
    <w:rsid w:val="77D505FD"/>
    <w:rsid w:val="77D73344"/>
    <w:rsid w:val="77DE0FFB"/>
    <w:rsid w:val="77E56CCE"/>
    <w:rsid w:val="77EE04EA"/>
    <w:rsid w:val="780305DD"/>
    <w:rsid w:val="78075CB1"/>
    <w:rsid w:val="78087C0A"/>
    <w:rsid w:val="78124286"/>
    <w:rsid w:val="781F21F0"/>
    <w:rsid w:val="78270901"/>
    <w:rsid w:val="78276E11"/>
    <w:rsid w:val="782F4F2E"/>
    <w:rsid w:val="783267CC"/>
    <w:rsid w:val="7842068E"/>
    <w:rsid w:val="78462278"/>
    <w:rsid w:val="784838CF"/>
    <w:rsid w:val="78485DD1"/>
    <w:rsid w:val="785726D7"/>
    <w:rsid w:val="785823E7"/>
    <w:rsid w:val="786127B1"/>
    <w:rsid w:val="78812076"/>
    <w:rsid w:val="789C676E"/>
    <w:rsid w:val="78A75963"/>
    <w:rsid w:val="78BB0D0B"/>
    <w:rsid w:val="78D05664"/>
    <w:rsid w:val="78D41CE1"/>
    <w:rsid w:val="78DF4BA6"/>
    <w:rsid w:val="78E131DA"/>
    <w:rsid w:val="78E83CFA"/>
    <w:rsid w:val="78EA5A5D"/>
    <w:rsid w:val="78EC72C3"/>
    <w:rsid w:val="78F9378E"/>
    <w:rsid w:val="79026409"/>
    <w:rsid w:val="79055F45"/>
    <w:rsid w:val="790E2D96"/>
    <w:rsid w:val="79273E57"/>
    <w:rsid w:val="79282343"/>
    <w:rsid w:val="792E51E6"/>
    <w:rsid w:val="79450781"/>
    <w:rsid w:val="79464C25"/>
    <w:rsid w:val="794838A7"/>
    <w:rsid w:val="794B0B5D"/>
    <w:rsid w:val="794B26E7"/>
    <w:rsid w:val="79507852"/>
    <w:rsid w:val="79567142"/>
    <w:rsid w:val="795B1D53"/>
    <w:rsid w:val="79607369"/>
    <w:rsid w:val="796230E1"/>
    <w:rsid w:val="796C5D0E"/>
    <w:rsid w:val="79712931"/>
    <w:rsid w:val="797A48CF"/>
    <w:rsid w:val="797C3124"/>
    <w:rsid w:val="798E2128"/>
    <w:rsid w:val="79981F9F"/>
    <w:rsid w:val="79A86EA8"/>
    <w:rsid w:val="79AB5FAA"/>
    <w:rsid w:val="79B55907"/>
    <w:rsid w:val="79F124F2"/>
    <w:rsid w:val="79F765B1"/>
    <w:rsid w:val="79F97B32"/>
    <w:rsid w:val="7A0805B0"/>
    <w:rsid w:val="7A274AFF"/>
    <w:rsid w:val="7A356A48"/>
    <w:rsid w:val="7A3B2C48"/>
    <w:rsid w:val="7A3B3A4A"/>
    <w:rsid w:val="7A3E3B4E"/>
    <w:rsid w:val="7A3F18B6"/>
    <w:rsid w:val="7A43762E"/>
    <w:rsid w:val="7A522F3E"/>
    <w:rsid w:val="7A5549F4"/>
    <w:rsid w:val="7A611196"/>
    <w:rsid w:val="7A6730A5"/>
    <w:rsid w:val="7A697FEA"/>
    <w:rsid w:val="7A6E15F9"/>
    <w:rsid w:val="7A74131E"/>
    <w:rsid w:val="7A756E44"/>
    <w:rsid w:val="7A7D43E3"/>
    <w:rsid w:val="7A835A05"/>
    <w:rsid w:val="7A8F50A7"/>
    <w:rsid w:val="7A8F6158"/>
    <w:rsid w:val="7A993074"/>
    <w:rsid w:val="7A996FD7"/>
    <w:rsid w:val="7AA01F48"/>
    <w:rsid w:val="7AA144D1"/>
    <w:rsid w:val="7AA24972"/>
    <w:rsid w:val="7AA37705"/>
    <w:rsid w:val="7AB22BAA"/>
    <w:rsid w:val="7AB5361F"/>
    <w:rsid w:val="7ACD4A84"/>
    <w:rsid w:val="7AE16415"/>
    <w:rsid w:val="7AE61EA7"/>
    <w:rsid w:val="7AE67A67"/>
    <w:rsid w:val="7AEB37F7"/>
    <w:rsid w:val="7AF366E7"/>
    <w:rsid w:val="7AF67F85"/>
    <w:rsid w:val="7AFC04F8"/>
    <w:rsid w:val="7AFD3B1B"/>
    <w:rsid w:val="7B0A05EE"/>
    <w:rsid w:val="7B15384A"/>
    <w:rsid w:val="7B173BCD"/>
    <w:rsid w:val="7B3D06D4"/>
    <w:rsid w:val="7B5353D8"/>
    <w:rsid w:val="7B5F5B2A"/>
    <w:rsid w:val="7B6273C9"/>
    <w:rsid w:val="7B666C27"/>
    <w:rsid w:val="7B7742B6"/>
    <w:rsid w:val="7B783090"/>
    <w:rsid w:val="7B790813"/>
    <w:rsid w:val="7B7D4202"/>
    <w:rsid w:val="7B827881"/>
    <w:rsid w:val="7B907FDF"/>
    <w:rsid w:val="7B9176A4"/>
    <w:rsid w:val="7B9B0B2D"/>
    <w:rsid w:val="7B9D2AF7"/>
    <w:rsid w:val="7BA07EF1"/>
    <w:rsid w:val="7BA63759"/>
    <w:rsid w:val="7BAB5214"/>
    <w:rsid w:val="7BAE39E0"/>
    <w:rsid w:val="7BB7446A"/>
    <w:rsid w:val="7BC96E99"/>
    <w:rsid w:val="7BD77DB7"/>
    <w:rsid w:val="7BDF310F"/>
    <w:rsid w:val="7BE71528"/>
    <w:rsid w:val="7BF24489"/>
    <w:rsid w:val="7BFF2E69"/>
    <w:rsid w:val="7C1A5EF5"/>
    <w:rsid w:val="7C394D35"/>
    <w:rsid w:val="7C407D3A"/>
    <w:rsid w:val="7C41282C"/>
    <w:rsid w:val="7C443999"/>
    <w:rsid w:val="7C477EA4"/>
    <w:rsid w:val="7C4D5033"/>
    <w:rsid w:val="7C4E444D"/>
    <w:rsid w:val="7C4F3DF1"/>
    <w:rsid w:val="7C505F25"/>
    <w:rsid w:val="7C536DC0"/>
    <w:rsid w:val="7C564767"/>
    <w:rsid w:val="7C5A082F"/>
    <w:rsid w:val="7C5F0A5D"/>
    <w:rsid w:val="7C615707"/>
    <w:rsid w:val="7C651C34"/>
    <w:rsid w:val="7C652646"/>
    <w:rsid w:val="7C660A57"/>
    <w:rsid w:val="7C6D5616"/>
    <w:rsid w:val="7C896BD7"/>
    <w:rsid w:val="7C8B5068"/>
    <w:rsid w:val="7C8D489B"/>
    <w:rsid w:val="7C9021AF"/>
    <w:rsid w:val="7C991510"/>
    <w:rsid w:val="7CA75A76"/>
    <w:rsid w:val="7CAB2205"/>
    <w:rsid w:val="7CAC4E5A"/>
    <w:rsid w:val="7CC4169E"/>
    <w:rsid w:val="7CD71D0F"/>
    <w:rsid w:val="7CDE1C69"/>
    <w:rsid w:val="7CE84977"/>
    <w:rsid w:val="7CEF121E"/>
    <w:rsid w:val="7CEF6ED5"/>
    <w:rsid w:val="7CF259EC"/>
    <w:rsid w:val="7CF85B69"/>
    <w:rsid w:val="7D031673"/>
    <w:rsid w:val="7D080444"/>
    <w:rsid w:val="7D1D3EEF"/>
    <w:rsid w:val="7D221505"/>
    <w:rsid w:val="7D305FDE"/>
    <w:rsid w:val="7D3272C1"/>
    <w:rsid w:val="7D355DDF"/>
    <w:rsid w:val="7D641E37"/>
    <w:rsid w:val="7D7E5AF1"/>
    <w:rsid w:val="7D8442D2"/>
    <w:rsid w:val="7D8F021D"/>
    <w:rsid w:val="7D95465E"/>
    <w:rsid w:val="7D9A6D7A"/>
    <w:rsid w:val="7DA5350B"/>
    <w:rsid w:val="7DA912DF"/>
    <w:rsid w:val="7DD87AB4"/>
    <w:rsid w:val="7DF84014"/>
    <w:rsid w:val="7E090FD2"/>
    <w:rsid w:val="7E110BB2"/>
    <w:rsid w:val="7E130E4E"/>
    <w:rsid w:val="7E192C83"/>
    <w:rsid w:val="7E1D2997"/>
    <w:rsid w:val="7E285CCD"/>
    <w:rsid w:val="7E2968C4"/>
    <w:rsid w:val="7E2A13A3"/>
    <w:rsid w:val="7E484343"/>
    <w:rsid w:val="7E5E47BF"/>
    <w:rsid w:val="7E60583E"/>
    <w:rsid w:val="7E6A3164"/>
    <w:rsid w:val="7E755665"/>
    <w:rsid w:val="7E865AC4"/>
    <w:rsid w:val="7E8D5BC4"/>
    <w:rsid w:val="7EA87821"/>
    <w:rsid w:val="7EB260E3"/>
    <w:rsid w:val="7EB4068F"/>
    <w:rsid w:val="7EC143E4"/>
    <w:rsid w:val="7EC363D0"/>
    <w:rsid w:val="7ED700CE"/>
    <w:rsid w:val="7EEA7964"/>
    <w:rsid w:val="7EF25CF4"/>
    <w:rsid w:val="7EFE1AFE"/>
    <w:rsid w:val="7F0A3FFF"/>
    <w:rsid w:val="7F0E17B3"/>
    <w:rsid w:val="7F11490F"/>
    <w:rsid w:val="7F19125E"/>
    <w:rsid w:val="7F206EB7"/>
    <w:rsid w:val="7F2476BA"/>
    <w:rsid w:val="7F283670"/>
    <w:rsid w:val="7F2B5928"/>
    <w:rsid w:val="7F4263D6"/>
    <w:rsid w:val="7F592821"/>
    <w:rsid w:val="7F596F87"/>
    <w:rsid w:val="7F5D2459"/>
    <w:rsid w:val="7F6531DB"/>
    <w:rsid w:val="7F753532"/>
    <w:rsid w:val="7F7F0611"/>
    <w:rsid w:val="7F81059C"/>
    <w:rsid w:val="7F8813C8"/>
    <w:rsid w:val="7F963AE5"/>
    <w:rsid w:val="7FA100BA"/>
    <w:rsid w:val="7FB5023B"/>
    <w:rsid w:val="7FB623D9"/>
    <w:rsid w:val="7FBA3EA2"/>
    <w:rsid w:val="7FCB4751"/>
    <w:rsid w:val="7FCB7C32"/>
    <w:rsid w:val="7FCD59AE"/>
    <w:rsid w:val="7FD94E6C"/>
    <w:rsid w:val="7FDC1686"/>
    <w:rsid w:val="7FF31F08"/>
    <w:rsid w:val="7FF92801"/>
    <w:rsid w:val="7FFC01F5"/>
    <w:rsid w:val="DBD74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56"/>
    <w:autoRedefine/>
    <w:qFormat/>
    <w:uiPriority w:val="0"/>
    <w:pPr>
      <w:keepNext/>
      <w:keepLines/>
      <w:ind w:firstLine="0" w:firstLineChars="0"/>
      <w:jc w:val="center"/>
      <w:outlineLvl w:val="0"/>
    </w:pPr>
    <w:rPr>
      <w:b/>
      <w:bCs/>
      <w:kern w:val="44"/>
      <w:sz w:val="32"/>
      <w:szCs w:val="52"/>
    </w:rPr>
  </w:style>
  <w:style w:type="paragraph" w:styleId="4">
    <w:name w:val="heading 2"/>
    <w:basedOn w:val="1"/>
    <w:next w:val="1"/>
    <w:link w:val="57"/>
    <w:autoRedefine/>
    <w:qFormat/>
    <w:uiPriority w:val="0"/>
    <w:pPr>
      <w:keepNext/>
      <w:keepLines/>
      <w:adjustRightInd w:val="0"/>
      <w:snapToGrid w:val="0"/>
      <w:spacing w:before="50" w:beforeLines="50"/>
      <w:ind w:firstLine="0" w:firstLineChars="0"/>
      <w:jc w:val="left"/>
      <w:outlineLvl w:val="1"/>
    </w:pPr>
    <w:rPr>
      <w:rFonts w:ascii="Cambria" w:hAnsi="Cambria"/>
      <w:b/>
      <w:bCs/>
      <w:szCs w:val="32"/>
    </w:rPr>
  </w:style>
  <w:style w:type="paragraph" w:styleId="5">
    <w:name w:val="heading 3"/>
    <w:basedOn w:val="1"/>
    <w:next w:val="1"/>
    <w:link w:val="58"/>
    <w:autoRedefine/>
    <w:qFormat/>
    <w:uiPriority w:val="0"/>
    <w:pPr>
      <w:keepNext/>
      <w:keepLines/>
      <w:adjustRightInd w:val="0"/>
      <w:snapToGrid w:val="0"/>
      <w:ind w:firstLine="0" w:firstLineChars="0"/>
      <w:outlineLvl w:val="2"/>
    </w:pPr>
    <w:rPr>
      <w:b/>
      <w:bCs/>
      <w:szCs w:val="32"/>
    </w:rPr>
  </w:style>
  <w:style w:type="paragraph" w:styleId="6">
    <w:name w:val="heading 4"/>
    <w:basedOn w:val="1"/>
    <w:next w:val="1"/>
    <w:link w:val="59"/>
    <w:autoRedefine/>
    <w:qFormat/>
    <w:uiPriority w:val="0"/>
    <w:pPr>
      <w:keepNext/>
      <w:keepLines/>
      <w:outlineLvl w:val="3"/>
    </w:pPr>
    <w:rPr>
      <w:b/>
      <w:bCs/>
      <w:szCs w:val="28"/>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tabs>
        <w:tab w:val="right" w:leader="dot" w:pos="8296"/>
      </w:tabs>
      <w:ind w:firstLine="0" w:firstLineChars="0"/>
    </w:pPr>
    <w:rPr>
      <w:rFonts w:ascii="Times New Roman" w:hAnsi="Times New Roman"/>
    </w:rPr>
  </w:style>
  <w:style w:type="paragraph" w:styleId="7">
    <w:name w:val="toc 7"/>
    <w:basedOn w:val="1"/>
    <w:next w:val="1"/>
    <w:autoRedefine/>
    <w:qFormat/>
    <w:uiPriority w:val="0"/>
    <w:pPr>
      <w:spacing w:line="240" w:lineRule="auto"/>
      <w:ind w:left="1260" w:firstLine="0" w:firstLineChars="0"/>
      <w:jc w:val="left"/>
    </w:pPr>
    <w:rPr>
      <w:rFonts w:ascii="Times New Roman" w:hAnsi="Times New Roman"/>
      <w:szCs w:val="21"/>
    </w:rPr>
  </w:style>
  <w:style w:type="paragraph" w:styleId="8">
    <w:name w:val="Normal Indent"/>
    <w:basedOn w:val="1"/>
    <w:next w:val="1"/>
    <w:link w:val="60"/>
    <w:autoRedefine/>
    <w:qFormat/>
    <w:uiPriority w:val="0"/>
    <w:pPr>
      <w:spacing w:line="240" w:lineRule="auto"/>
      <w:ind w:firstLine="420" w:firstLineChars="0"/>
    </w:pPr>
    <w:rPr>
      <w:rFonts w:ascii="Times New Roman" w:hAnsi="Times New Roman"/>
      <w:sz w:val="21"/>
    </w:rPr>
  </w:style>
  <w:style w:type="paragraph" w:styleId="9">
    <w:name w:val="Document Map"/>
    <w:basedOn w:val="1"/>
    <w:link w:val="61"/>
    <w:autoRedefine/>
    <w:qFormat/>
    <w:uiPriority w:val="0"/>
    <w:rPr>
      <w:rFonts w:hAnsi="Times New Roman"/>
      <w:kern w:val="0"/>
      <w:sz w:val="18"/>
      <w:szCs w:val="18"/>
    </w:rPr>
  </w:style>
  <w:style w:type="paragraph" w:styleId="10">
    <w:name w:val="toa heading"/>
    <w:basedOn w:val="1"/>
    <w:next w:val="1"/>
    <w:autoRedefine/>
    <w:qFormat/>
    <w:uiPriority w:val="0"/>
    <w:pPr>
      <w:widowControl/>
      <w:spacing w:before="120"/>
      <w:jc w:val="left"/>
    </w:pPr>
    <w:rPr>
      <w:rFonts w:ascii="Arial" w:hAnsi="Arial"/>
      <w:szCs w:val="20"/>
    </w:rPr>
  </w:style>
  <w:style w:type="paragraph" w:styleId="11">
    <w:name w:val="annotation text"/>
    <w:basedOn w:val="1"/>
    <w:link w:val="62"/>
    <w:autoRedefine/>
    <w:qFormat/>
    <w:uiPriority w:val="0"/>
    <w:pPr>
      <w:spacing w:line="240" w:lineRule="auto"/>
      <w:ind w:firstLine="0" w:firstLineChars="0"/>
      <w:jc w:val="left"/>
    </w:pPr>
    <w:rPr>
      <w:rFonts w:ascii="Times New Roman" w:hAnsi="Times New Roman"/>
      <w:sz w:val="21"/>
    </w:rPr>
  </w:style>
  <w:style w:type="paragraph" w:styleId="12">
    <w:name w:val="Body Text 3"/>
    <w:basedOn w:val="1"/>
    <w:link w:val="63"/>
    <w:autoRedefine/>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autoRedefine/>
    <w:qFormat/>
    <w:uiPriority w:val="0"/>
    <w:pPr>
      <w:numPr>
        <w:ilvl w:val="0"/>
        <w:numId w:val="1"/>
      </w:numPr>
      <w:tabs>
        <w:tab w:val="left" w:pos="720"/>
      </w:tabs>
      <w:spacing w:line="240" w:lineRule="auto"/>
      <w:ind w:firstLine="0" w:firstLineChars="0"/>
    </w:pPr>
    <w:rPr>
      <w:rFonts w:ascii="Times New Roman" w:hAnsi="Times New Roman"/>
    </w:rPr>
  </w:style>
  <w:style w:type="paragraph" w:styleId="14">
    <w:name w:val="Body Text"/>
    <w:basedOn w:val="1"/>
    <w:next w:val="1"/>
    <w:link w:val="55"/>
    <w:autoRedefine/>
    <w:qFormat/>
    <w:uiPriority w:val="99"/>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64"/>
    <w:autoRedefine/>
    <w:qFormat/>
    <w:uiPriority w:val="0"/>
    <w:pPr>
      <w:widowControl/>
      <w:autoSpaceDE w:val="0"/>
      <w:autoSpaceDN w:val="0"/>
      <w:snapToGrid w:val="0"/>
      <w:spacing w:before="120" w:line="400" w:lineRule="atLeast"/>
      <w:ind w:firstLine="570" w:firstLineChars="0"/>
    </w:pPr>
    <w:rPr>
      <w:rFonts w:hAnsi="Times New Roman"/>
      <w:kern w:val="0"/>
      <w:szCs w:val="20"/>
    </w:rPr>
  </w:style>
  <w:style w:type="paragraph" w:styleId="16">
    <w:name w:val="List 2"/>
    <w:basedOn w:val="1"/>
    <w:autoRedefine/>
    <w:qFormat/>
    <w:uiPriority w:val="0"/>
    <w:pPr>
      <w:spacing w:line="240" w:lineRule="auto"/>
      <w:ind w:left="100" w:leftChars="200" w:hanging="200" w:hangingChars="200"/>
    </w:pPr>
    <w:rPr>
      <w:rFonts w:ascii="Times New Roman" w:hAnsi="Times New Roman"/>
    </w:rPr>
  </w:style>
  <w:style w:type="paragraph" w:styleId="17">
    <w:name w:val="List Bullet 2"/>
    <w:basedOn w:val="1"/>
    <w:next w:val="13"/>
    <w:autoRedefine/>
    <w:qFormat/>
    <w:uiPriority w:val="0"/>
    <w:pPr>
      <w:numPr>
        <w:ilvl w:val="0"/>
        <w:numId w:val="2"/>
      </w:numPr>
      <w:tabs>
        <w:tab w:val="left" w:pos="780"/>
      </w:tabs>
      <w:spacing w:after="100" w:afterAutospacing="1" w:line="240" w:lineRule="auto"/>
      <w:ind w:firstLine="0" w:firstLineChars="0"/>
    </w:pPr>
    <w:rPr>
      <w:rFonts w:ascii="Times New Roman" w:hAnsi="Times New Roman" w:eastAsia="仿宋_GB2312"/>
    </w:rPr>
  </w:style>
  <w:style w:type="paragraph" w:styleId="18">
    <w:name w:val="toc 5"/>
    <w:basedOn w:val="1"/>
    <w:next w:val="1"/>
    <w:autoRedefine/>
    <w:qFormat/>
    <w:uiPriority w:val="0"/>
    <w:pPr>
      <w:spacing w:line="240" w:lineRule="auto"/>
      <w:ind w:left="840" w:firstLine="0" w:firstLineChars="0"/>
      <w:jc w:val="left"/>
    </w:pPr>
    <w:rPr>
      <w:rFonts w:ascii="Times New Roman" w:hAnsi="Times New Roman"/>
      <w:szCs w:val="21"/>
    </w:rPr>
  </w:style>
  <w:style w:type="paragraph" w:styleId="19">
    <w:name w:val="toc 3"/>
    <w:basedOn w:val="1"/>
    <w:next w:val="1"/>
    <w:autoRedefine/>
    <w:qFormat/>
    <w:uiPriority w:val="0"/>
    <w:pPr>
      <w:spacing w:line="240" w:lineRule="auto"/>
      <w:ind w:left="420" w:firstLine="0" w:firstLineChars="0"/>
      <w:jc w:val="left"/>
    </w:pPr>
    <w:rPr>
      <w:rFonts w:ascii="Times New Roman" w:hAnsi="Times New Roman"/>
      <w:i/>
      <w:iCs/>
    </w:rPr>
  </w:style>
  <w:style w:type="paragraph" w:styleId="20">
    <w:name w:val="Plain Text"/>
    <w:basedOn w:val="1"/>
    <w:link w:val="65"/>
    <w:autoRedefine/>
    <w:qFormat/>
    <w:uiPriority w:val="0"/>
    <w:pPr>
      <w:spacing w:line="240" w:lineRule="auto"/>
      <w:ind w:firstLine="0" w:firstLineChars="0"/>
    </w:pPr>
    <w:rPr>
      <w:rFonts w:hAnsi="Courier New"/>
      <w:sz w:val="21"/>
      <w:szCs w:val="20"/>
    </w:rPr>
  </w:style>
  <w:style w:type="paragraph" w:styleId="21">
    <w:name w:val="toc 8"/>
    <w:basedOn w:val="1"/>
    <w:next w:val="1"/>
    <w:autoRedefine/>
    <w:qFormat/>
    <w:uiPriority w:val="0"/>
    <w:pPr>
      <w:spacing w:line="240" w:lineRule="auto"/>
      <w:ind w:left="1470" w:firstLine="0" w:firstLineChars="0"/>
      <w:jc w:val="left"/>
    </w:pPr>
    <w:rPr>
      <w:rFonts w:ascii="Times New Roman" w:hAnsi="Times New Roman"/>
      <w:szCs w:val="21"/>
    </w:rPr>
  </w:style>
  <w:style w:type="paragraph" w:styleId="22">
    <w:name w:val="Date"/>
    <w:basedOn w:val="1"/>
    <w:next w:val="1"/>
    <w:link w:val="66"/>
    <w:autoRedefine/>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next w:val="24"/>
    <w:link w:val="67"/>
    <w:autoRedefine/>
    <w:qFormat/>
    <w:uiPriority w:val="0"/>
    <w:pPr>
      <w:widowControl/>
      <w:spacing w:line="480" w:lineRule="atLeast"/>
      <w:ind w:firstLine="480" w:firstLineChars="0"/>
    </w:pPr>
    <w:rPr>
      <w:rFonts w:hAnsi="Times New Roman"/>
      <w:kern w:val="0"/>
      <w:szCs w:val="20"/>
    </w:rPr>
  </w:style>
  <w:style w:type="paragraph" w:customStyle="1" w:styleId="24">
    <w:name w:val="z正文"/>
    <w:basedOn w:val="20"/>
    <w:autoRedefine/>
    <w:qFormat/>
    <w:uiPriority w:val="99"/>
    <w:pPr>
      <w:tabs>
        <w:tab w:val="left" w:pos="525"/>
      </w:tabs>
      <w:snapToGrid w:val="0"/>
      <w:spacing w:line="360" w:lineRule="auto"/>
    </w:pPr>
    <w:rPr>
      <w:rFonts w:hAnsi="宋体"/>
      <w:sz w:val="24"/>
    </w:rPr>
  </w:style>
  <w:style w:type="paragraph" w:styleId="25">
    <w:name w:val="Balloon Text"/>
    <w:basedOn w:val="1"/>
    <w:link w:val="68"/>
    <w:autoRedefine/>
    <w:qFormat/>
    <w:uiPriority w:val="0"/>
    <w:rPr>
      <w:rFonts w:ascii="Times New Roman" w:hAnsi="Times New Roman"/>
      <w:kern w:val="0"/>
      <w:sz w:val="18"/>
      <w:szCs w:val="18"/>
    </w:rPr>
  </w:style>
  <w:style w:type="paragraph" w:styleId="26">
    <w:name w:val="footer"/>
    <w:basedOn w:val="1"/>
    <w:link w:val="69"/>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7">
    <w:name w:val="envelope return"/>
    <w:basedOn w:val="1"/>
    <w:autoRedefine/>
    <w:qFormat/>
    <w:uiPriority w:val="99"/>
    <w:pPr>
      <w:snapToGrid w:val="0"/>
    </w:pPr>
    <w:rPr>
      <w:rFonts w:ascii="Arial" w:hAnsi="Arial"/>
    </w:rPr>
  </w:style>
  <w:style w:type="paragraph" w:styleId="28">
    <w:name w:val="header"/>
    <w:basedOn w:val="1"/>
    <w:link w:val="70"/>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4"/>
    <w:basedOn w:val="1"/>
    <w:next w:val="1"/>
    <w:autoRedefine/>
    <w:qFormat/>
    <w:uiPriority w:val="0"/>
    <w:pPr>
      <w:spacing w:line="240" w:lineRule="auto"/>
      <w:ind w:left="630" w:firstLine="0" w:firstLineChars="0"/>
      <w:jc w:val="left"/>
    </w:pPr>
    <w:rPr>
      <w:rFonts w:ascii="Times New Roman" w:hAnsi="Times New Roman"/>
      <w:szCs w:val="21"/>
    </w:rPr>
  </w:style>
  <w:style w:type="paragraph" w:styleId="30">
    <w:name w:val="List"/>
    <w:basedOn w:val="1"/>
    <w:autoRedefine/>
    <w:qFormat/>
    <w:uiPriority w:val="0"/>
    <w:pPr>
      <w:spacing w:line="240" w:lineRule="auto"/>
      <w:ind w:left="420" w:hanging="420" w:firstLineChars="0"/>
    </w:pPr>
    <w:rPr>
      <w:rFonts w:ascii="Times New Roman" w:hAnsi="Times New Roman"/>
      <w:szCs w:val="20"/>
    </w:rPr>
  </w:style>
  <w:style w:type="paragraph" w:styleId="31">
    <w:name w:val="toc 6"/>
    <w:basedOn w:val="1"/>
    <w:next w:val="1"/>
    <w:autoRedefine/>
    <w:qFormat/>
    <w:uiPriority w:val="0"/>
    <w:pPr>
      <w:spacing w:line="240" w:lineRule="auto"/>
      <w:ind w:left="1050" w:firstLine="0" w:firstLineChars="0"/>
      <w:jc w:val="left"/>
    </w:pPr>
    <w:rPr>
      <w:rFonts w:ascii="Times New Roman" w:hAnsi="Times New Roman"/>
      <w:szCs w:val="21"/>
    </w:rPr>
  </w:style>
  <w:style w:type="paragraph" w:styleId="32">
    <w:name w:val="Body Text Indent 3"/>
    <w:basedOn w:val="1"/>
    <w:link w:val="71"/>
    <w:autoRedefine/>
    <w:qFormat/>
    <w:uiPriority w:val="0"/>
    <w:pPr>
      <w:autoSpaceDE w:val="0"/>
      <w:autoSpaceDN w:val="0"/>
      <w:spacing w:line="400" w:lineRule="atLeast"/>
      <w:ind w:firstLine="443"/>
    </w:pPr>
    <w:rPr>
      <w:rFonts w:ascii="Times New Roman" w:hAnsi="Times New Roman" w:eastAsia="黑体"/>
      <w:color w:val="000000"/>
    </w:rPr>
  </w:style>
  <w:style w:type="paragraph" w:styleId="33">
    <w:name w:val="index 7"/>
    <w:basedOn w:val="1"/>
    <w:next w:val="1"/>
    <w:autoRedefine/>
    <w:semiHidden/>
    <w:qFormat/>
    <w:uiPriority w:val="99"/>
    <w:pPr>
      <w:ind w:left="1200" w:leftChars="1200"/>
    </w:pPr>
  </w:style>
  <w:style w:type="paragraph" w:styleId="34">
    <w:name w:val="toc 2"/>
    <w:basedOn w:val="1"/>
    <w:next w:val="1"/>
    <w:autoRedefine/>
    <w:qFormat/>
    <w:uiPriority w:val="0"/>
    <w:pPr>
      <w:tabs>
        <w:tab w:val="right" w:leader="dot" w:pos="8296"/>
      </w:tabs>
      <w:ind w:left="420" w:leftChars="200" w:firstLine="0" w:firstLineChars="0"/>
    </w:pPr>
    <w:rPr>
      <w:rFonts w:ascii="Times New Roman" w:hAnsi="Times New Roman"/>
    </w:rPr>
  </w:style>
  <w:style w:type="paragraph" w:styleId="35">
    <w:name w:val="toc 9"/>
    <w:basedOn w:val="1"/>
    <w:next w:val="1"/>
    <w:autoRedefine/>
    <w:qFormat/>
    <w:uiPriority w:val="0"/>
    <w:pPr>
      <w:spacing w:line="240" w:lineRule="auto"/>
      <w:ind w:left="1680" w:firstLine="0" w:firstLineChars="0"/>
      <w:jc w:val="left"/>
    </w:pPr>
    <w:rPr>
      <w:rFonts w:ascii="Times New Roman" w:hAnsi="Times New Roman"/>
      <w:szCs w:val="21"/>
    </w:rPr>
  </w:style>
  <w:style w:type="paragraph" w:styleId="36">
    <w:name w:val="Body Text 2"/>
    <w:basedOn w:val="1"/>
    <w:link w:val="72"/>
    <w:autoRedefine/>
    <w:qFormat/>
    <w:uiPriority w:val="0"/>
    <w:pPr>
      <w:spacing w:line="240" w:lineRule="auto"/>
      <w:ind w:firstLine="0" w:firstLineChars="0"/>
    </w:pPr>
    <w:rPr>
      <w:rFonts w:ascii="Times New Roman" w:hAnsi="Times New Roman"/>
      <w:b/>
      <w:bCs/>
      <w:color w:val="000000"/>
      <w:sz w:val="28"/>
    </w:rPr>
  </w:style>
  <w:style w:type="paragraph" w:styleId="37">
    <w:name w:val="HTML Preformatted"/>
    <w:basedOn w:val="1"/>
    <w:link w:val="7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8">
    <w:name w:val="Normal (Web)"/>
    <w:basedOn w:val="1"/>
    <w:autoRedefine/>
    <w:qFormat/>
    <w:uiPriority w:val="0"/>
    <w:pPr>
      <w:widowControl/>
      <w:spacing w:before="100" w:beforeAutospacing="1" w:after="100" w:afterAutospacing="1" w:line="240" w:lineRule="auto"/>
      <w:ind w:firstLine="0" w:firstLineChars="0"/>
      <w:jc w:val="left"/>
    </w:pPr>
    <w:rPr>
      <w:kern w:val="0"/>
    </w:rPr>
  </w:style>
  <w:style w:type="paragraph" w:styleId="39">
    <w:name w:val="Title"/>
    <w:basedOn w:val="1"/>
    <w:next w:val="1"/>
    <w:link w:val="74"/>
    <w:autoRedefine/>
    <w:qFormat/>
    <w:uiPriority w:val="0"/>
    <w:pPr>
      <w:spacing w:line="240" w:lineRule="auto"/>
      <w:ind w:firstLine="0" w:firstLineChars="0"/>
      <w:jc w:val="center"/>
    </w:pPr>
    <w:rPr>
      <w:rFonts w:ascii="Times New Roman" w:hAnsi="Times New Roman"/>
      <w:sz w:val="30"/>
    </w:rPr>
  </w:style>
  <w:style w:type="paragraph" w:styleId="40">
    <w:name w:val="annotation subject"/>
    <w:basedOn w:val="11"/>
    <w:next w:val="11"/>
    <w:link w:val="75"/>
    <w:autoRedefine/>
    <w:qFormat/>
    <w:uiPriority w:val="0"/>
    <w:rPr>
      <w:b/>
      <w:bCs/>
    </w:rPr>
  </w:style>
  <w:style w:type="paragraph" w:styleId="41">
    <w:name w:val="Body Text First Indent"/>
    <w:basedOn w:val="14"/>
    <w:autoRedefine/>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paragraph" w:styleId="42">
    <w:name w:val="Body Text First Indent 2"/>
    <w:basedOn w:val="15"/>
    <w:autoRedefine/>
    <w:qFormat/>
    <w:uiPriority w:val="0"/>
    <w:pPr>
      <w:ind w:firstLine="420" w:firstLineChars="200"/>
    </w:pPr>
    <w:rPr>
      <w:rFonts w:ascii="Times New Roman"/>
    </w:rPr>
  </w:style>
  <w:style w:type="table" w:styleId="44">
    <w:name w:val="Table Grid"/>
    <w:basedOn w:val="4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ascii="Times New Roman" w:hAnsi="Times New Roman" w:eastAsia="宋体" w:cs="Times New Roman"/>
      <w:b/>
    </w:rPr>
  </w:style>
  <w:style w:type="character" w:styleId="47">
    <w:name w:val="page number"/>
    <w:autoRedefine/>
    <w:qFormat/>
    <w:uiPriority w:val="0"/>
    <w:rPr>
      <w:rFonts w:ascii="Times New Roman" w:hAnsi="Times New Roman" w:eastAsia="宋体" w:cs="Times New Roman"/>
    </w:rPr>
  </w:style>
  <w:style w:type="character" w:styleId="48">
    <w:name w:val="FollowedHyperlink"/>
    <w:autoRedefine/>
    <w:qFormat/>
    <w:uiPriority w:val="0"/>
    <w:rPr>
      <w:rFonts w:ascii="Times New Roman" w:hAnsi="Times New Roman" w:eastAsia="宋体" w:cs="Times New Roman"/>
      <w:color w:val="800080"/>
      <w:u w:val="single"/>
    </w:rPr>
  </w:style>
  <w:style w:type="character" w:styleId="49">
    <w:name w:val="Emphasis"/>
    <w:autoRedefine/>
    <w:qFormat/>
    <w:uiPriority w:val="0"/>
  </w:style>
  <w:style w:type="character" w:styleId="50">
    <w:name w:val="HTML Variable"/>
    <w:autoRedefine/>
    <w:qFormat/>
    <w:uiPriority w:val="0"/>
  </w:style>
  <w:style w:type="character" w:styleId="51">
    <w:name w:val="Hyperlink"/>
    <w:autoRedefine/>
    <w:qFormat/>
    <w:uiPriority w:val="0"/>
    <w:rPr>
      <w:rFonts w:ascii="Times New Roman" w:hAnsi="Times New Roman" w:eastAsia="宋体" w:cs="Times New Roman"/>
      <w:color w:val="0000FF"/>
      <w:u w:val="single"/>
    </w:rPr>
  </w:style>
  <w:style w:type="character" w:styleId="52">
    <w:name w:val="annotation reference"/>
    <w:autoRedefine/>
    <w:qFormat/>
    <w:uiPriority w:val="0"/>
    <w:rPr>
      <w:rFonts w:ascii="Times New Roman" w:hAnsi="Times New Roman" w:eastAsia="宋体" w:cs="Times New Roman"/>
      <w:sz w:val="21"/>
      <w:szCs w:val="21"/>
    </w:rPr>
  </w:style>
  <w:style w:type="paragraph" w:customStyle="1" w:styleId="53">
    <w:name w:val="表格文字"/>
    <w:basedOn w:val="1"/>
    <w:next w:val="14"/>
    <w:autoRedefine/>
    <w:qFormat/>
    <w:uiPriority w:val="0"/>
    <w:pPr>
      <w:spacing w:before="25" w:after="25"/>
      <w:jc w:val="left"/>
    </w:pPr>
    <w:rPr>
      <w:bCs/>
      <w:spacing w:val="10"/>
      <w:kern w:val="0"/>
      <w:szCs w:val="20"/>
    </w:rPr>
  </w:style>
  <w:style w:type="paragraph" w:customStyle="1" w:styleId="54">
    <w:name w:val="正文首行缩进两字"/>
    <w:autoRedefine/>
    <w:qFormat/>
    <w:uiPriority w:val="99"/>
    <w:pPr>
      <w:spacing w:line="360" w:lineRule="auto"/>
    </w:pPr>
    <w:rPr>
      <w:rFonts w:ascii="Times New Roman" w:hAnsi="Times New Roman" w:eastAsia="宋体" w:cs="Times New Roman"/>
      <w:color w:val="000000"/>
      <w:sz w:val="24"/>
      <w:szCs w:val="24"/>
      <w:lang w:val="en-US" w:eastAsia="zh-CN" w:bidi="ar-SA"/>
    </w:rPr>
  </w:style>
  <w:style w:type="character" w:customStyle="1" w:styleId="55">
    <w:name w:val="正文文本 字符"/>
    <w:link w:val="14"/>
    <w:autoRedefine/>
    <w:qFormat/>
    <w:uiPriority w:val="99"/>
    <w:rPr>
      <w:rFonts w:ascii="仿宋_GB2312" w:hAnsi="Times New Roman" w:eastAsia="仿宋_GB2312" w:cs="Times New Roman"/>
      <w:sz w:val="28"/>
    </w:rPr>
  </w:style>
  <w:style w:type="character" w:customStyle="1" w:styleId="56">
    <w:name w:val="标题 1 字符"/>
    <w:link w:val="3"/>
    <w:autoRedefine/>
    <w:qFormat/>
    <w:uiPriority w:val="0"/>
    <w:rPr>
      <w:rFonts w:ascii="宋体" w:hAnsi="宋体" w:eastAsia="宋体" w:cs="宋体"/>
      <w:b/>
      <w:bCs/>
      <w:kern w:val="44"/>
      <w:sz w:val="32"/>
      <w:szCs w:val="52"/>
    </w:rPr>
  </w:style>
  <w:style w:type="character" w:customStyle="1" w:styleId="57">
    <w:name w:val="标题 2 字符"/>
    <w:link w:val="4"/>
    <w:autoRedefine/>
    <w:qFormat/>
    <w:uiPriority w:val="0"/>
    <w:rPr>
      <w:rFonts w:ascii="Cambria" w:hAnsi="Cambria" w:eastAsia="宋体" w:cs="Times New Roman"/>
      <w:b/>
      <w:bCs/>
      <w:kern w:val="2"/>
      <w:sz w:val="24"/>
      <w:szCs w:val="32"/>
    </w:rPr>
  </w:style>
  <w:style w:type="character" w:customStyle="1" w:styleId="58">
    <w:name w:val="标题 3 字符1"/>
    <w:link w:val="5"/>
    <w:autoRedefine/>
    <w:qFormat/>
    <w:uiPriority w:val="0"/>
    <w:rPr>
      <w:rFonts w:ascii="宋体" w:hAnsi="宋体" w:eastAsia="宋体" w:cs="Times New Roman"/>
      <w:b/>
      <w:bCs/>
      <w:kern w:val="2"/>
      <w:sz w:val="21"/>
      <w:szCs w:val="32"/>
    </w:rPr>
  </w:style>
  <w:style w:type="character" w:customStyle="1" w:styleId="59">
    <w:name w:val="标题 4 字符"/>
    <w:link w:val="6"/>
    <w:autoRedefine/>
    <w:qFormat/>
    <w:uiPriority w:val="0"/>
    <w:rPr>
      <w:rFonts w:ascii="宋体" w:hAnsi="宋体" w:eastAsia="宋体" w:cs="Times New Roman"/>
      <w:b/>
      <w:bCs/>
      <w:kern w:val="2"/>
      <w:sz w:val="24"/>
      <w:szCs w:val="28"/>
    </w:rPr>
  </w:style>
  <w:style w:type="character" w:customStyle="1" w:styleId="60">
    <w:name w:val="正文缩进 字符"/>
    <w:link w:val="8"/>
    <w:autoRedefine/>
    <w:qFormat/>
    <w:uiPriority w:val="0"/>
    <w:rPr>
      <w:rFonts w:ascii="Times New Roman" w:hAnsi="Times New Roman" w:eastAsia="宋体" w:cs="Times New Roman"/>
      <w:kern w:val="2"/>
      <w:sz w:val="21"/>
      <w:szCs w:val="24"/>
    </w:rPr>
  </w:style>
  <w:style w:type="character" w:customStyle="1" w:styleId="61">
    <w:name w:val="文档结构图 字符"/>
    <w:link w:val="9"/>
    <w:autoRedefine/>
    <w:qFormat/>
    <w:uiPriority w:val="0"/>
    <w:rPr>
      <w:rFonts w:ascii="宋体" w:hAnsi="Times New Roman" w:eastAsia="宋体" w:cs="Times New Roman"/>
      <w:sz w:val="18"/>
      <w:szCs w:val="18"/>
    </w:rPr>
  </w:style>
  <w:style w:type="character" w:customStyle="1" w:styleId="62">
    <w:name w:val="批注文字 字符"/>
    <w:link w:val="11"/>
    <w:autoRedefine/>
    <w:qFormat/>
    <w:uiPriority w:val="0"/>
    <w:rPr>
      <w:rFonts w:ascii="Times New Roman" w:hAnsi="Times New Roman" w:eastAsia="宋体" w:cs="Times New Roman"/>
      <w:kern w:val="2"/>
      <w:sz w:val="21"/>
      <w:szCs w:val="24"/>
    </w:rPr>
  </w:style>
  <w:style w:type="character" w:customStyle="1" w:styleId="63">
    <w:name w:val="正文文本 3 字符"/>
    <w:link w:val="12"/>
    <w:autoRedefine/>
    <w:qFormat/>
    <w:uiPriority w:val="0"/>
    <w:rPr>
      <w:rFonts w:ascii="楷体_GB2312" w:hAnsi="Times New Roman" w:eastAsia="楷体_GB2312" w:cs="Times New Roman"/>
      <w:b/>
      <w:color w:val="000000"/>
      <w:kern w:val="2"/>
      <w:sz w:val="30"/>
      <w:szCs w:val="24"/>
    </w:rPr>
  </w:style>
  <w:style w:type="character" w:customStyle="1" w:styleId="64">
    <w:name w:val="正文文本缩进 字符1"/>
    <w:link w:val="15"/>
    <w:autoRedefine/>
    <w:qFormat/>
    <w:uiPriority w:val="0"/>
    <w:rPr>
      <w:rFonts w:ascii="宋体" w:hAnsi="Times New Roman" w:eastAsia="宋体" w:cs="Times New Roman"/>
      <w:sz w:val="24"/>
    </w:rPr>
  </w:style>
  <w:style w:type="character" w:customStyle="1" w:styleId="65">
    <w:name w:val="纯文本 字符1"/>
    <w:link w:val="20"/>
    <w:autoRedefine/>
    <w:qFormat/>
    <w:uiPriority w:val="0"/>
    <w:rPr>
      <w:rFonts w:ascii="宋体" w:hAnsi="Courier New" w:eastAsia="宋体" w:cs="Times New Roman"/>
      <w:kern w:val="2"/>
      <w:sz w:val="21"/>
    </w:rPr>
  </w:style>
  <w:style w:type="character" w:customStyle="1" w:styleId="66">
    <w:name w:val="日期 字符"/>
    <w:link w:val="22"/>
    <w:autoRedefine/>
    <w:qFormat/>
    <w:uiPriority w:val="0"/>
    <w:rPr>
      <w:rFonts w:ascii="Times New Roman" w:hAnsi="Times New Roman" w:eastAsia="宋体" w:cs="Times New Roman"/>
      <w:color w:val="000000"/>
      <w:kern w:val="2"/>
      <w:sz w:val="24"/>
      <w:szCs w:val="24"/>
    </w:rPr>
  </w:style>
  <w:style w:type="character" w:customStyle="1" w:styleId="67">
    <w:name w:val="正文文本缩进 2 字符"/>
    <w:link w:val="23"/>
    <w:autoRedefine/>
    <w:qFormat/>
    <w:uiPriority w:val="0"/>
    <w:rPr>
      <w:rFonts w:ascii="宋体" w:hAnsi="Times New Roman" w:eastAsia="宋体" w:cs="Times New Roman"/>
      <w:sz w:val="24"/>
    </w:rPr>
  </w:style>
  <w:style w:type="character" w:customStyle="1" w:styleId="68">
    <w:name w:val="批注框文本 字符"/>
    <w:link w:val="25"/>
    <w:autoRedefine/>
    <w:qFormat/>
    <w:uiPriority w:val="0"/>
    <w:rPr>
      <w:rFonts w:ascii="Times New Roman" w:hAnsi="Times New Roman" w:eastAsia="宋体" w:cs="Times New Roman"/>
      <w:sz w:val="18"/>
      <w:szCs w:val="18"/>
    </w:rPr>
  </w:style>
  <w:style w:type="character" w:customStyle="1" w:styleId="69">
    <w:name w:val="页脚 字符1"/>
    <w:link w:val="26"/>
    <w:autoRedefine/>
    <w:qFormat/>
    <w:uiPriority w:val="99"/>
    <w:rPr>
      <w:rFonts w:ascii="Times New Roman" w:hAnsi="Times New Roman" w:eastAsia="宋体" w:cs="Times New Roman"/>
      <w:sz w:val="18"/>
      <w:szCs w:val="18"/>
    </w:rPr>
  </w:style>
  <w:style w:type="character" w:customStyle="1" w:styleId="70">
    <w:name w:val="页眉 字符1"/>
    <w:link w:val="28"/>
    <w:autoRedefine/>
    <w:qFormat/>
    <w:uiPriority w:val="0"/>
    <w:rPr>
      <w:rFonts w:ascii="Times New Roman" w:hAnsi="Times New Roman" w:eastAsia="宋体" w:cs="Times New Roman"/>
      <w:sz w:val="18"/>
      <w:szCs w:val="18"/>
    </w:rPr>
  </w:style>
  <w:style w:type="character" w:customStyle="1" w:styleId="71">
    <w:name w:val="正文文本缩进 3 字符"/>
    <w:link w:val="32"/>
    <w:autoRedefine/>
    <w:qFormat/>
    <w:uiPriority w:val="0"/>
    <w:rPr>
      <w:rFonts w:ascii="Times New Roman" w:hAnsi="Times New Roman" w:eastAsia="黑体" w:cs="Times New Roman"/>
      <w:color w:val="000000"/>
      <w:kern w:val="2"/>
      <w:sz w:val="24"/>
      <w:szCs w:val="24"/>
    </w:rPr>
  </w:style>
  <w:style w:type="character" w:customStyle="1" w:styleId="72">
    <w:name w:val="正文文本 2 字符"/>
    <w:link w:val="36"/>
    <w:autoRedefine/>
    <w:qFormat/>
    <w:uiPriority w:val="0"/>
    <w:rPr>
      <w:rFonts w:ascii="Times New Roman" w:hAnsi="Times New Roman" w:eastAsia="宋体" w:cs="Times New Roman"/>
      <w:b/>
      <w:bCs/>
      <w:color w:val="000000"/>
      <w:kern w:val="2"/>
      <w:sz w:val="28"/>
      <w:szCs w:val="24"/>
    </w:rPr>
  </w:style>
  <w:style w:type="character" w:customStyle="1" w:styleId="73">
    <w:name w:val="HTML 预设格式 字符"/>
    <w:link w:val="37"/>
    <w:autoRedefine/>
    <w:qFormat/>
    <w:uiPriority w:val="0"/>
    <w:rPr>
      <w:rFonts w:ascii="Arial Unicode MS" w:hAnsi="Arial Unicode MS" w:eastAsia="Arial Unicode MS" w:cs="Arial Unicode MS"/>
    </w:rPr>
  </w:style>
  <w:style w:type="character" w:customStyle="1" w:styleId="74">
    <w:name w:val="标题 字符"/>
    <w:link w:val="39"/>
    <w:autoRedefine/>
    <w:qFormat/>
    <w:uiPriority w:val="0"/>
    <w:rPr>
      <w:rFonts w:ascii="Times New Roman" w:hAnsi="Times New Roman" w:eastAsia="宋体" w:cs="Times New Roman"/>
      <w:kern w:val="2"/>
      <w:sz w:val="30"/>
      <w:szCs w:val="24"/>
    </w:rPr>
  </w:style>
  <w:style w:type="character" w:customStyle="1" w:styleId="75">
    <w:name w:val="批注主题 字符"/>
    <w:link w:val="40"/>
    <w:autoRedefine/>
    <w:qFormat/>
    <w:uiPriority w:val="0"/>
    <w:rPr>
      <w:rFonts w:ascii="Times New Roman" w:hAnsi="Times New Roman" w:eastAsia="宋体" w:cs="Times New Roman"/>
      <w:b/>
      <w:bCs/>
      <w:kern w:val="2"/>
      <w:sz w:val="21"/>
      <w:szCs w:val="24"/>
    </w:rPr>
  </w:style>
  <w:style w:type="paragraph" w:customStyle="1" w:styleId="76">
    <w:name w:val="Default"/>
    <w:next w:val="77"/>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huei12b1"/>
    <w:autoRedefine/>
    <w:qFormat/>
    <w:uiPriority w:val="0"/>
    <w:rPr>
      <w:rFonts w:ascii="Times New Roman" w:hAnsi="Times New Roman" w:eastAsia="宋体" w:cs="Times New Roman"/>
      <w:b/>
      <w:bCs/>
      <w:color w:val="333333"/>
      <w:sz w:val="20"/>
      <w:szCs w:val="20"/>
    </w:rPr>
  </w:style>
  <w:style w:type="character" w:customStyle="1" w:styleId="80">
    <w:name w:val="font101"/>
    <w:autoRedefine/>
    <w:qFormat/>
    <w:uiPriority w:val="0"/>
    <w:rPr>
      <w:rFonts w:hint="eastAsia" w:ascii="宋体" w:hAnsi="宋体" w:eastAsia="宋体" w:cs="宋体"/>
      <w:color w:val="000000"/>
      <w:sz w:val="18"/>
      <w:szCs w:val="18"/>
      <w:u w:val="none"/>
    </w:rPr>
  </w:style>
  <w:style w:type="character" w:customStyle="1" w:styleId="81">
    <w:name w:val="content"/>
    <w:autoRedefine/>
    <w:qFormat/>
    <w:uiPriority w:val="0"/>
    <w:rPr>
      <w:rFonts w:ascii="Times New Roman" w:hAnsi="Times New Roman" w:eastAsia="宋体" w:cs="Times New Roman"/>
    </w:rPr>
  </w:style>
  <w:style w:type="character" w:customStyle="1" w:styleId="82">
    <w:name w:val="标题 3 字符"/>
    <w:autoRedefine/>
    <w:qFormat/>
    <w:uiPriority w:val="0"/>
    <w:rPr>
      <w:rFonts w:ascii="Times New Roman" w:hAnsi="Times New Roman" w:eastAsia="宋体" w:cs="Times New Roman"/>
      <w:b/>
      <w:bCs/>
      <w:kern w:val="2"/>
      <w:sz w:val="24"/>
      <w:szCs w:val="32"/>
    </w:rPr>
  </w:style>
  <w:style w:type="character" w:customStyle="1" w:styleId="83">
    <w:name w:val="search_content1"/>
    <w:autoRedefine/>
    <w:qFormat/>
    <w:uiPriority w:val="0"/>
    <w:rPr>
      <w:rFonts w:ascii="Times New Roman" w:hAnsi="Times New Roman" w:eastAsia="宋体" w:cs="Times New Roman"/>
      <w:sz w:val="20"/>
      <w:szCs w:val="20"/>
    </w:rPr>
  </w:style>
  <w:style w:type="character" w:customStyle="1" w:styleId="84">
    <w:name w:val="apple-converted-space"/>
    <w:autoRedefine/>
    <w:qFormat/>
    <w:uiPriority w:val="0"/>
    <w:rPr>
      <w:rFonts w:ascii="Times New Roman" w:hAnsi="Times New Roman" w:eastAsia="宋体" w:cs="Times New Roman"/>
    </w:rPr>
  </w:style>
  <w:style w:type="character" w:customStyle="1" w:styleId="85">
    <w:name w:val="s"/>
    <w:autoRedefine/>
    <w:qFormat/>
    <w:uiPriority w:val="0"/>
    <w:rPr>
      <w:rFonts w:ascii="Times New Roman" w:hAnsi="Times New Roman" w:eastAsia="宋体" w:cs="Times New Roman"/>
    </w:rPr>
  </w:style>
  <w:style w:type="character" w:customStyle="1" w:styleId="86">
    <w:name w:val="页眉 字符"/>
    <w:autoRedefine/>
    <w:qFormat/>
    <w:uiPriority w:val="99"/>
    <w:rPr>
      <w:rFonts w:ascii="Times New Roman" w:hAnsi="Times New Roman" w:eastAsia="宋体" w:cs="Times New Roman"/>
      <w:kern w:val="2"/>
      <w:sz w:val="18"/>
      <w:lang w:val="en-US" w:eastAsia="zh-CN" w:bidi="ar-SA"/>
    </w:rPr>
  </w:style>
  <w:style w:type="character" w:customStyle="1" w:styleId="87">
    <w:name w:val="Char Char2"/>
    <w:autoRedefine/>
    <w:qFormat/>
    <w:uiPriority w:val="0"/>
    <w:rPr>
      <w:rFonts w:hint="eastAsia" w:ascii="宋体" w:hAnsi="Courier New" w:eastAsia="宋体" w:cs="Times New Roman"/>
      <w:kern w:val="2"/>
      <w:sz w:val="21"/>
    </w:rPr>
  </w:style>
  <w:style w:type="character" w:customStyle="1" w:styleId="88">
    <w:name w:val="font61"/>
    <w:autoRedefine/>
    <w:qFormat/>
    <w:uiPriority w:val="0"/>
    <w:rPr>
      <w:rFonts w:hint="eastAsia" w:ascii="宋体" w:hAnsi="宋体" w:eastAsia="宋体" w:cs="宋体"/>
      <w:color w:val="000000"/>
      <w:sz w:val="18"/>
      <w:szCs w:val="18"/>
      <w:u w:val="none"/>
    </w:rPr>
  </w:style>
  <w:style w:type="character" w:customStyle="1" w:styleId="89">
    <w:name w:val="l17"/>
    <w:autoRedefine/>
    <w:qFormat/>
    <w:uiPriority w:val="0"/>
    <w:rPr>
      <w:rFonts w:ascii="Times New Roman" w:hAnsi="Times New Roman" w:eastAsia="宋体" w:cs="Times New Roman"/>
    </w:rPr>
  </w:style>
  <w:style w:type="character" w:customStyle="1" w:styleId="90">
    <w:name w:val="纯文本 字符"/>
    <w:autoRedefine/>
    <w:qFormat/>
    <w:uiPriority w:val="0"/>
    <w:rPr>
      <w:rFonts w:ascii="宋体" w:hAnsi="Courier New" w:eastAsia="宋体" w:cs="Courier New"/>
      <w:kern w:val="2"/>
      <w:sz w:val="21"/>
      <w:szCs w:val="21"/>
      <w:lang w:val="en-US" w:eastAsia="zh-CN" w:bidi="ar-SA"/>
    </w:rPr>
  </w:style>
  <w:style w:type="character" w:customStyle="1" w:styleId="91">
    <w:name w:val="Char Char"/>
    <w:autoRedefine/>
    <w:qFormat/>
    <w:uiPriority w:val="0"/>
    <w:rPr>
      <w:rFonts w:hint="eastAsia" w:ascii="宋体" w:hAnsi="Courier New" w:eastAsia="宋体" w:cs="Times New Roman"/>
      <w:kern w:val="2"/>
      <w:sz w:val="21"/>
      <w:lang w:val="en-US" w:eastAsia="zh-CN" w:bidi="ar-SA"/>
    </w:rPr>
  </w:style>
  <w:style w:type="character" w:customStyle="1" w:styleId="92">
    <w:name w:val="unnamed51"/>
    <w:autoRedefine/>
    <w:qFormat/>
    <w:uiPriority w:val="0"/>
    <w:rPr>
      <w:rFonts w:ascii="Times New Roman" w:hAnsi="Times New Roman" w:eastAsia="宋体" w:cs="Times New Roman"/>
      <w:sz w:val="22"/>
      <w:szCs w:val="22"/>
    </w:rPr>
  </w:style>
  <w:style w:type="character" w:customStyle="1" w:styleId="93">
    <w:name w:val="正文文本首行缩进 字符"/>
    <w:link w:val="94"/>
    <w:autoRedefine/>
    <w:qFormat/>
    <w:uiPriority w:val="0"/>
    <w:rPr>
      <w:rFonts w:ascii="Times New Roman" w:hAnsi="Times New Roman" w:eastAsia="仿宋_GB2312" w:cs="Times New Roman"/>
      <w:kern w:val="2"/>
      <w:sz w:val="21"/>
      <w:szCs w:val="24"/>
    </w:rPr>
  </w:style>
  <w:style w:type="paragraph" w:customStyle="1" w:styleId="94">
    <w:name w:val="正文文本首行缩进1"/>
    <w:basedOn w:val="14"/>
    <w:link w:val="93"/>
    <w:autoRedefine/>
    <w:qFormat/>
    <w:uiPriority w:val="0"/>
    <w:pPr>
      <w:adjustRightInd/>
      <w:spacing w:after="120" w:line="240" w:lineRule="auto"/>
      <w:ind w:firstLine="420" w:firstLineChars="100"/>
      <w:jc w:val="both"/>
    </w:pPr>
    <w:rPr>
      <w:rFonts w:ascii="Times New Roman" w:eastAsia="宋体"/>
      <w:kern w:val="2"/>
      <w:sz w:val="21"/>
      <w:szCs w:val="24"/>
    </w:rPr>
  </w:style>
  <w:style w:type="character" w:customStyle="1" w:styleId="95">
    <w:name w:val="font11"/>
    <w:autoRedefine/>
    <w:qFormat/>
    <w:uiPriority w:val="0"/>
    <w:rPr>
      <w:rFonts w:hint="eastAsia" w:ascii="宋体" w:hAnsi="宋体" w:eastAsia="宋体" w:cs="宋体"/>
      <w:color w:val="000000"/>
      <w:sz w:val="40"/>
      <w:szCs w:val="40"/>
      <w:u w:val="none"/>
    </w:rPr>
  </w:style>
  <w:style w:type="character" w:customStyle="1" w:styleId="96">
    <w:name w:val="font31"/>
    <w:autoRedefine/>
    <w:qFormat/>
    <w:uiPriority w:val="0"/>
    <w:rPr>
      <w:rFonts w:hint="eastAsia" w:ascii="宋体" w:hAnsi="宋体" w:eastAsia="宋体" w:cs="宋体"/>
      <w:color w:val="000000"/>
      <w:sz w:val="20"/>
      <w:szCs w:val="20"/>
      <w:u w:val="none"/>
    </w:rPr>
  </w:style>
  <w:style w:type="character" w:customStyle="1" w:styleId="97">
    <w:name w:val="纯文本 Char"/>
    <w:autoRedefine/>
    <w:qFormat/>
    <w:uiPriority w:val="0"/>
    <w:rPr>
      <w:rFonts w:ascii="宋体" w:hAnsi="Courier New" w:eastAsia="宋体" w:cs="Courier New"/>
      <w:kern w:val="2"/>
      <w:sz w:val="21"/>
      <w:szCs w:val="21"/>
    </w:rPr>
  </w:style>
  <w:style w:type="character" w:customStyle="1" w:styleId="98">
    <w:name w:val="页脚 字符"/>
    <w:autoRedefine/>
    <w:qFormat/>
    <w:uiPriority w:val="99"/>
    <w:rPr>
      <w:rFonts w:ascii="Times New Roman" w:hAnsi="Times New Roman" w:eastAsia="宋体" w:cs="Times New Roman"/>
      <w:kern w:val="2"/>
      <w:sz w:val="18"/>
      <w:lang w:val="en-US" w:eastAsia="zh-CN" w:bidi="ar-SA"/>
    </w:rPr>
  </w:style>
  <w:style w:type="character" w:customStyle="1" w:styleId="99">
    <w:name w:val="Char Char3"/>
    <w:autoRedefine/>
    <w:qFormat/>
    <w:uiPriority w:val="0"/>
    <w:rPr>
      <w:rFonts w:hint="eastAsia" w:ascii="宋体" w:hAnsi="Courier New" w:eastAsia="宋体" w:cs="Times New Roman"/>
      <w:kern w:val="2"/>
      <w:sz w:val="21"/>
      <w:lang w:val="en-US" w:eastAsia="zh-CN" w:bidi="ar-SA"/>
    </w:rPr>
  </w:style>
  <w:style w:type="character" w:customStyle="1" w:styleId="100">
    <w:name w:val="unnamed1"/>
    <w:autoRedefine/>
    <w:qFormat/>
    <w:uiPriority w:val="0"/>
    <w:rPr>
      <w:rFonts w:ascii="Times New Roman" w:hAnsi="Times New Roman" w:eastAsia="宋体" w:cs="Times New Roman"/>
    </w:rPr>
  </w:style>
  <w:style w:type="character" w:customStyle="1" w:styleId="101">
    <w:name w:val="search_result_snap1"/>
    <w:autoRedefine/>
    <w:qFormat/>
    <w:uiPriority w:val="0"/>
    <w:rPr>
      <w:rFonts w:ascii="Times New Roman" w:hAnsi="Times New Roman" w:eastAsia="宋体" w:cs="Times New Roman"/>
      <w:sz w:val="21"/>
      <w:szCs w:val="21"/>
    </w:rPr>
  </w:style>
  <w:style w:type="character" w:customStyle="1" w:styleId="102">
    <w:name w:val="不明显强调1"/>
    <w:autoRedefine/>
    <w:qFormat/>
    <w:uiPriority w:val="0"/>
    <w:rPr>
      <w:rFonts w:ascii="Times New Roman" w:hAnsi="Times New Roman" w:eastAsia="宋体" w:cs="Times New Roman"/>
      <w:i/>
      <w:iCs/>
      <w:color w:val="808080"/>
    </w:rPr>
  </w:style>
  <w:style w:type="character" w:customStyle="1" w:styleId="103">
    <w:name w:val="正文文本缩进 字符"/>
    <w:autoRedefine/>
    <w:qFormat/>
    <w:uiPriority w:val="0"/>
    <w:rPr>
      <w:rFonts w:ascii="仿宋_GB2312" w:hAnsi="Times New Roman" w:eastAsia="仿宋_GB2312" w:cs="Times New Roman"/>
      <w:kern w:val="2"/>
      <w:sz w:val="28"/>
      <w:lang w:val="en-US" w:eastAsia="zh-CN" w:bidi="ar-SA"/>
    </w:rPr>
  </w:style>
  <w:style w:type="character" w:customStyle="1" w:styleId="104">
    <w:name w:val="(aNormal) + 宋体 Char"/>
    <w:link w:val="105"/>
    <w:autoRedefine/>
    <w:qFormat/>
    <w:uiPriority w:val="0"/>
    <w:rPr>
      <w:rFonts w:ascii="宋体" w:hAnsi="宋体" w:eastAsia="宋体" w:cs="Times New Roman"/>
      <w:lang w:val="en-GB"/>
    </w:rPr>
  </w:style>
  <w:style w:type="paragraph" w:customStyle="1" w:styleId="105">
    <w:name w:val="(aNormal) + 宋体"/>
    <w:basedOn w:val="1"/>
    <w:link w:val="104"/>
    <w:autoRedefine/>
    <w:qFormat/>
    <w:uiPriority w:val="0"/>
    <w:pPr>
      <w:widowControl/>
      <w:spacing w:before="240" w:after="120" w:line="240" w:lineRule="auto"/>
      <w:ind w:firstLine="0" w:firstLineChars="0"/>
    </w:pPr>
    <w:rPr>
      <w:kern w:val="0"/>
      <w:sz w:val="20"/>
      <w:szCs w:val="20"/>
      <w:lang w:val="en-GB"/>
    </w:rPr>
  </w:style>
  <w:style w:type="character" w:customStyle="1" w:styleId="106">
    <w:name w:val="hei16b1"/>
    <w:autoRedefine/>
    <w:qFormat/>
    <w:uiPriority w:val="0"/>
    <w:rPr>
      <w:rFonts w:hint="default" w:ascii="Arial" w:hAnsi="Arial" w:eastAsia="宋体" w:cs="Arial"/>
      <w:b/>
      <w:bCs/>
      <w:color w:val="000000"/>
      <w:sz w:val="24"/>
      <w:szCs w:val="24"/>
    </w:rPr>
  </w:style>
  <w:style w:type="character" w:customStyle="1" w:styleId="107">
    <w:name w:val="无间隔 Char"/>
    <w:link w:val="108"/>
    <w:autoRedefine/>
    <w:qFormat/>
    <w:uiPriority w:val="0"/>
    <w:rPr>
      <w:rFonts w:ascii="Times New Roman" w:hAnsi="Times New Roman" w:eastAsia="宋体" w:cs="Calibri"/>
      <w:kern w:val="2"/>
      <w:sz w:val="21"/>
      <w:szCs w:val="22"/>
      <w:lang w:val="en-US" w:eastAsia="zh-CN" w:bidi="ar-SA"/>
    </w:rPr>
  </w:style>
  <w:style w:type="paragraph" w:customStyle="1" w:styleId="108">
    <w:name w:val="无间隔1"/>
    <w:link w:val="107"/>
    <w:autoRedefine/>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109">
    <w:name w:val="wz1"/>
    <w:autoRedefine/>
    <w:qFormat/>
    <w:uiPriority w:val="0"/>
    <w:rPr>
      <w:rFonts w:ascii="Times New Roman" w:hAnsi="Times New Roman" w:eastAsia="宋体" w:cs="Times New Roman"/>
    </w:rPr>
  </w:style>
  <w:style w:type="character" w:customStyle="1" w:styleId="110">
    <w:name w:val="button1"/>
    <w:autoRedefine/>
    <w:qFormat/>
    <w:uiPriority w:val="0"/>
    <w:rPr>
      <w:rFonts w:hint="default" w:ascii="Verdana" w:hAnsi="Verdana" w:eastAsia="宋体" w:cs="Times New Roman"/>
      <w:b/>
      <w:bCs/>
      <w:sz w:val="20"/>
      <w:szCs w:val="20"/>
    </w:rPr>
  </w:style>
  <w:style w:type="character" w:customStyle="1" w:styleId="111">
    <w:name w:val="body001"/>
    <w:autoRedefine/>
    <w:qFormat/>
    <w:uiPriority w:val="0"/>
    <w:rPr>
      <w:rFonts w:hint="default" w:ascii="ˎ̥" w:hAnsi="ˎ̥" w:eastAsia="宋体" w:cs="Times New Roman"/>
      <w:color w:val="333333"/>
      <w:sz w:val="18"/>
      <w:szCs w:val="18"/>
    </w:rPr>
  </w:style>
  <w:style w:type="character" w:customStyle="1" w:styleId="112">
    <w:name w:val="font71"/>
    <w:basedOn w:val="45"/>
    <w:autoRedefine/>
    <w:qFormat/>
    <w:uiPriority w:val="0"/>
    <w:rPr>
      <w:rFonts w:ascii="Arial" w:hAnsi="Arial" w:eastAsia="宋体" w:cs="Arial"/>
      <w:b/>
      <w:color w:val="333333"/>
      <w:sz w:val="20"/>
      <w:szCs w:val="20"/>
      <w:u w:val="none"/>
    </w:rPr>
  </w:style>
  <w:style w:type="character" w:customStyle="1" w:styleId="113">
    <w:name w:val="style8"/>
    <w:autoRedefine/>
    <w:qFormat/>
    <w:uiPriority w:val="0"/>
    <w:rPr>
      <w:rFonts w:ascii="Times New Roman" w:hAnsi="Times New Roman" w:eastAsia="宋体" w:cs="Times New Roman"/>
    </w:rPr>
  </w:style>
  <w:style w:type="character" w:customStyle="1" w:styleId="114">
    <w:name w:val="style1"/>
    <w:autoRedefine/>
    <w:qFormat/>
    <w:uiPriority w:val="0"/>
    <w:rPr>
      <w:rFonts w:ascii="Times New Roman" w:hAnsi="Times New Roman" w:eastAsia="宋体" w:cs="Times New Roman"/>
    </w:rPr>
  </w:style>
  <w:style w:type="character" w:customStyle="1" w:styleId="115">
    <w:name w:val="标题 Char"/>
    <w:autoRedefine/>
    <w:qFormat/>
    <w:uiPriority w:val="0"/>
    <w:rPr>
      <w:rFonts w:ascii="Cambria" w:hAnsi="Cambria" w:eastAsia="宋体" w:cs="Times New Roman"/>
      <w:b/>
      <w:bCs/>
      <w:kern w:val="2"/>
      <w:sz w:val="32"/>
      <w:szCs w:val="32"/>
    </w:rPr>
  </w:style>
  <w:style w:type="character" w:customStyle="1" w:styleId="116">
    <w:name w:val="font01"/>
    <w:basedOn w:val="45"/>
    <w:autoRedefine/>
    <w:qFormat/>
    <w:uiPriority w:val="0"/>
    <w:rPr>
      <w:rFonts w:hint="eastAsia" w:ascii="宋体" w:hAnsi="宋体" w:eastAsia="宋体" w:cs="宋体"/>
      <w:b/>
      <w:color w:val="333333"/>
      <w:sz w:val="20"/>
      <w:szCs w:val="20"/>
      <w:u w:val="none"/>
    </w:rPr>
  </w:style>
  <w:style w:type="paragraph" w:customStyle="1" w:styleId="11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rPr>
  </w:style>
  <w:style w:type="paragraph" w:customStyle="1" w:styleId="118">
    <w:name w:val="默认段落字体 Para Char"/>
    <w:basedOn w:val="1"/>
    <w:autoRedefine/>
    <w:qFormat/>
    <w:uiPriority w:val="0"/>
    <w:pPr>
      <w:spacing w:line="240" w:lineRule="auto"/>
      <w:ind w:firstLine="0" w:firstLineChars="0"/>
    </w:pPr>
    <w:rPr>
      <w:rFonts w:ascii="Times New Roman" w:hAnsi="Times New Roman"/>
    </w:rPr>
  </w:style>
  <w:style w:type="paragraph" w:customStyle="1" w:styleId="119">
    <w:name w:val="table_lines"/>
    <w:basedOn w:val="1"/>
    <w:autoRedefine/>
    <w:qFormat/>
    <w:uiPriority w:val="0"/>
    <w:pPr>
      <w:widowControl/>
      <w:spacing w:line="240" w:lineRule="auto"/>
      <w:ind w:firstLine="0" w:firstLineChars="0"/>
      <w:jc w:val="left"/>
    </w:pPr>
    <w:rPr>
      <w:rFonts w:ascii="Times New Roman" w:hAnsi="Times New Roman"/>
      <w:kern w:val="0"/>
      <w:sz w:val="20"/>
      <w:szCs w:val="20"/>
      <w:lang w:val="de-DE" w:eastAsia="de-DE"/>
    </w:rPr>
  </w:style>
  <w:style w:type="paragraph" w:customStyle="1" w:styleId="120">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2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23">
    <w:name w:val="1"/>
    <w:basedOn w:val="1"/>
    <w:next w:val="38"/>
    <w:autoRedefine/>
    <w:qFormat/>
    <w:uiPriority w:val="0"/>
    <w:pPr>
      <w:widowControl/>
      <w:spacing w:before="100" w:beforeAutospacing="1" w:after="100" w:afterAutospacing="1" w:line="240" w:lineRule="auto"/>
      <w:ind w:firstLine="0" w:firstLineChars="0"/>
      <w:jc w:val="left"/>
    </w:pPr>
    <w:rPr>
      <w:kern w:val="0"/>
    </w:rPr>
  </w:style>
  <w:style w:type="paragraph" w:customStyle="1" w:styleId="124">
    <w:name w:val="head 1.1"/>
    <w:basedOn w:val="125"/>
    <w:autoRedefine/>
    <w:qFormat/>
    <w:uiPriority w:val="0"/>
    <w:pPr>
      <w:numPr>
        <w:ilvl w:val="1"/>
        <w:numId w:val="3"/>
      </w:numPr>
      <w:spacing w:before="260" w:after="260" w:line="240" w:lineRule="auto"/>
      <w:ind w:firstLine="0" w:firstLineChars="0"/>
    </w:pPr>
    <w:rPr>
      <w:rFonts w:ascii="宋体" w:hAnsi="宋体"/>
      <w:bCs/>
      <w:szCs w:val="22"/>
    </w:rPr>
  </w:style>
  <w:style w:type="paragraph" w:customStyle="1" w:styleId="125">
    <w:name w:val="列表段落1"/>
    <w:basedOn w:val="1"/>
    <w:autoRedefine/>
    <w:qFormat/>
    <w:uiPriority w:val="0"/>
    <w:pPr>
      <w:ind w:firstLine="420"/>
    </w:pPr>
    <w:rPr>
      <w:rFonts w:ascii="Times New Roman" w:hAnsi="Times New Roman"/>
    </w:rPr>
  </w:style>
  <w:style w:type="paragraph" w:customStyle="1" w:styleId="12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27">
    <w:name w:val="_Style 40"/>
    <w:basedOn w:val="1"/>
    <w:autoRedefine/>
    <w:qFormat/>
    <w:uiPriority w:val="0"/>
    <w:pPr>
      <w:spacing w:line="240" w:lineRule="auto"/>
      <w:ind w:firstLine="0" w:firstLineChars="0"/>
    </w:pPr>
    <w:rPr>
      <w:rFonts w:ascii="Times New Roman" w:hAnsi="Times New Roman"/>
    </w:rPr>
  </w:style>
  <w:style w:type="paragraph" w:customStyle="1" w:styleId="128">
    <w:name w:val="正文段"/>
    <w:basedOn w:val="1"/>
    <w:autoRedefine/>
    <w:qFormat/>
    <w:uiPriority w:val="0"/>
    <w:pPr>
      <w:widowControl/>
      <w:snapToGrid w:val="0"/>
      <w:spacing w:after="50" w:afterLines="50"/>
    </w:pPr>
    <w:rPr>
      <w:rFonts w:ascii="Times New Roman" w:hAnsi="Times New Roman"/>
      <w:kern w:val="0"/>
    </w:rPr>
  </w:style>
  <w:style w:type="paragraph" w:customStyle="1" w:styleId="129">
    <w:name w:val="Proposals body"/>
    <w:basedOn w:val="1"/>
    <w:next w:val="1"/>
    <w:autoRedefine/>
    <w:qFormat/>
    <w:uiPriority w:val="0"/>
    <w:pPr>
      <w:widowControl/>
      <w:snapToGrid w:val="0"/>
      <w:ind w:firstLine="0" w:firstLineChars="0"/>
      <w:jc w:val="left"/>
    </w:pPr>
    <w:rPr>
      <w:rFonts w:hAnsi="Times New Roman"/>
      <w:color w:val="000000"/>
      <w:kern w:val="0"/>
      <w:szCs w:val="20"/>
    </w:rPr>
  </w:style>
  <w:style w:type="paragraph" w:customStyle="1" w:styleId="130">
    <w:name w:val="Char1 Char Char"/>
    <w:basedOn w:val="1"/>
    <w:autoRedefine/>
    <w:qFormat/>
    <w:uiPriority w:val="0"/>
    <w:pPr>
      <w:widowControl/>
      <w:spacing w:after="160"/>
      <w:jc w:val="left"/>
    </w:pPr>
    <w:rPr>
      <w:rFonts w:ascii="Verdana" w:hAnsi="Verdana" w:eastAsia="黑体"/>
      <w:kern w:val="0"/>
      <w:szCs w:val="20"/>
      <w:lang w:eastAsia="en-US"/>
    </w:rPr>
  </w:style>
  <w:style w:type="paragraph" w:customStyle="1" w:styleId="131">
    <w:name w:val="列出段落1"/>
    <w:basedOn w:val="1"/>
    <w:autoRedefine/>
    <w:qFormat/>
    <w:uiPriority w:val="0"/>
    <w:pPr>
      <w:spacing w:line="240" w:lineRule="auto"/>
      <w:ind w:firstLine="420"/>
    </w:pPr>
    <w:rPr>
      <w:rFonts w:ascii="Times New Roman" w:hAnsi="Times New Roman"/>
    </w:rPr>
  </w:style>
  <w:style w:type="paragraph" w:customStyle="1" w:styleId="132">
    <w:name w:val="小标题2"/>
    <w:basedOn w:val="1"/>
    <w:next w:val="1"/>
    <w:autoRedefine/>
    <w:qFormat/>
    <w:uiPriority w:val="0"/>
    <w:pPr>
      <w:spacing w:beforeLines="20" w:afterLines="20" w:line="400" w:lineRule="exact"/>
    </w:pPr>
    <w:rPr>
      <w:rFonts w:ascii="Times New Roman" w:hAnsi="Times New Roman" w:eastAsia="楷体_GB2312"/>
    </w:rPr>
  </w:style>
  <w:style w:type="paragraph" w:customStyle="1" w:styleId="133">
    <w:name w:val="Char Char Char Char Char Char Char"/>
    <w:basedOn w:val="1"/>
    <w:autoRedefine/>
    <w:qFormat/>
    <w:uiPriority w:val="0"/>
    <w:pPr>
      <w:tabs>
        <w:tab w:val="left" w:pos="432"/>
      </w:tabs>
      <w:spacing w:line="240" w:lineRule="auto"/>
      <w:ind w:left="432" w:hanging="432" w:firstLineChars="0"/>
    </w:pPr>
    <w:rPr>
      <w:rFonts w:ascii="Tahoma" w:hAnsi="Tahoma"/>
      <w:szCs w:val="20"/>
    </w:rPr>
  </w:style>
  <w:style w:type="paragraph" w:customStyle="1" w:styleId="13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color w:val="000000"/>
      <w:kern w:val="0"/>
      <w:sz w:val="18"/>
      <w:szCs w:val="18"/>
    </w:rPr>
  </w:style>
  <w:style w:type="paragraph" w:customStyle="1" w:styleId="136">
    <w:name w:val="样式1"/>
    <w:basedOn w:val="1"/>
    <w:autoRedefine/>
    <w:qFormat/>
    <w:uiPriority w:val="0"/>
    <w:pPr>
      <w:spacing w:line="360" w:lineRule="exact"/>
    </w:pPr>
    <w:rPr>
      <w:rFonts w:ascii="Arial" w:hAnsi="Arial"/>
      <w:sz w:val="21"/>
    </w:rPr>
  </w:style>
  <w:style w:type="paragraph" w:customStyle="1" w:styleId="137">
    <w:name w:val="正文格式"/>
    <w:basedOn w:val="1"/>
    <w:autoRedefine/>
    <w:qFormat/>
    <w:uiPriority w:val="0"/>
    <w:pPr>
      <w:widowControl/>
      <w:adjustRightInd w:val="0"/>
      <w:snapToGrid w:val="0"/>
      <w:ind w:firstLine="482" w:firstLineChars="0"/>
    </w:pPr>
    <w:rPr>
      <w:rFonts w:ascii="Times New Roman" w:hAnsi="Times New Roman"/>
      <w:kern w:val="0"/>
      <w:szCs w:val="20"/>
    </w:rPr>
  </w:style>
  <w:style w:type="paragraph" w:customStyle="1" w:styleId="138">
    <w:name w:val="TOC 标题1"/>
    <w:basedOn w:val="4"/>
    <w:next w:val="1"/>
    <w:autoRedefine/>
    <w:qFormat/>
    <w:uiPriority w:val="0"/>
    <w:pPr>
      <w:widowControl/>
      <w:spacing w:line="240" w:lineRule="auto"/>
      <w:outlineLvl w:val="9"/>
    </w:pPr>
    <w:rPr>
      <w:rFonts w:ascii="Times New Roman" w:hAnsi="Times New Roman"/>
      <w:kern w:val="0"/>
      <w:sz w:val="21"/>
      <w:szCs w:val="28"/>
    </w:rPr>
  </w:style>
  <w:style w:type="paragraph" w:customStyle="1" w:styleId="139">
    <w:name w:val="表格"/>
    <w:basedOn w:val="14"/>
    <w:next w:val="1"/>
    <w:autoRedefine/>
    <w:qFormat/>
    <w:uiPriority w:val="0"/>
    <w:pPr>
      <w:spacing w:line="240" w:lineRule="auto"/>
      <w:jc w:val="center"/>
    </w:pPr>
    <w:rPr>
      <w:rFonts w:ascii="Times New Roman" w:eastAsia="宋体"/>
    </w:rPr>
  </w:style>
  <w:style w:type="paragraph" w:customStyle="1" w:styleId="140">
    <w:name w:val="Char1"/>
    <w:basedOn w:val="1"/>
    <w:autoRedefine/>
    <w:qFormat/>
    <w:uiPriority w:val="0"/>
    <w:rPr>
      <w:rFonts w:ascii="Tahoma" w:hAnsi="Tahoma"/>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2">
    <w:name w:val="正文－恩普"/>
    <w:basedOn w:val="8"/>
    <w:autoRedefine/>
    <w:qFormat/>
    <w:uiPriority w:val="0"/>
    <w:pPr>
      <w:widowControl/>
      <w:spacing w:afterLines="50" w:line="360" w:lineRule="auto"/>
      <w:ind w:firstLine="480" w:firstLineChars="200"/>
      <w:jc w:val="left"/>
    </w:pPr>
  </w:style>
  <w:style w:type="paragraph" w:customStyle="1" w:styleId="143">
    <w:name w:val="正文2"/>
    <w:basedOn w:val="1"/>
    <w:autoRedefine/>
    <w:qFormat/>
    <w:uiPriority w:val="0"/>
    <w:pPr>
      <w:spacing w:before="156"/>
      <w:ind w:firstLine="510"/>
    </w:pPr>
    <w:rPr>
      <w:rFonts w:ascii="MT Extra" w:hAnsi="MT Extra" w:cs="MT Extra"/>
    </w:rPr>
  </w:style>
  <w:style w:type="paragraph" w:customStyle="1" w:styleId="144">
    <w:name w:val="Char Char Char"/>
    <w:basedOn w:val="1"/>
    <w:autoRedefine/>
    <w:qFormat/>
    <w:uiPriority w:val="0"/>
    <w:pPr>
      <w:spacing w:line="240" w:lineRule="auto"/>
      <w:ind w:firstLine="0" w:firstLineChars="0"/>
    </w:pPr>
    <w:rPr>
      <w:rFonts w:ascii="Tahoma" w:hAnsi="Tahoma"/>
      <w:szCs w:val="20"/>
    </w:rPr>
  </w:style>
  <w:style w:type="paragraph" w:customStyle="1" w:styleId="145">
    <w:name w:val="Char Char Char Char Char Char"/>
    <w:basedOn w:val="1"/>
    <w:autoRedefine/>
    <w:qFormat/>
    <w:uiPriority w:val="0"/>
    <w:pPr>
      <w:spacing w:line="240" w:lineRule="auto"/>
    </w:pPr>
    <w:rPr>
      <w:rFonts w:ascii="Tahoma" w:hAnsi="Tahoma"/>
      <w:szCs w:val="20"/>
    </w:rPr>
  </w:style>
  <w:style w:type="paragraph" w:customStyle="1" w:styleId="146">
    <w:name w:val="Char2"/>
    <w:basedOn w:val="1"/>
    <w:autoRedefine/>
    <w:qFormat/>
    <w:uiPriority w:val="0"/>
    <w:pPr>
      <w:spacing w:line="240" w:lineRule="auto"/>
      <w:ind w:firstLine="0" w:firstLineChars="0"/>
    </w:pPr>
    <w:rPr>
      <w:rFonts w:ascii="仿宋_GB2312" w:hAnsi="Times New Roman" w:eastAsia="仿宋_GB2312"/>
      <w:b/>
      <w:sz w:val="32"/>
      <w:szCs w:val="32"/>
    </w:rPr>
  </w:style>
  <w:style w:type="paragraph" w:customStyle="1" w:styleId="14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48">
    <w:name w:val="p0"/>
    <w:basedOn w:val="1"/>
    <w:autoRedefine/>
    <w:qFormat/>
    <w:uiPriority w:val="0"/>
    <w:pPr>
      <w:widowControl/>
      <w:spacing w:line="240" w:lineRule="auto"/>
      <w:ind w:firstLine="0" w:firstLineChars="0"/>
    </w:pPr>
    <w:rPr>
      <w:rFonts w:ascii="Times New Roman" w:hAnsi="Times New Roman"/>
      <w:kern w:val="0"/>
      <w:szCs w:val="21"/>
    </w:rPr>
  </w:style>
  <w:style w:type="paragraph" w:customStyle="1" w:styleId="149">
    <w:name w:val="正文1"/>
    <w:basedOn w:val="1"/>
    <w:autoRedefine/>
    <w:qFormat/>
    <w:uiPriority w:val="0"/>
    <w:pPr>
      <w:widowControl/>
      <w:spacing w:after="200" w:line="300" w:lineRule="atLeast"/>
      <w:jc w:val="left"/>
    </w:pPr>
    <w:rPr>
      <w:rFonts w:ascii="Times New Roman" w:hAnsi="Times New Roman" w:cs="宋体"/>
      <w:kern w:val="0"/>
      <w:sz w:val="22"/>
      <w:szCs w:val="22"/>
    </w:rPr>
  </w:style>
  <w:style w:type="paragraph" w:customStyle="1" w:styleId="150">
    <w:name w:val="Char Char Char Char"/>
    <w:basedOn w:val="1"/>
    <w:autoRedefine/>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51">
    <w:name w:val="0"/>
    <w:basedOn w:val="1"/>
    <w:autoRedefine/>
    <w:qFormat/>
    <w:uiPriority w:val="0"/>
    <w:pPr>
      <w:widowControl/>
    </w:pPr>
    <w:rPr>
      <w:rFonts w:ascii="Times New Roman" w:hAnsi="Times New Roman"/>
      <w:kern w:val="0"/>
      <w:szCs w:val="21"/>
    </w:rPr>
  </w:style>
  <w:style w:type="paragraph" w:customStyle="1" w:styleId="152">
    <w:name w:val="Char Char Char Char Char Char Char Char"/>
    <w:basedOn w:val="1"/>
    <w:autoRedefine/>
    <w:qFormat/>
    <w:uiPriority w:val="0"/>
    <w:pPr>
      <w:tabs>
        <w:tab w:val="left" w:pos="360"/>
      </w:tabs>
      <w:spacing w:line="240" w:lineRule="auto"/>
      <w:ind w:firstLine="0" w:firstLineChars="0"/>
    </w:pPr>
    <w:rPr>
      <w:rFonts w:ascii="Times New Roman" w:hAnsi="Times New Roman"/>
      <w:szCs w:val="20"/>
    </w:rPr>
  </w:style>
  <w:style w:type="paragraph" w:customStyle="1" w:styleId="153">
    <w:name w:val="表内文字"/>
    <w:basedOn w:val="1"/>
    <w:autoRedefine/>
    <w:qFormat/>
    <w:uiPriority w:val="0"/>
    <w:pPr>
      <w:tabs>
        <w:tab w:val="left" w:pos="1418"/>
      </w:tabs>
      <w:ind w:firstLine="0" w:firstLineChars="0"/>
      <w:jc w:val="center"/>
    </w:pPr>
    <w:rPr>
      <w:rFonts w:ascii="仿宋_GB2312" w:hAnsi="Times New Roman" w:eastAsia="仿宋_GB2312"/>
      <w:spacing w:val="-20"/>
      <w:kern w:val="0"/>
    </w:rPr>
  </w:style>
  <w:style w:type="paragraph" w:customStyle="1" w:styleId="154">
    <w:name w:val="font6"/>
    <w:basedOn w:val="1"/>
    <w:autoRedefine/>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5">
    <w:name w:val="xl82"/>
    <w:basedOn w:val="1"/>
    <w:autoRedefine/>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7">
    <w:name w:val="Char Char Char Char Char Char Char Char Char Char Char Char Char"/>
    <w:basedOn w:val="1"/>
    <w:autoRedefine/>
    <w:qFormat/>
    <w:uiPriority w:val="0"/>
    <w:pPr>
      <w:spacing w:line="240" w:lineRule="auto"/>
      <w:ind w:firstLine="0" w:firstLineChars="0"/>
    </w:pPr>
    <w:rPr>
      <w:rFonts w:ascii="Tahoma" w:hAnsi="Tahoma"/>
      <w:szCs w:val="20"/>
    </w:rPr>
  </w:style>
  <w:style w:type="paragraph" w:customStyle="1" w:styleId="15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18"/>
      <w:szCs w:val="18"/>
    </w:rPr>
  </w:style>
  <w:style w:type="paragraph" w:customStyle="1" w:styleId="15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60">
    <w:name w:val="trs_editor"/>
    <w:basedOn w:val="1"/>
    <w:autoRedefine/>
    <w:qFormat/>
    <w:uiPriority w:val="0"/>
    <w:pPr>
      <w:widowControl/>
      <w:spacing w:before="100" w:beforeAutospacing="1" w:after="100" w:afterAutospacing="1"/>
      <w:jc w:val="left"/>
    </w:pPr>
    <w:rPr>
      <w:rFonts w:cs="宋体"/>
      <w:kern w:val="0"/>
    </w:rPr>
  </w:style>
  <w:style w:type="paragraph" w:customStyle="1" w:styleId="161">
    <w:name w:val="font8"/>
    <w:basedOn w:val="1"/>
    <w:autoRedefine/>
    <w:qFormat/>
    <w:uiPriority w:val="0"/>
    <w:pPr>
      <w:widowControl/>
      <w:spacing w:before="100" w:beforeAutospacing="1" w:after="100" w:afterAutospacing="1" w:line="240" w:lineRule="auto"/>
      <w:ind w:firstLine="0" w:firstLineChars="0"/>
      <w:jc w:val="left"/>
    </w:pPr>
    <w:rPr>
      <w:rFonts w:ascii="Times New Roman" w:hAnsi="Times New Roman" w:cs="宋体"/>
      <w:color w:val="000000"/>
      <w:kern w:val="0"/>
      <w:sz w:val="18"/>
      <w:szCs w:val="18"/>
    </w:rPr>
  </w:style>
  <w:style w:type="paragraph" w:customStyle="1" w:styleId="16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163">
    <w:name w:val="列表段落2"/>
    <w:basedOn w:val="1"/>
    <w:autoRedefine/>
    <w:qFormat/>
    <w:uiPriority w:val="99"/>
    <w:pPr>
      <w:ind w:firstLine="420"/>
    </w:pPr>
    <w:rPr>
      <w:rFonts w:ascii="Times New Roman" w:hAnsi="Times New Roman"/>
      <w:szCs w:val="22"/>
    </w:rPr>
  </w:style>
  <w:style w:type="paragraph" w:customStyle="1" w:styleId="164">
    <w:name w:val="p16"/>
    <w:basedOn w:val="1"/>
    <w:autoRedefine/>
    <w:qFormat/>
    <w:uiPriority w:val="0"/>
    <w:pPr>
      <w:widowControl/>
      <w:spacing w:line="240" w:lineRule="auto"/>
      <w:ind w:left="420" w:hanging="420" w:firstLineChars="0"/>
    </w:pPr>
    <w:rPr>
      <w:rFonts w:ascii="Times New Roman" w:hAnsi="Times New Roman"/>
      <w:kern w:val="0"/>
      <w:szCs w:val="21"/>
    </w:rPr>
  </w:style>
  <w:style w:type="paragraph" w:customStyle="1" w:styleId="165">
    <w:name w:val="font9"/>
    <w:basedOn w:val="1"/>
    <w:autoRedefine/>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66">
    <w:name w:val="样式3"/>
    <w:basedOn w:val="167"/>
    <w:autoRedefine/>
    <w:qFormat/>
    <w:uiPriority w:val="0"/>
    <w:pPr>
      <w:spacing w:line="240" w:lineRule="auto"/>
    </w:pPr>
  </w:style>
  <w:style w:type="paragraph" w:customStyle="1" w:styleId="167">
    <w:name w:val="样式2"/>
    <w:basedOn w:val="136"/>
    <w:autoRedefine/>
    <w:qFormat/>
    <w:uiPriority w:val="0"/>
    <w:pPr>
      <w:ind w:firstLine="0" w:firstLineChars="0"/>
    </w:pPr>
    <w:rPr>
      <w:rFonts w:ascii="Times New Roman" w:hAnsi="Times New Roman"/>
    </w:rPr>
  </w:style>
  <w:style w:type="paragraph" w:customStyle="1" w:styleId="168">
    <w:name w:val="xl25"/>
    <w:basedOn w:val="1"/>
    <w:autoRedefine/>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69">
    <w:name w:val="Horizontal Bar"/>
    <w:basedOn w:val="1"/>
    <w:autoRedefine/>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70">
    <w:name w:val="head 1.1.1"/>
    <w:basedOn w:val="125"/>
    <w:autoRedefine/>
    <w:qFormat/>
    <w:uiPriority w:val="0"/>
    <w:pPr>
      <w:numPr>
        <w:ilvl w:val="2"/>
        <w:numId w:val="3"/>
      </w:numPr>
      <w:spacing w:line="240" w:lineRule="auto"/>
      <w:ind w:firstLine="0" w:firstLineChars="0"/>
    </w:pPr>
    <w:rPr>
      <w:bCs/>
      <w:szCs w:val="22"/>
    </w:rPr>
  </w:style>
  <w:style w:type="paragraph" w:customStyle="1" w:styleId="17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18"/>
      <w:szCs w:val="18"/>
    </w:rPr>
  </w:style>
  <w:style w:type="paragraph" w:customStyle="1" w:styleId="17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73">
    <w:name w:val="Char Char Char Char Char Char Char Char Char Char"/>
    <w:basedOn w:val="9"/>
    <w:autoRedefine/>
    <w:qFormat/>
    <w:uiPriority w:val="0"/>
    <w:pPr>
      <w:shd w:val="clear" w:color="auto" w:fill="000080"/>
      <w:spacing w:line="240" w:lineRule="auto"/>
      <w:ind w:firstLine="0" w:firstLineChars="0"/>
    </w:pPr>
    <w:rPr>
      <w:rFonts w:ascii="Tahoma" w:hAnsi="Tahoma"/>
      <w:sz w:val="24"/>
      <w:szCs w:val="24"/>
    </w:rPr>
  </w:style>
  <w:style w:type="paragraph" w:customStyle="1" w:styleId="17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color w:val="000000"/>
      <w:kern w:val="0"/>
      <w:sz w:val="18"/>
      <w:szCs w:val="18"/>
    </w:rPr>
  </w:style>
  <w:style w:type="paragraph" w:customStyle="1" w:styleId="175">
    <w:name w:val="标题3"/>
    <w:basedOn w:val="5"/>
    <w:link w:val="176"/>
    <w:autoRedefine/>
    <w:qFormat/>
    <w:uiPriority w:val="0"/>
    <w:pPr>
      <w:spacing w:before="260" w:after="260" w:line="415" w:lineRule="auto"/>
    </w:pPr>
    <w:rPr>
      <w:sz w:val="28"/>
      <w:szCs w:val="28"/>
    </w:rPr>
  </w:style>
  <w:style w:type="character" w:customStyle="1" w:styleId="176">
    <w:name w:val="标题3 Char"/>
    <w:link w:val="175"/>
    <w:autoRedefine/>
    <w:qFormat/>
    <w:uiPriority w:val="0"/>
    <w:rPr>
      <w:rFonts w:ascii="宋体" w:hAnsi="宋体" w:eastAsia="宋体" w:cs="Times New Roman"/>
      <w:sz w:val="28"/>
      <w:szCs w:val="28"/>
    </w:rPr>
  </w:style>
  <w:style w:type="paragraph" w:customStyle="1" w:styleId="177">
    <w:name w:val="部分1"/>
    <w:basedOn w:val="1"/>
    <w:autoRedefine/>
    <w:qFormat/>
    <w:uiPriority w:val="0"/>
    <w:pPr>
      <w:keepNext/>
      <w:pageBreakBefore/>
      <w:tabs>
        <w:tab w:val="left" w:pos="720"/>
      </w:tabs>
      <w:jc w:val="center"/>
      <w:outlineLvl w:val="0"/>
    </w:pPr>
    <w:rPr>
      <w:rFonts w:ascii="Times New Roman" w:hAnsi="Times New Roman" w:eastAsia="黑体"/>
      <w:b/>
      <w:kern w:val="44"/>
      <w:sz w:val="36"/>
    </w:rPr>
  </w:style>
  <w:style w:type="paragraph" w:customStyle="1" w:styleId="178">
    <w:name w:val="font7"/>
    <w:basedOn w:val="1"/>
    <w:autoRedefine/>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18"/>
      <w:szCs w:val="18"/>
    </w:rPr>
  </w:style>
  <w:style w:type="paragraph" w:customStyle="1" w:styleId="17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color w:val="000000"/>
      <w:kern w:val="0"/>
      <w:sz w:val="18"/>
      <w:szCs w:val="18"/>
    </w:rPr>
  </w:style>
  <w:style w:type="paragraph" w:customStyle="1" w:styleId="180">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8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82">
    <w:name w:val="样式4"/>
    <w:basedOn w:val="1"/>
    <w:autoRedefine/>
    <w:qFormat/>
    <w:uiPriority w:val="0"/>
    <w:pPr>
      <w:ind w:firstLine="0" w:firstLineChars="0"/>
      <w:jc w:val="center"/>
    </w:pPr>
    <w:rPr>
      <w:rFonts w:ascii="Times New Roman" w:hAnsi="Times New Roman"/>
      <w:sz w:val="20"/>
    </w:rPr>
  </w:style>
  <w:style w:type="paragraph" w:customStyle="1" w:styleId="183">
    <w:name w:val="默认段落字体 Para Char Char Char Char Char Char Char Char Char1 Char Char Char Char"/>
    <w:basedOn w:val="1"/>
    <w:autoRedefine/>
    <w:qFormat/>
    <w:uiPriority w:val="0"/>
    <w:rPr>
      <w:rFonts w:ascii="Tahoma" w:hAnsi="Tahoma"/>
      <w:szCs w:val="20"/>
    </w:rPr>
  </w:style>
  <w:style w:type="paragraph" w:customStyle="1" w:styleId="184">
    <w:name w:val="Char"/>
    <w:basedOn w:val="1"/>
    <w:autoRedefine/>
    <w:qFormat/>
    <w:uiPriority w:val="0"/>
    <w:pPr>
      <w:spacing w:line="240" w:lineRule="auto"/>
      <w:ind w:firstLine="0" w:firstLineChars="0"/>
    </w:pPr>
    <w:rPr>
      <w:rFonts w:ascii="仿宋_GB2312" w:hAnsi="Times New Roman" w:eastAsia="仿宋_GB2312"/>
      <w:b/>
      <w:sz w:val="32"/>
      <w:szCs w:val="32"/>
    </w:rPr>
  </w:style>
  <w:style w:type="paragraph" w:customStyle="1" w:styleId="185">
    <w:name w:val="_Style 3"/>
    <w:basedOn w:val="1"/>
    <w:next w:val="163"/>
    <w:autoRedefine/>
    <w:qFormat/>
    <w:uiPriority w:val="0"/>
    <w:pPr>
      <w:ind w:firstLine="420"/>
    </w:pPr>
    <w:rPr>
      <w:rFonts w:ascii="Times New Roman" w:hAnsi="Times New Roman"/>
      <w:szCs w:val="22"/>
    </w:rPr>
  </w:style>
  <w:style w:type="paragraph" w:customStyle="1" w:styleId="186">
    <w:name w:val="正文缩进1"/>
    <w:basedOn w:val="1"/>
    <w:next w:val="15"/>
    <w:autoRedefine/>
    <w:qFormat/>
    <w:uiPriority w:val="0"/>
    <w:pPr>
      <w:autoSpaceDE w:val="0"/>
      <w:autoSpaceDN w:val="0"/>
      <w:adjustRightInd w:val="0"/>
      <w:snapToGrid w:val="0"/>
      <w:spacing w:after="120"/>
      <w:ind w:left="420" w:firstLine="480" w:firstLineChars="0"/>
    </w:pPr>
    <w:rPr>
      <w:rFonts w:ascii="Times New Roman" w:hAnsi="Times New Roman"/>
      <w:szCs w:val="20"/>
    </w:rPr>
  </w:style>
  <w:style w:type="paragraph" w:customStyle="1" w:styleId="187">
    <w:name w:val="_Style 54"/>
    <w:basedOn w:val="1"/>
    <w:autoRedefine/>
    <w:qFormat/>
    <w:uiPriority w:val="0"/>
    <w:pPr>
      <w:spacing w:line="240" w:lineRule="auto"/>
      <w:ind w:firstLine="0" w:firstLineChars="0"/>
    </w:pPr>
    <w:rPr>
      <w:rFonts w:ascii="Times New Roman" w:hAnsi="Times New Roman"/>
    </w:rPr>
  </w:style>
  <w:style w:type="paragraph" w:customStyle="1" w:styleId="18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89">
    <w:name w:val="_Style 185"/>
    <w:autoRedefine/>
    <w:qFormat/>
    <w:uiPriority w:val="0"/>
    <w:rPr>
      <w:rFonts w:ascii="Times New Roman" w:hAnsi="Times New Roman" w:eastAsia="宋体" w:cs="Times New Roman"/>
      <w:kern w:val="2"/>
      <w:sz w:val="24"/>
      <w:szCs w:val="24"/>
      <w:lang w:val="en-US" w:eastAsia="zh-CN" w:bidi="ar-SA"/>
    </w:rPr>
  </w:style>
  <w:style w:type="paragraph" w:customStyle="1" w:styleId="19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18"/>
      <w:szCs w:val="18"/>
    </w:rPr>
  </w:style>
  <w:style w:type="paragraph" w:customStyle="1" w:styleId="191">
    <w:name w:val="font5"/>
    <w:basedOn w:val="1"/>
    <w:autoRedefine/>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1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18"/>
      <w:szCs w:val="18"/>
    </w:rPr>
  </w:style>
  <w:style w:type="paragraph" w:customStyle="1" w:styleId="19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9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color w:val="000000"/>
      <w:kern w:val="0"/>
      <w:sz w:val="18"/>
      <w:szCs w:val="18"/>
    </w:rPr>
  </w:style>
  <w:style w:type="paragraph" w:customStyle="1" w:styleId="195">
    <w:name w:val="文字"/>
    <w:basedOn w:val="1"/>
    <w:autoRedefine/>
    <w:qFormat/>
    <w:uiPriority w:val="0"/>
    <w:pPr>
      <w:tabs>
        <w:tab w:val="left" w:pos="8520"/>
      </w:tabs>
      <w:spacing w:line="312" w:lineRule="auto"/>
      <w:ind w:right="-210" w:firstLine="556" w:firstLineChars="0"/>
    </w:pPr>
    <w:rPr>
      <w:rFonts w:ascii="楷体_GB2312" w:hAnsi="Times New Roman" w:eastAsia="楷体_GB2312"/>
      <w:sz w:val="28"/>
      <w:szCs w:val="20"/>
    </w:rPr>
  </w:style>
  <w:style w:type="character" w:customStyle="1" w:styleId="196">
    <w:name w:val="on1"/>
    <w:autoRedefine/>
    <w:qFormat/>
    <w:uiPriority w:val="0"/>
  </w:style>
  <w:style w:type="character" w:customStyle="1" w:styleId="197">
    <w:name w:val="bulletintext1"/>
    <w:autoRedefine/>
    <w:qFormat/>
    <w:uiPriority w:val="0"/>
    <w:rPr>
      <w:color w:val="000000"/>
      <w:sz w:val="18"/>
      <w:szCs w:val="18"/>
    </w:rPr>
  </w:style>
  <w:style w:type="character" w:customStyle="1" w:styleId="198">
    <w:name w:val="font21"/>
    <w:basedOn w:val="45"/>
    <w:autoRedefine/>
    <w:qFormat/>
    <w:uiPriority w:val="0"/>
    <w:rPr>
      <w:rFonts w:hint="eastAsia" w:ascii="仿宋" w:hAnsi="仿宋" w:eastAsia="仿宋" w:cs="仿宋"/>
      <w:color w:val="000000"/>
      <w:sz w:val="24"/>
      <w:szCs w:val="24"/>
      <w:u w:val="none"/>
    </w:rPr>
  </w:style>
  <w:style w:type="paragraph" w:customStyle="1" w:styleId="199">
    <w:name w:val="_Style 1"/>
    <w:basedOn w:val="1"/>
    <w:autoRedefine/>
    <w:qFormat/>
    <w:uiPriority w:val="34"/>
    <w:pPr>
      <w:ind w:firstLine="420"/>
    </w:pPr>
    <w:rPr>
      <w:szCs w:val="21"/>
    </w:rPr>
  </w:style>
  <w:style w:type="paragraph" w:customStyle="1" w:styleId="200">
    <w:name w:val="样式 首行缩进:  2 字符"/>
    <w:basedOn w:val="1"/>
    <w:autoRedefine/>
    <w:qFormat/>
    <w:uiPriority w:val="0"/>
    <w:pPr>
      <w:ind w:firstLine="420"/>
    </w:pPr>
    <w:rPr>
      <w:rFonts w:eastAsia="楷体" w:cs="宋体"/>
      <w:szCs w:val="20"/>
    </w:rPr>
  </w:style>
  <w:style w:type="paragraph" w:customStyle="1" w:styleId="201">
    <w:name w:val="此正文"/>
    <w:basedOn w:val="1"/>
    <w:autoRedefine/>
    <w:qFormat/>
    <w:uiPriority w:val="0"/>
    <w:pPr>
      <w:ind w:firstLine="480"/>
    </w:pPr>
  </w:style>
  <w:style w:type="paragraph" w:customStyle="1" w:styleId="202">
    <w:name w:val="默认段落字体 Para Char Char Char Char Char Char Char Char"/>
    <w:basedOn w:val="1"/>
    <w:autoRedefine/>
    <w:qFormat/>
    <w:uiPriority w:val="0"/>
  </w:style>
  <w:style w:type="character" w:customStyle="1" w:styleId="203">
    <w:name w:val="font111"/>
    <w:basedOn w:val="45"/>
    <w:autoRedefine/>
    <w:qFormat/>
    <w:uiPriority w:val="0"/>
    <w:rPr>
      <w:rFonts w:hint="eastAsia" w:ascii="宋体" w:hAnsi="宋体" w:eastAsia="宋体" w:cs="宋体"/>
      <w:color w:val="000000"/>
      <w:sz w:val="16"/>
      <w:szCs w:val="16"/>
      <w:u w:val="none"/>
    </w:rPr>
  </w:style>
  <w:style w:type="character" w:customStyle="1" w:styleId="204">
    <w:name w:val="font171"/>
    <w:basedOn w:val="45"/>
    <w:autoRedefine/>
    <w:qFormat/>
    <w:uiPriority w:val="0"/>
    <w:rPr>
      <w:rFonts w:ascii="Wingdings 2" w:hAnsi="Wingdings 2" w:eastAsia="Wingdings 2" w:cs="Wingdings 2"/>
      <w:color w:val="000000"/>
      <w:sz w:val="16"/>
      <w:szCs w:val="16"/>
      <w:u w:val="none"/>
    </w:rPr>
  </w:style>
  <w:style w:type="character" w:customStyle="1" w:styleId="205">
    <w:name w:val="font181"/>
    <w:basedOn w:val="45"/>
    <w:autoRedefine/>
    <w:qFormat/>
    <w:uiPriority w:val="0"/>
    <w:rPr>
      <w:rFonts w:ascii="微软雅黑" w:hAnsi="微软雅黑" w:eastAsia="微软雅黑" w:cs="微软雅黑"/>
      <w:color w:val="000000"/>
      <w:sz w:val="16"/>
      <w:szCs w:val="16"/>
      <w:u w:val="none"/>
    </w:rPr>
  </w:style>
  <w:style w:type="character" w:customStyle="1" w:styleId="206">
    <w:name w:val="font91"/>
    <w:basedOn w:val="45"/>
    <w:autoRedefine/>
    <w:qFormat/>
    <w:uiPriority w:val="0"/>
    <w:rPr>
      <w:rFonts w:ascii="Calibri" w:hAnsi="Calibri" w:cs="Calibri"/>
      <w:color w:val="000000"/>
      <w:sz w:val="18"/>
      <w:szCs w:val="18"/>
      <w:u w:val="none"/>
    </w:rPr>
  </w:style>
  <w:style w:type="character" w:customStyle="1" w:styleId="207">
    <w:name w:val="font41"/>
    <w:basedOn w:val="45"/>
    <w:autoRedefine/>
    <w:qFormat/>
    <w:uiPriority w:val="0"/>
    <w:rPr>
      <w:rFonts w:hint="eastAsia" w:ascii="宋体" w:hAnsi="宋体" w:eastAsia="宋体" w:cs="宋体"/>
      <w:color w:val="000000"/>
      <w:sz w:val="24"/>
      <w:szCs w:val="24"/>
      <w:u w:val="none"/>
    </w:rPr>
  </w:style>
  <w:style w:type="character" w:customStyle="1" w:styleId="208">
    <w:name w:val="font51"/>
    <w:basedOn w:val="45"/>
    <w:autoRedefine/>
    <w:qFormat/>
    <w:uiPriority w:val="0"/>
    <w:rPr>
      <w:rFonts w:ascii="monospace" w:hAnsi="monospace" w:eastAsia="monospace" w:cs="monospace"/>
      <w:color w:val="000000"/>
      <w:sz w:val="22"/>
      <w:szCs w:val="22"/>
      <w:u w:val="none"/>
    </w:rPr>
  </w:style>
  <w:style w:type="table" w:customStyle="1" w:styleId="209">
    <w:name w:val="Table Normal"/>
    <w:autoRedefine/>
    <w:semiHidden/>
    <w:unhideWhenUsed/>
    <w:qFormat/>
    <w:uiPriority w:val="0"/>
    <w:tblPr>
      <w:tblCellMar>
        <w:top w:w="0" w:type="dxa"/>
        <w:left w:w="0" w:type="dxa"/>
        <w:bottom w:w="0" w:type="dxa"/>
        <w:right w:w="0" w:type="dxa"/>
      </w:tblCellMar>
    </w:tblPr>
  </w:style>
  <w:style w:type="paragraph" w:customStyle="1" w:styleId="210">
    <w:name w:val="Table Text"/>
    <w:basedOn w:val="1"/>
    <w:autoRedefine/>
    <w:semiHidden/>
    <w:qFormat/>
    <w:uiPriority w:val="0"/>
    <w:rPr>
      <w:rFonts w:ascii="Arial" w:hAnsi="Arial" w:eastAsia="Arial" w:cs="Arial"/>
      <w:sz w:val="21"/>
      <w:szCs w:val="21"/>
      <w:lang w:eastAsia="en-US"/>
    </w:rPr>
  </w:style>
  <w:style w:type="character" w:customStyle="1" w:styleId="211">
    <w:name w:val="font81"/>
    <w:basedOn w:val="45"/>
    <w:autoRedefine/>
    <w:qFormat/>
    <w:uiPriority w:val="0"/>
    <w:rPr>
      <w:rFonts w:hint="eastAsia" w:ascii="宋体" w:hAnsi="宋体" w:eastAsia="宋体" w:cs="宋体"/>
      <w:b/>
      <w:bCs/>
      <w:color w:val="000000"/>
      <w:sz w:val="20"/>
      <w:szCs w:val="20"/>
      <w:u w:val="none"/>
    </w:rPr>
  </w:style>
  <w:style w:type="paragraph" w:customStyle="1" w:styleId="212">
    <w:name w:val="样式 首行缩进:  0 字符"/>
    <w:basedOn w:val="1"/>
    <w:autoRedefine/>
    <w:qFormat/>
    <w:uiPriority w:val="0"/>
  </w:style>
  <w:style w:type="character" w:customStyle="1" w:styleId="213">
    <w:name w:val="font141"/>
    <w:basedOn w:val="45"/>
    <w:autoRedefine/>
    <w:qFormat/>
    <w:uiPriority w:val="0"/>
    <w:rPr>
      <w:rFonts w:hint="eastAsia" w:ascii="宋体" w:hAnsi="宋体" w:eastAsia="宋体" w:cs="宋体"/>
      <w:color w:val="FF0000"/>
      <w:sz w:val="18"/>
      <w:szCs w:val="18"/>
      <w:u w:val="none"/>
    </w:rPr>
  </w:style>
  <w:style w:type="paragraph" w:customStyle="1" w:styleId="214">
    <w:name w:val="纯文本1"/>
    <w:basedOn w:val="1"/>
    <w:autoRedefine/>
    <w:qFormat/>
    <w:uiPriority w:val="0"/>
    <w:rPr>
      <w:rFonts w:hAnsi="Courier New" w:cs="宋体"/>
      <w:kern w:val="0"/>
      <w:sz w:val="20"/>
      <w:szCs w:val="20"/>
    </w:rPr>
  </w:style>
  <w:style w:type="character" w:customStyle="1" w:styleId="215">
    <w:name w:val="font151"/>
    <w:basedOn w:val="4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54182</Words>
  <Characters>61388</Characters>
  <Lines>686</Lines>
  <Paragraphs>193</Paragraphs>
  <TotalTime>27</TotalTime>
  <ScaleCrop>false</ScaleCrop>
  <LinksUpToDate>false</LinksUpToDate>
  <CharactersWithSpaces>65598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2023-07-07T01:35:00Z</dcterms:created>
  <dc:creator>Administrator</dc:creator>
  <cp:lastModifiedBy>徐敬琪</cp:lastModifiedBy>
  <cp:lastPrinted>2023-05-18T05:39:00Z</cp:lastPrinted>
  <dcterms:modified xsi:type="dcterms:W3CDTF">2024-09-20T02:43:52Z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F6386121D3E64DCB906A255BDCB3B740_13</vt:lpwstr>
  </property>
  <property fmtid="{D5CDD505-2E9C-101B-9397-08002B2CF9AE}" pid="4" name="commondata">
    <vt:lpwstr>eyJoZGlkIjoiNDFiMTYwZWIzMTJiMzU2MDhiNmNlNmMzMWM5MjdmYjkifQ==</vt:lpwstr>
  </property>
</Properties>
</file>