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8A1DB">
      <w:pPr>
        <w:rPr>
          <w:rFonts w:ascii="宋体" w:hAnsi="宋体"/>
          <w:color w:val="000000" w:themeColor="text1"/>
          <w14:textFill>
            <w14:solidFill>
              <w14:schemeClr w14:val="tx1"/>
            </w14:solidFill>
          </w14:textFill>
        </w:rPr>
      </w:pPr>
    </w:p>
    <w:p w14:paraId="3F73174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14:paraId="43897AE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14:paraId="212B1B9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r>
        <w:rPr>
          <w:rFonts w:ascii="宋体" w:hAnsi="宋体" w:cs="宋体"/>
          <w:color w:val="000000" w:themeColor="text1"/>
          <w:sz w:val="72"/>
          <w:szCs w:val="72"/>
          <w14:textFill>
            <w14:solidFill>
              <w14:schemeClr w14:val="tx1"/>
            </w14:solidFill>
          </w14:textFill>
        </w:rPr>
        <w:t xml:space="preserve">         </w:t>
      </w:r>
      <w:r>
        <w:rPr>
          <w:rFonts w:hint="eastAsia" w:ascii="宋体" w:hAnsi="宋体" w:cs="宋体"/>
          <w:color w:val="000000" w:themeColor="text1"/>
          <w:sz w:val="72"/>
          <w:szCs w:val="72"/>
          <w14:textFill>
            <w14:solidFill>
              <w14:schemeClr w14:val="tx1"/>
            </w14:solidFill>
          </w14:textFill>
        </w:rPr>
        <w:t>F-STONE</w:t>
      </w:r>
    </w:p>
    <w:p w14:paraId="3F14DC68">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14:paraId="30F391A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43B28292">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000000" w:themeColor="text1"/>
          <w:kern w:val="0"/>
          <w:sz w:val="52"/>
          <w:szCs w:val="52"/>
          <w14:textFill>
            <w14:solidFill>
              <w14:schemeClr w14:val="tx1"/>
            </w14:solidFill>
          </w14:textFill>
        </w:rPr>
      </w:pPr>
      <w:r>
        <w:rPr>
          <w:rFonts w:hint="eastAsia" w:ascii="宋体" w:hAnsi="宋体"/>
          <w:b/>
          <w:color w:val="000000" w:themeColor="text1"/>
          <w:kern w:val="0"/>
          <w:sz w:val="52"/>
          <w14:textFill>
            <w14:solidFill>
              <w14:schemeClr w14:val="tx1"/>
            </w14:solidFill>
          </w14:textFill>
        </w:rPr>
        <w:t>政府采购</w:t>
      </w:r>
      <w:r>
        <w:rPr>
          <w:rFonts w:hint="eastAsia" w:ascii="宋体" w:hAnsi="宋体" w:cs="Calibri Light"/>
          <w:b/>
          <w:color w:val="000000" w:themeColor="text1"/>
          <w:kern w:val="0"/>
          <w:sz w:val="52"/>
          <w:szCs w:val="52"/>
          <w14:textFill>
            <w14:solidFill>
              <w14:schemeClr w14:val="tx1"/>
            </w14:solidFill>
          </w14:textFill>
        </w:rPr>
        <w:t>竞争性磋商文件</w:t>
      </w:r>
    </w:p>
    <w:p w14:paraId="09CA17E7">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14:paraId="15655DDF">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14:paraId="6136B55D">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14:paraId="7731A4E2">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项目编号：ZJWS2024-JJ302</w:t>
      </w:r>
    </w:p>
    <w:p w14:paraId="7D81CC56">
      <w:pPr>
        <w:autoSpaceDE w:val="0"/>
        <w:autoSpaceDN w:val="0"/>
        <w:adjustRightInd w:val="0"/>
        <w:spacing w:line="360" w:lineRule="auto"/>
        <w:ind w:left="2517" w:leftChars="532" w:hanging="1400" w:hangingChars="5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采购项目：台州职业技术学院科技创新与成果转化中心改造项目</w:t>
      </w:r>
    </w:p>
    <w:p w14:paraId="357ECC19">
      <w:pPr>
        <w:autoSpaceDE w:val="0"/>
        <w:autoSpaceDN w:val="0"/>
        <w:adjustRightInd w:val="0"/>
        <w:spacing w:line="360" w:lineRule="auto"/>
        <w:ind w:firstLine="1120" w:firstLineChars="4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采购单位：台州职业技术学院</w:t>
      </w:r>
    </w:p>
    <w:p w14:paraId="539375F3">
      <w:pPr>
        <w:autoSpaceDE w:val="0"/>
        <w:autoSpaceDN w:val="0"/>
        <w:adjustRightInd w:val="0"/>
        <w:spacing w:line="360" w:lineRule="auto"/>
        <w:ind w:firstLine="1120" w:firstLineChars="4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采购代理机构：浙江五石中正工程咨询有限公司</w:t>
      </w:r>
    </w:p>
    <w:p w14:paraId="7D26C107">
      <w:pPr>
        <w:spacing w:line="360" w:lineRule="auto"/>
        <w:ind w:firstLine="560" w:firstLineChars="200"/>
        <w:jc w:val="center"/>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2024年9月</w:t>
      </w:r>
    </w:p>
    <w:p w14:paraId="4BA1B76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000000" w:themeColor="text1"/>
          <w:kern w:val="0"/>
          <w:sz w:val="30"/>
          <w:szCs w:val="30"/>
          <w14:textFill>
            <w14:solidFill>
              <w14:schemeClr w14:val="tx1"/>
            </w14:solidFill>
          </w14:textFill>
        </w:rPr>
      </w:pPr>
      <w:r>
        <w:rPr>
          <w:rFonts w:hint="eastAsia" w:ascii="宋体" w:hAnsi="宋体" w:cs="Calibri Light"/>
          <w:color w:val="000000" w:themeColor="text1"/>
          <w:kern w:val="0"/>
          <w:sz w:val="30"/>
          <w:szCs w:val="30"/>
          <w14:textFill>
            <w14:solidFill>
              <w14:schemeClr w14:val="tx1"/>
            </w14:solidFill>
          </w14:textFill>
        </w:rPr>
        <w:t xml:space="preserve">                       </w:t>
      </w:r>
    </w:p>
    <w:p w14:paraId="4A0FAF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000000" w:themeColor="text1"/>
          <w:kern w:val="0"/>
          <w:sz w:val="30"/>
          <w:szCs w:val="30"/>
          <w14:textFill>
            <w14:solidFill>
              <w14:schemeClr w14:val="tx1"/>
            </w14:solidFill>
          </w14:textFill>
        </w:rPr>
      </w:pPr>
    </w:p>
    <w:p w14:paraId="3316BE6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000000" w:themeColor="text1"/>
          <w:kern w:val="0"/>
          <w:sz w:val="30"/>
          <w:szCs w:val="30"/>
          <w14:textFill>
            <w14:solidFill>
              <w14:schemeClr w14:val="tx1"/>
            </w14:solidFill>
          </w14:textFill>
        </w:rPr>
      </w:pPr>
    </w:p>
    <w:p w14:paraId="152596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14:textFill>
            <w14:solidFill>
              <w14:schemeClr w14:val="tx1"/>
            </w14:solidFill>
          </w14:textFill>
        </w:rPr>
      </w:pPr>
    </w:p>
    <w:p w14:paraId="3ED4519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14:paraId="3EA2C7F3">
      <w:pPr>
        <w:pStyle w:val="16"/>
        <w:ind w:firstLine="210"/>
        <w:rPr>
          <w:color w:val="000000" w:themeColor="text1"/>
          <w14:textFill>
            <w14:solidFill>
              <w14:schemeClr w14:val="tx1"/>
            </w14:solidFill>
          </w14:textFill>
        </w:rPr>
      </w:pPr>
    </w:p>
    <w:p w14:paraId="02F84F4E">
      <w:pPr>
        <w:jc w:val="center"/>
        <w:rPr>
          <w:rFonts w:ascii="宋体" w:hAnsi="宋体" w:cs="仿宋"/>
          <w:b/>
          <w:bCs/>
          <w:color w:val="000000" w:themeColor="text1"/>
          <w:sz w:val="36"/>
          <w:szCs w:val="36"/>
          <w14:textFill>
            <w14:solidFill>
              <w14:schemeClr w14:val="tx1"/>
            </w14:solidFill>
          </w14:textFill>
        </w:rPr>
      </w:pPr>
    </w:p>
    <w:p w14:paraId="6CBC4DAF">
      <w:pPr>
        <w:jc w:val="center"/>
        <w:rPr>
          <w:rFonts w:ascii="宋体" w:hAnsi="宋体" w:cs="仿宋"/>
          <w:b/>
          <w:bCs/>
          <w:color w:val="000000" w:themeColor="text1"/>
          <w:sz w:val="36"/>
          <w:szCs w:val="36"/>
          <w14:textFill>
            <w14:solidFill>
              <w14:schemeClr w14:val="tx1"/>
            </w14:solidFill>
          </w14:textFill>
        </w:rPr>
      </w:pPr>
      <w:r>
        <w:rPr>
          <w:rFonts w:hint="eastAsia" w:ascii="宋体" w:hAnsi="宋体" w:cs="仿宋"/>
          <w:b/>
          <w:bCs/>
          <w:color w:val="000000" w:themeColor="text1"/>
          <w:sz w:val="36"/>
          <w:szCs w:val="36"/>
          <w14:textFill>
            <w14:solidFill>
              <w14:schemeClr w14:val="tx1"/>
            </w14:solidFill>
          </w14:textFill>
        </w:rPr>
        <w:t>目    录</w:t>
      </w:r>
    </w:p>
    <w:p w14:paraId="0005632E">
      <w:pPr>
        <w:spacing w:line="360" w:lineRule="auto"/>
        <w:ind w:left="960"/>
        <w:rPr>
          <w:rFonts w:ascii="宋体" w:hAnsi="宋体"/>
          <w:color w:val="000000" w:themeColor="text1"/>
          <w:sz w:val="10"/>
          <w14:textFill>
            <w14:solidFill>
              <w14:schemeClr w14:val="tx1"/>
            </w14:solidFill>
          </w14:textFill>
        </w:rPr>
      </w:pPr>
    </w:p>
    <w:p w14:paraId="63D1A6A2">
      <w:pPr>
        <w:spacing w:line="360" w:lineRule="auto"/>
        <w:ind w:left="960"/>
        <w:rPr>
          <w:rFonts w:ascii="宋体" w:hAnsi="宋体"/>
          <w:color w:val="000000" w:themeColor="text1"/>
          <w:sz w:val="10"/>
          <w14:textFill>
            <w14:solidFill>
              <w14:schemeClr w14:val="tx1"/>
            </w14:solidFill>
          </w14:textFill>
        </w:rPr>
      </w:pPr>
    </w:p>
    <w:p w14:paraId="21556D3D">
      <w:pPr>
        <w:spacing w:line="360" w:lineRule="auto"/>
        <w:ind w:left="960"/>
        <w:rPr>
          <w:rFonts w:ascii="宋体" w:hAnsi="宋体"/>
          <w:color w:val="000000" w:themeColor="text1"/>
          <w:sz w:val="10"/>
          <w14:textFill>
            <w14:solidFill>
              <w14:schemeClr w14:val="tx1"/>
            </w14:solidFill>
          </w14:textFill>
        </w:rPr>
      </w:pPr>
    </w:p>
    <w:p w14:paraId="312D216E">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一、竞争性</w:t>
      </w:r>
      <w:r>
        <w:rPr>
          <w:rFonts w:ascii="宋体" w:hAnsi="宋体"/>
          <w:b/>
          <w:color w:val="000000" w:themeColor="text1"/>
          <w:sz w:val="28"/>
          <w:szCs w:val="28"/>
          <w14:textFill>
            <w14:solidFill>
              <w14:schemeClr w14:val="tx1"/>
            </w14:solidFill>
          </w14:textFill>
        </w:rPr>
        <w:t>磋商</w:t>
      </w:r>
      <w:r>
        <w:rPr>
          <w:rFonts w:hint="eastAsia" w:ascii="宋体" w:hAnsi="宋体"/>
          <w:b/>
          <w:color w:val="000000" w:themeColor="text1"/>
          <w:sz w:val="28"/>
          <w:szCs w:val="28"/>
          <w14:textFill>
            <w14:solidFill>
              <w14:schemeClr w14:val="tx1"/>
            </w14:solidFill>
          </w14:textFill>
        </w:rPr>
        <w:t>公告</w:t>
      </w:r>
    </w:p>
    <w:p w14:paraId="6035BD14">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二、供应商须知</w:t>
      </w:r>
    </w:p>
    <w:p w14:paraId="66E7106D">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三、评审办法及评审标准</w:t>
      </w:r>
      <w:r>
        <w:rPr>
          <w:rFonts w:ascii="宋体" w:hAnsi="宋体"/>
          <w:b/>
          <w:color w:val="000000" w:themeColor="text1"/>
          <w:sz w:val="28"/>
          <w:szCs w:val="28"/>
          <w14:textFill>
            <w14:solidFill>
              <w14:schemeClr w14:val="tx1"/>
            </w14:solidFill>
          </w14:textFill>
        </w:rPr>
        <w:t xml:space="preserve">  </w:t>
      </w:r>
    </w:p>
    <w:p w14:paraId="7A4DCCB7">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w:t>
      </w:r>
      <w:r>
        <w:rPr>
          <w:rFonts w:hint="eastAsia" w:ascii="宋体" w:hAnsi="宋体"/>
          <w:b/>
          <w:color w:val="000000" w:themeColor="text1"/>
          <w:kern w:val="0"/>
          <w:sz w:val="28"/>
          <w:szCs w:val="28"/>
          <w14:textFill>
            <w14:solidFill>
              <w14:schemeClr w14:val="tx1"/>
            </w14:solidFill>
          </w14:textFill>
        </w:rPr>
        <w:t>项目需求</w:t>
      </w:r>
    </w:p>
    <w:p w14:paraId="41817865">
      <w:pPr>
        <w:spacing w:line="360" w:lineRule="auto"/>
        <w:ind w:firstLine="703" w:firstLineChars="250"/>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五、政府采购合同主要条款指引</w:t>
      </w:r>
      <w:r>
        <w:rPr>
          <w:rFonts w:ascii="宋体" w:hAnsi="宋体"/>
          <w:b/>
          <w:color w:val="000000" w:themeColor="text1"/>
          <w:sz w:val="28"/>
          <w:szCs w:val="28"/>
          <w14:textFill>
            <w14:solidFill>
              <w14:schemeClr w14:val="tx1"/>
            </w14:solidFill>
          </w14:textFill>
        </w:rPr>
        <w:t xml:space="preserve">       </w:t>
      </w:r>
    </w:p>
    <w:p w14:paraId="52524D55">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六、响应文件格式附件</w:t>
      </w:r>
    </w:p>
    <w:p w14:paraId="502A2635">
      <w:pPr>
        <w:spacing w:line="360" w:lineRule="auto"/>
        <w:rPr>
          <w:rFonts w:ascii="宋体" w:hAnsi="宋体"/>
          <w:b/>
          <w:color w:val="000000" w:themeColor="text1"/>
          <w:sz w:val="28"/>
          <w:szCs w:val="28"/>
          <w14:textFill>
            <w14:solidFill>
              <w14:schemeClr w14:val="tx1"/>
            </w14:solidFill>
          </w14:textFill>
        </w:rPr>
      </w:pPr>
    </w:p>
    <w:p w14:paraId="2259144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14:paraId="03432E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14:paraId="18CE155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14:paraId="2F3A3A59">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049292AB">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308FD219">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1EEC01BA">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1B5895B9">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52503322">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14:paraId="292BA7D5">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000000" w:themeColor="text1"/>
          <w:kern w:val="0"/>
          <w:sz w:val="36"/>
          <w:szCs w:val="36"/>
          <w14:textFill>
            <w14:solidFill>
              <w14:schemeClr w14:val="tx1"/>
            </w14:solidFill>
          </w14:textFill>
        </w:rPr>
      </w:pPr>
    </w:p>
    <w:p w14:paraId="633BD49C">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p>
    <w:p w14:paraId="13BD302C">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第一章  竞争性磋商公告 </w:t>
      </w:r>
    </w:p>
    <w:p w14:paraId="7053C0A8">
      <w:pPr>
        <w:spacing w:line="360" w:lineRule="auto"/>
        <w:jc w:val="left"/>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30"/>
          <w:szCs w:val="30"/>
          <w14:textFill>
            <w14:solidFill>
              <w14:schemeClr w14:val="tx1"/>
            </w14:solidFill>
          </w14:textFill>
        </w:rPr>
        <w:t xml:space="preserve">   </w:t>
      </w:r>
      <w:r>
        <w:rPr>
          <w:rFonts w:hint="eastAsia" w:ascii="宋体" w:hAnsi="宋体" w:cs="Calibri Light"/>
          <w:color w:val="000000" w:themeColor="text1"/>
          <w:kern w:val="0"/>
          <w:sz w:val="24"/>
          <w14:textFill>
            <w14:solidFill>
              <w14:schemeClr w14:val="tx1"/>
            </w14:solidFill>
          </w14:textFill>
        </w:rPr>
        <w:t xml:space="preserve"> 根据</w:t>
      </w:r>
      <w:r>
        <w:rPr>
          <w:rFonts w:hint="eastAsia" w:ascii="宋体" w:hAnsi="宋体" w:cs="Calibri Light"/>
          <w:color w:val="000000" w:themeColor="text1"/>
          <w:sz w:val="24"/>
          <w14:textFill>
            <w14:solidFill>
              <w14:schemeClr w14:val="tx1"/>
            </w14:solidFill>
          </w14:textFill>
        </w:rPr>
        <w:t>《政府采购竞争性磋商采购方式管理暂行办法》等</w:t>
      </w:r>
      <w:r>
        <w:rPr>
          <w:rFonts w:hint="eastAsia" w:ascii="宋体" w:hAnsi="宋体" w:cs="Calibri Light"/>
          <w:color w:val="000000" w:themeColor="text1"/>
          <w:kern w:val="0"/>
          <w:sz w:val="24"/>
          <w14:textFill>
            <w14:solidFill>
              <w14:schemeClr w14:val="tx1"/>
            </w14:solidFill>
          </w14:textFill>
        </w:rPr>
        <w:t>有关规定, 受采购人的委托，现就</w:t>
      </w:r>
      <w:r>
        <w:rPr>
          <w:rFonts w:hint="eastAsia" w:ascii="宋体" w:hAnsi="宋体" w:cs="Calibri Light"/>
          <w:color w:val="000000" w:themeColor="text1"/>
          <w:sz w:val="24"/>
          <w14:textFill>
            <w14:solidFill>
              <w14:schemeClr w14:val="tx1"/>
            </w14:solidFill>
          </w14:textFill>
        </w:rPr>
        <w:t>台州职业技术学院（单</w:t>
      </w:r>
      <w:r>
        <w:rPr>
          <w:rFonts w:hint="eastAsia" w:ascii="宋体" w:hAnsi="宋体" w:cs="Calibri Light"/>
          <w:color w:val="000000" w:themeColor="text1"/>
          <w:kern w:val="0"/>
          <w:sz w:val="24"/>
          <w14:textFill>
            <w14:solidFill>
              <w14:schemeClr w14:val="tx1"/>
            </w14:solidFill>
          </w14:textFill>
        </w:rPr>
        <w:t>位）的台州职业技术学院科技创新与成果转化中心改造项目进行竞争性磋商采购</w:t>
      </w:r>
      <w:r>
        <w:rPr>
          <w:rFonts w:hint="eastAsia" w:ascii="宋体" w:hAnsi="宋体"/>
          <w:color w:val="000000" w:themeColor="text1"/>
          <w:kern w:val="0"/>
          <w:sz w:val="24"/>
          <w14:textFill>
            <w14:solidFill>
              <w14:schemeClr w14:val="tx1"/>
            </w14:solidFill>
          </w14:textFill>
        </w:rPr>
        <w:t>，欢迎合格供应商前来磋商。</w:t>
      </w:r>
    </w:p>
    <w:p w14:paraId="531F8A19">
      <w:pPr>
        <w:spacing w:line="360" w:lineRule="auto"/>
        <w:ind w:firstLine="482"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一、项目编号：</w:t>
      </w:r>
      <w:r>
        <w:rPr>
          <w:rFonts w:hint="eastAsia" w:ascii="宋体" w:hAnsi="宋体" w:cs="Calibri Light"/>
          <w:color w:val="000000" w:themeColor="text1"/>
          <w:sz w:val="24"/>
          <w14:textFill>
            <w14:solidFill>
              <w14:schemeClr w14:val="tx1"/>
            </w14:solidFill>
          </w14:textFill>
        </w:rPr>
        <w:t>ZJWS2024-JJ302</w:t>
      </w:r>
    </w:p>
    <w:p w14:paraId="6293E9EE">
      <w:pPr>
        <w:spacing w:line="360" w:lineRule="auto"/>
        <w:ind w:firstLine="482" w:firstLineChars="200"/>
        <w:jc w:val="left"/>
        <w:rPr>
          <w:rFonts w:hint="eastAsia"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二、磋商内容：</w:t>
      </w:r>
    </w:p>
    <w:tbl>
      <w:tblPr>
        <w:tblStyle w:val="27"/>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42"/>
        <w:gridCol w:w="1813"/>
        <w:gridCol w:w="712"/>
        <w:gridCol w:w="713"/>
        <w:gridCol w:w="1170"/>
        <w:gridCol w:w="1560"/>
        <w:gridCol w:w="1125"/>
        <w:gridCol w:w="910"/>
      </w:tblGrid>
      <w:tr w14:paraId="565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1" w:type="dxa"/>
            <w:vAlign w:val="center"/>
          </w:tcPr>
          <w:p w14:paraId="286F308B">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标项号</w:t>
            </w:r>
          </w:p>
        </w:tc>
        <w:tc>
          <w:tcPr>
            <w:tcW w:w="1342" w:type="dxa"/>
            <w:vAlign w:val="center"/>
          </w:tcPr>
          <w:p w14:paraId="2847E020">
            <w:pPr>
              <w:tabs>
                <w:tab w:val="left" w:pos="8280"/>
              </w:tabs>
              <w:autoSpaceDE w:val="0"/>
              <w:autoSpaceDN w:val="0"/>
              <w:adjustRightInd w:val="0"/>
              <w:ind w:right="25"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标项内容</w:t>
            </w:r>
          </w:p>
        </w:tc>
        <w:tc>
          <w:tcPr>
            <w:tcW w:w="1813" w:type="dxa"/>
            <w:vAlign w:val="center"/>
          </w:tcPr>
          <w:p w14:paraId="2F8CDDDC">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712" w:type="dxa"/>
            <w:vAlign w:val="center"/>
          </w:tcPr>
          <w:p w14:paraId="04DDC82C">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713" w:type="dxa"/>
            <w:vAlign w:val="center"/>
          </w:tcPr>
          <w:p w14:paraId="3C5718D1">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1170" w:type="dxa"/>
            <w:vAlign w:val="center"/>
          </w:tcPr>
          <w:p w14:paraId="355EB34B">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预算（元）</w:t>
            </w:r>
          </w:p>
        </w:tc>
        <w:tc>
          <w:tcPr>
            <w:tcW w:w="1560" w:type="dxa"/>
            <w:vAlign w:val="center"/>
          </w:tcPr>
          <w:p w14:paraId="072C3A89">
            <w:pPr>
              <w:tabs>
                <w:tab w:val="left" w:pos="8280"/>
              </w:tabs>
              <w:autoSpaceDE w:val="0"/>
              <w:autoSpaceDN w:val="0"/>
              <w:adjustRightInd w:val="0"/>
              <w:spacing w:line="312" w:lineRule="auto"/>
              <w:ind w:left="-214" w:leftChars="-102" w:right="-108"/>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上限价</w:t>
            </w:r>
          </w:p>
          <w:p w14:paraId="7A452E96">
            <w:pPr>
              <w:tabs>
                <w:tab w:val="left" w:pos="8280"/>
              </w:tabs>
              <w:autoSpaceDE w:val="0"/>
              <w:autoSpaceDN w:val="0"/>
              <w:adjustRightInd w:val="0"/>
              <w:spacing w:line="312" w:lineRule="auto"/>
              <w:ind w:left="-214" w:leftChars="-102" w:right="-10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p>
        </w:tc>
        <w:tc>
          <w:tcPr>
            <w:tcW w:w="1125" w:type="dxa"/>
            <w:vAlign w:val="center"/>
          </w:tcPr>
          <w:p w14:paraId="362154B7">
            <w:pPr>
              <w:tabs>
                <w:tab w:val="left" w:pos="8280"/>
              </w:tabs>
              <w:autoSpaceDE w:val="0"/>
              <w:autoSpaceDN w:val="0"/>
              <w:adjustRightInd w:val="0"/>
              <w:spacing w:line="312" w:lineRule="auto"/>
              <w:ind w:left="-107" w:leftChars="-51" w:right="25" w:firstLine="10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工期（合同签订后几天内）</w:t>
            </w:r>
          </w:p>
        </w:tc>
        <w:tc>
          <w:tcPr>
            <w:tcW w:w="910" w:type="dxa"/>
            <w:vAlign w:val="center"/>
          </w:tcPr>
          <w:p w14:paraId="202A62EE">
            <w:pPr>
              <w:tabs>
                <w:tab w:val="left" w:pos="8280"/>
              </w:tabs>
              <w:autoSpaceDE w:val="0"/>
              <w:autoSpaceDN w:val="0"/>
              <w:adjustRightInd w:val="0"/>
              <w:ind w:right="25" w:hanging="1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项目地点</w:t>
            </w:r>
          </w:p>
        </w:tc>
      </w:tr>
      <w:tr w14:paraId="0408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1" w:type="dxa"/>
            <w:vAlign w:val="center"/>
          </w:tcPr>
          <w:p w14:paraId="79DC7459">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42" w:type="dxa"/>
            <w:vAlign w:val="center"/>
          </w:tcPr>
          <w:p w14:paraId="57DE8C88">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台州职业技术学院科技创新与成果转化中心改造项目</w:t>
            </w:r>
          </w:p>
        </w:tc>
        <w:tc>
          <w:tcPr>
            <w:tcW w:w="1813" w:type="dxa"/>
            <w:vAlign w:val="center"/>
          </w:tcPr>
          <w:p w14:paraId="463555AC">
            <w:pPr>
              <w:tabs>
                <w:tab w:val="left" w:pos="8280"/>
              </w:tabs>
              <w:autoSpaceDE w:val="0"/>
              <w:autoSpaceDN w:val="0"/>
              <w:adjustRightInd w:val="0"/>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台州职业技术学院科技创新与成果转化中心改造</w:t>
            </w:r>
            <w:r>
              <w:rPr>
                <w:rFonts w:hint="eastAsia" w:ascii="宋体" w:hAnsi="宋体" w:cs="宋体"/>
                <w:color w:val="000000" w:themeColor="text1"/>
                <w:sz w:val="24"/>
                <w:lang w:eastAsia="zh-Hans"/>
                <w14:textFill>
                  <w14:solidFill>
                    <w14:schemeClr w14:val="tx1"/>
                  </w14:solidFill>
                </w14:textFill>
              </w:rPr>
              <w:t>，具体装修要求详见图纸及预算</w:t>
            </w:r>
          </w:p>
        </w:tc>
        <w:tc>
          <w:tcPr>
            <w:tcW w:w="712" w:type="dxa"/>
            <w:vAlign w:val="center"/>
          </w:tcPr>
          <w:p w14:paraId="4744FE80">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3" w:type="dxa"/>
            <w:vAlign w:val="center"/>
          </w:tcPr>
          <w:p w14:paraId="00E68D53">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170" w:type="dxa"/>
            <w:vAlign w:val="center"/>
          </w:tcPr>
          <w:p w14:paraId="4331C47E">
            <w:pPr>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3000</w:t>
            </w:r>
            <w:bookmarkStart w:id="325" w:name="_GoBack"/>
            <w:bookmarkEnd w:id="325"/>
            <w:r>
              <w:rPr>
                <w:rFonts w:hint="eastAsia" w:ascii="宋体" w:hAnsi="宋体" w:cs="宋体"/>
                <w:color w:val="000000" w:themeColor="text1"/>
                <w:sz w:val="24"/>
                <w14:textFill>
                  <w14:solidFill>
                    <w14:schemeClr w14:val="tx1"/>
                  </w14:solidFill>
                </w14:textFill>
              </w:rPr>
              <w:t>000</w:t>
            </w:r>
          </w:p>
        </w:tc>
        <w:tc>
          <w:tcPr>
            <w:tcW w:w="1560" w:type="dxa"/>
            <w:vAlign w:val="center"/>
          </w:tcPr>
          <w:p w14:paraId="4E1BA1BD">
            <w:pPr>
              <w:autoSpaceDE w:val="0"/>
              <w:autoSpaceDN w:val="0"/>
              <w:adjustRightInd w:val="0"/>
              <w:ind w:right="25"/>
              <w:jc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2644704.05</w:t>
            </w:r>
          </w:p>
        </w:tc>
        <w:tc>
          <w:tcPr>
            <w:tcW w:w="1125" w:type="dxa"/>
            <w:vAlign w:val="center"/>
          </w:tcPr>
          <w:p w14:paraId="0FDEF239">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65天</w:t>
            </w:r>
          </w:p>
        </w:tc>
        <w:tc>
          <w:tcPr>
            <w:tcW w:w="910" w:type="dxa"/>
            <w:vAlign w:val="center"/>
          </w:tcPr>
          <w:p w14:paraId="3791BC01">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w:t>
            </w:r>
          </w:p>
        </w:tc>
      </w:tr>
    </w:tbl>
    <w:p w14:paraId="3E0E3A1F">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000000" w:themeColor="text1"/>
          <w:kern w:val="0"/>
          <w:sz w:val="24"/>
          <w14:textFill>
            <w14:solidFill>
              <w14:schemeClr w14:val="tx1"/>
            </w14:solidFill>
          </w14:textFill>
        </w:rPr>
      </w:pPr>
      <w:r>
        <w:rPr>
          <w:rFonts w:hint="eastAsia" w:ascii="宋体" w:hAnsi="宋体" w:cs="Calibri Light"/>
          <w:b/>
          <w:color w:val="000000" w:themeColor="text1"/>
          <w:sz w:val="24"/>
          <w14:textFill>
            <w14:solidFill>
              <w14:schemeClr w14:val="tx1"/>
            </w14:solidFill>
          </w14:textFill>
        </w:rPr>
        <w:t>三、合格磋商供应商的资格条件：</w:t>
      </w:r>
    </w:p>
    <w:p w14:paraId="168A86F8">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（一）符合《中华人民共和国政府采购法》第二十二条规定的磋商供应商资格条件。</w:t>
      </w:r>
    </w:p>
    <w:p w14:paraId="16EBC195">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4EDA1DD">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（三）落实政府采购政策需满足的资格要求：无。</w:t>
      </w:r>
    </w:p>
    <w:p w14:paraId="1A0D329C">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（四）本项目供应商特定条件：</w:t>
      </w:r>
    </w:p>
    <w:p w14:paraId="665148D4">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1、投标人具有建筑装修装饰工程专业承包二级及以上资质；</w:t>
      </w:r>
    </w:p>
    <w:p w14:paraId="6A521AB1">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2、项目负责人具备建筑工程专业注册建造师二级及以上（临时建造师证书无效）；</w:t>
      </w:r>
    </w:p>
    <w:p w14:paraId="36099EF1">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3、本项目不接受联合体投标。</w:t>
      </w:r>
    </w:p>
    <w:p w14:paraId="2864FB27">
      <w:pPr>
        <w:spacing w:line="360" w:lineRule="auto"/>
        <w:ind w:firstLine="482" w:firstLineChars="200"/>
        <w:jc w:val="left"/>
        <w:rPr>
          <w:rFonts w:hint="eastAsia"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四、磋商文件获取的地址、方式、时间：</w:t>
      </w:r>
    </w:p>
    <w:p w14:paraId="6168BC4B">
      <w:pPr>
        <w:spacing w:line="360" w:lineRule="auto"/>
        <w:ind w:firstLine="480" w:firstLineChars="200"/>
        <w:jc w:val="left"/>
        <w:rPr>
          <w:rFonts w:hint="eastAsia" w:ascii="宋体" w:hAnsi="宋体" w:cs="Calibri Light"/>
          <w:color w:val="000000" w:themeColor="text1"/>
          <w:sz w:val="24"/>
          <w14:textFill>
            <w14:solidFill>
              <w14:schemeClr w14:val="tx1"/>
            </w14:solidFill>
          </w14:textFill>
        </w:rPr>
      </w:pPr>
      <w:bookmarkStart w:id="0" w:name="_Hlk37939045"/>
      <w:r>
        <w:rPr>
          <w:rFonts w:hint="eastAsia" w:ascii="宋体" w:hAnsi="宋体" w:cs="Calibri Light"/>
          <w:color w:val="000000" w:themeColor="text1"/>
          <w:sz w:val="24"/>
          <w14:textFill>
            <w14:solidFill>
              <w14:schemeClr w14:val="tx1"/>
            </w14:solidFill>
          </w14:textFill>
        </w:rPr>
        <w:t>本项目招标文件实行“政府采购云平台”在线获取，不提供招标文件纸质版。供应商获取招标文件前应先完成“政府采购云平台”的账号注册；</w:t>
      </w:r>
    </w:p>
    <w:p w14:paraId="69D5F641">
      <w:pPr>
        <w:pStyle w:val="55"/>
        <w:adjustRightInd w:val="0"/>
        <w:snapToGrid w:val="0"/>
        <w:spacing w:before="0" w:line="360" w:lineRule="auto"/>
        <w:ind w:left="102" w:right="102"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1、获取地址：政采云平台（</w:t>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HYPERLINK "http://zfcg.czt.zj.gov.cn"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http://zfcg.czt.zj.gov.cn</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w:t>
      </w:r>
    </w:p>
    <w:p w14:paraId="356DA5D4">
      <w:pPr>
        <w:pStyle w:val="55"/>
        <w:adjustRightInd w:val="0"/>
        <w:snapToGrid w:val="0"/>
        <w:spacing w:before="0" w:line="360" w:lineRule="auto"/>
        <w:ind w:left="102" w:right="102"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5792882">
      <w:pPr>
        <w:pStyle w:val="55"/>
        <w:adjustRightInd w:val="0"/>
        <w:snapToGrid w:val="0"/>
        <w:spacing w:before="0" w:line="360" w:lineRule="auto"/>
        <w:ind w:left="102" w:right="102"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3、供应商获取招标文件时须提交的文件资料：无，按政釆云系统要求进行获取。</w:t>
      </w:r>
    </w:p>
    <w:p w14:paraId="33F0E7A4">
      <w:pPr>
        <w:pStyle w:val="55"/>
        <w:adjustRightInd w:val="0"/>
        <w:snapToGrid w:val="0"/>
        <w:spacing w:before="0" w:line="360" w:lineRule="auto"/>
        <w:ind w:left="102" w:right="102"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4、获取时间：公告发布时间至投标截止时间。</w:t>
      </w:r>
    </w:p>
    <w:p w14:paraId="3D59985C">
      <w:pPr>
        <w:pStyle w:val="55"/>
        <w:adjustRightInd w:val="0"/>
        <w:snapToGrid w:val="0"/>
        <w:spacing w:before="0" w:line="360" w:lineRule="auto"/>
        <w:ind w:left="102" w:right="102"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251B871E">
      <w:pPr>
        <w:spacing w:line="360" w:lineRule="auto"/>
        <w:ind w:firstLine="482" w:firstLineChars="200"/>
        <w:jc w:val="left"/>
        <w:rPr>
          <w:rFonts w:hint="eastAsia"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五、磋商响应文件递交截止时间及磋商开始时间、地点：</w:t>
      </w:r>
    </w:p>
    <w:p w14:paraId="4BB54C8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1、磋商响应文件递交截止时间及磋商开始时间：</w:t>
      </w:r>
      <w:r>
        <w:rPr>
          <w:rFonts w:hint="eastAsia" w:ascii="宋体" w:hAnsi="宋体" w:cs="宋体"/>
          <w:color w:val="000000" w:themeColor="text1"/>
          <w:kern w:val="0"/>
          <w:sz w:val="24"/>
          <w:lang w:eastAsia="zh-CN"/>
          <w14:textFill>
            <w14:solidFill>
              <w14:schemeClr w14:val="tx1"/>
            </w14:solidFill>
          </w14:textFill>
        </w:rPr>
        <w:t>2024年9月24日 09：00</w:t>
      </w:r>
      <w:r>
        <w:rPr>
          <w:rFonts w:hint="eastAsia" w:ascii="宋体" w:hAnsi="宋体" w:cs="宋体"/>
          <w:color w:val="000000" w:themeColor="text1"/>
          <w:kern w:val="0"/>
          <w:sz w:val="24"/>
          <w14:textFill>
            <w14:solidFill>
              <w14:schemeClr w14:val="tx1"/>
            </w14:solidFill>
          </w14:textFill>
        </w:rPr>
        <w:t>。</w:t>
      </w:r>
    </w:p>
    <w:p w14:paraId="7DBAA89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2、磋商响应文件提交：通过“政府采购云平台（www.zcygov.cn）”实行在线投标响应；</w:t>
      </w:r>
    </w:p>
    <w:p w14:paraId="7FFD44C2">
      <w:pPr>
        <w:spacing w:line="360" w:lineRule="auto"/>
        <w:ind w:firstLine="482" w:firstLineChars="200"/>
        <w:jc w:val="left"/>
        <w:rPr>
          <w:rFonts w:hint="eastAsia"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六、磋商保证金：</w:t>
      </w:r>
      <w:r>
        <w:rPr>
          <w:rFonts w:hint="eastAsia" w:ascii="宋体" w:hAnsi="宋体" w:cs="Calibri Light"/>
          <w:b w:val="0"/>
          <w:bCs w:val="0"/>
          <w:color w:val="000000" w:themeColor="text1"/>
          <w:sz w:val="24"/>
          <w14:textFill>
            <w14:solidFill>
              <w14:schemeClr w14:val="tx1"/>
            </w14:solidFill>
          </w14:textFill>
        </w:rPr>
        <w:t xml:space="preserve"> 无</w:t>
      </w:r>
    </w:p>
    <w:p w14:paraId="3D74F022">
      <w:pPr>
        <w:spacing w:line="360" w:lineRule="auto"/>
        <w:ind w:firstLine="482" w:firstLineChars="200"/>
        <w:jc w:val="left"/>
        <w:rPr>
          <w:rFonts w:hint="eastAsia"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七、在线投标响应（电子投标）说明：</w:t>
      </w:r>
    </w:p>
    <w:p w14:paraId="6AAD6D03">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005B2EF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1AFE9EA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234BF5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637C09A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供应商在“政府采购云平台”完成“电子加密投标文件”的上传递交后，还可以（顺丰邮寄形式）在投标截止时间前递交以介质（U盘）存储的数据电文形式的“备份投标文件”，“备份投标文件”应当密封包装并在包装上标注投标项目名称、投标单位名称并加盖公章。</w:t>
      </w:r>
    </w:p>
    <w:p w14:paraId="55D8A09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913A08B">
      <w:pPr>
        <w:snapToGrid w:val="0"/>
        <w:spacing w:line="360" w:lineRule="auto"/>
        <w:ind w:firstLine="482" w:firstLineChars="200"/>
        <w:jc w:val="left"/>
        <w:rPr>
          <w:rFonts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八、</w:t>
      </w:r>
      <w:r>
        <w:rPr>
          <w:rFonts w:hint="eastAsia" w:ascii="宋体" w:hAnsi="宋体" w:cs="仿宋"/>
          <w:b/>
          <w:color w:val="000000" w:themeColor="text1"/>
          <w:sz w:val="24"/>
          <w14:textFill>
            <w14:solidFill>
              <w14:schemeClr w14:val="tx1"/>
            </w14:solidFill>
          </w14:textFill>
        </w:rPr>
        <w:t>相关注意事项</w:t>
      </w:r>
      <w:r>
        <w:rPr>
          <w:rFonts w:hint="eastAsia" w:ascii="宋体" w:hAnsi="宋体" w:cs="仿宋"/>
          <w:color w:val="000000" w:themeColor="text1"/>
          <w:sz w:val="24"/>
          <w14:textFill>
            <w14:solidFill>
              <w14:schemeClr w14:val="tx1"/>
            </w14:solidFill>
          </w14:textFill>
        </w:rPr>
        <w:t>：</w:t>
      </w:r>
    </w:p>
    <w:p w14:paraId="33186B1D">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1、</w:t>
      </w:r>
      <w:r>
        <w:rPr>
          <w:rFonts w:hint="eastAsia" w:ascii="宋体" w:hAnsi="宋体" w:cs="Calibri Light"/>
          <w:color w:val="000000" w:themeColor="text1"/>
          <w:kern w:val="0"/>
          <w:sz w:val="24"/>
          <w14:textFill>
            <w14:solidFill>
              <w14:schemeClr w14:val="tx1"/>
            </w14:solidFill>
          </w14:textFill>
        </w:rPr>
        <w:t>供应商认为采购文件使自己的权益受到损害的，可以自收到采购文件之日（获取截止日之后收到采购文件的，以获取截止</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日为准）起至采购响应截止时间之前，以书面形式一次性向采购人和提出同一环节的质疑。否则，被质疑人可不予接受。质疑供应商对采购人、</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的答复不满意或者采购人、</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未在规定的时间内作出答复的，可以在答复期满后十五个工作日内向同级政府采购监督管理部门投诉。</w:t>
      </w:r>
    </w:p>
    <w:p w14:paraId="7C8B8AD7">
      <w:pPr>
        <w:snapToGrid w:val="0"/>
        <w:spacing w:line="360" w:lineRule="auto"/>
        <w:ind w:firstLine="480" w:firstLineChars="200"/>
        <w:rPr>
          <w:rFonts w:ascii="宋体" w:hAnsi="宋体" w:cs="Calibri Light"/>
          <w:color w:val="000000" w:themeColor="text1"/>
          <w:kern w:val="0"/>
          <w:sz w:val="24"/>
          <w:lang w:eastAsia="zh-Hans"/>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招标</w:t>
      </w:r>
      <w:r>
        <w:rPr>
          <w:rFonts w:ascii="宋体" w:hAnsi="宋体" w:cs="Calibri Light"/>
          <w:color w:val="000000" w:themeColor="text1"/>
          <w:kern w:val="0"/>
          <w:sz w:val="24"/>
          <w14:textFill>
            <w14:solidFill>
              <w14:schemeClr w14:val="tx1"/>
            </w14:solidFill>
          </w14:textFill>
        </w:rPr>
        <w:t>代理机构</w:t>
      </w:r>
      <w:r>
        <w:rPr>
          <w:rFonts w:hint="eastAsia" w:ascii="宋体" w:hAnsi="宋体" w:cs="Calibri Light"/>
          <w:color w:val="000000" w:themeColor="text1"/>
          <w:kern w:val="0"/>
          <w:sz w:val="24"/>
          <w14:textFill>
            <w14:solidFill>
              <w14:schemeClr w14:val="tx1"/>
            </w14:solidFill>
          </w14:textFill>
        </w:rPr>
        <w:t>书面质疑接收人：</w:t>
      </w:r>
      <w:r>
        <w:rPr>
          <w:rFonts w:hint="eastAsia" w:ascii="宋体" w:hAnsi="宋体" w:cs="Calibri Light"/>
          <w:color w:val="000000" w:themeColor="text1"/>
          <w:kern w:val="0"/>
          <w:sz w:val="24"/>
          <w:lang w:eastAsia="zh-Hans"/>
          <w14:textFill>
            <w14:solidFill>
              <w14:schemeClr w14:val="tx1"/>
            </w14:solidFill>
          </w14:textFill>
        </w:rPr>
        <w:t>徐少媚</w:t>
      </w:r>
    </w:p>
    <w:p w14:paraId="292CC767">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联系电话：</w:t>
      </w:r>
      <w:r>
        <w:rPr>
          <w:rFonts w:ascii="宋体" w:hAnsi="宋体" w:cs="Calibri Light"/>
          <w:color w:val="000000" w:themeColor="text1"/>
          <w:kern w:val="0"/>
          <w:sz w:val="24"/>
          <w14:textFill>
            <w14:solidFill>
              <w14:schemeClr w14:val="tx1"/>
            </w14:solidFill>
          </w14:textFill>
        </w:rPr>
        <w:t>0576-88785265</w:t>
      </w:r>
    </w:p>
    <w:p w14:paraId="11177783">
      <w:pPr>
        <w:snapToGrid w:val="0"/>
        <w:spacing w:line="360" w:lineRule="auto"/>
        <w:ind w:firstLine="480" w:firstLineChars="200"/>
        <w:rPr>
          <w:rFonts w:ascii="宋体" w:hAnsi="宋体" w:cs="Calibri Light"/>
          <w:color w:val="000000" w:themeColor="text1"/>
          <w:kern w:val="0"/>
          <w:sz w:val="24"/>
          <w:lang w:eastAsia="zh-Hans"/>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书面质疑接收地址：浙江省台州市椒江区</w:t>
      </w:r>
      <w:r>
        <w:rPr>
          <w:rFonts w:hint="eastAsia" w:ascii="宋体" w:hAnsi="宋体" w:cs="Calibri Light"/>
          <w:color w:val="000000" w:themeColor="text1"/>
          <w:kern w:val="0"/>
          <w:sz w:val="24"/>
          <w:lang w:eastAsia="zh-Hans"/>
          <w14:textFill>
            <w14:solidFill>
              <w14:schemeClr w14:val="tx1"/>
            </w14:solidFill>
          </w14:textFill>
        </w:rPr>
        <w:t>东环大道</w:t>
      </w:r>
      <w:r>
        <w:rPr>
          <w:rFonts w:ascii="宋体" w:hAnsi="宋体" w:cs="Calibri Light"/>
          <w:color w:val="000000" w:themeColor="text1"/>
          <w:kern w:val="0"/>
          <w:sz w:val="24"/>
          <w:lang w:eastAsia="zh-Hans"/>
          <w14:textFill>
            <w14:solidFill>
              <w14:schemeClr w14:val="tx1"/>
            </w14:solidFill>
          </w14:textFill>
        </w:rPr>
        <w:t>576</w:t>
      </w:r>
      <w:r>
        <w:rPr>
          <w:rFonts w:hint="eastAsia" w:ascii="宋体" w:hAnsi="宋体" w:cs="Calibri Light"/>
          <w:color w:val="000000" w:themeColor="text1"/>
          <w:kern w:val="0"/>
          <w:sz w:val="24"/>
          <w:lang w:eastAsia="zh-Hans"/>
          <w14:textFill>
            <w14:solidFill>
              <w14:schemeClr w14:val="tx1"/>
            </w14:solidFill>
          </w14:textFill>
        </w:rPr>
        <w:t>号二楼</w:t>
      </w:r>
    </w:p>
    <w:p w14:paraId="0DF82E59">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采购人</w:t>
      </w:r>
      <w:r>
        <w:rPr>
          <w:rFonts w:ascii="宋体" w:hAnsi="宋体" w:cs="Calibri Light"/>
          <w:color w:val="000000" w:themeColor="text1"/>
          <w:kern w:val="0"/>
          <w:sz w:val="24"/>
          <w14:textFill>
            <w14:solidFill>
              <w14:schemeClr w14:val="tx1"/>
            </w14:solidFill>
          </w14:textFill>
        </w:rPr>
        <w:t>书面质疑接收人：</w:t>
      </w:r>
      <w:r>
        <w:rPr>
          <w:rFonts w:hint="eastAsia" w:ascii="宋体" w:hAnsi="宋体" w:cs="宋体"/>
          <w:color w:val="000000" w:themeColor="text1"/>
          <w:sz w:val="24"/>
          <w14:textFill>
            <w14:solidFill>
              <w14:schemeClr w14:val="tx1"/>
            </w14:solidFill>
          </w14:textFill>
        </w:rPr>
        <w:t>沈老师</w:t>
      </w:r>
    </w:p>
    <w:p w14:paraId="3ABEF9BC">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0576-88665130</w:t>
      </w:r>
    </w:p>
    <w:p w14:paraId="4D2471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书面质疑接收地址：</w:t>
      </w:r>
      <w:r>
        <w:rPr>
          <w:rFonts w:hint="eastAsia" w:ascii="宋体" w:hAnsi="宋体" w:cs="宋体"/>
          <w:color w:val="000000" w:themeColor="text1"/>
          <w:sz w:val="24"/>
          <w14:textFill>
            <w14:solidFill>
              <w14:schemeClr w14:val="tx1"/>
            </w14:solidFill>
          </w14:textFill>
        </w:rPr>
        <w:t>浙江省台州市经济开发区学院路788号</w:t>
      </w:r>
    </w:p>
    <w:p w14:paraId="34D53F42">
      <w:pPr>
        <w:spacing w:line="360" w:lineRule="auto"/>
        <w:ind w:firstLine="482" w:firstLineChars="200"/>
        <w:rPr>
          <w:rFonts w:ascii="宋体" w:hAnsi="宋体" w:cs="仿宋"/>
          <w:b/>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九、</w:t>
      </w:r>
      <w:r>
        <w:rPr>
          <w:rFonts w:ascii="宋体" w:hAnsi="宋体" w:cs="仿宋"/>
          <w:b/>
          <w:color w:val="000000" w:themeColor="text1"/>
          <w:sz w:val="24"/>
          <w14:textFill>
            <w14:solidFill>
              <w14:schemeClr w14:val="tx1"/>
            </w14:solidFill>
          </w14:textFill>
        </w:rPr>
        <w:t xml:space="preserve">联系方式： </w:t>
      </w:r>
    </w:p>
    <w:bookmarkEnd w:id="0"/>
    <w:p w14:paraId="6AE440C0">
      <w:pPr>
        <w:spacing w:line="360" w:lineRule="auto"/>
        <w:ind w:firstLine="482"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1、采购代理机构：</w:t>
      </w:r>
      <w:r>
        <w:rPr>
          <w:rFonts w:hint="eastAsia" w:ascii="宋体" w:hAnsi="宋体" w:cs="宋体"/>
          <w:color w:val="000000" w:themeColor="text1"/>
          <w:sz w:val="24"/>
          <w:szCs w:val="32"/>
          <w14:textFill>
            <w14:solidFill>
              <w14:schemeClr w14:val="tx1"/>
            </w14:solidFill>
          </w14:textFill>
        </w:rPr>
        <w:t>浙江五石中正工程咨询有限公司；</w:t>
      </w:r>
    </w:p>
    <w:p w14:paraId="6105DC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项目联系人：潘先生；联系电话：</w:t>
      </w:r>
      <w:r>
        <w:rPr>
          <w:rFonts w:ascii="宋体" w:hAnsi="宋体" w:cs="宋体"/>
          <w:color w:val="000000" w:themeColor="text1"/>
          <w:sz w:val="24"/>
          <w14:textFill>
            <w14:solidFill>
              <w14:schemeClr w14:val="tx1"/>
            </w14:solidFill>
          </w14:textFill>
        </w:rPr>
        <w:t>13616507339</w:t>
      </w:r>
      <w:r>
        <w:rPr>
          <w:rFonts w:hint="eastAsia" w:ascii="宋体" w:hAnsi="宋体" w:cs="宋体"/>
          <w:color w:val="000000" w:themeColor="text1"/>
          <w:sz w:val="24"/>
          <w14:textFill>
            <w14:solidFill>
              <w14:schemeClr w14:val="tx1"/>
            </w14:solidFill>
          </w14:textFill>
        </w:rPr>
        <w:t>；</w:t>
      </w:r>
    </w:p>
    <w:p w14:paraId="62A26E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报名联系人：高女士；联系电话：0571-85334203；</w:t>
      </w:r>
    </w:p>
    <w:p w14:paraId="61FF36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地址：杭州市拱墅区白石路318号中国（杭州）人力资源服务产业园北楼512室；</w:t>
      </w:r>
    </w:p>
    <w:p w14:paraId="3E9CCD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接收供应商质疑联系人：</w:t>
      </w:r>
      <w:r>
        <w:rPr>
          <w:rFonts w:hint="eastAsia" w:ascii="宋体" w:hAnsi="宋体" w:cs="宋体"/>
          <w:color w:val="000000" w:themeColor="text1"/>
          <w:sz w:val="24"/>
          <w:lang w:eastAsia="zh-Hans"/>
          <w14:textFill>
            <w14:solidFill>
              <w14:schemeClr w14:val="tx1"/>
            </w14:solidFill>
          </w14:textFill>
        </w:rPr>
        <w:t>徐少媚</w:t>
      </w:r>
      <w:r>
        <w:rPr>
          <w:rFonts w:hint="eastAsia" w:ascii="宋体" w:hAnsi="宋体" w:cs="宋体"/>
          <w:color w:val="000000" w:themeColor="text1"/>
          <w:sz w:val="24"/>
          <w14:textFill>
            <w14:solidFill>
              <w14:schemeClr w14:val="tx1"/>
            </w14:solidFill>
          </w14:textFill>
        </w:rPr>
        <w:t>；联系电话：0576-88785265。</w:t>
      </w:r>
    </w:p>
    <w:p w14:paraId="713441F2">
      <w:pPr>
        <w:spacing w:line="360" w:lineRule="auto"/>
        <w:ind w:firstLine="482"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2、采购人：</w:t>
      </w:r>
    </w:p>
    <w:p w14:paraId="1276647E">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采购人名称：台州职业技术学院</w:t>
      </w:r>
    </w:p>
    <w:p w14:paraId="53639AE8">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联系人：蒋老师；联系电话：0576-88665150；</w:t>
      </w:r>
    </w:p>
    <w:p w14:paraId="28C4FF29">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质疑接收人：沈老师；联系方式：0576-88665130；</w:t>
      </w:r>
    </w:p>
    <w:p w14:paraId="3BF28EDE">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地址：浙江省台州市经济开发区学院路788号。</w:t>
      </w:r>
    </w:p>
    <w:p w14:paraId="4ACFFC23">
      <w:pPr>
        <w:spacing w:line="360" w:lineRule="auto"/>
        <w:ind w:firstLine="482"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3、同级政府采购监管管理部门：</w:t>
      </w:r>
      <w:r>
        <w:rPr>
          <w:rFonts w:hint="eastAsia" w:ascii="宋体" w:hAnsi="宋体" w:cs="宋体"/>
          <w:color w:val="000000" w:themeColor="text1"/>
          <w:sz w:val="24"/>
          <w:szCs w:val="32"/>
          <w14:textFill>
            <w14:solidFill>
              <w14:schemeClr w14:val="tx1"/>
            </w14:solidFill>
          </w14:textFill>
        </w:rPr>
        <w:t>台州市财政局政府采购监督管理办公室；</w:t>
      </w:r>
    </w:p>
    <w:p w14:paraId="3D767F0E">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联系人：陈工；监督投诉电话：0576-88206705；</w:t>
      </w:r>
    </w:p>
    <w:p w14:paraId="4190FC32">
      <w:pPr>
        <w:pStyle w:val="26"/>
        <w:ind w:left="0" w:leftChars="0" w:firstLine="480"/>
        <w:rPr>
          <w:rFonts w:ascii="宋体" w:hAnsi="宋体" w:cs="宋体"/>
          <w:color w:val="000000" w:themeColor="text1"/>
          <w:sz w:val="24"/>
          <w:szCs w:val="32"/>
          <w:lang w:eastAsia="zh-Hans"/>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w:t>
      </w:r>
      <w:r>
        <w:rPr>
          <w:rFonts w:hint="eastAsia" w:ascii="宋体" w:hAnsi="宋体" w:cs="宋体"/>
          <w:color w:val="000000" w:themeColor="text1"/>
          <w:sz w:val="24"/>
          <w:szCs w:val="32"/>
          <w:lang w:eastAsia="zh-Hans"/>
          <w14:textFill>
            <w14:solidFill>
              <w14:schemeClr w14:val="tx1"/>
            </w14:solidFill>
          </w14:textFill>
        </w:rPr>
        <w:t>李工</w:t>
      </w:r>
      <w:r>
        <w:rPr>
          <w:rFonts w:hint="eastAsia" w:ascii="宋体" w:hAnsi="宋体" w:cs="宋体"/>
          <w:color w:val="000000" w:themeColor="text1"/>
          <w:sz w:val="24"/>
          <w:szCs w:val="32"/>
          <w14:textFill>
            <w14:solidFill>
              <w14:schemeClr w14:val="tx1"/>
            </w14:solidFill>
          </w14:textFill>
        </w:rPr>
        <w:t>；监督投诉电话：0576-882067</w:t>
      </w:r>
      <w:r>
        <w:rPr>
          <w:rFonts w:ascii="宋体" w:hAnsi="宋体" w:cs="宋体"/>
          <w:color w:val="000000" w:themeColor="text1"/>
          <w:sz w:val="24"/>
          <w:szCs w:val="32"/>
          <w14:textFill>
            <w14:solidFill>
              <w14:schemeClr w14:val="tx1"/>
            </w14:solidFill>
          </w14:textFill>
        </w:rPr>
        <w:t>31</w:t>
      </w:r>
      <w:r>
        <w:rPr>
          <w:rFonts w:hint="eastAsia" w:ascii="宋体" w:hAnsi="宋体" w:cs="宋体"/>
          <w:color w:val="000000" w:themeColor="text1"/>
          <w:sz w:val="24"/>
          <w:szCs w:val="32"/>
          <w14:textFill>
            <w14:solidFill>
              <w14:schemeClr w14:val="tx1"/>
            </w14:solidFill>
          </w14:textFill>
        </w:rPr>
        <w:t>；</w:t>
      </w:r>
    </w:p>
    <w:p w14:paraId="271E3CE8">
      <w:pPr>
        <w:pStyle w:val="26"/>
        <w:ind w:left="0" w:leftChars="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地址：台州市椒江区纬一路66号天元大厦。</w:t>
      </w:r>
    </w:p>
    <w:p w14:paraId="3AE9F3FE">
      <w:pPr>
        <w:spacing w:line="360" w:lineRule="auto"/>
        <w:ind w:firstLine="482"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4、其余事项：</w:t>
      </w:r>
      <w:r>
        <w:rPr>
          <w:rFonts w:hint="eastAsia" w:ascii="宋体" w:hAnsi="宋体" w:cs="宋体"/>
          <w:color w:val="000000" w:themeColor="text1"/>
          <w:sz w:val="24"/>
          <w:szCs w:val="32"/>
          <w14:textFill>
            <w14:solidFill>
              <w14:schemeClr w14:val="tx1"/>
            </w14:solidFill>
          </w14:textFill>
        </w:rPr>
        <w:t>中标供应商如有融资需求，可使用以下银行的政采贷服务。</w:t>
      </w:r>
    </w:p>
    <w:tbl>
      <w:tblPr>
        <w:tblStyle w:val="27"/>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2580"/>
        <w:gridCol w:w="1019"/>
        <w:gridCol w:w="1591"/>
      </w:tblGrid>
      <w:tr w14:paraId="79E0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23F372C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p>
        </w:tc>
        <w:tc>
          <w:tcPr>
            <w:tcW w:w="1501" w:type="pct"/>
            <w:vAlign w:val="center"/>
          </w:tcPr>
          <w:p w14:paraId="04D417E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贷款年利率</w:t>
            </w:r>
          </w:p>
        </w:tc>
        <w:tc>
          <w:tcPr>
            <w:tcW w:w="593" w:type="pct"/>
            <w:vAlign w:val="center"/>
          </w:tcPr>
          <w:p w14:paraId="71C5A5F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926" w:type="pct"/>
            <w:vAlign w:val="center"/>
          </w:tcPr>
          <w:p w14:paraId="6F9F828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14:paraId="29E7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78" w:type="pct"/>
            <w:vAlign w:val="center"/>
          </w:tcPr>
          <w:p w14:paraId="5BC502A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中国工商银行</w:t>
            </w:r>
          </w:p>
        </w:tc>
        <w:tc>
          <w:tcPr>
            <w:tcW w:w="1501" w:type="pct"/>
            <w:vAlign w:val="center"/>
          </w:tcPr>
          <w:p w14:paraId="2AD63EB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593" w:type="pct"/>
            <w:vAlign w:val="center"/>
          </w:tcPr>
          <w:p w14:paraId="3335B028">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卢嘉诚</w:t>
            </w:r>
          </w:p>
        </w:tc>
        <w:tc>
          <w:tcPr>
            <w:tcW w:w="926" w:type="pct"/>
            <w:vAlign w:val="center"/>
          </w:tcPr>
          <w:p w14:paraId="0E7C18F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13867658508</w:t>
            </w:r>
          </w:p>
        </w:tc>
      </w:tr>
      <w:tr w14:paraId="6AF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6487E91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中国农业银行</w:t>
            </w:r>
          </w:p>
        </w:tc>
        <w:tc>
          <w:tcPr>
            <w:tcW w:w="1501" w:type="pct"/>
            <w:vAlign w:val="center"/>
          </w:tcPr>
          <w:p w14:paraId="549C908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593" w:type="pct"/>
            <w:vAlign w:val="center"/>
          </w:tcPr>
          <w:p w14:paraId="51EF20C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龚盛</w:t>
            </w:r>
          </w:p>
        </w:tc>
        <w:tc>
          <w:tcPr>
            <w:tcW w:w="926" w:type="pct"/>
            <w:vAlign w:val="center"/>
          </w:tcPr>
          <w:p w14:paraId="7E075F1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15858682216</w:t>
            </w:r>
          </w:p>
        </w:tc>
      </w:tr>
      <w:tr w14:paraId="5782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78" w:type="pct"/>
            <w:vAlign w:val="center"/>
          </w:tcPr>
          <w:p w14:paraId="08A040D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中国建设银行</w:t>
            </w:r>
          </w:p>
        </w:tc>
        <w:tc>
          <w:tcPr>
            <w:tcW w:w="1501" w:type="pct"/>
            <w:vAlign w:val="center"/>
          </w:tcPr>
          <w:p w14:paraId="6F8030F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593" w:type="pct"/>
            <w:vAlign w:val="center"/>
          </w:tcPr>
          <w:p w14:paraId="1F73038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梅晶晶</w:t>
            </w:r>
          </w:p>
        </w:tc>
        <w:tc>
          <w:tcPr>
            <w:tcW w:w="926" w:type="pct"/>
            <w:vAlign w:val="center"/>
          </w:tcPr>
          <w:p w14:paraId="1282B33C">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88525339</w:t>
            </w:r>
          </w:p>
          <w:p w14:paraId="20943B76">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13736585303</w:t>
            </w:r>
          </w:p>
        </w:tc>
      </w:tr>
      <w:tr w14:paraId="390D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6BFA8D8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中国银行</w:t>
            </w:r>
          </w:p>
        </w:tc>
        <w:tc>
          <w:tcPr>
            <w:tcW w:w="1501" w:type="pct"/>
            <w:vAlign w:val="center"/>
          </w:tcPr>
          <w:p w14:paraId="7635129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593" w:type="pct"/>
            <w:vAlign w:val="center"/>
          </w:tcPr>
          <w:p w14:paraId="1EEC11A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王海</w:t>
            </w:r>
          </w:p>
        </w:tc>
        <w:tc>
          <w:tcPr>
            <w:tcW w:w="926" w:type="pct"/>
            <w:vAlign w:val="center"/>
          </w:tcPr>
          <w:p w14:paraId="677E84F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13857677798</w:t>
            </w:r>
          </w:p>
        </w:tc>
      </w:tr>
      <w:tr w14:paraId="7B82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2D53155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浦发银行台州分行</w:t>
            </w:r>
          </w:p>
        </w:tc>
        <w:tc>
          <w:tcPr>
            <w:tcW w:w="1501" w:type="pct"/>
            <w:vAlign w:val="center"/>
          </w:tcPr>
          <w:p w14:paraId="6692FF8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593" w:type="pct"/>
            <w:vAlign w:val="center"/>
          </w:tcPr>
          <w:p w14:paraId="1EC383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王渊</w:t>
            </w:r>
          </w:p>
        </w:tc>
        <w:tc>
          <w:tcPr>
            <w:tcW w:w="926" w:type="pct"/>
            <w:vAlign w:val="center"/>
          </w:tcPr>
          <w:p w14:paraId="7F61209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13616676319</w:t>
            </w:r>
          </w:p>
        </w:tc>
      </w:tr>
      <w:tr w14:paraId="0CD8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3BED50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浦发银行椒江分行</w:t>
            </w:r>
          </w:p>
        </w:tc>
        <w:tc>
          <w:tcPr>
            <w:tcW w:w="1501" w:type="pct"/>
            <w:vAlign w:val="center"/>
          </w:tcPr>
          <w:p w14:paraId="59065E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593" w:type="pct"/>
            <w:vAlign w:val="center"/>
          </w:tcPr>
          <w:p w14:paraId="3234557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孙瑞华</w:t>
            </w:r>
          </w:p>
        </w:tc>
        <w:tc>
          <w:tcPr>
            <w:tcW w:w="926" w:type="pct"/>
            <w:vAlign w:val="center"/>
          </w:tcPr>
          <w:p w14:paraId="30C472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13857688081</w:t>
            </w:r>
          </w:p>
        </w:tc>
      </w:tr>
      <w:tr w14:paraId="079F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6DB8AE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交通银行台州分行</w:t>
            </w:r>
          </w:p>
        </w:tc>
        <w:tc>
          <w:tcPr>
            <w:tcW w:w="1501" w:type="pct"/>
            <w:vAlign w:val="center"/>
          </w:tcPr>
          <w:p w14:paraId="32046C8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593" w:type="pct"/>
            <w:vAlign w:val="center"/>
          </w:tcPr>
          <w:p w14:paraId="6150C3B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周翔宇</w:t>
            </w:r>
          </w:p>
        </w:tc>
        <w:tc>
          <w:tcPr>
            <w:tcW w:w="926" w:type="pct"/>
            <w:vAlign w:val="center"/>
          </w:tcPr>
          <w:p w14:paraId="256D7D9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13867697018</w:t>
            </w:r>
          </w:p>
        </w:tc>
      </w:tr>
      <w:tr w14:paraId="7C5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3092959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招商银行台州分行</w:t>
            </w:r>
          </w:p>
        </w:tc>
        <w:tc>
          <w:tcPr>
            <w:tcW w:w="1501" w:type="pct"/>
            <w:vAlign w:val="center"/>
          </w:tcPr>
          <w:p w14:paraId="12C576B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4.32%起</w:t>
            </w:r>
          </w:p>
        </w:tc>
        <w:tc>
          <w:tcPr>
            <w:tcW w:w="593" w:type="pct"/>
            <w:vAlign w:val="center"/>
          </w:tcPr>
          <w:p w14:paraId="5AD2AA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王海玲</w:t>
            </w:r>
          </w:p>
        </w:tc>
        <w:tc>
          <w:tcPr>
            <w:tcW w:w="926" w:type="pct"/>
            <w:vAlign w:val="center"/>
          </w:tcPr>
          <w:p w14:paraId="7595944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13566413827</w:t>
            </w:r>
          </w:p>
        </w:tc>
      </w:tr>
      <w:tr w14:paraId="3E9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1B2AA3C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浙商银行台州分行</w:t>
            </w:r>
          </w:p>
        </w:tc>
        <w:tc>
          <w:tcPr>
            <w:tcW w:w="1501" w:type="pct"/>
            <w:vAlign w:val="center"/>
          </w:tcPr>
          <w:p w14:paraId="07542B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5.01%起</w:t>
            </w:r>
          </w:p>
        </w:tc>
        <w:tc>
          <w:tcPr>
            <w:tcW w:w="593" w:type="pct"/>
            <w:vAlign w:val="center"/>
          </w:tcPr>
          <w:p w14:paraId="06811C9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章涉漪</w:t>
            </w:r>
          </w:p>
        </w:tc>
        <w:tc>
          <w:tcPr>
            <w:tcW w:w="926" w:type="pct"/>
            <w:vAlign w:val="center"/>
          </w:tcPr>
          <w:p w14:paraId="087A570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81880185</w:t>
            </w:r>
          </w:p>
          <w:p w14:paraId="189B1CC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13606681262</w:t>
            </w:r>
          </w:p>
        </w:tc>
      </w:tr>
      <w:tr w14:paraId="4608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4210C2B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中信银行台州分行</w:t>
            </w:r>
          </w:p>
        </w:tc>
        <w:tc>
          <w:tcPr>
            <w:tcW w:w="1501" w:type="pct"/>
            <w:vAlign w:val="center"/>
          </w:tcPr>
          <w:p w14:paraId="6B9F34A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4.15%起</w:t>
            </w:r>
          </w:p>
        </w:tc>
        <w:tc>
          <w:tcPr>
            <w:tcW w:w="593" w:type="pct"/>
            <w:vAlign w:val="center"/>
          </w:tcPr>
          <w:p w14:paraId="3ED40D0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陈金园</w:t>
            </w:r>
          </w:p>
        </w:tc>
        <w:tc>
          <w:tcPr>
            <w:tcW w:w="926" w:type="pct"/>
            <w:vAlign w:val="center"/>
          </w:tcPr>
          <w:p w14:paraId="1AD34E5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13586052161</w:t>
            </w:r>
          </w:p>
        </w:tc>
      </w:tr>
      <w:tr w14:paraId="56BE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78" w:type="pct"/>
            <w:vAlign w:val="center"/>
          </w:tcPr>
          <w:p w14:paraId="53FFAE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华夏银行台州分行</w:t>
            </w:r>
          </w:p>
        </w:tc>
        <w:tc>
          <w:tcPr>
            <w:tcW w:w="1501" w:type="pct"/>
            <w:vAlign w:val="center"/>
          </w:tcPr>
          <w:p w14:paraId="397541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4.5%起</w:t>
            </w:r>
          </w:p>
        </w:tc>
        <w:tc>
          <w:tcPr>
            <w:tcW w:w="593" w:type="pct"/>
            <w:vAlign w:val="center"/>
          </w:tcPr>
          <w:p w14:paraId="2CA97E2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邱明达</w:t>
            </w:r>
          </w:p>
        </w:tc>
        <w:tc>
          <w:tcPr>
            <w:tcW w:w="926" w:type="pct"/>
            <w:vAlign w:val="center"/>
          </w:tcPr>
          <w:p w14:paraId="67B8EB1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81871518</w:t>
            </w:r>
          </w:p>
          <w:p w14:paraId="6100D75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13736252233</w:t>
            </w:r>
          </w:p>
        </w:tc>
      </w:tr>
      <w:tr w14:paraId="112F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4AB6FDE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泰隆银行开发区支行</w:t>
            </w:r>
          </w:p>
        </w:tc>
        <w:tc>
          <w:tcPr>
            <w:tcW w:w="1501" w:type="pct"/>
            <w:vAlign w:val="center"/>
          </w:tcPr>
          <w:p w14:paraId="125FD5E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593" w:type="pct"/>
            <w:vAlign w:val="center"/>
          </w:tcPr>
          <w:p w14:paraId="703C23C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梁宛莉</w:t>
            </w:r>
          </w:p>
        </w:tc>
        <w:tc>
          <w:tcPr>
            <w:tcW w:w="926" w:type="pct"/>
            <w:vAlign w:val="center"/>
          </w:tcPr>
          <w:p w14:paraId="58CA229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13306869100</w:t>
            </w:r>
          </w:p>
        </w:tc>
      </w:tr>
      <w:tr w14:paraId="4250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74AB9C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民泰银行椒江支行</w:t>
            </w:r>
          </w:p>
        </w:tc>
        <w:tc>
          <w:tcPr>
            <w:tcW w:w="1501" w:type="pct"/>
            <w:vAlign w:val="center"/>
          </w:tcPr>
          <w:p w14:paraId="7AC58F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5.8%起</w:t>
            </w:r>
          </w:p>
        </w:tc>
        <w:tc>
          <w:tcPr>
            <w:tcW w:w="593" w:type="pct"/>
            <w:vAlign w:val="center"/>
          </w:tcPr>
          <w:p w14:paraId="4141AFC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陈慧珠</w:t>
            </w:r>
          </w:p>
        </w:tc>
        <w:tc>
          <w:tcPr>
            <w:tcW w:w="926" w:type="pct"/>
            <w:vAlign w:val="center"/>
          </w:tcPr>
          <w:p w14:paraId="39BF151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13857699669</w:t>
            </w:r>
          </w:p>
        </w:tc>
      </w:tr>
      <w:tr w14:paraId="0FE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24DAD1C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绍兴银行台州分行</w:t>
            </w:r>
          </w:p>
        </w:tc>
        <w:tc>
          <w:tcPr>
            <w:tcW w:w="1501" w:type="pct"/>
            <w:vAlign w:val="center"/>
          </w:tcPr>
          <w:p w14:paraId="6BAE73A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5.1%起</w:t>
            </w:r>
          </w:p>
        </w:tc>
        <w:tc>
          <w:tcPr>
            <w:tcW w:w="593" w:type="pct"/>
            <w:vAlign w:val="center"/>
          </w:tcPr>
          <w:p w14:paraId="2FF6625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郭庭斌</w:t>
            </w:r>
          </w:p>
        </w:tc>
        <w:tc>
          <w:tcPr>
            <w:tcW w:w="926" w:type="pct"/>
            <w:vAlign w:val="center"/>
          </w:tcPr>
          <w:p w14:paraId="32F151A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15958633119</w:t>
            </w:r>
          </w:p>
        </w:tc>
      </w:tr>
      <w:tr w14:paraId="0117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29730FF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温州银行台州分行</w:t>
            </w:r>
          </w:p>
        </w:tc>
        <w:tc>
          <w:tcPr>
            <w:tcW w:w="1501" w:type="pct"/>
            <w:vAlign w:val="center"/>
          </w:tcPr>
          <w:p w14:paraId="574A7F4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4.55%起</w:t>
            </w:r>
          </w:p>
        </w:tc>
        <w:tc>
          <w:tcPr>
            <w:tcW w:w="593" w:type="pct"/>
            <w:vAlign w:val="center"/>
          </w:tcPr>
          <w:p w14:paraId="365B7E6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王晓波</w:t>
            </w:r>
          </w:p>
        </w:tc>
        <w:tc>
          <w:tcPr>
            <w:tcW w:w="926" w:type="pct"/>
            <w:vAlign w:val="center"/>
          </w:tcPr>
          <w:p w14:paraId="4ACD941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15824005475</w:t>
            </w:r>
          </w:p>
        </w:tc>
      </w:tr>
      <w:tr w14:paraId="0D26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4EDB90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平安银行台州分行</w:t>
            </w:r>
          </w:p>
        </w:tc>
        <w:tc>
          <w:tcPr>
            <w:tcW w:w="1501" w:type="pct"/>
            <w:vAlign w:val="center"/>
          </w:tcPr>
          <w:p w14:paraId="291739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6.53%起</w:t>
            </w:r>
          </w:p>
        </w:tc>
        <w:tc>
          <w:tcPr>
            <w:tcW w:w="593" w:type="pct"/>
            <w:vAlign w:val="center"/>
          </w:tcPr>
          <w:p w14:paraId="16513C2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李俊丽</w:t>
            </w:r>
          </w:p>
        </w:tc>
        <w:tc>
          <w:tcPr>
            <w:tcW w:w="926" w:type="pct"/>
            <w:vAlign w:val="center"/>
          </w:tcPr>
          <w:p w14:paraId="478F774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15906861025</w:t>
            </w:r>
          </w:p>
        </w:tc>
      </w:tr>
      <w:tr w14:paraId="7137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58CD0A9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宁波银行台州分行</w:t>
            </w:r>
          </w:p>
        </w:tc>
        <w:tc>
          <w:tcPr>
            <w:tcW w:w="1501" w:type="pct"/>
            <w:vAlign w:val="center"/>
          </w:tcPr>
          <w:p w14:paraId="2DE163E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4.35%起</w:t>
            </w:r>
          </w:p>
        </w:tc>
        <w:tc>
          <w:tcPr>
            <w:tcW w:w="593" w:type="pct"/>
            <w:vAlign w:val="center"/>
          </w:tcPr>
          <w:p w14:paraId="514D90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戴莉丽</w:t>
            </w:r>
          </w:p>
        </w:tc>
        <w:tc>
          <w:tcPr>
            <w:tcW w:w="926" w:type="pct"/>
            <w:vAlign w:val="center"/>
          </w:tcPr>
          <w:p w14:paraId="7AD27F4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13566627207</w:t>
            </w:r>
          </w:p>
        </w:tc>
      </w:tr>
      <w:tr w14:paraId="5745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78" w:type="pct"/>
            <w:vAlign w:val="center"/>
          </w:tcPr>
          <w:p w14:paraId="72388C5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金华银行台州分行</w:t>
            </w:r>
          </w:p>
        </w:tc>
        <w:tc>
          <w:tcPr>
            <w:tcW w:w="1501" w:type="pct"/>
            <w:vAlign w:val="center"/>
          </w:tcPr>
          <w:p w14:paraId="56C6D11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593" w:type="pct"/>
            <w:vAlign w:val="center"/>
          </w:tcPr>
          <w:p w14:paraId="64398C4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金雪婷</w:t>
            </w:r>
          </w:p>
        </w:tc>
        <w:tc>
          <w:tcPr>
            <w:tcW w:w="926" w:type="pct"/>
            <w:vAlign w:val="center"/>
          </w:tcPr>
          <w:p w14:paraId="0D712AF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81886670</w:t>
            </w:r>
          </w:p>
          <w:p w14:paraId="0ED4D1C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15968661569</w:t>
            </w:r>
          </w:p>
        </w:tc>
      </w:tr>
      <w:tr w14:paraId="63EA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8" w:type="pct"/>
            <w:vAlign w:val="center"/>
          </w:tcPr>
          <w:p w14:paraId="7785C39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台州银行</w:t>
            </w:r>
          </w:p>
        </w:tc>
        <w:tc>
          <w:tcPr>
            <w:tcW w:w="1501" w:type="pct"/>
            <w:vAlign w:val="center"/>
          </w:tcPr>
          <w:p w14:paraId="75D511B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593" w:type="pct"/>
            <w:vAlign w:val="center"/>
          </w:tcPr>
          <w:p w14:paraId="60F5886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洪婷</w:t>
            </w:r>
          </w:p>
        </w:tc>
        <w:tc>
          <w:tcPr>
            <w:tcW w:w="926" w:type="pct"/>
            <w:vAlign w:val="center"/>
          </w:tcPr>
          <w:p w14:paraId="348FD42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15858624999</w:t>
            </w:r>
          </w:p>
        </w:tc>
      </w:tr>
      <w:tr w14:paraId="3B2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78" w:type="pct"/>
            <w:vAlign w:val="center"/>
          </w:tcPr>
          <w:p w14:paraId="717E809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邮储银行台州分行</w:t>
            </w:r>
          </w:p>
        </w:tc>
        <w:tc>
          <w:tcPr>
            <w:tcW w:w="1501" w:type="pct"/>
            <w:vAlign w:val="center"/>
          </w:tcPr>
          <w:p w14:paraId="454C7D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3.85%起</w:t>
            </w:r>
          </w:p>
        </w:tc>
        <w:tc>
          <w:tcPr>
            <w:tcW w:w="593" w:type="pct"/>
            <w:vAlign w:val="center"/>
          </w:tcPr>
          <w:p w14:paraId="378C86B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董庆</w:t>
            </w:r>
          </w:p>
        </w:tc>
        <w:tc>
          <w:tcPr>
            <w:tcW w:w="926" w:type="pct"/>
            <w:vAlign w:val="center"/>
          </w:tcPr>
          <w:p w14:paraId="1A77FF4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81888982</w:t>
            </w:r>
          </w:p>
          <w:p w14:paraId="36B6308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18957683735</w:t>
            </w:r>
          </w:p>
        </w:tc>
      </w:tr>
    </w:tbl>
    <w:p w14:paraId="25AAECE7">
      <w:pPr>
        <w:jc w:val="center"/>
        <w:outlineLvl w:val="1"/>
        <w:rPr>
          <w:color w:val="000000" w:themeColor="text1"/>
          <w:sz w:val="32"/>
          <w:szCs w:val="32"/>
          <w14:textFill>
            <w14:solidFill>
              <w14:schemeClr w14:val="tx1"/>
            </w14:solidFill>
          </w14:textFill>
        </w:rPr>
      </w:pPr>
      <w:bookmarkStart w:id="1" w:name="_Toc521434602"/>
      <w:r>
        <w:rPr>
          <w:rFonts w:hint="eastAsia"/>
          <w:color w:val="000000" w:themeColor="text1"/>
          <w:sz w:val="32"/>
          <w:szCs w:val="32"/>
          <w14:textFill>
            <w14:solidFill>
              <w14:schemeClr w14:val="tx1"/>
            </w14:solidFill>
          </w14:textFill>
        </w:rPr>
        <w:t>合同履约保函联系方式</w:t>
      </w:r>
      <w:bookmarkEnd w:id="1"/>
    </w:p>
    <w:tbl>
      <w:tblPr>
        <w:tblStyle w:val="28"/>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2A662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55E0818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629" w:type="dxa"/>
            <w:vAlign w:val="center"/>
          </w:tcPr>
          <w:p w14:paraId="15B1CF3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983" w:type="dxa"/>
            <w:vAlign w:val="center"/>
          </w:tcPr>
          <w:p w14:paraId="310591D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536" w:type="dxa"/>
            <w:vAlign w:val="center"/>
          </w:tcPr>
          <w:p w14:paraId="6446A81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14:paraId="420A66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3CEFE1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629" w:type="dxa"/>
            <w:vAlign w:val="center"/>
          </w:tcPr>
          <w:p w14:paraId="29246B9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83" w:type="dxa"/>
            <w:vAlign w:val="center"/>
          </w:tcPr>
          <w:p w14:paraId="0E217FD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536" w:type="dxa"/>
            <w:vAlign w:val="center"/>
          </w:tcPr>
          <w:p w14:paraId="6B10A63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14:paraId="4845D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B1614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永诚财产保险股份有限公司台州分公司</w:t>
            </w:r>
          </w:p>
        </w:tc>
        <w:tc>
          <w:tcPr>
            <w:tcW w:w="2629" w:type="dxa"/>
            <w:vAlign w:val="center"/>
          </w:tcPr>
          <w:p w14:paraId="6D816E1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年费率1%，最低保费1000元</w:t>
            </w:r>
          </w:p>
        </w:tc>
        <w:tc>
          <w:tcPr>
            <w:tcW w:w="983" w:type="dxa"/>
            <w:vAlign w:val="center"/>
          </w:tcPr>
          <w:p w14:paraId="433B2CA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尹刚强</w:t>
            </w:r>
          </w:p>
        </w:tc>
        <w:tc>
          <w:tcPr>
            <w:tcW w:w="1536" w:type="dxa"/>
            <w:vAlign w:val="center"/>
          </w:tcPr>
          <w:p w14:paraId="071013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13750668184</w:t>
            </w:r>
          </w:p>
        </w:tc>
      </w:tr>
      <w:tr w14:paraId="14AA3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4A64E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华泰财产保险有限公司台州中心支公司</w:t>
            </w:r>
          </w:p>
        </w:tc>
        <w:tc>
          <w:tcPr>
            <w:tcW w:w="2629" w:type="dxa"/>
            <w:vAlign w:val="center"/>
          </w:tcPr>
          <w:p w14:paraId="0D2369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年费率0.5%，最低保费1000元</w:t>
            </w:r>
          </w:p>
        </w:tc>
        <w:tc>
          <w:tcPr>
            <w:tcW w:w="983" w:type="dxa"/>
            <w:vAlign w:val="center"/>
          </w:tcPr>
          <w:p w14:paraId="7C01C73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王灵芳</w:t>
            </w:r>
          </w:p>
        </w:tc>
        <w:tc>
          <w:tcPr>
            <w:tcW w:w="1536" w:type="dxa"/>
            <w:vAlign w:val="center"/>
          </w:tcPr>
          <w:p w14:paraId="4D3946A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88869818 13586123199</w:t>
            </w:r>
          </w:p>
        </w:tc>
      </w:tr>
      <w:tr w14:paraId="3CD8B0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5A0466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中国大地财产保险股份有限公司台州中心支公司</w:t>
            </w:r>
          </w:p>
        </w:tc>
        <w:tc>
          <w:tcPr>
            <w:tcW w:w="2629" w:type="dxa"/>
            <w:vAlign w:val="center"/>
          </w:tcPr>
          <w:p w14:paraId="6A767BF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年费率1.5%，最低保费1000元</w:t>
            </w:r>
          </w:p>
        </w:tc>
        <w:tc>
          <w:tcPr>
            <w:tcW w:w="983" w:type="dxa"/>
            <w:vAlign w:val="center"/>
          </w:tcPr>
          <w:p w14:paraId="6C9DF47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徐小明</w:t>
            </w:r>
          </w:p>
        </w:tc>
        <w:tc>
          <w:tcPr>
            <w:tcW w:w="1536" w:type="dxa"/>
            <w:vAlign w:val="center"/>
          </w:tcPr>
          <w:p w14:paraId="27318C4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88552788      13968603112</w:t>
            </w:r>
          </w:p>
        </w:tc>
      </w:tr>
      <w:tr w14:paraId="069FE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04D86E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629" w:type="dxa"/>
            <w:vAlign w:val="center"/>
          </w:tcPr>
          <w:p w14:paraId="6C6F155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83" w:type="dxa"/>
            <w:vAlign w:val="center"/>
          </w:tcPr>
          <w:p w14:paraId="0645CA4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536" w:type="dxa"/>
            <w:vAlign w:val="center"/>
          </w:tcPr>
          <w:p w14:paraId="5C2DF13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14:paraId="3BFE07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C9384D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中华联合财产保险股份有限公司台州中心支公司</w:t>
            </w:r>
          </w:p>
        </w:tc>
        <w:tc>
          <w:tcPr>
            <w:tcW w:w="2629" w:type="dxa"/>
            <w:vAlign w:val="center"/>
          </w:tcPr>
          <w:p w14:paraId="6AC85CE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年费率2%，最低保费500元</w:t>
            </w:r>
          </w:p>
        </w:tc>
        <w:tc>
          <w:tcPr>
            <w:tcW w:w="983" w:type="dxa"/>
            <w:vAlign w:val="center"/>
          </w:tcPr>
          <w:p w14:paraId="6B0DE56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王仙高</w:t>
            </w:r>
          </w:p>
        </w:tc>
        <w:tc>
          <w:tcPr>
            <w:tcW w:w="1536" w:type="dxa"/>
            <w:vAlign w:val="center"/>
          </w:tcPr>
          <w:p w14:paraId="2517FF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13858600221</w:t>
            </w:r>
          </w:p>
        </w:tc>
      </w:tr>
      <w:tr w14:paraId="5DCBB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49B04F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中国人民财产保险股份有限公司台州中心支公司</w:t>
            </w:r>
          </w:p>
        </w:tc>
        <w:tc>
          <w:tcPr>
            <w:tcW w:w="2629" w:type="dxa"/>
            <w:vAlign w:val="center"/>
          </w:tcPr>
          <w:p w14:paraId="3AB3343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年费率0.3%，最低保费1000元</w:t>
            </w:r>
          </w:p>
        </w:tc>
        <w:tc>
          <w:tcPr>
            <w:tcW w:w="983" w:type="dxa"/>
            <w:vAlign w:val="center"/>
          </w:tcPr>
          <w:p w14:paraId="6FB9ED1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王仙春</w:t>
            </w:r>
          </w:p>
        </w:tc>
        <w:tc>
          <w:tcPr>
            <w:tcW w:w="1536" w:type="dxa"/>
            <w:vAlign w:val="center"/>
          </w:tcPr>
          <w:p w14:paraId="5E8380B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13515769179</w:t>
            </w:r>
          </w:p>
        </w:tc>
      </w:tr>
      <w:tr w14:paraId="1E84E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28730B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永安财产保险股份有限公司台州中心支公司</w:t>
            </w:r>
          </w:p>
        </w:tc>
        <w:tc>
          <w:tcPr>
            <w:tcW w:w="2629" w:type="dxa"/>
            <w:vAlign w:val="center"/>
          </w:tcPr>
          <w:p w14:paraId="17C73A3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w:t>
            </w:r>
          </w:p>
        </w:tc>
        <w:tc>
          <w:tcPr>
            <w:tcW w:w="983" w:type="dxa"/>
            <w:vAlign w:val="center"/>
          </w:tcPr>
          <w:p w14:paraId="6C9C5AB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王春宇</w:t>
            </w:r>
          </w:p>
        </w:tc>
        <w:tc>
          <w:tcPr>
            <w:tcW w:w="1536" w:type="dxa"/>
            <w:vAlign w:val="center"/>
          </w:tcPr>
          <w:p w14:paraId="614B0C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13676675331</w:t>
            </w:r>
          </w:p>
        </w:tc>
      </w:tr>
    </w:tbl>
    <w:p w14:paraId="20BD7456">
      <w:pPr>
        <w:ind w:firstLine="3220" w:firstLineChars="1150"/>
        <w:outlineLvl w:val="1"/>
        <w:rPr>
          <w:rFonts w:ascii="宋体" w:hAnsi="宋体" w:cs="宋体"/>
          <w:color w:val="000000" w:themeColor="text1"/>
          <w:sz w:val="28"/>
          <w:szCs w:val="28"/>
          <w14:textFill>
            <w14:solidFill>
              <w14:schemeClr w14:val="tx1"/>
            </w14:solidFill>
          </w14:textFill>
        </w:rPr>
      </w:pPr>
      <w:bookmarkStart w:id="2" w:name="_Toc2018076054"/>
      <w:r>
        <w:rPr>
          <w:rFonts w:hint="eastAsia" w:ascii="宋体" w:hAnsi="宋体" w:cs="宋体"/>
          <w:color w:val="000000" w:themeColor="text1"/>
          <w:sz w:val="28"/>
          <w:szCs w:val="28"/>
          <w14:textFill>
            <w14:solidFill>
              <w14:schemeClr w14:val="tx1"/>
            </w14:solidFill>
          </w14:textFill>
        </w:rPr>
        <w:t>预付款保函联系方式</w:t>
      </w:r>
      <w:bookmarkEnd w:id="2"/>
    </w:p>
    <w:tbl>
      <w:tblPr>
        <w:tblStyle w:val="28"/>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4"/>
        <w:gridCol w:w="2610"/>
        <w:gridCol w:w="986"/>
        <w:gridCol w:w="1536"/>
      </w:tblGrid>
      <w:tr w14:paraId="0CECD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4" w:type="dxa"/>
            <w:vAlign w:val="center"/>
          </w:tcPr>
          <w:p w14:paraId="701D16B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610" w:type="dxa"/>
            <w:vAlign w:val="center"/>
          </w:tcPr>
          <w:p w14:paraId="4950EE4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986" w:type="dxa"/>
            <w:vAlign w:val="center"/>
          </w:tcPr>
          <w:p w14:paraId="617141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536" w:type="dxa"/>
            <w:vAlign w:val="center"/>
          </w:tcPr>
          <w:p w14:paraId="3F4FBDF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14:paraId="6B12C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384" w:type="dxa"/>
            <w:vAlign w:val="center"/>
          </w:tcPr>
          <w:p w14:paraId="19B8803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610" w:type="dxa"/>
            <w:vAlign w:val="center"/>
          </w:tcPr>
          <w:p w14:paraId="0D484BB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年费率3%，最低保费500元</w:t>
            </w:r>
          </w:p>
        </w:tc>
        <w:tc>
          <w:tcPr>
            <w:tcW w:w="986" w:type="dxa"/>
            <w:vAlign w:val="center"/>
          </w:tcPr>
          <w:p w14:paraId="1289A84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536" w:type="dxa"/>
            <w:vAlign w:val="center"/>
          </w:tcPr>
          <w:p w14:paraId="17B1D4C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14:paraId="1C4A8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384" w:type="dxa"/>
            <w:vAlign w:val="center"/>
          </w:tcPr>
          <w:p w14:paraId="784798A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610" w:type="dxa"/>
            <w:vAlign w:val="center"/>
          </w:tcPr>
          <w:p w14:paraId="2D9D4B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86" w:type="dxa"/>
            <w:vAlign w:val="center"/>
          </w:tcPr>
          <w:p w14:paraId="189A8F5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536" w:type="dxa"/>
            <w:vAlign w:val="center"/>
          </w:tcPr>
          <w:p w14:paraId="7AA4EE6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14:paraId="22200A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84" w:type="dxa"/>
            <w:vAlign w:val="center"/>
          </w:tcPr>
          <w:p w14:paraId="7FC76F7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天安财产保险股份有限公司台州中心支公司</w:t>
            </w:r>
          </w:p>
        </w:tc>
        <w:tc>
          <w:tcPr>
            <w:tcW w:w="2610" w:type="dxa"/>
            <w:vAlign w:val="center"/>
          </w:tcPr>
          <w:p w14:paraId="194A9A4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年费率1%-2%，最低保费500元</w:t>
            </w:r>
          </w:p>
        </w:tc>
        <w:tc>
          <w:tcPr>
            <w:tcW w:w="986" w:type="dxa"/>
            <w:vAlign w:val="center"/>
          </w:tcPr>
          <w:p w14:paraId="1754129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罗赛</w:t>
            </w:r>
          </w:p>
        </w:tc>
        <w:tc>
          <w:tcPr>
            <w:tcW w:w="1536" w:type="dxa"/>
            <w:vAlign w:val="center"/>
          </w:tcPr>
          <w:p w14:paraId="649B6DB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13736605643</w:t>
            </w:r>
          </w:p>
        </w:tc>
      </w:tr>
    </w:tbl>
    <w:p w14:paraId="142B2913">
      <w:pPr>
        <w:spacing w:line="360" w:lineRule="auto"/>
        <w:jc w:val="right"/>
        <w:rPr>
          <w:rFonts w:ascii="宋体" w:hAnsi="宋体" w:cs="宋体"/>
          <w:color w:val="000000" w:themeColor="text1"/>
          <w:sz w:val="24"/>
          <w:szCs w:val="32"/>
          <w14:textFill>
            <w14:solidFill>
              <w14:schemeClr w14:val="tx1"/>
            </w14:solidFill>
          </w14:textFill>
        </w:rPr>
      </w:pPr>
    </w:p>
    <w:p w14:paraId="14B8EEB6">
      <w:pPr>
        <w:spacing w:line="360" w:lineRule="auto"/>
        <w:jc w:val="right"/>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浙江五石中正工程咨询有限公司</w:t>
      </w:r>
    </w:p>
    <w:p w14:paraId="26A977B1">
      <w:pPr>
        <w:spacing w:line="360" w:lineRule="auto"/>
        <w:ind w:firstLine="6240" w:firstLineChars="26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2024年9月</w:t>
      </w:r>
    </w:p>
    <w:p w14:paraId="4C37E603">
      <w:pPr>
        <w:widowControl/>
        <w:spacing w:before="60" w:after="60" w:line="360" w:lineRule="auto"/>
        <w:ind w:left="60" w:right="60" w:firstLine="54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w:t>
      </w:r>
    </w:p>
    <w:p w14:paraId="5808240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7AA0B54A">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第二章  供应商须知</w:t>
      </w:r>
    </w:p>
    <w:p w14:paraId="580F3CD4">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2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14:paraId="3B88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B6D739E">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0E00E14C">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项    目</w:t>
            </w:r>
          </w:p>
        </w:tc>
        <w:tc>
          <w:tcPr>
            <w:tcW w:w="6273" w:type="dxa"/>
            <w:tcBorders>
              <w:top w:val="single" w:color="auto" w:sz="4" w:space="0"/>
              <w:left w:val="single" w:color="auto" w:sz="4" w:space="0"/>
              <w:bottom w:val="single" w:color="auto" w:sz="4" w:space="0"/>
              <w:right w:val="single" w:color="auto" w:sz="4" w:space="0"/>
            </w:tcBorders>
            <w:vAlign w:val="center"/>
          </w:tcPr>
          <w:p w14:paraId="12BBE721">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内                 容</w:t>
            </w:r>
          </w:p>
        </w:tc>
      </w:tr>
      <w:tr w14:paraId="3662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7423436">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1</w:t>
            </w:r>
          </w:p>
        </w:tc>
        <w:tc>
          <w:tcPr>
            <w:tcW w:w="1901" w:type="dxa"/>
            <w:tcBorders>
              <w:top w:val="single" w:color="auto" w:sz="4" w:space="0"/>
              <w:left w:val="single" w:color="auto" w:sz="4" w:space="0"/>
              <w:bottom w:val="single" w:color="auto" w:sz="4" w:space="0"/>
              <w:right w:val="single" w:color="auto" w:sz="4" w:space="0"/>
            </w:tcBorders>
            <w:vAlign w:val="center"/>
          </w:tcPr>
          <w:p w14:paraId="24F10E8C">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14:paraId="380454E3">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符合竞争性磋商公告资格要求的供应商</w:t>
            </w:r>
          </w:p>
        </w:tc>
      </w:tr>
      <w:tr w14:paraId="0851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E3BEBC6">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2</w:t>
            </w:r>
          </w:p>
        </w:tc>
        <w:tc>
          <w:tcPr>
            <w:tcW w:w="1901" w:type="dxa"/>
            <w:tcBorders>
              <w:top w:val="single" w:color="auto" w:sz="4" w:space="0"/>
              <w:left w:val="single" w:color="auto" w:sz="4" w:space="0"/>
              <w:bottom w:val="single" w:color="auto" w:sz="4" w:space="0"/>
              <w:right w:val="single" w:color="auto" w:sz="4" w:space="0"/>
            </w:tcBorders>
            <w:vAlign w:val="center"/>
          </w:tcPr>
          <w:p w14:paraId="30E69A9D">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答疑会或</w:t>
            </w:r>
            <w:r>
              <w:rPr>
                <w:rFonts w:hint="eastAsia" w:ascii="宋体" w:hAnsi="宋体" w:cs="Calibri Light"/>
                <w:color w:val="000000" w:themeColor="text1"/>
                <w:sz w:val="24"/>
                <w14:textFill>
                  <w14:solidFill>
                    <w14:schemeClr w14:val="tx1"/>
                  </w14:solidFill>
                </w14:textFill>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14:paraId="54A16605">
            <w:pPr>
              <w:rPr>
                <w:rFonts w:ascii="宋体" w:hAnsi="宋体" w:cs="Calibri Light"/>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本次采购招标不组织现场勘察。</w:t>
            </w:r>
          </w:p>
        </w:tc>
      </w:tr>
      <w:tr w14:paraId="76A0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E520D15">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3</w:t>
            </w:r>
          </w:p>
        </w:tc>
        <w:tc>
          <w:tcPr>
            <w:tcW w:w="1901" w:type="dxa"/>
            <w:tcBorders>
              <w:top w:val="single" w:color="auto" w:sz="4" w:space="0"/>
              <w:left w:val="single" w:color="auto" w:sz="4" w:space="0"/>
              <w:bottom w:val="single" w:color="auto" w:sz="4" w:space="0"/>
              <w:right w:val="single" w:color="auto" w:sz="4" w:space="0"/>
            </w:tcBorders>
            <w:vAlign w:val="center"/>
          </w:tcPr>
          <w:p w14:paraId="6F067958">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14:paraId="155B6A1C">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供应商应先安装“政采云电子交易客户端”，并按照本招标文件和“政府采购云平台”的要求，通过“政采云电子交易客户端”编制并加密投标文件。</w:t>
            </w:r>
          </w:p>
        </w:tc>
      </w:tr>
      <w:tr w14:paraId="2DB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9CFE1A7">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4</w:t>
            </w:r>
          </w:p>
        </w:tc>
        <w:tc>
          <w:tcPr>
            <w:tcW w:w="1901" w:type="dxa"/>
            <w:tcBorders>
              <w:top w:val="single" w:color="auto" w:sz="4" w:space="0"/>
              <w:left w:val="single" w:color="auto" w:sz="4" w:space="0"/>
              <w:bottom w:val="single" w:color="auto" w:sz="4" w:space="0"/>
              <w:right w:val="single" w:color="auto" w:sz="4" w:space="0"/>
            </w:tcBorders>
            <w:vAlign w:val="center"/>
          </w:tcPr>
          <w:p w14:paraId="58AA5D6D">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14:paraId="59CF42EF">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电子签章。</w:t>
            </w:r>
          </w:p>
        </w:tc>
      </w:tr>
      <w:tr w14:paraId="25C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7A769A8">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5</w:t>
            </w:r>
          </w:p>
        </w:tc>
        <w:tc>
          <w:tcPr>
            <w:tcW w:w="1901" w:type="dxa"/>
            <w:tcBorders>
              <w:top w:val="single" w:color="auto" w:sz="4" w:space="0"/>
              <w:left w:val="single" w:color="auto" w:sz="4" w:space="0"/>
              <w:bottom w:val="single" w:color="auto" w:sz="4" w:space="0"/>
              <w:right w:val="single" w:color="auto" w:sz="4" w:space="0"/>
            </w:tcBorders>
            <w:vAlign w:val="center"/>
          </w:tcPr>
          <w:p w14:paraId="3938DF3D">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14:paraId="156AC4EE">
            <w:pPr>
              <w:rPr>
                <w:rFonts w:ascii="宋体" w:hAnsi="宋体" w:cs="宋体"/>
                <w:color w:val="000000" w:themeColor="text1"/>
                <w:sz w:val="24"/>
                <w14:textFill>
                  <w14:solidFill>
                    <w14:schemeClr w14:val="tx1"/>
                  </w14:solidFill>
                </w14:textFill>
              </w:rPr>
            </w:pPr>
            <w:r>
              <w:rPr>
                <w:rFonts w:ascii="Segoe UI Emoji" w:hAnsi="Segoe UI Emoji" w:cs="Segoe UI Emoji"/>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电子投标文件（包括“电子加密投标文件”和“备份投标文件”，在投标文件编制完成后同时生成）；</w:t>
            </w:r>
          </w:p>
          <w:p w14:paraId="40FD2DA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（1）“电子加密投标文件”是指通过“政采云电子交易客户端”完成投标文件编制后生成并加密的数据电文形式的投标文件。</w:t>
            </w:r>
          </w:p>
          <w:p w14:paraId="0418AD9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5855BF06">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szCs w:val="22"/>
                <w14:textFill>
                  <w14:solidFill>
                    <w14:schemeClr w14:val="tx1"/>
                  </w14:solidFill>
                </w14:textFill>
              </w:rPr>
              <w:t>（3）中标供应商中标后需提供纸质投标文件给招标代理机构作为备案存档，纸质投标文件系电子投标文件纸质版，两者内容应一致；数量为：</w:t>
            </w:r>
            <w:r>
              <w:rPr>
                <w:rFonts w:ascii="宋体" w:hAnsi="宋体" w:cs="宋体"/>
                <w:b/>
                <w:bCs/>
                <w:color w:val="000000" w:themeColor="text1"/>
                <w:kern w:val="0"/>
                <w:sz w:val="24"/>
                <w:szCs w:val="22"/>
                <w14:textFill>
                  <w14:solidFill>
                    <w14:schemeClr w14:val="tx1"/>
                  </w14:solidFill>
                </w14:textFill>
              </w:rPr>
              <w:t>2</w:t>
            </w:r>
            <w:r>
              <w:rPr>
                <w:rFonts w:hint="eastAsia" w:ascii="宋体" w:hAnsi="宋体" w:cs="宋体"/>
                <w:b/>
                <w:bCs/>
                <w:color w:val="000000" w:themeColor="text1"/>
                <w:kern w:val="0"/>
                <w:sz w:val="24"/>
                <w:szCs w:val="22"/>
                <w14:textFill>
                  <w14:solidFill>
                    <w14:schemeClr w14:val="tx1"/>
                  </w14:solidFill>
                </w14:textFill>
              </w:rPr>
              <w:t>份。</w:t>
            </w:r>
          </w:p>
        </w:tc>
      </w:tr>
      <w:tr w14:paraId="444C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88BD7BC">
            <w:pPr>
              <w:jc w:val="center"/>
              <w:rPr>
                <w:rFonts w:ascii="宋体" w:hAnsi="宋体" w:cs="Calibri Light"/>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14:paraId="7689C579">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14:paraId="0AB30DA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（1）“电子加密投标文件”：在线上传递交、一份。</w:t>
            </w:r>
          </w:p>
          <w:p w14:paraId="221B6F6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（2）“备份投标文件”：密封包装后于投标截止时间前邮寄至招标代理处、一份。</w:t>
            </w:r>
          </w:p>
        </w:tc>
      </w:tr>
      <w:tr w14:paraId="33D9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52C19DD">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14:paraId="33E27FF9">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14:paraId="7A58C5F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（1）“电子加密投标文件”的上传、递交：</w:t>
            </w:r>
          </w:p>
          <w:p w14:paraId="47E0B2A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a.投标供应商应在投标截止时间前将“电子加密投标文件”成功上传递交至“政府采购云平台”，否则投标无效。</w:t>
            </w:r>
          </w:p>
          <w:p w14:paraId="17F01EB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b.“电子加密投标文件”成功上传递交后，供应商可自行打印投标文件接收回执。</w:t>
            </w:r>
          </w:p>
          <w:p w14:paraId="24ACF1F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“备份投标文件”的密封包装、递交：</w:t>
            </w:r>
          </w:p>
          <w:p w14:paraId="5479FD6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 “备份投标文件”以U盘的形式存储，并密封包装，在包装上标注投标项目名称、投标单位名称并加盖公章。没有密封包装或者（以收到邮件时间为准）逾期邮寄送达至投标地点的将不予接收；</w:t>
            </w:r>
          </w:p>
          <w:p w14:paraId="55E771C1">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415BB26">
            <w:pPr>
              <w:rPr>
                <w:rFonts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邮寄地址：</w:t>
            </w:r>
            <w:r>
              <w:rPr>
                <w:rFonts w:hint="eastAsia" w:ascii="宋体" w:hAnsi="宋体" w:cs="Calibri Light"/>
                <w:b/>
                <w:bCs/>
                <w:color w:val="000000" w:themeColor="text1"/>
                <w:sz w:val="24"/>
                <w:lang w:eastAsia="zh-Hans"/>
                <w14:textFill>
                  <w14:solidFill>
                    <w14:schemeClr w14:val="tx1"/>
                  </w14:solidFill>
                </w14:textFill>
              </w:rPr>
              <w:t>台州市椒江区东环大道</w:t>
            </w:r>
            <w:r>
              <w:rPr>
                <w:rFonts w:ascii="宋体" w:hAnsi="宋体" w:cs="Calibri Light"/>
                <w:b/>
                <w:bCs/>
                <w:color w:val="000000" w:themeColor="text1"/>
                <w:sz w:val="24"/>
                <w:lang w:eastAsia="zh-Hans"/>
                <w14:textFill>
                  <w14:solidFill>
                    <w14:schemeClr w14:val="tx1"/>
                  </w14:solidFill>
                </w14:textFill>
              </w:rPr>
              <w:t>576</w:t>
            </w:r>
            <w:r>
              <w:rPr>
                <w:rFonts w:hint="eastAsia" w:ascii="宋体" w:hAnsi="宋体" w:cs="Calibri Light"/>
                <w:b/>
                <w:bCs/>
                <w:color w:val="000000" w:themeColor="text1"/>
                <w:sz w:val="24"/>
                <w:lang w:eastAsia="zh-Hans"/>
                <w14:textFill>
                  <w14:solidFill>
                    <w14:schemeClr w14:val="tx1"/>
                  </w14:solidFill>
                </w14:textFill>
              </w:rPr>
              <w:t>号二楼</w:t>
            </w:r>
            <w:r>
              <w:rPr>
                <w:rFonts w:hint="eastAsia" w:ascii="宋体" w:hAnsi="宋体" w:cs="Calibri Light"/>
                <w:b/>
                <w:bCs/>
                <w:color w:val="000000" w:themeColor="text1"/>
                <w:sz w:val="24"/>
                <w14:textFill>
                  <w14:solidFill>
                    <w14:schemeClr w14:val="tx1"/>
                  </w14:solidFill>
                </w14:textFill>
              </w:rPr>
              <w:t>（建议</w:t>
            </w:r>
            <w:r>
              <w:rPr>
                <w:rFonts w:ascii="宋体" w:hAnsi="宋体" w:cs="Calibri Light"/>
                <w:b/>
                <w:bCs/>
                <w:color w:val="000000" w:themeColor="text1"/>
                <w:sz w:val="24"/>
                <w14:textFill>
                  <w14:solidFill>
                    <w14:schemeClr w14:val="tx1"/>
                  </w14:solidFill>
                </w14:textFill>
              </w:rPr>
              <w:t>提前一天寄到或送达</w:t>
            </w:r>
            <w:r>
              <w:rPr>
                <w:rFonts w:hint="eastAsia" w:ascii="宋体" w:hAnsi="宋体" w:cs="Calibri Light"/>
                <w:b/>
                <w:bCs/>
                <w:color w:val="000000" w:themeColor="text1"/>
                <w:sz w:val="24"/>
                <w14:textFill>
                  <w14:solidFill>
                    <w14:schemeClr w14:val="tx1"/>
                  </w14:solidFill>
                </w14:textFill>
              </w:rPr>
              <w:t>）</w:t>
            </w:r>
          </w:p>
          <w:p w14:paraId="7C404DFE">
            <w:pPr>
              <w:rPr>
                <w:rFonts w:ascii="宋体" w:hAnsi="宋体" w:cs="Calibri Light"/>
                <w:b/>
                <w:bCs/>
                <w:color w:val="000000" w:themeColor="text1"/>
                <w:sz w:val="24"/>
                <w:lang w:eastAsia="zh-Hans"/>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收件人：金</w:t>
            </w:r>
            <w:r>
              <w:rPr>
                <w:rFonts w:hint="eastAsia" w:ascii="宋体" w:hAnsi="宋体" w:cs="Calibri Light"/>
                <w:b/>
                <w:bCs/>
                <w:color w:val="000000" w:themeColor="text1"/>
                <w:sz w:val="24"/>
                <w:lang w:eastAsia="zh-Hans"/>
                <w14:textFill>
                  <w14:solidFill>
                    <w14:schemeClr w14:val="tx1"/>
                  </w14:solidFill>
                </w14:textFill>
              </w:rPr>
              <w:t>晶</w:t>
            </w:r>
          </w:p>
          <w:p w14:paraId="70365E3B">
            <w:pPr>
              <w:rPr>
                <w:rFonts w:ascii="宋体" w:hAnsi="宋体" w:cs="Calibri Light"/>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联系电话：0576-</w:t>
            </w:r>
            <w:r>
              <w:rPr>
                <w:rFonts w:ascii="宋体" w:hAnsi="宋体" w:cs="Calibri Light"/>
                <w:b/>
                <w:bCs/>
                <w:color w:val="000000" w:themeColor="text1"/>
                <w:sz w:val="24"/>
                <w14:textFill>
                  <w14:solidFill>
                    <w14:schemeClr w14:val="tx1"/>
                  </w14:solidFill>
                </w14:textFill>
              </w:rPr>
              <w:t>88781913</w:t>
            </w:r>
          </w:p>
        </w:tc>
      </w:tr>
      <w:tr w14:paraId="4CD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4B3A0A8">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8</w:t>
            </w:r>
          </w:p>
        </w:tc>
        <w:tc>
          <w:tcPr>
            <w:tcW w:w="1901" w:type="dxa"/>
            <w:tcBorders>
              <w:top w:val="single" w:color="auto" w:sz="4" w:space="0"/>
              <w:left w:val="single" w:color="auto" w:sz="4" w:space="0"/>
              <w:bottom w:val="single" w:color="auto" w:sz="4" w:space="0"/>
              <w:right w:val="single" w:color="auto" w:sz="4" w:space="0"/>
            </w:tcBorders>
            <w:vAlign w:val="center"/>
          </w:tcPr>
          <w:p w14:paraId="4ABBC50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电子加密投标文件的解密和异常情况处理</w:t>
            </w:r>
          </w:p>
          <w:p w14:paraId="4D592CD7">
            <w:pPr>
              <w:jc w:val="center"/>
              <w:rPr>
                <w:rFonts w:ascii="宋体" w:hAnsi="宋体" w:cs="Calibri Light"/>
                <w:color w:val="000000" w:themeColor="text1"/>
                <w:sz w:val="24"/>
                <w14:textFill>
                  <w14:solidFill>
                    <w14:schemeClr w14:val="tx1"/>
                  </w14:solidFill>
                </w14:textFill>
              </w:rPr>
            </w:pPr>
          </w:p>
        </w:tc>
        <w:tc>
          <w:tcPr>
            <w:tcW w:w="6273" w:type="dxa"/>
            <w:tcBorders>
              <w:top w:val="single" w:color="auto" w:sz="4" w:space="0"/>
              <w:left w:val="single" w:color="auto" w:sz="4" w:space="0"/>
              <w:bottom w:val="single" w:color="auto" w:sz="4" w:space="0"/>
              <w:right w:val="single" w:color="auto" w:sz="4" w:space="0"/>
            </w:tcBorders>
            <w:vAlign w:val="center"/>
          </w:tcPr>
          <w:p w14:paraId="0FE0AB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14:paraId="07FC762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211794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（3）投标截止时间前，投标供应商仅递交了“备份投标文件”而未将电子加密投标文件上传至“政府采购云平台”的，投标无效。</w:t>
            </w:r>
          </w:p>
          <w:p w14:paraId="6A193FFD">
            <w:pPr>
              <w:rPr>
                <w:rFonts w:ascii="宋体" w:hAnsi="宋体" w:cs="Calibri Light"/>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注：供应商在使用系统进行投标的过程中遇到涉及平台使用的任何问题，可致电政采云平台技术支持热线咨询，联系方式：95763。</w:t>
            </w:r>
          </w:p>
        </w:tc>
      </w:tr>
      <w:tr w14:paraId="5E19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B15ECBD">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9</w:t>
            </w:r>
          </w:p>
        </w:tc>
        <w:tc>
          <w:tcPr>
            <w:tcW w:w="1901" w:type="dxa"/>
            <w:tcBorders>
              <w:top w:val="single" w:color="auto" w:sz="4" w:space="0"/>
              <w:left w:val="single" w:color="auto" w:sz="4" w:space="0"/>
              <w:bottom w:val="single" w:color="auto" w:sz="4" w:space="0"/>
              <w:right w:val="single" w:color="auto" w:sz="4" w:space="0"/>
            </w:tcBorders>
            <w:vAlign w:val="center"/>
          </w:tcPr>
          <w:p w14:paraId="6DAE661E">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14:paraId="0803E40C">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磋商响应有效期为磋商后90天，磋商响应</w:t>
            </w:r>
            <w:r>
              <w:rPr>
                <w:rFonts w:hint="eastAsia" w:ascii="宋体" w:hAnsi="宋体" w:cs="Calibri Light"/>
                <w:color w:val="000000" w:themeColor="text1"/>
                <w:kern w:val="0"/>
                <w:sz w:val="24"/>
                <w14:textFill>
                  <w14:solidFill>
                    <w14:schemeClr w14:val="tx1"/>
                  </w14:solidFill>
                </w14:textFill>
              </w:rPr>
              <w:t>有效期从提交</w:t>
            </w:r>
            <w:r>
              <w:rPr>
                <w:rFonts w:hint="eastAsia" w:ascii="宋体" w:hAnsi="宋体" w:cs="Calibri Light"/>
                <w:color w:val="000000" w:themeColor="text1"/>
                <w:sz w:val="24"/>
                <w14:textFill>
                  <w14:solidFill>
                    <w14:schemeClr w14:val="tx1"/>
                  </w14:solidFill>
                </w14:textFill>
              </w:rPr>
              <w:t>磋商响应</w:t>
            </w:r>
            <w:r>
              <w:rPr>
                <w:rFonts w:hint="eastAsia" w:ascii="宋体" w:hAnsi="宋体" w:cs="Calibri Light"/>
                <w:color w:val="000000" w:themeColor="text1"/>
                <w:kern w:val="0"/>
                <w:sz w:val="24"/>
                <w14:textFill>
                  <w14:solidFill>
                    <w14:schemeClr w14:val="tx1"/>
                  </w14:solidFill>
                </w14:textFill>
              </w:rPr>
              <w:t>文件的截止之日起算。</w:t>
            </w:r>
          </w:p>
        </w:tc>
      </w:tr>
      <w:tr w14:paraId="08CD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A2DDF6B">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10</w:t>
            </w:r>
          </w:p>
        </w:tc>
        <w:tc>
          <w:tcPr>
            <w:tcW w:w="1901" w:type="dxa"/>
            <w:tcBorders>
              <w:top w:val="single" w:color="auto" w:sz="4" w:space="0"/>
              <w:left w:val="single" w:color="auto" w:sz="4" w:space="0"/>
              <w:bottom w:val="single" w:color="auto" w:sz="4" w:space="0"/>
              <w:right w:val="single" w:color="auto" w:sz="4" w:space="0"/>
            </w:tcBorders>
            <w:vAlign w:val="center"/>
          </w:tcPr>
          <w:p w14:paraId="2891A789">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31E93E27">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详见公告</w:t>
            </w:r>
          </w:p>
        </w:tc>
      </w:tr>
      <w:tr w14:paraId="3F30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5EF9ADD">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11</w:t>
            </w:r>
          </w:p>
        </w:tc>
        <w:tc>
          <w:tcPr>
            <w:tcW w:w="1901" w:type="dxa"/>
            <w:tcBorders>
              <w:top w:val="single" w:color="auto" w:sz="4" w:space="0"/>
              <w:left w:val="single" w:color="auto" w:sz="4" w:space="0"/>
              <w:bottom w:val="single" w:color="auto" w:sz="4" w:space="0"/>
              <w:right w:val="single" w:color="auto" w:sz="4" w:space="0"/>
            </w:tcBorders>
            <w:vAlign w:val="center"/>
          </w:tcPr>
          <w:p w14:paraId="77466BD9">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7363BA69">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详见公告</w:t>
            </w:r>
          </w:p>
        </w:tc>
      </w:tr>
      <w:tr w14:paraId="7BF0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B372F32">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12</w:t>
            </w:r>
          </w:p>
        </w:tc>
        <w:tc>
          <w:tcPr>
            <w:tcW w:w="1901" w:type="dxa"/>
            <w:tcBorders>
              <w:top w:val="single" w:color="auto" w:sz="4" w:space="0"/>
              <w:left w:val="single" w:color="auto" w:sz="4" w:space="0"/>
              <w:bottom w:val="single" w:color="auto" w:sz="4" w:space="0"/>
              <w:right w:val="single" w:color="auto" w:sz="4" w:space="0"/>
            </w:tcBorders>
            <w:vAlign w:val="center"/>
          </w:tcPr>
          <w:p w14:paraId="2BB74951">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14:paraId="5E16F674">
            <w:pPr>
              <w:jc w:val="left"/>
              <w:rPr>
                <w:rFonts w:ascii="宋体" w:hAnsi="宋体" w:cs="Calibri Light"/>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无</w:t>
            </w:r>
          </w:p>
        </w:tc>
      </w:tr>
      <w:tr w14:paraId="4F75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633E685">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13</w:t>
            </w:r>
          </w:p>
        </w:tc>
        <w:tc>
          <w:tcPr>
            <w:tcW w:w="1901" w:type="dxa"/>
            <w:tcBorders>
              <w:top w:val="single" w:color="auto" w:sz="4" w:space="0"/>
              <w:left w:val="single" w:color="auto" w:sz="4" w:space="0"/>
              <w:bottom w:val="single" w:color="auto" w:sz="4" w:space="0"/>
              <w:right w:val="single" w:color="auto" w:sz="4" w:space="0"/>
            </w:tcBorders>
            <w:vAlign w:val="center"/>
          </w:tcPr>
          <w:p w14:paraId="22B7240C">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14:paraId="5893F043">
            <w:pPr>
              <w:pStyle w:val="7"/>
              <w:spacing w:line="360" w:lineRule="auto"/>
              <w:ind w:left="0" w:leftChars="0"/>
              <w:rPr>
                <w:rFonts w:ascii="宋体" w:hAnsi="宋体" w:eastAsia="宋体" w:cs="宋体"/>
                <w:sz w:val="24"/>
                <w:szCs w:val="24"/>
              </w:rPr>
            </w:pPr>
            <w:r>
              <w:rPr>
                <w:rFonts w:hint="eastAsia" w:ascii="宋体" w:hAnsi="宋体" w:eastAsia="宋体" w:cs="宋体"/>
                <w:sz w:val="24"/>
                <w:szCs w:val="24"/>
              </w:rPr>
              <w:t>供应商在签订合同前须交纳本项目履约保证金为合同金额的</w:t>
            </w:r>
            <w:r>
              <w:rPr>
                <w:rFonts w:ascii="宋体" w:hAnsi="宋体" w:eastAsia="宋体" w:cs="宋体"/>
                <w:sz w:val="24"/>
                <w:szCs w:val="24"/>
                <w:u w:val="single"/>
              </w:rPr>
              <w:t>1</w:t>
            </w:r>
            <w:r>
              <w:rPr>
                <w:rFonts w:hint="eastAsia" w:ascii="宋体" w:hAnsi="宋体" w:eastAsia="宋体" w:cs="宋体"/>
                <w:sz w:val="24"/>
                <w:szCs w:val="24"/>
              </w:rPr>
              <w:t>%。</w:t>
            </w:r>
          </w:p>
          <w:p w14:paraId="2E5B2B1E">
            <w:pPr>
              <w:rPr>
                <w:color w:val="000000" w:themeColor="text1"/>
                <w14:textFill>
                  <w14:solidFill>
                    <w14:schemeClr w14:val="tx1"/>
                  </w14:solidFill>
                </w14:textFill>
              </w:rPr>
            </w:pPr>
            <w:r>
              <w:rPr>
                <w:rFonts w:hint="eastAsia" w:ascii="宋体" w:hAnsi="宋体" w:cs="宋体"/>
                <w:sz w:val="24"/>
              </w:rPr>
              <w:t>供应商以电汇、</w:t>
            </w:r>
            <w:r>
              <w:rPr>
                <w:rFonts w:ascii="宋体" w:hAnsi="宋体" w:cs="宋体"/>
                <w:sz w:val="24"/>
              </w:rPr>
              <w:t>转账</w:t>
            </w:r>
            <w:r>
              <w:rPr>
                <w:rFonts w:hint="eastAsia" w:ascii="宋体" w:hAnsi="宋体" w:cs="宋体"/>
                <w:sz w:val="24"/>
              </w:rPr>
              <w:t>、保函等形式提交履约保证金，注明用途为“履约保证金”。</w:t>
            </w:r>
          </w:p>
        </w:tc>
      </w:tr>
      <w:tr w14:paraId="4DEB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9883193">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14</w:t>
            </w:r>
          </w:p>
        </w:tc>
        <w:tc>
          <w:tcPr>
            <w:tcW w:w="1901" w:type="dxa"/>
            <w:tcBorders>
              <w:top w:val="single" w:color="auto" w:sz="4" w:space="0"/>
              <w:left w:val="single" w:color="auto" w:sz="4" w:space="0"/>
              <w:bottom w:val="single" w:color="auto" w:sz="4" w:space="0"/>
              <w:right w:val="single" w:color="auto" w:sz="4" w:space="0"/>
            </w:tcBorders>
            <w:vAlign w:val="center"/>
          </w:tcPr>
          <w:p w14:paraId="46DEC667">
            <w:pPr>
              <w:autoSpaceDE w:val="0"/>
              <w:autoSpaceDN w:val="0"/>
              <w:adjustRightInd w:val="0"/>
              <w:jc w:val="center"/>
              <w:rPr>
                <w:rFonts w:ascii="宋体" w:hAnsi="宋体" w:cs="Calibri Light"/>
                <w:color w:val="000000" w:themeColor="text1"/>
                <w:sz w:val="24"/>
                <w:lang w:val="zh-CN"/>
                <w14:textFill>
                  <w14:solidFill>
                    <w14:schemeClr w14:val="tx1"/>
                  </w14:solidFill>
                </w14:textFill>
              </w:rPr>
            </w:pPr>
            <w:r>
              <w:rPr>
                <w:rFonts w:hint="eastAsia" w:ascii="宋体" w:hAnsi="宋体" w:cs="Calibri Light"/>
                <w:color w:val="000000" w:themeColor="text1"/>
                <w:sz w:val="24"/>
                <w:lang w:val="zh-CN"/>
                <w14:textFill>
                  <w14:solidFill>
                    <w14:schemeClr w14:val="tx1"/>
                  </w14:solidFill>
                </w14:textFill>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14:paraId="65268BA7">
            <w:pPr>
              <w:autoSpaceDE w:val="0"/>
              <w:autoSpaceDN w:val="0"/>
              <w:adjustRightInd w:val="0"/>
              <w:ind w:hanging="39"/>
              <w:jc w:val="left"/>
              <w:rPr>
                <w:rFonts w:ascii="宋体" w:hAnsi="宋体" w:cs="Calibri Light"/>
                <w:color w:val="000000" w:themeColor="text1"/>
                <w:kern w:val="0"/>
                <w:sz w:val="24"/>
                <w:lang w:val="zh-CN"/>
                <w14:textFill>
                  <w14:solidFill>
                    <w14:schemeClr w14:val="tx1"/>
                  </w14:solidFill>
                </w14:textFill>
              </w:rPr>
            </w:pPr>
            <w:r>
              <w:rPr>
                <w:rFonts w:hint="eastAsia" w:ascii="宋体" w:hAnsi="宋体" w:cs="Calibri Light"/>
                <w:color w:val="000000" w:themeColor="text1"/>
                <w:kern w:val="0"/>
                <w:sz w:val="24"/>
                <w:lang w:val="zh-CN"/>
                <w14:textFill>
                  <w14:solidFill>
                    <w14:schemeClr w14:val="tx1"/>
                  </w14:solidFill>
                </w14:textFill>
              </w:rPr>
              <w:t>带“</w:t>
            </w:r>
            <w:r>
              <w:rPr>
                <w:rFonts w:hint="eastAsia" w:ascii="宋体" w:hAnsi="宋体" w:cs="Calibri Light"/>
                <w:bCs/>
                <w:color w:val="000000" w:themeColor="text1"/>
                <w:sz w:val="24"/>
                <w14:textFill>
                  <w14:solidFill>
                    <w14:schemeClr w14:val="tx1"/>
                  </w14:solidFill>
                </w14:textFill>
              </w:rPr>
              <w:t>▲”的条款是实质性条款，磋商</w:t>
            </w:r>
            <w:r>
              <w:rPr>
                <w:rFonts w:hint="eastAsia" w:ascii="宋体" w:hAnsi="宋体" w:cs="Calibri Light"/>
                <w:color w:val="000000" w:themeColor="text1"/>
                <w:sz w:val="24"/>
                <w14:textFill>
                  <w14:solidFill>
                    <w14:schemeClr w14:val="tx1"/>
                  </w14:solidFill>
                </w14:textFill>
              </w:rPr>
              <w:t>响应</w:t>
            </w:r>
            <w:r>
              <w:rPr>
                <w:rFonts w:hint="eastAsia" w:ascii="宋体" w:hAnsi="宋体" w:cs="Calibri Light"/>
                <w:bCs/>
                <w:color w:val="000000" w:themeColor="text1"/>
                <w:sz w:val="24"/>
                <w14:textFill>
                  <w14:solidFill>
                    <w14:schemeClr w14:val="tx1"/>
                  </w14:solidFill>
                </w14:textFill>
              </w:rPr>
              <w:t>文件须作出实质性响应，否则终止磋商。</w:t>
            </w:r>
          </w:p>
        </w:tc>
      </w:tr>
      <w:tr w14:paraId="3117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92233E2">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15</w:t>
            </w:r>
          </w:p>
        </w:tc>
        <w:tc>
          <w:tcPr>
            <w:tcW w:w="1901" w:type="dxa"/>
            <w:tcBorders>
              <w:top w:val="single" w:color="auto" w:sz="4" w:space="0"/>
              <w:left w:val="single" w:color="auto" w:sz="4" w:space="0"/>
              <w:bottom w:val="single" w:color="auto" w:sz="4" w:space="0"/>
              <w:right w:val="single" w:color="auto" w:sz="4" w:space="0"/>
            </w:tcBorders>
            <w:vAlign w:val="center"/>
          </w:tcPr>
          <w:p w14:paraId="6431565C">
            <w:pPr>
              <w:autoSpaceDE w:val="0"/>
              <w:autoSpaceDN w:val="0"/>
              <w:adjustRightInd w:val="0"/>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解释权</w:t>
            </w:r>
          </w:p>
        </w:tc>
        <w:tc>
          <w:tcPr>
            <w:tcW w:w="6273" w:type="dxa"/>
            <w:tcBorders>
              <w:top w:val="single" w:color="auto" w:sz="4" w:space="0"/>
              <w:left w:val="single" w:color="auto" w:sz="4" w:space="0"/>
              <w:bottom w:val="single" w:color="auto" w:sz="4" w:space="0"/>
              <w:right w:val="single" w:color="auto" w:sz="4" w:space="0"/>
            </w:tcBorders>
            <w:vAlign w:val="center"/>
          </w:tcPr>
          <w:p w14:paraId="4B5D2962">
            <w:pPr>
              <w:autoSpaceDE w:val="0"/>
              <w:autoSpaceDN w:val="0"/>
              <w:adjustRightInd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本磋商文件解释权属于采购人和</w:t>
            </w:r>
            <w:r>
              <w:rPr>
                <w:rFonts w:hint="eastAsia" w:ascii="宋体" w:hAnsi="宋体" w:cs="仿宋"/>
                <w:color w:val="000000" w:themeColor="text1"/>
                <w:sz w:val="24"/>
                <w14:textFill>
                  <w14:solidFill>
                    <w14:schemeClr w14:val="tx1"/>
                  </w14:solidFill>
                </w14:textFill>
              </w:rPr>
              <w:t>采购代理机构。</w:t>
            </w:r>
          </w:p>
        </w:tc>
      </w:tr>
      <w:tr w14:paraId="5E9F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5452F9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14:paraId="7FB0BBC4">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14:paraId="21F85AF7">
            <w:pPr>
              <w:spacing w:line="360" w:lineRule="auto"/>
              <w:textAlignment w:val="center"/>
              <w:rPr>
                <w:rFonts w:ascii="宋体" w:hAnsi="宋体" w:cs="宋体"/>
                <w:sz w:val="24"/>
              </w:rPr>
            </w:pPr>
            <w:r>
              <w:rPr>
                <w:rFonts w:hint="eastAsia" w:ascii="宋体" w:hAnsi="宋体" w:cs="宋体"/>
                <w:sz w:val="24"/>
              </w:rPr>
              <w:t>招标代理服务收费采用差额定率累进计费方式，收费标准根据中标金额按照下列表格</w:t>
            </w:r>
            <w:r>
              <w:rPr>
                <w:rFonts w:hint="eastAsia" w:ascii="宋体" w:hAnsi="宋体" w:cs="宋体"/>
                <w:color w:val="000000" w:themeColor="text1"/>
                <w:sz w:val="24"/>
                <w14:textFill>
                  <w14:solidFill>
                    <w14:schemeClr w14:val="tx1"/>
                  </w14:solidFill>
                </w14:textFill>
              </w:rPr>
              <w:t>中</w:t>
            </w:r>
            <w:r>
              <w:rPr>
                <w:rFonts w:hint="eastAsia" w:ascii="宋体" w:hAnsi="宋体" w:cs="宋体"/>
                <w:b/>
                <w:bCs/>
                <w:color w:val="000000" w:themeColor="text1"/>
                <w:sz w:val="24"/>
                <w:u w:val="single"/>
                <w14:textFill>
                  <w14:solidFill>
                    <w14:schemeClr w14:val="tx1"/>
                  </w14:solidFill>
                </w14:textFill>
              </w:rPr>
              <w:t>工程招标</w:t>
            </w:r>
            <w:r>
              <w:rPr>
                <w:rFonts w:hint="eastAsia" w:ascii="宋体" w:hAnsi="宋体" w:cs="宋体"/>
                <w:color w:val="000000" w:themeColor="text1"/>
                <w:sz w:val="24"/>
                <w14:textFill>
                  <w14:solidFill>
                    <w14:schemeClr w14:val="tx1"/>
                  </w14:solidFill>
                </w14:textFill>
              </w:rPr>
              <w:t>类别</w:t>
            </w:r>
            <w:r>
              <w:rPr>
                <w:rFonts w:hint="eastAsia" w:ascii="宋体" w:hAnsi="宋体" w:cs="宋体"/>
                <w:sz w:val="24"/>
              </w:rPr>
              <w:t>费率的50%计算，向中标单位收取招标代理费，该费用中标人须在中标公告发出5日内一次性付清。（户名：浙江五石中正工程咨询有限公司；账号：1202003209900014176；开户银行：中国工商银行杭州潮王路支行），财务联系电话：0571-88271625。</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10"/>
              <w:gridCol w:w="1110"/>
              <w:gridCol w:w="1110"/>
            </w:tblGrid>
            <w:tr w14:paraId="1838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14453C3F">
                  <w:pPr>
                    <w:spacing w:line="360" w:lineRule="auto"/>
                    <w:jc w:val="center"/>
                    <w:rPr>
                      <w:rFonts w:ascii="宋体" w:hAnsi="宋体" w:cs="宋体"/>
                      <w:sz w:val="24"/>
                    </w:rPr>
                  </w:pPr>
                  <w:r>
                    <w:rPr>
                      <w:rFonts w:hint="eastAsia" w:ascii="宋体" w:hAnsi="宋体" w:cs="宋体"/>
                      <w:sz w:val="24"/>
                    </w:rPr>
                    <w:t>服务类型、费率、中标金额（万元）</w:t>
                  </w:r>
                </w:p>
              </w:tc>
              <w:tc>
                <w:tcPr>
                  <w:tcW w:w="1110" w:type="dxa"/>
                  <w:vAlign w:val="center"/>
                </w:tcPr>
                <w:p w14:paraId="41ED5DDB">
                  <w:pPr>
                    <w:spacing w:line="360" w:lineRule="auto"/>
                    <w:jc w:val="center"/>
                    <w:rPr>
                      <w:rFonts w:ascii="宋体" w:hAnsi="宋体" w:cs="宋体"/>
                      <w:sz w:val="24"/>
                    </w:rPr>
                  </w:pPr>
                  <w:r>
                    <w:rPr>
                      <w:rFonts w:hint="eastAsia" w:ascii="宋体" w:hAnsi="宋体" w:cs="宋体"/>
                      <w:sz w:val="24"/>
                    </w:rPr>
                    <w:t>货物招标</w:t>
                  </w:r>
                </w:p>
              </w:tc>
              <w:tc>
                <w:tcPr>
                  <w:tcW w:w="1110" w:type="dxa"/>
                  <w:vAlign w:val="center"/>
                </w:tcPr>
                <w:p w14:paraId="43A39691">
                  <w:pPr>
                    <w:spacing w:line="360" w:lineRule="auto"/>
                    <w:jc w:val="center"/>
                    <w:rPr>
                      <w:rFonts w:ascii="宋体" w:hAnsi="宋体" w:cs="宋体"/>
                      <w:sz w:val="24"/>
                    </w:rPr>
                  </w:pPr>
                  <w:r>
                    <w:rPr>
                      <w:rFonts w:hint="eastAsia" w:ascii="宋体" w:hAnsi="宋体" w:cs="宋体"/>
                      <w:sz w:val="24"/>
                    </w:rPr>
                    <w:t>服务招标</w:t>
                  </w:r>
                </w:p>
              </w:tc>
              <w:tc>
                <w:tcPr>
                  <w:tcW w:w="1110" w:type="dxa"/>
                  <w:vAlign w:val="center"/>
                </w:tcPr>
                <w:p w14:paraId="73A70260">
                  <w:pPr>
                    <w:spacing w:line="360" w:lineRule="auto"/>
                    <w:jc w:val="center"/>
                    <w:rPr>
                      <w:rFonts w:ascii="宋体" w:hAnsi="宋体" w:cs="宋体"/>
                      <w:sz w:val="24"/>
                    </w:rPr>
                  </w:pPr>
                  <w:r>
                    <w:rPr>
                      <w:rFonts w:hint="eastAsia" w:ascii="宋体" w:hAnsi="宋体" w:cs="宋体"/>
                      <w:sz w:val="24"/>
                    </w:rPr>
                    <w:t>工程招标</w:t>
                  </w:r>
                </w:p>
              </w:tc>
            </w:tr>
            <w:tr w14:paraId="2CDD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1E116A42">
                  <w:pPr>
                    <w:spacing w:line="360" w:lineRule="auto"/>
                    <w:jc w:val="center"/>
                    <w:rPr>
                      <w:rFonts w:ascii="宋体" w:hAnsi="宋体" w:cs="宋体"/>
                      <w:sz w:val="24"/>
                    </w:rPr>
                  </w:pPr>
                  <w:r>
                    <w:rPr>
                      <w:rFonts w:hint="eastAsia" w:ascii="宋体" w:hAnsi="宋体" w:cs="宋体"/>
                      <w:sz w:val="24"/>
                    </w:rPr>
                    <w:t>100以下</w:t>
                  </w:r>
                </w:p>
              </w:tc>
              <w:tc>
                <w:tcPr>
                  <w:tcW w:w="1110" w:type="dxa"/>
                  <w:vAlign w:val="center"/>
                </w:tcPr>
                <w:p w14:paraId="7FC573B3">
                  <w:pPr>
                    <w:spacing w:line="360" w:lineRule="auto"/>
                    <w:jc w:val="center"/>
                    <w:rPr>
                      <w:rFonts w:ascii="宋体" w:hAnsi="宋体" w:cs="宋体"/>
                      <w:sz w:val="24"/>
                    </w:rPr>
                  </w:pPr>
                  <w:r>
                    <w:rPr>
                      <w:rFonts w:hint="eastAsia" w:ascii="宋体" w:hAnsi="宋体" w:cs="宋体"/>
                      <w:sz w:val="24"/>
                    </w:rPr>
                    <w:t>1.50%</w:t>
                  </w:r>
                </w:p>
              </w:tc>
              <w:tc>
                <w:tcPr>
                  <w:tcW w:w="1110" w:type="dxa"/>
                  <w:vAlign w:val="center"/>
                </w:tcPr>
                <w:p w14:paraId="4241166A">
                  <w:pPr>
                    <w:spacing w:line="360" w:lineRule="auto"/>
                    <w:jc w:val="center"/>
                    <w:rPr>
                      <w:rFonts w:ascii="宋体" w:hAnsi="宋体" w:cs="宋体"/>
                      <w:sz w:val="24"/>
                    </w:rPr>
                  </w:pPr>
                  <w:r>
                    <w:rPr>
                      <w:rFonts w:hint="eastAsia" w:ascii="宋体" w:hAnsi="宋体" w:cs="宋体"/>
                      <w:sz w:val="24"/>
                    </w:rPr>
                    <w:t>1.50%</w:t>
                  </w:r>
                </w:p>
              </w:tc>
              <w:tc>
                <w:tcPr>
                  <w:tcW w:w="1110" w:type="dxa"/>
                  <w:vAlign w:val="center"/>
                </w:tcPr>
                <w:p w14:paraId="3A3D52A5">
                  <w:pPr>
                    <w:spacing w:line="360" w:lineRule="auto"/>
                    <w:jc w:val="center"/>
                    <w:rPr>
                      <w:rFonts w:ascii="宋体" w:hAnsi="宋体" w:cs="宋体"/>
                      <w:sz w:val="24"/>
                    </w:rPr>
                  </w:pPr>
                  <w:r>
                    <w:rPr>
                      <w:rFonts w:hint="eastAsia" w:ascii="宋体" w:hAnsi="宋体" w:cs="宋体"/>
                      <w:sz w:val="24"/>
                    </w:rPr>
                    <w:t>1.00%</w:t>
                  </w:r>
                </w:p>
              </w:tc>
            </w:tr>
            <w:tr w14:paraId="4A2B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317D2BC0">
                  <w:pPr>
                    <w:spacing w:line="360" w:lineRule="auto"/>
                    <w:jc w:val="center"/>
                    <w:rPr>
                      <w:rFonts w:ascii="宋体" w:hAnsi="宋体" w:cs="宋体"/>
                      <w:sz w:val="24"/>
                    </w:rPr>
                  </w:pPr>
                  <w:r>
                    <w:rPr>
                      <w:rFonts w:hint="eastAsia" w:ascii="宋体" w:hAnsi="宋体" w:cs="宋体"/>
                      <w:sz w:val="24"/>
                    </w:rPr>
                    <w:t>100-500</w:t>
                  </w:r>
                </w:p>
              </w:tc>
              <w:tc>
                <w:tcPr>
                  <w:tcW w:w="1110" w:type="dxa"/>
                  <w:vAlign w:val="center"/>
                </w:tcPr>
                <w:p w14:paraId="27CC9755">
                  <w:pPr>
                    <w:spacing w:line="360" w:lineRule="auto"/>
                    <w:jc w:val="center"/>
                    <w:rPr>
                      <w:rFonts w:ascii="宋体" w:hAnsi="宋体" w:cs="宋体"/>
                      <w:sz w:val="24"/>
                    </w:rPr>
                  </w:pPr>
                  <w:r>
                    <w:rPr>
                      <w:rFonts w:hint="eastAsia" w:ascii="宋体" w:hAnsi="宋体" w:cs="宋体"/>
                      <w:sz w:val="24"/>
                    </w:rPr>
                    <w:t>1.10%</w:t>
                  </w:r>
                </w:p>
              </w:tc>
              <w:tc>
                <w:tcPr>
                  <w:tcW w:w="1110" w:type="dxa"/>
                  <w:vAlign w:val="center"/>
                </w:tcPr>
                <w:p w14:paraId="0EE7B065">
                  <w:pPr>
                    <w:spacing w:line="360" w:lineRule="auto"/>
                    <w:jc w:val="center"/>
                    <w:rPr>
                      <w:rFonts w:ascii="宋体" w:hAnsi="宋体" w:cs="宋体"/>
                      <w:sz w:val="24"/>
                    </w:rPr>
                  </w:pPr>
                  <w:r>
                    <w:rPr>
                      <w:rFonts w:hint="eastAsia" w:ascii="宋体" w:hAnsi="宋体" w:cs="宋体"/>
                      <w:sz w:val="24"/>
                    </w:rPr>
                    <w:t>0.80%</w:t>
                  </w:r>
                </w:p>
              </w:tc>
              <w:tc>
                <w:tcPr>
                  <w:tcW w:w="1110" w:type="dxa"/>
                  <w:vAlign w:val="center"/>
                </w:tcPr>
                <w:p w14:paraId="5C800EE4">
                  <w:pPr>
                    <w:spacing w:line="360" w:lineRule="auto"/>
                    <w:jc w:val="center"/>
                    <w:rPr>
                      <w:rFonts w:ascii="宋体" w:hAnsi="宋体" w:cs="宋体"/>
                      <w:sz w:val="24"/>
                    </w:rPr>
                  </w:pPr>
                  <w:r>
                    <w:rPr>
                      <w:rFonts w:hint="eastAsia" w:ascii="宋体" w:hAnsi="宋体" w:cs="宋体"/>
                      <w:sz w:val="24"/>
                    </w:rPr>
                    <w:t>0.70%</w:t>
                  </w:r>
                </w:p>
              </w:tc>
            </w:tr>
            <w:tr w14:paraId="02C5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07CDDE73">
                  <w:pPr>
                    <w:spacing w:line="360" w:lineRule="auto"/>
                    <w:jc w:val="center"/>
                    <w:rPr>
                      <w:rFonts w:ascii="宋体" w:hAnsi="宋体" w:cs="宋体"/>
                      <w:sz w:val="24"/>
                    </w:rPr>
                  </w:pPr>
                  <w:r>
                    <w:rPr>
                      <w:rFonts w:hint="eastAsia" w:ascii="宋体" w:hAnsi="宋体" w:cs="宋体"/>
                      <w:sz w:val="24"/>
                    </w:rPr>
                    <w:t>500-1000</w:t>
                  </w:r>
                </w:p>
              </w:tc>
              <w:tc>
                <w:tcPr>
                  <w:tcW w:w="1110" w:type="dxa"/>
                  <w:vAlign w:val="center"/>
                </w:tcPr>
                <w:p w14:paraId="11D4B292">
                  <w:pPr>
                    <w:spacing w:line="360" w:lineRule="auto"/>
                    <w:jc w:val="center"/>
                    <w:rPr>
                      <w:rFonts w:ascii="宋体" w:hAnsi="宋体" w:cs="宋体"/>
                      <w:sz w:val="24"/>
                    </w:rPr>
                  </w:pPr>
                  <w:r>
                    <w:rPr>
                      <w:rFonts w:hint="eastAsia" w:ascii="宋体" w:hAnsi="宋体" w:cs="宋体"/>
                      <w:sz w:val="24"/>
                    </w:rPr>
                    <w:t>0.80%</w:t>
                  </w:r>
                </w:p>
              </w:tc>
              <w:tc>
                <w:tcPr>
                  <w:tcW w:w="1110" w:type="dxa"/>
                  <w:vAlign w:val="center"/>
                </w:tcPr>
                <w:p w14:paraId="6EA37AAF">
                  <w:pPr>
                    <w:spacing w:line="360" w:lineRule="auto"/>
                    <w:jc w:val="center"/>
                    <w:rPr>
                      <w:rFonts w:ascii="宋体" w:hAnsi="宋体" w:cs="宋体"/>
                      <w:sz w:val="24"/>
                    </w:rPr>
                  </w:pPr>
                  <w:r>
                    <w:rPr>
                      <w:rFonts w:hint="eastAsia" w:ascii="宋体" w:hAnsi="宋体" w:cs="宋体"/>
                      <w:sz w:val="24"/>
                    </w:rPr>
                    <w:t>0.45%</w:t>
                  </w:r>
                </w:p>
              </w:tc>
              <w:tc>
                <w:tcPr>
                  <w:tcW w:w="1110" w:type="dxa"/>
                  <w:vAlign w:val="center"/>
                </w:tcPr>
                <w:p w14:paraId="74CB18FD">
                  <w:pPr>
                    <w:spacing w:line="360" w:lineRule="auto"/>
                    <w:jc w:val="center"/>
                    <w:rPr>
                      <w:rFonts w:ascii="宋体" w:hAnsi="宋体" w:cs="宋体"/>
                      <w:sz w:val="24"/>
                    </w:rPr>
                  </w:pPr>
                  <w:r>
                    <w:rPr>
                      <w:rFonts w:hint="eastAsia" w:ascii="宋体" w:hAnsi="宋体" w:cs="宋体"/>
                      <w:sz w:val="24"/>
                    </w:rPr>
                    <w:t>0.55%</w:t>
                  </w:r>
                </w:p>
              </w:tc>
            </w:tr>
            <w:tr w14:paraId="667E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05D9CC36">
                  <w:pPr>
                    <w:spacing w:line="360" w:lineRule="auto"/>
                    <w:jc w:val="center"/>
                    <w:rPr>
                      <w:rFonts w:ascii="宋体" w:hAnsi="宋体" w:cs="宋体"/>
                      <w:sz w:val="24"/>
                    </w:rPr>
                  </w:pPr>
                  <w:r>
                    <w:rPr>
                      <w:rFonts w:hint="eastAsia" w:ascii="宋体" w:hAnsi="宋体" w:cs="宋体"/>
                      <w:sz w:val="24"/>
                    </w:rPr>
                    <w:t>1000-5000</w:t>
                  </w:r>
                </w:p>
              </w:tc>
              <w:tc>
                <w:tcPr>
                  <w:tcW w:w="1110" w:type="dxa"/>
                  <w:vAlign w:val="center"/>
                </w:tcPr>
                <w:p w14:paraId="23D55C1A">
                  <w:pPr>
                    <w:spacing w:line="360" w:lineRule="auto"/>
                    <w:jc w:val="center"/>
                    <w:rPr>
                      <w:rFonts w:ascii="宋体" w:hAnsi="宋体" w:cs="宋体"/>
                      <w:sz w:val="24"/>
                    </w:rPr>
                  </w:pPr>
                  <w:r>
                    <w:rPr>
                      <w:rFonts w:hint="eastAsia" w:ascii="宋体" w:hAnsi="宋体" w:cs="宋体"/>
                      <w:sz w:val="24"/>
                    </w:rPr>
                    <w:t>0.50%</w:t>
                  </w:r>
                </w:p>
              </w:tc>
              <w:tc>
                <w:tcPr>
                  <w:tcW w:w="1110" w:type="dxa"/>
                  <w:vAlign w:val="center"/>
                </w:tcPr>
                <w:p w14:paraId="77A51735">
                  <w:pPr>
                    <w:spacing w:line="360" w:lineRule="auto"/>
                    <w:jc w:val="center"/>
                    <w:rPr>
                      <w:rFonts w:ascii="宋体" w:hAnsi="宋体" w:cs="宋体"/>
                      <w:sz w:val="24"/>
                    </w:rPr>
                  </w:pPr>
                  <w:r>
                    <w:rPr>
                      <w:rFonts w:hint="eastAsia" w:ascii="宋体" w:hAnsi="宋体" w:cs="宋体"/>
                      <w:sz w:val="24"/>
                    </w:rPr>
                    <w:t>0.25%</w:t>
                  </w:r>
                </w:p>
              </w:tc>
              <w:tc>
                <w:tcPr>
                  <w:tcW w:w="1110" w:type="dxa"/>
                  <w:vAlign w:val="center"/>
                </w:tcPr>
                <w:p w14:paraId="76806DD4">
                  <w:pPr>
                    <w:spacing w:line="360" w:lineRule="auto"/>
                    <w:jc w:val="center"/>
                    <w:rPr>
                      <w:rFonts w:ascii="宋体" w:hAnsi="宋体" w:cs="宋体"/>
                      <w:sz w:val="24"/>
                    </w:rPr>
                  </w:pPr>
                  <w:r>
                    <w:rPr>
                      <w:rFonts w:hint="eastAsia" w:ascii="宋体" w:hAnsi="宋体" w:cs="宋体"/>
                      <w:sz w:val="24"/>
                    </w:rPr>
                    <w:t>0.35%</w:t>
                  </w:r>
                </w:p>
              </w:tc>
            </w:tr>
            <w:tr w14:paraId="60BE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4366E157">
                  <w:pPr>
                    <w:spacing w:line="360" w:lineRule="auto"/>
                    <w:jc w:val="center"/>
                    <w:rPr>
                      <w:rFonts w:ascii="宋体" w:hAnsi="宋体" w:cs="宋体"/>
                      <w:sz w:val="24"/>
                    </w:rPr>
                  </w:pPr>
                  <w:r>
                    <w:rPr>
                      <w:rFonts w:hint="eastAsia" w:ascii="宋体" w:hAnsi="宋体" w:cs="宋体"/>
                      <w:sz w:val="24"/>
                    </w:rPr>
                    <w:t>5000-10000</w:t>
                  </w:r>
                </w:p>
              </w:tc>
              <w:tc>
                <w:tcPr>
                  <w:tcW w:w="1110" w:type="dxa"/>
                  <w:vAlign w:val="center"/>
                </w:tcPr>
                <w:p w14:paraId="043FF627">
                  <w:pPr>
                    <w:spacing w:line="360" w:lineRule="auto"/>
                    <w:jc w:val="center"/>
                    <w:rPr>
                      <w:rFonts w:ascii="宋体" w:hAnsi="宋体" w:cs="宋体"/>
                      <w:sz w:val="24"/>
                    </w:rPr>
                  </w:pPr>
                  <w:r>
                    <w:rPr>
                      <w:rFonts w:hint="eastAsia" w:ascii="宋体" w:hAnsi="宋体" w:cs="宋体"/>
                      <w:sz w:val="24"/>
                    </w:rPr>
                    <w:t>0.25%</w:t>
                  </w:r>
                </w:p>
              </w:tc>
              <w:tc>
                <w:tcPr>
                  <w:tcW w:w="1110" w:type="dxa"/>
                  <w:vAlign w:val="center"/>
                </w:tcPr>
                <w:p w14:paraId="153F17BD">
                  <w:pPr>
                    <w:spacing w:line="360" w:lineRule="auto"/>
                    <w:jc w:val="center"/>
                    <w:rPr>
                      <w:rFonts w:ascii="宋体" w:hAnsi="宋体" w:cs="宋体"/>
                      <w:sz w:val="24"/>
                    </w:rPr>
                  </w:pPr>
                  <w:r>
                    <w:rPr>
                      <w:rFonts w:hint="eastAsia" w:ascii="宋体" w:hAnsi="宋体" w:cs="宋体"/>
                      <w:sz w:val="24"/>
                    </w:rPr>
                    <w:t>0.10%</w:t>
                  </w:r>
                </w:p>
              </w:tc>
              <w:tc>
                <w:tcPr>
                  <w:tcW w:w="1110" w:type="dxa"/>
                  <w:vAlign w:val="center"/>
                </w:tcPr>
                <w:p w14:paraId="0AE2F2BB">
                  <w:pPr>
                    <w:spacing w:line="360" w:lineRule="auto"/>
                    <w:jc w:val="center"/>
                    <w:rPr>
                      <w:rFonts w:ascii="宋体" w:hAnsi="宋体" w:cs="宋体"/>
                      <w:sz w:val="24"/>
                    </w:rPr>
                  </w:pPr>
                  <w:r>
                    <w:rPr>
                      <w:rFonts w:hint="eastAsia" w:ascii="宋体" w:hAnsi="宋体" w:cs="宋体"/>
                      <w:sz w:val="24"/>
                    </w:rPr>
                    <w:t>0.20%</w:t>
                  </w:r>
                </w:p>
              </w:tc>
            </w:tr>
            <w:tr w14:paraId="7DD8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0F1D9415">
                  <w:pPr>
                    <w:spacing w:line="360" w:lineRule="auto"/>
                    <w:jc w:val="center"/>
                    <w:rPr>
                      <w:rFonts w:ascii="宋体" w:hAnsi="宋体" w:cs="宋体"/>
                      <w:sz w:val="24"/>
                    </w:rPr>
                  </w:pPr>
                  <w:r>
                    <w:rPr>
                      <w:rFonts w:hint="eastAsia" w:ascii="宋体" w:hAnsi="宋体" w:cs="宋体"/>
                      <w:sz w:val="24"/>
                    </w:rPr>
                    <w:t>10000-100000</w:t>
                  </w:r>
                </w:p>
              </w:tc>
              <w:tc>
                <w:tcPr>
                  <w:tcW w:w="1110" w:type="dxa"/>
                  <w:vAlign w:val="center"/>
                </w:tcPr>
                <w:p w14:paraId="43E54B39">
                  <w:pPr>
                    <w:spacing w:line="360" w:lineRule="auto"/>
                    <w:jc w:val="center"/>
                    <w:rPr>
                      <w:rFonts w:ascii="宋体" w:hAnsi="宋体" w:cs="宋体"/>
                      <w:sz w:val="24"/>
                    </w:rPr>
                  </w:pPr>
                  <w:r>
                    <w:rPr>
                      <w:rFonts w:hint="eastAsia" w:ascii="宋体" w:hAnsi="宋体" w:cs="宋体"/>
                      <w:sz w:val="24"/>
                    </w:rPr>
                    <w:t>0.05%</w:t>
                  </w:r>
                </w:p>
              </w:tc>
              <w:tc>
                <w:tcPr>
                  <w:tcW w:w="1110" w:type="dxa"/>
                  <w:vAlign w:val="center"/>
                </w:tcPr>
                <w:p w14:paraId="4353ADD4">
                  <w:pPr>
                    <w:spacing w:line="360" w:lineRule="auto"/>
                    <w:jc w:val="center"/>
                    <w:rPr>
                      <w:rFonts w:ascii="宋体" w:hAnsi="宋体" w:cs="宋体"/>
                      <w:sz w:val="24"/>
                    </w:rPr>
                  </w:pPr>
                  <w:r>
                    <w:rPr>
                      <w:rFonts w:hint="eastAsia" w:ascii="宋体" w:hAnsi="宋体" w:cs="宋体"/>
                      <w:sz w:val="24"/>
                    </w:rPr>
                    <w:t>0.05%</w:t>
                  </w:r>
                </w:p>
              </w:tc>
              <w:tc>
                <w:tcPr>
                  <w:tcW w:w="1110" w:type="dxa"/>
                  <w:vAlign w:val="center"/>
                </w:tcPr>
                <w:p w14:paraId="4C307B62">
                  <w:pPr>
                    <w:spacing w:line="360" w:lineRule="auto"/>
                    <w:jc w:val="center"/>
                    <w:rPr>
                      <w:rFonts w:ascii="宋体" w:hAnsi="宋体" w:cs="宋体"/>
                      <w:sz w:val="24"/>
                    </w:rPr>
                  </w:pPr>
                  <w:r>
                    <w:rPr>
                      <w:rFonts w:hint="eastAsia" w:ascii="宋体" w:hAnsi="宋体" w:cs="宋体"/>
                      <w:sz w:val="24"/>
                    </w:rPr>
                    <w:t>0.05%</w:t>
                  </w:r>
                </w:p>
              </w:tc>
            </w:tr>
            <w:tr w14:paraId="5334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44" w:type="dxa"/>
                  <w:vAlign w:val="center"/>
                </w:tcPr>
                <w:p w14:paraId="5C0A91B9">
                  <w:pPr>
                    <w:spacing w:line="360" w:lineRule="auto"/>
                    <w:jc w:val="center"/>
                    <w:rPr>
                      <w:rFonts w:ascii="宋体" w:hAnsi="宋体" w:cs="宋体"/>
                      <w:sz w:val="24"/>
                    </w:rPr>
                  </w:pPr>
                  <w:r>
                    <w:rPr>
                      <w:rFonts w:hint="eastAsia" w:ascii="宋体" w:hAnsi="宋体" w:cs="宋体"/>
                      <w:sz w:val="24"/>
                    </w:rPr>
                    <w:t>100000以上</w:t>
                  </w:r>
                </w:p>
              </w:tc>
              <w:tc>
                <w:tcPr>
                  <w:tcW w:w="1110" w:type="dxa"/>
                  <w:vAlign w:val="center"/>
                </w:tcPr>
                <w:p w14:paraId="54EF18CB">
                  <w:pPr>
                    <w:spacing w:line="360" w:lineRule="auto"/>
                    <w:jc w:val="center"/>
                    <w:rPr>
                      <w:rFonts w:ascii="宋体" w:hAnsi="宋体" w:cs="宋体"/>
                      <w:sz w:val="24"/>
                    </w:rPr>
                  </w:pPr>
                  <w:r>
                    <w:rPr>
                      <w:rFonts w:hint="eastAsia" w:ascii="宋体" w:hAnsi="宋体" w:cs="宋体"/>
                      <w:sz w:val="24"/>
                    </w:rPr>
                    <w:t>0.01%</w:t>
                  </w:r>
                </w:p>
              </w:tc>
              <w:tc>
                <w:tcPr>
                  <w:tcW w:w="1110" w:type="dxa"/>
                  <w:vAlign w:val="center"/>
                </w:tcPr>
                <w:p w14:paraId="325FBCA9">
                  <w:pPr>
                    <w:spacing w:line="360" w:lineRule="auto"/>
                    <w:jc w:val="center"/>
                    <w:rPr>
                      <w:rFonts w:ascii="宋体" w:hAnsi="宋体" w:cs="宋体"/>
                      <w:sz w:val="24"/>
                    </w:rPr>
                  </w:pPr>
                  <w:r>
                    <w:rPr>
                      <w:rFonts w:hint="eastAsia" w:ascii="宋体" w:hAnsi="宋体" w:cs="宋体"/>
                      <w:sz w:val="24"/>
                    </w:rPr>
                    <w:t>0.01%</w:t>
                  </w:r>
                </w:p>
              </w:tc>
              <w:tc>
                <w:tcPr>
                  <w:tcW w:w="1110" w:type="dxa"/>
                  <w:vAlign w:val="center"/>
                </w:tcPr>
                <w:p w14:paraId="3C11CCD2">
                  <w:pPr>
                    <w:spacing w:line="360" w:lineRule="auto"/>
                    <w:jc w:val="center"/>
                    <w:rPr>
                      <w:rFonts w:ascii="宋体" w:hAnsi="宋体" w:cs="宋体"/>
                      <w:sz w:val="24"/>
                    </w:rPr>
                  </w:pPr>
                  <w:r>
                    <w:rPr>
                      <w:rFonts w:hint="eastAsia" w:ascii="宋体" w:hAnsi="宋体" w:cs="宋体"/>
                      <w:sz w:val="24"/>
                    </w:rPr>
                    <w:t>0.01%</w:t>
                  </w:r>
                </w:p>
              </w:tc>
            </w:tr>
          </w:tbl>
          <w:p w14:paraId="32B8FC9C">
            <w:pPr>
              <w:autoSpaceDE w:val="0"/>
              <w:autoSpaceDN w:val="0"/>
              <w:adjustRightInd w:val="0"/>
              <w:rPr>
                <w:rFonts w:ascii="宋体" w:hAnsi="宋体" w:cs="宋体"/>
                <w:color w:val="000000" w:themeColor="text1"/>
                <w:sz w:val="24"/>
                <w14:textFill>
                  <w14:solidFill>
                    <w14:schemeClr w14:val="tx1"/>
                  </w14:solidFill>
                </w14:textFill>
              </w:rPr>
            </w:pPr>
          </w:p>
        </w:tc>
      </w:tr>
      <w:tr w14:paraId="5F2B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BB83C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14:paraId="508FA15D">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r>
              <w:rPr>
                <w:rFonts w:ascii="宋体" w:hAnsi="宋体" w:cs="宋体"/>
                <w:color w:val="000000" w:themeColor="text1"/>
                <w:sz w:val="24"/>
                <w14:textFill>
                  <w14:solidFill>
                    <w14:schemeClr w14:val="tx1"/>
                  </w14:solidFill>
                </w14:textFill>
              </w:rPr>
              <w:t>事项</w:t>
            </w:r>
          </w:p>
        </w:tc>
        <w:tc>
          <w:tcPr>
            <w:tcW w:w="6273" w:type="dxa"/>
            <w:tcBorders>
              <w:top w:val="single" w:color="auto" w:sz="4" w:space="0"/>
              <w:left w:val="single" w:color="auto" w:sz="4" w:space="0"/>
              <w:bottom w:val="single" w:color="auto" w:sz="4" w:space="0"/>
              <w:right w:val="single" w:color="auto" w:sz="4" w:space="0"/>
            </w:tcBorders>
            <w:vAlign w:val="center"/>
          </w:tcPr>
          <w:p w14:paraId="2C945193">
            <w:pPr>
              <w:autoSpaceDE w:val="0"/>
              <w:autoSpaceDN w:val="0"/>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14:paraId="3085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87AEC5D">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18</w:t>
            </w:r>
          </w:p>
        </w:tc>
        <w:tc>
          <w:tcPr>
            <w:tcW w:w="1901" w:type="dxa"/>
            <w:tcBorders>
              <w:top w:val="single" w:color="auto" w:sz="4" w:space="0"/>
              <w:left w:val="single" w:color="auto" w:sz="4" w:space="0"/>
              <w:bottom w:val="single" w:color="auto" w:sz="4" w:space="0"/>
              <w:right w:val="single" w:color="auto" w:sz="4" w:space="0"/>
            </w:tcBorders>
            <w:vAlign w:val="center"/>
          </w:tcPr>
          <w:p w14:paraId="31ED06F2">
            <w:pPr>
              <w:autoSpaceDE w:val="0"/>
              <w:autoSpaceDN w:val="0"/>
              <w:adjustRightInd w:val="0"/>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所属行业</w:t>
            </w:r>
          </w:p>
        </w:tc>
        <w:tc>
          <w:tcPr>
            <w:tcW w:w="6273" w:type="dxa"/>
            <w:tcBorders>
              <w:top w:val="single" w:color="auto" w:sz="4" w:space="0"/>
              <w:left w:val="single" w:color="auto" w:sz="4" w:space="0"/>
              <w:bottom w:val="single" w:color="auto" w:sz="4" w:space="0"/>
              <w:right w:val="single" w:color="auto" w:sz="4" w:space="0"/>
            </w:tcBorders>
            <w:vAlign w:val="center"/>
          </w:tcPr>
          <w:p w14:paraId="6C3AD333">
            <w:pPr>
              <w:autoSpaceDE w:val="0"/>
              <w:autoSpaceDN w:val="0"/>
              <w:adjustRightInd w:val="0"/>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建筑业</w:t>
            </w:r>
          </w:p>
        </w:tc>
      </w:tr>
    </w:tbl>
    <w:p w14:paraId="45CDDBAD">
      <w:pPr>
        <w:pStyle w:val="6"/>
        <w:snapToGrid w:val="0"/>
        <w:spacing w:before="120" w:after="120" w:line="360" w:lineRule="auto"/>
        <w:jc w:val="left"/>
        <w:rPr>
          <w:rFonts w:ascii="宋体" w:hAnsi="宋体" w:eastAsia="宋体"/>
          <w:b/>
          <w:color w:val="000000" w:themeColor="text1"/>
          <w:sz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56AB947">
      <w:pPr>
        <w:pStyle w:val="6"/>
        <w:snapToGrid w:val="0"/>
        <w:spacing w:before="120" w:after="120" w:line="360" w:lineRule="auto"/>
        <w:jc w:val="left"/>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一 、总  则</w:t>
      </w:r>
    </w:p>
    <w:p w14:paraId="2612568A">
      <w:pPr>
        <w:pStyle w:val="6"/>
        <w:snapToGrid w:val="0"/>
        <w:spacing w:before="120" w:after="120" w:line="360" w:lineRule="auto"/>
        <w:ind w:firstLine="361" w:firstLineChars="150"/>
        <w:jc w:val="left"/>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（一）</w:t>
      </w:r>
      <w:r>
        <w:rPr>
          <w:rFonts w:ascii="宋体" w:hAnsi="宋体" w:eastAsia="宋体"/>
          <w:b/>
          <w:color w:val="000000" w:themeColor="text1"/>
          <w:sz w:val="24"/>
          <w14:textFill>
            <w14:solidFill>
              <w14:schemeClr w14:val="tx1"/>
            </w14:solidFill>
          </w14:textFill>
        </w:rPr>
        <w:t xml:space="preserve"> 适用范围</w:t>
      </w:r>
    </w:p>
    <w:p w14:paraId="0FE35A71">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项目的磋商、</w:t>
      </w:r>
      <w:r>
        <w:rPr>
          <w:rFonts w:hint="eastAsia" w:ascii="宋体" w:hAnsi="宋体"/>
          <w:bCs/>
          <w:color w:val="000000" w:themeColor="text1"/>
          <w:sz w:val="24"/>
          <w14:textFill>
            <w14:solidFill>
              <w14:schemeClr w14:val="tx1"/>
            </w14:solidFill>
          </w14:textFill>
        </w:rPr>
        <w:t>评审、确定成交供应商</w:t>
      </w:r>
      <w:r>
        <w:rPr>
          <w:rFonts w:hint="eastAsia" w:ascii="宋体" w:hAnsi="宋体"/>
          <w:color w:val="000000" w:themeColor="text1"/>
          <w:sz w:val="24"/>
          <w14:textFill>
            <w14:solidFill>
              <w14:schemeClr w14:val="tx1"/>
            </w14:solidFill>
          </w14:textFill>
        </w:rPr>
        <w:t>、验收、合同履约、付款等行为（法律、法规另有规定的，从其规定）。</w:t>
      </w:r>
    </w:p>
    <w:p w14:paraId="1ACB9364">
      <w:pPr>
        <w:snapToGrid w:val="0"/>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14:paraId="0318CC64">
      <w:pPr>
        <w:pStyle w:val="8"/>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宋体" w:hAnsi="宋体" w:eastAsia="宋体"/>
          <w:b w:val="0"/>
          <w:bCs w:val="0"/>
          <w:color w:val="000000" w:themeColor="text1"/>
          <w:sz w:val="24"/>
          <w:szCs w:val="24"/>
          <w:lang w:val="zh-CN"/>
          <w14:textFill>
            <w14:solidFill>
              <w14:schemeClr w14:val="tx1"/>
            </w14:solidFill>
          </w14:textFill>
        </w:rPr>
        <w:t>“采购组织机构”指采购人委托组织磋商的集中采购机构或采购代理机构。</w:t>
      </w:r>
    </w:p>
    <w:p w14:paraId="642B6BB7">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14:paraId="47C5B46A">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3、磋商供应商：是指向</w:t>
      </w:r>
      <w:r>
        <w:rPr>
          <w:rFonts w:hint="eastAsia" w:ascii="宋体" w:hAnsi="宋体"/>
          <w:color w:val="000000" w:themeColor="text1"/>
          <w:sz w:val="24"/>
          <w:lang w:val="zh-CN"/>
          <w14:textFill>
            <w14:solidFill>
              <w14:schemeClr w14:val="tx1"/>
            </w14:solidFill>
          </w14:textFill>
        </w:rPr>
        <w:t>采购组织机构</w:t>
      </w:r>
      <w:r>
        <w:rPr>
          <w:rFonts w:hint="eastAsia" w:ascii="宋体" w:hAnsi="宋体"/>
          <w:color w:val="000000" w:themeColor="text1"/>
          <w:sz w:val="24"/>
          <w14:textFill>
            <w14:solidFill>
              <w14:schemeClr w14:val="tx1"/>
            </w14:solidFill>
          </w14:textFill>
        </w:rPr>
        <w:t>提交磋商响应文件的单位或个人。</w:t>
      </w:r>
    </w:p>
    <w:p w14:paraId="74578108">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4、货物：是指各种形态和种类的物品，包括原材料、燃料、设备、产品等。</w:t>
      </w:r>
    </w:p>
    <w:p w14:paraId="33636BCE">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5、服务：是指除货物和工程以外的政府采购</w:t>
      </w:r>
      <w:r>
        <w:rPr>
          <w:rFonts w:ascii="宋体" w:hAnsi="宋体"/>
          <w:color w:val="000000" w:themeColor="text1"/>
          <w:sz w:val="24"/>
          <w14:textFill>
            <w14:solidFill>
              <w14:schemeClr w14:val="tx1"/>
            </w14:solidFill>
          </w14:textFill>
        </w:rPr>
        <w:t>对象，包括各类专业服务、信息网络开发服务、金融保险服务、运输服务，以及维修与维护服务等。</w:t>
      </w:r>
    </w:p>
    <w:p w14:paraId="2D11A210">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14:paraId="215999D1">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“▲”系指实质性要求条款。</w:t>
      </w:r>
    </w:p>
    <w:p w14:paraId="70493FF1">
      <w:pPr>
        <w:snapToGrid w:val="0"/>
        <w:spacing w:before="156" w:beforeLines="50"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（三）磋商费用</w:t>
      </w:r>
    </w:p>
    <w:p w14:paraId="59901BFF">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不论磋商结果如何，供应商均应自行承担所有与磋商有关的全部费用（</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有相关规定除外）。</w:t>
      </w:r>
    </w:p>
    <w:p w14:paraId="2E303090">
      <w:pPr>
        <w:pStyle w:val="6"/>
        <w:snapToGrid w:val="0"/>
        <w:spacing w:line="360" w:lineRule="auto"/>
        <w:ind w:left="2" w:leftChars="1" w:firstLine="482" w:firstLineChars="200"/>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（四）特别说明</w:t>
      </w:r>
    </w:p>
    <w:p w14:paraId="4D9E6014">
      <w:pPr>
        <w:pStyle w:val="6"/>
        <w:snapToGrid w:val="0"/>
        <w:spacing w:line="360" w:lineRule="auto"/>
        <w:ind w:left="2" w:leftChars="1"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1、供应商</w:t>
      </w:r>
      <w:r>
        <w:rPr>
          <w:rFonts w:ascii="宋体" w:hAnsi="宋体" w:eastAsia="宋体"/>
          <w:color w:val="000000" w:themeColor="text1"/>
          <w:sz w:val="24"/>
          <w14:textFill>
            <w14:solidFill>
              <w14:schemeClr w14:val="tx1"/>
            </w14:solidFill>
          </w14:textFill>
        </w:rPr>
        <w:t>磋商所使用的资格、信誉、荣誉、业绩与企业认证必须为本法人所拥有。</w:t>
      </w:r>
      <w:r>
        <w:rPr>
          <w:rFonts w:hint="eastAsia" w:ascii="宋体" w:hAnsi="宋体" w:eastAsia="宋体"/>
          <w:color w:val="000000" w:themeColor="text1"/>
          <w:sz w:val="24"/>
          <w14:textFill>
            <w14:solidFill>
              <w14:schemeClr w14:val="tx1"/>
            </w14:solidFill>
          </w14:textFill>
        </w:rPr>
        <w:t>供应商</w:t>
      </w:r>
      <w:r>
        <w:rPr>
          <w:rFonts w:ascii="宋体" w:hAnsi="宋体" w:eastAsia="宋体"/>
          <w:color w:val="000000" w:themeColor="text1"/>
          <w:sz w:val="24"/>
          <w14:textFill>
            <w14:solidFill>
              <w14:schemeClr w14:val="tx1"/>
            </w14:solidFill>
          </w14:textFill>
        </w:rPr>
        <w:t>磋商所使用的采购项目实施人员必须为本法人员工（</w:t>
      </w:r>
      <w:r>
        <w:rPr>
          <w:rFonts w:hint="eastAsia" w:ascii="宋体" w:hAnsi="宋体" w:eastAsia="宋体"/>
          <w:color w:val="000000" w:themeColor="text1"/>
          <w:sz w:val="24"/>
          <w14:textFill>
            <w14:solidFill>
              <w14:schemeClr w14:val="tx1"/>
            </w14:solidFill>
          </w14:textFill>
        </w:rPr>
        <w:t>指</w:t>
      </w:r>
      <w:r>
        <w:rPr>
          <w:rFonts w:ascii="宋体" w:hAnsi="宋体" w:eastAsia="宋体"/>
          <w:color w:val="000000" w:themeColor="text1"/>
          <w:sz w:val="24"/>
          <w14:textFill>
            <w14:solidFill>
              <w14:schemeClr w14:val="tx1"/>
            </w14:solidFill>
          </w14:textFill>
        </w:rPr>
        <w:t>必须为本法人或控股公司正式员工）。</w:t>
      </w:r>
    </w:p>
    <w:p w14:paraId="0E86EE0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2、供应商所标产品除</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中明确规定要求“提供官网截图或相应检测报告的证明材料”以外，所有技术参数描述均以磋商响应文件为准。</w:t>
      </w:r>
      <w:r>
        <w:rPr>
          <w:rFonts w:hint="eastAsia" w:ascii="宋体" w:hAnsi="宋体"/>
          <w:b/>
          <w:color w:val="000000" w:themeColor="text1"/>
          <w:sz w:val="24"/>
          <w14:textFill>
            <w14:solidFill>
              <w14:schemeClr w14:val="tx1"/>
            </w14:solidFill>
          </w14:textFill>
        </w:rPr>
        <w:t>磋商供应商对所标产品技术参数的真实性承担法律责任。</w:t>
      </w:r>
      <w:r>
        <w:rPr>
          <w:rFonts w:hint="eastAsia" w:ascii="宋体" w:hAnsi="宋体"/>
          <w:color w:val="000000" w:themeColor="text1"/>
          <w:sz w:val="24"/>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000000" w:themeColor="text1"/>
          <w:sz w:val="24"/>
          <w14:textFill>
            <w14:solidFill>
              <w14:schemeClr w14:val="tx1"/>
            </w14:solidFill>
          </w14:textFill>
        </w:rPr>
        <w:tab/>
      </w:r>
    </w:p>
    <w:p w14:paraId="672698E3">
      <w:pPr>
        <w:pStyle w:val="44"/>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w:t>
      </w:r>
      <w:r>
        <w:rPr>
          <w:rFonts w:ascii="宋体" w:hAnsi="宋体" w:eastAsia="宋体"/>
          <w:color w:val="000000" w:themeColor="text1"/>
          <w:sz w:val="24"/>
          <w:szCs w:val="24"/>
          <w14:textFill>
            <w14:solidFill>
              <w14:schemeClr w14:val="tx1"/>
            </w14:solidFill>
          </w14:textFill>
        </w:rPr>
        <w:t>在</w:t>
      </w:r>
      <w:r>
        <w:rPr>
          <w:rFonts w:hint="eastAsia" w:ascii="宋体" w:hAnsi="宋体" w:eastAsia="宋体"/>
          <w:bCs/>
          <w:color w:val="000000" w:themeColor="text1"/>
          <w:sz w:val="24"/>
          <w:szCs w:val="24"/>
          <w14:textFill>
            <w14:solidFill>
              <w14:schemeClr w14:val="tx1"/>
            </w14:solidFill>
          </w14:textFill>
        </w:rPr>
        <w:t>磋商</w:t>
      </w:r>
      <w:r>
        <w:rPr>
          <w:rFonts w:ascii="宋体" w:hAnsi="宋体" w:eastAsia="宋体"/>
          <w:color w:val="000000" w:themeColor="text1"/>
          <w:sz w:val="24"/>
          <w:szCs w:val="24"/>
          <w14:textFill>
            <w14:solidFill>
              <w14:schemeClr w14:val="tx1"/>
            </w14:solidFill>
          </w14:textFill>
        </w:rPr>
        <w:t>活动中提供任何虚假材料</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其</w:t>
      </w:r>
      <w:r>
        <w:rPr>
          <w:rFonts w:hint="eastAsia" w:ascii="宋体" w:hAnsi="宋体" w:eastAsia="宋体"/>
          <w:color w:val="000000" w:themeColor="text1"/>
          <w:sz w:val="24"/>
          <w:szCs w:val="24"/>
          <w14:textFill>
            <w14:solidFill>
              <w14:schemeClr w14:val="tx1"/>
            </w14:solidFill>
          </w14:textFill>
        </w:rPr>
        <w:t>响应</w:t>
      </w:r>
      <w:r>
        <w:rPr>
          <w:rFonts w:ascii="宋体" w:hAnsi="宋体" w:eastAsia="宋体"/>
          <w:color w:val="000000" w:themeColor="text1"/>
          <w:sz w:val="24"/>
          <w:szCs w:val="24"/>
          <w14:textFill>
            <w14:solidFill>
              <w14:schemeClr w14:val="tx1"/>
            </w14:solidFill>
          </w14:textFill>
        </w:rPr>
        <w:t>无效，并报监管部门查处；</w:t>
      </w:r>
      <w:r>
        <w:rPr>
          <w:rFonts w:hint="eastAsia" w:ascii="宋体" w:hAnsi="宋体" w:eastAsia="宋体"/>
          <w:color w:val="000000" w:themeColor="text1"/>
          <w:sz w:val="24"/>
          <w:szCs w:val="24"/>
          <w14:textFill>
            <w14:solidFill>
              <w14:schemeClr w14:val="tx1"/>
            </w14:solidFill>
          </w14:textFill>
        </w:rPr>
        <w:t>成交</w:t>
      </w:r>
      <w:r>
        <w:rPr>
          <w:rFonts w:ascii="宋体" w:hAnsi="宋体" w:eastAsia="宋体"/>
          <w:color w:val="000000" w:themeColor="text1"/>
          <w:sz w:val="24"/>
          <w:szCs w:val="24"/>
          <w14:textFill>
            <w14:solidFill>
              <w14:schemeClr w14:val="tx1"/>
            </w14:solidFill>
          </w14:textFill>
        </w:rPr>
        <w:t>后发现的,成交人须依照根据《中华人民共和国政府采购法》第七十七条第一款第一项之规定</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000000" w:themeColor="text1"/>
          <w:sz w:val="24"/>
          <w:szCs w:val="24"/>
          <w14:textFill>
            <w14:solidFill>
              <w14:schemeClr w14:val="tx1"/>
            </w14:solidFill>
          </w14:textFill>
        </w:rPr>
        <w:t>。</w:t>
      </w:r>
    </w:p>
    <w:p w14:paraId="11A4780C">
      <w:pPr>
        <w:pStyle w:val="44"/>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67F06137">
      <w:pPr>
        <w:pStyle w:val="44"/>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14:paraId="2600FC1B">
      <w:pPr>
        <w:pStyle w:val="44"/>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6、磋商响应文件格式中的表格式样可以根据项目差别做适当调整,但应当保持表格样式基本形态不变。</w:t>
      </w:r>
    </w:p>
    <w:p w14:paraId="3CAADE75">
      <w:pPr>
        <w:pStyle w:val="8"/>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14:paraId="3ABFE9E4">
      <w:pPr>
        <w:pStyle w:val="8"/>
        <w:keepNext w:val="0"/>
        <w:keepLines w:val="0"/>
        <w:tabs>
          <w:tab w:val="left" w:pos="851"/>
        </w:tabs>
        <w:autoSpaceDE w:val="0"/>
        <w:autoSpaceDN w:val="0"/>
        <w:adjustRightInd w:val="0"/>
        <w:snapToGrid w:val="0"/>
        <w:spacing w:before="0" w:after="0"/>
        <w:ind w:firstLine="480"/>
        <w:rPr>
          <w:rFonts w:ascii="宋体" w:hAnsi="宋体" w:eastAsia="宋体" w:cs="Calibri"/>
          <w:color w:val="000000" w:themeColor="text1"/>
          <w:sz w:val="24"/>
          <w:szCs w:val="24"/>
          <w:shd w:val="clear" w:color="FFFFFF" w:fill="D9D9D9"/>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8、本项目不允许分包。</w:t>
      </w:r>
    </w:p>
    <w:p w14:paraId="6B25D1C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二、磋商</w:t>
      </w:r>
      <w:r>
        <w:rPr>
          <w:rFonts w:ascii="宋体" w:hAnsi="宋体"/>
          <w:b/>
          <w:color w:val="000000" w:themeColor="text1"/>
          <w:kern w:val="0"/>
          <w:sz w:val="24"/>
          <w14:textFill>
            <w14:solidFill>
              <w14:schemeClr w14:val="tx1"/>
            </w14:solidFill>
          </w14:textFill>
        </w:rPr>
        <w:t>响应</w:t>
      </w:r>
      <w:r>
        <w:rPr>
          <w:rFonts w:hint="eastAsia" w:ascii="宋体" w:hAnsi="宋体"/>
          <w:b/>
          <w:color w:val="000000" w:themeColor="text1"/>
          <w:kern w:val="0"/>
          <w:sz w:val="24"/>
          <w14:textFill>
            <w14:solidFill>
              <w14:schemeClr w14:val="tx1"/>
            </w14:solidFill>
          </w14:textFill>
        </w:rPr>
        <w:t>文件</w:t>
      </w:r>
    </w:p>
    <w:p w14:paraId="2BF1428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（一）磋商</w:t>
      </w:r>
      <w:r>
        <w:rPr>
          <w:rFonts w:ascii="宋体" w:hAnsi="宋体"/>
          <w:b/>
          <w:color w:val="000000" w:themeColor="text1"/>
          <w:kern w:val="0"/>
          <w:sz w:val="24"/>
          <w14:textFill>
            <w14:solidFill>
              <w14:schemeClr w14:val="tx1"/>
            </w14:solidFill>
          </w14:textFill>
        </w:rPr>
        <w:t>响应文件的</w:t>
      </w:r>
      <w:r>
        <w:rPr>
          <w:rFonts w:hint="eastAsia" w:ascii="宋体" w:hAnsi="宋体"/>
          <w:b/>
          <w:color w:val="000000" w:themeColor="text1"/>
          <w:kern w:val="0"/>
          <w:sz w:val="24"/>
          <w14:textFill>
            <w14:solidFill>
              <w14:schemeClr w14:val="tx1"/>
            </w14:solidFill>
          </w14:textFill>
        </w:rPr>
        <w:t>组成</w:t>
      </w:r>
    </w:p>
    <w:p w14:paraId="48EABE10">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供应商应仔细阅读磋商采购文件的所有内容，按磋商采购文件的要求，详细编制磋商响应文件</w:t>
      </w:r>
      <w:r>
        <w:rPr>
          <w:rFonts w:ascii="宋体" w:hAnsi="宋体"/>
          <w:color w:val="000000" w:themeColor="text1"/>
          <w:sz w:val="24"/>
          <w14:textFill>
            <w14:solidFill>
              <w14:schemeClr w14:val="tx1"/>
            </w14:solidFill>
          </w14:textFill>
        </w:rPr>
        <w:t>。</w:t>
      </w:r>
    </w:p>
    <w:p w14:paraId="0E280C11">
      <w:pPr>
        <w:snapToGrid w:val="0"/>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宋体" w:hAnsi="宋体" w:cs="Calibri Light"/>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1、资格证明内容的组成：</w:t>
      </w:r>
    </w:p>
    <w:p w14:paraId="13F8E92A">
      <w:pPr>
        <w:pStyle w:val="40"/>
        <w:ind w:left="0" w:leftChars="0" w:firstLine="470"/>
        <w:rPr>
          <w:rStyle w:val="31"/>
          <w:rFonts w:ascii="宋体" w:hAnsi="宋体"/>
          <w:b w:val="0"/>
          <w:color w:val="000000" w:themeColor="text1"/>
          <w:u w:val="none"/>
          <w14:textFill>
            <w14:solidFill>
              <w14:schemeClr w14:val="tx1"/>
            </w14:solidFill>
          </w14:textFill>
        </w:rPr>
      </w:pPr>
      <w:r>
        <w:rPr>
          <w:rStyle w:val="31"/>
          <w:rFonts w:hint="eastAsia" w:ascii="宋体" w:hAnsi="宋体"/>
          <w:b w:val="0"/>
          <w:color w:val="000000" w:themeColor="text1"/>
          <w:u w:val="none"/>
          <w14:textFill>
            <w14:solidFill>
              <w14:schemeClr w14:val="tx1"/>
            </w14:solidFill>
          </w14:textFill>
        </w:rPr>
        <w:t>（1）磋商声明书；</w:t>
      </w:r>
    </w:p>
    <w:p w14:paraId="7CEF21D7">
      <w:pPr>
        <w:widowControl/>
        <w:spacing w:line="360" w:lineRule="auto"/>
        <w:ind w:right="60" w:firstLine="480" w:firstLineChars="200"/>
        <w:jc w:val="left"/>
        <w:outlineLvl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（2）授权委托书（法定代表人亲自办理磋商响应事宜的，则无需提交)；</w:t>
      </w:r>
    </w:p>
    <w:p w14:paraId="5B1CF531">
      <w:pPr>
        <w:widowControl/>
        <w:spacing w:line="360" w:lineRule="auto"/>
        <w:ind w:right="60" w:firstLine="480" w:firstLineChars="200"/>
        <w:jc w:val="left"/>
        <w:outlineLvl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（3）法人或者其他组织的营业执照等证明文件；</w:t>
      </w:r>
    </w:p>
    <w:p w14:paraId="11F7DC57">
      <w:pPr>
        <w:widowControl/>
        <w:spacing w:line="360" w:lineRule="auto"/>
        <w:ind w:right="60" w:firstLine="480" w:firstLineChars="200"/>
        <w:jc w:val="left"/>
        <w:outlineLvl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（4）提供采购公告中符合供应商特定条件的有效资质证书复印件（投标供应商特定条件中有要求的必须提供）；</w:t>
      </w:r>
    </w:p>
    <w:p w14:paraId="014281AC">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14:paraId="54B63CDF">
      <w:pPr>
        <w:snapToGrid w:val="0"/>
        <w:spacing w:line="360" w:lineRule="auto"/>
        <w:ind w:firstLine="480" w:firstLineChars="200"/>
        <w:rPr>
          <w:rFonts w:ascii="宋体" w:hAnsi="宋体" w:cs="Calibri Light"/>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Calibri Light"/>
          <w:color w:val="000000" w:themeColor="text1"/>
          <w:sz w:val="24"/>
          <w14:textFill>
            <w14:solidFill>
              <w14:schemeClr w14:val="tx1"/>
            </w14:solidFill>
          </w14:textFill>
        </w:rPr>
        <w:t>供应商基本情况表；</w:t>
      </w:r>
    </w:p>
    <w:p w14:paraId="4695393D">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（2）项目实施人员一览表；</w:t>
      </w:r>
      <w:r>
        <w:rPr>
          <w:rFonts w:ascii="宋体" w:hAnsi="宋体"/>
          <w:color w:val="000000" w:themeColor="text1"/>
          <w:sz w:val="24"/>
          <w14:textFill>
            <w14:solidFill>
              <w14:schemeClr w14:val="tx1"/>
            </w14:solidFill>
          </w14:textFill>
        </w:rPr>
        <w:t xml:space="preserve"> </w:t>
      </w:r>
    </w:p>
    <w:p w14:paraId="1E0EEBAD">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）项目负责人简历表；</w:t>
      </w:r>
    </w:p>
    <w:p w14:paraId="17396743">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（4）作业机械、设备一览表；</w:t>
      </w:r>
    </w:p>
    <w:p w14:paraId="00641763">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（5）其余内容根据评标办法自拟</w:t>
      </w:r>
      <w:r>
        <w:rPr>
          <w:rFonts w:hint="eastAsia" w:ascii="宋体" w:hAnsi="宋体"/>
          <w:color w:val="000000" w:themeColor="text1"/>
          <w:kern w:val="0"/>
          <w:sz w:val="24"/>
          <w14:textFill>
            <w14:solidFill>
              <w14:schemeClr w14:val="tx1"/>
            </w14:solidFill>
          </w14:textFill>
        </w:rPr>
        <w:t>；</w:t>
      </w:r>
    </w:p>
    <w:p w14:paraId="5A70256F">
      <w:pPr>
        <w:pStyle w:val="5"/>
        <w:widowControl/>
        <w:adjustRightInd w:val="0"/>
        <w:snapToGrid w:val="0"/>
        <w:spacing w:line="360" w:lineRule="auto"/>
        <w:ind w:left="218" w:leftChars="104" w:firstLine="622" w:firstLineChars="258"/>
        <w:rPr>
          <w:rFonts w:ascii="宋体" w:hAnsi="宋体" w:cs="Calibri Light"/>
          <w:color w:val="000000" w:themeColor="text1"/>
          <w:sz w:val="24"/>
          <w:szCs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招标需求中要求提供的相关证明材料及根据评标办法提供的证明材料均需在投标文件中提供原件的扫描件。</w:t>
      </w:r>
    </w:p>
    <w:p w14:paraId="5727EAA9">
      <w:pPr>
        <w:autoSpaceDE w:val="0"/>
        <w:autoSpaceDN w:val="0"/>
        <w:adjustRightInd w:val="0"/>
        <w:spacing w:line="360" w:lineRule="auto"/>
        <w:ind w:left="426" w:firstLine="65" w:firstLineChars="27"/>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3、报价内容的组成</w:t>
      </w:r>
    </w:p>
    <w:p w14:paraId="6E989E18">
      <w:pPr>
        <w:pStyle w:val="40"/>
        <w:ind w:left="0" w:leftChars="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（1）首次开标一览表。</w:t>
      </w:r>
    </w:p>
    <w:p w14:paraId="67167A58">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（2）中小企业声明函等供应商认为需要的其他材料。</w:t>
      </w:r>
    </w:p>
    <w:p w14:paraId="657BA808">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此报价为供应商针对本项目报出的唯一的首次报价，包含其它一切所要涉及到的费用，有选择的报价将被拒绝。</w:t>
      </w:r>
    </w:p>
    <w:p w14:paraId="7AEA33BF">
      <w:pPr>
        <w:snapToGrid w:val="0"/>
        <w:spacing w:line="360" w:lineRule="auto"/>
        <w:ind w:firstLine="482" w:firstLineChars="200"/>
        <w:rPr>
          <w:rFonts w:ascii="宋体" w:hAnsi="宋体"/>
          <w:color w:val="000000" w:themeColor="text1"/>
          <w:kern w:val="0"/>
          <w:sz w:val="24"/>
          <w:lang w:val="zh-CN"/>
          <w14:textFill>
            <w14:solidFill>
              <w14:schemeClr w14:val="tx1"/>
            </w14:solidFill>
          </w14:textFill>
        </w:rPr>
      </w:pPr>
      <w:r>
        <w:rPr>
          <w:rFonts w:hint="eastAsia" w:ascii="宋体" w:hAnsi="宋体"/>
          <w:b/>
          <w:color w:val="000000" w:themeColor="text1"/>
          <w:kern w:val="0"/>
          <w:sz w:val="24"/>
          <w:lang w:val="zh-CN"/>
          <w14:textFill>
            <w14:solidFill>
              <w14:schemeClr w14:val="tx1"/>
            </w14:solidFill>
          </w14:textFill>
        </w:rPr>
        <w:t>投标总报价应是竞争性磋商文件所确定的招标范围内全部工作内容的价格表现。其应包括完成工程量清单所列项目的全部费用，包括分部分项工程费、措施项目费、其他项目费、规费和税金。各投标人应根据采购人提供的全套施工图纸、技术资料、工程量清单，以及本工程实际情况和自身的综合实力，竞报投标报价。</w:t>
      </w:r>
    </w:p>
    <w:p w14:paraId="77A01D9E">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磋商响应报价表不得涂改和增删，如有错漏必须修改，修改处须由同一签署人签字或盖章。由于字迹模糊或表达不清引起的后果由供应商负责。</w:t>
      </w:r>
    </w:p>
    <w:p w14:paraId="7C3F7BB7">
      <w:pPr>
        <w:snapToGrid w:val="0"/>
        <w:spacing w:line="360" w:lineRule="auto"/>
        <w:ind w:left="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磋商采购</w:t>
      </w:r>
      <w:r>
        <w:rPr>
          <w:rFonts w:ascii="宋体" w:hAnsi="宋体"/>
          <w:color w:val="000000" w:themeColor="text1"/>
          <w:sz w:val="24"/>
          <w14:textFill>
            <w14:solidFill>
              <w14:schemeClr w14:val="tx1"/>
            </w14:solidFill>
          </w14:textFill>
        </w:rPr>
        <w:t>文件中相关附表格式填写。</w:t>
      </w:r>
    </w:p>
    <w:p w14:paraId="4DBB05F7">
      <w:pPr>
        <w:snapToGrid w:val="0"/>
        <w:spacing w:line="360" w:lineRule="auto"/>
        <w:ind w:firstLine="482" w:firstLineChars="200"/>
        <w:rPr>
          <w:rFonts w:ascii="宋体" w:hAnsi="宋体" w:cs="Calibri Light"/>
          <w:b/>
          <w:bCs/>
          <w:color w:val="000000" w:themeColor="text1"/>
          <w:sz w:val="24"/>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2A53196A">
      <w:pPr>
        <w:numPr>
          <w:ilvl w:val="0"/>
          <w:numId w:val="2"/>
        </w:numPr>
        <w:snapToGrid w:val="0"/>
        <w:spacing w:line="360" w:lineRule="auto"/>
        <w:rPr>
          <w:rFonts w:ascii="宋体" w:hAnsi="宋体" w:cs="楷体_GB2312"/>
          <w:color w:val="000000" w:themeColor="text1"/>
          <w:sz w:val="24"/>
          <w:lang w:val="zh-CN"/>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磋商响应文件的制作及递交要求</w:t>
      </w:r>
    </w:p>
    <w:p w14:paraId="7C310907">
      <w:pPr>
        <w:autoSpaceDE w:val="0"/>
        <w:autoSpaceDN w:val="0"/>
        <w:adjustRightInd w:val="0"/>
        <w:spacing w:line="360" w:lineRule="auto"/>
        <w:ind w:firstLine="48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1、磋商响应文件的制作要求</w:t>
      </w:r>
    </w:p>
    <w:p w14:paraId="2DCCF87C">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本项目通过“政府采购云平台（</w:t>
      </w:r>
      <w:r>
        <w:rPr>
          <w:rFonts w:ascii="宋体" w:hAnsi="宋体" w:cs="Arial"/>
          <w:color w:val="000000" w:themeColor="text1"/>
          <w:sz w:val="24"/>
          <w14:textFill>
            <w14:solidFill>
              <w14:schemeClr w14:val="tx1"/>
            </w14:solidFill>
          </w14:textFill>
        </w:rPr>
        <w:t>www.</w:t>
      </w:r>
      <w:r>
        <w:rPr>
          <w:rFonts w:hint="eastAsia" w:ascii="宋体" w:hAnsi="宋体" w:cs="Arial"/>
          <w:color w:val="000000" w:themeColor="text1"/>
          <w:sz w:val="24"/>
          <w14:textFill>
            <w14:solidFill>
              <w14:schemeClr w14:val="tx1"/>
            </w14:solidFill>
          </w14:textFill>
        </w:rPr>
        <w:t>zcy</w:t>
      </w:r>
      <w:r>
        <w:rPr>
          <w:rFonts w:ascii="宋体" w:hAnsi="宋体" w:cs="Arial"/>
          <w:color w:val="000000" w:themeColor="text1"/>
          <w:sz w:val="24"/>
          <w14:textFill>
            <w14:solidFill>
              <w14:schemeClr w14:val="tx1"/>
            </w14:solidFill>
          </w14:textFill>
        </w:rPr>
        <w:t>gov.cn</w:t>
      </w:r>
      <w:r>
        <w:rPr>
          <w:rFonts w:hint="eastAsia" w:ascii="宋体" w:hAnsi="宋体" w:cs="Arial"/>
          <w:color w:val="000000" w:themeColor="text1"/>
          <w:sz w:val="24"/>
          <w14:textFill>
            <w14:solidFill>
              <w14:schemeClr w14:val="tx1"/>
            </w14:solidFill>
          </w14:textFill>
        </w:rPr>
        <w:t>）”实行在线投标响应（电子投标）。供应商应通过“政采云电子交易客户端”，并按照本招标文件和“政府采购云平台”的要求编制并加密投标文件。</w:t>
      </w:r>
    </w:p>
    <w:p w14:paraId="1F52CACD">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（2）投标供应商应当按照</w:t>
      </w:r>
      <w:r>
        <w:rPr>
          <w:rFonts w:ascii="宋体" w:hAnsi="宋体" w:cs="Arial"/>
          <w:color w:val="000000" w:themeColor="text1"/>
          <w:kern w:val="0"/>
          <w:sz w:val="24"/>
          <w14:textFill>
            <w14:solidFill>
              <w14:schemeClr w14:val="tx1"/>
            </w14:solidFill>
          </w14:textFill>
        </w:rPr>
        <w:t>本</w:t>
      </w:r>
      <w:r>
        <w:rPr>
          <w:rFonts w:hint="eastAsia" w:ascii="宋体" w:hAnsi="宋体" w:cs="Arial"/>
          <w:color w:val="000000" w:themeColor="text1"/>
          <w:kern w:val="0"/>
          <w:sz w:val="24"/>
          <w14:textFill>
            <w14:solidFill>
              <w14:schemeClr w14:val="tx1"/>
            </w14:solidFill>
          </w14:textFill>
        </w:rPr>
        <w:t>章节 “投标文件组成”规定的内容及顺序在“政采云电子交易客户端”编制投标文件。</w:t>
      </w:r>
    </w:p>
    <w:p w14:paraId="2D992597">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（3）本文件《第五部分  应提交的有关格式范例》中有</w:t>
      </w:r>
      <w:r>
        <w:rPr>
          <w:rFonts w:ascii="宋体" w:hAnsi="宋体"/>
          <w:bCs/>
          <w:color w:val="000000" w:themeColor="text1"/>
          <w:sz w:val="24"/>
          <w14:textFill>
            <w14:solidFill>
              <w14:schemeClr w14:val="tx1"/>
            </w14:solidFill>
          </w14:textFill>
        </w:rPr>
        <w:t>提供格式的，投标</w:t>
      </w:r>
      <w:r>
        <w:rPr>
          <w:rFonts w:hint="eastAsia" w:ascii="宋体" w:hAnsi="宋体"/>
          <w:bCs/>
          <w:color w:val="000000" w:themeColor="text1"/>
          <w:sz w:val="24"/>
          <w14:textFill>
            <w14:solidFill>
              <w14:schemeClr w14:val="tx1"/>
            </w14:solidFill>
          </w14:textFill>
        </w:rPr>
        <w:t>供应商须参</w:t>
      </w:r>
      <w:r>
        <w:rPr>
          <w:rFonts w:ascii="宋体" w:hAnsi="宋体"/>
          <w:bCs/>
          <w:color w:val="000000" w:themeColor="text1"/>
          <w:sz w:val="24"/>
          <w14:textFill>
            <w14:solidFill>
              <w14:schemeClr w14:val="tx1"/>
            </w14:solidFill>
          </w14:textFill>
        </w:rPr>
        <w:t>照格式</w:t>
      </w:r>
      <w:r>
        <w:rPr>
          <w:rFonts w:hint="eastAsia" w:ascii="宋体" w:hAnsi="宋体"/>
          <w:bCs/>
          <w:color w:val="000000" w:themeColor="text1"/>
          <w:sz w:val="24"/>
          <w14:textFill>
            <w14:solidFill>
              <w14:schemeClr w14:val="tx1"/>
            </w14:solidFill>
          </w14:textFill>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000000" w:themeColor="text1"/>
          <w:sz w:val="24"/>
          <w14:textFill>
            <w14:solidFill>
              <w14:schemeClr w14:val="tx1"/>
            </w14:solidFill>
          </w14:textFill>
        </w:rPr>
        <w:t>未提供格式的，请各投标单位自行拟定格式</w:t>
      </w:r>
      <w:r>
        <w:rPr>
          <w:rFonts w:hint="eastAsia" w:ascii="宋体" w:hAnsi="宋体"/>
          <w:color w:val="000000" w:themeColor="text1"/>
          <w:sz w:val="24"/>
          <w14:textFill>
            <w14:solidFill>
              <w14:schemeClr w14:val="tx1"/>
            </w14:solidFill>
          </w14:textFill>
        </w:rPr>
        <w:t>。</w:t>
      </w:r>
    </w:p>
    <w:p w14:paraId="60EDDC89">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）供应商应对所提供的全部资料的真实性承担法律责任。</w:t>
      </w:r>
    </w:p>
    <w:p w14:paraId="26FE107C">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sz w:val="24"/>
          <w14:textFill>
            <w14:solidFill>
              <w14:schemeClr w14:val="tx1"/>
            </w14:solidFill>
          </w14:textFill>
        </w:rPr>
        <w:t>以及</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就有关磋商事宜的所有来往函电，均应以中文汉语书写。除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sz w:val="24"/>
          <w14:textFill>
            <w14:solidFill>
              <w14:schemeClr w14:val="tx1"/>
            </w14:solidFill>
          </w14:textFill>
        </w:rPr>
        <w:t>视同未提供。</w:t>
      </w:r>
    </w:p>
    <w:p w14:paraId="0A08ED20">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磋商计量单位，</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已有明确规定的，使用</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规定的计量单位；</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没有规定的，应采用中华人民共和国法定计量单位（货币单位：人民币元），否则视同未响应。</w:t>
      </w:r>
    </w:p>
    <w:p w14:paraId="238EDD87">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不按采购文件的要求提供资格审查材料，其风险由</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自行承担。</w:t>
      </w:r>
    </w:p>
    <w:p w14:paraId="647848E3">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与本次磋商无关的内容请不要制作在内，确保磋商响应文件有针对性、简洁明了。</w:t>
      </w:r>
    </w:p>
    <w:p w14:paraId="18FD5850">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2、投标文件的签章</w:t>
      </w:r>
    </w:p>
    <w:p w14:paraId="50518BAE">
      <w:pPr>
        <w:spacing w:line="360" w:lineRule="auto"/>
        <w:ind w:firstLine="460" w:firstLineChars="192"/>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（1）《</w:t>
      </w:r>
      <w:r>
        <w:rPr>
          <w:rFonts w:ascii="宋体" w:hAnsi="宋体" w:cs="Arial"/>
          <w:bCs/>
          <w:color w:val="000000" w:themeColor="text1"/>
          <w:kern w:val="0"/>
          <w:sz w:val="24"/>
          <w14:textFill>
            <w14:solidFill>
              <w14:schemeClr w14:val="tx1"/>
            </w14:solidFill>
          </w14:textFill>
        </w:rPr>
        <w:t>投标文件</w:t>
      </w:r>
      <w:r>
        <w:rPr>
          <w:rFonts w:hint="eastAsia" w:ascii="宋体" w:hAnsi="宋体" w:cs="Arial"/>
          <w:bCs/>
          <w:color w:val="000000" w:themeColor="text1"/>
          <w:kern w:val="0"/>
          <w:sz w:val="24"/>
          <w14:textFill>
            <w14:solidFill>
              <w14:schemeClr w14:val="tx1"/>
            </w14:solidFill>
          </w14:textFill>
        </w:rPr>
        <w:t>》的签章：</w:t>
      </w:r>
      <w:r>
        <w:rPr>
          <w:rFonts w:hint="eastAsia" w:ascii="宋体" w:hAnsi="宋体"/>
          <w:bCs/>
          <w:color w:val="000000" w:themeColor="text1"/>
          <w:sz w:val="24"/>
          <w14:textFill>
            <w14:solidFill>
              <w14:schemeClr w14:val="tx1"/>
            </w14:solidFill>
          </w14:textFill>
        </w:rPr>
        <w:t>见《前附表》；</w:t>
      </w:r>
    </w:p>
    <w:p w14:paraId="1FD385CE">
      <w:pPr>
        <w:spacing w:line="360" w:lineRule="auto"/>
        <w:ind w:firstLine="460" w:firstLineChars="192"/>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（2）《</w:t>
      </w:r>
      <w:r>
        <w:rPr>
          <w:rFonts w:ascii="宋体" w:hAnsi="宋体" w:cs="Arial"/>
          <w:bCs/>
          <w:color w:val="000000" w:themeColor="text1"/>
          <w:kern w:val="0"/>
          <w:sz w:val="24"/>
          <w14:textFill>
            <w14:solidFill>
              <w14:schemeClr w14:val="tx1"/>
            </w14:solidFill>
          </w14:textFill>
        </w:rPr>
        <w:t>投标文件</w:t>
      </w:r>
      <w:r>
        <w:rPr>
          <w:rFonts w:hint="eastAsia" w:ascii="宋体" w:hAnsi="宋体" w:cs="Arial"/>
          <w:bCs/>
          <w:color w:val="000000" w:themeColor="text1"/>
          <w:kern w:val="0"/>
          <w:sz w:val="24"/>
          <w14:textFill>
            <w14:solidFill>
              <w14:schemeClr w14:val="tx1"/>
            </w14:solidFill>
          </w14:textFill>
        </w:rPr>
        <w:t>》应由投标供应商法定代表人或其授权代表签字（或签章），并时加盖投标供应商公章。</w:t>
      </w:r>
    </w:p>
    <w:p w14:paraId="6DEEFEE4">
      <w:pPr>
        <w:autoSpaceDE w:val="0"/>
        <w:autoSpaceDN w:val="0"/>
        <w:adjustRightInd w:val="0"/>
        <w:spacing w:line="360" w:lineRule="auto"/>
        <w:ind w:firstLine="480"/>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w:t>
      </w:r>
      <w:r>
        <w:rPr>
          <w:rFonts w:ascii="宋体" w:hAnsi="宋体" w:cs="Arial"/>
          <w:bCs/>
          <w:color w:val="000000" w:themeColor="text1"/>
          <w:kern w:val="0"/>
          <w:sz w:val="24"/>
          <w14:textFill>
            <w14:solidFill>
              <w14:schemeClr w14:val="tx1"/>
            </w14:solidFill>
          </w14:textFill>
        </w:rPr>
        <w:t>3</w:t>
      </w:r>
      <w:r>
        <w:rPr>
          <w:rFonts w:hint="eastAsia" w:ascii="宋体" w:hAnsi="宋体" w:cs="Arial"/>
          <w:bCs/>
          <w:color w:val="000000" w:themeColor="text1"/>
          <w:kern w:val="0"/>
          <w:sz w:val="24"/>
          <w14:textFill>
            <w14:solidFill>
              <w14:schemeClr w14:val="tx1"/>
            </w14:solidFill>
          </w14:textFill>
        </w:rPr>
        <w:t>）电子签章操作指南详见</w:t>
      </w:r>
      <w:r>
        <w:rPr>
          <w:rFonts w:hint="eastAsia" w:ascii="宋体" w:hAnsi="宋体" w:cs="Arial"/>
          <w:bCs/>
          <w:color w:val="000000" w:themeColor="text1"/>
          <w:sz w:val="24"/>
          <w14:textFill>
            <w14:solidFill>
              <w14:schemeClr w14:val="tx1"/>
            </w14:solidFill>
          </w14:textFill>
        </w:rPr>
        <w:t>《供应商项目采购-电子招投标操作指南》。</w:t>
      </w:r>
    </w:p>
    <w:p w14:paraId="036F0B8C">
      <w:pPr>
        <w:autoSpaceDE w:val="0"/>
        <w:autoSpaceDN w:val="0"/>
        <w:adjustRightInd w:val="0"/>
        <w:spacing w:line="360" w:lineRule="auto"/>
        <w:ind w:firstLine="48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3、投标文件的形式</w:t>
      </w:r>
    </w:p>
    <w:p w14:paraId="76C4DCB0">
      <w:pPr>
        <w:spacing w:line="360" w:lineRule="auto"/>
        <w:ind w:firstLine="422" w:firstLineChars="176"/>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（1）投标文件的形式：</w:t>
      </w:r>
      <w:r>
        <w:rPr>
          <w:rFonts w:hint="eastAsia" w:ascii="宋体" w:hAnsi="宋体"/>
          <w:bCs/>
          <w:color w:val="000000" w:themeColor="text1"/>
          <w:sz w:val="24"/>
          <w14:textFill>
            <w14:solidFill>
              <w14:schemeClr w14:val="tx1"/>
            </w14:solidFill>
          </w14:textFill>
        </w:rPr>
        <w:t>见《前附表》；</w:t>
      </w:r>
    </w:p>
    <w:p w14:paraId="4E36B825">
      <w:pPr>
        <w:spacing w:line="360" w:lineRule="auto"/>
        <w:ind w:firstLine="422" w:firstLineChars="176"/>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（2）“电子加密投标文件”：“电子加密投标文件”是指通过“政采云电子交易客户端”完成投标文件编制后生成并加密的数据电文形式的投标文件。</w:t>
      </w:r>
    </w:p>
    <w:p w14:paraId="3D5445A0">
      <w:pPr>
        <w:autoSpaceDE w:val="0"/>
        <w:autoSpaceDN w:val="0"/>
        <w:adjustRightInd w:val="0"/>
        <w:spacing w:line="360" w:lineRule="auto"/>
        <w:ind w:firstLine="48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14:paraId="04A91B4E">
      <w:pPr>
        <w:autoSpaceDE w:val="0"/>
        <w:autoSpaceDN w:val="0"/>
        <w:adjustRightInd w:val="0"/>
        <w:spacing w:line="360" w:lineRule="auto"/>
        <w:ind w:firstLine="48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4、投标文件的份数</w:t>
      </w:r>
    </w:p>
    <w:p w14:paraId="41988427">
      <w:pPr>
        <w:autoSpaceDE w:val="0"/>
        <w:autoSpaceDN w:val="0"/>
        <w:adjustRightInd w:val="0"/>
        <w:spacing w:line="360" w:lineRule="auto"/>
        <w:ind w:firstLine="48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（1）投标文件的份数：见《前附表》。</w:t>
      </w:r>
    </w:p>
    <w:p w14:paraId="7EF3077E">
      <w:pPr>
        <w:tabs>
          <w:tab w:val="left" w:pos="1898"/>
        </w:tabs>
        <w:autoSpaceDE w:val="0"/>
        <w:autoSpaceDN w:val="0"/>
        <w:adjustRightInd w:val="0"/>
        <w:spacing w:line="360" w:lineRule="auto"/>
        <w:ind w:firstLine="482" w:firstLineChars="200"/>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5</w:t>
      </w:r>
      <w:r>
        <w:rPr>
          <w:rFonts w:hint="eastAsia" w:ascii="宋体" w:hAnsi="宋体"/>
          <w:b/>
          <w:color w:val="000000" w:themeColor="text1"/>
          <w:kern w:val="0"/>
          <w:sz w:val="24"/>
          <w14:textFill>
            <w14:solidFill>
              <w14:schemeClr w14:val="tx1"/>
            </w14:solidFill>
          </w14:textFill>
        </w:rPr>
        <w:t>、磋商响应文件的补充、修改和撤回。</w:t>
      </w:r>
    </w:p>
    <w:p w14:paraId="4EA29D16">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4E72F9E">
      <w:pPr>
        <w:numPr>
          <w:ilvl w:val="0"/>
          <w:numId w:val="3"/>
        </w:num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投标截止时间后，投标供应商不得撤回、修改《投标文件》。</w:t>
      </w:r>
    </w:p>
    <w:p w14:paraId="6F4AB14E">
      <w:pPr>
        <w:tabs>
          <w:tab w:val="left" w:pos="1418"/>
        </w:tabs>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（三）磋商响应文件的有效期</w:t>
      </w:r>
    </w:p>
    <w:p w14:paraId="731B6D1A">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lang w:val="en-GB"/>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GB"/>
          <w14:textFill>
            <w14:solidFill>
              <w14:schemeClr w14:val="tx1"/>
            </w14:solidFill>
          </w14:textFill>
        </w:rPr>
        <w:t>自磋商响应截止日起90天磋商响应文件应保持有效。有效期不足的磋商响应文件将被拒绝。</w:t>
      </w:r>
    </w:p>
    <w:p w14:paraId="29205403">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2、在特殊情况下，采购人可与磋商供应商协商延长磋商响应文件的有效期，这种要求和答复均以书面形式进行。</w:t>
      </w:r>
    </w:p>
    <w:p w14:paraId="63309893">
      <w:pPr>
        <w:pStyle w:val="11"/>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3、磋商供应商可拒绝接受延期要求。同意延长有效期的磋商供应商不能修改磋商响应文件。</w:t>
      </w:r>
      <w:r>
        <w:rPr>
          <w:rFonts w:ascii="宋体" w:hAnsi="宋体"/>
          <w:color w:val="000000" w:themeColor="text1"/>
          <w:szCs w:val="24"/>
          <w14:textFill>
            <w14:solidFill>
              <w14:schemeClr w14:val="tx1"/>
            </w14:solidFill>
          </w14:textFill>
        </w:rPr>
        <w:t xml:space="preserve"> </w:t>
      </w:r>
    </w:p>
    <w:p w14:paraId="121D85C3">
      <w:pPr>
        <w:snapToGrid w:val="0"/>
        <w:spacing w:line="360" w:lineRule="auto"/>
        <w:ind w:firstLine="480" w:firstLineChars="200"/>
        <w:jc w:val="left"/>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.成交供应商</w:t>
      </w:r>
      <w:r>
        <w:rPr>
          <w:rFonts w:ascii="宋体" w:hAnsi="宋体"/>
          <w:color w:val="000000" w:themeColor="text1"/>
          <w:kern w:val="0"/>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kern w:val="0"/>
          <w:sz w:val="24"/>
          <w14:textFill>
            <w14:solidFill>
              <w14:schemeClr w14:val="tx1"/>
            </w14:solidFill>
          </w14:textFill>
        </w:rPr>
        <w:t>自磋商之日起至合同履行完毕均应保持有效。</w:t>
      </w:r>
    </w:p>
    <w:p w14:paraId="7D2E7CA6">
      <w:pPr>
        <w:snapToGrid w:val="0"/>
        <w:spacing w:line="360" w:lineRule="auto"/>
        <w:ind w:firstLine="482" w:firstLineChars="200"/>
        <w:jc w:val="left"/>
        <w:outlineLvl w:val="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（四）投标文件的备选方案</w:t>
      </w:r>
    </w:p>
    <w:p w14:paraId="03B2D277">
      <w:pPr>
        <w:snapToGrid w:val="0"/>
        <w:spacing w:line="360" w:lineRule="auto"/>
        <w:ind w:firstLine="480" w:firstLineChars="200"/>
        <w:jc w:val="left"/>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1、投标供应商不得递交任何的投标备选（替代）方案，否则其投标文件将作无效标处理。</w:t>
      </w:r>
      <w:r>
        <w:rPr>
          <w:rFonts w:hint="eastAsia" w:ascii="宋体" w:hAnsi="宋体"/>
          <w:b/>
          <w:bCs/>
          <w:color w:val="000000" w:themeColor="text1"/>
          <w:kern w:val="0"/>
          <w:sz w:val="24"/>
          <w14:textFill>
            <w14:solidFill>
              <w14:schemeClr w14:val="tx1"/>
            </w14:solidFill>
          </w14:textFill>
        </w:rPr>
        <w:t>与“电子加密投标文件”同时生成的“备份投标文件”不是投标备选（替代）方案。</w:t>
      </w:r>
    </w:p>
    <w:p w14:paraId="076D3DE5">
      <w:pPr>
        <w:tabs>
          <w:tab w:val="left" w:pos="1418"/>
        </w:tabs>
        <w:autoSpaceDE w:val="0"/>
        <w:autoSpaceDN w:val="0"/>
        <w:adjustRightInd w:val="0"/>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三、磋商保证金</w:t>
      </w:r>
    </w:p>
    <w:p w14:paraId="70189DCE">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无</w:t>
      </w:r>
    </w:p>
    <w:p w14:paraId="2A9282EC">
      <w:pPr>
        <w:tabs>
          <w:tab w:val="left" w:pos="1418"/>
        </w:tabs>
        <w:autoSpaceDE w:val="0"/>
        <w:autoSpaceDN w:val="0"/>
        <w:adjustRightInd w:val="0"/>
        <w:spacing w:line="360" w:lineRule="auto"/>
        <w:ind w:firstLine="364" w:firstLineChars="151"/>
        <w:rPr>
          <w:rFonts w:ascii="宋体" w:hAnsi="宋体" w:cs="楷体_GB2312"/>
          <w:b/>
          <w:color w:val="000000" w:themeColor="text1"/>
          <w:kern w:val="0"/>
          <w:sz w:val="24"/>
          <w14:textFill>
            <w14:solidFill>
              <w14:schemeClr w14:val="tx1"/>
            </w14:solidFill>
          </w14:textFill>
        </w:rPr>
      </w:pPr>
      <w:r>
        <w:rPr>
          <w:rFonts w:hint="eastAsia" w:ascii="宋体" w:hAnsi="宋体" w:cs="楷体_GB2312"/>
          <w:b/>
          <w:color w:val="000000" w:themeColor="text1"/>
          <w:kern w:val="0"/>
          <w:sz w:val="24"/>
          <w14:textFill>
            <w14:solidFill>
              <w14:schemeClr w14:val="tx1"/>
            </w14:solidFill>
          </w14:textFill>
        </w:rPr>
        <w:t>四、磋商</w:t>
      </w:r>
    </w:p>
    <w:p w14:paraId="25FB672F">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（一）磋商说明</w:t>
      </w:r>
    </w:p>
    <w:p w14:paraId="128DFDF6">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96C73EA">
      <w:pPr>
        <w:autoSpaceDE w:val="0"/>
        <w:autoSpaceDN w:val="0"/>
        <w:adjustRightInd w:val="0"/>
        <w:spacing w:line="360" w:lineRule="auto"/>
        <w:ind w:firstLine="477" w:firstLineChars="198"/>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（二）磋商流程</w:t>
      </w:r>
    </w:p>
    <w:p w14:paraId="23A6915D">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1</w:t>
      </w:r>
      <w:r>
        <w:rPr>
          <w:rFonts w:hint="eastAsia" w:ascii="宋体" w:hAnsi="宋体" w:cs="Arial"/>
          <w:color w:val="000000" w:themeColor="text1"/>
          <w:kern w:val="0"/>
          <w:sz w:val="24"/>
          <w14:textFill>
            <w14:solidFill>
              <w14:schemeClr w14:val="tx1"/>
            </w14:solidFill>
          </w14:textFill>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9C4CC54">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）投标文件解密结束，通过邮件形式发送各投标人组织签署《政府采购活动现场确认声明书》；</w:t>
      </w:r>
    </w:p>
    <w:p w14:paraId="31AB31FC">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1D7D3311">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4</w:t>
      </w:r>
      <w:r>
        <w:rPr>
          <w:rFonts w:hint="eastAsia" w:ascii="宋体" w:hAnsi="宋体" w:cs="Arial"/>
          <w:color w:val="000000" w:themeColor="text1"/>
          <w:kern w:val="0"/>
          <w:sz w:val="24"/>
          <w14:textFill>
            <w14:solidFill>
              <w14:schemeClr w14:val="tx1"/>
            </w14:solidFill>
          </w14:textFill>
        </w:rPr>
        <w:t>）资格审查通过的投标供应商的进入商务与技术的符合性审查、评审；</w:t>
      </w:r>
    </w:p>
    <w:p w14:paraId="1AA50CB4">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（5）公布资格审查、符合性审查、商务技术文件评审无效供应商名称及理由；公布有效磋商供应商的名单。</w:t>
      </w:r>
    </w:p>
    <w:p w14:paraId="77B479E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6</w:t>
      </w:r>
      <w:r>
        <w:rPr>
          <w:rFonts w:hint="eastAsia" w:ascii="宋体" w:hAnsi="宋体" w:cs="Arial"/>
          <w:color w:val="000000" w:themeColor="text1"/>
          <w:kern w:val="0"/>
          <w:sz w:val="24"/>
          <w14:textFill>
            <w14:solidFill>
              <w14:schemeClr w14:val="tx1"/>
            </w14:solidFill>
          </w14:textFill>
        </w:rPr>
        <w:t>）磋商小组所有成员集中与单一供应商分别进行磋商，并给予所有参加磋商的供应商平等的磋商机会。</w:t>
      </w:r>
    </w:p>
    <w:p w14:paraId="75E7A10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7</w:t>
      </w:r>
      <w:r>
        <w:rPr>
          <w:rFonts w:hint="eastAsia" w:ascii="宋体" w:hAnsi="宋体" w:cs="Arial"/>
          <w:color w:val="000000" w:themeColor="text1"/>
          <w:kern w:val="0"/>
          <w:sz w:val="24"/>
          <w14:textFill>
            <w14:solidFill>
              <w14:schemeClr w14:val="tx1"/>
            </w14:solidFill>
          </w14:textFill>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14:paraId="7B50AB11">
      <w:pPr>
        <w:spacing w:line="360" w:lineRule="auto"/>
        <w:ind w:firstLine="426" w:firstLineChars="177"/>
        <w:jc w:val="left"/>
        <w:rPr>
          <w:rFonts w:ascii="宋体" w:hAnsi="宋体" w:cs="Arial"/>
          <w:b/>
          <w:bCs/>
          <w:color w:val="000000" w:themeColor="text1"/>
          <w:kern w:val="0"/>
          <w:sz w:val="24"/>
          <w14:textFill>
            <w14:solidFill>
              <w14:schemeClr w14:val="tx1"/>
            </w14:solidFill>
          </w14:textFill>
        </w:rPr>
      </w:pPr>
      <w:r>
        <w:rPr>
          <w:rFonts w:hint="eastAsia" w:ascii="宋体" w:hAnsi="宋体" w:cs="Arial"/>
          <w:b/>
          <w:bCs/>
          <w:color w:val="000000" w:themeColor="text1"/>
          <w:kern w:val="0"/>
          <w:sz w:val="24"/>
          <w14:textFill>
            <w14:solidFill>
              <w14:schemeClr w14:val="tx1"/>
            </w14:solidFill>
          </w14:textFill>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152E31B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8</w:t>
      </w:r>
      <w:r>
        <w:rPr>
          <w:rFonts w:hint="eastAsia" w:ascii="宋体" w:hAnsi="宋体" w:cs="Arial"/>
          <w:color w:val="000000" w:themeColor="text1"/>
          <w:kern w:val="0"/>
          <w:sz w:val="24"/>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0FB0507A">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9</w:t>
      </w:r>
      <w:r>
        <w:rPr>
          <w:rFonts w:hint="eastAsia" w:ascii="宋体" w:hAnsi="宋体" w:cs="Arial"/>
          <w:color w:val="000000" w:themeColor="text1"/>
          <w:kern w:val="0"/>
          <w:sz w:val="24"/>
          <w14:textFill>
            <w14:solidFill>
              <w14:schemeClr w14:val="tx1"/>
            </w14:solidFill>
          </w14:textFill>
        </w:rPr>
        <w:t>）磋商小组根据综合评分情况，按照评审得分由高到低顺序确定预成交供应商，编写评审报告。</w:t>
      </w:r>
    </w:p>
    <w:p w14:paraId="69E4F0ED">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w:t>
      </w:r>
      <w:r>
        <w:rPr>
          <w:rFonts w:ascii="宋体" w:hAnsi="宋体" w:cs="Arial"/>
          <w:color w:val="000000" w:themeColor="text1"/>
          <w:kern w:val="0"/>
          <w:sz w:val="24"/>
          <w14:textFill>
            <w14:solidFill>
              <w14:schemeClr w14:val="tx1"/>
            </w14:solidFill>
          </w14:textFill>
        </w:rPr>
        <w:t>0</w:t>
      </w:r>
      <w:r>
        <w:rPr>
          <w:rFonts w:hint="eastAsia" w:ascii="宋体" w:hAnsi="宋体" w:cs="Arial"/>
          <w:color w:val="000000" w:themeColor="text1"/>
          <w:kern w:val="0"/>
          <w:sz w:val="24"/>
          <w14:textFill>
            <w14:solidFill>
              <w14:schemeClr w14:val="tx1"/>
            </w14:solidFill>
          </w14:textFill>
        </w:rPr>
        <w:t>）评审结束后，公布中标（成交）候选供应商名单，或在政釆云平台上进行公布结果。</w:t>
      </w:r>
    </w:p>
    <w:p w14:paraId="356BF3BB">
      <w:pPr>
        <w:spacing w:line="360" w:lineRule="auto"/>
        <w:ind w:firstLine="426"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特别说明：1、如遇“政府采购云平台”电子化开标或评审程序调整的，按调整后程序执行。</w:t>
      </w:r>
    </w:p>
    <w:p w14:paraId="7A699D6D">
      <w:pPr>
        <w:spacing w:line="360" w:lineRule="auto"/>
        <w:ind w:firstLine="480" w:firstLineChars="200"/>
        <w:rPr>
          <w:rFonts w:ascii="宋体" w:hAnsi="宋体" w:cs="楷体_GB2312"/>
          <w:color w:val="000000" w:themeColor="text1"/>
          <w:sz w:val="24"/>
          <w14:textFill>
            <w14:solidFill>
              <w14:schemeClr w14:val="tx1"/>
            </w14:solidFill>
          </w14:textFill>
        </w:rPr>
      </w:pPr>
      <w:r>
        <w:rPr>
          <w:rFonts w:ascii="宋体" w:hAnsi="宋体" w:cs="楷体_GB2312"/>
          <w:color w:val="000000" w:themeColor="text1"/>
          <w:sz w:val="24"/>
          <w14:textFill>
            <w14:solidFill>
              <w14:schemeClr w14:val="tx1"/>
            </w14:solidFill>
          </w14:textFill>
        </w:rPr>
        <w:t>2</w:t>
      </w:r>
      <w:r>
        <w:rPr>
          <w:rFonts w:hint="eastAsia" w:ascii="宋体" w:hAnsi="宋体" w:cs="楷体_GB2312"/>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7C144280">
      <w:pPr>
        <w:pStyle w:val="6"/>
        <w:snapToGrid w:val="0"/>
        <w:spacing w:line="360" w:lineRule="auto"/>
        <w:ind w:left="720" w:leftChars="228" w:hanging="241" w:hangingChars="100"/>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（三）澄清问题的形式</w:t>
      </w:r>
    </w:p>
    <w:p w14:paraId="53CC976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444281EE">
      <w:pPr>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（四）错误修正</w:t>
      </w:r>
    </w:p>
    <w:p w14:paraId="68CBB373">
      <w:pPr>
        <w:pStyle w:val="24"/>
        <w:spacing w:before="0" w:beforeAutospacing="0" w:after="0" w:afterAutospacing="0" w:line="360" w:lineRule="auto"/>
        <w:ind w:firstLine="480" w:firstLineChars="20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磋商响应文件报价出现前后不一致的，除</w:t>
      </w:r>
      <w:r>
        <w:rPr>
          <w:rFonts w:ascii="宋体" w:hAnsi="宋体"/>
          <w:bCs/>
          <w:color w:val="000000" w:themeColor="text1"/>
          <w14:textFill>
            <w14:solidFill>
              <w14:schemeClr w14:val="tx1"/>
            </w14:solidFill>
          </w14:textFill>
        </w:rPr>
        <w:t>磋商采购文件</w:t>
      </w:r>
      <w:r>
        <w:rPr>
          <w:rFonts w:ascii="宋体" w:hAnsi="宋体"/>
          <w:color w:val="000000" w:themeColor="text1"/>
          <w14:textFill>
            <w14:solidFill>
              <w14:schemeClr w14:val="tx1"/>
            </w14:solidFill>
          </w14:textFill>
        </w:rPr>
        <w:t>另有规定外，按照下列规定修正：</w:t>
      </w:r>
    </w:p>
    <w:p w14:paraId="627D8AC8">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1、磋商响应文件中首次报价一览表内容与磋商响应文件中相应内容不一致的，以首次报价一览表为准；</w:t>
      </w:r>
    </w:p>
    <w:p w14:paraId="788064E4">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2、大写金额和小写金额不一致的，以大写金额为准；</w:t>
      </w:r>
    </w:p>
    <w:p w14:paraId="1C59C684">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3、单价金额小数点或者百分比有明显错位的，以首次报价一览表的总价为准，并修改单价；</w:t>
      </w:r>
    </w:p>
    <w:p w14:paraId="44E775D1">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4、总价金额与按单价汇总金额不一致的，以单价金额计算结果为准。</w:t>
      </w:r>
    </w:p>
    <w:p w14:paraId="6BBC9C9B">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zjwstz@163.com；</w:t>
      </w:r>
    </w:p>
    <w:p w14:paraId="59C529F6">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14:paraId="4415A9C7">
      <w:pPr>
        <w:pStyle w:val="24"/>
        <w:spacing w:before="0" w:beforeAutospacing="0" w:after="0" w:afterAutospacing="0" w:line="360" w:lineRule="auto"/>
        <w:ind w:firstLine="480"/>
        <w:rPr>
          <w:rFonts w:hint="default"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（五）</w:t>
      </w:r>
      <w:r>
        <w:rPr>
          <w:rFonts w:ascii="宋体" w:hAnsi="宋体"/>
          <w:b/>
          <w:color w:val="000000" w:themeColor="text1"/>
          <w14:textFill>
            <w14:solidFill>
              <w14:schemeClr w14:val="tx1"/>
            </w14:solidFill>
          </w14:textFill>
        </w:rPr>
        <w:t>磋商供应商存在下列情况之一的，响应无效，终止磋商</w:t>
      </w:r>
    </w:p>
    <w:p w14:paraId="62EC9739">
      <w:pPr>
        <w:adjustRightInd w:val="0"/>
        <w:snapToGrid w:val="0"/>
        <w:spacing w:line="360" w:lineRule="auto"/>
        <w:ind w:firstLine="48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14:textFill>
            <w14:solidFill>
              <w14:schemeClr w14:val="tx1"/>
            </w14:solidFill>
          </w14:textFill>
        </w:rPr>
        <w:t>不具备磋商采购文件中规定的资格要求的。</w:t>
      </w:r>
    </w:p>
    <w:p w14:paraId="4B4A7C9F">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、磋商响应文件含有采购人不能接受的附加条件的。</w:t>
      </w:r>
    </w:p>
    <w:p w14:paraId="781C3DB6">
      <w:pPr>
        <w:adjustRightInd w:val="0"/>
        <w:snapToGrid w:val="0"/>
        <w:spacing w:line="360" w:lineRule="auto"/>
        <w:ind w:firstLine="480" w:firstLineChars="200"/>
        <w:jc w:val="left"/>
        <w:rPr>
          <w:rFonts w:ascii="宋体" w:hAnsi="宋体"/>
          <w:bCs/>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、供应商代表人未能出具身份证明或与法定代表人授权委托人身份不符的；</w:t>
      </w:r>
    </w:p>
    <w:p w14:paraId="6E8165C8">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3A78238">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、报价超过磋商采购文件中规定的预算金额/最高限价。</w:t>
      </w:r>
    </w:p>
    <w:p w14:paraId="06A3B58B">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、带“</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”号主要性能参数指标负偏离</w:t>
      </w:r>
      <w:r>
        <w:rPr>
          <w:rFonts w:hint="default" w:ascii="宋体" w:hAnsi="宋体"/>
          <w:bCs/>
          <w:color w:val="000000" w:themeColor="text1"/>
          <w:u w:val="single"/>
          <w:lang w:val="zh-CN"/>
          <w14:textFill>
            <w14:solidFill>
              <w14:schemeClr w14:val="tx1"/>
            </w14:solidFill>
          </w14:textFill>
        </w:rPr>
        <w:t>/</w:t>
      </w:r>
      <w:r>
        <w:rPr>
          <w:rFonts w:ascii="宋体" w:hAnsi="宋体"/>
          <w:color w:val="000000" w:themeColor="text1"/>
          <w14:textFill>
            <w14:solidFill>
              <w14:schemeClr w14:val="tx1"/>
            </w14:solidFill>
          </w14:textFill>
        </w:rPr>
        <w:t>项（含）以上的。</w:t>
      </w:r>
    </w:p>
    <w:p w14:paraId="50DAD52A">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、磋商参数未如实填写的。</w:t>
      </w:r>
    </w:p>
    <w:p w14:paraId="1D4544CF">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、磋商响应文件提供虚假材料的。</w:t>
      </w:r>
    </w:p>
    <w:p w14:paraId="2570DBD1">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磋商响应</w:t>
      </w:r>
      <w:r>
        <w:rPr>
          <w:rFonts w:ascii="宋体" w:hAnsi="宋体"/>
          <w:color w:val="000000" w:themeColor="text1"/>
          <w:sz w:val="24"/>
          <w14:textFill>
            <w14:solidFill>
              <w14:schemeClr w14:val="tx1"/>
            </w14:solidFill>
          </w14:textFill>
        </w:rPr>
        <w:t>文件由同一单位或者个人编制；</w:t>
      </w:r>
    </w:p>
    <w:p w14:paraId="49D05CBC">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、不同供应商委托同一单位或者个人办理磋商事宜；</w:t>
      </w:r>
    </w:p>
    <w:p w14:paraId="6E3D872D">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、不同供应商的磋商响应文件载明的项目管理成员或者联系人员为同一人；</w:t>
      </w:r>
    </w:p>
    <w:p w14:paraId="15F40A5C">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12</w:t>
      </w:r>
      <w:r>
        <w:rPr>
          <w:rFonts w:ascii="宋体" w:hAnsi="宋体"/>
          <w:color w:val="000000" w:themeColor="text1"/>
          <w14:textFill>
            <w14:solidFill>
              <w14:schemeClr w14:val="tx1"/>
            </w14:solidFill>
          </w14:textFill>
        </w:rPr>
        <w:t>、不同供应商的磋商响应文件异常一致或者报价呈规律性差异；</w:t>
      </w:r>
    </w:p>
    <w:p w14:paraId="02F66315">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13</w:t>
      </w:r>
      <w:r>
        <w:rPr>
          <w:rFonts w:ascii="宋体" w:hAnsi="宋体"/>
          <w:color w:val="000000" w:themeColor="text1"/>
          <w14:textFill>
            <w14:solidFill>
              <w14:schemeClr w14:val="tx1"/>
            </w14:solidFill>
          </w14:textFill>
        </w:rPr>
        <w:t>、不同供应商的磋商响应文件相互混装；</w:t>
      </w:r>
    </w:p>
    <w:p w14:paraId="39B0BB99">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14</w:t>
      </w:r>
      <w:r>
        <w:rPr>
          <w:rFonts w:ascii="宋体" w:hAnsi="宋体"/>
          <w:color w:val="000000" w:themeColor="text1"/>
          <w14:textFill>
            <w14:solidFill>
              <w14:schemeClr w14:val="tx1"/>
            </w14:solidFill>
          </w14:textFill>
        </w:rPr>
        <w:t>、不符合法律、法规和磋商采购文件中规定的其他实质性要求的（磋商采购文件中打“▲”内容及被拒绝的条款）。</w:t>
      </w:r>
    </w:p>
    <w:p w14:paraId="4FD14DB1">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仅提交“备份投标文件”或电子磋商响应文件未按时完成解密，又未提供备份电子磋商响应文件的；</w:t>
      </w:r>
    </w:p>
    <w:p w14:paraId="5C472CBC">
      <w:pPr>
        <w:autoSpaceDE w:val="0"/>
        <w:autoSpaceDN w:val="0"/>
        <w:adjustRightInd w:val="0"/>
        <w:spacing w:line="36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（六）有下列情况之一的，本次磋商终止。</w:t>
      </w:r>
    </w:p>
    <w:p w14:paraId="3BFA1D97">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1、出现影响采购公正的违法、违规行为的；</w:t>
      </w:r>
    </w:p>
    <w:p w14:paraId="2BC2676D">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2、磋商小组发现磋商文件存在歧义、重大缺陷导致评审工作无法进行，或者磋商文件内容违反国家有关强制性规定的； </w:t>
      </w:r>
    </w:p>
    <w:p w14:paraId="7093CB7E">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3、因重大变故，采购任务取消的；</w:t>
      </w:r>
    </w:p>
    <w:p w14:paraId="16E256C9">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4、法律、法规和磋商文件规定的其他导致评审结果无效的。</w:t>
      </w:r>
    </w:p>
    <w:p w14:paraId="1E340F1E">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5、因电子交易平台故障无法登录、无法正常操作等导致平台无法正常运行，或者无法保证电子交易的公平、公正和安全时，采购组织机构可中止电子交易活动。</w:t>
      </w:r>
    </w:p>
    <w:p w14:paraId="7E96DD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（七）磋商原则和方法</w:t>
      </w:r>
    </w:p>
    <w:p w14:paraId="6B548067">
      <w:pPr>
        <w:pStyle w:val="6"/>
        <w:snapToGrid w:val="0"/>
        <w:spacing w:line="360" w:lineRule="auto"/>
        <w:ind w:firstLine="600" w:firstLineChars="25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000000" w:themeColor="text1"/>
          <w:sz w:val="24"/>
          <w14:textFill>
            <w14:solidFill>
              <w14:schemeClr w14:val="tx1"/>
            </w14:solidFill>
          </w14:textFill>
        </w:rPr>
        <w:t>磋商供应商</w:t>
      </w:r>
      <w:r>
        <w:rPr>
          <w:rFonts w:ascii="宋体" w:hAnsi="宋体" w:eastAsia="宋体"/>
          <w:color w:val="000000" w:themeColor="text1"/>
          <w:sz w:val="24"/>
          <w14:textFill>
            <w14:solidFill>
              <w14:schemeClr w14:val="tx1"/>
            </w14:solidFill>
          </w14:textFill>
        </w:rPr>
        <w:t>接触。</w:t>
      </w:r>
    </w:p>
    <w:p w14:paraId="4942872F">
      <w:pPr>
        <w:pStyle w:val="6"/>
        <w:snapToGrid w:val="0"/>
        <w:spacing w:line="360" w:lineRule="auto"/>
        <w:ind w:firstLine="600" w:firstLineChars="25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办法。具体</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内容及评分标准等详见《第</w:t>
      </w:r>
      <w:r>
        <w:rPr>
          <w:rFonts w:hint="eastAsia" w:ascii="宋体" w:hAnsi="宋体" w:eastAsia="宋体"/>
          <w:color w:val="000000" w:themeColor="text1"/>
          <w:sz w:val="24"/>
          <w14:textFill>
            <w14:solidFill>
              <w14:schemeClr w14:val="tx1"/>
            </w14:solidFill>
          </w14:textFill>
        </w:rPr>
        <w:t>三章</w:t>
      </w:r>
      <w:r>
        <w:rPr>
          <w:rFonts w:ascii="宋体" w:hAnsi="宋体" w:eastAsia="宋体"/>
          <w:color w:val="000000" w:themeColor="text1"/>
          <w:sz w:val="24"/>
          <w14:textFill>
            <w14:solidFill>
              <w14:schemeClr w14:val="tx1"/>
            </w14:solidFill>
          </w14:textFill>
        </w:rPr>
        <w:t>：评审</w:t>
      </w:r>
      <w:r>
        <w:rPr>
          <w:rFonts w:hint="eastAsia" w:ascii="宋体" w:hAnsi="宋体" w:eastAsia="宋体"/>
          <w:color w:val="000000" w:themeColor="text1"/>
          <w:sz w:val="24"/>
          <w14:textFill>
            <w14:solidFill>
              <w14:schemeClr w14:val="tx1"/>
            </w14:solidFill>
          </w14:textFill>
        </w:rPr>
        <w:t>方</w:t>
      </w:r>
      <w:r>
        <w:rPr>
          <w:rFonts w:ascii="宋体" w:hAnsi="宋体" w:eastAsia="宋体"/>
          <w:color w:val="000000" w:themeColor="text1"/>
          <w:sz w:val="24"/>
          <w14:textFill>
            <w14:solidFill>
              <w14:schemeClr w14:val="tx1"/>
            </w14:solidFill>
          </w14:textFill>
        </w:rPr>
        <w:t>法及评分标准》。</w:t>
      </w:r>
    </w:p>
    <w:p w14:paraId="7B85D383">
      <w:pPr>
        <w:pStyle w:val="6"/>
        <w:snapToGrid w:val="0"/>
        <w:spacing w:line="360" w:lineRule="auto"/>
        <w:ind w:firstLine="602" w:firstLineChars="250"/>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w:t>
      </w:r>
      <w:r>
        <w:rPr>
          <w:rFonts w:hint="eastAsia" w:ascii="宋体" w:hAnsi="宋体" w:eastAsia="宋体"/>
          <w:b/>
          <w:color w:val="000000" w:themeColor="text1"/>
          <w:sz w:val="24"/>
          <w14:textFill>
            <w14:solidFill>
              <w14:schemeClr w14:val="tx1"/>
            </w14:solidFill>
          </w14:textFill>
        </w:rPr>
        <w:t>八</w:t>
      </w:r>
      <w:r>
        <w:rPr>
          <w:rFonts w:ascii="宋体" w:hAnsi="宋体" w:eastAsia="宋体"/>
          <w:b/>
          <w:color w:val="000000" w:themeColor="text1"/>
          <w:sz w:val="24"/>
          <w14:textFill>
            <w14:solidFill>
              <w14:schemeClr w14:val="tx1"/>
            </w14:solidFill>
          </w14:textFill>
        </w:rPr>
        <w:t>）评审过程的监控</w:t>
      </w:r>
    </w:p>
    <w:p w14:paraId="16900A59">
      <w:pPr>
        <w:pStyle w:val="24"/>
        <w:spacing w:before="0" w:beforeAutospacing="0" w:after="0" w:afterAutospacing="0" w:line="360" w:lineRule="auto"/>
        <w:ind w:firstLine="480" w:firstLineChars="20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2A778AFE">
      <w:pPr>
        <w:pStyle w:val="24"/>
        <w:spacing w:before="0" w:beforeAutospacing="0" w:after="0" w:afterAutospacing="0" w:line="360" w:lineRule="auto"/>
        <w:ind w:firstLine="482" w:firstLineChars="200"/>
        <w:jc w:val="both"/>
        <w:rPr>
          <w:rFonts w:hint="default"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五、磋商结果确定</w:t>
      </w:r>
    </w:p>
    <w:p w14:paraId="3414DBBE">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BECDC23">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成交结果，并将磋商文件随同公告。</w:t>
      </w:r>
    </w:p>
    <w:p w14:paraId="57429286">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14:paraId="23540E72">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六、合同签订及公告</w:t>
      </w:r>
    </w:p>
    <w:p w14:paraId="3692242D">
      <w:pPr>
        <w:pStyle w:val="2"/>
        <w:ind w:firstLine="48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（一）签订合同</w:t>
      </w:r>
    </w:p>
    <w:p w14:paraId="0CC26D36">
      <w:pPr>
        <w:pStyle w:val="2"/>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1、采购人应当自成交通知书发出之日起30日内，</w:t>
      </w:r>
      <w:r>
        <w:rPr>
          <w:rFonts w:ascii="宋体" w:hAnsi="宋体"/>
          <w:color w:val="000000" w:themeColor="text1"/>
          <w:szCs w:val="24"/>
          <w14:textFill>
            <w14:solidFill>
              <w14:schemeClr w14:val="tx1"/>
            </w14:solidFill>
          </w14:textFill>
        </w:rPr>
        <w:t>按照磋商采购文件</w:t>
      </w:r>
      <w:r>
        <w:rPr>
          <w:rFonts w:hint="eastAsia" w:ascii="宋体" w:hAnsi="宋体"/>
          <w:color w:val="000000" w:themeColor="text1"/>
          <w:szCs w:val="24"/>
          <w14:textFill>
            <w14:solidFill>
              <w14:schemeClr w14:val="tx1"/>
            </w14:solidFill>
          </w14:textFill>
        </w:rPr>
        <w:t>确定的合同文本以及采购标的、规格型号、采购金额、采购数量和服务要求等事项签订政府采购合同。</w:t>
      </w:r>
    </w:p>
    <w:p w14:paraId="57087ED2">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2A12390">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color w:val="000000" w:themeColor="text1"/>
          <w14:textFill>
            <w14:solidFill>
              <w14:schemeClr w14:val="tx1"/>
            </w14:solidFill>
          </w14:textFill>
        </w:rPr>
        <w:t>成交供应商无故拖延、拒签合同的,取消成交资格。</w:t>
      </w:r>
    </w:p>
    <w:p w14:paraId="3A185250">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11CFC7F">
      <w:pPr>
        <w:pStyle w:val="24"/>
        <w:spacing w:line="360" w:lineRule="auto"/>
        <w:ind w:firstLine="600" w:firstLineChars="25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11CB4574">
      <w:pPr>
        <w:pStyle w:val="24"/>
        <w:spacing w:line="360" w:lineRule="auto"/>
        <w:ind w:firstLine="602" w:firstLineChars="250"/>
        <w:rPr>
          <w:rFonts w:hint="default" w:ascii="宋体" w:hAnsi="宋体" w:cs="方正书宋简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（二）合同公告及备案</w:t>
      </w:r>
    </w:p>
    <w:p w14:paraId="5DBC1646">
      <w:pPr>
        <w:pStyle w:val="2"/>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1、采购人应当自政府采购合同签订之日起2个工作日内，</w:t>
      </w:r>
      <w:r>
        <w:rPr>
          <w:rFonts w:ascii="宋体" w:hAnsi="宋体"/>
          <w:color w:val="000000" w:themeColor="text1"/>
          <w:szCs w:val="24"/>
          <w14:textFill>
            <w14:solidFill>
              <w14:schemeClr w14:val="tx1"/>
            </w14:solidFill>
          </w14:textFill>
        </w:rPr>
        <w:t>在省级以上财政部门指定的</w:t>
      </w:r>
      <w:r>
        <w:rPr>
          <w:rFonts w:hint="eastAsia" w:ascii="宋体" w:hAnsi="宋体"/>
          <w:color w:val="000000" w:themeColor="text1"/>
          <w:szCs w:val="24"/>
          <w14:textFill>
            <w14:solidFill>
              <w14:schemeClr w14:val="tx1"/>
            </w14:solidFill>
          </w14:textFill>
        </w:rPr>
        <w:t>政府采购信息发布</w:t>
      </w:r>
      <w:r>
        <w:rPr>
          <w:rFonts w:ascii="宋体" w:hAnsi="宋体"/>
          <w:color w:val="000000" w:themeColor="text1"/>
          <w:szCs w:val="24"/>
          <w14:textFill>
            <w14:solidFill>
              <w14:schemeClr w14:val="tx1"/>
            </w14:solidFill>
          </w14:textFill>
        </w:rPr>
        <w:t>媒体及相关网站</w:t>
      </w:r>
      <w:r>
        <w:rPr>
          <w:rFonts w:hint="eastAsia" w:ascii="宋体" w:hAnsi="宋体"/>
          <w:color w:val="000000" w:themeColor="text1"/>
          <w:szCs w:val="24"/>
          <w14:textFill>
            <w14:solidFill>
              <w14:schemeClr w14:val="tx1"/>
            </w14:solidFill>
          </w14:textFill>
        </w:rPr>
        <w:t>上</w:t>
      </w:r>
      <w:r>
        <w:rPr>
          <w:rFonts w:ascii="宋体" w:hAnsi="宋体"/>
          <w:color w:val="000000" w:themeColor="text1"/>
          <w:szCs w:val="24"/>
          <w14:textFill>
            <w14:solidFill>
              <w14:schemeClr w14:val="tx1"/>
            </w14:solidFill>
          </w14:textFill>
        </w:rPr>
        <w:t>公告</w:t>
      </w:r>
      <w:r>
        <w:rPr>
          <w:rFonts w:hint="eastAsia" w:ascii="宋体" w:hAnsi="宋体"/>
          <w:color w:val="000000" w:themeColor="text1"/>
          <w:szCs w:val="24"/>
          <w14:textFill>
            <w14:solidFill>
              <w14:schemeClr w14:val="tx1"/>
            </w14:solidFill>
          </w14:textFill>
        </w:rPr>
        <w:t>。</w:t>
      </w:r>
    </w:p>
    <w:p w14:paraId="6505BA7A">
      <w:pPr>
        <w:pStyle w:val="2"/>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14:paraId="103A4CB0">
      <w:pPr>
        <w:pStyle w:val="2"/>
        <w:ind w:firstLine="480" w:firstLineChars="200"/>
        <w:rPr>
          <w:rFonts w:ascii="宋体" w:hAnsi="宋体"/>
          <w:color w:val="000000" w:themeColor="text1"/>
          <w14:textFill>
            <w14:solidFill>
              <w14:schemeClr w14:val="tx1"/>
            </w14:solidFill>
          </w14:textFill>
        </w:rPr>
      </w:pPr>
    </w:p>
    <w:p w14:paraId="315D2B09">
      <w:pPr>
        <w:pStyle w:val="2"/>
        <w:ind w:firstLine="480" w:firstLineChars="200"/>
        <w:rPr>
          <w:rFonts w:ascii="宋体" w:hAnsi="宋体"/>
          <w:color w:val="000000" w:themeColor="text1"/>
          <w14:textFill>
            <w14:solidFill>
              <w14:schemeClr w14:val="tx1"/>
            </w14:solidFill>
          </w14:textFill>
        </w:rPr>
      </w:pPr>
    </w:p>
    <w:p w14:paraId="35C30E54">
      <w:pPr>
        <w:pStyle w:val="2"/>
        <w:ind w:firstLine="480" w:firstLineChars="200"/>
        <w:rPr>
          <w:rFonts w:ascii="宋体" w:hAnsi="宋体"/>
          <w:color w:val="000000" w:themeColor="text1"/>
          <w14:textFill>
            <w14:solidFill>
              <w14:schemeClr w14:val="tx1"/>
            </w14:solidFill>
          </w14:textFill>
        </w:rPr>
      </w:pPr>
    </w:p>
    <w:p w14:paraId="01AD7A61">
      <w:pPr>
        <w:pStyle w:val="2"/>
        <w:ind w:firstLine="480" w:firstLineChars="200"/>
        <w:rPr>
          <w:rFonts w:ascii="宋体" w:hAnsi="宋体"/>
          <w:color w:val="000000" w:themeColor="text1"/>
          <w14:textFill>
            <w14:solidFill>
              <w14:schemeClr w14:val="tx1"/>
            </w14:solidFill>
          </w14:textFill>
        </w:rPr>
      </w:pPr>
    </w:p>
    <w:p w14:paraId="7E427555">
      <w:pPr>
        <w:spacing w:line="360" w:lineRule="auto"/>
        <w:jc w:val="center"/>
        <w:rPr>
          <w:rFonts w:ascii="宋体" w:hAnsi="宋体"/>
          <w:b/>
          <w:color w:val="000000" w:themeColor="text1"/>
          <w:sz w:val="36"/>
          <w:szCs w:val="36"/>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504E6243">
      <w:pPr>
        <w:spacing w:line="360" w:lineRule="auto"/>
        <w:jc w:val="center"/>
        <w:rPr>
          <w:rFonts w:ascii="宋体" w:hAnsi="宋体"/>
          <w:color w:val="000000" w:themeColor="text1"/>
          <w:kern w:val="0"/>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评审办法及评审标准</w:t>
      </w:r>
    </w:p>
    <w:p w14:paraId="11FD7988">
      <w:pPr>
        <w:autoSpaceDE w:val="0"/>
        <w:autoSpaceDN w:val="0"/>
        <w:spacing w:line="360" w:lineRule="auto"/>
        <w:ind w:firstLine="480" w:firstLineChars="200"/>
        <w:rPr>
          <w:rFonts w:ascii="宋体" w:hAnsi="宋体"/>
          <w:b/>
          <w:i/>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一、采购组织机构将组织</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kern w:val="0"/>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提供的</w:t>
      </w:r>
      <w:r>
        <w:rPr>
          <w:rFonts w:hint="eastAsia" w:ascii="宋体" w:hAnsi="宋体"/>
          <w:color w:val="000000" w:themeColor="text1"/>
          <w:sz w:val="24"/>
          <w14:textFill>
            <w14:solidFill>
              <w14:schemeClr w14:val="tx1"/>
            </w14:solidFill>
          </w14:textFill>
        </w:rPr>
        <w:t>磋商响应文件</w:t>
      </w:r>
      <w:r>
        <w:rPr>
          <w:rFonts w:hint="eastAsia" w:ascii="宋体" w:hAnsi="宋体"/>
          <w:color w:val="000000" w:themeColor="text1"/>
          <w:kern w:val="0"/>
          <w:sz w:val="24"/>
          <w14:textFill>
            <w14:solidFill>
              <w14:schemeClr w14:val="tx1"/>
            </w14:solidFill>
          </w14:textFill>
        </w:rPr>
        <w:t>进行综合评审。</w:t>
      </w:r>
      <w:r>
        <w:rPr>
          <w:rFonts w:ascii="宋体" w:hAnsi="宋体"/>
          <w:color w:val="000000" w:themeColor="text1"/>
          <w:kern w:val="0"/>
          <w:sz w:val="24"/>
          <w14:textFill>
            <w14:solidFill>
              <w14:schemeClr w14:val="tx1"/>
            </w14:solidFill>
          </w14:textFill>
        </w:rPr>
        <w:t xml:space="preserve">   </w:t>
      </w:r>
    </w:p>
    <w:p w14:paraId="304DD46F">
      <w:pPr>
        <w:autoSpaceDE w:val="0"/>
        <w:autoSpaceDN w:val="0"/>
        <w:adjustRightInd w:val="0"/>
        <w:spacing w:line="360" w:lineRule="auto"/>
        <w:ind w:left="359" w:leftChars="171" w:firstLine="120" w:firstLineChars="5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二、本次磋商项目的评审方法为</w:t>
      </w:r>
      <w:r>
        <w:rPr>
          <w:rFonts w:hint="eastAsia" w:ascii="宋体" w:hAnsi="宋体"/>
          <w:b/>
          <w:color w:val="000000" w:themeColor="text1"/>
          <w:kern w:val="0"/>
          <w:sz w:val="24"/>
          <w14:textFill>
            <w14:solidFill>
              <w14:schemeClr w14:val="tx1"/>
            </w14:solidFill>
          </w14:textFill>
        </w:rPr>
        <w:t>综合评分法</w:t>
      </w:r>
      <w:r>
        <w:rPr>
          <w:rFonts w:hint="eastAsia" w:ascii="宋体" w:hAnsi="宋体"/>
          <w:color w:val="000000" w:themeColor="text1"/>
          <w:kern w:val="0"/>
          <w:sz w:val="24"/>
          <w14:textFill>
            <w14:solidFill>
              <w14:schemeClr w14:val="tx1"/>
            </w14:solidFill>
          </w14:textFill>
        </w:rPr>
        <w:t>，总计100分。评审标准按以下</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项内容及分值进行评审。</w:t>
      </w:r>
    </w:p>
    <w:tbl>
      <w:tblPr>
        <w:tblStyle w:val="2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2931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4002" w:type="dxa"/>
            <w:tcBorders>
              <w:tl2br w:val="single" w:color="auto" w:sz="4" w:space="0"/>
            </w:tcBorders>
          </w:tcPr>
          <w:p w14:paraId="08643D46">
            <w:pPr>
              <w:autoSpaceDE w:val="0"/>
              <w:autoSpaceDN w:val="0"/>
              <w:adjustRightInd w:val="0"/>
              <w:jc w:val="left"/>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 xml:space="preserve">           标段</w:t>
            </w:r>
          </w:p>
          <w:p w14:paraId="72417C84">
            <w:pPr>
              <w:autoSpaceDE w:val="0"/>
              <w:autoSpaceDN w:val="0"/>
              <w:adjustRightInd w:val="0"/>
              <w:jc w:val="left"/>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类别</w:t>
            </w:r>
          </w:p>
        </w:tc>
        <w:tc>
          <w:tcPr>
            <w:tcW w:w="4305" w:type="dxa"/>
            <w:vAlign w:val="center"/>
          </w:tcPr>
          <w:p w14:paraId="7EFF50D1">
            <w:pPr>
              <w:autoSpaceDE w:val="0"/>
              <w:autoSpaceDN w:val="0"/>
              <w:adjustRightInd w:val="0"/>
              <w:spacing w:line="480" w:lineRule="auto"/>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fldChar w:fldCharType="begin"/>
            </w:r>
            <w:r>
              <w:rPr>
                <w:rFonts w:hint="eastAsia" w:ascii="宋体" w:hAnsi="宋体" w:cs="Tahoma"/>
                <w:color w:val="000000" w:themeColor="text1"/>
                <w:sz w:val="24"/>
                <w14:textFill>
                  <w14:solidFill>
                    <w14:schemeClr w14:val="tx1"/>
                  </w14:solidFill>
                </w14:textFill>
              </w:rPr>
              <w:instrText xml:space="preserve">= 1 \* CHINESENUM3</w:instrText>
            </w:r>
            <w:r>
              <w:rPr>
                <w:rFonts w:ascii="宋体" w:hAnsi="宋体" w:cs="Tahoma"/>
                <w:color w:val="000000" w:themeColor="text1"/>
                <w:sz w:val="24"/>
                <w14:textFill>
                  <w14:solidFill>
                    <w14:schemeClr w14:val="tx1"/>
                  </w14:solidFill>
                </w14:textFill>
              </w:rPr>
              <w:fldChar w:fldCharType="separate"/>
            </w:r>
            <w:r>
              <w:rPr>
                <w:rFonts w:hint="eastAsia" w:ascii="宋体" w:hAnsi="宋体" w:cs="Tahoma"/>
                <w:color w:val="000000" w:themeColor="text1"/>
                <w:sz w:val="24"/>
                <w14:textFill>
                  <w14:solidFill>
                    <w14:schemeClr w14:val="tx1"/>
                  </w14:solidFill>
                </w14:textFill>
              </w:rPr>
              <w:t>一</w:t>
            </w:r>
            <w:r>
              <w:rPr>
                <w:rFonts w:ascii="宋体" w:hAnsi="宋体" w:cs="Tahoma"/>
                <w:color w:val="000000" w:themeColor="text1"/>
                <w:sz w:val="24"/>
                <w14:textFill>
                  <w14:solidFill>
                    <w14:schemeClr w14:val="tx1"/>
                  </w14:solidFill>
                </w14:textFill>
              </w:rPr>
              <w:fldChar w:fldCharType="end"/>
            </w:r>
          </w:p>
        </w:tc>
      </w:tr>
      <w:tr w14:paraId="6EF7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14:paraId="294B4E4C">
            <w:pPr>
              <w:autoSpaceDE w:val="0"/>
              <w:autoSpaceDN w:val="0"/>
              <w:adjustRightInd w:val="0"/>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w:t>
            </w:r>
            <w:r>
              <w:rPr>
                <w:rFonts w:ascii="宋体" w:hAnsi="宋体"/>
                <w:color w:val="000000" w:themeColor="text1"/>
                <w:kern w:val="0"/>
                <w:sz w:val="24"/>
                <w14:textFill>
                  <w14:solidFill>
                    <w14:schemeClr w14:val="tx1"/>
                  </w14:solidFill>
                </w14:textFill>
              </w:rPr>
              <w:t>与技术</w:t>
            </w:r>
          </w:p>
        </w:tc>
        <w:tc>
          <w:tcPr>
            <w:tcW w:w="4305" w:type="dxa"/>
            <w:vAlign w:val="center"/>
          </w:tcPr>
          <w:p w14:paraId="2DCDDE12">
            <w:pPr>
              <w:autoSpaceDE w:val="0"/>
              <w:autoSpaceDN w:val="0"/>
              <w:adjustRightInd w:val="0"/>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t>70</w:t>
            </w:r>
          </w:p>
        </w:tc>
      </w:tr>
      <w:tr w14:paraId="539E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14:paraId="1FBC9B28">
            <w:pPr>
              <w:autoSpaceDE w:val="0"/>
              <w:autoSpaceDN w:val="0"/>
              <w:adjustRightInd w:val="0"/>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价格</w:t>
            </w:r>
          </w:p>
        </w:tc>
        <w:tc>
          <w:tcPr>
            <w:tcW w:w="4305" w:type="dxa"/>
            <w:vAlign w:val="center"/>
          </w:tcPr>
          <w:p w14:paraId="1E502171">
            <w:pPr>
              <w:autoSpaceDE w:val="0"/>
              <w:autoSpaceDN w:val="0"/>
              <w:adjustRightInd w:val="0"/>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t>30</w:t>
            </w:r>
          </w:p>
        </w:tc>
      </w:tr>
    </w:tbl>
    <w:p w14:paraId="262525F6">
      <w:pPr>
        <w:autoSpaceDE w:val="0"/>
        <w:autoSpaceDN w:val="0"/>
        <w:adjustRightInd w:val="0"/>
        <w:spacing w:line="360" w:lineRule="auto"/>
        <w:ind w:right="84" w:firstLine="472"/>
        <w:rPr>
          <w:rFonts w:ascii="宋体" w:hAnsi="宋体"/>
          <w:bCs/>
          <w:color w:val="000000" w:themeColor="text1"/>
          <w:sz w:val="24"/>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（一）商务与技术文件由</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成员在规定的分值内单独评定打分。</w:t>
      </w:r>
    </w:p>
    <w:p w14:paraId="7EE13EC7">
      <w:pPr>
        <w:autoSpaceDE w:val="0"/>
        <w:autoSpaceDN w:val="0"/>
        <w:adjustRightInd w:val="0"/>
        <w:spacing w:line="360" w:lineRule="auto"/>
        <w:ind w:right="84" w:firstLine="472"/>
        <w:rPr>
          <w:rFonts w:ascii="宋体" w:hAnsi="宋体"/>
          <w:bCs/>
          <w:color w:val="000000" w:themeColor="text1"/>
          <w:sz w:val="24"/>
          <w:shd w:val="clear" w:color="FFFFFF" w:fill="D9D9D9"/>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（二）各磋商供应商商务与技术文件</w:t>
      </w:r>
      <w:r>
        <w:rPr>
          <w:rFonts w:hint="eastAsia" w:ascii="宋体" w:hAnsi="宋体"/>
          <w:color w:val="000000" w:themeColor="text1"/>
          <w:kern w:val="0"/>
          <w:sz w:val="24"/>
          <w:lang w:val="zh-CN"/>
          <w14:textFill>
            <w14:solidFill>
              <w14:schemeClr w14:val="tx1"/>
            </w14:solidFill>
          </w14:textFill>
        </w:rPr>
        <w:t>得分按照</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kern w:val="0"/>
          <w:sz w:val="24"/>
          <w:lang w:val="zh-CN"/>
          <w14:textFill>
            <w14:solidFill>
              <w14:schemeClr w14:val="tx1"/>
            </w14:solidFill>
          </w14:textFill>
        </w:rPr>
        <w:t>成</w:t>
      </w:r>
      <w:r>
        <w:rPr>
          <w:rFonts w:hint="eastAsia" w:ascii="宋体" w:hAnsi="宋体"/>
          <w:bCs/>
          <w:color w:val="000000" w:themeColor="text1"/>
          <w:sz w:val="24"/>
          <w:lang w:val="zh-CN"/>
          <w14:textFill>
            <w14:solidFill>
              <w14:schemeClr w14:val="tx1"/>
            </w14:solidFill>
          </w14:textFill>
        </w:rPr>
        <w:t>员的独立评分结果汇总后的算术平均分计算，计算公式为：</w:t>
      </w:r>
    </w:p>
    <w:p w14:paraId="69BEA0CD">
      <w:pPr>
        <w:autoSpaceDE w:val="0"/>
        <w:autoSpaceDN w:val="0"/>
        <w:adjustRightInd w:val="0"/>
        <w:spacing w:line="360" w:lineRule="auto"/>
        <w:ind w:right="84" w:firstLine="472"/>
        <w:rPr>
          <w:rFonts w:ascii="宋体" w:hAns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hAnsi="宋体"/>
          <w:bCs/>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所有成员评分合计数/</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组成人员数。</w:t>
      </w:r>
    </w:p>
    <w:p w14:paraId="7857FB6C">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（三）</w:t>
      </w:r>
      <w:r>
        <w:rPr>
          <w:rFonts w:hint="eastAsia" w:ascii="宋体" w:hAnsi="宋体"/>
          <w:color w:val="000000" w:themeColor="text1"/>
          <w:sz w:val="24"/>
          <w:u w:val="single"/>
          <w14:textFill>
            <w14:solidFill>
              <w14:schemeClr w14:val="tx1"/>
            </w14:solidFill>
          </w14:textFill>
        </w:rPr>
        <w:t>综合评分法中的价格分统一</w:t>
      </w:r>
      <w:r>
        <w:rPr>
          <w:rFonts w:hint="eastAsia" w:ascii="宋体" w:hAnsi="宋体"/>
          <w:color w:val="000000" w:themeColor="text1"/>
          <w:sz w:val="24"/>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69B68AA6">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磋商报价得</w:t>
      </w:r>
      <w:r>
        <w:rPr>
          <w:rFonts w:ascii="宋体" w:hAnsi="宋体"/>
          <w:color w:val="000000" w:themeColor="text1"/>
          <w:sz w:val="24"/>
          <w:u w:val="single"/>
          <w14:textFill>
            <w14:solidFill>
              <w14:schemeClr w14:val="tx1"/>
            </w14:solidFill>
          </w14:textFill>
        </w:rPr>
        <w:t>分=(</w:t>
      </w:r>
      <w:r>
        <w:rPr>
          <w:rFonts w:hint="eastAsia" w:ascii="宋体" w:hAnsi="宋体"/>
          <w:color w:val="000000" w:themeColor="text1"/>
          <w:sz w:val="24"/>
          <w:u w:val="single"/>
          <w:lang w:val="zh-CN"/>
          <w14:textFill>
            <w14:solidFill>
              <w14:schemeClr w14:val="tx1"/>
            </w14:solidFill>
          </w14:textFill>
        </w:rPr>
        <w:t>磋商基准价</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最后磋商</w:t>
      </w:r>
      <w:r>
        <w:rPr>
          <w:rFonts w:ascii="宋体" w:hAnsi="宋体"/>
          <w:color w:val="000000" w:themeColor="text1"/>
          <w:sz w:val="24"/>
          <w:u w:val="single"/>
          <w14:textFill>
            <w14:solidFill>
              <w14:schemeClr w14:val="tx1"/>
            </w14:solidFill>
          </w14:textFill>
        </w:rPr>
        <w:t>报价)×30%×100</w:t>
      </w:r>
      <w:r>
        <w:rPr>
          <w:rFonts w:hint="eastAsia" w:ascii="宋体" w:hAnsi="宋体"/>
          <w:color w:val="000000" w:themeColor="text1"/>
          <w:sz w:val="24"/>
          <w:u w:val="single"/>
          <w14:textFill>
            <w14:solidFill>
              <w14:schemeClr w14:val="tx1"/>
            </w14:solidFill>
          </w14:textFill>
        </w:rPr>
        <w:t xml:space="preserve"> 。</w:t>
      </w:r>
    </w:p>
    <w:p w14:paraId="48CAF10B">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（四）本项目专门面向中小企业采购，不再执行价格评审优惠的扶持政策。</w:t>
      </w:r>
    </w:p>
    <w:p w14:paraId="75D273F0">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（五）政府采购政策及优惠：</w:t>
      </w:r>
    </w:p>
    <w:p w14:paraId="48BD5798">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420F77CD">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zh-CN"/>
          <w14:textFill>
            <w14:solidFill>
              <w14:schemeClr w14:val="tx1"/>
            </w14:solidFill>
          </w14:textFill>
        </w:rPr>
        <w:t>%的扣除，用扣除后的价格参加评审。</w:t>
      </w:r>
    </w:p>
    <w:p w14:paraId="1C17F7D9">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组成联合体或者接受分包的小微企业与联合体内其他企业、分包企业之间存在直接控股、管理关系的，不享受价格扣除优惠政策。</w:t>
      </w:r>
    </w:p>
    <w:p w14:paraId="34505999">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0A5DD5FB">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投标文件中须同时出具《政府采购促进中小企业发展管理办法》【财库（2020）46号】规定的《中小企业声明函》，否则不得享受价格扣除。</w:t>
      </w:r>
    </w:p>
    <w:p w14:paraId="3A4B6C03">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本项目对符合规定的小微企业（含小型企业）报价给予10%的扣除。</w:t>
      </w:r>
    </w:p>
    <w:p w14:paraId="582FD437">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14:paraId="4BF0BA37">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14:paraId="7CA59A68">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60714F5A">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享受政府采购支持政策的残疾人福利性单位应当同时满足以下条件：</w:t>
      </w:r>
    </w:p>
    <w:p w14:paraId="0A7A8825">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①安置的残疾人占本单位在职职工人数的比例不低于25%（含25%），并且安置的残疾人人数不少于10人（含10人）；</w:t>
      </w:r>
    </w:p>
    <w:p w14:paraId="573BA7E6">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②依法与安置的每位残疾人签订了一年以上（含一年）的劳动合同或服务协议；</w:t>
      </w:r>
    </w:p>
    <w:p w14:paraId="4F2693A9">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③为安置的每位残疾人按月足额缴纳了基本养老保险、基本医疗保险、失业保险、工伤保险和生育保险等社会保险费；</w:t>
      </w:r>
    </w:p>
    <w:p w14:paraId="64C9B067">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④通过银行等金融机构向安置的每位残疾人，按月支付了不低于单位所在区县适用的经省级人民政府批准的月最低工资标准的工资；</w:t>
      </w:r>
    </w:p>
    <w:p w14:paraId="06145239">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3572AD84">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0D1EB1">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注：得分以系统计算为准，保留2位小数。</w:t>
      </w:r>
    </w:p>
    <w:p w14:paraId="64925D45">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三、在最大限度地满足磋商文件实质性要求前提下，</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sz w:val="24"/>
          <w:lang w:val="zh-CN"/>
          <w14:textFill>
            <w14:solidFill>
              <w14:schemeClr w14:val="tx1"/>
            </w14:solidFill>
          </w14:textFill>
        </w:rPr>
        <w:t>按照磋商文件中规定的各项因素进行综合评审后，以评审总得分最高的供应商为第一成交候选供应商，总得分次高的为第二成交候选供应商，总得分第三高的为第三成交候选供应商。</w:t>
      </w:r>
    </w:p>
    <w:p w14:paraId="5D1EF628">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四、如综合得分相同，最后报价低者为先；如综合得分且最后报价相同的，以实力信誉及业绩得分较高者为先。</w:t>
      </w:r>
    </w:p>
    <w:p w14:paraId="4AD646B1">
      <w:pPr>
        <w:autoSpaceDE w:val="0"/>
        <w:autoSpaceDN w:val="0"/>
        <w:adjustRightInd w:val="0"/>
        <w:spacing w:line="360" w:lineRule="auto"/>
        <w:ind w:right="85"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五、</w:t>
      </w:r>
      <w:r>
        <w:rPr>
          <w:rFonts w:hint="eastAsia" w:ascii="宋体" w:hAnsi="宋体"/>
          <w:color w:val="000000" w:themeColor="text1"/>
          <w:kern w:val="0"/>
          <w:sz w:val="24"/>
          <w14:textFill>
            <w14:solidFill>
              <w14:schemeClr w14:val="tx1"/>
            </w14:solidFill>
          </w14:textFill>
        </w:rPr>
        <w:t>本次商务与技术评分具体分值细化条款如下表：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8"/>
        <w:gridCol w:w="5907"/>
        <w:gridCol w:w="706"/>
        <w:gridCol w:w="486"/>
      </w:tblGrid>
      <w:tr w14:paraId="37EA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noWrap/>
            <w:vAlign w:val="center"/>
          </w:tcPr>
          <w:p w14:paraId="56C3C297">
            <w:pPr>
              <w:widowControl/>
              <w:spacing w:line="400" w:lineRule="exact"/>
              <w:jc w:val="center"/>
              <w:rPr>
                <w:rFonts w:ascii="宋体" w:hAnsi="宋体" w:cs="宋体"/>
                <w:bCs/>
                <w:kern w:val="0"/>
                <w:sz w:val="24"/>
              </w:rPr>
            </w:pPr>
            <w:r>
              <w:rPr>
                <w:rFonts w:hint="eastAsia" w:ascii="宋体" w:hAnsi="宋体" w:cs="宋体"/>
                <w:bCs/>
                <w:kern w:val="0"/>
                <w:sz w:val="24"/>
              </w:rPr>
              <w:t>序号</w:t>
            </w:r>
          </w:p>
        </w:tc>
        <w:tc>
          <w:tcPr>
            <w:tcW w:w="550" w:type="pct"/>
            <w:noWrap/>
            <w:vAlign w:val="center"/>
          </w:tcPr>
          <w:p w14:paraId="67B2B5D5">
            <w:pPr>
              <w:widowControl/>
              <w:spacing w:line="400" w:lineRule="exact"/>
              <w:jc w:val="center"/>
              <w:rPr>
                <w:rFonts w:ascii="宋体" w:hAnsi="宋体" w:cs="宋体"/>
                <w:bCs/>
                <w:kern w:val="0"/>
                <w:sz w:val="24"/>
              </w:rPr>
            </w:pPr>
            <w:r>
              <w:rPr>
                <w:rFonts w:hint="eastAsia" w:ascii="宋体" w:hAnsi="宋体" w:cs="宋体"/>
                <w:bCs/>
                <w:kern w:val="0"/>
                <w:sz w:val="24"/>
              </w:rPr>
              <w:t>评审内容</w:t>
            </w:r>
          </w:p>
        </w:tc>
        <w:tc>
          <w:tcPr>
            <w:tcW w:w="3464" w:type="pct"/>
            <w:noWrap/>
            <w:vAlign w:val="center"/>
          </w:tcPr>
          <w:p w14:paraId="6459932E">
            <w:pPr>
              <w:widowControl/>
              <w:spacing w:line="400" w:lineRule="exact"/>
              <w:jc w:val="center"/>
              <w:rPr>
                <w:rFonts w:ascii="宋体" w:hAnsi="宋体" w:cs="宋体"/>
                <w:bCs/>
                <w:kern w:val="0"/>
                <w:sz w:val="24"/>
              </w:rPr>
            </w:pPr>
            <w:r>
              <w:rPr>
                <w:rFonts w:hint="eastAsia" w:ascii="宋体" w:hAnsi="宋体" w:cs="宋体"/>
                <w:bCs/>
                <w:kern w:val="0"/>
                <w:sz w:val="24"/>
              </w:rPr>
              <w:t>评分细则</w:t>
            </w:r>
          </w:p>
        </w:tc>
        <w:tc>
          <w:tcPr>
            <w:tcW w:w="414" w:type="pct"/>
            <w:noWrap/>
            <w:vAlign w:val="center"/>
          </w:tcPr>
          <w:p w14:paraId="68DBF96C">
            <w:pPr>
              <w:widowControl/>
              <w:spacing w:line="400" w:lineRule="exact"/>
              <w:jc w:val="center"/>
              <w:rPr>
                <w:rFonts w:ascii="宋体" w:hAnsi="宋体" w:cs="宋体"/>
                <w:bCs/>
                <w:kern w:val="0"/>
                <w:sz w:val="24"/>
              </w:rPr>
            </w:pPr>
            <w:r>
              <w:rPr>
                <w:rFonts w:hint="eastAsia" w:ascii="宋体" w:hAnsi="宋体" w:cs="宋体"/>
                <w:bCs/>
                <w:kern w:val="0"/>
                <w:sz w:val="24"/>
              </w:rPr>
              <w:t>分值</w:t>
            </w:r>
          </w:p>
        </w:tc>
        <w:tc>
          <w:tcPr>
            <w:tcW w:w="285" w:type="pct"/>
            <w:noWrap/>
            <w:vAlign w:val="center"/>
          </w:tcPr>
          <w:p w14:paraId="2989EB11">
            <w:pPr>
              <w:widowControl/>
              <w:spacing w:line="400" w:lineRule="exact"/>
              <w:jc w:val="center"/>
              <w:rPr>
                <w:rFonts w:ascii="宋体" w:hAnsi="宋体" w:cs="宋体"/>
                <w:bCs/>
                <w:kern w:val="0"/>
                <w:sz w:val="24"/>
                <w:lang w:eastAsia="zh-Hans"/>
              </w:rPr>
            </w:pPr>
            <w:r>
              <w:rPr>
                <w:rFonts w:hint="eastAsia" w:ascii="宋体" w:hAnsi="宋体" w:cs="宋体"/>
                <w:bCs/>
                <w:kern w:val="0"/>
                <w:sz w:val="24"/>
                <w:lang w:eastAsia="zh-Hans"/>
              </w:rPr>
              <w:t>备注</w:t>
            </w:r>
          </w:p>
        </w:tc>
      </w:tr>
      <w:tr w14:paraId="6ACB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restart"/>
            <w:noWrap/>
            <w:vAlign w:val="center"/>
          </w:tcPr>
          <w:p w14:paraId="6620039B">
            <w:pPr>
              <w:widowControl/>
              <w:spacing w:line="400" w:lineRule="exact"/>
              <w:jc w:val="center"/>
              <w:rPr>
                <w:rFonts w:ascii="宋体" w:hAnsi="宋体" w:cs="宋体"/>
                <w:bCs/>
                <w:kern w:val="0"/>
                <w:sz w:val="24"/>
              </w:rPr>
            </w:pPr>
            <w:r>
              <w:rPr>
                <w:rFonts w:hint="eastAsia" w:ascii="宋体" w:hAnsi="宋体" w:cs="宋体"/>
                <w:bCs/>
                <w:kern w:val="0"/>
                <w:sz w:val="24"/>
              </w:rPr>
              <w:t>1</w:t>
            </w:r>
          </w:p>
        </w:tc>
        <w:tc>
          <w:tcPr>
            <w:tcW w:w="550" w:type="pct"/>
            <w:vMerge w:val="restart"/>
            <w:noWrap/>
            <w:vAlign w:val="center"/>
          </w:tcPr>
          <w:p w14:paraId="61DBCCDB">
            <w:pPr>
              <w:widowControl/>
              <w:spacing w:line="400" w:lineRule="exact"/>
              <w:jc w:val="center"/>
              <w:rPr>
                <w:rFonts w:ascii="宋体" w:hAnsi="宋体" w:cs="宋体"/>
                <w:bCs/>
                <w:kern w:val="0"/>
                <w:sz w:val="24"/>
              </w:rPr>
            </w:pPr>
            <w:r>
              <w:rPr>
                <w:rFonts w:hint="eastAsia" w:ascii="宋体" w:hAnsi="宋体" w:cs="宋体"/>
                <w:bCs/>
                <w:kern w:val="0"/>
                <w:sz w:val="24"/>
              </w:rPr>
              <w:t>企业业绩</w:t>
            </w:r>
          </w:p>
        </w:tc>
        <w:tc>
          <w:tcPr>
            <w:tcW w:w="3464" w:type="pct"/>
            <w:noWrap/>
            <w:vAlign w:val="center"/>
          </w:tcPr>
          <w:p w14:paraId="4B2EC271">
            <w:pPr>
              <w:snapToGrid w:val="0"/>
              <w:spacing w:line="400" w:lineRule="exact"/>
              <w:rPr>
                <w:rFonts w:ascii="宋体" w:hAnsi="宋体"/>
                <w:bCs/>
                <w:sz w:val="24"/>
              </w:rPr>
            </w:pPr>
            <w:r>
              <w:rPr>
                <w:rFonts w:hint="eastAsia" w:ascii="宋体" w:hAnsi="宋体"/>
                <w:bCs/>
                <w:sz w:val="24"/>
              </w:rPr>
              <w:t>1.1 20</w:t>
            </w:r>
            <w:r>
              <w:rPr>
                <w:rFonts w:ascii="宋体" w:hAnsi="宋体"/>
                <w:bCs/>
                <w:sz w:val="24"/>
              </w:rPr>
              <w:t>2</w:t>
            </w:r>
            <w:r>
              <w:rPr>
                <w:rFonts w:hint="eastAsia" w:ascii="宋体" w:hAnsi="宋体"/>
                <w:bCs/>
                <w:sz w:val="24"/>
              </w:rPr>
              <w:t>2年1月1日至今，投标人具有</w:t>
            </w:r>
            <w:r>
              <w:rPr>
                <w:rFonts w:hint="eastAsia" w:ascii="宋体" w:hAnsi="宋体"/>
                <w:sz w:val="24"/>
              </w:rPr>
              <w:t>装修</w:t>
            </w:r>
            <w:r>
              <w:rPr>
                <w:rFonts w:hint="eastAsia" w:ascii="宋体" w:hAnsi="宋体"/>
                <w:sz w:val="24"/>
                <w:lang w:eastAsia="zh-Hans"/>
              </w:rPr>
              <w:t>工程</w:t>
            </w:r>
            <w:r>
              <w:rPr>
                <w:rFonts w:hint="eastAsia" w:ascii="宋体" w:hAnsi="宋体"/>
                <w:bCs/>
                <w:sz w:val="24"/>
              </w:rPr>
              <w:t>施工业绩的每个得</w:t>
            </w:r>
            <w:r>
              <w:rPr>
                <w:rFonts w:ascii="宋体" w:hAnsi="宋体"/>
                <w:bCs/>
                <w:sz w:val="24"/>
              </w:rPr>
              <w:t>0.5</w:t>
            </w:r>
            <w:r>
              <w:rPr>
                <w:rFonts w:hint="eastAsia" w:ascii="宋体" w:hAnsi="宋体"/>
                <w:bCs/>
                <w:sz w:val="24"/>
              </w:rPr>
              <w:t>分，最高</w:t>
            </w:r>
            <w:r>
              <w:rPr>
                <w:rFonts w:ascii="宋体" w:hAnsi="宋体"/>
                <w:bCs/>
                <w:sz w:val="24"/>
              </w:rPr>
              <w:t>1</w:t>
            </w:r>
            <w:r>
              <w:rPr>
                <w:rFonts w:hint="eastAsia" w:ascii="宋体" w:hAnsi="宋体"/>
                <w:bCs/>
                <w:sz w:val="24"/>
              </w:rPr>
              <w:t>分。</w:t>
            </w:r>
          </w:p>
          <w:p w14:paraId="4900BF62">
            <w:pPr>
              <w:snapToGrid w:val="0"/>
              <w:spacing w:line="400" w:lineRule="exact"/>
              <w:rPr>
                <w:rFonts w:ascii="宋体" w:hAnsi="宋体" w:cs="宋体"/>
                <w:bCs/>
                <w:kern w:val="0"/>
                <w:sz w:val="24"/>
              </w:rPr>
            </w:pPr>
            <w:r>
              <w:rPr>
                <w:rFonts w:hint="eastAsia" w:ascii="宋体" w:hAnsi="宋体" w:cs="宋体"/>
                <w:bCs/>
                <w:kern w:val="0"/>
                <w:sz w:val="24"/>
              </w:rPr>
              <w:t>（提供施工合同或竣工验收证明扫描件）</w:t>
            </w:r>
          </w:p>
        </w:tc>
        <w:tc>
          <w:tcPr>
            <w:tcW w:w="414" w:type="pct"/>
            <w:noWrap/>
            <w:vAlign w:val="center"/>
          </w:tcPr>
          <w:p w14:paraId="11463C49">
            <w:pPr>
              <w:widowControl/>
              <w:spacing w:line="400" w:lineRule="exact"/>
              <w:jc w:val="center"/>
              <w:rPr>
                <w:rFonts w:ascii="宋体" w:hAnsi="宋体" w:cs="宋体"/>
                <w:bCs/>
                <w:kern w:val="0"/>
                <w:sz w:val="24"/>
              </w:rPr>
            </w:pPr>
            <w:r>
              <w:rPr>
                <w:rFonts w:ascii="宋体" w:hAnsi="宋体" w:cs="宋体"/>
                <w:bCs/>
                <w:kern w:val="0"/>
                <w:sz w:val="24"/>
              </w:rPr>
              <w:t>1</w:t>
            </w:r>
          </w:p>
        </w:tc>
        <w:tc>
          <w:tcPr>
            <w:tcW w:w="285" w:type="pct"/>
            <w:noWrap/>
            <w:vAlign w:val="center"/>
          </w:tcPr>
          <w:p w14:paraId="325BCCE2">
            <w:pPr>
              <w:widowControl/>
              <w:spacing w:line="400" w:lineRule="exact"/>
              <w:jc w:val="center"/>
              <w:rPr>
                <w:rFonts w:ascii="宋体" w:hAnsi="宋体" w:cs="宋体"/>
                <w:bCs/>
                <w:kern w:val="0"/>
                <w:sz w:val="24"/>
                <w:lang w:eastAsia="zh-Hans"/>
              </w:rPr>
            </w:pPr>
            <w:r>
              <w:rPr>
                <w:rFonts w:hint="eastAsia" w:ascii="宋体" w:hAnsi="宋体" w:cs="宋体"/>
                <w:bCs/>
                <w:kern w:val="0"/>
                <w:sz w:val="24"/>
                <w:lang w:eastAsia="zh-Hans"/>
              </w:rPr>
              <w:t>客观分</w:t>
            </w:r>
          </w:p>
        </w:tc>
      </w:tr>
      <w:tr w14:paraId="730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continue"/>
            <w:noWrap/>
            <w:vAlign w:val="center"/>
          </w:tcPr>
          <w:p w14:paraId="7960D822">
            <w:pPr>
              <w:widowControl/>
              <w:spacing w:line="400" w:lineRule="exact"/>
              <w:jc w:val="center"/>
              <w:rPr>
                <w:rFonts w:ascii="宋体" w:hAnsi="宋体" w:cs="宋体"/>
                <w:bCs/>
                <w:kern w:val="0"/>
                <w:sz w:val="24"/>
              </w:rPr>
            </w:pPr>
          </w:p>
        </w:tc>
        <w:tc>
          <w:tcPr>
            <w:tcW w:w="550" w:type="pct"/>
            <w:vMerge w:val="continue"/>
            <w:noWrap/>
            <w:vAlign w:val="center"/>
          </w:tcPr>
          <w:p w14:paraId="79808E8D">
            <w:pPr>
              <w:widowControl/>
              <w:spacing w:line="400" w:lineRule="exact"/>
              <w:jc w:val="center"/>
              <w:rPr>
                <w:rFonts w:ascii="宋体" w:hAnsi="宋体" w:cs="宋体"/>
                <w:bCs/>
                <w:kern w:val="0"/>
                <w:sz w:val="24"/>
              </w:rPr>
            </w:pPr>
          </w:p>
        </w:tc>
        <w:tc>
          <w:tcPr>
            <w:tcW w:w="3464" w:type="pct"/>
            <w:noWrap/>
            <w:vAlign w:val="center"/>
          </w:tcPr>
          <w:p w14:paraId="140F2114">
            <w:pPr>
              <w:snapToGrid w:val="0"/>
              <w:spacing w:line="400" w:lineRule="exact"/>
              <w:rPr>
                <w:rFonts w:ascii="宋体" w:hAnsi="宋体" w:cs="宋体"/>
                <w:bCs/>
                <w:kern w:val="0"/>
                <w:sz w:val="24"/>
              </w:rPr>
            </w:pPr>
            <w:r>
              <w:rPr>
                <w:rFonts w:hint="eastAsia" w:ascii="宋体" w:hAnsi="宋体" w:cs="宋体"/>
                <w:bCs/>
                <w:kern w:val="0"/>
                <w:sz w:val="24"/>
              </w:rPr>
              <w:t>1.2 拟派项目经理自20</w:t>
            </w:r>
            <w:r>
              <w:rPr>
                <w:rFonts w:ascii="宋体" w:hAnsi="宋体" w:cs="宋体"/>
                <w:bCs/>
                <w:kern w:val="0"/>
                <w:sz w:val="24"/>
              </w:rPr>
              <w:t>2</w:t>
            </w:r>
            <w:r>
              <w:rPr>
                <w:rFonts w:hint="eastAsia" w:ascii="宋体" w:hAnsi="宋体" w:cs="宋体"/>
                <w:bCs/>
                <w:kern w:val="0"/>
                <w:sz w:val="24"/>
              </w:rPr>
              <w:t>2年1月1日以来（以合同签订时间为准）以项目经理身份参与的同类合同业绩，每提供1份业绩证明得0.5分（最高得0.5分）。</w:t>
            </w:r>
          </w:p>
          <w:p w14:paraId="3C151307">
            <w:pPr>
              <w:snapToGrid w:val="0"/>
              <w:spacing w:line="400" w:lineRule="exact"/>
              <w:rPr>
                <w:rFonts w:ascii="宋体" w:hAnsi="宋体" w:cs="宋体"/>
                <w:bCs/>
                <w:kern w:val="0"/>
                <w:sz w:val="24"/>
              </w:rPr>
            </w:pPr>
            <w:r>
              <w:rPr>
                <w:rFonts w:hint="eastAsia" w:ascii="宋体" w:hAnsi="宋体" w:cs="宋体"/>
                <w:bCs/>
                <w:kern w:val="0"/>
                <w:sz w:val="24"/>
              </w:rPr>
              <w:t>备注：项目经理同类合同业绩须同时出具合同扫描件，竣工验收报告(或分部分项竣工验收报告)，合同中无法体现项目经理名字的可提供业主证明材料作为补充。</w:t>
            </w:r>
          </w:p>
        </w:tc>
        <w:tc>
          <w:tcPr>
            <w:tcW w:w="414" w:type="pct"/>
            <w:noWrap/>
            <w:vAlign w:val="center"/>
          </w:tcPr>
          <w:p w14:paraId="6102F12B">
            <w:pPr>
              <w:widowControl/>
              <w:spacing w:line="400" w:lineRule="exact"/>
              <w:jc w:val="center"/>
              <w:rPr>
                <w:rFonts w:ascii="宋体" w:hAnsi="宋体" w:cs="宋体"/>
                <w:bCs/>
                <w:kern w:val="0"/>
                <w:sz w:val="24"/>
              </w:rPr>
            </w:pPr>
            <w:r>
              <w:rPr>
                <w:rFonts w:ascii="宋体" w:hAnsi="宋体" w:cs="宋体"/>
                <w:bCs/>
                <w:kern w:val="0"/>
                <w:sz w:val="24"/>
              </w:rPr>
              <w:t>0.5</w:t>
            </w:r>
          </w:p>
        </w:tc>
        <w:tc>
          <w:tcPr>
            <w:tcW w:w="285" w:type="pct"/>
            <w:noWrap/>
            <w:vAlign w:val="center"/>
          </w:tcPr>
          <w:p w14:paraId="5420B168">
            <w:pPr>
              <w:widowControl/>
              <w:spacing w:line="400" w:lineRule="exact"/>
              <w:jc w:val="center"/>
              <w:rPr>
                <w:rFonts w:ascii="宋体" w:hAnsi="宋体" w:cs="宋体"/>
                <w:bCs/>
                <w:kern w:val="0"/>
                <w:sz w:val="24"/>
              </w:rPr>
            </w:pPr>
            <w:r>
              <w:rPr>
                <w:rFonts w:hint="eastAsia" w:ascii="宋体" w:hAnsi="宋体" w:cs="宋体"/>
                <w:bCs/>
                <w:kern w:val="0"/>
                <w:sz w:val="24"/>
                <w:lang w:eastAsia="zh-Hans"/>
              </w:rPr>
              <w:t>客观分</w:t>
            </w:r>
          </w:p>
        </w:tc>
      </w:tr>
      <w:tr w14:paraId="0405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4" w:type="pct"/>
            <w:noWrap/>
            <w:vAlign w:val="center"/>
          </w:tcPr>
          <w:p w14:paraId="0D2CA617">
            <w:pPr>
              <w:spacing w:line="400" w:lineRule="exact"/>
              <w:jc w:val="center"/>
              <w:rPr>
                <w:rFonts w:ascii="宋体" w:hAnsi="宋体" w:cs="宋体"/>
                <w:bCs/>
                <w:kern w:val="0"/>
                <w:sz w:val="24"/>
              </w:rPr>
            </w:pPr>
            <w:r>
              <w:rPr>
                <w:rFonts w:ascii="宋体" w:hAnsi="宋体" w:cs="宋体"/>
                <w:bCs/>
                <w:kern w:val="0"/>
                <w:sz w:val="24"/>
              </w:rPr>
              <w:t>2</w:t>
            </w:r>
          </w:p>
        </w:tc>
        <w:tc>
          <w:tcPr>
            <w:tcW w:w="550" w:type="pct"/>
            <w:noWrap/>
            <w:vAlign w:val="center"/>
          </w:tcPr>
          <w:p w14:paraId="6CE80C33">
            <w:pPr>
              <w:spacing w:line="400" w:lineRule="exact"/>
              <w:jc w:val="center"/>
              <w:rPr>
                <w:rFonts w:ascii="宋体" w:hAnsi="宋体" w:cs="宋体"/>
                <w:bCs/>
                <w:kern w:val="0"/>
                <w:sz w:val="24"/>
              </w:rPr>
            </w:pPr>
            <w:r>
              <w:rPr>
                <w:rFonts w:hint="eastAsia" w:ascii="宋体" w:hAnsi="宋体" w:cs="宋体"/>
                <w:bCs/>
                <w:kern w:val="0"/>
                <w:sz w:val="24"/>
              </w:rPr>
              <w:t>企业认证</w:t>
            </w:r>
          </w:p>
        </w:tc>
        <w:tc>
          <w:tcPr>
            <w:tcW w:w="3464" w:type="pct"/>
            <w:noWrap/>
            <w:vAlign w:val="center"/>
          </w:tcPr>
          <w:p w14:paraId="47AFE498">
            <w:pPr>
              <w:snapToGrid w:val="0"/>
              <w:spacing w:line="400" w:lineRule="exact"/>
              <w:rPr>
                <w:rFonts w:ascii="宋体" w:hAnsi="宋体"/>
                <w:bCs/>
                <w:sz w:val="24"/>
              </w:rPr>
            </w:pPr>
            <w:r>
              <w:rPr>
                <w:rFonts w:hint="eastAsia" w:ascii="宋体" w:hAnsi="宋体"/>
                <w:bCs/>
                <w:sz w:val="24"/>
              </w:rPr>
              <w:t>投标人具备三项体系认证，且在有效期内的：质量管理体系认证、环境管理体系认证、职业安全健康管理体系认证证书，每有一项得0.5分，最高得1.5分。</w:t>
            </w:r>
          </w:p>
          <w:p w14:paraId="77B861AB">
            <w:pPr>
              <w:snapToGrid w:val="0"/>
              <w:spacing w:line="400" w:lineRule="exact"/>
              <w:rPr>
                <w:rFonts w:ascii="宋体" w:hAnsi="宋体"/>
                <w:bCs/>
                <w:sz w:val="24"/>
              </w:rPr>
            </w:pPr>
            <w:r>
              <w:rPr>
                <w:rFonts w:hint="eastAsia" w:ascii="宋体" w:hAnsi="宋体"/>
                <w:bCs/>
                <w:sz w:val="24"/>
              </w:rPr>
              <w:t>提供有效的证书扫描件</w:t>
            </w:r>
          </w:p>
        </w:tc>
        <w:tc>
          <w:tcPr>
            <w:tcW w:w="414" w:type="pct"/>
            <w:noWrap/>
            <w:vAlign w:val="center"/>
          </w:tcPr>
          <w:p w14:paraId="4310009F">
            <w:pPr>
              <w:spacing w:line="400" w:lineRule="exact"/>
              <w:jc w:val="center"/>
              <w:rPr>
                <w:rFonts w:ascii="宋体" w:hAnsi="宋体" w:cs="宋体"/>
                <w:bCs/>
                <w:kern w:val="0"/>
                <w:sz w:val="24"/>
              </w:rPr>
            </w:pPr>
            <w:r>
              <w:rPr>
                <w:rFonts w:hint="eastAsia" w:ascii="宋体" w:hAnsi="宋体" w:cs="宋体"/>
                <w:bCs/>
                <w:kern w:val="0"/>
                <w:sz w:val="24"/>
              </w:rPr>
              <w:t>1.5</w:t>
            </w:r>
          </w:p>
        </w:tc>
        <w:tc>
          <w:tcPr>
            <w:tcW w:w="285" w:type="pct"/>
            <w:noWrap/>
            <w:vAlign w:val="center"/>
          </w:tcPr>
          <w:p w14:paraId="760C5166">
            <w:pPr>
              <w:spacing w:line="400" w:lineRule="exact"/>
              <w:jc w:val="center"/>
              <w:rPr>
                <w:rFonts w:ascii="宋体" w:hAnsi="宋体" w:cs="宋体"/>
                <w:bCs/>
                <w:kern w:val="0"/>
                <w:sz w:val="24"/>
              </w:rPr>
            </w:pPr>
            <w:r>
              <w:rPr>
                <w:rFonts w:hint="eastAsia" w:ascii="宋体" w:hAnsi="宋体" w:cs="宋体"/>
                <w:bCs/>
                <w:kern w:val="0"/>
                <w:sz w:val="24"/>
                <w:lang w:eastAsia="zh-Hans"/>
              </w:rPr>
              <w:t>客观分</w:t>
            </w:r>
          </w:p>
        </w:tc>
      </w:tr>
      <w:tr w14:paraId="49EC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84" w:type="pct"/>
            <w:noWrap/>
            <w:vAlign w:val="center"/>
          </w:tcPr>
          <w:p w14:paraId="4D10B832">
            <w:pPr>
              <w:widowControl/>
              <w:spacing w:line="400" w:lineRule="exact"/>
              <w:jc w:val="center"/>
              <w:rPr>
                <w:rFonts w:ascii="宋体" w:hAnsi="宋体" w:cs="宋体"/>
                <w:bCs/>
                <w:kern w:val="0"/>
                <w:sz w:val="24"/>
              </w:rPr>
            </w:pPr>
            <w:r>
              <w:rPr>
                <w:rFonts w:hint="eastAsia" w:ascii="宋体" w:hAnsi="宋体" w:cs="宋体"/>
                <w:bCs/>
                <w:kern w:val="0"/>
                <w:sz w:val="24"/>
              </w:rPr>
              <w:t>3</w:t>
            </w:r>
          </w:p>
        </w:tc>
        <w:tc>
          <w:tcPr>
            <w:tcW w:w="550" w:type="pct"/>
            <w:noWrap/>
            <w:vAlign w:val="center"/>
          </w:tcPr>
          <w:p w14:paraId="6C7F565C">
            <w:pPr>
              <w:widowControl/>
              <w:spacing w:line="400" w:lineRule="exact"/>
              <w:jc w:val="center"/>
              <w:rPr>
                <w:rFonts w:ascii="宋体" w:hAnsi="宋体" w:cs="宋体"/>
                <w:bCs/>
                <w:kern w:val="0"/>
                <w:sz w:val="24"/>
              </w:rPr>
            </w:pPr>
            <w:r>
              <w:rPr>
                <w:rFonts w:hint="eastAsia" w:ascii="宋体" w:hAnsi="宋体" w:cs="宋体"/>
                <w:bCs/>
                <w:kern w:val="0"/>
                <w:sz w:val="24"/>
              </w:rPr>
              <w:t>投标人综合实力</w:t>
            </w:r>
          </w:p>
        </w:tc>
        <w:tc>
          <w:tcPr>
            <w:tcW w:w="3464" w:type="pct"/>
            <w:noWrap/>
            <w:vAlign w:val="center"/>
          </w:tcPr>
          <w:p w14:paraId="729D0266">
            <w:pPr>
              <w:snapToGrid w:val="0"/>
              <w:spacing w:line="400" w:lineRule="exact"/>
              <w:rPr>
                <w:rFonts w:ascii="宋体" w:hAnsi="宋体"/>
                <w:bCs/>
                <w:sz w:val="24"/>
              </w:rPr>
            </w:pPr>
            <w:r>
              <w:rPr>
                <w:rFonts w:hint="eastAsia" w:ascii="宋体" w:hAnsi="宋体"/>
                <w:bCs/>
                <w:sz w:val="24"/>
              </w:rPr>
              <w:t>综合比较投标人在有效期内的信誉、获奖情况、企业状况等经营状况等情况综合评审：投标人在有效期内的信誉、获奖情况、企业状况等经营状况等好的得2.1-3分；在有效期内的信誉、获奖情况、企业状况等经营状况等良好的得1.1-2分；在有效期内的信誉、获奖情况、企业状况等经营状况等一般的得1-</w:t>
            </w:r>
            <w:r>
              <w:rPr>
                <w:rFonts w:ascii="宋体" w:hAnsi="宋体"/>
                <w:bCs/>
                <w:sz w:val="24"/>
              </w:rPr>
              <w:t>0</w:t>
            </w:r>
            <w:r>
              <w:rPr>
                <w:rFonts w:hint="eastAsia" w:ascii="宋体" w:hAnsi="宋体"/>
                <w:bCs/>
                <w:sz w:val="24"/>
              </w:rPr>
              <w:t>分。</w:t>
            </w:r>
          </w:p>
        </w:tc>
        <w:tc>
          <w:tcPr>
            <w:tcW w:w="414" w:type="pct"/>
            <w:noWrap/>
            <w:vAlign w:val="center"/>
          </w:tcPr>
          <w:p w14:paraId="185DE1AA">
            <w:pPr>
              <w:widowControl/>
              <w:spacing w:line="400" w:lineRule="exact"/>
              <w:jc w:val="center"/>
              <w:rPr>
                <w:rFonts w:ascii="宋体" w:hAnsi="宋体" w:cs="宋体"/>
                <w:bCs/>
                <w:kern w:val="0"/>
                <w:sz w:val="24"/>
              </w:rPr>
            </w:pPr>
            <w:r>
              <w:rPr>
                <w:rFonts w:hint="eastAsia" w:ascii="宋体" w:hAnsi="宋体" w:cs="宋体"/>
                <w:bCs/>
                <w:kern w:val="0"/>
                <w:sz w:val="24"/>
              </w:rPr>
              <w:t>3</w:t>
            </w:r>
          </w:p>
        </w:tc>
        <w:tc>
          <w:tcPr>
            <w:tcW w:w="285" w:type="pct"/>
            <w:noWrap/>
            <w:vAlign w:val="center"/>
          </w:tcPr>
          <w:p w14:paraId="05A61F3D">
            <w:pPr>
              <w:widowControl/>
              <w:spacing w:line="400" w:lineRule="exact"/>
              <w:jc w:val="center"/>
              <w:rPr>
                <w:rFonts w:ascii="宋体" w:hAnsi="宋体" w:cs="宋体"/>
                <w:bCs/>
                <w:kern w:val="0"/>
                <w:sz w:val="24"/>
              </w:rPr>
            </w:pPr>
            <w:r>
              <w:rPr>
                <w:rFonts w:hint="eastAsia" w:ascii="宋体" w:hAnsi="宋体" w:cs="宋体"/>
                <w:bCs/>
                <w:kern w:val="0"/>
                <w:sz w:val="24"/>
              </w:rPr>
              <w:t>主观分</w:t>
            </w:r>
          </w:p>
        </w:tc>
      </w:tr>
      <w:tr w14:paraId="30C8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84" w:type="pct"/>
            <w:noWrap/>
            <w:vAlign w:val="center"/>
          </w:tcPr>
          <w:p w14:paraId="7B7821E4">
            <w:pPr>
              <w:widowControl/>
              <w:spacing w:line="400" w:lineRule="exact"/>
              <w:jc w:val="center"/>
              <w:rPr>
                <w:rFonts w:ascii="宋体" w:hAnsi="宋体" w:cs="宋体"/>
                <w:bCs/>
                <w:kern w:val="0"/>
                <w:sz w:val="24"/>
              </w:rPr>
            </w:pPr>
            <w:r>
              <w:rPr>
                <w:rFonts w:hint="eastAsia" w:ascii="宋体" w:hAnsi="宋体" w:cs="宋体"/>
                <w:bCs/>
                <w:kern w:val="0"/>
                <w:sz w:val="24"/>
              </w:rPr>
              <w:t>4</w:t>
            </w:r>
          </w:p>
        </w:tc>
        <w:tc>
          <w:tcPr>
            <w:tcW w:w="550" w:type="pct"/>
            <w:noWrap/>
            <w:vAlign w:val="center"/>
          </w:tcPr>
          <w:p w14:paraId="68933288">
            <w:pPr>
              <w:widowControl/>
              <w:spacing w:line="400" w:lineRule="exact"/>
              <w:jc w:val="center"/>
              <w:rPr>
                <w:rFonts w:ascii="宋体" w:hAnsi="宋体" w:cs="宋体"/>
                <w:bCs/>
                <w:kern w:val="0"/>
                <w:sz w:val="24"/>
              </w:rPr>
            </w:pPr>
            <w:r>
              <w:rPr>
                <w:rFonts w:hint="eastAsia" w:ascii="宋体" w:hAnsi="宋体" w:cs="宋体"/>
                <w:bCs/>
                <w:kern w:val="0"/>
                <w:sz w:val="24"/>
              </w:rPr>
              <w:t>不转包、不分包承诺</w:t>
            </w:r>
          </w:p>
        </w:tc>
        <w:tc>
          <w:tcPr>
            <w:tcW w:w="3464" w:type="pct"/>
            <w:noWrap/>
            <w:vAlign w:val="center"/>
          </w:tcPr>
          <w:p w14:paraId="26F5642E">
            <w:pPr>
              <w:snapToGrid w:val="0"/>
              <w:spacing w:line="400" w:lineRule="exact"/>
              <w:rPr>
                <w:rFonts w:ascii="宋体" w:hAnsi="宋体"/>
                <w:bCs/>
                <w:sz w:val="24"/>
              </w:rPr>
            </w:pPr>
            <w:r>
              <w:rPr>
                <w:rFonts w:hint="eastAsia" w:ascii="宋体" w:hAnsi="宋体"/>
                <w:bCs/>
                <w:sz w:val="24"/>
              </w:rPr>
              <w:t>承诺本工程发包范围内的工程项目未经建设单位同意一律不得转包和分包的，得3分。没有承诺的，不得分。</w:t>
            </w:r>
          </w:p>
        </w:tc>
        <w:tc>
          <w:tcPr>
            <w:tcW w:w="414" w:type="pct"/>
            <w:noWrap/>
            <w:vAlign w:val="center"/>
          </w:tcPr>
          <w:p w14:paraId="3EF7AFD9">
            <w:pPr>
              <w:widowControl/>
              <w:spacing w:line="400" w:lineRule="exact"/>
              <w:jc w:val="center"/>
              <w:rPr>
                <w:rFonts w:ascii="宋体" w:hAnsi="宋体" w:cs="宋体"/>
                <w:bCs/>
                <w:kern w:val="0"/>
                <w:sz w:val="24"/>
              </w:rPr>
            </w:pPr>
            <w:r>
              <w:rPr>
                <w:rFonts w:hint="eastAsia" w:ascii="宋体" w:hAnsi="宋体" w:cs="宋体"/>
                <w:bCs/>
                <w:kern w:val="0"/>
                <w:sz w:val="24"/>
              </w:rPr>
              <w:t>3</w:t>
            </w:r>
          </w:p>
        </w:tc>
        <w:tc>
          <w:tcPr>
            <w:tcW w:w="285" w:type="pct"/>
            <w:noWrap/>
            <w:vAlign w:val="center"/>
          </w:tcPr>
          <w:p w14:paraId="0AB0EEEA">
            <w:pPr>
              <w:widowControl/>
              <w:spacing w:line="400" w:lineRule="exact"/>
              <w:jc w:val="center"/>
              <w:rPr>
                <w:rFonts w:ascii="宋体" w:hAnsi="宋体" w:cs="宋体"/>
                <w:bCs/>
                <w:kern w:val="0"/>
                <w:sz w:val="24"/>
              </w:rPr>
            </w:pPr>
            <w:r>
              <w:rPr>
                <w:rFonts w:hint="eastAsia" w:ascii="宋体" w:hAnsi="宋体" w:cs="宋体"/>
                <w:bCs/>
                <w:kern w:val="0"/>
                <w:sz w:val="24"/>
                <w:lang w:eastAsia="zh-Hans"/>
              </w:rPr>
              <w:t>客观分</w:t>
            </w:r>
          </w:p>
        </w:tc>
      </w:tr>
      <w:tr w14:paraId="0F10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284" w:type="pct"/>
            <w:vMerge w:val="restart"/>
            <w:noWrap/>
            <w:vAlign w:val="center"/>
          </w:tcPr>
          <w:p w14:paraId="5B1074F8">
            <w:pPr>
              <w:widowControl/>
              <w:spacing w:line="400" w:lineRule="exact"/>
              <w:jc w:val="center"/>
              <w:rPr>
                <w:rFonts w:ascii="宋体" w:hAnsi="宋体" w:cs="宋体"/>
                <w:bCs/>
                <w:kern w:val="0"/>
                <w:sz w:val="24"/>
              </w:rPr>
            </w:pPr>
            <w:r>
              <w:rPr>
                <w:rFonts w:hint="eastAsia" w:ascii="宋体" w:hAnsi="宋体" w:cs="宋体"/>
                <w:bCs/>
                <w:kern w:val="0"/>
                <w:sz w:val="24"/>
              </w:rPr>
              <w:t>5</w:t>
            </w:r>
          </w:p>
          <w:p w14:paraId="638D82BA">
            <w:pPr>
              <w:widowControl/>
              <w:spacing w:line="400" w:lineRule="exact"/>
              <w:jc w:val="center"/>
              <w:rPr>
                <w:rFonts w:ascii="宋体" w:hAnsi="宋体" w:cs="宋体"/>
                <w:bCs/>
                <w:kern w:val="0"/>
                <w:sz w:val="24"/>
              </w:rPr>
            </w:pPr>
          </w:p>
          <w:p w14:paraId="6BF3CEF2">
            <w:pPr>
              <w:widowControl/>
              <w:spacing w:line="400" w:lineRule="exact"/>
              <w:jc w:val="center"/>
              <w:rPr>
                <w:rFonts w:ascii="宋体" w:hAnsi="宋体" w:cs="宋体"/>
                <w:bCs/>
                <w:kern w:val="0"/>
                <w:sz w:val="24"/>
              </w:rPr>
            </w:pPr>
          </w:p>
          <w:p w14:paraId="53CC4F9F">
            <w:pPr>
              <w:widowControl/>
              <w:spacing w:line="400" w:lineRule="exact"/>
              <w:jc w:val="center"/>
              <w:rPr>
                <w:rFonts w:ascii="宋体" w:hAnsi="宋体" w:cs="宋体"/>
                <w:bCs/>
                <w:kern w:val="0"/>
                <w:sz w:val="24"/>
              </w:rPr>
            </w:pPr>
          </w:p>
        </w:tc>
        <w:tc>
          <w:tcPr>
            <w:tcW w:w="550" w:type="pct"/>
            <w:vMerge w:val="restart"/>
            <w:noWrap/>
            <w:vAlign w:val="center"/>
          </w:tcPr>
          <w:p w14:paraId="72F190DC">
            <w:pPr>
              <w:widowControl/>
              <w:spacing w:line="400" w:lineRule="exact"/>
              <w:jc w:val="center"/>
              <w:rPr>
                <w:rFonts w:ascii="宋体" w:hAnsi="宋体" w:cs="宋体"/>
                <w:bCs/>
                <w:kern w:val="0"/>
                <w:sz w:val="24"/>
              </w:rPr>
            </w:pPr>
            <w:r>
              <w:rPr>
                <w:rFonts w:hint="eastAsia" w:ascii="宋体" w:hAnsi="宋体" w:cs="宋体"/>
                <w:bCs/>
                <w:kern w:val="0"/>
                <w:sz w:val="24"/>
              </w:rPr>
              <w:t>项目班组</w:t>
            </w:r>
          </w:p>
        </w:tc>
        <w:tc>
          <w:tcPr>
            <w:tcW w:w="3464" w:type="pct"/>
            <w:noWrap/>
            <w:vAlign w:val="center"/>
          </w:tcPr>
          <w:p w14:paraId="0102C4F1">
            <w:pPr>
              <w:snapToGrid w:val="0"/>
              <w:spacing w:line="400" w:lineRule="exact"/>
              <w:rPr>
                <w:rFonts w:ascii="宋体" w:hAnsi="宋体"/>
                <w:bCs/>
                <w:sz w:val="24"/>
              </w:rPr>
            </w:pPr>
            <w:r>
              <w:rPr>
                <w:rFonts w:hint="eastAsia" w:ascii="宋体" w:hAnsi="宋体"/>
                <w:bCs/>
                <w:sz w:val="24"/>
              </w:rPr>
              <w:t>5.1 根据项目负责人资质、经验等方面进行综合评审：项目负责人资质高、经验丰富的得2-4分，项目负责人资质较高、经验较丰富的得1-1.9分，项目负责人资质较低、经验欠缺的得0-</w:t>
            </w:r>
            <w:r>
              <w:rPr>
                <w:rFonts w:ascii="宋体" w:hAnsi="宋体"/>
                <w:bCs/>
                <w:sz w:val="24"/>
              </w:rPr>
              <w:t>0.9</w:t>
            </w:r>
            <w:r>
              <w:rPr>
                <w:rFonts w:hint="eastAsia" w:ascii="宋体" w:hAnsi="宋体"/>
                <w:bCs/>
                <w:sz w:val="24"/>
              </w:rPr>
              <w:t>分。需提供项目经理相关证书扫描件及投标截止时间前连续6个月投标方为其缴纳的社保证明。</w:t>
            </w:r>
          </w:p>
        </w:tc>
        <w:tc>
          <w:tcPr>
            <w:tcW w:w="414" w:type="pct"/>
            <w:noWrap/>
            <w:vAlign w:val="center"/>
          </w:tcPr>
          <w:p w14:paraId="78EE757A">
            <w:pPr>
              <w:spacing w:line="400" w:lineRule="exact"/>
              <w:jc w:val="center"/>
              <w:rPr>
                <w:rFonts w:ascii="宋体" w:hAnsi="宋体" w:cs="宋体"/>
                <w:bCs/>
                <w:kern w:val="0"/>
                <w:sz w:val="24"/>
              </w:rPr>
            </w:pPr>
            <w:r>
              <w:rPr>
                <w:rFonts w:hint="eastAsia" w:ascii="宋体" w:hAnsi="宋体" w:cs="宋体"/>
                <w:bCs/>
                <w:kern w:val="0"/>
                <w:sz w:val="24"/>
              </w:rPr>
              <w:t>4</w:t>
            </w:r>
          </w:p>
        </w:tc>
        <w:tc>
          <w:tcPr>
            <w:tcW w:w="285" w:type="pct"/>
            <w:noWrap/>
            <w:vAlign w:val="center"/>
          </w:tcPr>
          <w:p w14:paraId="3DA34E0F">
            <w:pPr>
              <w:spacing w:line="400" w:lineRule="exact"/>
              <w:jc w:val="center"/>
              <w:rPr>
                <w:rFonts w:ascii="宋体" w:hAnsi="宋体" w:cs="宋体"/>
                <w:bCs/>
                <w:kern w:val="0"/>
                <w:sz w:val="24"/>
              </w:rPr>
            </w:pPr>
            <w:r>
              <w:rPr>
                <w:rFonts w:hint="eastAsia" w:ascii="宋体" w:hAnsi="宋体" w:cs="宋体"/>
                <w:bCs/>
                <w:kern w:val="0"/>
                <w:sz w:val="24"/>
              </w:rPr>
              <w:t>主观分</w:t>
            </w:r>
          </w:p>
        </w:tc>
      </w:tr>
      <w:tr w14:paraId="2154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 w:type="pct"/>
            <w:vMerge w:val="continue"/>
            <w:noWrap/>
            <w:vAlign w:val="center"/>
          </w:tcPr>
          <w:p w14:paraId="372A7B0E">
            <w:pPr>
              <w:widowControl/>
              <w:spacing w:line="400" w:lineRule="exact"/>
              <w:jc w:val="center"/>
              <w:rPr>
                <w:rFonts w:ascii="宋体" w:hAnsi="宋体" w:cs="宋体"/>
                <w:bCs/>
                <w:kern w:val="0"/>
                <w:sz w:val="24"/>
              </w:rPr>
            </w:pPr>
          </w:p>
        </w:tc>
        <w:tc>
          <w:tcPr>
            <w:tcW w:w="550" w:type="pct"/>
            <w:vMerge w:val="continue"/>
            <w:noWrap/>
            <w:vAlign w:val="center"/>
          </w:tcPr>
          <w:p w14:paraId="591F57B9">
            <w:pPr>
              <w:widowControl/>
              <w:spacing w:line="400" w:lineRule="exact"/>
              <w:jc w:val="center"/>
              <w:rPr>
                <w:rFonts w:ascii="宋体" w:hAnsi="宋体" w:cs="宋体"/>
                <w:bCs/>
                <w:kern w:val="0"/>
                <w:sz w:val="24"/>
              </w:rPr>
            </w:pPr>
          </w:p>
        </w:tc>
        <w:tc>
          <w:tcPr>
            <w:tcW w:w="3464" w:type="pct"/>
            <w:noWrap/>
            <w:vAlign w:val="center"/>
          </w:tcPr>
          <w:p w14:paraId="6936ABE6">
            <w:pPr>
              <w:snapToGrid w:val="0"/>
              <w:spacing w:line="400" w:lineRule="exact"/>
              <w:rPr>
                <w:rFonts w:ascii="宋体" w:hAnsi="宋体"/>
                <w:bCs/>
                <w:sz w:val="24"/>
              </w:rPr>
            </w:pPr>
            <w:r>
              <w:rPr>
                <w:rFonts w:hint="eastAsia" w:ascii="宋体" w:hAnsi="宋体"/>
                <w:bCs/>
                <w:sz w:val="24"/>
              </w:rPr>
              <w:t>5.2根据项目组人员配备、专业、职称（或执业资格）及经验等方面进行综合评审</w:t>
            </w:r>
            <w:r>
              <w:rPr>
                <w:rFonts w:ascii="宋体" w:hAnsi="宋体"/>
                <w:bCs/>
                <w:sz w:val="24"/>
              </w:rPr>
              <w:t>。</w:t>
            </w:r>
            <w:r>
              <w:rPr>
                <w:rFonts w:hint="eastAsia" w:ascii="宋体" w:hAnsi="宋体"/>
                <w:bCs/>
                <w:sz w:val="24"/>
              </w:rPr>
              <w:t>人员配备充足，综合能力优秀的得2-4分，人员配备较为充足，综合能力较为优秀的得1-1.9分，人员配备不足，综合能力交较差的得的得0-0.9</w:t>
            </w:r>
            <w:r>
              <w:rPr>
                <w:rFonts w:ascii="宋体" w:hAnsi="宋体"/>
                <w:bCs/>
                <w:sz w:val="24"/>
              </w:rPr>
              <w:t>分</w:t>
            </w:r>
            <w:r>
              <w:rPr>
                <w:rFonts w:hint="eastAsia" w:ascii="宋体" w:hAnsi="宋体"/>
                <w:bCs/>
                <w:sz w:val="24"/>
              </w:rPr>
              <w:t>。需提供项目组人员相关证书扫描件及投标截止时间前连续6个月投标方为其缴纳的社保证明。</w:t>
            </w:r>
          </w:p>
        </w:tc>
        <w:tc>
          <w:tcPr>
            <w:tcW w:w="414" w:type="pct"/>
            <w:noWrap/>
            <w:vAlign w:val="center"/>
          </w:tcPr>
          <w:p w14:paraId="47747CD1">
            <w:pPr>
              <w:spacing w:line="400" w:lineRule="exact"/>
              <w:jc w:val="center"/>
              <w:rPr>
                <w:rFonts w:ascii="宋体" w:hAnsi="宋体" w:cs="宋体"/>
                <w:bCs/>
                <w:kern w:val="0"/>
                <w:sz w:val="24"/>
              </w:rPr>
            </w:pPr>
            <w:r>
              <w:rPr>
                <w:rFonts w:hint="eastAsia" w:ascii="宋体" w:hAnsi="宋体" w:cs="宋体"/>
                <w:bCs/>
                <w:kern w:val="0"/>
                <w:sz w:val="24"/>
              </w:rPr>
              <w:t>4</w:t>
            </w:r>
          </w:p>
        </w:tc>
        <w:tc>
          <w:tcPr>
            <w:tcW w:w="285" w:type="pct"/>
            <w:noWrap/>
            <w:vAlign w:val="center"/>
          </w:tcPr>
          <w:p w14:paraId="3224B416">
            <w:pPr>
              <w:spacing w:line="400" w:lineRule="exact"/>
              <w:jc w:val="center"/>
              <w:rPr>
                <w:rFonts w:ascii="宋体" w:hAnsi="宋体" w:cs="宋体"/>
                <w:bCs/>
                <w:kern w:val="0"/>
                <w:sz w:val="24"/>
              </w:rPr>
            </w:pPr>
            <w:r>
              <w:rPr>
                <w:rFonts w:hint="eastAsia" w:ascii="宋体" w:hAnsi="宋体" w:cs="宋体"/>
                <w:bCs/>
                <w:kern w:val="0"/>
                <w:sz w:val="24"/>
              </w:rPr>
              <w:t>主观分</w:t>
            </w:r>
          </w:p>
        </w:tc>
      </w:tr>
      <w:tr w14:paraId="2D15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4" w:type="pct"/>
            <w:vMerge w:val="continue"/>
            <w:noWrap/>
            <w:vAlign w:val="center"/>
          </w:tcPr>
          <w:p w14:paraId="67324D0C">
            <w:pPr>
              <w:widowControl/>
              <w:spacing w:line="400" w:lineRule="exact"/>
              <w:jc w:val="center"/>
              <w:rPr>
                <w:rFonts w:ascii="宋体" w:hAnsi="宋体" w:cs="宋体"/>
                <w:bCs/>
                <w:kern w:val="0"/>
                <w:sz w:val="24"/>
              </w:rPr>
            </w:pPr>
          </w:p>
        </w:tc>
        <w:tc>
          <w:tcPr>
            <w:tcW w:w="550" w:type="pct"/>
            <w:vMerge w:val="continue"/>
            <w:noWrap/>
            <w:vAlign w:val="center"/>
          </w:tcPr>
          <w:p w14:paraId="75723AFF">
            <w:pPr>
              <w:widowControl/>
              <w:spacing w:line="400" w:lineRule="exact"/>
              <w:jc w:val="center"/>
              <w:rPr>
                <w:rFonts w:ascii="宋体" w:hAnsi="宋体" w:cs="宋体"/>
                <w:bCs/>
                <w:kern w:val="0"/>
                <w:sz w:val="24"/>
              </w:rPr>
            </w:pPr>
          </w:p>
        </w:tc>
        <w:tc>
          <w:tcPr>
            <w:tcW w:w="3464" w:type="pct"/>
            <w:noWrap/>
            <w:vAlign w:val="center"/>
          </w:tcPr>
          <w:p w14:paraId="227F58A3">
            <w:pPr>
              <w:snapToGrid w:val="0"/>
              <w:spacing w:line="400" w:lineRule="exact"/>
              <w:rPr>
                <w:rFonts w:ascii="宋体" w:hAnsi="宋体"/>
                <w:bCs/>
                <w:sz w:val="24"/>
              </w:rPr>
            </w:pPr>
            <w:r>
              <w:rPr>
                <w:rFonts w:hint="eastAsia" w:ascii="宋体" w:hAnsi="宋体"/>
                <w:bCs/>
                <w:sz w:val="24"/>
              </w:rPr>
              <w:t>5.3 承诺项目负责人及项目组人员到位率。承诺到位率高的得3-4分，承诺到位率较高的得2-2.9分，承诺到位率较低的得0-1.9分。</w:t>
            </w:r>
          </w:p>
        </w:tc>
        <w:tc>
          <w:tcPr>
            <w:tcW w:w="414" w:type="pct"/>
            <w:noWrap/>
            <w:vAlign w:val="center"/>
          </w:tcPr>
          <w:p w14:paraId="2888AD49">
            <w:pPr>
              <w:spacing w:line="400" w:lineRule="exact"/>
              <w:jc w:val="center"/>
              <w:rPr>
                <w:rFonts w:ascii="宋体" w:hAnsi="宋体" w:cs="宋体"/>
                <w:bCs/>
                <w:kern w:val="0"/>
                <w:sz w:val="24"/>
              </w:rPr>
            </w:pPr>
            <w:r>
              <w:rPr>
                <w:rFonts w:hint="eastAsia" w:ascii="宋体" w:hAnsi="宋体" w:cs="宋体"/>
                <w:bCs/>
                <w:kern w:val="0"/>
                <w:sz w:val="24"/>
              </w:rPr>
              <w:t>4</w:t>
            </w:r>
          </w:p>
        </w:tc>
        <w:tc>
          <w:tcPr>
            <w:tcW w:w="285" w:type="pct"/>
            <w:noWrap/>
            <w:vAlign w:val="center"/>
          </w:tcPr>
          <w:p w14:paraId="63BF9AF5">
            <w:pPr>
              <w:spacing w:line="400" w:lineRule="exact"/>
              <w:jc w:val="center"/>
              <w:rPr>
                <w:rFonts w:ascii="宋体" w:hAnsi="宋体" w:cs="宋体"/>
                <w:bCs/>
                <w:kern w:val="0"/>
                <w:sz w:val="24"/>
              </w:rPr>
            </w:pPr>
            <w:r>
              <w:rPr>
                <w:rFonts w:hint="eastAsia" w:ascii="宋体" w:hAnsi="宋体" w:cs="宋体"/>
                <w:bCs/>
                <w:kern w:val="0"/>
                <w:sz w:val="24"/>
              </w:rPr>
              <w:t>主观分</w:t>
            </w:r>
          </w:p>
        </w:tc>
      </w:tr>
      <w:tr w14:paraId="1CD6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4" w:type="pct"/>
            <w:vMerge w:val="continue"/>
            <w:noWrap/>
            <w:vAlign w:val="center"/>
          </w:tcPr>
          <w:p w14:paraId="318557C2">
            <w:pPr>
              <w:widowControl/>
              <w:spacing w:line="400" w:lineRule="exact"/>
              <w:jc w:val="center"/>
              <w:rPr>
                <w:rFonts w:ascii="宋体" w:hAnsi="宋体" w:cs="宋体"/>
                <w:bCs/>
                <w:kern w:val="0"/>
                <w:sz w:val="24"/>
              </w:rPr>
            </w:pPr>
          </w:p>
        </w:tc>
        <w:tc>
          <w:tcPr>
            <w:tcW w:w="550" w:type="pct"/>
            <w:vMerge w:val="continue"/>
            <w:noWrap/>
            <w:vAlign w:val="center"/>
          </w:tcPr>
          <w:p w14:paraId="1FC83ECC">
            <w:pPr>
              <w:widowControl/>
              <w:spacing w:line="400" w:lineRule="exact"/>
              <w:jc w:val="center"/>
              <w:rPr>
                <w:rFonts w:ascii="宋体" w:hAnsi="宋体" w:cs="宋体"/>
                <w:bCs/>
                <w:kern w:val="0"/>
                <w:sz w:val="24"/>
              </w:rPr>
            </w:pPr>
          </w:p>
        </w:tc>
        <w:tc>
          <w:tcPr>
            <w:tcW w:w="3464" w:type="pct"/>
            <w:noWrap/>
            <w:vAlign w:val="center"/>
          </w:tcPr>
          <w:p w14:paraId="37984474">
            <w:pPr>
              <w:snapToGrid w:val="0"/>
              <w:spacing w:line="400" w:lineRule="exact"/>
              <w:rPr>
                <w:rFonts w:ascii="宋体" w:hAnsi="宋体"/>
                <w:bCs/>
                <w:sz w:val="24"/>
              </w:rPr>
            </w:pPr>
            <w:r>
              <w:rPr>
                <w:rFonts w:hint="eastAsia" w:ascii="宋体" w:hAnsi="宋体"/>
                <w:bCs/>
                <w:sz w:val="24"/>
              </w:rPr>
              <w:t>5.4 承诺“未经建设单位同意，不随意更换项目经理及项目组人员，并服从建设单位每天早中晚签到考勤制度”的，得3分。没有承诺的，不得分。</w:t>
            </w:r>
          </w:p>
        </w:tc>
        <w:tc>
          <w:tcPr>
            <w:tcW w:w="414" w:type="pct"/>
            <w:noWrap/>
            <w:vAlign w:val="center"/>
          </w:tcPr>
          <w:p w14:paraId="08B4A145">
            <w:pPr>
              <w:spacing w:line="400" w:lineRule="exact"/>
              <w:jc w:val="center"/>
              <w:rPr>
                <w:rFonts w:ascii="宋体" w:hAnsi="宋体" w:cs="宋体"/>
                <w:bCs/>
                <w:kern w:val="0"/>
                <w:sz w:val="24"/>
              </w:rPr>
            </w:pPr>
            <w:r>
              <w:rPr>
                <w:rFonts w:hint="eastAsia" w:ascii="宋体" w:hAnsi="宋体" w:cs="宋体"/>
                <w:bCs/>
                <w:kern w:val="0"/>
                <w:sz w:val="24"/>
              </w:rPr>
              <w:t>3</w:t>
            </w:r>
          </w:p>
        </w:tc>
        <w:tc>
          <w:tcPr>
            <w:tcW w:w="285" w:type="pct"/>
            <w:noWrap/>
            <w:vAlign w:val="center"/>
          </w:tcPr>
          <w:p w14:paraId="6EF61F4B">
            <w:pPr>
              <w:spacing w:line="400" w:lineRule="exact"/>
              <w:jc w:val="center"/>
              <w:rPr>
                <w:rFonts w:ascii="宋体" w:hAnsi="宋体" w:cs="宋体"/>
                <w:bCs/>
                <w:kern w:val="0"/>
                <w:sz w:val="24"/>
              </w:rPr>
            </w:pPr>
            <w:r>
              <w:rPr>
                <w:rFonts w:hint="eastAsia" w:ascii="宋体" w:hAnsi="宋体" w:cs="宋体"/>
                <w:bCs/>
                <w:kern w:val="0"/>
                <w:sz w:val="24"/>
                <w:lang w:eastAsia="zh-Hans"/>
              </w:rPr>
              <w:t>客观分</w:t>
            </w:r>
          </w:p>
        </w:tc>
      </w:tr>
      <w:tr w14:paraId="580D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1E74313B">
            <w:pPr>
              <w:widowControl/>
              <w:spacing w:line="400" w:lineRule="exact"/>
              <w:jc w:val="center"/>
              <w:rPr>
                <w:rFonts w:ascii="宋体" w:hAnsi="宋体" w:cs="宋体"/>
                <w:kern w:val="0"/>
                <w:sz w:val="24"/>
              </w:rPr>
            </w:pPr>
            <w:r>
              <w:rPr>
                <w:rFonts w:hint="eastAsia" w:ascii="宋体" w:hAnsi="宋体" w:cs="宋体"/>
                <w:kern w:val="0"/>
                <w:sz w:val="24"/>
              </w:rPr>
              <w:t>6</w:t>
            </w:r>
          </w:p>
        </w:tc>
        <w:tc>
          <w:tcPr>
            <w:tcW w:w="550" w:type="pct"/>
            <w:vAlign w:val="center"/>
          </w:tcPr>
          <w:p w14:paraId="59254B6A">
            <w:pPr>
              <w:widowControl/>
              <w:spacing w:line="400" w:lineRule="exact"/>
              <w:jc w:val="center"/>
              <w:rPr>
                <w:rFonts w:ascii="宋体" w:hAnsi="宋体" w:cs="宋体"/>
                <w:bCs/>
                <w:kern w:val="0"/>
                <w:sz w:val="24"/>
              </w:rPr>
            </w:pPr>
            <w:r>
              <w:rPr>
                <w:rFonts w:hint="eastAsia" w:ascii="宋体" w:hAnsi="宋体" w:cs="宋体"/>
                <w:bCs/>
                <w:kern w:val="0"/>
                <w:sz w:val="24"/>
              </w:rPr>
              <w:t>重难点分析</w:t>
            </w:r>
          </w:p>
        </w:tc>
        <w:tc>
          <w:tcPr>
            <w:tcW w:w="3464" w:type="pct"/>
            <w:vAlign w:val="center"/>
          </w:tcPr>
          <w:p w14:paraId="1F0F1882">
            <w:pPr>
              <w:widowControl/>
              <w:spacing w:line="400" w:lineRule="exact"/>
              <w:jc w:val="left"/>
              <w:rPr>
                <w:rFonts w:ascii="宋体" w:hAnsi="宋体" w:cs="宋体"/>
                <w:bCs/>
                <w:kern w:val="0"/>
                <w:sz w:val="24"/>
              </w:rPr>
            </w:pPr>
            <w:r>
              <w:rPr>
                <w:rFonts w:hint="eastAsia" w:ascii="宋体" w:hAnsi="宋体" w:cs="宋体"/>
                <w:bCs/>
                <w:kern w:val="0"/>
                <w:sz w:val="24"/>
              </w:rPr>
              <w:t>根据投标人针对本工程的特点、难点分析和解决措施进行综合评审：分析到位安排合理的得4-6.5分；分析到位任需进一步细化2-3.9分；分析待完善，保证措施不够详尽的得0-1.9分。</w:t>
            </w:r>
          </w:p>
        </w:tc>
        <w:tc>
          <w:tcPr>
            <w:tcW w:w="414" w:type="pct"/>
            <w:vAlign w:val="center"/>
          </w:tcPr>
          <w:p w14:paraId="5B90B998">
            <w:pPr>
              <w:spacing w:line="400" w:lineRule="exact"/>
              <w:jc w:val="center"/>
              <w:rPr>
                <w:rFonts w:ascii="宋体" w:hAnsi="宋体" w:cs="宋体"/>
                <w:kern w:val="1"/>
                <w:sz w:val="24"/>
              </w:rPr>
            </w:pPr>
            <w:r>
              <w:rPr>
                <w:rFonts w:hint="eastAsia" w:ascii="宋体" w:hAnsi="宋体" w:cs="宋体"/>
                <w:kern w:val="1"/>
                <w:sz w:val="24"/>
              </w:rPr>
              <w:t>6.5</w:t>
            </w:r>
          </w:p>
        </w:tc>
        <w:tc>
          <w:tcPr>
            <w:tcW w:w="285" w:type="pct"/>
            <w:vAlign w:val="center"/>
          </w:tcPr>
          <w:p w14:paraId="2AC5340B">
            <w:pPr>
              <w:spacing w:line="400" w:lineRule="exact"/>
              <w:jc w:val="center"/>
              <w:rPr>
                <w:rFonts w:ascii="宋体" w:hAnsi="宋体" w:cs="宋体"/>
                <w:kern w:val="1"/>
                <w:sz w:val="24"/>
              </w:rPr>
            </w:pPr>
            <w:r>
              <w:rPr>
                <w:rFonts w:hint="eastAsia" w:ascii="宋体" w:hAnsi="宋体" w:cs="宋体"/>
                <w:bCs/>
                <w:kern w:val="0"/>
                <w:sz w:val="24"/>
              </w:rPr>
              <w:t>主观分</w:t>
            </w:r>
          </w:p>
        </w:tc>
      </w:tr>
      <w:tr w14:paraId="1FF3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53F88C34">
            <w:pPr>
              <w:widowControl/>
              <w:spacing w:line="400" w:lineRule="exact"/>
              <w:jc w:val="center"/>
              <w:rPr>
                <w:rFonts w:ascii="宋体" w:hAnsi="宋体" w:cs="宋体"/>
                <w:kern w:val="0"/>
                <w:sz w:val="24"/>
              </w:rPr>
            </w:pPr>
            <w:r>
              <w:rPr>
                <w:rFonts w:hint="eastAsia" w:ascii="宋体" w:hAnsi="宋体" w:cs="宋体"/>
                <w:kern w:val="0"/>
                <w:sz w:val="24"/>
              </w:rPr>
              <w:t>7</w:t>
            </w:r>
          </w:p>
        </w:tc>
        <w:tc>
          <w:tcPr>
            <w:tcW w:w="550" w:type="pct"/>
            <w:vAlign w:val="center"/>
          </w:tcPr>
          <w:p w14:paraId="52C11C3E">
            <w:pPr>
              <w:widowControl/>
              <w:spacing w:line="400" w:lineRule="exact"/>
              <w:jc w:val="center"/>
              <w:rPr>
                <w:rFonts w:ascii="宋体" w:hAnsi="宋体" w:cs="宋体"/>
                <w:bCs/>
                <w:kern w:val="0"/>
                <w:sz w:val="24"/>
              </w:rPr>
            </w:pPr>
            <w:r>
              <w:rPr>
                <w:rFonts w:hint="eastAsia" w:ascii="宋体" w:hAnsi="宋体" w:cs="宋体"/>
                <w:bCs/>
                <w:kern w:val="0"/>
                <w:sz w:val="24"/>
              </w:rPr>
              <w:t>施工组织设计</w:t>
            </w:r>
          </w:p>
        </w:tc>
        <w:tc>
          <w:tcPr>
            <w:tcW w:w="3464" w:type="pct"/>
            <w:vAlign w:val="center"/>
          </w:tcPr>
          <w:p w14:paraId="5672C750">
            <w:pPr>
              <w:widowControl/>
              <w:spacing w:line="400" w:lineRule="exact"/>
              <w:jc w:val="left"/>
              <w:rPr>
                <w:rFonts w:ascii="宋体" w:hAnsi="宋体" w:cs="宋体"/>
                <w:bCs/>
                <w:kern w:val="0"/>
                <w:sz w:val="24"/>
              </w:rPr>
            </w:pPr>
            <w:r>
              <w:rPr>
                <w:rFonts w:hint="eastAsia" w:ascii="宋体" w:hAnsi="宋体" w:cs="宋体"/>
                <w:bCs/>
                <w:kern w:val="0"/>
                <w:sz w:val="24"/>
              </w:rPr>
              <w:t>根据施工部署、现场平面布置及管理、劳动力安排计划、材料供应计划、施工机械进出场和施工机械使用计划进行综合打分：</w:t>
            </w:r>
            <w:r>
              <w:rPr>
                <w:rFonts w:ascii="宋体" w:hAnsi="宋体" w:cs="宋体"/>
                <w:bCs/>
                <w:kern w:val="0"/>
                <w:sz w:val="24"/>
              </w:rPr>
              <w:t>施工组织方案</w:t>
            </w:r>
            <w:r>
              <w:rPr>
                <w:rFonts w:hint="eastAsia" w:ascii="宋体" w:hAnsi="宋体" w:cs="宋体"/>
                <w:bCs/>
                <w:kern w:val="0"/>
                <w:sz w:val="24"/>
              </w:rPr>
              <w:t>完善具体、</w:t>
            </w:r>
            <w:r>
              <w:rPr>
                <w:rFonts w:ascii="宋体" w:hAnsi="宋体" w:cs="宋体"/>
                <w:bCs/>
                <w:kern w:val="0"/>
                <w:sz w:val="24"/>
              </w:rPr>
              <w:t>有合理</w:t>
            </w:r>
            <w:r>
              <w:rPr>
                <w:rFonts w:hint="eastAsia" w:ascii="宋体" w:hAnsi="宋体" w:cs="宋体"/>
                <w:bCs/>
                <w:kern w:val="0"/>
                <w:sz w:val="24"/>
              </w:rPr>
              <w:t>性、针对性较强</w:t>
            </w:r>
            <w:r>
              <w:rPr>
                <w:rFonts w:ascii="宋体" w:hAnsi="宋体" w:cs="宋体"/>
                <w:bCs/>
                <w:kern w:val="0"/>
                <w:sz w:val="24"/>
              </w:rPr>
              <w:t>的得</w:t>
            </w:r>
            <w:r>
              <w:rPr>
                <w:rFonts w:hint="eastAsia" w:ascii="宋体" w:hAnsi="宋体" w:cs="宋体"/>
                <w:bCs/>
                <w:kern w:val="0"/>
                <w:sz w:val="24"/>
              </w:rPr>
              <w:t>6-9分；完善合理</w:t>
            </w:r>
            <w:r>
              <w:rPr>
                <w:rFonts w:ascii="宋体" w:hAnsi="宋体" w:cs="宋体"/>
                <w:bCs/>
                <w:kern w:val="0"/>
                <w:sz w:val="24"/>
              </w:rPr>
              <w:t>但</w:t>
            </w:r>
            <w:r>
              <w:rPr>
                <w:rFonts w:hint="eastAsia" w:ascii="宋体" w:hAnsi="宋体" w:cs="宋体"/>
                <w:bCs/>
                <w:kern w:val="0"/>
                <w:sz w:val="24"/>
              </w:rPr>
              <w:t>需进一步细化的</w:t>
            </w:r>
            <w:r>
              <w:rPr>
                <w:rFonts w:ascii="宋体" w:hAnsi="宋体" w:cs="宋体"/>
                <w:bCs/>
                <w:kern w:val="0"/>
                <w:sz w:val="24"/>
              </w:rPr>
              <w:t>得</w:t>
            </w:r>
            <w:r>
              <w:rPr>
                <w:rFonts w:hint="eastAsia" w:ascii="宋体" w:hAnsi="宋体" w:cs="宋体"/>
                <w:bCs/>
                <w:kern w:val="0"/>
                <w:sz w:val="24"/>
              </w:rPr>
              <w:t>3-5.9分；不够详尽、无</w:t>
            </w:r>
            <w:r>
              <w:rPr>
                <w:rFonts w:ascii="宋体" w:hAnsi="宋体" w:cs="宋体"/>
                <w:bCs/>
                <w:kern w:val="0"/>
                <w:sz w:val="24"/>
              </w:rPr>
              <w:t>针对性</w:t>
            </w:r>
            <w:r>
              <w:rPr>
                <w:rFonts w:hint="eastAsia" w:ascii="宋体" w:hAnsi="宋体" w:cs="宋体"/>
                <w:bCs/>
                <w:kern w:val="0"/>
                <w:sz w:val="24"/>
              </w:rPr>
              <w:t>的得0-2.9分。</w:t>
            </w:r>
          </w:p>
        </w:tc>
        <w:tc>
          <w:tcPr>
            <w:tcW w:w="414" w:type="pct"/>
            <w:vAlign w:val="center"/>
          </w:tcPr>
          <w:p w14:paraId="74018EEE">
            <w:pPr>
              <w:spacing w:line="400" w:lineRule="exact"/>
              <w:jc w:val="center"/>
              <w:rPr>
                <w:rFonts w:ascii="宋体" w:hAnsi="宋体" w:cs="宋体"/>
                <w:kern w:val="1"/>
                <w:sz w:val="24"/>
              </w:rPr>
            </w:pPr>
            <w:r>
              <w:rPr>
                <w:rFonts w:hint="eastAsia" w:ascii="宋体" w:hAnsi="宋体" w:cs="宋体"/>
                <w:kern w:val="1"/>
                <w:sz w:val="24"/>
              </w:rPr>
              <w:t>9</w:t>
            </w:r>
          </w:p>
        </w:tc>
        <w:tc>
          <w:tcPr>
            <w:tcW w:w="285" w:type="pct"/>
            <w:vAlign w:val="center"/>
          </w:tcPr>
          <w:p w14:paraId="4D6DD572">
            <w:pPr>
              <w:spacing w:line="400" w:lineRule="exact"/>
              <w:jc w:val="center"/>
              <w:rPr>
                <w:rFonts w:ascii="宋体" w:hAnsi="宋体" w:cs="宋体"/>
                <w:kern w:val="1"/>
                <w:sz w:val="24"/>
              </w:rPr>
            </w:pPr>
            <w:r>
              <w:rPr>
                <w:rFonts w:hint="eastAsia" w:ascii="宋体" w:hAnsi="宋体" w:cs="宋体"/>
                <w:bCs/>
                <w:kern w:val="0"/>
                <w:sz w:val="24"/>
              </w:rPr>
              <w:t>主观分</w:t>
            </w:r>
          </w:p>
        </w:tc>
      </w:tr>
      <w:tr w14:paraId="0C50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0D4F8D1F">
            <w:pPr>
              <w:widowControl/>
              <w:spacing w:line="400" w:lineRule="exact"/>
              <w:jc w:val="center"/>
              <w:rPr>
                <w:rFonts w:ascii="宋体" w:hAnsi="宋体" w:cs="宋体"/>
                <w:kern w:val="0"/>
                <w:sz w:val="24"/>
              </w:rPr>
            </w:pPr>
            <w:r>
              <w:rPr>
                <w:rFonts w:hint="eastAsia" w:ascii="宋体" w:hAnsi="宋体" w:cs="宋体"/>
                <w:kern w:val="0"/>
                <w:sz w:val="24"/>
              </w:rPr>
              <w:t>8</w:t>
            </w:r>
          </w:p>
        </w:tc>
        <w:tc>
          <w:tcPr>
            <w:tcW w:w="550" w:type="pct"/>
            <w:vAlign w:val="center"/>
          </w:tcPr>
          <w:p w14:paraId="1E6F8B9B">
            <w:pPr>
              <w:widowControl/>
              <w:spacing w:line="400" w:lineRule="exact"/>
              <w:jc w:val="center"/>
              <w:rPr>
                <w:rFonts w:ascii="宋体" w:hAnsi="宋体" w:cs="宋体"/>
                <w:bCs/>
                <w:kern w:val="0"/>
                <w:sz w:val="24"/>
              </w:rPr>
            </w:pPr>
            <w:r>
              <w:rPr>
                <w:rFonts w:hint="eastAsia" w:ascii="宋体" w:hAnsi="宋体" w:cs="宋体"/>
                <w:bCs/>
                <w:kern w:val="0"/>
                <w:sz w:val="24"/>
              </w:rPr>
              <w:t>安全文明措施</w:t>
            </w:r>
          </w:p>
        </w:tc>
        <w:tc>
          <w:tcPr>
            <w:tcW w:w="3464" w:type="pct"/>
            <w:vAlign w:val="center"/>
          </w:tcPr>
          <w:p w14:paraId="6E5D73D4">
            <w:pPr>
              <w:widowControl/>
              <w:spacing w:line="400" w:lineRule="exact"/>
              <w:jc w:val="left"/>
              <w:rPr>
                <w:rFonts w:ascii="宋体" w:hAnsi="宋体" w:cs="宋体"/>
                <w:bCs/>
                <w:kern w:val="0"/>
                <w:sz w:val="24"/>
              </w:rPr>
            </w:pPr>
            <w:r>
              <w:rPr>
                <w:rFonts w:hint="eastAsia" w:ascii="宋体" w:hAnsi="宋体" w:cs="宋体"/>
                <w:bCs/>
                <w:kern w:val="0"/>
                <w:sz w:val="24"/>
              </w:rPr>
              <w:t>根据安全生产、文明施工、环境保护保证措施、交通组织措施、雨季、台风和夏季高温季节的施工保证措施进行综合评审</w:t>
            </w:r>
            <w:r>
              <w:rPr>
                <w:rFonts w:ascii="宋体" w:hAnsi="宋体" w:cs="宋体"/>
                <w:bCs/>
                <w:kern w:val="0"/>
                <w:sz w:val="24"/>
              </w:rPr>
              <w:t>：</w:t>
            </w:r>
            <w:r>
              <w:rPr>
                <w:rFonts w:hint="eastAsia" w:ascii="宋体" w:hAnsi="宋体" w:cs="宋体"/>
                <w:bCs/>
                <w:kern w:val="0"/>
                <w:sz w:val="24"/>
              </w:rPr>
              <w:t>针对台州职业技术学院施工现场项目安全文明措施全面具体、</w:t>
            </w:r>
            <w:r>
              <w:rPr>
                <w:rFonts w:ascii="宋体" w:hAnsi="宋体" w:cs="宋体"/>
                <w:bCs/>
                <w:kern w:val="0"/>
                <w:sz w:val="24"/>
              </w:rPr>
              <w:t>有合理</w:t>
            </w:r>
            <w:r>
              <w:rPr>
                <w:rFonts w:hint="eastAsia" w:ascii="宋体" w:hAnsi="宋体" w:cs="宋体"/>
                <w:bCs/>
                <w:kern w:val="0"/>
                <w:sz w:val="24"/>
              </w:rPr>
              <w:t>性、针对性较强</w:t>
            </w:r>
            <w:r>
              <w:rPr>
                <w:rFonts w:ascii="宋体" w:hAnsi="宋体" w:cs="宋体"/>
                <w:bCs/>
                <w:kern w:val="0"/>
                <w:sz w:val="24"/>
              </w:rPr>
              <w:t>的得</w:t>
            </w:r>
            <w:r>
              <w:rPr>
                <w:rFonts w:hint="eastAsia" w:ascii="宋体" w:hAnsi="宋体" w:cs="宋体"/>
                <w:bCs/>
                <w:kern w:val="0"/>
                <w:sz w:val="24"/>
              </w:rPr>
              <w:t>6-9.5分；全面合理但针对性不强的</w:t>
            </w:r>
            <w:r>
              <w:rPr>
                <w:rFonts w:ascii="宋体" w:hAnsi="宋体" w:cs="宋体"/>
                <w:bCs/>
                <w:kern w:val="0"/>
                <w:sz w:val="24"/>
              </w:rPr>
              <w:t>得</w:t>
            </w:r>
            <w:r>
              <w:rPr>
                <w:rFonts w:hint="eastAsia" w:ascii="宋体" w:hAnsi="宋体" w:cs="宋体"/>
                <w:bCs/>
                <w:kern w:val="0"/>
                <w:sz w:val="24"/>
              </w:rPr>
              <w:t>3-5.9分；不够详尽、无</w:t>
            </w:r>
            <w:r>
              <w:rPr>
                <w:rFonts w:ascii="宋体" w:hAnsi="宋体" w:cs="宋体"/>
                <w:bCs/>
                <w:kern w:val="0"/>
                <w:sz w:val="24"/>
              </w:rPr>
              <w:t>针对性</w:t>
            </w:r>
            <w:r>
              <w:rPr>
                <w:rFonts w:hint="eastAsia" w:ascii="宋体" w:hAnsi="宋体" w:cs="宋体"/>
                <w:bCs/>
                <w:kern w:val="0"/>
                <w:sz w:val="24"/>
              </w:rPr>
              <w:t>的得0-2.9分。</w:t>
            </w:r>
          </w:p>
        </w:tc>
        <w:tc>
          <w:tcPr>
            <w:tcW w:w="414" w:type="pct"/>
            <w:vAlign w:val="center"/>
          </w:tcPr>
          <w:p w14:paraId="5B776EEA">
            <w:pPr>
              <w:spacing w:line="400" w:lineRule="exact"/>
              <w:jc w:val="center"/>
              <w:rPr>
                <w:rFonts w:ascii="宋体" w:hAnsi="宋体" w:cs="宋体"/>
                <w:kern w:val="1"/>
                <w:sz w:val="24"/>
              </w:rPr>
            </w:pPr>
            <w:r>
              <w:rPr>
                <w:rFonts w:hint="eastAsia" w:ascii="宋体" w:hAnsi="宋体" w:cs="宋体"/>
                <w:kern w:val="1"/>
                <w:sz w:val="24"/>
              </w:rPr>
              <w:t>9.5</w:t>
            </w:r>
          </w:p>
        </w:tc>
        <w:tc>
          <w:tcPr>
            <w:tcW w:w="285" w:type="pct"/>
            <w:vAlign w:val="center"/>
          </w:tcPr>
          <w:p w14:paraId="23CB3EE9">
            <w:pPr>
              <w:spacing w:line="400" w:lineRule="exact"/>
              <w:jc w:val="center"/>
              <w:rPr>
                <w:rFonts w:ascii="宋体" w:hAnsi="宋体" w:cs="宋体"/>
                <w:kern w:val="1"/>
                <w:sz w:val="24"/>
              </w:rPr>
            </w:pPr>
            <w:r>
              <w:rPr>
                <w:rFonts w:hint="eastAsia" w:ascii="宋体" w:hAnsi="宋体" w:cs="宋体"/>
                <w:bCs/>
                <w:kern w:val="0"/>
                <w:sz w:val="24"/>
              </w:rPr>
              <w:t>主观分</w:t>
            </w:r>
          </w:p>
        </w:tc>
      </w:tr>
      <w:tr w14:paraId="7904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84" w:type="pct"/>
            <w:vAlign w:val="center"/>
          </w:tcPr>
          <w:p w14:paraId="3C09356F">
            <w:pPr>
              <w:widowControl/>
              <w:spacing w:line="400" w:lineRule="exact"/>
              <w:jc w:val="center"/>
              <w:rPr>
                <w:rFonts w:ascii="宋体" w:hAnsi="宋体" w:cs="宋体"/>
                <w:kern w:val="0"/>
                <w:sz w:val="24"/>
              </w:rPr>
            </w:pPr>
            <w:r>
              <w:rPr>
                <w:rFonts w:hint="eastAsia" w:ascii="宋体" w:hAnsi="宋体" w:cs="宋体"/>
                <w:kern w:val="0"/>
                <w:sz w:val="24"/>
              </w:rPr>
              <w:t>9</w:t>
            </w:r>
          </w:p>
        </w:tc>
        <w:tc>
          <w:tcPr>
            <w:tcW w:w="550" w:type="pct"/>
            <w:vAlign w:val="center"/>
          </w:tcPr>
          <w:p w14:paraId="54AFB689">
            <w:pPr>
              <w:widowControl/>
              <w:spacing w:line="400" w:lineRule="exact"/>
              <w:jc w:val="center"/>
              <w:rPr>
                <w:rFonts w:ascii="宋体" w:hAnsi="宋体" w:cs="宋体"/>
                <w:bCs/>
                <w:kern w:val="0"/>
                <w:sz w:val="24"/>
              </w:rPr>
            </w:pPr>
            <w:r>
              <w:rPr>
                <w:rFonts w:hint="eastAsia" w:ascii="宋体" w:hAnsi="宋体" w:cs="宋体"/>
                <w:bCs/>
                <w:kern w:val="0"/>
                <w:sz w:val="24"/>
              </w:rPr>
              <w:t>进度计划保证措施</w:t>
            </w:r>
          </w:p>
        </w:tc>
        <w:tc>
          <w:tcPr>
            <w:tcW w:w="3464" w:type="pct"/>
            <w:vAlign w:val="center"/>
          </w:tcPr>
          <w:p w14:paraId="212EBB10">
            <w:pPr>
              <w:widowControl/>
              <w:spacing w:line="400" w:lineRule="exact"/>
              <w:jc w:val="left"/>
              <w:rPr>
                <w:rFonts w:ascii="宋体" w:hAnsi="宋体" w:cs="宋体"/>
                <w:bCs/>
                <w:kern w:val="0"/>
                <w:sz w:val="24"/>
              </w:rPr>
            </w:pPr>
            <w:r>
              <w:rPr>
                <w:rFonts w:hint="eastAsia" w:ascii="宋体" w:hAnsi="宋体" w:cs="宋体"/>
                <w:bCs/>
                <w:kern w:val="0"/>
                <w:sz w:val="24"/>
              </w:rPr>
              <w:t>根据学生生活区等实际情况对项目整体工作阶段及任务划分、进度控制是否合理、关键时间节点把握是否科学准确进行</w:t>
            </w:r>
            <w:r>
              <w:rPr>
                <w:rFonts w:ascii="宋体" w:hAnsi="宋体" w:cs="宋体"/>
                <w:bCs/>
                <w:kern w:val="0"/>
                <w:sz w:val="24"/>
              </w:rPr>
              <w:t>评审：</w:t>
            </w:r>
            <w:r>
              <w:rPr>
                <w:rFonts w:hint="eastAsia" w:ascii="宋体" w:hAnsi="宋体" w:cs="宋体"/>
                <w:bCs/>
                <w:kern w:val="0"/>
                <w:sz w:val="24"/>
              </w:rPr>
              <w:t>进度控制合理节点把握科学准确的且具有针对性的，得4-6分；进度控制节点把握不够详细准确的，得2-3.9分；进度控制节点把握一般的得0-1.9分。</w:t>
            </w:r>
          </w:p>
        </w:tc>
        <w:tc>
          <w:tcPr>
            <w:tcW w:w="414" w:type="pct"/>
            <w:vAlign w:val="center"/>
          </w:tcPr>
          <w:p w14:paraId="13DE3F1E">
            <w:pPr>
              <w:spacing w:line="400" w:lineRule="exact"/>
              <w:jc w:val="center"/>
              <w:rPr>
                <w:rFonts w:ascii="宋体" w:hAnsi="宋体" w:cs="宋体"/>
                <w:kern w:val="1"/>
                <w:sz w:val="24"/>
              </w:rPr>
            </w:pPr>
            <w:r>
              <w:rPr>
                <w:rFonts w:ascii="宋体" w:hAnsi="宋体" w:cs="宋体"/>
                <w:kern w:val="1"/>
                <w:sz w:val="24"/>
              </w:rPr>
              <w:t>6</w:t>
            </w:r>
          </w:p>
        </w:tc>
        <w:tc>
          <w:tcPr>
            <w:tcW w:w="285" w:type="pct"/>
            <w:vAlign w:val="center"/>
          </w:tcPr>
          <w:p w14:paraId="7D6A208E">
            <w:pPr>
              <w:spacing w:line="400" w:lineRule="exact"/>
              <w:jc w:val="center"/>
              <w:rPr>
                <w:rFonts w:ascii="宋体" w:hAnsi="宋体" w:cs="宋体"/>
                <w:kern w:val="1"/>
                <w:sz w:val="24"/>
              </w:rPr>
            </w:pPr>
            <w:r>
              <w:rPr>
                <w:rFonts w:hint="eastAsia" w:ascii="宋体" w:hAnsi="宋体" w:cs="宋体"/>
                <w:bCs/>
                <w:kern w:val="0"/>
                <w:sz w:val="24"/>
              </w:rPr>
              <w:t>主观分</w:t>
            </w:r>
          </w:p>
        </w:tc>
      </w:tr>
      <w:tr w14:paraId="71EE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05BA21D8">
            <w:pPr>
              <w:spacing w:line="400" w:lineRule="exact"/>
              <w:jc w:val="center"/>
              <w:rPr>
                <w:rFonts w:ascii="宋体" w:hAnsi="宋体"/>
                <w:sz w:val="24"/>
              </w:rPr>
            </w:pPr>
            <w:r>
              <w:rPr>
                <w:rFonts w:ascii="宋体" w:hAnsi="宋体"/>
                <w:sz w:val="24"/>
              </w:rPr>
              <w:t>1</w:t>
            </w:r>
            <w:r>
              <w:rPr>
                <w:rFonts w:hint="eastAsia" w:ascii="宋体" w:hAnsi="宋体"/>
                <w:sz w:val="24"/>
              </w:rPr>
              <w:t>0</w:t>
            </w:r>
          </w:p>
        </w:tc>
        <w:tc>
          <w:tcPr>
            <w:tcW w:w="550" w:type="pct"/>
            <w:vAlign w:val="center"/>
          </w:tcPr>
          <w:p w14:paraId="54F3F0D3">
            <w:pPr>
              <w:widowControl/>
              <w:spacing w:line="400" w:lineRule="exact"/>
              <w:jc w:val="center"/>
              <w:rPr>
                <w:rFonts w:ascii="宋体" w:hAnsi="宋体" w:cs="宋体"/>
                <w:bCs/>
                <w:kern w:val="0"/>
                <w:sz w:val="24"/>
              </w:rPr>
            </w:pPr>
            <w:r>
              <w:rPr>
                <w:rFonts w:hint="eastAsia" w:ascii="宋体" w:hAnsi="宋体" w:cs="宋体"/>
                <w:bCs/>
                <w:kern w:val="0"/>
                <w:sz w:val="24"/>
              </w:rPr>
              <w:t>质量保证措施</w:t>
            </w:r>
          </w:p>
        </w:tc>
        <w:tc>
          <w:tcPr>
            <w:tcW w:w="3464" w:type="pct"/>
            <w:vAlign w:val="center"/>
          </w:tcPr>
          <w:p w14:paraId="071AF709">
            <w:pPr>
              <w:widowControl/>
              <w:spacing w:line="400" w:lineRule="exact"/>
              <w:jc w:val="left"/>
              <w:rPr>
                <w:rFonts w:ascii="宋体" w:hAnsi="宋体" w:cs="宋体"/>
                <w:sz w:val="24"/>
              </w:rPr>
            </w:pPr>
            <w:r>
              <w:rPr>
                <w:rFonts w:hint="eastAsia" w:ascii="宋体" w:hAnsi="宋体" w:cs="宋体"/>
                <w:sz w:val="24"/>
              </w:rPr>
              <w:t>项目质量保障措施，施工过程质量应对措施。</w:t>
            </w:r>
          </w:p>
          <w:p w14:paraId="1277A2AC">
            <w:pPr>
              <w:widowControl/>
              <w:spacing w:line="400" w:lineRule="exact"/>
              <w:jc w:val="left"/>
              <w:rPr>
                <w:rFonts w:ascii="宋体" w:hAnsi="宋体" w:cs="宋体"/>
                <w:bCs/>
                <w:kern w:val="0"/>
                <w:sz w:val="24"/>
              </w:rPr>
            </w:pPr>
            <w:r>
              <w:rPr>
                <w:rFonts w:hint="eastAsia" w:ascii="宋体" w:hAnsi="宋体" w:cs="宋体"/>
                <w:sz w:val="24"/>
              </w:rPr>
              <w:t>质量保证保障措施完备周全，应对措施科学合理的得3-5分；质量保证措施完整，应对措施较为完善的得2-2.9分；质量保证措施一般，应对措施不够完整的得0-1.9分。</w:t>
            </w:r>
          </w:p>
        </w:tc>
        <w:tc>
          <w:tcPr>
            <w:tcW w:w="414" w:type="pct"/>
            <w:vAlign w:val="center"/>
          </w:tcPr>
          <w:p w14:paraId="68EFB5B0">
            <w:pPr>
              <w:spacing w:line="400" w:lineRule="exact"/>
              <w:jc w:val="center"/>
              <w:rPr>
                <w:rFonts w:ascii="宋体" w:hAnsi="宋体" w:cs="宋体"/>
                <w:kern w:val="1"/>
                <w:sz w:val="24"/>
              </w:rPr>
            </w:pPr>
            <w:r>
              <w:rPr>
                <w:rFonts w:hint="eastAsia" w:ascii="宋体" w:hAnsi="宋体" w:cs="宋体"/>
                <w:kern w:val="1"/>
                <w:sz w:val="24"/>
              </w:rPr>
              <w:t>5</w:t>
            </w:r>
          </w:p>
        </w:tc>
        <w:tc>
          <w:tcPr>
            <w:tcW w:w="285" w:type="pct"/>
            <w:vAlign w:val="center"/>
          </w:tcPr>
          <w:p w14:paraId="05363655">
            <w:pPr>
              <w:spacing w:line="400" w:lineRule="exact"/>
              <w:jc w:val="center"/>
              <w:rPr>
                <w:rFonts w:ascii="宋体" w:hAnsi="宋体" w:cs="宋体"/>
                <w:kern w:val="1"/>
                <w:sz w:val="24"/>
              </w:rPr>
            </w:pPr>
            <w:r>
              <w:rPr>
                <w:rFonts w:hint="eastAsia" w:ascii="宋体" w:hAnsi="宋体" w:cs="宋体"/>
                <w:bCs/>
                <w:kern w:val="0"/>
                <w:sz w:val="24"/>
              </w:rPr>
              <w:t>主观分</w:t>
            </w:r>
          </w:p>
        </w:tc>
      </w:tr>
      <w:tr w14:paraId="0D4A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4D444EAB">
            <w:pPr>
              <w:spacing w:line="400" w:lineRule="exact"/>
              <w:jc w:val="center"/>
              <w:rPr>
                <w:rFonts w:ascii="宋体" w:hAnsi="宋体"/>
                <w:sz w:val="24"/>
              </w:rPr>
            </w:pPr>
            <w:r>
              <w:rPr>
                <w:rFonts w:hint="eastAsia" w:ascii="宋体" w:hAnsi="宋体"/>
                <w:sz w:val="24"/>
              </w:rPr>
              <w:t>11</w:t>
            </w:r>
          </w:p>
        </w:tc>
        <w:tc>
          <w:tcPr>
            <w:tcW w:w="550" w:type="pct"/>
            <w:vAlign w:val="center"/>
          </w:tcPr>
          <w:p w14:paraId="5E72B415">
            <w:pPr>
              <w:widowControl/>
              <w:spacing w:line="400" w:lineRule="exact"/>
              <w:jc w:val="center"/>
              <w:rPr>
                <w:rFonts w:ascii="宋体" w:hAnsi="宋体" w:cs="宋体"/>
                <w:bCs/>
                <w:kern w:val="0"/>
                <w:sz w:val="24"/>
              </w:rPr>
            </w:pPr>
            <w:r>
              <w:rPr>
                <w:rFonts w:hint="eastAsia" w:ascii="宋体" w:hAnsi="宋体" w:cs="宋体"/>
                <w:bCs/>
                <w:kern w:val="0"/>
                <w:sz w:val="24"/>
              </w:rPr>
              <w:t>质保期承诺</w:t>
            </w:r>
          </w:p>
        </w:tc>
        <w:tc>
          <w:tcPr>
            <w:tcW w:w="3464" w:type="pct"/>
            <w:vAlign w:val="center"/>
          </w:tcPr>
          <w:p w14:paraId="20C26BB3">
            <w:pPr>
              <w:widowControl/>
              <w:spacing w:line="400" w:lineRule="exact"/>
              <w:jc w:val="left"/>
              <w:rPr>
                <w:rFonts w:ascii="宋体" w:hAnsi="宋体" w:cs="宋体"/>
                <w:sz w:val="24"/>
              </w:rPr>
            </w:pPr>
            <w:r>
              <w:rPr>
                <w:rFonts w:hint="eastAsia" w:ascii="宋体" w:hAnsi="宋体" w:cs="宋体"/>
                <w:sz w:val="24"/>
              </w:rPr>
              <w:t>投标人根据工程交付使用</w:t>
            </w:r>
            <w:r>
              <w:rPr>
                <w:rFonts w:ascii="宋体" w:hAnsi="宋体" w:cs="宋体"/>
                <w:sz w:val="24"/>
              </w:rPr>
              <w:t>后</w:t>
            </w:r>
            <w:r>
              <w:rPr>
                <w:rFonts w:hint="eastAsia" w:ascii="宋体" w:hAnsi="宋体" w:cs="宋体"/>
                <w:sz w:val="24"/>
              </w:rPr>
              <w:t>的维护需求拟定保修服务方案，提供后期免费维修承诺，根据维修方案是否及时</w:t>
            </w:r>
            <w:r>
              <w:rPr>
                <w:rFonts w:ascii="宋体" w:hAnsi="宋体" w:cs="宋体"/>
                <w:sz w:val="24"/>
              </w:rPr>
              <w:t>、</w:t>
            </w:r>
            <w:r>
              <w:rPr>
                <w:rFonts w:hint="eastAsia" w:ascii="宋体" w:hAnsi="宋体" w:cs="宋体"/>
                <w:sz w:val="24"/>
              </w:rPr>
              <w:t>完整合理、长效可行进行综合评审：维修</w:t>
            </w:r>
            <w:r>
              <w:rPr>
                <w:rFonts w:ascii="宋体" w:hAnsi="宋体" w:cs="宋体"/>
                <w:sz w:val="24"/>
              </w:rPr>
              <w:t>响应及时</w:t>
            </w:r>
            <w:r>
              <w:rPr>
                <w:rFonts w:hint="eastAsia" w:ascii="宋体" w:hAnsi="宋体" w:cs="宋体"/>
                <w:sz w:val="24"/>
              </w:rPr>
              <w:t>、</w:t>
            </w:r>
            <w:r>
              <w:rPr>
                <w:rFonts w:ascii="宋体" w:hAnsi="宋体" w:cs="宋体"/>
                <w:sz w:val="24"/>
              </w:rPr>
              <w:t>长效可行的得</w:t>
            </w:r>
            <w:r>
              <w:rPr>
                <w:rFonts w:hint="eastAsia" w:ascii="宋体" w:hAnsi="宋体" w:cs="宋体"/>
                <w:sz w:val="24"/>
              </w:rPr>
              <w:t>3-5分</w:t>
            </w:r>
            <w:r>
              <w:rPr>
                <w:rFonts w:ascii="宋体" w:hAnsi="宋体" w:cs="宋体"/>
                <w:sz w:val="24"/>
              </w:rPr>
              <w:t>，维修响应及时、</w:t>
            </w:r>
            <w:r>
              <w:rPr>
                <w:rFonts w:hint="eastAsia" w:ascii="宋体" w:hAnsi="宋体" w:cs="宋体"/>
                <w:sz w:val="24"/>
              </w:rPr>
              <w:t>长效可行</w:t>
            </w:r>
            <w:r>
              <w:rPr>
                <w:rFonts w:ascii="宋体" w:hAnsi="宋体" w:cs="宋体"/>
                <w:sz w:val="24"/>
              </w:rPr>
              <w:t>但</w:t>
            </w:r>
            <w:r>
              <w:rPr>
                <w:rFonts w:hint="eastAsia" w:ascii="宋体" w:hAnsi="宋体" w:cs="宋体"/>
                <w:sz w:val="24"/>
              </w:rPr>
              <w:t>承诺不够</w:t>
            </w:r>
            <w:r>
              <w:rPr>
                <w:rFonts w:ascii="宋体" w:hAnsi="宋体" w:cs="宋体"/>
                <w:sz w:val="24"/>
              </w:rPr>
              <w:t>具体的得</w:t>
            </w:r>
            <w:r>
              <w:rPr>
                <w:rFonts w:hint="eastAsia" w:ascii="宋体" w:hAnsi="宋体" w:cs="宋体"/>
                <w:sz w:val="24"/>
              </w:rPr>
              <w:t>2-2.9分</w:t>
            </w:r>
            <w:r>
              <w:rPr>
                <w:rFonts w:ascii="宋体" w:hAnsi="宋体" w:cs="宋体"/>
                <w:sz w:val="24"/>
              </w:rPr>
              <w:t>，维修响应</w:t>
            </w:r>
            <w:r>
              <w:rPr>
                <w:rFonts w:hint="eastAsia" w:ascii="宋体" w:hAnsi="宋体" w:cs="宋体"/>
                <w:sz w:val="24"/>
              </w:rPr>
              <w:t>时间较长、合理</w:t>
            </w:r>
            <w:r>
              <w:rPr>
                <w:rFonts w:ascii="宋体" w:hAnsi="宋体" w:cs="宋体"/>
                <w:sz w:val="24"/>
              </w:rPr>
              <w:t>有可操作性</w:t>
            </w:r>
            <w:r>
              <w:rPr>
                <w:rFonts w:hint="eastAsia" w:ascii="宋体" w:hAnsi="宋体" w:cs="宋体"/>
                <w:sz w:val="24"/>
              </w:rPr>
              <w:t>的</w:t>
            </w:r>
            <w:r>
              <w:rPr>
                <w:rFonts w:ascii="宋体" w:hAnsi="宋体" w:cs="宋体"/>
                <w:sz w:val="24"/>
              </w:rPr>
              <w:t>得</w:t>
            </w:r>
            <w:r>
              <w:rPr>
                <w:rFonts w:hint="eastAsia" w:ascii="宋体" w:hAnsi="宋体" w:cs="宋体"/>
                <w:sz w:val="24"/>
              </w:rPr>
              <w:t>0-1.9分。</w:t>
            </w:r>
          </w:p>
        </w:tc>
        <w:tc>
          <w:tcPr>
            <w:tcW w:w="414" w:type="pct"/>
            <w:vAlign w:val="center"/>
          </w:tcPr>
          <w:p w14:paraId="7AA27DF1">
            <w:pPr>
              <w:spacing w:line="400" w:lineRule="exact"/>
              <w:jc w:val="center"/>
              <w:rPr>
                <w:rFonts w:ascii="宋体" w:hAnsi="宋体" w:cs="宋体"/>
                <w:kern w:val="1"/>
                <w:sz w:val="24"/>
              </w:rPr>
            </w:pPr>
            <w:r>
              <w:rPr>
                <w:rFonts w:hint="eastAsia" w:ascii="宋体" w:hAnsi="宋体" w:cs="宋体"/>
                <w:kern w:val="1"/>
                <w:sz w:val="24"/>
              </w:rPr>
              <w:t>5</w:t>
            </w:r>
          </w:p>
        </w:tc>
        <w:tc>
          <w:tcPr>
            <w:tcW w:w="285" w:type="pct"/>
            <w:vAlign w:val="center"/>
          </w:tcPr>
          <w:p w14:paraId="3ED515AD">
            <w:pPr>
              <w:spacing w:line="400" w:lineRule="exact"/>
              <w:jc w:val="center"/>
              <w:rPr>
                <w:rFonts w:ascii="宋体" w:hAnsi="宋体" w:cs="宋体"/>
                <w:kern w:val="1"/>
                <w:sz w:val="24"/>
              </w:rPr>
            </w:pPr>
            <w:r>
              <w:rPr>
                <w:rFonts w:hint="eastAsia" w:ascii="宋体" w:hAnsi="宋体" w:cs="宋体"/>
                <w:bCs/>
                <w:kern w:val="0"/>
                <w:sz w:val="24"/>
              </w:rPr>
              <w:t>主观分</w:t>
            </w:r>
          </w:p>
        </w:tc>
      </w:tr>
      <w:tr w14:paraId="36DE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0AD5A377">
            <w:pPr>
              <w:spacing w:line="400" w:lineRule="exact"/>
              <w:jc w:val="center"/>
              <w:rPr>
                <w:rFonts w:ascii="宋体" w:hAnsi="宋体"/>
                <w:sz w:val="24"/>
              </w:rPr>
            </w:pPr>
            <w:r>
              <w:rPr>
                <w:rFonts w:hint="eastAsia" w:ascii="宋体" w:hAnsi="宋体"/>
                <w:sz w:val="24"/>
              </w:rPr>
              <w:t>12</w:t>
            </w:r>
          </w:p>
        </w:tc>
        <w:tc>
          <w:tcPr>
            <w:tcW w:w="550" w:type="pct"/>
            <w:vAlign w:val="center"/>
          </w:tcPr>
          <w:p w14:paraId="543BA7CB">
            <w:pPr>
              <w:widowControl/>
              <w:spacing w:line="400" w:lineRule="exact"/>
              <w:jc w:val="center"/>
              <w:rPr>
                <w:rFonts w:ascii="宋体" w:hAnsi="宋体" w:cs="宋体"/>
                <w:bCs/>
                <w:kern w:val="0"/>
                <w:sz w:val="24"/>
              </w:rPr>
            </w:pPr>
            <w:r>
              <w:rPr>
                <w:rFonts w:hint="eastAsia" w:ascii="宋体" w:hAnsi="宋体" w:cs="宋体"/>
                <w:bCs/>
                <w:kern w:val="0"/>
                <w:sz w:val="24"/>
              </w:rPr>
              <w:t>合理化建议</w:t>
            </w:r>
          </w:p>
        </w:tc>
        <w:tc>
          <w:tcPr>
            <w:tcW w:w="3464" w:type="pct"/>
            <w:vAlign w:val="center"/>
          </w:tcPr>
          <w:p w14:paraId="7A83C1B2">
            <w:pPr>
              <w:widowControl/>
              <w:spacing w:line="400" w:lineRule="exact"/>
              <w:jc w:val="left"/>
              <w:rPr>
                <w:rFonts w:ascii="宋体" w:hAnsi="宋体" w:cs="宋体"/>
                <w:sz w:val="24"/>
              </w:rPr>
            </w:pPr>
            <w:r>
              <w:rPr>
                <w:rFonts w:hint="eastAsia" w:ascii="宋体" w:hAnsi="宋体" w:cs="宋体"/>
                <w:sz w:val="24"/>
              </w:rPr>
              <w:t>根据投标人针对本项目提出的合理化建议是否具有切实可行性进行综合评定，建议</w:t>
            </w:r>
            <w:r>
              <w:rPr>
                <w:rFonts w:ascii="宋体" w:hAnsi="宋体" w:cs="宋体"/>
                <w:bCs/>
                <w:kern w:val="0"/>
                <w:sz w:val="24"/>
              </w:rPr>
              <w:t>有合理</w:t>
            </w:r>
            <w:r>
              <w:rPr>
                <w:rFonts w:hint="eastAsia" w:ascii="宋体" w:hAnsi="宋体" w:cs="宋体"/>
                <w:bCs/>
                <w:kern w:val="0"/>
                <w:sz w:val="24"/>
              </w:rPr>
              <w:t>性、针对性较强</w:t>
            </w:r>
            <w:r>
              <w:rPr>
                <w:rFonts w:ascii="宋体" w:hAnsi="宋体" w:cs="宋体"/>
                <w:bCs/>
                <w:kern w:val="0"/>
                <w:sz w:val="24"/>
              </w:rPr>
              <w:t>的得</w:t>
            </w:r>
            <w:r>
              <w:rPr>
                <w:rFonts w:hint="eastAsia" w:ascii="宋体" w:hAnsi="宋体" w:cs="宋体"/>
                <w:bCs/>
                <w:kern w:val="0"/>
                <w:sz w:val="24"/>
              </w:rPr>
              <w:t>3-5分；</w:t>
            </w:r>
            <w:r>
              <w:rPr>
                <w:rFonts w:hint="eastAsia" w:ascii="宋体" w:hAnsi="宋体" w:cs="宋体"/>
                <w:sz w:val="24"/>
              </w:rPr>
              <w:t>建议把握不够详细准确的得2-2.9分；建议把握一般的得0-1.9分。</w:t>
            </w:r>
          </w:p>
        </w:tc>
        <w:tc>
          <w:tcPr>
            <w:tcW w:w="414" w:type="pct"/>
            <w:vAlign w:val="center"/>
          </w:tcPr>
          <w:p w14:paraId="54B41FCD">
            <w:pPr>
              <w:spacing w:line="400" w:lineRule="exact"/>
              <w:jc w:val="center"/>
              <w:rPr>
                <w:rFonts w:ascii="宋体" w:hAnsi="宋体" w:cs="宋体"/>
                <w:kern w:val="1"/>
                <w:sz w:val="24"/>
              </w:rPr>
            </w:pPr>
            <w:r>
              <w:rPr>
                <w:rFonts w:hint="eastAsia" w:ascii="宋体" w:hAnsi="宋体" w:cs="宋体"/>
                <w:kern w:val="1"/>
                <w:sz w:val="24"/>
              </w:rPr>
              <w:t>5</w:t>
            </w:r>
          </w:p>
        </w:tc>
        <w:tc>
          <w:tcPr>
            <w:tcW w:w="285" w:type="pct"/>
            <w:vAlign w:val="center"/>
          </w:tcPr>
          <w:p w14:paraId="55247171">
            <w:pPr>
              <w:spacing w:line="400" w:lineRule="exact"/>
              <w:jc w:val="center"/>
              <w:rPr>
                <w:rFonts w:ascii="宋体" w:hAnsi="宋体" w:cs="宋体"/>
                <w:kern w:val="1"/>
                <w:sz w:val="24"/>
              </w:rPr>
            </w:pPr>
            <w:r>
              <w:rPr>
                <w:rFonts w:hint="eastAsia" w:ascii="宋体" w:hAnsi="宋体" w:cs="宋体"/>
                <w:bCs/>
                <w:kern w:val="0"/>
                <w:sz w:val="24"/>
              </w:rPr>
              <w:t>主观分</w:t>
            </w:r>
          </w:p>
        </w:tc>
      </w:tr>
    </w:tbl>
    <w:p w14:paraId="56B5461B">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响应文件内容缺项的，该项得0分（附件另行备注除外），以上各项的总和为投标人的商务技术响应文件部分得分。投标文件中所提供的复印件均需清晰可见（建议采用原件的扫描件），否则不利于投标人的评分，由投标人自行负责。</w:t>
      </w:r>
    </w:p>
    <w:p w14:paraId="6F603337">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p>
    <w:p w14:paraId="30177E36">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p>
    <w:p w14:paraId="3F6C685E">
      <w:pPr>
        <w:spacing w:line="360" w:lineRule="auto"/>
        <w:jc w:val="center"/>
        <w:rPr>
          <w:rFonts w:ascii="宋体" w:hAnsi="宋体"/>
          <w:b/>
          <w:color w:val="000000" w:themeColor="text1"/>
          <w:sz w:val="36"/>
          <w:szCs w:val="36"/>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743F74AF">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第四章 项目需求</w:t>
      </w:r>
    </w:p>
    <w:p w14:paraId="4D1D54F1">
      <w:pPr>
        <w:tabs>
          <w:tab w:val="left" w:pos="8280"/>
        </w:tabs>
        <w:autoSpaceDE w:val="0"/>
        <w:autoSpaceDN w:val="0"/>
        <w:adjustRightInd w:val="0"/>
        <w:spacing w:line="360" w:lineRule="auto"/>
        <w:ind w:right="25" w:firstLine="241" w:firstLineChars="100"/>
        <w:jc w:val="left"/>
        <w:rPr>
          <w:rFonts w:ascii="宋体" w:hAnsi="宋体" w:cs="楷体_GB2312"/>
          <w:color w:val="000000" w:themeColor="text1"/>
          <w:sz w:val="24"/>
          <w14:textFill>
            <w14:solidFill>
              <w14:schemeClr w14:val="tx1"/>
            </w14:solidFill>
          </w14:textFill>
        </w:rPr>
      </w:pPr>
      <w:r>
        <w:rPr>
          <w:rFonts w:hint="eastAsia" w:ascii="宋体" w:hAnsi="宋体" w:cs="楷体_GB2312"/>
          <w:b/>
          <w:color w:val="000000" w:themeColor="text1"/>
          <w:sz w:val="24"/>
          <w14:textFill>
            <w14:solidFill>
              <w14:schemeClr w14:val="tx1"/>
            </w14:solidFill>
          </w14:textFill>
        </w:rPr>
        <w:t>一、磋商项目一览表</w:t>
      </w:r>
    </w:p>
    <w:p w14:paraId="501F31C8">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本次磋商共</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个标段，具体内容如下表：</w:t>
      </w:r>
    </w:p>
    <w:tbl>
      <w:tblPr>
        <w:tblStyle w:val="2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14:paraId="49C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551A8E48">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标段号</w:t>
            </w:r>
          </w:p>
        </w:tc>
        <w:tc>
          <w:tcPr>
            <w:tcW w:w="1559" w:type="dxa"/>
            <w:vAlign w:val="center"/>
          </w:tcPr>
          <w:p w14:paraId="21DE8B19">
            <w:pPr>
              <w:tabs>
                <w:tab w:val="left" w:pos="8280"/>
              </w:tabs>
              <w:autoSpaceDE w:val="0"/>
              <w:autoSpaceDN w:val="0"/>
              <w:adjustRightInd w:val="0"/>
              <w:ind w:right="25"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标项内容</w:t>
            </w:r>
          </w:p>
        </w:tc>
        <w:tc>
          <w:tcPr>
            <w:tcW w:w="2268" w:type="dxa"/>
            <w:vAlign w:val="center"/>
          </w:tcPr>
          <w:p w14:paraId="35DA915D">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567" w:type="dxa"/>
            <w:vAlign w:val="center"/>
          </w:tcPr>
          <w:p w14:paraId="393FE4C3">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567" w:type="dxa"/>
            <w:vAlign w:val="center"/>
          </w:tcPr>
          <w:p w14:paraId="6317929B">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851" w:type="dxa"/>
            <w:vAlign w:val="center"/>
          </w:tcPr>
          <w:p w14:paraId="0AE6117C">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预算（元）</w:t>
            </w:r>
          </w:p>
        </w:tc>
        <w:tc>
          <w:tcPr>
            <w:tcW w:w="992" w:type="dxa"/>
            <w:vAlign w:val="center"/>
          </w:tcPr>
          <w:p w14:paraId="0F166D93">
            <w:pPr>
              <w:tabs>
                <w:tab w:val="left" w:pos="8280"/>
              </w:tabs>
              <w:autoSpaceDE w:val="0"/>
              <w:autoSpaceDN w:val="0"/>
              <w:adjustRightInd w:val="0"/>
              <w:spacing w:line="312" w:lineRule="auto"/>
              <w:ind w:left="-214" w:leftChars="-102" w:right="-10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上限价（元）</w:t>
            </w:r>
          </w:p>
        </w:tc>
        <w:tc>
          <w:tcPr>
            <w:tcW w:w="1276" w:type="dxa"/>
            <w:vAlign w:val="center"/>
          </w:tcPr>
          <w:p w14:paraId="674E77D9">
            <w:pPr>
              <w:tabs>
                <w:tab w:val="left" w:pos="8280"/>
              </w:tabs>
              <w:autoSpaceDE w:val="0"/>
              <w:autoSpaceDN w:val="0"/>
              <w:adjustRightInd w:val="0"/>
              <w:spacing w:line="312" w:lineRule="auto"/>
              <w:ind w:left="-107" w:leftChars="-51" w:right="25" w:firstLine="10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工期（合同签订后几天内）</w:t>
            </w:r>
          </w:p>
        </w:tc>
        <w:tc>
          <w:tcPr>
            <w:tcW w:w="992" w:type="dxa"/>
            <w:vAlign w:val="center"/>
          </w:tcPr>
          <w:p w14:paraId="64B8BAFA">
            <w:pPr>
              <w:tabs>
                <w:tab w:val="left" w:pos="8280"/>
              </w:tabs>
              <w:autoSpaceDE w:val="0"/>
              <w:autoSpaceDN w:val="0"/>
              <w:adjustRightInd w:val="0"/>
              <w:ind w:right="25" w:hanging="1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项目地点</w:t>
            </w:r>
          </w:p>
        </w:tc>
      </w:tr>
      <w:tr w14:paraId="5FC6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14:paraId="7C1E2B9B">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59" w:type="dxa"/>
            <w:vAlign w:val="center"/>
          </w:tcPr>
          <w:p w14:paraId="477D35B8">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台州职业技术学院科技创新与成果转化中心改造项目</w:t>
            </w:r>
          </w:p>
        </w:tc>
        <w:tc>
          <w:tcPr>
            <w:tcW w:w="2268" w:type="dxa"/>
            <w:vAlign w:val="center"/>
          </w:tcPr>
          <w:p w14:paraId="2DB1004D">
            <w:pPr>
              <w:tabs>
                <w:tab w:val="left" w:pos="8280"/>
              </w:tabs>
              <w:autoSpaceDE w:val="0"/>
              <w:autoSpaceDN w:val="0"/>
              <w:adjustRightInd w:val="0"/>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台州职业技术学院科技创新与成果转化中心改造</w:t>
            </w:r>
            <w:r>
              <w:rPr>
                <w:rFonts w:hint="eastAsia" w:ascii="宋体" w:hAnsi="宋体" w:cs="宋体"/>
                <w:color w:val="000000" w:themeColor="text1"/>
                <w:sz w:val="24"/>
                <w:lang w:eastAsia="zh-Hans"/>
                <w14:textFill>
                  <w14:solidFill>
                    <w14:schemeClr w14:val="tx1"/>
                  </w14:solidFill>
                </w14:textFill>
              </w:rPr>
              <w:t>，具体装修要求详见图纸及预算</w:t>
            </w:r>
          </w:p>
        </w:tc>
        <w:tc>
          <w:tcPr>
            <w:tcW w:w="567" w:type="dxa"/>
            <w:vAlign w:val="center"/>
          </w:tcPr>
          <w:p w14:paraId="048BDB98">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67" w:type="dxa"/>
            <w:vAlign w:val="center"/>
          </w:tcPr>
          <w:p w14:paraId="77B16364">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851" w:type="dxa"/>
            <w:vAlign w:val="center"/>
          </w:tcPr>
          <w:p w14:paraId="0B5C424F">
            <w:pPr>
              <w:autoSpaceDE w:val="0"/>
              <w:autoSpaceDN w:val="0"/>
              <w:adjustRightInd w:val="0"/>
              <w:ind w:right="25" w:right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3000000</w:t>
            </w:r>
          </w:p>
        </w:tc>
        <w:tc>
          <w:tcPr>
            <w:tcW w:w="992" w:type="dxa"/>
            <w:vAlign w:val="center"/>
          </w:tcPr>
          <w:p w14:paraId="7886F442">
            <w:pPr>
              <w:autoSpaceDE w:val="0"/>
              <w:autoSpaceDN w:val="0"/>
              <w:adjustRightInd w:val="0"/>
              <w:ind w:right="25" w:right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2644704.05</w:t>
            </w:r>
          </w:p>
        </w:tc>
        <w:tc>
          <w:tcPr>
            <w:tcW w:w="1276" w:type="dxa"/>
            <w:vAlign w:val="center"/>
          </w:tcPr>
          <w:p w14:paraId="588A5A98">
            <w:pPr>
              <w:tabs>
                <w:tab w:val="left" w:pos="8280"/>
              </w:tabs>
              <w:autoSpaceDE w:val="0"/>
              <w:autoSpaceDN w:val="0"/>
              <w:adjustRightInd w:val="0"/>
              <w:ind w:right="25" w:rightChars="0"/>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14:textFill>
                  <w14:solidFill>
                    <w14:schemeClr w14:val="tx1"/>
                  </w14:solidFill>
                </w14:textFill>
              </w:rPr>
              <w:t>65天</w:t>
            </w:r>
          </w:p>
        </w:tc>
        <w:tc>
          <w:tcPr>
            <w:tcW w:w="992" w:type="dxa"/>
            <w:vAlign w:val="center"/>
          </w:tcPr>
          <w:p w14:paraId="3FE46CCF">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w:t>
            </w:r>
          </w:p>
        </w:tc>
      </w:tr>
    </w:tbl>
    <w:p w14:paraId="327BE4DA">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二、建设内容</w:t>
      </w:r>
    </w:p>
    <w:p w14:paraId="762ACF61">
      <w:pPr>
        <w:tabs>
          <w:tab w:val="left" w:pos="8280"/>
        </w:tabs>
        <w:autoSpaceDE w:val="0"/>
        <w:autoSpaceDN w:val="0"/>
        <w:adjustRightInd w:val="0"/>
        <w:spacing w:line="360" w:lineRule="auto"/>
        <w:ind w:right="25" w:firstLine="482" w:firstLineChars="200"/>
        <w:rPr>
          <w:rFonts w:ascii="宋体" w:hAnsi="宋体"/>
          <w:b/>
          <w:color w:val="000000" w:themeColor="text1"/>
          <w:sz w:val="24"/>
          <w:lang w:eastAsia="zh-Hans"/>
          <w14:textFill>
            <w14:solidFill>
              <w14:schemeClr w14:val="tx1"/>
            </w14:solidFill>
          </w14:textFill>
        </w:rPr>
      </w:pPr>
      <w:r>
        <w:rPr>
          <w:rFonts w:ascii="宋体" w:hAnsi="宋体"/>
          <w:b/>
          <w:color w:val="000000" w:themeColor="text1"/>
          <w:sz w:val="24"/>
          <w:lang w:eastAsia="zh-Hans"/>
          <w14:textFill>
            <w14:solidFill>
              <w14:schemeClr w14:val="tx1"/>
            </w14:solidFill>
          </w14:textFill>
        </w:rPr>
        <w:t>台州职业技术学院</w:t>
      </w:r>
      <w:r>
        <w:rPr>
          <w:rFonts w:hint="eastAsia" w:ascii="宋体" w:hAnsi="宋体"/>
          <w:b/>
          <w:color w:val="000000" w:themeColor="text1"/>
          <w:sz w:val="24"/>
          <w:lang w:eastAsia="zh-Hans"/>
          <w14:textFill>
            <w14:solidFill>
              <w14:schemeClr w14:val="tx1"/>
            </w14:solidFill>
          </w14:textFill>
        </w:rPr>
        <w:t>科技创新与成果转化中心改造</w:t>
      </w:r>
      <w:r>
        <w:rPr>
          <w:rFonts w:ascii="宋体" w:hAnsi="宋体"/>
          <w:b/>
          <w:color w:val="000000" w:themeColor="text1"/>
          <w:sz w:val="24"/>
          <w:lang w:eastAsia="zh-Hans"/>
          <w14:textFill>
            <w14:solidFill>
              <w14:schemeClr w14:val="tx1"/>
            </w14:solidFill>
          </w14:textFill>
        </w:rPr>
        <w:t>，</w:t>
      </w:r>
      <w:r>
        <w:rPr>
          <w:rFonts w:hint="eastAsia" w:ascii="宋体" w:hAnsi="宋体"/>
          <w:b/>
          <w:color w:val="000000" w:themeColor="text1"/>
          <w:sz w:val="24"/>
          <w:lang w:eastAsia="zh-Hans"/>
          <w14:textFill>
            <w14:solidFill>
              <w14:schemeClr w14:val="tx1"/>
            </w14:solidFill>
          </w14:textFill>
        </w:rPr>
        <w:t>具体要求详见图纸及预算</w:t>
      </w:r>
      <w:r>
        <w:rPr>
          <w:rFonts w:ascii="宋体" w:hAnsi="宋体"/>
          <w:b/>
          <w:color w:val="000000" w:themeColor="text1"/>
          <w:sz w:val="24"/>
          <w:lang w:eastAsia="zh-Hans"/>
          <w14:textFill>
            <w14:solidFill>
              <w14:schemeClr w14:val="tx1"/>
            </w14:solidFill>
          </w14:textFill>
        </w:rPr>
        <w:t>。</w:t>
      </w:r>
    </w:p>
    <w:p w14:paraId="792D240C">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三、技术规范及标准</w:t>
      </w:r>
    </w:p>
    <w:p w14:paraId="3DF82B88">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依据设计施工图纸和技术文件要求，本项目的材料、设备、施工必须达到以下现行中华人民共和国及省、市、行业的一切有关法规、规范的要求，如下述标准及规范要求有出入则以较严格者为准。</w:t>
      </w:r>
    </w:p>
    <w:p w14:paraId="37CDAB1B">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《工程测量规范》GB50026-2016</w:t>
      </w:r>
    </w:p>
    <w:p w14:paraId="3630980F">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《城镇道路工程施工与质量验收规范》CJJ1-2008</w:t>
      </w:r>
    </w:p>
    <w:p w14:paraId="1A8E555C">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《给水排水管道工程施工及验收规范》GB50268-2008</w:t>
      </w:r>
    </w:p>
    <w:p w14:paraId="6A2715E7">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《地基与基础工程施工及验收规范》GB50209-2002</w:t>
      </w:r>
    </w:p>
    <w:p w14:paraId="595D1E9C">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《建筑基坑支护技术规范》JGJ120-2012</w:t>
      </w:r>
    </w:p>
    <w:p w14:paraId="4884054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《建筑地基处理技术规范》JGJ79-2012、J220-2012</w:t>
      </w:r>
    </w:p>
    <w:p w14:paraId="0FD7DCD9">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《混凝土结构工程施工及验收规范》GB50204-2015</w:t>
      </w:r>
    </w:p>
    <w:p w14:paraId="55E5F5DD">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《混凝土质量控制标准》GB50164-2011</w:t>
      </w:r>
    </w:p>
    <w:p w14:paraId="2D3A505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《普通混凝土用砂、石质量标准及检验方法》JGJ52-2006</w:t>
      </w:r>
    </w:p>
    <w:p w14:paraId="3BF7AF84">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《普通混凝土用碎石和卵石质量标准及检验方法》JGJ53-92</w:t>
      </w:r>
    </w:p>
    <w:p w14:paraId="116DE2BC">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《混凝土外加剂应用技术规范》 GB50119-2013</w:t>
      </w:r>
    </w:p>
    <w:p w14:paraId="22AB23DD">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《钢筋机械连接通用技术规程》JBJ107-2010</w:t>
      </w:r>
    </w:p>
    <w:p w14:paraId="0526AC27">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《砌体结构工程施工质量验收规范》GB50203-2011</w:t>
      </w:r>
    </w:p>
    <w:p w14:paraId="2B9652B3">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《屋面工程技术规范》GB50345-2012</w:t>
      </w:r>
    </w:p>
    <w:p w14:paraId="19AD95E5">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《钢结构焊接及验收规程》JGJ81-2003     </w:t>
      </w:r>
    </w:p>
    <w:p w14:paraId="69AC05B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《冷弯薄壁型钢结构技术规范》GB50018-2016</w:t>
      </w:r>
    </w:p>
    <w:p w14:paraId="41F3318A">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《混凝土结构设计规范》GB50010-2010    </w:t>
      </w:r>
    </w:p>
    <w:p w14:paraId="0E448567">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《钢结构施工及验收规范》GB50205-2002</w:t>
      </w:r>
    </w:p>
    <w:p w14:paraId="692F470C">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《钢结构防火涂料应用技术规范》CECS 24  </w:t>
      </w:r>
    </w:p>
    <w:p w14:paraId="0BEEEF4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《门式刚架轻型房屋钢结构技术规程》GB51022-2015  </w:t>
      </w:r>
    </w:p>
    <w:p w14:paraId="46756700">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《钢结构高强度螺栓连接的设施工及验收规程》JGJ82-91  </w:t>
      </w:r>
    </w:p>
    <w:p w14:paraId="414F0D55">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《涂装前钢材表面锈蚀等级和除锈等级》GB8923  </w:t>
      </w:r>
    </w:p>
    <w:p w14:paraId="15A335CE">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《施工现场临时用电安全技术规范》JGJ46-2005</w:t>
      </w:r>
    </w:p>
    <w:p w14:paraId="2AFCECB5">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《建筑施工高处作业安全技术规范》JGJ80-2016</w:t>
      </w:r>
    </w:p>
    <w:p w14:paraId="06615DCB">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《建筑机械使用安全技术规范》JGJ33-2012</w:t>
      </w:r>
    </w:p>
    <w:p w14:paraId="3B40F1D6">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《建筑内部装修设计防火规范》GB50222-2017</w:t>
      </w:r>
    </w:p>
    <w:p w14:paraId="4A581169">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《建筑装修工程质量验收规范》GB 50210-2001</w:t>
      </w:r>
    </w:p>
    <w:p w14:paraId="63FD692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《民用建筑工程室内环境污染控制规范》GB 50325－2010</w:t>
      </w:r>
    </w:p>
    <w:p w14:paraId="1A898A9F">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《采暖通风与空气调节设计规范》GBJ19－2003</w:t>
      </w:r>
    </w:p>
    <w:p w14:paraId="5929BBEE">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《建筑电气工程施工质量验收规范》GB50303-2015</w:t>
      </w:r>
    </w:p>
    <w:p w14:paraId="5BE6458D">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《建筑给水排水及采暖施工质量验收规范》GB50242-2002</w:t>
      </w:r>
    </w:p>
    <w:p w14:paraId="686E3137">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《通风与空调工程施工质量验收规范》GB50243-2016</w:t>
      </w:r>
    </w:p>
    <w:p w14:paraId="122D8D40">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《火灾自动报警系统设计规范》GB50116-2013</w:t>
      </w:r>
    </w:p>
    <w:p w14:paraId="10040F85">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《火灾自动报警系统施工及验收规范》GB 50166-2007</w:t>
      </w:r>
    </w:p>
    <w:p w14:paraId="22B03731">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《自动喷水灭火系统施工及验收规范》GB 50261-2017</w:t>
      </w:r>
    </w:p>
    <w:p w14:paraId="24FE9629">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14:paraId="57516963">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以上技术规范由承包</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自备，如有不足之处或未能达到国家最新标准时，承包供应商应使施工及选用的设备和材料符合最新版本的国家标准、规范。</w:t>
      </w:r>
    </w:p>
    <w:p w14:paraId="0DB8BA39">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四、材料质量要求</w:t>
      </w:r>
    </w:p>
    <w:p w14:paraId="3AC5295C">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1、材料选择</w:t>
      </w:r>
    </w:p>
    <w:p w14:paraId="3FDC1C63">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采购文件涉及的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76C05DD9">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2、材料的质量保证</w:t>
      </w:r>
    </w:p>
    <w:p w14:paraId="151CB076">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（1）在免费保修期内，承包供应商对有缺陷的部位必须无偿地给予修理与更换，并承担一切由此引起的对采购人或第三者的直接损失，除非该缺陷是由于人为破坏或合同规定的不可抗因素造成的损坏。</w:t>
      </w:r>
    </w:p>
    <w:p w14:paraId="511A1FCE">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（2）承包供应商必须对所承包的工程的质量负全部责任，其责任不因其他材料生产商提供的保证书而减轻或更改。</w:t>
      </w:r>
    </w:p>
    <w:p w14:paraId="63A2B658">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（3）材料检验结果证明其有害物质含量指标超标的产品不得在工程上使用。</w:t>
      </w:r>
    </w:p>
    <w:p w14:paraId="78235187">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3、供应要求</w:t>
      </w:r>
    </w:p>
    <w:p w14:paraId="1C62040A">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次招标承包范围内的建筑施工材料均由承包供应商根据本采购文件、设计图纸和国家有关规定的具体要求进行采购、运输、检验、保管，但采购人保留变更和指定材料的权利；所有建筑材料须有产品合格证和质量保证书，应先送样品，样品经设计方、监理方、采购人确认与招标要求一致后封存，批量供应时应与样品一致，并经相关部门检验合格后方可使用。</w:t>
      </w:r>
    </w:p>
    <w:p w14:paraId="23148480">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（2）由承包供应商采购的主要建筑材料，当承包供应商选定的产品质量达不到设计要求和预期质量目标时，采购人保留更换的权利，且中标价不予调整。</w:t>
      </w:r>
    </w:p>
    <w:p w14:paraId="49DA20A8">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Times New Roman" w:hAnsi="Times New Roman" w:cs="Arial"/>
          <w:b/>
          <w:bCs/>
          <w:color w:val="000000" w:themeColor="text1"/>
          <w:sz w:val="24"/>
          <w:szCs w:val="21"/>
          <w14:textFill>
            <w14:solidFill>
              <w14:schemeClr w14:val="tx1"/>
            </w14:solidFill>
          </w14:textFill>
        </w:rPr>
        <w:t>主要设备材料备选品牌推荐表：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5103"/>
        <w:gridCol w:w="1276"/>
      </w:tblGrid>
      <w:tr w14:paraId="6A7F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E78AF3">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126" w:type="dxa"/>
            <w:vAlign w:val="center"/>
          </w:tcPr>
          <w:p w14:paraId="7AF6D8CC">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5103" w:type="dxa"/>
            <w:vAlign w:val="center"/>
          </w:tcPr>
          <w:p w14:paraId="56744BBC">
            <w:pPr>
              <w:widowControl/>
              <w:spacing w:line="360" w:lineRule="auto"/>
              <w:jc w:val="center"/>
              <w:rPr>
                <w:rFonts w:ascii="宋体" w:hAnsi="宋体" w:cs="宋体"/>
                <w:kern w:val="0"/>
                <w:sz w:val="24"/>
              </w:rPr>
            </w:pPr>
            <w:r>
              <w:rPr>
                <w:rFonts w:hint="eastAsia" w:ascii="宋体" w:hAnsi="宋体" w:cs="宋体"/>
                <w:kern w:val="0"/>
                <w:sz w:val="24"/>
              </w:rPr>
              <w:t>推荐参考品牌</w:t>
            </w:r>
          </w:p>
        </w:tc>
        <w:tc>
          <w:tcPr>
            <w:tcW w:w="1276" w:type="dxa"/>
          </w:tcPr>
          <w:p w14:paraId="0B58A5F5">
            <w:pPr>
              <w:widowControl/>
              <w:spacing w:line="360" w:lineRule="auto"/>
              <w:jc w:val="center"/>
              <w:rPr>
                <w:rFonts w:ascii="宋体" w:hAnsi="宋体" w:cs="宋体"/>
                <w:kern w:val="0"/>
                <w:sz w:val="24"/>
              </w:rPr>
            </w:pPr>
            <w:r>
              <w:rPr>
                <w:rFonts w:hint="eastAsia" w:ascii="宋体" w:hAnsi="宋体" w:cs="宋体"/>
                <w:kern w:val="0"/>
                <w:sz w:val="24"/>
              </w:rPr>
              <w:t>备注</w:t>
            </w:r>
          </w:p>
        </w:tc>
      </w:tr>
      <w:tr w14:paraId="6578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40E005">
            <w:pPr>
              <w:widowControl/>
              <w:spacing w:line="360" w:lineRule="auto"/>
              <w:jc w:val="center"/>
              <w:rPr>
                <w:rFonts w:ascii="宋体" w:hAnsi="宋体" w:cs="宋体"/>
                <w:kern w:val="0"/>
                <w:sz w:val="24"/>
              </w:rPr>
            </w:pPr>
            <w:r>
              <w:rPr>
                <w:rFonts w:hint="eastAsia" w:ascii="宋体" w:hAnsi="宋体" w:cs="宋体"/>
                <w:kern w:val="0"/>
                <w:sz w:val="24"/>
              </w:rPr>
              <w:t>1</w:t>
            </w:r>
          </w:p>
        </w:tc>
        <w:tc>
          <w:tcPr>
            <w:tcW w:w="2126" w:type="dxa"/>
            <w:vAlign w:val="center"/>
          </w:tcPr>
          <w:p w14:paraId="38FEE52A">
            <w:pPr>
              <w:widowControl/>
              <w:spacing w:line="360" w:lineRule="auto"/>
              <w:jc w:val="center"/>
              <w:rPr>
                <w:rFonts w:ascii="宋体" w:hAnsi="宋体" w:cs="宋体"/>
                <w:kern w:val="0"/>
                <w:sz w:val="24"/>
              </w:rPr>
            </w:pPr>
            <w:r>
              <w:rPr>
                <w:rFonts w:hint="eastAsia" w:ascii="宋体" w:hAnsi="宋体" w:cs="宋体"/>
                <w:kern w:val="0"/>
                <w:sz w:val="24"/>
              </w:rPr>
              <w:t>瓷砖</w:t>
            </w:r>
          </w:p>
        </w:tc>
        <w:tc>
          <w:tcPr>
            <w:tcW w:w="5103" w:type="dxa"/>
            <w:vAlign w:val="center"/>
          </w:tcPr>
          <w:p w14:paraId="4B04E26F">
            <w:pPr>
              <w:widowControl/>
              <w:spacing w:line="360" w:lineRule="auto"/>
              <w:jc w:val="center"/>
              <w:rPr>
                <w:rFonts w:ascii="宋体" w:hAnsi="宋体" w:cs="宋体"/>
                <w:kern w:val="0"/>
                <w:sz w:val="24"/>
              </w:rPr>
            </w:pPr>
            <w:r>
              <w:rPr>
                <w:rFonts w:hint="eastAsia" w:ascii="宋体" w:hAnsi="宋体" w:cs="宋体"/>
                <w:kern w:val="0"/>
                <w:sz w:val="24"/>
              </w:rPr>
              <w:t>马可波罗、冠珠、鹰牌或相当于</w:t>
            </w:r>
          </w:p>
        </w:tc>
        <w:tc>
          <w:tcPr>
            <w:tcW w:w="1276" w:type="dxa"/>
          </w:tcPr>
          <w:p w14:paraId="0C043750">
            <w:pPr>
              <w:widowControl/>
              <w:spacing w:line="360" w:lineRule="auto"/>
              <w:jc w:val="center"/>
              <w:rPr>
                <w:rFonts w:ascii="宋体" w:hAnsi="宋体" w:cs="宋体"/>
                <w:kern w:val="0"/>
                <w:sz w:val="24"/>
              </w:rPr>
            </w:pPr>
          </w:p>
        </w:tc>
      </w:tr>
      <w:tr w14:paraId="56B7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B44FC7">
            <w:pPr>
              <w:widowControl/>
              <w:spacing w:line="360" w:lineRule="auto"/>
              <w:jc w:val="center"/>
              <w:rPr>
                <w:rFonts w:ascii="宋体" w:hAnsi="宋体" w:cs="宋体"/>
                <w:kern w:val="0"/>
                <w:sz w:val="24"/>
              </w:rPr>
            </w:pPr>
            <w:r>
              <w:rPr>
                <w:rFonts w:hint="eastAsia" w:ascii="宋体" w:hAnsi="宋体" w:cs="宋体"/>
                <w:kern w:val="0"/>
                <w:sz w:val="24"/>
              </w:rPr>
              <w:t>2</w:t>
            </w:r>
          </w:p>
        </w:tc>
        <w:tc>
          <w:tcPr>
            <w:tcW w:w="2126" w:type="dxa"/>
            <w:vAlign w:val="center"/>
          </w:tcPr>
          <w:p w14:paraId="50B2E932">
            <w:pPr>
              <w:widowControl/>
              <w:spacing w:line="360" w:lineRule="auto"/>
              <w:jc w:val="center"/>
              <w:rPr>
                <w:rFonts w:ascii="宋体" w:hAnsi="宋体" w:cs="宋体"/>
                <w:kern w:val="0"/>
                <w:sz w:val="24"/>
              </w:rPr>
            </w:pPr>
            <w:r>
              <w:rPr>
                <w:rFonts w:hint="eastAsia" w:ascii="宋体" w:hAnsi="宋体" w:cs="宋体"/>
                <w:kern w:val="0"/>
                <w:sz w:val="24"/>
              </w:rPr>
              <w:t>实木复合地板</w:t>
            </w:r>
          </w:p>
        </w:tc>
        <w:tc>
          <w:tcPr>
            <w:tcW w:w="5103" w:type="dxa"/>
            <w:vAlign w:val="center"/>
          </w:tcPr>
          <w:p w14:paraId="0A4D7C00">
            <w:pPr>
              <w:widowControl/>
              <w:spacing w:line="360" w:lineRule="auto"/>
              <w:jc w:val="center"/>
              <w:rPr>
                <w:rFonts w:ascii="宋体" w:hAnsi="宋体" w:cs="宋体"/>
                <w:kern w:val="0"/>
                <w:sz w:val="24"/>
              </w:rPr>
            </w:pPr>
            <w:r>
              <w:rPr>
                <w:rFonts w:hint="eastAsia" w:ascii="宋体" w:hAnsi="宋体" w:cs="宋体"/>
                <w:kern w:val="0"/>
                <w:sz w:val="24"/>
              </w:rPr>
              <w:t>大自然、兔宝宝、圣象或相当于</w:t>
            </w:r>
          </w:p>
        </w:tc>
        <w:tc>
          <w:tcPr>
            <w:tcW w:w="1276" w:type="dxa"/>
          </w:tcPr>
          <w:p w14:paraId="7D24BAE0">
            <w:pPr>
              <w:widowControl/>
              <w:spacing w:line="360" w:lineRule="auto"/>
              <w:jc w:val="center"/>
              <w:rPr>
                <w:rFonts w:ascii="宋体" w:hAnsi="宋体" w:cs="宋体"/>
                <w:kern w:val="0"/>
                <w:sz w:val="24"/>
              </w:rPr>
            </w:pPr>
          </w:p>
        </w:tc>
      </w:tr>
      <w:tr w14:paraId="3968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4B21B3">
            <w:pPr>
              <w:widowControl/>
              <w:spacing w:line="360" w:lineRule="auto"/>
              <w:jc w:val="center"/>
              <w:rPr>
                <w:rFonts w:ascii="宋体" w:hAnsi="宋体" w:cs="宋体"/>
                <w:kern w:val="0"/>
                <w:sz w:val="24"/>
              </w:rPr>
            </w:pPr>
            <w:r>
              <w:rPr>
                <w:rFonts w:hint="eastAsia" w:ascii="宋体" w:hAnsi="宋体" w:cs="宋体"/>
                <w:kern w:val="0"/>
                <w:sz w:val="24"/>
              </w:rPr>
              <w:t>3</w:t>
            </w:r>
          </w:p>
        </w:tc>
        <w:tc>
          <w:tcPr>
            <w:tcW w:w="2126" w:type="dxa"/>
            <w:vAlign w:val="center"/>
          </w:tcPr>
          <w:p w14:paraId="16A1F3C9">
            <w:pPr>
              <w:widowControl/>
              <w:spacing w:line="360" w:lineRule="auto"/>
              <w:jc w:val="center"/>
              <w:rPr>
                <w:rFonts w:ascii="宋体" w:hAnsi="宋体" w:cs="宋体"/>
                <w:kern w:val="0"/>
                <w:sz w:val="24"/>
              </w:rPr>
            </w:pPr>
            <w:r>
              <w:rPr>
                <w:rFonts w:hint="eastAsia" w:ascii="宋体" w:hAnsi="宋体" w:cs="宋体"/>
                <w:kern w:val="0"/>
                <w:sz w:val="24"/>
              </w:rPr>
              <w:t>水泥、白水泥</w:t>
            </w:r>
          </w:p>
        </w:tc>
        <w:tc>
          <w:tcPr>
            <w:tcW w:w="5103" w:type="dxa"/>
            <w:vAlign w:val="center"/>
          </w:tcPr>
          <w:p w14:paraId="29F8EB2C">
            <w:pPr>
              <w:widowControl/>
              <w:spacing w:line="360" w:lineRule="auto"/>
              <w:jc w:val="center"/>
              <w:rPr>
                <w:rFonts w:ascii="宋体" w:hAnsi="宋体" w:cs="宋体"/>
                <w:kern w:val="0"/>
                <w:sz w:val="24"/>
              </w:rPr>
            </w:pPr>
            <w:r>
              <w:rPr>
                <w:rFonts w:hint="eastAsia" w:ascii="宋体" w:hAnsi="宋体" w:cs="宋体"/>
                <w:kern w:val="0"/>
                <w:sz w:val="24"/>
              </w:rPr>
              <w:t>尖峰、三狮、海螺或相当于</w:t>
            </w:r>
          </w:p>
        </w:tc>
        <w:tc>
          <w:tcPr>
            <w:tcW w:w="1276" w:type="dxa"/>
          </w:tcPr>
          <w:p w14:paraId="6F85B5A8">
            <w:pPr>
              <w:widowControl/>
              <w:spacing w:line="360" w:lineRule="auto"/>
              <w:jc w:val="center"/>
              <w:rPr>
                <w:rFonts w:ascii="宋体" w:hAnsi="宋体" w:cs="宋体"/>
                <w:kern w:val="0"/>
                <w:sz w:val="24"/>
              </w:rPr>
            </w:pPr>
          </w:p>
        </w:tc>
      </w:tr>
      <w:tr w14:paraId="1745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267A59">
            <w:pPr>
              <w:widowControl/>
              <w:spacing w:line="360" w:lineRule="auto"/>
              <w:jc w:val="center"/>
              <w:rPr>
                <w:rFonts w:ascii="宋体" w:hAnsi="宋体" w:cs="宋体"/>
                <w:kern w:val="0"/>
                <w:sz w:val="24"/>
              </w:rPr>
            </w:pPr>
            <w:r>
              <w:rPr>
                <w:rFonts w:hint="eastAsia" w:ascii="宋体" w:hAnsi="宋体" w:cs="宋体"/>
                <w:kern w:val="0"/>
                <w:sz w:val="24"/>
              </w:rPr>
              <w:t>4</w:t>
            </w:r>
          </w:p>
        </w:tc>
        <w:tc>
          <w:tcPr>
            <w:tcW w:w="2126" w:type="dxa"/>
            <w:vAlign w:val="center"/>
          </w:tcPr>
          <w:p w14:paraId="75E880D5">
            <w:pPr>
              <w:widowControl/>
              <w:spacing w:line="360" w:lineRule="auto"/>
              <w:jc w:val="center"/>
              <w:rPr>
                <w:rFonts w:ascii="宋体" w:hAnsi="宋体" w:cs="宋体"/>
                <w:kern w:val="0"/>
                <w:sz w:val="24"/>
              </w:rPr>
            </w:pPr>
            <w:r>
              <w:rPr>
                <w:rFonts w:hint="eastAsia" w:ascii="宋体" w:hAnsi="宋体" w:cs="宋体"/>
                <w:kern w:val="0"/>
                <w:sz w:val="24"/>
              </w:rPr>
              <w:t>乳胶漆、墙面漆</w:t>
            </w:r>
          </w:p>
        </w:tc>
        <w:tc>
          <w:tcPr>
            <w:tcW w:w="5103" w:type="dxa"/>
            <w:vAlign w:val="center"/>
          </w:tcPr>
          <w:p w14:paraId="2E96315C">
            <w:pPr>
              <w:widowControl/>
              <w:spacing w:line="360" w:lineRule="auto"/>
              <w:jc w:val="center"/>
              <w:rPr>
                <w:rFonts w:ascii="宋体" w:hAnsi="宋体" w:cs="宋体"/>
                <w:kern w:val="0"/>
                <w:sz w:val="24"/>
              </w:rPr>
            </w:pPr>
            <w:r>
              <w:rPr>
                <w:rFonts w:hint="eastAsia" w:ascii="宋体" w:hAnsi="宋体" w:cs="宋体"/>
                <w:kern w:val="0"/>
                <w:sz w:val="24"/>
              </w:rPr>
              <w:t>立邦、多乐士、嘉宝莉或相当于</w:t>
            </w:r>
          </w:p>
        </w:tc>
        <w:tc>
          <w:tcPr>
            <w:tcW w:w="1276" w:type="dxa"/>
          </w:tcPr>
          <w:p w14:paraId="2A4C6C62">
            <w:pPr>
              <w:widowControl/>
              <w:spacing w:line="360" w:lineRule="auto"/>
              <w:jc w:val="center"/>
              <w:rPr>
                <w:rFonts w:ascii="宋体" w:hAnsi="宋体" w:cs="宋体"/>
                <w:kern w:val="0"/>
                <w:sz w:val="24"/>
              </w:rPr>
            </w:pPr>
          </w:p>
        </w:tc>
      </w:tr>
      <w:tr w14:paraId="6982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86676F">
            <w:pPr>
              <w:widowControl/>
              <w:spacing w:line="360" w:lineRule="auto"/>
              <w:jc w:val="center"/>
              <w:rPr>
                <w:rFonts w:ascii="宋体" w:hAnsi="宋体" w:cs="宋体"/>
                <w:kern w:val="0"/>
                <w:sz w:val="24"/>
              </w:rPr>
            </w:pPr>
            <w:r>
              <w:rPr>
                <w:rFonts w:hint="eastAsia" w:ascii="宋体" w:hAnsi="宋体" w:cs="宋体"/>
                <w:kern w:val="0"/>
                <w:sz w:val="24"/>
              </w:rPr>
              <w:t>5</w:t>
            </w:r>
          </w:p>
        </w:tc>
        <w:tc>
          <w:tcPr>
            <w:tcW w:w="2126" w:type="dxa"/>
            <w:vAlign w:val="center"/>
          </w:tcPr>
          <w:p w14:paraId="3E7770D8">
            <w:pPr>
              <w:widowControl/>
              <w:spacing w:line="360" w:lineRule="auto"/>
              <w:jc w:val="center"/>
              <w:rPr>
                <w:rFonts w:ascii="宋体" w:hAnsi="宋体" w:cs="宋体"/>
                <w:kern w:val="0"/>
                <w:sz w:val="24"/>
              </w:rPr>
            </w:pPr>
            <w:r>
              <w:rPr>
                <w:rFonts w:hint="eastAsia" w:ascii="宋体" w:hAnsi="宋体" w:cs="宋体"/>
                <w:kern w:val="0"/>
                <w:sz w:val="24"/>
              </w:rPr>
              <w:t>石膏板（含防霉）</w:t>
            </w:r>
          </w:p>
        </w:tc>
        <w:tc>
          <w:tcPr>
            <w:tcW w:w="5103" w:type="dxa"/>
            <w:vAlign w:val="center"/>
          </w:tcPr>
          <w:p w14:paraId="6962D8ED">
            <w:pPr>
              <w:widowControl/>
              <w:spacing w:line="360" w:lineRule="auto"/>
              <w:jc w:val="center"/>
              <w:rPr>
                <w:rFonts w:ascii="宋体" w:hAnsi="宋体" w:cs="宋体"/>
                <w:kern w:val="0"/>
                <w:sz w:val="24"/>
              </w:rPr>
            </w:pPr>
            <w:r>
              <w:rPr>
                <w:rFonts w:hint="eastAsia" w:ascii="宋体" w:hAnsi="宋体" w:cs="宋体"/>
                <w:kern w:val="0"/>
                <w:sz w:val="24"/>
              </w:rPr>
              <w:t>龙牌、杰科、可耐福或相当于</w:t>
            </w:r>
          </w:p>
        </w:tc>
        <w:tc>
          <w:tcPr>
            <w:tcW w:w="1276" w:type="dxa"/>
          </w:tcPr>
          <w:p w14:paraId="605170F4">
            <w:pPr>
              <w:widowControl/>
              <w:spacing w:line="360" w:lineRule="auto"/>
              <w:jc w:val="center"/>
              <w:rPr>
                <w:rFonts w:ascii="宋体" w:hAnsi="宋体" w:cs="宋体"/>
                <w:kern w:val="0"/>
                <w:sz w:val="24"/>
              </w:rPr>
            </w:pPr>
          </w:p>
        </w:tc>
      </w:tr>
      <w:tr w14:paraId="77E6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7B5456">
            <w:pPr>
              <w:widowControl/>
              <w:spacing w:line="360" w:lineRule="auto"/>
              <w:jc w:val="center"/>
              <w:rPr>
                <w:rFonts w:ascii="宋体" w:hAnsi="宋体" w:cs="宋体"/>
                <w:kern w:val="0"/>
                <w:sz w:val="24"/>
              </w:rPr>
            </w:pPr>
            <w:r>
              <w:rPr>
                <w:rFonts w:hint="eastAsia" w:ascii="宋体" w:hAnsi="宋体" w:cs="宋体"/>
                <w:kern w:val="0"/>
                <w:sz w:val="24"/>
              </w:rPr>
              <w:t>6</w:t>
            </w:r>
          </w:p>
        </w:tc>
        <w:tc>
          <w:tcPr>
            <w:tcW w:w="2126" w:type="dxa"/>
            <w:vAlign w:val="center"/>
          </w:tcPr>
          <w:p w14:paraId="093BB883">
            <w:pPr>
              <w:widowControl/>
              <w:spacing w:line="360" w:lineRule="auto"/>
              <w:jc w:val="center"/>
              <w:rPr>
                <w:rFonts w:ascii="宋体" w:hAnsi="宋体" w:cs="宋体"/>
                <w:kern w:val="0"/>
                <w:sz w:val="24"/>
              </w:rPr>
            </w:pPr>
            <w:r>
              <w:rPr>
                <w:rFonts w:hint="eastAsia" w:ascii="宋体" w:hAnsi="宋体" w:cs="宋体"/>
                <w:kern w:val="0"/>
                <w:sz w:val="24"/>
              </w:rPr>
              <w:t>木材、细木工板</w:t>
            </w:r>
          </w:p>
        </w:tc>
        <w:tc>
          <w:tcPr>
            <w:tcW w:w="5103" w:type="dxa"/>
            <w:vAlign w:val="center"/>
          </w:tcPr>
          <w:p w14:paraId="7F5A5C90">
            <w:pPr>
              <w:widowControl/>
              <w:spacing w:line="360" w:lineRule="auto"/>
              <w:jc w:val="center"/>
              <w:rPr>
                <w:rFonts w:ascii="宋体" w:hAnsi="宋体" w:cs="宋体"/>
                <w:kern w:val="0"/>
                <w:sz w:val="24"/>
              </w:rPr>
            </w:pPr>
            <w:r>
              <w:rPr>
                <w:rFonts w:hint="eastAsia" w:ascii="宋体" w:hAnsi="宋体" w:cs="宋体"/>
                <w:kern w:val="0"/>
                <w:sz w:val="24"/>
              </w:rPr>
              <w:t>千年舟、莫干山、兔宝宝或相当于</w:t>
            </w:r>
          </w:p>
        </w:tc>
        <w:tc>
          <w:tcPr>
            <w:tcW w:w="1276" w:type="dxa"/>
          </w:tcPr>
          <w:p w14:paraId="59F83950">
            <w:pPr>
              <w:widowControl/>
              <w:spacing w:line="360" w:lineRule="auto"/>
              <w:jc w:val="center"/>
              <w:rPr>
                <w:rFonts w:ascii="宋体" w:hAnsi="宋体" w:cs="宋体"/>
                <w:kern w:val="0"/>
                <w:sz w:val="24"/>
              </w:rPr>
            </w:pPr>
          </w:p>
        </w:tc>
      </w:tr>
      <w:tr w14:paraId="0FC1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603B59">
            <w:pPr>
              <w:widowControl/>
              <w:spacing w:line="360" w:lineRule="auto"/>
              <w:jc w:val="center"/>
              <w:rPr>
                <w:rFonts w:ascii="宋体" w:hAnsi="宋体" w:cs="宋体"/>
                <w:kern w:val="0"/>
                <w:sz w:val="24"/>
              </w:rPr>
            </w:pPr>
            <w:r>
              <w:rPr>
                <w:rFonts w:hint="eastAsia" w:ascii="宋体" w:hAnsi="宋体" w:cs="宋体"/>
                <w:kern w:val="0"/>
                <w:sz w:val="24"/>
              </w:rPr>
              <w:t>7</w:t>
            </w:r>
          </w:p>
        </w:tc>
        <w:tc>
          <w:tcPr>
            <w:tcW w:w="2126" w:type="dxa"/>
            <w:vAlign w:val="center"/>
          </w:tcPr>
          <w:p w14:paraId="09A55859">
            <w:pPr>
              <w:widowControl/>
              <w:spacing w:line="360" w:lineRule="auto"/>
              <w:jc w:val="center"/>
              <w:rPr>
                <w:rFonts w:ascii="宋体" w:hAnsi="宋体" w:cs="宋体"/>
                <w:kern w:val="0"/>
                <w:sz w:val="24"/>
              </w:rPr>
            </w:pPr>
            <w:r>
              <w:rPr>
                <w:rFonts w:hint="eastAsia" w:ascii="宋体" w:hAnsi="宋体" w:cs="宋体"/>
                <w:kern w:val="0"/>
                <w:sz w:val="24"/>
              </w:rPr>
              <w:t>成品木门</w:t>
            </w:r>
          </w:p>
        </w:tc>
        <w:tc>
          <w:tcPr>
            <w:tcW w:w="5103" w:type="dxa"/>
            <w:vAlign w:val="center"/>
          </w:tcPr>
          <w:p w14:paraId="3B71D4DE">
            <w:pPr>
              <w:widowControl/>
              <w:spacing w:line="360" w:lineRule="auto"/>
              <w:jc w:val="center"/>
              <w:rPr>
                <w:rFonts w:ascii="宋体" w:hAnsi="宋体" w:cs="宋体"/>
                <w:kern w:val="0"/>
                <w:sz w:val="24"/>
              </w:rPr>
            </w:pPr>
            <w:r>
              <w:rPr>
                <w:rFonts w:hint="eastAsia" w:ascii="宋体" w:hAnsi="宋体" w:cs="宋体"/>
                <w:kern w:val="0"/>
                <w:sz w:val="24"/>
              </w:rPr>
              <w:t>木老大、金门道、柯雅、开开或相当于</w:t>
            </w:r>
          </w:p>
        </w:tc>
        <w:tc>
          <w:tcPr>
            <w:tcW w:w="1276" w:type="dxa"/>
          </w:tcPr>
          <w:p w14:paraId="47D803ED">
            <w:pPr>
              <w:widowControl/>
              <w:spacing w:line="360" w:lineRule="auto"/>
              <w:jc w:val="center"/>
              <w:rPr>
                <w:rFonts w:ascii="宋体" w:hAnsi="宋体" w:cs="宋体"/>
                <w:kern w:val="0"/>
                <w:sz w:val="24"/>
              </w:rPr>
            </w:pPr>
          </w:p>
        </w:tc>
      </w:tr>
      <w:tr w14:paraId="0BB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A8A29C">
            <w:pPr>
              <w:widowControl/>
              <w:spacing w:line="360" w:lineRule="auto"/>
              <w:jc w:val="center"/>
              <w:rPr>
                <w:rFonts w:ascii="宋体" w:hAnsi="宋体" w:cs="宋体"/>
                <w:kern w:val="0"/>
                <w:sz w:val="24"/>
              </w:rPr>
            </w:pPr>
            <w:r>
              <w:rPr>
                <w:rFonts w:hint="eastAsia" w:ascii="宋体" w:hAnsi="宋体" w:cs="宋体"/>
                <w:kern w:val="0"/>
                <w:sz w:val="24"/>
              </w:rPr>
              <w:t>8</w:t>
            </w:r>
          </w:p>
        </w:tc>
        <w:tc>
          <w:tcPr>
            <w:tcW w:w="2126" w:type="dxa"/>
            <w:vAlign w:val="center"/>
          </w:tcPr>
          <w:p w14:paraId="09D033B9">
            <w:pPr>
              <w:widowControl/>
              <w:spacing w:line="360" w:lineRule="auto"/>
              <w:jc w:val="center"/>
              <w:rPr>
                <w:rFonts w:ascii="宋体" w:hAnsi="宋体" w:cs="宋体"/>
                <w:kern w:val="0"/>
                <w:sz w:val="24"/>
              </w:rPr>
            </w:pPr>
            <w:r>
              <w:rPr>
                <w:rFonts w:hint="eastAsia" w:ascii="宋体" w:hAnsi="宋体" w:cs="宋体"/>
                <w:kern w:val="0"/>
                <w:sz w:val="24"/>
              </w:rPr>
              <w:t>免漆板、成品木饰面</w:t>
            </w:r>
          </w:p>
        </w:tc>
        <w:tc>
          <w:tcPr>
            <w:tcW w:w="5103" w:type="dxa"/>
            <w:vAlign w:val="center"/>
          </w:tcPr>
          <w:p w14:paraId="00A1154A">
            <w:pPr>
              <w:widowControl/>
              <w:spacing w:line="360" w:lineRule="auto"/>
              <w:jc w:val="center"/>
              <w:rPr>
                <w:rFonts w:ascii="宋体" w:hAnsi="宋体" w:cs="宋体"/>
                <w:kern w:val="0"/>
                <w:sz w:val="24"/>
              </w:rPr>
            </w:pPr>
            <w:r>
              <w:rPr>
                <w:rFonts w:hint="eastAsia" w:ascii="宋体" w:hAnsi="宋体" w:cs="宋体"/>
                <w:kern w:val="0"/>
                <w:sz w:val="24"/>
              </w:rPr>
              <w:t>大自然、兔宝宝、圣象或相当于</w:t>
            </w:r>
          </w:p>
        </w:tc>
        <w:tc>
          <w:tcPr>
            <w:tcW w:w="1276" w:type="dxa"/>
          </w:tcPr>
          <w:p w14:paraId="07EDF32A">
            <w:pPr>
              <w:widowControl/>
              <w:spacing w:line="360" w:lineRule="auto"/>
              <w:jc w:val="center"/>
              <w:rPr>
                <w:rFonts w:ascii="宋体" w:hAnsi="宋体" w:cs="宋体"/>
                <w:kern w:val="0"/>
                <w:sz w:val="24"/>
              </w:rPr>
            </w:pPr>
            <w:r>
              <w:rPr>
                <w:rFonts w:hint="eastAsia" w:ascii="宋体" w:hAnsi="宋体" w:cs="宋体"/>
                <w:kern w:val="0"/>
                <w:sz w:val="24"/>
              </w:rPr>
              <w:t>多层实木</w:t>
            </w:r>
          </w:p>
        </w:tc>
      </w:tr>
      <w:tr w14:paraId="06D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2BF18A">
            <w:pPr>
              <w:widowControl/>
              <w:spacing w:line="360" w:lineRule="auto"/>
              <w:jc w:val="center"/>
              <w:rPr>
                <w:rFonts w:ascii="宋体" w:hAnsi="宋体" w:cs="宋体"/>
                <w:kern w:val="0"/>
                <w:sz w:val="24"/>
              </w:rPr>
            </w:pPr>
            <w:r>
              <w:rPr>
                <w:rFonts w:hint="eastAsia" w:ascii="宋体" w:hAnsi="宋体" w:cs="宋体"/>
                <w:kern w:val="0"/>
                <w:sz w:val="24"/>
              </w:rPr>
              <w:t>9</w:t>
            </w:r>
          </w:p>
        </w:tc>
        <w:tc>
          <w:tcPr>
            <w:tcW w:w="2126" w:type="dxa"/>
            <w:vAlign w:val="center"/>
          </w:tcPr>
          <w:p w14:paraId="0DA6936C">
            <w:pPr>
              <w:widowControl/>
              <w:spacing w:line="360" w:lineRule="auto"/>
              <w:jc w:val="center"/>
              <w:rPr>
                <w:rFonts w:ascii="宋体" w:hAnsi="宋体" w:cs="宋体"/>
                <w:kern w:val="0"/>
                <w:sz w:val="24"/>
              </w:rPr>
            </w:pPr>
            <w:r>
              <w:rPr>
                <w:rFonts w:hint="eastAsia" w:ascii="宋体" w:hAnsi="宋体" w:cs="宋体"/>
                <w:kern w:val="0"/>
                <w:sz w:val="24"/>
              </w:rPr>
              <w:t>卫生洁具及配套</w:t>
            </w:r>
          </w:p>
        </w:tc>
        <w:tc>
          <w:tcPr>
            <w:tcW w:w="5103" w:type="dxa"/>
            <w:vAlign w:val="center"/>
          </w:tcPr>
          <w:p w14:paraId="45A84517">
            <w:pPr>
              <w:widowControl/>
              <w:spacing w:line="360" w:lineRule="auto"/>
              <w:jc w:val="center"/>
              <w:rPr>
                <w:rFonts w:ascii="宋体" w:hAnsi="宋体" w:cs="宋体"/>
                <w:kern w:val="0"/>
                <w:sz w:val="24"/>
              </w:rPr>
            </w:pPr>
            <w:r>
              <w:rPr>
                <w:rFonts w:hint="eastAsia" w:ascii="宋体" w:hAnsi="宋体" w:cs="宋体"/>
                <w:kern w:val="0"/>
                <w:sz w:val="24"/>
              </w:rPr>
              <w:t>箭牌、恒洁、欧路莎或相当于</w:t>
            </w:r>
          </w:p>
        </w:tc>
        <w:tc>
          <w:tcPr>
            <w:tcW w:w="1276" w:type="dxa"/>
          </w:tcPr>
          <w:p w14:paraId="3A7E3625">
            <w:pPr>
              <w:widowControl/>
              <w:spacing w:line="360" w:lineRule="auto"/>
              <w:jc w:val="center"/>
              <w:rPr>
                <w:rFonts w:ascii="宋体" w:hAnsi="宋体" w:cs="宋体"/>
                <w:kern w:val="0"/>
                <w:sz w:val="24"/>
              </w:rPr>
            </w:pPr>
            <w:r>
              <w:rPr>
                <w:rFonts w:hint="eastAsia" w:ascii="宋体" w:hAnsi="宋体" w:cs="宋体"/>
                <w:kern w:val="0"/>
                <w:sz w:val="24"/>
              </w:rPr>
              <w:t>纯铜制龙头</w:t>
            </w:r>
          </w:p>
        </w:tc>
      </w:tr>
      <w:tr w14:paraId="536C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99C62">
            <w:pPr>
              <w:widowControl/>
              <w:spacing w:line="360" w:lineRule="auto"/>
              <w:jc w:val="center"/>
              <w:rPr>
                <w:rFonts w:ascii="宋体" w:hAnsi="宋体" w:cs="宋体"/>
                <w:kern w:val="0"/>
                <w:sz w:val="24"/>
              </w:rPr>
            </w:pPr>
            <w:r>
              <w:rPr>
                <w:rFonts w:hint="eastAsia" w:ascii="宋体" w:hAnsi="宋体" w:cs="宋体"/>
                <w:kern w:val="0"/>
                <w:sz w:val="24"/>
              </w:rPr>
              <w:t>10</w:t>
            </w:r>
          </w:p>
        </w:tc>
        <w:tc>
          <w:tcPr>
            <w:tcW w:w="2126" w:type="dxa"/>
            <w:vAlign w:val="center"/>
          </w:tcPr>
          <w:p w14:paraId="5D216199">
            <w:pPr>
              <w:widowControl/>
              <w:spacing w:line="360" w:lineRule="auto"/>
              <w:jc w:val="center"/>
              <w:rPr>
                <w:rFonts w:ascii="宋体" w:hAnsi="宋体" w:cs="宋体"/>
                <w:kern w:val="0"/>
                <w:sz w:val="24"/>
              </w:rPr>
            </w:pPr>
            <w:r>
              <w:rPr>
                <w:rFonts w:hint="eastAsia" w:ascii="宋体" w:hAnsi="宋体" w:cs="宋体"/>
                <w:kern w:val="0"/>
                <w:sz w:val="24"/>
              </w:rPr>
              <w:t>轻钢龙骨</w:t>
            </w:r>
          </w:p>
        </w:tc>
        <w:tc>
          <w:tcPr>
            <w:tcW w:w="5103" w:type="dxa"/>
            <w:vAlign w:val="center"/>
          </w:tcPr>
          <w:p w14:paraId="551A47B0">
            <w:pPr>
              <w:widowControl/>
              <w:spacing w:line="360" w:lineRule="auto"/>
              <w:jc w:val="center"/>
              <w:rPr>
                <w:rFonts w:ascii="宋体" w:hAnsi="宋体" w:cs="宋体"/>
                <w:kern w:val="0"/>
                <w:sz w:val="24"/>
              </w:rPr>
            </w:pPr>
            <w:r>
              <w:rPr>
                <w:rFonts w:hint="eastAsia" w:ascii="宋体" w:hAnsi="宋体" w:cs="宋体"/>
                <w:kern w:val="0"/>
                <w:sz w:val="24"/>
              </w:rPr>
              <w:t>龙牌、杰科、可耐福或相当于</w:t>
            </w:r>
          </w:p>
        </w:tc>
        <w:tc>
          <w:tcPr>
            <w:tcW w:w="1276" w:type="dxa"/>
          </w:tcPr>
          <w:p w14:paraId="580D27A2">
            <w:pPr>
              <w:widowControl/>
              <w:spacing w:line="360" w:lineRule="auto"/>
              <w:jc w:val="center"/>
              <w:rPr>
                <w:rFonts w:ascii="宋体" w:hAnsi="宋体" w:cs="宋体"/>
                <w:kern w:val="0"/>
                <w:sz w:val="24"/>
              </w:rPr>
            </w:pPr>
          </w:p>
        </w:tc>
      </w:tr>
      <w:tr w14:paraId="18E5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A46F10">
            <w:pPr>
              <w:widowControl/>
              <w:spacing w:line="360" w:lineRule="auto"/>
              <w:jc w:val="center"/>
              <w:rPr>
                <w:rFonts w:ascii="宋体" w:hAnsi="宋体" w:cs="宋体"/>
                <w:kern w:val="0"/>
                <w:sz w:val="24"/>
              </w:rPr>
            </w:pPr>
            <w:r>
              <w:rPr>
                <w:rFonts w:hint="eastAsia" w:ascii="宋体" w:hAnsi="宋体" w:cs="宋体"/>
                <w:kern w:val="0"/>
                <w:sz w:val="24"/>
              </w:rPr>
              <w:t>11</w:t>
            </w:r>
          </w:p>
        </w:tc>
        <w:tc>
          <w:tcPr>
            <w:tcW w:w="2126" w:type="dxa"/>
            <w:vAlign w:val="center"/>
          </w:tcPr>
          <w:p w14:paraId="57565566">
            <w:pPr>
              <w:widowControl/>
              <w:spacing w:line="360" w:lineRule="auto"/>
              <w:jc w:val="center"/>
              <w:rPr>
                <w:rFonts w:ascii="宋体" w:hAnsi="宋体" w:cs="宋体"/>
                <w:kern w:val="0"/>
                <w:sz w:val="24"/>
              </w:rPr>
            </w:pPr>
            <w:r>
              <w:rPr>
                <w:rFonts w:hint="eastAsia" w:ascii="宋体" w:hAnsi="宋体" w:cs="宋体"/>
                <w:kern w:val="0"/>
                <w:sz w:val="24"/>
              </w:rPr>
              <w:t>五金件</w:t>
            </w:r>
          </w:p>
        </w:tc>
        <w:tc>
          <w:tcPr>
            <w:tcW w:w="5103" w:type="dxa"/>
            <w:vAlign w:val="center"/>
          </w:tcPr>
          <w:p w14:paraId="1D9DC471">
            <w:pPr>
              <w:widowControl/>
              <w:spacing w:line="360" w:lineRule="auto"/>
              <w:jc w:val="center"/>
              <w:rPr>
                <w:rFonts w:ascii="宋体" w:hAnsi="宋体" w:cs="宋体"/>
                <w:kern w:val="0"/>
                <w:sz w:val="24"/>
              </w:rPr>
            </w:pPr>
            <w:r>
              <w:rPr>
                <w:rFonts w:hint="eastAsia" w:ascii="宋体" w:hAnsi="宋体" w:cs="宋体"/>
                <w:kern w:val="0"/>
                <w:sz w:val="24"/>
              </w:rPr>
              <w:t>汇泰龙、坚朗、多玛或相当于</w:t>
            </w:r>
          </w:p>
        </w:tc>
        <w:tc>
          <w:tcPr>
            <w:tcW w:w="1276" w:type="dxa"/>
          </w:tcPr>
          <w:p w14:paraId="4D3BE655">
            <w:pPr>
              <w:widowControl/>
              <w:spacing w:line="360" w:lineRule="auto"/>
              <w:jc w:val="center"/>
              <w:rPr>
                <w:rFonts w:ascii="宋体" w:hAnsi="宋体" w:cs="宋体"/>
                <w:kern w:val="0"/>
                <w:sz w:val="24"/>
              </w:rPr>
            </w:pPr>
          </w:p>
        </w:tc>
      </w:tr>
      <w:tr w14:paraId="2ABF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7545E9">
            <w:pPr>
              <w:widowControl/>
              <w:spacing w:line="360" w:lineRule="auto"/>
              <w:jc w:val="center"/>
              <w:rPr>
                <w:rFonts w:ascii="宋体" w:hAnsi="宋体" w:cs="宋体"/>
                <w:kern w:val="0"/>
                <w:sz w:val="24"/>
              </w:rPr>
            </w:pPr>
            <w:r>
              <w:rPr>
                <w:rFonts w:hint="eastAsia" w:ascii="宋体" w:hAnsi="宋体" w:cs="宋体"/>
                <w:kern w:val="0"/>
                <w:sz w:val="24"/>
              </w:rPr>
              <w:t>12</w:t>
            </w:r>
          </w:p>
        </w:tc>
        <w:tc>
          <w:tcPr>
            <w:tcW w:w="2126" w:type="dxa"/>
            <w:vAlign w:val="center"/>
          </w:tcPr>
          <w:p w14:paraId="11D8538D">
            <w:pPr>
              <w:widowControl/>
              <w:spacing w:line="360" w:lineRule="auto"/>
              <w:jc w:val="center"/>
              <w:rPr>
                <w:rFonts w:ascii="宋体" w:hAnsi="宋体" w:cs="宋体"/>
                <w:kern w:val="0"/>
                <w:sz w:val="24"/>
              </w:rPr>
            </w:pPr>
            <w:r>
              <w:rPr>
                <w:rFonts w:hint="eastAsia" w:ascii="宋体" w:hAnsi="宋体" w:cs="宋体"/>
                <w:kern w:val="0"/>
                <w:sz w:val="24"/>
              </w:rPr>
              <w:t>铝合金型材</w:t>
            </w:r>
          </w:p>
        </w:tc>
        <w:tc>
          <w:tcPr>
            <w:tcW w:w="5103" w:type="dxa"/>
            <w:vAlign w:val="center"/>
          </w:tcPr>
          <w:p w14:paraId="3B607777">
            <w:pPr>
              <w:widowControl/>
              <w:spacing w:line="360" w:lineRule="auto"/>
              <w:jc w:val="center"/>
              <w:rPr>
                <w:rFonts w:ascii="宋体" w:hAnsi="宋体" w:cs="宋体"/>
                <w:kern w:val="0"/>
                <w:sz w:val="24"/>
              </w:rPr>
            </w:pPr>
            <w:r>
              <w:rPr>
                <w:rFonts w:hint="eastAsia" w:ascii="宋体" w:hAnsi="宋体" w:cs="宋体"/>
                <w:kern w:val="0"/>
                <w:sz w:val="24"/>
              </w:rPr>
              <w:t>凤铝、兴发、亚洲或相当于</w:t>
            </w:r>
          </w:p>
        </w:tc>
        <w:tc>
          <w:tcPr>
            <w:tcW w:w="1276" w:type="dxa"/>
          </w:tcPr>
          <w:p w14:paraId="5D781FE5">
            <w:pPr>
              <w:widowControl/>
              <w:spacing w:line="360" w:lineRule="auto"/>
              <w:jc w:val="center"/>
              <w:rPr>
                <w:rFonts w:ascii="宋体" w:hAnsi="宋体" w:cs="宋体"/>
                <w:kern w:val="0"/>
                <w:sz w:val="24"/>
              </w:rPr>
            </w:pPr>
          </w:p>
        </w:tc>
      </w:tr>
      <w:tr w14:paraId="5C3A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45B1C1">
            <w:pPr>
              <w:widowControl/>
              <w:spacing w:line="360" w:lineRule="auto"/>
              <w:jc w:val="center"/>
              <w:rPr>
                <w:rFonts w:ascii="宋体" w:hAnsi="宋体" w:cs="宋体"/>
                <w:kern w:val="0"/>
                <w:sz w:val="24"/>
              </w:rPr>
            </w:pPr>
            <w:r>
              <w:rPr>
                <w:rFonts w:hint="eastAsia" w:ascii="宋体" w:hAnsi="宋体" w:cs="宋体"/>
                <w:kern w:val="0"/>
                <w:sz w:val="24"/>
              </w:rPr>
              <w:t>13</w:t>
            </w:r>
          </w:p>
        </w:tc>
        <w:tc>
          <w:tcPr>
            <w:tcW w:w="2126" w:type="dxa"/>
          </w:tcPr>
          <w:p w14:paraId="099072BC">
            <w:pPr>
              <w:widowControl/>
              <w:spacing w:line="360" w:lineRule="auto"/>
              <w:jc w:val="center"/>
              <w:rPr>
                <w:rFonts w:ascii="宋体" w:hAnsi="宋体" w:cs="宋体"/>
                <w:kern w:val="0"/>
                <w:sz w:val="24"/>
              </w:rPr>
            </w:pPr>
            <w:r>
              <w:rPr>
                <w:rFonts w:hint="eastAsia" w:ascii="宋体" w:hAnsi="宋体" w:cs="宋体"/>
                <w:kern w:val="0"/>
                <w:sz w:val="24"/>
              </w:rPr>
              <w:t>铝扣板</w:t>
            </w:r>
          </w:p>
        </w:tc>
        <w:tc>
          <w:tcPr>
            <w:tcW w:w="5103" w:type="dxa"/>
          </w:tcPr>
          <w:p w14:paraId="1AD5C9BD">
            <w:pPr>
              <w:widowControl/>
              <w:spacing w:line="360" w:lineRule="auto"/>
              <w:jc w:val="center"/>
              <w:rPr>
                <w:rFonts w:ascii="宋体" w:hAnsi="宋体" w:cs="宋体"/>
                <w:kern w:val="0"/>
                <w:sz w:val="24"/>
              </w:rPr>
            </w:pPr>
            <w:r>
              <w:fldChar w:fldCharType="begin"/>
            </w:r>
            <w:r>
              <w:instrText xml:space="preserve"> HYPERLINK "http://www.iccchina.com/brands/show/axwmro" \t "_blank" </w:instrText>
            </w:r>
            <w:r>
              <w:fldChar w:fldCharType="separate"/>
            </w:r>
            <w:r>
              <w:rPr>
                <w:rFonts w:hint="eastAsia" w:ascii="宋体" w:hAnsi="宋体" w:cs="宋体"/>
                <w:kern w:val="0"/>
                <w:sz w:val="24"/>
              </w:rPr>
              <w:t>欧斯宝</w:t>
            </w:r>
            <w:r>
              <w:rPr>
                <w:rFonts w:hint="eastAsia" w:ascii="宋体" w:hAnsi="宋体" w:cs="宋体"/>
                <w:kern w:val="0"/>
                <w:sz w:val="24"/>
              </w:rPr>
              <w:fldChar w:fldCharType="end"/>
            </w:r>
            <w:r>
              <w:rPr>
                <w:rFonts w:hint="eastAsia" w:ascii="宋体" w:hAnsi="宋体" w:cs="宋体"/>
                <w:kern w:val="0"/>
                <w:sz w:val="24"/>
              </w:rPr>
              <w:t>、拓得利、</w:t>
            </w:r>
            <w:r>
              <w:fldChar w:fldCharType="begin"/>
            </w:r>
            <w:r>
              <w:instrText xml:space="preserve"> HYPERLINK "http://www.iccchina.com/brands/show/axqswt" \t "_blank" </w:instrText>
            </w:r>
            <w:r>
              <w:fldChar w:fldCharType="separate"/>
            </w:r>
            <w:r>
              <w:rPr>
                <w:rFonts w:hint="eastAsia" w:ascii="宋体" w:hAnsi="宋体" w:cs="宋体"/>
                <w:kern w:val="0"/>
                <w:sz w:val="24"/>
              </w:rPr>
              <w:t>欧佰</w:t>
            </w:r>
            <w:r>
              <w:rPr>
                <w:rFonts w:hint="eastAsia" w:ascii="宋体" w:hAnsi="宋体" w:cs="宋体"/>
                <w:kern w:val="0"/>
                <w:sz w:val="24"/>
              </w:rPr>
              <w:fldChar w:fldCharType="end"/>
            </w:r>
            <w:r>
              <w:rPr>
                <w:rFonts w:hint="eastAsia" w:ascii="宋体" w:hAnsi="宋体" w:cs="宋体"/>
                <w:kern w:val="0"/>
                <w:sz w:val="24"/>
              </w:rPr>
              <w:t>或相当于</w:t>
            </w:r>
          </w:p>
        </w:tc>
        <w:tc>
          <w:tcPr>
            <w:tcW w:w="1276" w:type="dxa"/>
          </w:tcPr>
          <w:p w14:paraId="48D432BF">
            <w:pPr>
              <w:widowControl/>
              <w:spacing w:line="360" w:lineRule="auto"/>
              <w:jc w:val="center"/>
              <w:rPr>
                <w:rFonts w:ascii="宋体" w:hAnsi="宋体" w:cs="宋体"/>
                <w:kern w:val="0"/>
                <w:sz w:val="24"/>
              </w:rPr>
            </w:pPr>
          </w:p>
        </w:tc>
      </w:tr>
      <w:tr w14:paraId="597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B2929C">
            <w:pPr>
              <w:widowControl/>
              <w:spacing w:line="360" w:lineRule="auto"/>
              <w:jc w:val="center"/>
              <w:rPr>
                <w:rFonts w:ascii="宋体" w:hAnsi="宋体" w:cs="宋体"/>
                <w:kern w:val="0"/>
                <w:sz w:val="24"/>
              </w:rPr>
            </w:pPr>
            <w:r>
              <w:rPr>
                <w:rFonts w:hint="eastAsia" w:ascii="宋体" w:hAnsi="宋体" w:cs="宋体"/>
                <w:kern w:val="0"/>
                <w:sz w:val="24"/>
              </w:rPr>
              <w:t>14</w:t>
            </w:r>
          </w:p>
        </w:tc>
        <w:tc>
          <w:tcPr>
            <w:tcW w:w="2126" w:type="dxa"/>
          </w:tcPr>
          <w:p w14:paraId="5C1D1CBB">
            <w:pPr>
              <w:widowControl/>
              <w:spacing w:line="360" w:lineRule="auto"/>
              <w:jc w:val="center"/>
              <w:rPr>
                <w:rFonts w:ascii="宋体" w:hAnsi="宋体" w:cs="宋体"/>
                <w:kern w:val="0"/>
                <w:sz w:val="24"/>
              </w:rPr>
            </w:pPr>
            <w:r>
              <w:rPr>
                <w:rFonts w:hint="eastAsia" w:ascii="宋体" w:hAnsi="宋体" w:cs="宋体"/>
                <w:kern w:val="0"/>
                <w:sz w:val="24"/>
              </w:rPr>
              <w:t>铝板、铝方通</w:t>
            </w:r>
          </w:p>
        </w:tc>
        <w:tc>
          <w:tcPr>
            <w:tcW w:w="5103" w:type="dxa"/>
          </w:tcPr>
          <w:p w14:paraId="1D17C315">
            <w:pPr>
              <w:widowControl/>
              <w:spacing w:line="360" w:lineRule="auto"/>
              <w:jc w:val="center"/>
              <w:rPr>
                <w:rFonts w:ascii="宋体" w:hAnsi="宋体" w:cs="宋体"/>
                <w:kern w:val="0"/>
                <w:sz w:val="24"/>
              </w:rPr>
            </w:pPr>
            <w:r>
              <w:rPr>
                <w:rFonts w:hint="eastAsia" w:ascii="宋体" w:hAnsi="宋体" w:cs="宋体"/>
                <w:kern w:val="0"/>
                <w:sz w:val="24"/>
              </w:rPr>
              <w:t>广东高士达、福建闽铝、绍兴墙煌或相当于</w:t>
            </w:r>
          </w:p>
        </w:tc>
        <w:tc>
          <w:tcPr>
            <w:tcW w:w="1276" w:type="dxa"/>
          </w:tcPr>
          <w:p w14:paraId="2D6F6680">
            <w:pPr>
              <w:widowControl/>
              <w:spacing w:line="360" w:lineRule="auto"/>
              <w:jc w:val="center"/>
              <w:rPr>
                <w:rFonts w:ascii="宋体" w:hAnsi="宋体" w:cs="宋体"/>
                <w:kern w:val="0"/>
                <w:sz w:val="24"/>
              </w:rPr>
            </w:pPr>
          </w:p>
        </w:tc>
      </w:tr>
      <w:tr w14:paraId="1720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B0A94F">
            <w:pPr>
              <w:widowControl/>
              <w:spacing w:line="360" w:lineRule="auto"/>
              <w:jc w:val="center"/>
              <w:rPr>
                <w:rFonts w:ascii="宋体" w:hAnsi="宋体" w:cs="宋体"/>
                <w:kern w:val="0"/>
                <w:sz w:val="24"/>
              </w:rPr>
            </w:pPr>
            <w:r>
              <w:rPr>
                <w:rFonts w:hint="eastAsia" w:ascii="宋体" w:hAnsi="宋体" w:cs="宋体"/>
                <w:kern w:val="0"/>
                <w:sz w:val="24"/>
              </w:rPr>
              <w:t>15</w:t>
            </w:r>
          </w:p>
        </w:tc>
        <w:tc>
          <w:tcPr>
            <w:tcW w:w="2126" w:type="dxa"/>
          </w:tcPr>
          <w:p w14:paraId="3D753EF4">
            <w:pPr>
              <w:widowControl/>
              <w:spacing w:line="360" w:lineRule="auto"/>
              <w:jc w:val="center"/>
              <w:rPr>
                <w:rFonts w:ascii="宋体" w:hAnsi="宋体" w:cs="宋体"/>
                <w:kern w:val="0"/>
                <w:sz w:val="24"/>
              </w:rPr>
            </w:pPr>
            <w:r>
              <w:rPr>
                <w:rFonts w:hint="eastAsia" w:ascii="宋体" w:hAnsi="宋体" w:cs="宋体"/>
                <w:kern w:val="0"/>
                <w:sz w:val="24"/>
              </w:rPr>
              <w:t>大理石/平台石材</w:t>
            </w:r>
          </w:p>
        </w:tc>
        <w:tc>
          <w:tcPr>
            <w:tcW w:w="5103" w:type="dxa"/>
          </w:tcPr>
          <w:p w14:paraId="70EFDFE4">
            <w:pPr>
              <w:widowControl/>
              <w:spacing w:line="360" w:lineRule="auto"/>
              <w:jc w:val="center"/>
              <w:rPr>
                <w:rFonts w:ascii="宋体" w:hAnsi="宋体" w:cs="宋体"/>
                <w:kern w:val="0"/>
                <w:sz w:val="24"/>
              </w:rPr>
            </w:pPr>
            <w:r>
              <w:rPr>
                <w:rFonts w:hint="eastAsia" w:ascii="宋体" w:hAnsi="宋体" w:cs="宋体"/>
                <w:kern w:val="0"/>
                <w:sz w:val="24"/>
              </w:rPr>
              <w:t>福建、湖北、山东或相当于</w:t>
            </w:r>
          </w:p>
        </w:tc>
        <w:tc>
          <w:tcPr>
            <w:tcW w:w="1276" w:type="dxa"/>
          </w:tcPr>
          <w:p w14:paraId="3E260C4B">
            <w:pPr>
              <w:widowControl/>
              <w:spacing w:line="360" w:lineRule="auto"/>
              <w:jc w:val="center"/>
              <w:rPr>
                <w:rFonts w:ascii="宋体" w:hAnsi="宋体" w:cs="宋体"/>
                <w:kern w:val="0"/>
                <w:sz w:val="24"/>
              </w:rPr>
            </w:pPr>
          </w:p>
        </w:tc>
      </w:tr>
      <w:tr w14:paraId="3BCF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7A82D8">
            <w:pPr>
              <w:widowControl/>
              <w:spacing w:line="360" w:lineRule="auto"/>
              <w:jc w:val="center"/>
              <w:rPr>
                <w:rFonts w:ascii="宋体" w:hAnsi="宋体" w:cs="宋体"/>
                <w:kern w:val="0"/>
                <w:sz w:val="24"/>
              </w:rPr>
            </w:pPr>
            <w:r>
              <w:rPr>
                <w:rFonts w:hint="eastAsia" w:ascii="宋体" w:hAnsi="宋体" w:cs="宋体"/>
                <w:kern w:val="0"/>
                <w:sz w:val="24"/>
              </w:rPr>
              <w:t>16</w:t>
            </w:r>
          </w:p>
        </w:tc>
        <w:tc>
          <w:tcPr>
            <w:tcW w:w="2126" w:type="dxa"/>
          </w:tcPr>
          <w:p w14:paraId="2FD8CF6B">
            <w:pPr>
              <w:widowControl/>
              <w:spacing w:line="360" w:lineRule="auto"/>
              <w:jc w:val="center"/>
              <w:rPr>
                <w:rFonts w:ascii="宋体" w:hAnsi="宋体" w:cs="宋体"/>
                <w:kern w:val="0"/>
                <w:sz w:val="24"/>
              </w:rPr>
            </w:pPr>
            <w:r>
              <w:rPr>
                <w:rFonts w:hint="eastAsia" w:ascii="宋体" w:hAnsi="宋体" w:cs="宋体"/>
                <w:kern w:val="0"/>
                <w:sz w:val="24"/>
              </w:rPr>
              <w:t>火烧板</w:t>
            </w:r>
          </w:p>
        </w:tc>
        <w:tc>
          <w:tcPr>
            <w:tcW w:w="5103" w:type="dxa"/>
          </w:tcPr>
          <w:p w14:paraId="16C47FFA">
            <w:pPr>
              <w:widowControl/>
              <w:spacing w:line="360" w:lineRule="auto"/>
              <w:jc w:val="center"/>
              <w:rPr>
                <w:rFonts w:ascii="宋体" w:hAnsi="宋体" w:cs="宋体"/>
                <w:kern w:val="0"/>
                <w:sz w:val="24"/>
              </w:rPr>
            </w:pPr>
            <w:r>
              <w:rPr>
                <w:rFonts w:hint="eastAsia" w:ascii="宋体" w:hAnsi="宋体" w:cs="宋体"/>
                <w:kern w:val="0"/>
                <w:sz w:val="24"/>
              </w:rPr>
              <w:t>福建、山东或相当于</w:t>
            </w:r>
          </w:p>
        </w:tc>
        <w:tc>
          <w:tcPr>
            <w:tcW w:w="1276" w:type="dxa"/>
          </w:tcPr>
          <w:p w14:paraId="34009487">
            <w:pPr>
              <w:widowControl/>
              <w:spacing w:line="360" w:lineRule="auto"/>
              <w:jc w:val="center"/>
              <w:rPr>
                <w:rFonts w:ascii="宋体" w:hAnsi="宋体" w:cs="宋体"/>
                <w:kern w:val="0"/>
                <w:sz w:val="24"/>
              </w:rPr>
            </w:pPr>
          </w:p>
        </w:tc>
      </w:tr>
      <w:tr w14:paraId="2FF0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C52626">
            <w:pPr>
              <w:widowControl/>
              <w:spacing w:line="360" w:lineRule="auto"/>
              <w:jc w:val="center"/>
              <w:rPr>
                <w:rFonts w:ascii="宋体" w:hAnsi="宋体" w:cs="宋体"/>
                <w:kern w:val="0"/>
                <w:sz w:val="24"/>
              </w:rPr>
            </w:pPr>
            <w:r>
              <w:rPr>
                <w:rFonts w:hint="eastAsia" w:ascii="宋体" w:hAnsi="宋体" w:cs="宋体"/>
                <w:kern w:val="0"/>
                <w:sz w:val="24"/>
              </w:rPr>
              <w:t>17</w:t>
            </w:r>
          </w:p>
        </w:tc>
        <w:tc>
          <w:tcPr>
            <w:tcW w:w="2126" w:type="dxa"/>
          </w:tcPr>
          <w:p w14:paraId="5E325401">
            <w:pPr>
              <w:widowControl/>
              <w:spacing w:line="360" w:lineRule="auto"/>
              <w:jc w:val="center"/>
              <w:rPr>
                <w:rFonts w:ascii="宋体" w:hAnsi="宋体" w:cs="宋体"/>
                <w:kern w:val="0"/>
                <w:sz w:val="24"/>
              </w:rPr>
            </w:pPr>
            <w:r>
              <w:rPr>
                <w:rFonts w:hint="eastAsia" w:ascii="宋体" w:hAnsi="宋体" w:cs="宋体"/>
                <w:kern w:val="0"/>
                <w:sz w:val="24"/>
              </w:rPr>
              <w:t>玻璃</w:t>
            </w:r>
          </w:p>
        </w:tc>
        <w:tc>
          <w:tcPr>
            <w:tcW w:w="5103" w:type="dxa"/>
          </w:tcPr>
          <w:p w14:paraId="3E0D3E9A">
            <w:pPr>
              <w:widowControl/>
              <w:spacing w:line="360" w:lineRule="auto"/>
              <w:jc w:val="center"/>
              <w:rPr>
                <w:rFonts w:ascii="宋体" w:hAnsi="宋体" w:cs="宋体"/>
                <w:kern w:val="0"/>
                <w:sz w:val="24"/>
              </w:rPr>
            </w:pPr>
            <w:r>
              <w:rPr>
                <w:rFonts w:hint="eastAsia" w:ascii="宋体" w:hAnsi="宋体" w:cs="宋体"/>
                <w:kern w:val="0"/>
                <w:sz w:val="24"/>
              </w:rPr>
              <w:t>博大、辉玻、耀皮或相当于</w:t>
            </w:r>
          </w:p>
        </w:tc>
        <w:tc>
          <w:tcPr>
            <w:tcW w:w="1276" w:type="dxa"/>
          </w:tcPr>
          <w:p w14:paraId="78352CA1">
            <w:pPr>
              <w:widowControl/>
              <w:spacing w:line="360" w:lineRule="auto"/>
              <w:jc w:val="center"/>
              <w:rPr>
                <w:rFonts w:ascii="宋体" w:hAnsi="宋体" w:cs="宋体"/>
                <w:kern w:val="0"/>
                <w:sz w:val="24"/>
              </w:rPr>
            </w:pPr>
          </w:p>
        </w:tc>
      </w:tr>
      <w:tr w14:paraId="2D36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D1F0E5">
            <w:pPr>
              <w:widowControl/>
              <w:spacing w:line="360" w:lineRule="auto"/>
              <w:jc w:val="center"/>
              <w:rPr>
                <w:rFonts w:ascii="宋体" w:hAnsi="宋体" w:cs="宋体"/>
                <w:kern w:val="0"/>
                <w:sz w:val="24"/>
              </w:rPr>
            </w:pPr>
            <w:r>
              <w:rPr>
                <w:rFonts w:hint="eastAsia" w:ascii="宋体" w:hAnsi="宋体" w:cs="宋体"/>
                <w:kern w:val="0"/>
                <w:sz w:val="24"/>
              </w:rPr>
              <w:t>18</w:t>
            </w:r>
          </w:p>
        </w:tc>
        <w:tc>
          <w:tcPr>
            <w:tcW w:w="2126" w:type="dxa"/>
          </w:tcPr>
          <w:p w14:paraId="304EE775">
            <w:pPr>
              <w:widowControl/>
              <w:spacing w:line="360" w:lineRule="auto"/>
              <w:jc w:val="center"/>
              <w:rPr>
                <w:rFonts w:ascii="宋体" w:hAnsi="宋体" w:cs="宋体"/>
                <w:kern w:val="0"/>
                <w:sz w:val="24"/>
              </w:rPr>
            </w:pPr>
            <w:r>
              <w:rPr>
                <w:rFonts w:hint="eastAsia" w:ascii="宋体" w:hAnsi="宋体" w:cs="宋体"/>
                <w:kern w:val="0"/>
                <w:sz w:val="24"/>
              </w:rPr>
              <w:t>塑胶地板</w:t>
            </w:r>
          </w:p>
        </w:tc>
        <w:tc>
          <w:tcPr>
            <w:tcW w:w="5103" w:type="dxa"/>
          </w:tcPr>
          <w:p w14:paraId="528D3788">
            <w:pPr>
              <w:widowControl/>
              <w:spacing w:line="360" w:lineRule="auto"/>
              <w:jc w:val="center"/>
              <w:rPr>
                <w:rFonts w:ascii="宋体" w:hAnsi="宋体" w:cs="宋体"/>
                <w:kern w:val="0"/>
                <w:sz w:val="24"/>
              </w:rPr>
            </w:pPr>
            <w:r>
              <w:rPr>
                <w:rFonts w:hint="eastAsia" w:ascii="宋体" w:hAnsi="宋体" w:cs="宋体"/>
                <w:kern w:val="0"/>
                <w:sz w:val="24"/>
              </w:rPr>
              <w:t>LG、洁弗乐、阿姆斯壮或相当于</w:t>
            </w:r>
          </w:p>
        </w:tc>
        <w:tc>
          <w:tcPr>
            <w:tcW w:w="1276" w:type="dxa"/>
          </w:tcPr>
          <w:p w14:paraId="0AFA6314">
            <w:pPr>
              <w:widowControl/>
              <w:spacing w:line="360" w:lineRule="auto"/>
              <w:jc w:val="center"/>
              <w:rPr>
                <w:rFonts w:ascii="宋体" w:hAnsi="宋体" w:cs="宋体"/>
                <w:kern w:val="0"/>
                <w:sz w:val="24"/>
              </w:rPr>
            </w:pPr>
          </w:p>
        </w:tc>
      </w:tr>
      <w:tr w14:paraId="6A94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C2FDB4">
            <w:pPr>
              <w:widowControl/>
              <w:spacing w:line="360" w:lineRule="auto"/>
              <w:jc w:val="center"/>
              <w:rPr>
                <w:rFonts w:ascii="宋体" w:hAnsi="宋体" w:cs="宋体"/>
                <w:kern w:val="0"/>
                <w:sz w:val="24"/>
              </w:rPr>
            </w:pPr>
            <w:r>
              <w:rPr>
                <w:rFonts w:hint="eastAsia" w:ascii="宋体" w:hAnsi="宋体" w:cs="宋体"/>
                <w:kern w:val="0"/>
                <w:sz w:val="24"/>
              </w:rPr>
              <w:t>19</w:t>
            </w:r>
          </w:p>
        </w:tc>
        <w:tc>
          <w:tcPr>
            <w:tcW w:w="2126" w:type="dxa"/>
          </w:tcPr>
          <w:p w14:paraId="4846546D">
            <w:pPr>
              <w:widowControl/>
              <w:spacing w:line="360" w:lineRule="auto"/>
              <w:jc w:val="center"/>
              <w:rPr>
                <w:rFonts w:ascii="宋体" w:hAnsi="宋体" w:cs="宋体"/>
                <w:kern w:val="0"/>
                <w:sz w:val="24"/>
              </w:rPr>
            </w:pPr>
            <w:r>
              <w:rPr>
                <w:rFonts w:hint="eastAsia" w:ascii="宋体" w:hAnsi="宋体" w:cs="宋体"/>
                <w:kern w:val="0"/>
                <w:sz w:val="24"/>
              </w:rPr>
              <w:t>不锈钢管及配件</w:t>
            </w:r>
          </w:p>
        </w:tc>
        <w:tc>
          <w:tcPr>
            <w:tcW w:w="5103" w:type="dxa"/>
          </w:tcPr>
          <w:p w14:paraId="0FD2160B">
            <w:pPr>
              <w:widowControl/>
              <w:spacing w:line="360" w:lineRule="auto"/>
              <w:jc w:val="center"/>
              <w:rPr>
                <w:rFonts w:ascii="宋体" w:hAnsi="宋体" w:cs="宋体"/>
                <w:kern w:val="0"/>
                <w:sz w:val="24"/>
              </w:rPr>
            </w:pPr>
            <w:r>
              <w:rPr>
                <w:rFonts w:hint="eastAsia" w:ascii="宋体" w:hAnsi="宋体" w:cs="宋体"/>
                <w:kern w:val="0"/>
                <w:sz w:val="24"/>
              </w:rPr>
              <w:t>正康、铭扬、佛山瑞进或相当于</w:t>
            </w:r>
          </w:p>
        </w:tc>
        <w:tc>
          <w:tcPr>
            <w:tcW w:w="1276" w:type="dxa"/>
          </w:tcPr>
          <w:p w14:paraId="5C1CCFE7">
            <w:pPr>
              <w:widowControl/>
              <w:spacing w:line="360" w:lineRule="auto"/>
              <w:jc w:val="center"/>
              <w:rPr>
                <w:rFonts w:ascii="宋体" w:hAnsi="宋体" w:cs="宋体"/>
                <w:kern w:val="0"/>
                <w:sz w:val="24"/>
              </w:rPr>
            </w:pPr>
          </w:p>
        </w:tc>
      </w:tr>
      <w:tr w14:paraId="2D07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E55F24">
            <w:pPr>
              <w:widowControl/>
              <w:spacing w:line="360" w:lineRule="auto"/>
              <w:jc w:val="center"/>
              <w:rPr>
                <w:rFonts w:ascii="宋体" w:hAnsi="宋体" w:cs="宋体"/>
                <w:kern w:val="0"/>
                <w:sz w:val="24"/>
              </w:rPr>
            </w:pPr>
            <w:r>
              <w:rPr>
                <w:rFonts w:hint="eastAsia" w:ascii="宋体" w:hAnsi="宋体" w:cs="宋体"/>
                <w:kern w:val="0"/>
                <w:sz w:val="24"/>
              </w:rPr>
              <w:t>20</w:t>
            </w:r>
          </w:p>
        </w:tc>
        <w:tc>
          <w:tcPr>
            <w:tcW w:w="2126" w:type="dxa"/>
          </w:tcPr>
          <w:p w14:paraId="7F50422D">
            <w:pPr>
              <w:widowControl/>
              <w:spacing w:line="360" w:lineRule="auto"/>
              <w:jc w:val="center"/>
              <w:rPr>
                <w:rFonts w:ascii="宋体" w:hAnsi="宋体" w:cs="宋体"/>
                <w:kern w:val="0"/>
                <w:sz w:val="24"/>
              </w:rPr>
            </w:pPr>
            <w:r>
              <w:rPr>
                <w:rFonts w:hint="eastAsia" w:ascii="宋体" w:hAnsi="宋体" w:cs="宋体"/>
                <w:kern w:val="0"/>
                <w:sz w:val="24"/>
              </w:rPr>
              <w:t>防水材料</w:t>
            </w:r>
          </w:p>
        </w:tc>
        <w:tc>
          <w:tcPr>
            <w:tcW w:w="5103" w:type="dxa"/>
          </w:tcPr>
          <w:p w14:paraId="7D8F4725">
            <w:pPr>
              <w:widowControl/>
              <w:spacing w:line="360" w:lineRule="auto"/>
              <w:jc w:val="center"/>
              <w:rPr>
                <w:rFonts w:ascii="宋体" w:hAnsi="宋体" w:cs="宋体"/>
                <w:kern w:val="0"/>
                <w:sz w:val="24"/>
              </w:rPr>
            </w:pPr>
            <w:r>
              <w:rPr>
                <w:rFonts w:hint="eastAsia" w:ascii="宋体" w:hAnsi="宋体" w:cs="宋体"/>
                <w:kern w:val="0"/>
                <w:sz w:val="24"/>
              </w:rPr>
              <w:t>禹王（防水）、东方雨虹、宏源（防水）或相当于</w:t>
            </w:r>
          </w:p>
        </w:tc>
        <w:tc>
          <w:tcPr>
            <w:tcW w:w="1276" w:type="dxa"/>
          </w:tcPr>
          <w:p w14:paraId="15E23DA0">
            <w:pPr>
              <w:widowControl/>
              <w:spacing w:line="360" w:lineRule="auto"/>
              <w:jc w:val="center"/>
              <w:rPr>
                <w:rFonts w:ascii="宋体" w:hAnsi="宋体" w:cs="宋体"/>
                <w:kern w:val="0"/>
                <w:sz w:val="24"/>
              </w:rPr>
            </w:pPr>
          </w:p>
        </w:tc>
      </w:tr>
      <w:tr w14:paraId="23B5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A28F10">
            <w:pPr>
              <w:widowControl/>
              <w:spacing w:line="360" w:lineRule="auto"/>
              <w:jc w:val="center"/>
              <w:rPr>
                <w:rFonts w:ascii="宋体" w:hAnsi="宋体" w:cs="宋体"/>
                <w:kern w:val="0"/>
                <w:sz w:val="24"/>
              </w:rPr>
            </w:pPr>
            <w:r>
              <w:rPr>
                <w:rFonts w:hint="eastAsia" w:ascii="宋体" w:hAnsi="宋体" w:cs="宋体"/>
                <w:kern w:val="0"/>
                <w:sz w:val="24"/>
              </w:rPr>
              <w:t>21</w:t>
            </w:r>
          </w:p>
        </w:tc>
        <w:tc>
          <w:tcPr>
            <w:tcW w:w="2126" w:type="dxa"/>
          </w:tcPr>
          <w:p w14:paraId="10144B98">
            <w:pPr>
              <w:widowControl/>
              <w:spacing w:line="360" w:lineRule="auto"/>
              <w:jc w:val="center"/>
              <w:rPr>
                <w:rFonts w:ascii="宋体" w:hAnsi="宋体" w:cs="宋体"/>
                <w:kern w:val="0"/>
                <w:sz w:val="24"/>
              </w:rPr>
            </w:pPr>
            <w:r>
              <w:rPr>
                <w:rFonts w:hint="eastAsia" w:ascii="宋体" w:hAnsi="宋体" w:cs="宋体"/>
                <w:kern w:val="0"/>
                <w:sz w:val="24"/>
              </w:rPr>
              <w:t>电线、电缆</w:t>
            </w:r>
          </w:p>
        </w:tc>
        <w:tc>
          <w:tcPr>
            <w:tcW w:w="5103" w:type="dxa"/>
          </w:tcPr>
          <w:p w14:paraId="0E9025FD">
            <w:pPr>
              <w:widowControl/>
              <w:spacing w:line="360" w:lineRule="auto"/>
              <w:jc w:val="center"/>
              <w:rPr>
                <w:rFonts w:ascii="宋体" w:hAnsi="宋体" w:cs="宋体"/>
                <w:kern w:val="0"/>
                <w:sz w:val="24"/>
              </w:rPr>
            </w:pPr>
            <w:r>
              <w:rPr>
                <w:rFonts w:hint="eastAsia" w:ascii="宋体" w:hAnsi="宋体" w:cs="宋体"/>
                <w:kern w:val="0"/>
                <w:sz w:val="24"/>
              </w:rPr>
              <w:t>杭州中策、广州珠江、杭州永通或相当于</w:t>
            </w:r>
          </w:p>
        </w:tc>
        <w:tc>
          <w:tcPr>
            <w:tcW w:w="1276" w:type="dxa"/>
          </w:tcPr>
          <w:p w14:paraId="3C0E2385">
            <w:pPr>
              <w:widowControl/>
              <w:spacing w:line="360" w:lineRule="auto"/>
              <w:jc w:val="center"/>
              <w:rPr>
                <w:rFonts w:ascii="宋体" w:hAnsi="宋体" w:cs="宋体"/>
                <w:kern w:val="0"/>
                <w:sz w:val="24"/>
              </w:rPr>
            </w:pPr>
          </w:p>
        </w:tc>
      </w:tr>
      <w:tr w14:paraId="7B2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4300E1">
            <w:pPr>
              <w:widowControl/>
              <w:spacing w:line="360" w:lineRule="auto"/>
              <w:jc w:val="center"/>
              <w:rPr>
                <w:rFonts w:ascii="宋体" w:hAnsi="宋体" w:cs="宋体"/>
                <w:kern w:val="0"/>
                <w:sz w:val="24"/>
              </w:rPr>
            </w:pPr>
            <w:r>
              <w:rPr>
                <w:rFonts w:hint="eastAsia" w:ascii="宋体" w:hAnsi="宋体" w:cs="宋体"/>
                <w:kern w:val="0"/>
                <w:sz w:val="24"/>
              </w:rPr>
              <w:t>22</w:t>
            </w:r>
          </w:p>
        </w:tc>
        <w:tc>
          <w:tcPr>
            <w:tcW w:w="2126" w:type="dxa"/>
          </w:tcPr>
          <w:p w14:paraId="22023929">
            <w:pPr>
              <w:widowControl/>
              <w:spacing w:line="360" w:lineRule="auto"/>
              <w:jc w:val="center"/>
              <w:rPr>
                <w:rFonts w:ascii="宋体" w:hAnsi="宋体" w:cs="宋体"/>
                <w:kern w:val="0"/>
                <w:sz w:val="24"/>
              </w:rPr>
            </w:pPr>
            <w:r>
              <w:rPr>
                <w:rFonts w:hint="eastAsia" w:ascii="宋体" w:hAnsi="宋体" w:cs="宋体"/>
                <w:kern w:val="0"/>
                <w:sz w:val="24"/>
              </w:rPr>
              <w:t>开关、插座</w:t>
            </w:r>
          </w:p>
        </w:tc>
        <w:tc>
          <w:tcPr>
            <w:tcW w:w="5103" w:type="dxa"/>
          </w:tcPr>
          <w:p w14:paraId="1A395E92">
            <w:pPr>
              <w:widowControl/>
              <w:spacing w:line="360" w:lineRule="auto"/>
              <w:jc w:val="center"/>
              <w:rPr>
                <w:rFonts w:ascii="宋体" w:hAnsi="宋体" w:cs="宋体"/>
                <w:kern w:val="0"/>
                <w:sz w:val="24"/>
              </w:rPr>
            </w:pPr>
            <w:r>
              <w:rPr>
                <w:rFonts w:hint="eastAsia" w:ascii="宋体" w:hAnsi="宋体" w:cs="宋体"/>
                <w:kern w:val="0"/>
                <w:sz w:val="24"/>
              </w:rPr>
              <w:t>公牛、松下、西蒙或相当于</w:t>
            </w:r>
          </w:p>
        </w:tc>
        <w:tc>
          <w:tcPr>
            <w:tcW w:w="1276" w:type="dxa"/>
          </w:tcPr>
          <w:p w14:paraId="41516CEB">
            <w:pPr>
              <w:widowControl/>
              <w:spacing w:line="360" w:lineRule="auto"/>
              <w:jc w:val="center"/>
              <w:rPr>
                <w:rFonts w:ascii="宋体" w:hAnsi="宋体" w:cs="宋体"/>
                <w:kern w:val="0"/>
                <w:sz w:val="24"/>
              </w:rPr>
            </w:pPr>
          </w:p>
        </w:tc>
      </w:tr>
      <w:tr w14:paraId="1403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3E78CB">
            <w:pPr>
              <w:widowControl/>
              <w:spacing w:line="360" w:lineRule="auto"/>
              <w:jc w:val="center"/>
              <w:rPr>
                <w:rFonts w:ascii="宋体" w:hAnsi="宋体" w:cs="宋体"/>
                <w:kern w:val="0"/>
                <w:sz w:val="24"/>
              </w:rPr>
            </w:pPr>
            <w:r>
              <w:rPr>
                <w:rFonts w:hint="eastAsia" w:ascii="宋体" w:hAnsi="宋体" w:cs="宋体"/>
                <w:kern w:val="0"/>
                <w:sz w:val="24"/>
              </w:rPr>
              <w:t>23</w:t>
            </w:r>
          </w:p>
        </w:tc>
        <w:tc>
          <w:tcPr>
            <w:tcW w:w="2126" w:type="dxa"/>
          </w:tcPr>
          <w:p w14:paraId="2EE18EB5">
            <w:pPr>
              <w:widowControl/>
              <w:spacing w:line="360" w:lineRule="auto"/>
              <w:jc w:val="center"/>
              <w:rPr>
                <w:rFonts w:ascii="宋体" w:hAnsi="宋体" w:cs="宋体"/>
                <w:kern w:val="0"/>
                <w:sz w:val="24"/>
              </w:rPr>
            </w:pPr>
            <w:r>
              <w:rPr>
                <w:rFonts w:hint="eastAsia" w:ascii="宋体" w:hAnsi="宋体" w:cs="宋体"/>
                <w:kern w:val="0"/>
                <w:sz w:val="24"/>
              </w:rPr>
              <w:t>灯具</w:t>
            </w:r>
          </w:p>
        </w:tc>
        <w:tc>
          <w:tcPr>
            <w:tcW w:w="5103" w:type="dxa"/>
          </w:tcPr>
          <w:p w14:paraId="0D69DBB1">
            <w:pPr>
              <w:widowControl/>
              <w:spacing w:line="360" w:lineRule="auto"/>
              <w:jc w:val="center"/>
              <w:rPr>
                <w:rFonts w:ascii="宋体" w:hAnsi="宋体" w:cs="宋体"/>
                <w:kern w:val="0"/>
                <w:sz w:val="24"/>
              </w:rPr>
            </w:pPr>
            <w:r>
              <w:rPr>
                <w:rFonts w:hint="eastAsia" w:ascii="宋体" w:hAnsi="宋体" w:cs="宋体"/>
                <w:kern w:val="0"/>
                <w:sz w:val="24"/>
              </w:rPr>
              <w:t>飞利浦、雷士、欧普或相当于</w:t>
            </w:r>
          </w:p>
        </w:tc>
        <w:tc>
          <w:tcPr>
            <w:tcW w:w="1276" w:type="dxa"/>
          </w:tcPr>
          <w:p w14:paraId="2CBBD85A">
            <w:pPr>
              <w:widowControl/>
              <w:spacing w:line="360" w:lineRule="auto"/>
              <w:jc w:val="center"/>
              <w:rPr>
                <w:rFonts w:ascii="宋体" w:hAnsi="宋体" w:cs="宋体"/>
                <w:kern w:val="0"/>
                <w:sz w:val="24"/>
              </w:rPr>
            </w:pPr>
          </w:p>
        </w:tc>
      </w:tr>
      <w:tr w14:paraId="7EA9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A58296">
            <w:pPr>
              <w:widowControl/>
              <w:spacing w:line="360" w:lineRule="auto"/>
              <w:jc w:val="center"/>
              <w:rPr>
                <w:rFonts w:ascii="宋体" w:hAnsi="宋体" w:cs="宋体"/>
                <w:kern w:val="0"/>
                <w:sz w:val="24"/>
              </w:rPr>
            </w:pPr>
            <w:r>
              <w:rPr>
                <w:rFonts w:hint="eastAsia" w:ascii="宋体" w:hAnsi="宋体" w:cs="宋体"/>
                <w:kern w:val="0"/>
                <w:sz w:val="24"/>
              </w:rPr>
              <w:t>24</w:t>
            </w:r>
          </w:p>
        </w:tc>
        <w:tc>
          <w:tcPr>
            <w:tcW w:w="2126" w:type="dxa"/>
          </w:tcPr>
          <w:p w14:paraId="1EA42B66">
            <w:pPr>
              <w:widowControl/>
              <w:spacing w:line="360" w:lineRule="auto"/>
              <w:jc w:val="center"/>
              <w:rPr>
                <w:rFonts w:ascii="宋体" w:hAnsi="宋体" w:cs="宋体"/>
                <w:kern w:val="0"/>
                <w:sz w:val="24"/>
              </w:rPr>
            </w:pPr>
            <w:r>
              <w:rPr>
                <w:rFonts w:hint="eastAsia" w:ascii="宋体" w:hAnsi="宋体" w:cs="宋体"/>
                <w:kern w:val="0"/>
                <w:sz w:val="24"/>
              </w:rPr>
              <w:t>镀锌钢管、无缝钢管、焊接钢管</w:t>
            </w:r>
          </w:p>
        </w:tc>
        <w:tc>
          <w:tcPr>
            <w:tcW w:w="5103" w:type="dxa"/>
          </w:tcPr>
          <w:p w14:paraId="3008D1B4">
            <w:pPr>
              <w:widowControl/>
              <w:spacing w:line="360" w:lineRule="auto"/>
              <w:jc w:val="center"/>
              <w:rPr>
                <w:rFonts w:ascii="宋体" w:hAnsi="宋体" w:cs="宋体"/>
                <w:kern w:val="0"/>
                <w:sz w:val="24"/>
              </w:rPr>
            </w:pPr>
            <w:r>
              <w:rPr>
                <w:rFonts w:hint="eastAsia" w:ascii="宋体" w:hAnsi="宋体" w:cs="宋体"/>
                <w:kern w:val="0"/>
                <w:sz w:val="24"/>
              </w:rPr>
              <w:t>天津利达、浙江金州、增洲、天津友发或相当于</w:t>
            </w:r>
          </w:p>
        </w:tc>
        <w:tc>
          <w:tcPr>
            <w:tcW w:w="1276" w:type="dxa"/>
          </w:tcPr>
          <w:p w14:paraId="2E74DC32">
            <w:pPr>
              <w:widowControl/>
              <w:spacing w:line="360" w:lineRule="auto"/>
              <w:jc w:val="center"/>
              <w:rPr>
                <w:rFonts w:ascii="宋体" w:hAnsi="宋体" w:cs="宋体"/>
                <w:kern w:val="0"/>
                <w:sz w:val="24"/>
              </w:rPr>
            </w:pPr>
          </w:p>
        </w:tc>
      </w:tr>
      <w:tr w14:paraId="42A3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6A1F7D">
            <w:pPr>
              <w:widowControl/>
              <w:spacing w:line="360" w:lineRule="auto"/>
              <w:jc w:val="center"/>
              <w:rPr>
                <w:rFonts w:ascii="宋体" w:hAnsi="宋体" w:cs="宋体"/>
                <w:kern w:val="0"/>
                <w:sz w:val="24"/>
              </w:rPr>
            </w:pPr>
            <w:r>
              <w:rPr>
                <w:rFonts w:hint="eastAsia" w:ascii="宋体" w:hAnsi="宋体" w:cs="宋体"/>
                <w:kern w:val="0"/>
                <w:sz w:val="24"/>
              </w:rPr>
              <w:t>25</w:t>
            </w:r>
          </w:p>
        </w:tc>
        <w:tc>
          <w:tcPr>
            <w:tcW w:w="2126" w:type="dxa"/>
          </w:tcPr>
          <w:p w14:paraId="716A2666">
            <w:pPr>
              <w:widowControl/>
              <w:spacing w:line="360" w:lineRule="auto"/>
              <w:jc w:val="center"/>
              <w:rPr>
                <w:rFonts w:ascii="宋体" w:hAnsi="宋体" w:cs="宋体"/>
                <w:kern w:val="0"/>
                <w:sz w:val="24"/>
              </w:rPr>
            </w:pPr>
            <w:r>
              <w:rPr>
                <w:rFonts w:hint="eastAsia" w:ascii="宋体" w:hAnsi="宋体" w:cs="宋体"/>
                <w:kern w:val="0"/>
                <w:sz w:val="24"/>
              </w:rPr>
              <w:t>电线管</w:t>
            </w:r>
          </w:p>
        </w:tc>
        <w:tc>
          <w:tcPr>
            <w:tcW w:w="5103" w:type="dxa"/>
          </w:tcPr>
          <w:p w14:paraId="59400D70">
            <w:pPr>
              <w:widowControl/>
              <w:spacing w:line="360" w:lineRule="auto"/>
              <w:jc w:val="center"/>
              <w:rPr>
                <w:rFonts w:ascii="宋体" w:hAnsi="宋体" w:cs="宋体"/>
                <w:kern w:val="0"/>
                <w:sz w:val="24"/>
              </w:rPr>
            </w:pPr>
            <w:r>
              <w:rPr>
                <w:rFonts w:hint="eastAsia" w:ascii="宋体" w:hAnsi="宋体" w:cs="宋体"/>
                <w:kern w:val="0"/>
                <w:sz w:val="24"/>
              </w:rPr>
              <w:t>伟星、中财、联塑或相当于</w:t>
            </w:r>
          </w:p>
        </w:tc>
        <w:tc>
          <w:tcPr>
            <w:tcW w:w="1276" w:type="dxa"/>
          </w:tcPr>
          <w:p w14:paraId="7FF2110D">
            <w:pPr>
              <w:widowControl/>
              <w:spacing w:line="360" w:lineRule="auto"/>
              <w:jc w:val="center"/>
              <w:rPr>
                <w:rFonts w:ascii="宋体" w:hAnsi="宋体" w:cs="宋体"/>
                <w:kern w:val="0"/>
                <w:sz w:val="24"/>
              </w:rPr>
            </w:pPr>
          </w:p>
        </w:tc>
      </w:tr>
      <w:tr w14:paraId="19D4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898F47">
            <w:pPr>
              <w:widowControl/>
              <w:spacing w:line="360" w:lineRule="auto"/>
              <w:jc w:val="center"/>
              <w:rPr>
                <w:rFonts w:ascii="宋体" w:hAnsi="宋体" w:cs="宋体"/>
                <w:kern w:val="0"/>
                <w:sz w:val="24"/>
              </w:rPr>
            </w:pPr>
            <w:r>
              <w:rPr>
                <w:rFonts w:hint="eastAsia" w:ascii="宋体" w:hAnsi="宋体" w:cs="宋体"/>
                <w:kern w:val="0"/>
                <w:sz w:val="24"/>
              </w:rPr>
              <w:t>26</w:t>
            </w:r>
          </w:p>
        </w:tc>
        <w:tc>
          <w:tcPr>
            <w:tcW w:w="2126" w:type="dxa"/>
          </w:tcPr>
          <w:p w14:paraId="4CABA8B2">
            <w:pPr>
              <w:widowControl/>
              <w:spacing w:line="360" w:lineRule="auto"/>
              <w:jc w:val="center"/>
              <w:rPr>
                <w:rFonts w:ascii="宋体" w:hAnsi="宋体" w:cs="宋体"/>
                <w:kern w:val="0"/>
                <w:sz w:val="24"/>
              </w:rPr>
            </w:pPr>
            <w:r>
              <w:rPr>
                <w:rFonts w:hint="eastAsia" w:ascii="宋体" w:hAnsi="宋体" w:cs="宋体"/>
                <w:kern w:val="0"/>
                <w:sz w:val="24"/>
              </w:rPr>
              <w:t>塑料冷热水管、给排水管</w:t>
            </w:r>
          </w:p>
        </w:tc>
        <w:tc>
          <w:tcPr>
            <w:tcW w:w="5103" w:type="dxa"/>
          </w:tcPr>
          <w:p w14:paraId="7B7F966C">
            <w:pPr>
              <w:widowControl/>
              <w:spacing w:line="360" w:lineRule="auto"/>
              <w:jc w:val="center"/>
              <w:rPr>
                <w:rFonts w:ascii="宋体" w:hAnsi="宋体" w:cs="宋体"/>
                <w:kern w:val="0"/>
                <w:sz w:val="24"/>
              </w:rPr>
            </w:pPr>
            <w:r>
              <w:rPr>
                <w:rFonts w:hint="eastAsia" w:ascii="宋体" w:hAnsi="宋体" w:cs="宋体"/>
                <w:kern w:val="0"/>
                <w:sz w:val="24"/>
              </w:rPr>
              <w:t>伟星、中财、联塑或相当于</w:t>
            </w:r>
          </w:p>
        </w:tc>
        <w:tc>
          <w:tcPr>
            <w:tcW w:w="1276" w:type="dxa"/>
          </w:tcPr>
          <w:p w14:paraId="5004F66A">
            <w:pPr>
              <w:widowControl/>
              <w:spacing w:line="360" w:lineRule="auto"/>
              <w:jc w:val="center"/>
              <w:rPr>
                <w:rFonts w:ascii="宋体" w:hAnsi="宋体" w:cs="宋体"/>
                <w:kern w:val="0"/>
                <w:sz w:val="24"/>
              </w:rPr>
            </w:pPr>
          </w:p>
        </w:tc>
      </w:tr>
      <w:tr w14:paraId="2D20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F673B">
            <w:pPr>
              <w:widowControl/>
              <w:spacing w:line="360" w:lineRule="auto"/>
              <w:jc w:val="center"/>
              <w:rPr>
                <w:rFonts w:ascii="宋体" w:hAnsi="宋体" w:cs="宋体"/>
                <w:kern w:val="0"/>
                <w:sz w:val="24"/>
              </w:rPr>
            </w:pPr>
            <w:r>
              <w:rPr>
                <w:rFonts w:hint="eastAsia" w:ascii="宋体" w:hAnsi="宋体" w:cs="宋体"/>
                <w:kern w:val="0"/>
                <w:sz w:val="24"/>
              </w:rPr>
              <w:t>27</w:t>
            </w:r>
          </w:p>
        </w:tc>
        <w:tc>
          <w:tcPr>
            <w:tcW w:w="2126" w:type="dxa"/>
          </w:tcPr>
          <w:p w14:paraId="1692AB60">
            <w:pPr>
              <w:widowControl/>
              <w:spacing w:line="360" w:lineRule="auto"/>
              <w:jc w:val="center"/>
              <w:rPr>
                <w:rFonts w:ascii="宋体" w:hAnsi="宋体" w:cs="宋体"/>
                <w:kern w:val="0"/>
                <w:sz w:val="24"/>
              </w:rPr>
            </w:pPr>
            <w:r>
              <w:rPr>
                <w:rFonts w:hint="eastAsia" w:ascii="宋体" w:hAnsi="宋体" w:cs="宋体"/>
                <w:kern w:val="0"/>
                <w:sz w:val="24"/>
              </w:rPr>
              <w:t>桥架</w:t>
            </w:r>
          </w:p>
        </w:tc>
        <w:tc>
          <w:tcPr>
            <w:tcW w:w="5103" w:type="dxa"/>
          </w:tcPr>
          <w:p w14:paraId="418FE0CE">
            <w:pPr>
              <w:widowControl/>
              <w:spacing w:line="360" w:lineRule="auto"/>
              <w:jc w:val="center"/>
              <w:rPr>
                <w:rFonts w:ascii="宋体" w:hAnsi="宋体" w:cs="宋体"/>
                <w:kern w:val="0"/>
                <w:sz w:val="24"/>
              </w:rPr>
            </w:pPr>
            <w:r>
              <w:rPr>
                <w:rFonts w:hint="eastAsia" w:ascii="宋体" w:hAnsi="宋体" w:cs="宋体"/>
                <w:kern w:val="0"/>
                <w:sz w:val="24"/>
              </w:rPr>
              <w:t>浙江桥母、圣宇、远大或相当于</w:t>
            </w:r>
          </w:p>
        </w:tc>
        <w:tc>
          <w:tcPr>
            <w:tcW w:w="1276" w:type="dxa"/>
          </w:tcPr>
          <w:p w14:paraId="4F3922AE">
            <w:pPr>
              <w:widowControl/>
              <w:spacing w:line="360" w:lineRule="auto"/>
              <w:jc w:val="center"/>
              <w:rPr>
                <w:rFonts w:ascii="宋体" w:hAnsi="宋体" w:cs="宋体"/>
                <w:kern w:val="0"/>
                <w:sz w:val="24"/>
              </w:rPr>
            </w:pPr>
          </w:p>
        </w:tc>
      </w:tr>
      <w:tr w14:paraId="7D95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11967C">
            <w:pPr>
              <w:widowControl/>
              <w:spacing w:line="360" w:lineRule="auto"/>
              <w:jc w:val="center"/>
              <w:rPr>
                <w:rFonts w:ascii="宋体" w:hAnsi="宋体" w:cs="宋体"/>
                <w:kern w:val="0"/>
                <w:sz w:val="24"/>
              </w:rPr>
            </w:pPr>
            <w:r>
              <w:rPr>
                <w:rFonts w:hint="eastAsia" w:ascii="宋体" w:hAnsi="宋体" w:cs="宋体"/>
                <w:kern w:val="0"/>
                <w:sz w:val="24"/>
              </w:rPr>
              <w:t>28</w:t>
            </w:r>
          </w:p>
        </w:tc>
        <w:tc>
          <w:tcPr>
            <w:tcW w:w="2126" w:type="dxa"/>
          </w:tcPr>
          <w:p w14:paraId="351ACE4F">
            <w:pPr>
              <w:widowControl/>
              <w:spacing w:line="360" w:lineRule="auto"/>
              <w:jc w:val="center"/>
              <w:rPr>
                <w:rFonts w:ascii="宋体" w:hAnsi="宋体" w:cs="宋体"/>
                <w:kern w:val="0"/>
                <w:sz w:val="24"/>
              </w:rPr>
            </w:pPr>
            <w:r>
              <w:rPr>
                <w:rFonts w:hint="eastAsia" w:ascii="宋体" w:hAnsi="宋体" w:cs="宋体"/>
                <w:kern w:val="0"/>
                <w:sz w:val="24"/>
              </w:rPr>
              <w:t>断路器</w:t>
            </w:r>
          </w:p>
        </w:tc>
        <w:tc>
          <w:tcPr>
            <w:tcW w:w="5103" w:type="dxa"/>
          </w:tcPr>
          <w:p w14:paraId="6F44F2EA">
            <w:pPr>
              <w:widowControl/>
              <w:spacing w:line="360" w:lineRule="auto"/>
              <w:jc w:val="center"/>
              <w:rPr>
                <w:rFonts w:ascii="宋体" w:hAnsi="宋体" w:cs="宋体"/>
                <w:kern w:val="0"/>
                <w:sz w:val="24"/>
              </w:rPr>
            </w:pPr>
            <w:r>
              <w:rPr>
                <w:rFonts w:hint="eastAsia" w:ascii="宋体" w:hAnsi="宋体" w:cs="宋体"/>
                <w:kern w:val="0"/>
                <w:sz w:val="24"/>
              </w:rPr>
              <w:t>江苏常熟、上海人民、德力西或相当于</w:t>
            </w:r>
          </w:p>
        </w:tc>
        <w:tc>
          <w:tcPr>
            <w:tcW w:w="1276" w:type="dxa"/>
          </w:tcPr>
          <w:p w14:paraId="324E8D01">
            <w:pPr>
              <w:widowControl/>
              <w:spacing w:line="360" w:lineRule="auto"/>
              <w:jc w:val="center"/>
              <w:rPr>
                <w:rFonts w:ascii="宋体" w:hAnsi="宋体" w:cs="宋体"/>
                <w:kern w:val="0"/>
                <w:sz w:val="24"/>
              </w:rPr>
            </w:pPr>
          </w:p>
        </w:tc>
      </w:tr>
      <w:tr w14:paraId="784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05C4B9">
            <w:pPr>
              <w:widowControl/>
              <w:spacing w:line="360" w:lineRule="auto"/>
              <w:jc w:val="center"/>
              <w:rPr>
                <w:rFonts w:ascii="宋体" w:hAnsi="宋体" w:cs="宋体"/>
                <w:kern w:val="0"/>
                <w:sz w:val="24"/>
              </w:rPr>
            </w:pPr>
            <w:r>
              <w:rPr>
                <w:rFonts w:hint="eastAsia" w:ascii="宋体" w:hAnsi="宋体" w:cs="宋体"/>
                <w:kern w:val="0"/>
                <w:sz w:val="24"/>
              </w:rPr>
              <w:t>29</w:t>
            </w:r>
          </w:p>
        </w:tc>
        <w:tc>
          <w:tcPr>
            <w:tcW w:w="2126" w:type="dxa"/>
          </w:tcPr>
          <w:p w14:paraId="0B25358D">
            <w:pPr>
              <w:widowControl/>
              <w:spacing w:line="360" w:lineRule="auto"/>
              <w:jc w:val="center"/>
              <w:rPr>
                <w:rFonts w:ascii="宋体" w:hAnsi="宋体" w:cs="宋体"/>
                <w:kern w:val="0"/>
                <w:sz w:val="24"/>
              </w:rPr>
            </w:pPr>
            <w:r>
              <w:rPr>
                <w:rFonts w:hint="eastAsia" w:ascii="宋体" w:hAnsi="宋体" w:cs="宋体"/>
                <w:kern w:val="0"/>
                <w:sz w:val="24"/>
              </w:rPr>
              <w:t>广播系统</w:t>
            </w:r>
          </w:p>
        </w:tc>
        <w:tc>
          <w:tcPr>
            <w:tcW w:w="5103" w:type="dxa"/>
          </w:tcPr>
          <w:p w14:paraId="7AD2C972">
            <w:pPr>
              <w:widowControl/>
              <w:spacing w:line="360" w:lineRule="auto"/>
              <w:jc w:val="center"/>
              <w:rPr>
                <w:rFonts w:ascii="宋体" w:hAnsi="宋体" w:cs="宋体"/>
                <w:kern w:val="0"/>
                <w:sz w:val="24"/>
              </w:rPr>
            </w:pPr>
            <w:r>
              <w:rPr>
                <w:rFonts w:hint="eastAsia" w:ascii="宋体" w:hAnsi="宋体" w:cs="宋体"/>
                <w:kern w:val="0"/>
                <w:sz w:val="24"/>
              </w:rPr>
              <w:t>ITC、CRX、SENLANG或相当于</w:t>
            </w:r>
          </w:p>
        </w:tc>
        <w:tc>
          <w:tcPr>
            <w:tcW w:w="1276" w:type="dxa"/>
          </w:tcPr>
          <w:p w14:paraId="33A2C005">
            <w:pPr>
              <w:widowControl/>
              <w:spacing w:line="360" w:lineRule="auto"/>
              <w:jc w:val="center"/>
              <w:rPr>
                <w:rFonts w:ascii="宋体" w:hAnsi="宋体" w:cs="宋体"/>
                <w:kern w:val="0"/>
                <w:sz w:val="24"/>
              </w:rPr>
            </w:pPr>
          </w:p>
        </w:tc>
      </w:tr>
      <w:tr w14:paraId="1443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00BAC6">
            <w:pPr>
              <w:widowControl/>
              <w:spacing w:line="360" w:lineRule="auto"/>
              <w:jc w:val="center"/>
              <w:rPr>
                <w:rFonts w:ascii="宋体" w:hAnsi="宋体" w:cs="宋体"/>
                <w:kern w:val="0"/>
                <w:sz w:val="24"/>
              </w:rPr>
            </w:pPr>
            <w:r>
              <w:rPr>
                <w:rFonts w:hint="eastAsia" w:ascii="宋体" w:hAnsi="宋体" w:cs="宋体"/>
                <w:kern w:val="0"/>
                <w:sz w:val="24"/>
              </w:rPr>
              <w:t>30</w:t>
            </w:r>
          </w:p>
        </w:tc>
        <w:tc>
          <w:tcPr>
            <w:tcW w:w="2126" w:type="dxa"/>
          </w:tcPr>
          <w:p w14:paraId="1526FEE9">
            <w:pPr>
              <w:widowControl/>
              <w:spacing w:line="360" w:lineRule="auto"/>
              <w:jc w:val="center"/>
              <w:rPr>
                <w:rFonts w:ascii="宋体" w:hAnsi="宋体" w:cs="宋体"/>
                <w:kern w:val="0"/>
                <w:sz w:val="24"/>
              </w:rPr>
            </w:pPr>
            <w:r>
              <w:rPr>
                <w:rFonts w:hint="eastAsia" w:ascii="宋体" w:hAnsi="宋体" w:cs="宋体"/>
                <w:kern w:val="0"/>
                <w:sz w:val="24"/>
              </w:rPr>
              <w:t>计算机网络系统</w:t>
            </w:r>
          </w:p>
        </w:tc>
        <w:tc>
          <w:tcPr>
            <w:tcW w:w="5103" w:type="dxa"/>
          </w:tcPr>
          <w:p w14:paraId="1C96A2FB">
            <w:pPr>
              <w:spacing w:line="360" w:lineRule="auto"/>
              <w:jc w:val="center"/>
              <w:rPr>
                <w:rFonts w:ascii="宋体" w:hAnsi="宋体" w:cs="宋体"/>
                <w:kern w:val="0"/>
                <w:sz w:val="24"/>
              </w:rPr>
            </w:pPr>
            <w:r>
              <w:rPr>
                <w:rFonts w:hint="eastAsia" w:ascii="宋体" w:hAnsi="宋体" w:cs="宋体"/>
                <w:kern w:val="0"/>
                <w:sz w:val="24"/>
              </w:rPr>
              <w:t>锐捷、华为、华三或相当于</w:t>
            </w:r>
          </w:p>
        </w:tc>
        <w:tc>
          <w:tcPr>
            <w:tcW w:w="1276" w:type="dxa"/>
          </w:tcPr>
          <w:p w14:paraId="7A80C892">
            <w:pPr>
              <w:spacing w:line="360" w:lineRule="auto"/>
              <w:jc w:val="center"/>
              <w:rPr>
                <w:rFonts w:ascii="宋体" w:hAnsi="宋体" w:cs="宋体"/>
                <w:kern w:val="0"/>
                <w:sz w:val="24"/>
              </w:rPr>
            </w:pPr>
          </w:p>
        </w:tc>
      </w:tr>
      <w:tr w14:paraId="40F1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34B493">
            <w:pPr>
              <w:widowControl/>
              <w:spacing w:line="360" w:lineRule="auto"/>
              <w:jc w:val="center"/>
              <w:rPr>
                <w:rFonts w:ascii="宋体" w:hAnsi="宋体" w:cs="宋体"/>
                <w:kern w:val="0"/>
                <w:sz w:val="24"/>
              </w:rPr>
            </w:pPr>
            <w:r>
              <w:rPr>
                <w:rFonts w:hint="eastAsia" w:ascii="宋体" w:hAnsi="宋体" w:cs="宋体"/>
                <w:kern w:val="0"/>
                <w:sz w:val="24"/>
              </w:rPr>
              <w:t>31</w:t>
            </w:r>
          </w:p>
        </w:tc>
        <w:tc>
          <w:tcPr>
            <w:tcW w:w="2126" w:type="dxa"/>
          </w:tcPr>
          <w:p w14:paraId="795C0CCA">
            <w:pPr>
              <w:widowControl/>
              <w:spacing w:line="360" w:lineRule="auto"/>
              <w:jc w:val="center"/>
              <w:rPr>
                <w:rFonts w:ascii="宋体" w:hAnsi="宋体" w:cs="宋体"/>
                <w:kern w:val="0"/>
                <w:sz w:val="24"/>
              </w:rPr>
            </w:pPr>
            <w:r>
              <w:rPr>
                <w:rFonts w:hint="eastAsia" w:ascii="宋体" w:hAnsi="宋体" w:cs="宋体"/>
                <w:kern w:val="0"/>
                <w:sz w:val="24"/>
              </w:rPr>
              <w:t>弱电综合布线系统</w:t>
            </w:r>
          </w:p>
        </w:tc>
        <w:tc>
          <w:tcPr>
            <w:tcW w:w="5103" w:type="dxa"/>
          </w:tcPr>
          <w:p w14:paraId="40C554D9">
            <w:pPr>
              <w:widowControl/>
              <w:spacing w:line="360" w:lineRule="auto"/>
              <w:jc w:val="center"/>
              <w:rPr>
                <w:rFonts w:ascii="宋体" w:hAnsi="宋体" w:cs="宋体"/>
                <w:kern w:val="0"/>
                <w:sz w:val="24"/>
              </w:rPr>
            </w:pPr>
            <w:r>
              <w:rPr>
                <w:rFonts w:hint="eastAsia" w:ascii="宋体" w:hAnsi="宋体" w:cs="宋体"/>
                <w:kern w:val="0"/>
                <w:sz w:val="24"/>
              </w:rPr>
              <w:t>SIEMON西蒙、ENJOYLinK欢联、BELDEN百通或相当于</w:t>
            </w:r>
          </w:p>
        </w:tc>
        <w:tc>
          <w:tcPr>
            <w:tcW w:w="1276" w:type="dxa"/>
          </w:tcPr>
          <w:p w14:paraId="0DD31A5B">
            <w:pPr>
              <w:widowControl/>
              <w:spacing w:line="360" w:lineRule="auto"/>
              <w:jc w:val="center"/>
              <w:rPr>
                <w:rFonts w:ascii="宋体" w:hAnsi="宋体" w:cs="宋体"/>
                <w:kern w:val="0"/>
                <w:sz w:val="24"/>
              </w:rPr>
            </w:pPr>
          </w:p>
        </w:tc>
      </w:tr>
      <w:tr w14:paraId="071C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2689F2">
            <w:pPr>
              <w:widowControl/>
              <w:spacing w:line="360" w:lineRule="auto"/>
              <w:jc w:val="center"/>
              <w:rPr>
                <w:rFonts w:ascii="宋体" w:hAnsi="宋体" w:cs="宋体"/>
                <w:kern w:val="0"/>
                <w:sz w:val="24"/>
              </w:rPr>
            </w:pPr>
            <w:r>
              <w:rPr>
                <w:rFonts w:hint="eastAsia" w:ascii="宋体" w:hAnsi="宋体" w:cs="宋体"/>
                <w:kern w:val="0"/>
                <w:sz w:val="24"/>
              </w:rPr>
              <w:t>32</w:t>
            </w:r>
          </w:p>
        </w:tc>
        <w:tc>
          <w:tcPr>
            <w:tcW w:w="2126" w:type="dxa"/>
          </w:tcPr>
          <w:p w14:paraId="00106FA6">
            <w:pPr>
              <w:widowControl/>
              <w:spacing w:line="360" w:lineRule="auto"/>
              <w:jc w:val="center"/>
              <w:rPr>
                <w:rFonts w:ascii="宋体" w:hAnsi="宋体" w:cs="宋体"/>
                <w:kern w:val="0"/>
                <w:sz w:val="24"/>
              </w:rPr>
            </w:pPr>
            <w:r>
              <w:rPr>
                <w:rFonts w:hint="eastAsia" w:ascii="宋体" w:hAnsi="宋体" w:cs="宋体"/>
                <w:kern w:val="0"/>
                <w:sz w:val="24"/>
              </w:rPr>
              <w:t>应急灯、疏散指示、标志灯</w:t>
            </w:r>
          </w:p>
        </w:tc>
        <w:tc>
          <w:tcPr>
            <w:tcW w:w="5103" w:type="dxa"/>
          </w:tcPr>
          <w:p w14:paraId="5D2FD418">
            <w:pPr>
              <w:widowControl/>
              <w:spacing w:line="360" w:lineRule="auto"/>
              <w:jc w:val="center"/>
              <w:rPr>
                <w:rFonts w:ascii="宋体" w:hAnsi="宋体" w:cs="宋体"/>
                <w:kern w:val="0"/>
                <w:sz w:val="24"/>
              </w:rPr>
            </w:pPr>
            <w:r>
              <w:rPr>
                <w:rFonts w:hint="eastAsia" w:ascii="宋体" w:hAnsi="宋体" w:cs="宋体"/>
                <w:kern w:val="0"/>
                <w:sz w:val="24"/>
              </w:rPr>
              <w:t>苏舟鼎盛、台谊、振辉、元亨或相当于</w:t>
            </w:r>
          </w:p>
        </w:tc>
        <w:tc>
          <w:tcPr>
            <w:tcW w:w="1276" w:type="dxa"/>
          </w:tcPr>
          <w:p w14:paraId="4C59AA7B">
            <w:pPr>
              <w:widowControl/>
              <w:spacing w:line="360" w:lineRule="auto"/>
              <w:jc w:val="center"/>
              <w:rPr>
                <w:rFonts w:ascii="宋体" w:hAnsi="宋体" w:cs="宋体"/>
                <w:kern w:val="0"/>
                <w:sz w:val="24"/>
              </w:rPr>
            </w:pPr>
          </w:p>
        </w:tc>
      </w:tr>
      <w:tr w14:paraId="343B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CD8C64">
            <w:pPr>
              <w:widowControl/>
              <w:spacing w:line="360" w:lineRule="auto"/>
              <w:jc w:val="center"/>
              <w:rPr>
                <w:rFonts w:ascii="宋体" w:hAnsi="宋体" w:cs="宋体"/>
                <w:kern w:val="0"/>
                <w:sz w:val="24"/>
              </w:rPr>
            </w:pPr>
            <w:r>
              <w:rPr>
                <w:rFonts w:hint="eastAsia" w:ascii="宋体" w:hAnsi="宋体" w:cs="宋体"/>
                <w:kern w:val="0"/>
                <w:sz w:val="24"/>
              </w:rPr>
              <w:t>33</w:t>
            </w:r>
          </w:p>
        </w:tc>
        <w:tc>
          <w:tcPr>
            <w:tcW w:w="2126" w:type="dxa"/>
          </w:tcPr>
          <w:p w14:paraId="0A580843">
            <w:pPr>
              <w:widowControl/>
              <w:spacing w:line="360" w:lineRule="auto"/>
              <w:jc w:val="center"/>
              <w:rPr>
                <w:rFonts w:ascii="宋体" w:hAnsi="宋体" w:cs="宋体"/>
                <w:kern w:val="0"/>
                <w:sz w:val="24"/>
              </w:rPr>
            </w:pPr>
            <w:r>
              <w:rPr>
                <w:rFonts w:hint="eastAsia" w:ascii="宋体" w:hAnsi="宋体" w:cs="宋体"/>
                <w:kern w:val="0"/>
                <w:sz w:val="24"/>
              </w:rPr>
              <w:t>电视系统</w:t>
            </w:r>
          </w:p>
        </w:tc>
        <w:tc>
          <w:tcPr>
            <w:tcW w:w="5103" w:type="dxa"/>
          </w:tcPr>
          <w:p w14:paraId="55546843">
            <w:pPr>
              <w:widowControl/>
              <w:spacing w:line="360" w:lineRule="auto"/>
              <w:jc w:val="center"/>
              <w:rPr>
                <w:rFonts w:ascii="宋体" w:hAnsi="宋体" w:cs="宋体"/>
                <w:kern w:val="0"/>
                <w:sz w:val="24"/>
              </w:rPr>
            </w:pPr>
            <w:r>
              <w:rPr>
                <w:rFonts w:hint="eastAsia" w:ascii="宋体" w:hAnsi="宋体" w:cs="宋体"/>
                <w:kern w:val="0"/>
                <w:sz w:val="24"/>
              </w:rPr>
              <w:t>杰和兴、吉兆 、九州或相当于</w:t>
            </w:r>
          </w:p>
        </w:tc>
        <w:tc>
          <w:tcPr>
            <w:tcW w:w="1276" w:type="dxa"/>
          </w:tcPr>
          <w:p w14:paraId="2B7DCB94">
            <w:pPr>
              <w:widowControl/>
              <w:spacing w:line="360" w:lineRule="auto"/>
              <w:jc w:val="center"/>
              <w:rPr>
                <w:rFonts w:ascii="宋体" w:hAnsi="宋体" w:cs="宋体"/>
                <w:kern w:val="0"/>
                <w:sz w:val="24"/>
              </w:rPr>
            </w:pPr>
          </w:p>
        </w:tc>
      </w:tr>
      <w:tr w14:paraId="34D0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B9F977">
            <w:pPr>
              <w:widowControl/>
              <w:spacing w:line="360" w:lineRule="auto"/>
              <w:jc w:val="center"/>
              <w:rPr>
                <w:rFonts w:ascii="宋体" w:hAnsi="宋体" w:cs="宋体"/>
                <w:kern w:val="0"/>
                <w:sz w:val="24"/>
              </w:rPr>
            </w:pPr>
            <w:r>
              <w:rPr>
                <w:rFonts w:hint="eastAsia" w:ascii="宋体" w:hAnsi="宋体" w:cs="宋体"/>
                <w:kern w:val="0"/>
                <w:sz w:val="24"/>
              </w:rPr>
              <w:t>34</w:t>
            </w:r>
          </w:p>
        </w:tc>
        <w:tc>
          <w:tcPr>
            <w:tcW w:w="2126" w:type="dxa"/>
          </w:tcPr>
          <w:p w14:paraId="2A8B4841">
            <w:pPr>
              <w:widowControl/>
              <w:spacing w:line="360" w:lineRule="auto"/>
              <w:jc w:val="center"/>
              <w:rPr>
                <w:rFonts w:ascii="宋体" w:hAnsi="宋体" w:cs="宋体"/>
                <w:kern w:val="0"/>
                <w:sz w:val="24"/>
              </w:rPr>
            </w:pPr>
            <w:r>
              <w:rPr>
                <w:rFonts w:hint="eastAsia" w:ascii="宋体" w:hAnsi="宋体" w:cs="宋体"/>
                <w:kern w:val="0"/>
                <w:sz w:val="24"/>
              </w:rPr>
              <w:t>安保监控系统</w:t>
            </w:r>
          </w:p>
        </w:tc>
        <w:tc>
          <w:tcPr>
            <w:tcW w:w="5103" w:type="dxa"/>
          </w:tcPr>
          <w:p w14:paraId="058B4B9B">
            <w:pPr>
              <w:widowControl/>
              <w:spacing w:line="360" w:lineRule="auto"/>
              <w:jc w:val="center"/>
              <w:rPr>
                <w:rFonts w:ascii="宋体" w:hAnsi="宋体" w:cs="宋体"/>
                <w:kern w:val="0"/>
                <w:sz w:val="24"/>
              </w:rPr>
            </w:pPr>
            <w:r>
              <w:rPr>
                <w:rFonts w:hint="eastAsia" w:ascii="宋体" w:hAnsi="宋体" w:cs="宋体"/>
                <w:kern w:val="0"/>
                <w:sz w:val="24"/>
              </w:rPr>
              <w:t>海康威视、三星、霍尼韦尔或相当于</w:t>
            </w:r>
          </w:p>
        </w:tc>
        <w:tc>
          <w:tcPr>
            <w:tcW w:w="1276" w:type="dxa"/>
          </w:tcPr>
          <w:p w14:paraId="3E355BA4">
            <w:pPr>
              <w:widowControl/>
              <w:spacing w:line="360" w:lineRule="auto"/>
              <w:jc w:val="center"/>
              <w:rPr>
                <w:rFonts w:ascii="宋体" w:hAnsi="宋体" w:cs="宋体"/>
                <w:kern w:val="0"/>
                <w:sz w:val="24"/>
              </w:rPr>
            </w:pPr>
          </w:p>
        </w:tc>
      </w:tr>
      <w:tr w14:paraId="6CB0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790329">
            <w:pPr>
              <w:widowControl/>
              <w:spacing w:line="360" w:lineRule="auto"/>
              <w:jc w:val="center"/>
              <w:rPr>
                <w:rFonts w:ascii="宋体" w:hAnsi="宋体" w:cs="宋体"/>
                <w:kern w:val="0"/>
                <w:sz w:val="24"/>
              </w:rPr>
            </w:pPr>
            <w:r>
              <w:rPr>
                <w:rFonts w:hint="eastAsia" w:ascii="宋体" w:hAnsi="宋体" w:cs="宋体"/>
                <w:kern w:val="0"/>
                <w:sz w:val="24"/>
              </w:rPr>
              <w:t>35</w:t>
            </w:r>
          </w:p>
        </w:tc>
        <w:tc>
          <w:tcPr>
            <w:tcW w:w="2126" w:type="dxa"/>
          </w:tcPr>
          <w:p w14:paraId="38A8FF1C">
            <w:pPr>
              <w:widowControl/>
              <w:spacing w:line="360" w:lineRule="auto"/>
              <w:jc w:val="center"/>
              <w:rPr>
                <w:rFonts w:ascii="宋体" w:hAnsi="宋体" w:cs="宋体"/>
                <w:kern w:val="0"/>
                <w:sz w:val="24"/>
              </w:rPr>
            </w:pPr>
            <w:r>
              <w:rPr>
                <w:rFonts w:hint="eastAsia" w:ascii="宋体" w:hAnsi="宋体" w:cs="宋体"/>
                <w:kern w:val="0"/>
                <w:sz w:val="24"/>
              </w:rPr>
              <w:t>一卡通系统</w:t>
            </w:r>
          </w:p>
        </w:tc>
        <w:tc>
          <w:tcPr>
            <w:tcW w:w="5103" w:type="dxa"/>
          </w:tcPr>
          <w:p w14:paraId="1F98C8D4">
            <w:pPr>
              <w:widowControl/>
              <w:spacing w:line="360" w:lineRule="auto"/>
              <w:jc w:val="center"/>
              <w:rPr>
                <w:rFonts w:ascii="宋体" w:hAnsi="宋体" w:cs="宋体"/>
                <w:kern w:val="0"/>
                <w:sz w:val="24"/>
              </w:rPr>
            </w:pPr>
            <w:r>
              <w:rPr>
                <w:rFonts w:hint="eastAsia" w:ascii="宋体" w:hAnsi="宋体" w:cs="宋体"/>
                <w:kern w:val="0"/>
                <w:sz w:val="24"/>
              </w:rPr>
              <w:t>富士、立方、新开普或相当于</w:t>
            </w:r>
          </w:p>
        </w:tc>
        <w:tc>
          <w:tcPr>
            <w:tcW w:w="1276" w:type="dxa"/>
          </w:tcPr>
          <w:p w14:paraId="6EC94F81">
            <w:pPr>
              <w:widowControl/>
              <w:spacing w:line="360" w:lineRule="auto"/>
              <w:jc w:val="center"/>
              <w:rPr>
                <w:rFonts w:ascii="宋体" w:hAnsi="宋体" w:cs="宋体"/>
                <w:kern w:val="0"/>
                <w:sz w:val="24"/>
              </w:rPr>
            </w:pPr>
          </w:p>
        </w:tc>
      </w:tr>
      <w:tr w14:paraId="7B2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CCD7E4">
            <w:pPr>
              <w:widowControl/>
              <w:spacing w:line="360" w:lineRule="auto"/>
              <w:jc w:val="center"/>
              <w:rPr>
                <w:rFonts w:ascii="宋体" w:hAnsi="宋体" w:cs="宋体"/>
                <w:kern w:val="0"/>
                <w:sz w:val="24"/>
              </w:rPr>
            </w:pPr>
            <w:r>
              <w:rPr>
                <w:rFonts w:hint="eastAsia" w:ascii="宋体" w:hAnsi="宋体" w:cs="宋体"/>
                <w:kern w:val="0"/>
                <w:sz w:val="24"/>
              </w:rPr>
              <w:t>36</w:t>
            </w:r>
          </w:p>
        </w:tc>
        <w:tc>
          <w:tcPr>
            <w:tcW w:w="2126" w:type="dxa"/>
          </w:tcPr>
          <w:p w14:paraId="4B184A9C">
            <w:pPr>
              <w:widowControl/>
              <w:spacing w:line="360" w:lineRule="auto"/>
              <w:jc w:val="center"/>
              <w:rPr>
                <w:rFonts w:ascii="宋体" w:hAnsi="宋体" w:cs="宋体"/>
                <w:kern w:val="0"/>
                <w:sz w:val="24"/>
              </w:rPr>
            </w:pPr>
            <w:r>
              <w:rPr>
                <w:rFonts w:hint="eastAsia" w:ascii="宋体" w:hAnsi="宋体" w:cs="宋体"/>
                <w:kern w:val="0"/>
                <w:sz w:val="24"/>
              </w:rPr>
              <w:t>吸顶扇、吊扇</w:t>
            </w:r>
          </w:p>
        </w:tc>
        <w:tc>
          <w:tcPr>
            <w:tcW w:w="5103" w:type="dxa"/>
          </w:tcPr>
          <w:p w14:paraId="0FA8D465">
            <w:pPr>
              <w:widowControl/>
              <w:spacing w:line="360" w:lineRule="auto"/>
              <w:jc w:val="center"/>
              <w:rPr>
                <w:rFonts w:ascii="宋体" w:hAnsi="宋体" w:cs="宋体"/>
                <w:kern w:val="0"/>
                <w:sz w:val="24"/>
              </w:rPr>
            </w:pPr>
            <w:r>
              <w:rPr>
                <w:rFonts w:hint="eastAsia" w:ascii="宋体" w:hAnsi="宋体" w:cs="宋体"/>
                <w:kern w:val="0"/>
                <w:sz w:val="24"/>
              </w:rPr>
              <w:t>宝风、欧普、雷士或相当于</w:t>
            </w:r>
          </w:p>
        </w:tc>
        <w:tc>
          <w:tcPr>
            <w:tcW w:w="1276" w:type="dxa"/>
          </w:tcPr>
          <w:p w14:paraId="70B1431F">
            <w:pPr>
              <w:widowControl/>
              <w:spacing w:line="360" w:lineRule="auto"/>
              <w:jc w:val="center"/>
              <w:rPr>
                <w:rFonts w:ascii="宋体" w:hAnsi="宋体" w:cs="宋体"/>
                <w:kern w:val="0"/>
                <w:sz w:val="24"/>
              </w:rPr>
            </w:pPr>
          </w:p>
        </w:tc>
      </w:tr>
      <w:tr w14:paraId="617B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047A5D">
            <w:pPr>
              <w:widowControl/>
              <w:spacing w:line="360" w:lineRule="auto"/>
              <w:jc w:val="center"/>
              <w:rPr>
                <w:rFonts w:ascii="宋体" w:hAnsi="宋体" w:cs="宋体"/>
                <w:kern w:val="0"/>
                <w:sz w:val="24"/>
              </w:rPr>
            </w:pPr>
            <w:r>
              <w:rPr>
                <w:rFonts w:hint="eastAsia" w:ascii="宋体" w:hAnsi="宋体" w:cs="宋体"/>
                <w:kern w:val="0"/>
                <w:sz w:val="24"/>
              </w:rPr>
              <w:t>37</w:t>
            </w:r>
          </w:p>
        </w:tc>
        <w:tc>
          <w:tcPr>
            <w:tcW w:w="2126" w:type="dxa"/>
          </w:tcPr>
          <w:p w14:paraId="71B0DFA8">
            <w:pPr>
              <w:widowControl/>
              <w:spacing w:line="360" w:lineRule="auto"/>
              <w:jc w:val="center"/>
              <w:rPr>
                <w:rFonts w:ascii="宋体" w:hAnsi="宋体" w:cs="宋体"/>
                <w:kern w:val="0"/>
                <w:sz w:val="24"/>
              </w:rPr>
            </w:pPr>
            <w:r>
              <w:rPr>
                <w:rFonts w:hint="eastAsia" w:ascii="宋体" w:hAnsi="宋体" w:cs="宋体"/>
                <w:kern w:val="0"/>
                <w:sz w:val="24"/>
              </w:rPr>
              <w:t>水泵类</w:t>
            </w:r>
          </w:p>
        </w:tc>
        <w:tc>
          <w:tcPr>
            <w:tcW w:w="5103" w:type="dxa"/>
          </w:tcPr>
          <w:p w14:paraId="2B6F7015">
            <w:pPr>
              <w:widowControl/>
              <w:spacing w:line="360" w:lineRule="auto"/>
              <w:jc w:val="center"/>
              <w:rPr>
                <w:rFonts w:ascii="宋体" w:hAnsi="宋体" w:cs="宋体"/>
                <w:kern w:val="0"/>
                <w:sz w:val="24"/>
              </w:rPr>
            </w:pPr>
            <w:r>
              <w:rPr>
                <w:rFonts w:hint="eastAsia" w:ascii="宋体" w:hAnsi="宋体" w:cs="宋体"/>
                <w:kern w:val="0"/>
                <w:sz w:val="24"/>
              </w:rPr>
              <w:t>上海东方、上海凯泉、上海熊猫或相当于</w:t>
            </w:r>
          </w:p>
        </w:tc>
        <w:tc>
          <w:tcPr>
            <w:tcW w:w="1276" w:type="dxa"/>
          </w:tcPr>
          <w:p w14:paraId="505852AF">
            <w:pPr>
              <w:widowControl/>
              <w:spacing w:line="360" w:lineRule="auto"/>
              <w:jc w:val="center"/>
              <w:rPr>
                <w:rFonts w:ascii="宋体" w:hAnsi="宋体" w:cs="宋体"/>
                <w:kern w:val="0"/>
                <w:sz w:val="24"/>
              </w:rPr>
            </w:pPr>
          </w:p>
        </w:tc>
      </w:tr>
      <w:tr w14:paraId="7713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EE76EC">
            <w:pPr>
              <w:widowControl/>
              <w:spacing w:line="360" w:lineRule="auto"/>
              <w:jc w:val="center"/>
              <w:rPr>
                <w:rFonts w:ascii="宋体" w:hAnsi="宋体" w:cs="宋体"/>
                <w:kern w:val="0"/>
                <w:sz w:val="24"/>
              </w:rPr>
            </w:pPr>
            <w:r>
              <w:rPr>
                <w:rFonts w:hint="eastAsia" w:ascii="宋体" w:hAnsi="宋体" w:cs="宋体"/>
                <w:kern w:val="0"/>
                <w:sz w:val="24"/>
              </w:rPr>
              <w:t>38</w:t>
            </w:r>
          </w:p>
        </w:tc>
        <w:tc>
          <w:tcPr>
            <w:tcW w:w="2126" w:type="dxa"/>
          </w:tcPr>
          <w:p w14:paraId="74DB31EA">
            <w:pPr>
              <w:spacing w:line="360" w:lineRule="auto"/>
              <w:jc w:val="center"/>
              <w:rPr>
                <w:rFonts w:ascii="宋体" w:hAnsi="宋体" w:cs="宋体"/>
                <w:kern w:val="0"/>
                <w:sz w:val="24"/>
              </w:rPr>
            </w:pPr>
            <w:r>
              <w:rPr>
                <w:rFonts w:hint="eastAsia" w:ascii="宋体" w:hAnsi="宋体" w:cs="宋体"/>
                <w:kern w:val="0"/>
                <w:sz w:val="24"/>
              </w:rPr>
              <w:t>护眼灯</w:t>
            </w:r>
          </w:p>
        </w:tc>
        <w:tc>
          <w:tcPr>
            <w:tcW w:w="5103" w:type="dxa"/>
          </w:tcPr>
          <w:p w14:paraId="53957FCE">
            <w:pPr>
              <w:spacing w:line="360" w:lineRule="auto"/>
              <w:jc w:val="center"/>
              <w:rPr>
                <w:rFonts w:ascii="宋体" w:hAnsi="宋体" w:cs="宋体"/>
                <w:kern w:val="0"/>
                <w:sz w:val="24"/>
              </w:rPr>
            </w:pPr>
            <w:r>
              <w:rPr>
                <w:rFonts w:hint="eastAsia" w:ascii="宋体" w:hAnsi="宋体" w:cs="宋体"/>
                <w:kern w:val="0"/>
                <w:sz w:val="24"/>
              </w:rPr>
              <w:t>欧普、TCL、三雄极光或相当于</w:t>
            </w:r>
          </w:p>
        </w:tc>
        <w:tc>
          <w:tcPr>
            <w:tcW w:w="1276" w:type="dxa"/>
          </w:tcPr>
          <w:p w14:paraId="27E1C05A">
            <w:pPr>
              <w:widowControl/>
              <w:spacing w:line="360" w:lineRule="auto"/>
              <w:jc w:val="center"/>
              <w:rPr>
                <w:rFonts w:ascii="宋体" w:hAnsi="宋体" w:cs="宋体"/>
                <w:kern w:val="0"/>
                <w:sz w:val="24"/>
              </w:rPr>
            </w:pPr>
          </w:p>
        </w:tc>
      </w:tr>
      <w:tr w14:paraId="23F5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3D59EE">
            <w:pPr>
              <w:widowControl/>
              <w:spacing w:line="360" w:lineRule="auto"/>
              <w:jc w:val="center"/>
              <w:rPr>
                <w:rFonts w:ascii="宋体" w:hAnsi="宋体" w:cs="宋体"/>
                <w:kern w:val="0"/>
                <w:sz w:val="24"/>
              </w:rPr>
            </w:pPr>
            <w:r>
              <w:rPr>
                <w:rFonts w:hint="eastAsia" w:ascii="宋体" w:hAnsi="宋体" w:cs="宋体"/>
                <w:kern w:val="0"/>
                <w:sz w:val="24"/>
              </w:rPr>
              <w:t>39</w:t>
            </w:r>
          </w:p>
        </w:tc>
        <w:tc>
          <w:tcPr>
            <w:tcW w:w="2126" w:type="dxa"/>
          </w:tcPr>
          <w:p w14:paraId="053958A3">
            <w:pPr>
              <w:spacing w:line="360" w:lineRule="auto"/>
              <w:jc w:val="center"/>
              <w:rPr>
                <w:rFonts w:ascii="宋体" w:hAnsi="宋体" w:cs="宋体"/>
                <w:kern w:val="0"/>
                <w:sz w:val="24"/>
              </w:rPr>
            </w:pPr>
            <w:r>
              <w:rPr>
                <w:rFonts w:hint="eastAsia" w:ascii="宋体" w:hAnsi="宋体" w:cs="宋体"/>
                <w:kern w:val="0"/>
                <w:sz w:val="24"/>
              </w:rPr>
              <w:t>防盗门</w:t>
            </w:r>
          </w:p>
        </w:tc>
        <w:tc>
          <w:tcPr>
            <w:tcW w:w="5103" w:type="dxa"/>
          </w:tcPr>
          <w:p w14:paraId="1CD1DE6F">
            <w:pPr>
              <w:spacing w:line="360" w:lineRule="auto"/>
              <w:jc w:val="center"/>
              <w:rPr>
                <w:rFonts w:ascii="宋体" w:hAnsi="宋体" w:cs="宋体"/>
                <w:kern w:val="0"/>
                <w:sz w:val="24"/>
              </w:rPr>
            </w:pPr>
            <w:r>
              <w:rPr>
                <w:rFonts w:hint="eastAsia" w:ascii="宋体" w:hAnsi="宋体" w:cs="宋体"/>
                <w:kern w:val="0"/>
                <w:sz w:val="24"/>
              </w:rPr>
              <w:t>春天、盼盼、步阳</w:t>
            </w:r>
          </w:p>
        </w:tc>
        <w:tc>
          <w:tcPr>
            <w:tcW w:w="1276" w:type="dxa"/>
          </w:tcPr>
          <w:p w14:paraId="37FEB67A">
            <w:pPr>
              <w:widowControl/>
              <w:spacing w:line="360" w:lineRule="auto"/>
              <w:jc w:val="center"/>
              <w:rPr>
                <w:rFonts w:ascii="宋体" w:hAnsi="宋体" w:cs="宋体"/>
                <w:kern w:val="0"/>
                <w:sz w:val="24"/>
              </w:rPr>
            </w:pPr>
          </w:p>
        </w:tc>
      </w:tr>
      <w:tr w14:paraId="6C09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43" w:type="dxa"/>
            <w:gridSpan w:val="2"/>
            <w:vAlign w:val="center"/>
          </w:tcPr>
          <w:p w14:paraId="3E929C11">
            <w:pPr>
              <w:widowControl/>
              <w:spacing w:line="360" w:lineRule="auto"/>
              <w:jc w:val="center"/>
              <w:rPr>
                <w:rFonts w:ascii="宋体" w:hAnsi="宋体" w:cs="宋体"/>
                <w:kern w:val="0"/>
                <w:sz w:val="24"/>
              </w:rPr>
            </w:pPr>
            <w:r>
              <w:rPr>
                <w:rFonts w:hint="eastAsia" w:ascii="宋体" w:hAnsi="宋体" w:cs="宋体"/>
                <w:kern w:val="0"/>
                <w:sz w:val="24"/>
              </w:rPr>
              <w:t>与会人员签字</w:t>
            </w:r>
          </w:p>
        </w:tc>
        <w:tc>
          <w:tcPr>
            <w:tcW w:w="6379" w:type="dxa"/>
            <w:gridSpan w:val="2"/>
          </w:tcPr>
          <w:p w14:paraId="54901514">
            <w:pPr>
              <w:widowControl/>
              <w:spacing w:line="360" w:lineRule="auto"/>
              <w:jc w:val="center"/>
              <w:rPr>
                <w:rFonts w:ascii="宋体" w:hAnsi="宋体" w:cs="宋体"/>
                <w:kern w:val="0"/>
                <w:sz w:val="24"/>
              </w:rPr>
            </w:pPr>
          </w:p>
        </w:tc>
      </w:tr>
    </w:tbl>
    <w:p w14:paraId="3B1948C4">
      <w:pPr>
        <w:tabs>
          <w:tab w:val="left" w:pos="8280"/>
        </w:tabs>
        <w:autoSpaceDE w:val="0"/>
        <w:autoSpaceDN w:val="0"/>
        <w:adjustRightInd w:val="0"/>
        <w:spacing w:line="360" w:lineRule="auto"/>
        <w:ind w:right="25"/>
        <w:rPr>
          <w:color w:val="000000" w:themeColor="text1"/>
          <w14:textFill>
            <w14:solidFill>
              <w14:schemeClr w14:val="tx1"/>
            </w14:solidFill>
          </w14:textFill>
        </w:rPr>
      </w:pPr>
    </w:p>
    <w:p w14:paraId="61EDE1AB">
      <w:pPr>
        <w:tabs>
          <w:tab w:val="left" w:pos="8280"/>
        </w:tabs>
        <w:autoSpaceDE w:val="0"/>
        <w:autoSpaceDN w:val="0"/>
        <w:adjustRightInd w:val="0"/>
        <w:spacing w:line="360" w:lineRule="auto"/>
        <w:ind w:right="25"/>
        <w:rPr>
          <w:color w:val="000000" w:themeColor="text1"/>
          <w14:textFill>
            <w14:solidFill>
              <w14:schemeClr w14:val="tx1"/>
            </w14:solidFill>
          </w14:textFill>
        </w:rPr>
      </w:pPr>
      <w:r>
        <w:rPr>
          <w:rFonts w:hint="eastAsia"/>
          <w:color w:val="000000" w:themeColor="text1"/>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5F8464D7">
      <w:pPr>
        <w:tabs>
          <w:tab w:val="left" w:pos="8280"/>
        </w:tabs>
        <w:autoSpaceDE w:val="0"/>
        <w:autoSpaceDN w:val="0"/>
        <w:adjustRightInd w:val="0"/>
        <w:spacing w:line="360" w:lineRule="auto"/>
        <w:ind w:right="25"/>
        <w:rPr>
          <w:color w:val="000000" w:themeColor="text1"/>
          <w14:textFill>
            <w14:solidFill>
              <w14:schemeClr w14:val="tx1"/>
            </w14:solidFill>
          </w14:textFill>
        </w:rPr>
      </w:pPr>
      <w:r>
        <w:rPr>
          <w:rFonts w:hint="eastAsia"/>
          <w:color w:val="000000" w:themeColor="text1"/>
          <w14:textFill>
            <w14:solidFill>
              <w14:schemeClr w14:val="tx1"/>
            </w14:solidFill>
          </w14:textFill>
        </w:rPr>
        <w:t>2、投标若某设备材料的品牌与厂家存在同名时，以品牌为先。</w:t>
      </w:r>
    </w:p>
    <w:p w14:paraId="7BFE6AD4">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五、工程管理的要求</w:t>
      </w:r>
    </w:p>
    <w:p w14:paraId="067E8958">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、本工程发包范围内的工程项目，未经采购人同意一律不得分包。一经发现立即取消承包资格，作违约处理，并承担由此引起的一切经济损失。</w:t>
      </w:r>
    </w:p>
    <w:p w14:paraId="079F755A">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2、承包供应商应严格按已确认设计图纸和施工技术方案组织施工，并无条件地接受采购人委托的监理单位对施工质量的监督和管理。</w:t>
      </w:r>
    </w:p>
    <w:p w14:paraId="452D0079">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商务需求</w:t>
      </w:r>
    </w:p>
    <w:p w14:paraId="40E0754D">
      <w:pPr>
        <w:tabs>
          <w:tab w:val="left" w:pos="8280"/>
        </w:tabs>
        <w:autoSpaceDE w:val="0"/>
        <w:autoSpaceDN w:val="0"/>
        <w:adjustRightInd w:val="0"/>
        <w:spacing w:line="360" w:lineRule="auto"/>
        <w:ind w:right="25"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1、合同价格形式：</w:t>
      </w:r>
      <w:r>
        <w:rPr>
          <w:rFonts w:hint="eastAsia" w:ascii="宋体" w:hAnsi="宋体"/>
          <w:color w:val="000000" w:themeColor="text1"/>
          <w:sz w:val="24"/>
          <w14:textFill>
            <w14:solidFill>
              <w14:schemeClr w14:val="tx1"/>
            </w14:solidFill>
          </w14:textFill>
        </w:rPr>
        <w:t>本工程采用固定结算率，本工程的结算率一次性包死，结算率=（投标总报价/</w:t>
      </w:r>
      <w:r>
        <w:rPr>
          <w:rFonts w:hint="eastAsia" w:ascii="宋体" w:hAnsi="宋体"/>
          <w:color w:val="0000FF"/>
          <w:sz w:val="24"/>
          <w:lang w:val="en-US" w:eastAsia="zh-CN"/>
        </w:rPr>
        <w:t>2783899</w:t>
      </w:r>
      <w:r>
        <w:rPr>
          <w:rFonts w:hint="eastAsia" w:ascii="宋体" w:hAnsi="宋体"/>
          <w:color w:val="000000" w:themeColor="text1"/>
          <w:sz w:val="24"/>
          <w14:textFill>
            <w14:solidFill>
              <w14:schemeClr w14:val="tx1"/>
            </w14:solidFill>
          </w14:textFill>
        </w:rPr>
        <w:t>）×100%。本工程按发包人提供的预算价结合固定结算率方式结算，结算时应按照发包人提供的预算文件的计量依据、组价方式、取费标准等进行结算，不得调整。</w:t>
      </w:r>
    </w:p>
    <w:p w14:paraId="2214A68B">
      <w:pPr>
        <w:snapToGrid w:val="0"/>
        <w:spacing w:line="460" w:lineRule="exact"/>
        <w:ind w:firstLine="420"/>
        <w:outlineLvl w:val="0"/>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kern w:val="0"/>
          <w:sz w:val="24"/>
          <w14:textFill>
            <w14:solidFill>
              <w14:schemeClr w14:val="tx1"/>
            </w14:solidFill>
          </w14:textFill>
        </w:rPr>
        <w:t>交货时间及地点：</w:t>
      </w:r>
      <w:r>
        <w:rPr>
          <w:rFonts w:hint="eastAsia" w:ascii="宋体" w:hAnsi="宋体"/>
          <w:color w:val="000000" w:themeColor="text1"/>
          <w:kern w:val="0"/>
          <w:sz w:val="24"/>
          <w14:textFill>
            <w14:solidFill>
              <w14:schemeClr w14:val="tx1"/>
            </w14:solidFill>
          </w14:textFill>
        </w:rPr>
        <w:t>同前面“招标项目一览表”内所填的相关内容。</w:t>
      </w:r>
    </w:p>
    <w:p w14:paraId="428A4C10">
      <w:pPr>
        <w:snapToGrid w:val="0"/>
        <w:spacing w:line="460" w:lineRule="exact"/>
        <w:ind w:firstLine="420"/>
        <w:outlineLvl w:val="0"/>
        <w:rPr>
          <w:rFonts w:ascii="宋体" w:hAnsi="宋体"/>
          <w:bCs/>
          <w:color w:val="000000" w:themeColor="text1"/>
          <w:sz w:val="24"/>
          <w14:textFill>
            <w14:solidFill>
              <w14:schemeClr w14:val="tx1"/>
            </w14:solidFill>
          </w14:textFill>
        </w:rPr>
      </w:pPr>
      <w:r>
        <w:rPr>
          <w:rFonts w:ascii="宋体" w:hAnsi="宋体"/>
          <w:b/>
          <w:color w:val="000000" w:themeColor="text1"/>
          <w:kern w:val="0"/>
          <w:sz w:val="24"/>
          <w14:textFill>
            <w14:solidFill>
              <w14:schemeClr w14:val="tx1"/>
            </w14:solidFill>
          </w14:textFill>
        </w:rPr>
        <w:t>2</w:t>
      </w:r>
      <w:r>
        <w:rPr>
          <w:rFonts w:hint="eastAsia" w:ascii="宋体" w:hAnsi="宋体"/>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付款条件：</w:t>
      </w:r>
      <w:r>
        <w:rPr>
          <w:rFonts w:hint="eastAsia" w:ascii="宋体" w:hAnsi="宋体"/>
          <w:bCs/>
          <w:color w:val="000000" w:themeColor="text1"/>
          <w:sz w:val="24"/>
          <w14:textFill>
            <w14:solidFill>
              <w14:schemeClr w14:val="tx1"/>
            </w14:solidFill>
          </w14:textFill>
        </w:rPr>
        <w:t>详见合同条款。</w:t>
      </w:r>
    </w:p>
    <w:p w14:paraId="1F09D9E5">
      <w:pP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58D184FB">
      <w:pPr>
        <w:rPr>
          <w:color w:val="000000" w:themeColor="text1"/>
          <w14:textFill>
            <w14:solidFill>
              <w14:schemeClr w14:val="tx1"/>
            </w14:solidFill>
          </w14:textFill>
        </w:rPr>
      </w:pPr>
    </w:p>
    <w:p w14:paraId="5ABC5BF3">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　政府采购合同主要条款</w:t>
      </w:r>
    </w:p>
    <w:p w14:paraId="150AAED1">
      <w:pPr>
        <w:spacing w:line="360" w:lineRule="auto"/>
        <w:jc w:val="center"/>
        <w:rPr>
          <w:rFonts w:ascii="宋体" w:hAnsi="宋体" w:cs="宋体"/>
          <w:sz w:val="52"/>
          <w:szCs w:val="52"/>
        </w:rPr>
      </w:pPr>
      <w:bookmarkStart w:id="3" w:name="_Toc22115"/>
      <w:bookmarkStart w:id="4" w:name="_Toc27248"/>
      <w:bookmarkStart w:id="5" w:name="_Toc20286"/>
      <w:r>
        <w:rPr>
          <w:rFonts w:hint="eastAsia" w:ascii="宋体" w:hAnsi="宋体" w:cs="宋体"/>
          <w:sz w:val="52"/>
          <w:szCs w:val="52"/>
        </w:rPr>
        <w:t>台州职业技术学院科技创新与成果转化中心改造项目</w:t>
      </w:r>
    </w:p>
    <w:p w14:paraId="666A50D0">
      <w:pPr>
        <w:spacing w:line="360" w:lineRule="auto"/>
        <w:rPr>
          <w:rFonts w:ascii="宋体" w:hAnsi="宋体" w:cs="宋体"/>
          <w:sz w:val="72"/>
          <w:szCs w:val="72"/>
        </w:rPr>
      </w:pPr>
    </w:p>
    <w:p w14:paraId="28432121">
      <w:pPr>
        <w:spacing w:line="360" w:lineRule="auto"/>
        <w:jc w:val="center"/>
        <w:rPr>
          <w:rFonts w:ascii="宋体" w:hAnsi="宋体" w:cs="宋体"/>
          <w:sz w:val="72"/>
          <w:szCs w:val="72"/>
        </w:rPr>
      </w:pPr>
      <w:r>
        <w:rPr>
          <w:rFonts w:hint="eastAsia" w:ascii="宋体" w:hAnsi="宋体" w:cs="宋体"/>
          <w:sz w:val="72"/>
          <w:szCs w:val="72"/>
        </w:rPr>
        <w:t>施工合同文本</w:t>
      </w:r>
    </w:p>
    <w:p w14:paraId="6FC66589">
      <w:pPr>
        <w:spacing w:line="360" w:lineRule="auto"/>
        <w:ind w:firstLine="880" w:firstLineChars="200"/>
        <w:rPr>
          <w:rFonts w:ascii="宋体" w:hAnsi="宋体" w:cs="宋体"/>
          <w:sz w:val="44"/>
          <w:szCs w:val="44"/>
        </w:rPr>
      </w:pPr>
    </w:p>
    <w:p w14:paraId="24BB25E8">
      <w:pPr>
        <w:spacing w:line="360" w:lineRule="auto"/>
        <w:ind w:firstLine="880" w:firstLineChars="200"/>
        <w:rPr>
          <w:rFonts w:ascii="宋体" w:hAnsi="宋体" w:cs="宋体"/>
          <w:sz w:val="44"/>
          <w:szCs w:val="44"/>
        </w:rPr>
      </w:pPr>
    </w:p>
    <w:p w14:paraId="38C0B181">
      <w:pPr>
        <w:spacing w:line="360" w:lineRule="auto"/>
        <w:ind w:firstLine="880" w:firstLineChars="200"/>
        <w:rPr>
          <w:rFonts w:ascii="宋体" w:hAnsi="宋体" w:cs="宋体"/>
          <w:sz w:val="44"/>
          <w:szCs w:val="44"/>
        </w:rPr>
      </w:pPr>
    </w:p>
    <w:p w14:paraId="57CA3B30">
      <w:pPr>
        <w:spacing w:line="360" w:lineRule="auto"/>
        <w:rPr>
          <w:rFonts w:ascii="宋体" w:hAnsi="宋体" w:cs="宋体"/>
          <w:b/>
          <w:sz w:val="44"/>
          <w:szCs w:val="44"/>
        </w:rPr>
      </w:pPr>
      <w:r>
        <w:rPr>
          <w:rFonts w:hint="eastAsia" w:ascii="宋体" w:hAnsi="宋体" w:cs="宋体"/>
          <w:sz w:val="44"/>
          <w:szCs w:val="44"/>
        </w:rPr>
        <w:t>发包人：台州职业技术学院            </w:t>
      </w:r>
    </w:p>
    <w:p w14:paraId="4A333243">
      <w:pPr>
        <w:pStyle w:val="4"/>
        <w:spacing w:before="0" w:after="0"/>
        <w:rPr>
          <w:rFonts w:ascii="宋体" w:hAnsi="宋体" w:eastAsia="宋体" w:cs="宋体"/>
          <w:sz w:val="44"/>
          <w:szCs w:val="44"/>
        </w:rPr>
      </w:pPr>
      <w:r>
        <w:rPr>
          <w:rFonts w:hint="eastAsia" w:ascii="宋体" w:hAnsi="宋体" w:eastAsia="宋体" w:cs="宋体"/>
          <w:sz w:val="44"/>
          <w:szCs w:val="44"/>
        </w:rPr>
        <w:t>承包人：</w:t>
      </w:r>
    </w:p>
    <w:p w14:paraId="4FDC8A60">
      <w:pPr>
        <w:pStyle w:val="4"/>
        <w:spacing w:before="0" w:after="0"/>
        <w:jc w:val="center"/>
        <w:rPr>
          <w:rFonts w:ascii="宋体" w:hAnsi="宋体" w:eastAsia="宋体" w:cs="宋体"/>
          <w:sz w:val="44"/>
          <w:szCs w:val="44"/>
        </w:rPr>
      </w:pPr>
    </w:p>
    <w:p w14:paraId="253C9CE8">
      <w:pPr>
        <w:pStyle w:val="4"/>
        <w:spacing w:before="0" w:after="0"/>
        <w:jc w:val="center"/>
        <w:rPr>
          <w:rFonts w:ascii="宋体" w:hAnsi="宋体" w:eastAsia="宋体" w:cs="宋体"/>
          <w:sz w:val="44"/>
          <w:szCs w:val="44"/>
        </w:rPr>
      </w:pPr>
      <w:r>
        <w:rPr>
          <w:rFonts w:hint="eastAsia" w:ascii="宋体" w:hAnsi="宋体" w:eastAsia="宋体" w:cs="宋体"/>
          <w:sz w:val="44"/>
          <w:szCs w:val="44"/>
        </w:rPr>
        <w:t>2024年   月</w:t>
      </w:r>
    </w:p>
    <w:p w14:paraId="14FC98F3">
      <w:pPr>
        <w:rPr>
          <w:rFonts w:ascii="宋体" w:hAnsi="宋体" w:cs="宋体"/>
          <w:szCs w:val="21"/>
          <w:u w:val="single"/>
        </w:rPr>
      </w:pPr>
      <w:r>
        <w:rPr>
          <w:rFonts w:hint="eastAsia" w:ascii="宋体" w:hAnsi="宋体" w:cs="宋体"/>
          <w:szCs w:val="21"/>
          <w:u w:val="single"/>
        </w:rPr>
        <w:br w:type="page"/>
      </w:r>
    </w:p>
    <w:p w14:paraId="0EE4ABE3">
      <w:pPr>
        <w:pStyle w:val="4"/>
        <w:jc w:val="center"/>
        <w:rPr>
          <w:rFonts w:ascii="宋体" w:hAnsi="宋体" w:eastAsia="宋体" w:cs="宋体"/>
        </w:rPr>
      </w:pPr>
      <w:r>
        <w:rPr>
          <w:rFonts w:hint="eastAsia" w:ascii="宋体" w:hAnsi="宋体" w:eastAsia="宋体" w:cs="宋体"/>
        </w:rPr>
        <w:t>第一部分    合同协议书</w:t>
      </w:r>
      <w:bookmarkEnd w:id="3"/>
      <w:bookmarkEnd w:id="4"/>
      <w:bookmarkEnd w:id="5"/>
    </w:p>
    <w:p w14:paraId="7B450B93">
      <w:pPr>
        <w:spacing w:line="360" w:lineRule="exact"/>
        <w:ind w:firstLine="420" w:firstLineChars="200"/>
        <w:rPr>
          <w:rFonts w:ascii="宋体" w:hAnsi="宋体" w:cs="宋体"/>
          <w:b/>
          <w:szCs w:val="21"/>
          <w:u w:val="single"/>
        </w:rPr>
      </w:pPr>
      <w:r>
        <w:rPr>
          <w:rFonts w:hint="eastAsia" w:ascii="宋体" w:hAnsi="宋体" w:cs="宋体"/>
          <w:szCs w:val="21"/>
        </w:rPr>
        <w:t>发包人（全称）：</w:t>
      </w:r>
      <w:r>
        <w:rPr>
          <w:rFonts w:hint="eastAsia" w:ascii="宋体" w:hAnsi="宋体" w:cs="宋体"/>
          <w:szCs w:val="21"/>
          <w:u w:val="single"/>
        </w:rPr>
        <w:t>台州职业技术学院            </w:t>
      </w:r>
    </w:p>
    <w:p w14:paraId="1A553684">
      <w:pPr>
        <w:spacing w:line="360" w:lineRule="exact"/>
        <w:ind w:firstLine="420" w:firstLineChars="200"/>
        <w:rPr>
          <w:rFonts w:ascii="宋体" w:hAnsi="宋体" w:cs="宋体"/>
          <w:b/>
          <w:szCs w:val="21"/>
          <w:u w:val="single"/>
        </w:rPr>
      </w:pPr>
      <w:r>
        <w:rPr>
          <w:rFonts w:hint="eastAsia" w:ascii="宋体" w:hAnsi="宋体" w:cs="宋体"/>
          <w:szCs w:val="21"/>
        </w:rPr>
        <w:t>承包人（全称）：</w:t>
      </w:r>
      <w:r>
        <w:rPr>
          <w:rFonts w:hint="eastAsia" w:ascii="宋体" w:hAnsi="宋体" w:cs="宋体"/>
          <w:szCs w:val="21"/>
          <w:u w:val="single"/>
        </w:rPr>
        <w:t xml:space="preserve">                              </w:t>
      </w:r>
    </w:p>
    <w:p w14:paraId="2F7AC313">
      <w:pPr>
        <w:spacing w:line="360" w:lineRule="exact"/>
        <w:ind w:firstLine="420" w:firstLineChars="20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台州职业技术学院科技创新与成果转化中心改造项目 </w:t>
      </w:r>
      <w:r>
        <w:rPr>
          <w:rFonts w:hint="eastAsia" w:ascii="宋体" w:hAnsi="宋体" w:cs="宋体"/>
          <w:szCs w:val="21"/>
        </w:rPr>
        <w:t>工程施工及有关事项协商一致，共同达成如下协议：</w:t>
      </w:r>
    </w:p>
    <w:p w14:paraId="573F4472">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一、工程概况</w:t>
      </w:r>
    </w:p>
    <w:p w14:paraId="39FD9574">
      <w:pPr>
        <w:spacing w:line="36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台州职业技术学院科技创新与成果转化中心改造项目 </w:t>
      </w:r>
      <w:r>
        <w:rPr>
          <w:rFonts w:hint="eastAsia" w:ascii="宋体" w:hAnsi="宋体" w:cs="宋体"/>
          <w:szCs w:val="21"/>
        </w:rPr>
        <w:t>。</w:t>
      </w:r>
    </w:p>
    <w:p w14:paraId="43CCF546">
      <w:pPr>
        <w:spacing w:line="360" w:lineRule="exact"/>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台州职业技术学院综合楼       </w:t>
      </w:r>
      <w:r>
        <w:rPr>
          <w:rFonts w:hint="eastAsia" w:ascii="宋体" w:hAnsi="宋体" w:cs="宋体"/>
          <w:szCs w:val="21"/>
        </w:rPr>
        <w:t>。</w:t>
      </w:r>
    </w:p>
    <w:p w14:paraId="2EDA7EAA">
      <w:pPr>
        <w:spacing w:line="360" w:lineRule="exact"/>
        <w:ind w:firstLine="411" w:firstLineChars="196"/>
        <w:rPr>
          <w:rFonts w:ascii="宋体" w:hAnsi="宋体" w:cs="宋体"/>
          <w:bCs/>
          <w:szCs w:val="21"/>
        </w:rPr>
      </w:pPr>
      <w:r>
        <w:rPr>
          <w:rFonts w:hint="eastAsia" w:ascii="宋体" w:hAnsi="宋体" w:cs="宋体"/>
          <w:bCs/>
          <w:szCs w:val="21"/>
        </w:rPr>
        <w:t>3．资金来源：</w:t>
      </w:r>
      <w:r>
        <w:rPr>
          <w:rFonts w:hint="eastAsia" w:ascii="宋体" w:hAnsi="宋体" w:cs="宋体"/>
          <w:szCs w:val="21"/>
          <w:u w:val="single"/>
        </w:rPr>
        <w:t xml:space="preserve">政府100%                    </w:t>
      </w:r>
      <w:r>
        <w:rPr>
          <w:rFonts w:hint="eastAsia" w:ascii="宋体" w:hAnsi="宋体" w:cs="宋体"/>
          <w:bCs/>
          <w:szCs w:val="21"/>
        </w:rPr>
        <w:t>。</w:t>
      </w:r>
    </w:p>
    <w:p w14:paraId="75CA1045">
      <w:pPr>
        <w:spacing w:line="360" w:lineRule="exact"/>
        <w:ind w:firstLine="411" w:firstLineChars="196"/>
        <w:rPr>
          <w:rFonts w:ascii="宋体" w:hAnsi="宋体" w:cs="宋体"/>
          <w:bCs/>
          <w:szCs w:val="21"/>
        </w:rPr>
      </w:pPr>
      <w:r>
        <w:rPr>
          <w:rFonts w:hint="eastAsia" w:ascii="宋体" w:hAnsi="宋体" w:cs="宋体"/>
          <w:bCs/>
          <w:szCs w:val="21"/>
        </w:rPr>
        <w:t>4．工程内容：</w:t>
      </w:r>
      <w:r>
        <w:rPr>
          <w:rFonts w:hint="eastAsia" w:ascii="宋体" w:hAnsi="宋体" w:cs="宋体"/>
          <w:szCs w:val="21"/>
          <w:u w:val="single"/>
        </w:rPr>
        <w:t xml:space="preserve">招标人提供的施工图纸所包含的 建筑装饰、安装工程等工程。 </w:t>
      </w:r>
    </w:p>
    <w:p w14:paraId="363B48BA">
      <w:pPr>
        <w:spacing w:line="360" w:lineRule="exact"/>
        <w:ind w:firstLine="411" w:firstLineChars="196"/>
        <w:rPr>
          <w:rFonts w:ascii="宋体" w:hAnsi="宋体" w:cs="宋体"/>
          <w:bCs/>
          <w:szCs w:val="21"/>
        </w:rPr>
      </w:pPr>
      <w:r>
        <w:rPr>
          <w:rFonts w:hint="eastAsia" w:ascii="宋体" w:hAnsi="宋体" w:cs="宋体"/>
          <w:szCs w:val="21"/>
        </w:rPr>
        <w:t>群体工程应附《承包人承揽工程项目一览表》（附件1）。</w:t>
      </w:r>
    </w:p>
    <w:p w14:paraId="4B8AB51A">
      <w:pPr>
        <w:spacing w:line="360" w:lineRule="exact"/>
        <w:ind w:firstLine="420" w:firstLineChars="200"/>
        <w:rPr>
          <w:rFonts w:ascii="宋体" w:hAnsi="宋体" w:cs="宋体"/>
          <w:bCs/>
          <w:szCs w:val="21"/>
        </w:rPr>
      </w:pPr>
      <w:r>
        <w:rPr>
          <w:rFonts w:hint="eastAsia" w:ascii="宋体" w:hAnsi="宋体" w:cs="宋体"/>
          <w:bCs/>
          <w:szCs w:val="21"/>
        </w:rPr>
        <w:t>5．工程承包范围：</w:t>
      </w:r>
    </w:p>
    <w:p w14:paraId="22BECD4A">
      <w:pPr>
        <w:spacing w:line="360" w:lineRule="exact"/>
        <w:ind w:firstLine="420" w:firstLineChars="200"/>
        <w:rPr>
          <w:rFonts w:ascii="宋体" w:hAnsi="宋体" w:cs="宋体"/>
          <w:szCs w:val="21"/>
        </w:rPr>
      </w:pPr>
      <w:r>
        <w:rPr>
          <w:rFonts w:hint="eastAsia" w:ascii="宋体" w:hAnsi="宋体" w:cs="宋体"/>
          <w:szCs w:val="21"/>
          <w:u w:val="single"/>
        </w:rPr>
        <w:t>发包人提供的施工图纸所包含的建筑装饰、安装工程等工程</w:t>
      </w:r>
      <w:r>
        <w:rPr>
          <w:rFonts w:hint="eastAsia" w:ascii="宋体" w:hAnsi="宋体" w:cs="宋体"/>
          <w:szCs w:val="21"/>
        </w:rPr>
        <w:t>。</w:t>
      </w:r>
    </w:p>
    <w:p w14:paraId="610F540C">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 xml:space="preserve">    二、合同工期</w:t>
      </w:r>
    </w:p>
    <w:p w14:paraId="490EF1CA">
      <w:pPr>
        <w:spacing w:line="36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日（以开工报告为准）。计划竣工日期：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2537FE4B">
      <w:pPr>
        <w:spacing w:line="3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w:t>
      </w:r>
      <w:r>
        <w:rPr>
          <w:rFonts w:hint="eastAsia" w:ascii="宋体" w:hAnsi="宋体" w:cs="宋体"/>
          <w:szCs w:val="21"/>
        </w:rPr>
        <w:t>天。工期总日历天数与根据前述计划开、竣工日期计算的工期天数不一致的，以工期总日历天数为准。</w:t>
      </w:r>
    </w:p>
    <w:p w14:paraId="0848F0B9">
      <w:pPr>
        <w:spacing w:line="360" w:lineRule="exact"/>
        <w:ind w:firstLine="420" w:firstLineChars="200"/>
        <w:rPr>
          <w:rFonts w:ascii="宋体" w:hAnsi="宋体" w:cs="宋体"/>
          <w:szCs w:val="21"/>
          <w:u w:val="single"/>
        </w:rPr>
      </w:pPr>
      <w:r>
        <w:rPr>
          <w:rFonts w:hint="eastAsia" w:ascii="宋体" w:hAnsi="宋体" w:cs="宋体"/>
          <w:szCs w:val="21"/>
        </w:rPr>
        <w:t xml:space="preserve">中间形象进度工期要求：  </w:t>
      </w:r>
      <w:r>
        <w:rPr>
          <w:rFonts w:hint="eastAsia" w:ascii="宋体" w:hAnsi="宋体" w:cs="宋体"/>
          <w:szCs w:val="21"/>
          <w:u w:val="single"/>
        </w:rPr>
        <w:t xml:space="preserve">                     /                 。</w:t>
      </w:r>
    </w:p>
    <w:p w14:paraId="640DF341">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三、质量标准</w:t>
      </w:r>
    </w:p>
    <w:p w14:paraId="6A7F2A3C">
      <w:pPr>
        <w:spacing w:line="360" w:lineRule="exact"/>
        <w:ind w:firstLine="459"/>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合格</w:t>
      </w:r>
      <w:r>
        <w:rPr>
          <w:rFonts w:hint="eastAsia" w:ascii="宋体" w:hAnsi="宋体" w:cs="宋体"/>
          <w:szCs w:val="21"/>
        </w:rPr>
        <w:t>标准。</w:t>
      </w:r>
    </w:p>
    <w:p w14:paraId="4CEDACC8">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四、签约合同价与合同价格形式</w:t>
      </w:r>
      <w:r>
        <w:rPr>
          <w:rFonts w:hint="eastAsia" w:ascii="宋体" w:hAnsi="宋体" w:eastAsia="宋体" w:cs="宋体"/>
          <w:b w:val="0"/>
          <w:sz w:val="21"/>
          <w:szCs w:val="21"/>
        </w:rPr>
        <w:tab/>
      </w:r>
    </w:p>
    <w:p w14:paraId="61AD3716">
      <w:pPr>
        <w:spacing w:line="360" w:lineRule="exact"/>
        <w:ind w:firstLine="420" w:firstLineChars="200"/>
        <w:rPr>
          <w:rFonts w:ascii="宋体" w:hAnsi="宋体" w:cs="宋体"/>
          <w:szCs w:val="21"/>
        </w:rPr>
      </w:pPr>
      <w:r>
        <w:rPr>
          <w:rFonts w:hint="eastAsia" w:ascii="宋体" w:hAnsi="宋体" w:cs="宋体"/>
          <w:szCs w:val="21"/>
        </w:rPr>
        <w:t>1．签约合同价为：</w:t>
      </w:r>
    </w:p>
    <w:p w14:paraId="5AA8500E">
      <w:pPr>
        <w:spacing w:line="3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41F1DB95">
      <w:pPr>
        <w:spacing w:line="360" w:lineRule="exact"/>
        <w:ind w:firstLine="420" w:firstLineChars="200"/>
        <w:rPr>
          <w:rFonts w:ascii="宋体" w:hAnsi="宋体" w:cs="宋体"/>
          <w:szCs w:val="21"/>
        </w:rPr>
      </w:pPr>
      <w:r>
        <w:rPr>
          <w:rFonts w:hint="eastAsia" w:ascii="宋体" w:hAnsi="宋体" w:cs="宋体"/>
          <w:szCs w:val="21"/>
        </w:rPr>
        <w:t>其中：</w:t>
      </w:r>
    </w:p>
    <w:p w14:paraId="2692F6C1">
      <w:pPr>
        <w:spacing w:line="360" w:lineRule="exact"/>
        <w:ind w:firstLine="420" w:firstLineChars="200"/>
        <w:rPr>
          <w:rFonts w:ascii="宋体" w:hAnsi="宋体" w:cs="宋体"/>
          <w:szCs w:val="21"/>
        </w:rPr>
      </w:pPr>
      <w:r>
        <w:rPr>
          <w:rFonts w:hint="eastAsia" w:ascii="宋体" w:hAnsi="宋体" w:cs="宋体"/>
          <w:szCs w:val="21"/>
        </w:rPr>
        <w:t>（1）安全文明施工费：</w:t>
      </w:r>
    </w:p>
    <w:p w14:paraId="7D780AA0">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0E53494F">
      <w:pPr>
        <w:spacing w:line="360" w:lineRule="exact"/>
        <w:ind w:firstLine="420" w:firstLineChars="200"/>
        <w:rPr>
          <w:rFonts w:ascii="宋体" w:hAnsi="宋体" w:cs="宋体"/>
          <w:szCs w:val="21"/>
        </w:rPr>
      </w:pPr>
      <w:r>
        <w:rPr>
          <w:rFonts w:hint="eastAsia" w:ascii="宋体" w:hAnsi="宋体" w:cs="宋体"/>
          <w:szCs w:val="21"/>
        </w:rPr>
        <w:t>（2）材料和工程设备暂估价金额：</w:t>
      </w:r>
    </w:p>
    <w:p w14:paraId="06C128D0">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5C5F837E">
      <w:pPr>
        <w:spacing w:line="360" w:lineRule="exact"/>
        <w:ind w:firstLine="420" w:firstLineChars="200"/>
        <w:rPr>
          <w:rFonts w:ascii="宋体" w:hAnsi="宋体" w:cs="宋体"/>
          <w:szCs w:val="21"/>
        </w:rPr>
      </w:pPr>
      <w:r>
        <w:rPr>
          <w:rFonts w:hint="eastAsia" w:ascii="宋体" w:hAnsi="宋体" w:cs="宋体"/>
          <w:szCs w:val="21"/>
        </w:rPr>
        <w:t>（3）专业工程暂估价金额：</w:t>
      </w:r>
    </w:p>
    <w:p w14:paraId="536E0F94">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47E6B5FE">
      <w:pPr>
        <w:spacing w:line="360" w:lineRule="exact"/>
        <w:ind w:firstLine="420" w:firstLineChars="200"/>
        <w:rPr>
          <w:rFonts w:ascii="宋体" w:hAnsi="宋体" w:cs="宋体"/>
          <w:szCs w:val="21"/>
        </w:rPr>
      </w:pPr>
      <w:r>
        <w:rPr>
          <w:rFonts w:hint="eastAsia" w:ascii="宋体" w:hAnsi="宋体" w:cs="宋体"/>
          <w:szCs w:val="21"/>
        </w:rPr>
        <w:t>（4）暂列金额：</w:t>
      </w:r>
    </w:p>
    <w:p w14:paraId="7BC795E5">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20FD96A5">
      <w:pPr>
        <w:spacing w:line="36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 </w:t>
      </w:r>
      <w:r>
        <w:rPr>
          <w:rFonts w:hint="eastAsia" w:ascii="宋体" w:hAnsi="宋体" w:cs="宋体"/>
          <w:szCs w:val="21"/>
        </w:rPr>
        <w:t>。</w:t>
      </w:r>
    </w:p>
    <w:p w14:paraId="56951801">
      <w:pPr>
        <w:spacing w:line="360" w:lineRule="exact"/>
        <w:ind w:firstLine="420" w:firstLineChars="2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3．发包人向承包人支付工程价款及其他应当支付的款项均须汇入承包人合同协议书中的银行账户，并开具增值税专用发票。</w:t>
      </w:r>
    </w:p>
    <w:p w14:paraId="69C2E547">
      <w:pPr>
        <w:spacing w:line="360" w:lineRule="exact"/>
        <w:ind w:firstLine="352" w:firstLineChars="168"/>
        <w:rPr>
          <w:rFonts w:ascii="宋体" w:hAnsi="宋体" w:cs="宋体"/>
          <w:szCs w:val="21"/>
        </w:rPr>
      </w:pPr>
      <w:r>
        <w:rPr>
          <w:rFonts w:hint="eastAsia" w:ascii="宋体" w:hAnsi="宋体" w:cs="宋体"/>
          <w:szCs w:val="21"/>
        </w:rPr>
        <w:t>根据《关于全面推开营业税改征增值税试点的通知》（</w:t>
      </w:r>
      <w:r>
        <w:rPr>
          <w:rFonts w:hint="eastAsia" w:ascii="宋体" w:hAnsi="宋体" w:cs="宋体"/>
          <w:bCs/>
          <w:szCs w:val="21"/>
          <w:shd w:val="clear" w:color="auto" w:fill="FFFFFF"/>
        </w:rPr>
        <w:t>财税〔2016〕36号</w:t>
      </w:r>
      <w:r>
        <w:rPr>
          <w:rFonts w:hint="eastAsia" w:ascii="宋体" w:hAnsi="宋体" w:cs="宋体"/>
          <w:szCs w:val="21"/>
          <w:shd w:val="clear" w:color="auto" w:fill="FFFFFF"/>
        </w:rPr>
        <w:t>）等有关规定，承包人完成本合同项下应税行为的计税方式按</w:t>
      </w:r>
      <w:r>
        <w:rPr>
          <w:rFonts w:hint="eastAsia" w:ascii="宋体" w:hAnsi="宋体" w:cs="宋体"/>
          <w:szCs w:val="21"/>
        </w:rPr>
        <w:t>以下第</w:t>
      </w:r>
      <w:r>
        <w:rPr>
          <w:rFonts w:hint="eastAsia" w:ascii="宋体" w:hAnsi="宋体" w:cs="宋体"/>
          <w:szCs w:val="21"/>
          <w:u w:val="single"/>
          <w:shd w:val="clear" w:color="auto" w:fill="FFFFFF"/>
        </w:rPr>
        <w:t xml:space="preserve">  （1）  </w:t>
      </w:r>
      <w:r>
        <w:rPr>
          <w:rFonts w:hint="eastAsia" w:ascii="宋体" w:hAnsi="宋体" w:cs="宋体"/>
          <w:szCs w:val="21"/>
          <w:shd w:val="clear" w:color="auto" w:fill="FFFFFF"/>
        </w:rPr>
        <w:t>种方法，并与</w:t>
      </w:r>
      <w:r>
        <w:rPr>
          <w:rFonts w:hint="eastAsia" w:ascii="宋体" w:hAnsi="宋体" w:cs="宋体"/>
          <w:szCs w:val="21"/>
        </w:rPr>
        <w:t>工程计价时采用的计税方法一致。</w:t>
      </w:r>
    </w:p>
    <w:p w14:paraId="6B9AC821">
      <w:pPr>
        <w:spacing w:line="360" w:lineRule="exact"/>
        <w:ind w:firstLine="352" w:firstLineChars="168"/>
        <w:rPr>
          <w:rFonts w:ascii="宋体" w:hAnsi="宋体" w:cs="宋体"/>
          <w:szCs w:val="21"/>
        </w:rPr>
      </w:pPr>
      <w:r>
        <w:rPr>
          <w:rFonts w:hint="eastAsia" w:ascii="宋体" w:hAnsi="宋体" w:cs="宋体"/>
          <w:szCs w:val="21"/>
          <w:shd w:val="clear" w:color="auto" w:fill="FFFFFF"/>
        </w:rPr>
        <w:t>（1）一般计税方法。</w:t>
      </w:r>
    </w:p>
    <w:p w14:paraId="0D6A7A27">
      <w:pPr>
        <w:spacing w:line="360" w:lineRule="exact"/>
        <w:ind w:firstLine="352" w:firstLineChars="168"/>
        <w:rPr>
          <w:rFonts w:ascii="宋体" w:hAnsi="宋体" w:cs="宋体"/>
          <w:szCs w:val="21"/>
        </w:rPr>
      </w:pPr>
      <w:r>
        <w:rPr>
          <w:rFonts w:hint="eastAsia" w:ascii="宋体" w:hAnsi="宋体" w:cs="宋体"/>
          <w:szCs w:val="21"/>
        </w:rPr>
        <w:t>（2）本工程为</w:t>
      </w:r>
      <w:r>
        <w:rPr>
          <w:rFonts w:hint="eastAsia" w:ascii="宋体" w:hAnsi="宋体" w:cs="宋体"/>
          <w:szCs w:val="21"/>
          <w:u w:val="single"/>
        </w:rPr>
        <w:t xml:space="preserve">   甲供   </w:t>
      </w:r>
      <w:r>
        <w:rPr>
          <w:rFonts w:hint="eastAsia" w:ascii="宋体" w:hAnsi="宋体" w:cs="宋体"/>
          <w:szCs w:val="21"/>
        </w:rPr>
        <w:t>工程，</w:t>
      </w:r>
      <w:r>
        <w:rPr>
          <w:rFonts w:hint="eastAsia" w:ascii="宋体" w:hAnsi="宋体" w:cs="宋体"/>
          <w:szCs w:val="21"/>
          <w:shd w:val="clear" w:color="auto" w:fill="FFFFFF"/>
        </w:rPr>
        <w:t>按简易计税方法。</w:t>
      </w:r>
    </w:p>
    <w:p w14:paraId="1E96FAF1">
      <w:pPr>
        <w:pStyle w:val="9"/>
        <w:spacing w:before="0" w:after="0" w:line="360" w:lineRule="exact"/>
        <w:rPr>
          <w:rFonts w:ascii="宋体" w:hAnsi="宋体" w:eastAsia="宋体" w:cs="宋体"/>
          <w:b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五、项目经理</w:t>
      </w:r>
    </w:p>
    <w:p w14:paraId="08CCF984">
      <w:pPr>
        <w:spacing w:line="3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14:paraId="28B78DDA">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六、合同文件构成</w:t>
      </w:r>
    </w:p>
    <w:p w14:paraId="4BAFADF8">
      <w:pPr>
        <w:spacing w:line="3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4D2C3E9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（1）中标通知书（如果有）；</w:t>
      </w:r>
    </w:p>
    <w:p w14:paraId="50BD83D0">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（2）投标函及其附录（如果有）；</w:t>
      </w:r>
    </w:p>
    <w:p w14:paraId="63DDFF6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（3）专用合同条款及其附件；</w:t>
      </w:r>
    </w:p>
    <w:p w14:paraId="58B5CAF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（4）通用合同条款；</w:t>
      </w:r>
    </w:p>
    <w:p w14:paraId="5D38A38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（5）技术标准和要求；</w:t>
      </w:r>
    </w:p>
    <w:p w14:paraId="7903A17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（6）图纸；</w:t>
      </w:r>
    </w:p>
    <w:p w14:paraId="1B34D30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（7）已标价工程量清单或预算书；</w:t>
      </w:r>
    </w:p>
    <w:p w14:paraId="45C215C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（8）其他合同文件。</w:t>
      </w:r>
    </w:p>
    <w:p w14:paraId="305BA42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在合同订立及履行过程中形成的与合同有关的文件均构成合同文件组成部分。</w:t>
      </w:r>
    </w:p>
    <w:p w14:paraId="2D842C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12F831ED">
      <w:pPr>
        <w:pStyle w:val="9"/>
        <w:spacing w:before="0" w:after="0" w:line="360" w:lineRule="exact"/>
        <w:ind w:firstLine="315" w:firstLineChars="150"/>
        <w:rPr>
          <w:rFonts w:ascii="宋体" w:hAnsi="宋体" w:eastAsia="宋体" w:cs="宋体"/>
          <w:b w:val="0"/>
          <w:sz w:val="21"/>
          <w:szCs w:val="21"/>
        </w:rPr>
      </w:pPr>
      <w:r>
        <w:rPr>
          <w:rFonts w:hint="eastAsia" w:ascii="宋体" w:hAnsi="宋体" w:eastAsia="宋体" w:cs="宋体"/>
          <w:b w:val="0"/>
          <w:sz w:val="21"/>
          <w:szCs w:val="21"/>
        </w:rPr>
        <w:t>七、创优目标</w:t>
      </w:r>
    </w:p>
    <w:p w14:paraId="18C159D3">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工程质量创</w:t>
      </w:r>
      <w:r>
        <w:rPr>
          <w:rFonts w:hint="eastAsia" w:ascii="宋体" w:hAnsi="宋体" w:cs="宋体"/>
          <w:szCs w:val="21"/>
          <w:u w:val="single"/>
        </w:rPr>
        <w:t xml:space="preserve">   /    。</w:t>
      </w:r>
    </w:p>
    <w:p w14:paraId="3D921832">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安全文明施工创</w:t>
      </w:r>
      <w:r>
        <w:rPr>
          <w:rFonts w:hint="eastAsia" w:ascii="宋体" w:hAnsi="宋体" w:cs="宋体"/>
          <w:szCs w:val="21"/>
          <w:u w:val="single"/>
        </w:rPr>
        <w:t xml:space="preserve">  /  。</w:t>
      </w:r>
    </w:p>
    <w:p w14:paraId="642DD18E">
      <w:pPr>
        <w:pStyle w:val="9"/>
        <w:spacing w:before="0" w:after="0" w:line="360" w:lineRule="exact"/>
        <w:rPr>
          <w:rFonts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 w:val="0"/>
          <w:sz w:val="21"/>
          <w:szCs w:val="21"/>
        </w:rPr>
        <w:t xml:space="preserve"> 八、承诺</w:t>
      </w:r>
    </w:p>
    <w:p w14:paraId="2CBF63A4">
      <w:pPr>
        <w:spacing w:line="3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3034CAF6">
      <w:pPr>
        <w:spacing w:line="3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1BF8D4CB">
      <w:pPr>
        <w:tabs>
          <w:tab w:val="left" w:pos="0"/>
        </w:tabs>
        <w:spacing w:line="360" w:lineRule="exact"/>
        <w:ind w:firstLine="420" w:firstLineChars="200"/>
        <w:rPr>
          <w:rFonts w:ascii="宋体" w:hAnsi="宋体" w:cs="宋体"/>
          <w:szCs w:val="21"/>
        </w:rPr>
      </w:pPr>
      <w:r>
        <w:rPr>
          <w:rFonts w:hint="eastAsia" w:ascii="宋体" w:hAnsi="宋体" w:cs="宋体"/>
          <w:bCs/>
          <w:szCs w:val="21"/>
        </w:rPr>
        <w:t xml:space="preserve">3. </w:t>
      </w:r>
      <w:r>
        <w:rPr>
          <w:rFonts w:hint="eastAsia" w:ascii="宋体" w:hAnsi="宋体" w:cs="宋体"/>
          <w:szCs w:val="21"/>
        </w:rPr>
        <w:t>承包人</w:t>
      </w:r>
      <w:r>
        <w:rPr>
          <w:rFonts w:hint="eastAsia" w:ascii="宋体" w:hAnsi="宋体" w:cs="宋体"/>
          <w:bCs/>
          <w:szCs w:val="21"/>
        </w:rPr>
        <w:t>承诺</w:t>
      </w:r>
      <w:r>
        <w:rPr>
          <w:rFonts w:hint="eastAsia" w:ascii="宋体" w:hAnsi="宋体" w:cs="宋体"/>
          <w:szCs w:val="21"/>
        </w:rPr>
        <w:t>不拖欠工人工资，因拖欠工资造成的一切后果，均由承包人承担，发包人有权将应拔付的工程款，先代付工资。</w:t>
      </w:r>
    </w:p>
    <w:p w14:paraId="453D5CB9">
      <w:pPr>
        <w:spacing w:line="3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4．发包人和承包人通过招投标形式签订合同的，双方理解并承诺不再就同一工程另行签订与合同实质性内容相背离的协议。另行签订的协议不能作为结算依据。</w:t>
      </w:r>
    </w:p>
    <w:p w14:paraId="141BEFEF">
      <w:pPr>
        <w:spacing w:line="360" w:lineRule="exact"/>
        <w:rPr>
          <w:rFonts w:ascii="宋体" w:hAnsi="宋体" w:cs="宋体"/>
          <w:bCs/>
          <w:szCs w:val="21"/>
        </w:rPr>
      </w:pPr>
      <w:r>
        <w:rPr>
          <w:rFonts w:hint="eastAsia" w:ascii="宋体" w:hAnsi="宋体" w:cs="宋体"/>
          <w:szCs w:val="21"/>
        </w:rPr>
        <w:t xml:space="preserve">    九、词语含义</w:t>
      </w:r>
    </w:p>
    <w:p w14:paraId="6E86BE5E">
      <w:pPr>
        <w:spacing w:line="3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25B69454">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十、签订时间</w:t>
      </w:r>
    </w:p>
    <w:p w14:paraId="1038379B">
      <w:pPr>
        <w:spacing w:line="3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2024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10AC1746">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十一、签订地点</w:t>
      </w:r>
    </w:p>
    <w:p w14:paraId="7D2E73C0">
      <w:pPr>
        <w:spacing w:line="3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椒江区              </w:t>
      </w:r>
      <w:r>
        <w:rPr>
          <w:rFonts w:hint="eastAsia" w:ascii="宋体" w:hAnsi="宋体" w:cs="宋体"/>
          <w:bCs/>
          <w:szCs w:val="21"/>
        </w:rPr>
        <w:t>签订。</w:t>
      </w:r>
    </w:p>
    <w:p w14:paraId="158ABC2B">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十二、补充协议</w:t>
      </w:r>
    </w:p>
    <w:p w14:paraId="5302BC24">
      <w:pPr>
        <w:spacing w:line="3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7ACE0867">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十三、合同生效</w:t>
      </w:r>
    </w:p>
    <w:p w14:paraId="32425B12">
      <w:pPr>
        <w:spacing w:line="3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双方法定代表人或委托代理人签字并加盖公章后生效。</w:t>
      </w:r>
    </w:p>
    <w:p w14:paraId="68D98322">
      <w:pPr>
        <w:pStyle w:val="9"/>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十四、合同份数</w:t>
      </w:r>
    </w:p>
    <w:p w14:paraId="12E0B3F0">
      <w:pPr>
        <w:spacing w:line="360" w:lineRule="exact"/>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陆  </w:t>
      </w:r>
      <w:r>
        <w:rPr>
          <w:rFonts w:hint="eastAsia" w:ascii="宋体" w:hAnsi="宋体" w:cs="宋体"/>
          <w:bCs/>
          <w:szCs w:val="21"/>
        </w:rPr>
        <w:t>份，均具有同等法律效力，发包人执</w:t>
      </w:r>
      <w:r>
        <w:rPr>
          <w:rFonts w:hint="eastAsia" w:ascii="宋体" w:hAnsi="宋体" w:cs="宋体"/>
          <w:bCs/>
          <w:szCs w:val="21"/>
          <w:u w:val="single"/>
        </w:rPr>
        <w:t xml:space="preserve">  叁  </w:t>
      </w:r>
      <w:r>
        <w:rPr>
          <w:rFonts w:hint="eastAsia" w:ascii="宋体" w:hAnsi="宋体" w:cs="宋体"/>
          <w:bCs/>
          <w:szCs w:val="21"/>
        </w:rPr>
        <w:t>份，承包人执</w:t>
      </w:r>
      <w:r>
        <w:rPr>
          <w:rFonts w:hint="eastAsia" w:ascii="宋体" w:hAnsi="宋体" w:cs="宋体"/>
          <w:bCs/>
          <w:szCs w:val="21"/>
          <w:u w:val="single"/>
        </w:rPr>
        <w:t xml:space="preserve">  贰  </w:t>
      </w:r>
      <w:r>
        <w:rPr>
          <w:rFonts w:hint="eastAsia" w:ascii="宋体" w:hAnsi="宋体" w:cs="宋体"/>
          <w:bCs/>
          <w:szCs w:val="21"/>
        </w:rPr>
        <w:t xml:space="preserve">份，合同备案机构执 </w:t>
      </w:r>
      <w:r>
        <w:rPr>
          <w:rFonts w:hint="eastAsia" w:ascii="宋体" w:hAnsi="宋体" w:cs="宋体"/>
          <w:bCs/>
          <w:szCs w:val="21"/>
          <w:u w:val="single"/>
        </w:rPr>
        <w:t xml:space="preserve">   壹   </w:t>
      </w:r>
      <w:r>
        <w:rPr>
          <w:rFonts w:hint="eastAsia" w:ascii="宋体" w:hAnsi="宋体" w:cs="宋体"/>
          <w:bCs/>
          <w:szCs w:val="21"/>
        </w:rPr>
        <w:t>份。</w:t>
      </w:r>
    </w:p>
    <w:p w14:paraId="65749307">
      <w:pPr>
        <w:spacing w:line="360" w:lineRule="exact"/>
        <w:rPr>
          <w:rFonts w:ascii="宋体" w:hAnsi="宋体" w:cs="宋体"/>
          <w:bCs/>
          <w:szCs w:val="21"/>
        </w:rPr>
      </w:pPr>
    </w:p>
    <w:p w14:paraId="25DD02B0">
      <w:pPr>
        <w:spacing w:line="360" w:lineRule="exact"/>
        <w:rPr>
          <w:rFonts w:ascii="宋体" w:hAnsi="宋体" w:cs="宋体"/>
          <w:szCs w:val="21"/>
        </w:rPr>
      </w:pPr>
      <w:r>
        <w:rPr>
          <w:rFonts w:hint="eastAsia" w:ascii="宋体" w:hAnsi="宋体" w:cs="宋体"/>
          <w:szCs w:val="21"/>
        </w:rPr>
        <w:t>发包人：  （公章）                 承包人：  （公章）</w:t>
      </w:r>
    </w:p>
    <w:p w14:paraId="2E46E121">
      <w:pPr>
        <w:spacing w:line="360" w:lineRule="exact"/>
        <w:rPr>
          <w:rFonts w:ascii="宋体" w:hAnsi="宋体" w:cs="宋体"/>
          <w:szCs w:val="21"/>
          <w:u w:val="single"/>
        </w:rPr>
      </w:pPr>
    </w:p>
    <w:p w14:paraId="63135662">
      <w:pPr>
        <w:spacing w:line="360" w:lineRule="exact"/>
        <w:rPr>
          <w:rFonts w:ascii="宋体" w:hAnsi="宋体" w:cs="宋体"/>
          <w:szCs w:val="21"/>
          <w:u w:val="single"/>
        </w:rPr>
      </w:pPr>
    </w:p>
    <w:p w14:paraId="4B99FB40">
      <w:pPr>
        <w:spacing w:line="360" w:lineRule="exact"/>
        <w:rPr>
          <w:rFonts w:ascii="宋体" w:hAnsi="宋体" w:cs="宋体"/>
          <w:szCs w:val="21"/>
        </w:rPr>
      </w:pPr>
      <w:r>
        <w:rPr>
          <w:rFonts w:hint="eastAsia" w:ascii="宋体" w:hAnsi="宋体" w:cs="宋体"/>
          <w:szCs w:val="21"/>
        </w:rPr>
        <w:t>法定代表人或其委托代理人：         法定代表人或其委托代理人：</w:t>
      </w:r>
    </w:p>
    <w:p w14:paraId="3D007CC0">
      <w:pPr>
        <w:spacing w:line="360" w:lineRule="exact"/>
        <w:rPr>
          <w:rFonts w:ascii="宋体" w:hAnsi="宋体" w:cs="宋体"/>
          <w:szCs w:val="21"/>
        </w:rPr>
      </w:pPr>
      <w:r>
        <w:rPr>
          <w:rFonts w:hint="eastAsia" w:ascii="宋体" w:hAnsi="宋体" w:cs="宋体"/>
          <w:szCs w:val="21"/>
        </w:rPr>
        <w:t>（签字）                          （签字）</w:t>
      </w:r>
    </w:p>
    <w:p w14:paraId="1BE2CE4D">
      <w:pPr>
        <w:tabs>
          <w:tab w:val="left" w:pos="4410"/>
        </w:tabs>
        <w:spacing w:line="360" w:lineRule="exact"/>
        <w:rPr>
          <w:rFonts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14:paraId="69E7A8F4">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w:t>
      </w:r>
    </w:p>
    <w:p w14:paraId="4BAA3981">
      <w:pPr>
        <w:spacing w:line="36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 </w:t>
      </w:r>
    </w:p>
    <w:p w14:paraId="314FC6C5">
      <w:pPr>
        <w:spacing w:line="36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14:paraId="4FF4E5AC">
      <w:pPr>
        <w:spacing w:line="36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1ECB42FC">
      <w:pPr>
        <w:spacing w:line="3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    </w:t>
      </w:r>
    </w:p>
    <w:p w14:paraId="54BDC316">
      <w:pPr>
        <w:spacing w:line="3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  </w:t>
      </w:r>
    </w:p>
    <w:p w14:paraId="610F81DE">
      <w:pPr>
        <w:spacing w:line="360" w:lineRule="exact"/>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  </w:t>
      </w:r>
    </w:p>
    <w:p w14:paraId="734AD230">
      <w:pPr>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w:t>
      </w:r>
      <w:r>
        <w:rPr>
          <w:rFonts w:hint="eastAsia" w:ascii="宋体" w:hAnsi="宋体" w:cs="宋体"/>
          <w:w w:val="70"/>
          <w:sz w:val="24"/>
          <w:u w:val="single"/>
        </w:rPr>
        <w:t xml:space="preserve"> </w:t>
      </w:r>
      <w:r>
        <w:rPr>
          <w:rFonts w:hint="eastAsia" w:ascii="宋体" w:hAnsi="宋体" w:cs="宋体"/>
          <w:szCs w:val="21"/>
          <w:u w:val="single"/>
        </w:rPr>
        <w:t></w:t>
      </w:r>
    </w:p>
    <w:p w14:paraId="19A51682">
      <w:pPr>
        <w:spacing w:line="360" w:lineRule="exact"/>
        <w:rPr>
          <w:rFonts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    </w:t>
      </w:r>
    </w:p>
    <w:p w14:paraId="5AB84FA2">
      <w:pPr>
        <w:spacing w:line="360" w:lineRule="exact"/>
        <w:rPr>
          <w:rFonts w:ascii="宋体" w:hAnsi="宋体" w:cs="宋体"/>
          <w:szCs w:val="21"/>
        </w:rPr>
      </w:pPr>
      <w:r>
        <w:rPr>
          <w:rFonts w:hint="eastAsia" w:ascii="宋体" w:hAnsi="宋体" w:cs="宋体"/>
          <w:szCs w:val="21"/>
        </w:rPr>
        <w:t xml:space="preserve"> </w:t>
      </w:r>
    </w:p>
    <w:p w14:paraId="78C0D8DE">
      <w:pPr>
        <w:pStyle w:val="74"/>
        <w:tabs>
          <w:tab w:val="left" w:pos="0"/>
        </w:tabs>
        <w:jc w:val="center"/>
        <w:outlineLvl w:val="9"/>
        <w:rPr>
          <w:rFonts w:ascii="宋体" w:hAnsi="宋体" w:eastAsia="宋体"/>
          <w:sz w:val="21"/>
          <w:szCs w:val="21"/>
        </w:rPr>
      </w:pPr>
    </w:p>
    <w:p w14:paraId="667EFC9A">
      <w:pPr>
        <w:pStyle w:val="74"/>
        <w:tabs>
          <w:tab w:val="left" w:pos="0"/>
        </w:tabs>
        <w:jc w:val="left"/>
        <w:outlineLvl w:val="9"/>
        <w:rPr>
          <w:rFonts w:ascii="宋体" w:hAnsi="宋体" w:eastAsia="宋体"/>
          <w:sz w:val="21"/>
          <w:szCs w:val="21"/>
        </w:rPr>
      </w:pPr>
      <w:r>
        <w:rPr>
          <w:rFonts w:hint="eastAsia" w:ascii="宋体" w:hAnsi="宋体" w:eastAsia="宋体"/>
          <w:sz w:val="21"/>
          <w:szCs w:val="21"/>
        </w:rPr>
        <w:t>见证章（盖章）</w:t>
      </w:r>
    </w:p>
    <w:p w14:paraId="17A0E91F">
      <w:pPr>
        <w:rPr>
          <w:rFonts w:ascii="宋体" w:hAnsi="宋体" w:cs="宋体"/>
          <w:b/>
          <w:sz w:val="30"/>
          <w:szCs w:val="30"/>
        </w:rPr>
      </w:pPr>
      <w:r>
        <w:rPr>
          <w:rFonts w:hint="eastAsia" w:ascii="宋体" w:hAnsi="宋体" w:cs="宋体"/>
          <w:b/>
          <w:sz w:val="30"/>
          <w:szCs w:val="30"/>
        </w:rPr>
        <w:br w:type="page"/>
      </w:r>
    </w:p>
    <w:p w14:paraId="69059916">
      <w:pPr>
        <w:pStyle w:val="4"/>
        <w:jc w:val="center"/>
        <w:rPr>
          <w:rFonts w:ascii="宋体" w:hAnsi="宋体" w:eastAsia="宋体" w:cs="宋体"/>
        </w:rPr>
      </w:pPr>
      <w:bookmarkStart w:id="6" w:name="_Toc31992"/>
      <w:bookmarkStart w:id="7" w:name="_Toc31144"/>
      <w:bookmarkStart w:id="8" w:name="_Toc17562"/>
      <w:r>
        <w:rPr>
          <w:rFonts w:hint="eastAsia" w:ascii="宋体" w:hAnsi="宋体" w:eastAsia="宋体" w:cs="宋体"/>
        </w:rPr>
        <w:t>第二部分   通用合同条款（略）</w:t>
      </w:r>
      <w:bookmarkEnd w:id="6"/>
      <w:bookmarkEnd w:id="7"/>
      <w:bookmarkEnd w:id="8"/>
    </w:p>
    <w:p w14:paraId="253B7DA5">
      <w:pPr>
        <w:spacing w:line="360" w:lineRule="exact"/>
        <w:jc w:val="center"/>
        <w:rPr>
          <w:rFonts w:ascii="宋体" w:hAnsi="宋体" w:cs="宋体"/>
        </w:rPr>
      </w:pPr>
      <w:r>
        <w:rPr>
          <w:rFonts w:hint="eastAsia" w:ascii="宋体" w:hAnsi="宋体" w:cs="宋体"/>
          <w:szCs w:val="21"/>
        </w:rPr>
        <w:br w:type="page"/>
      </w:r>
      <w:bookmarkStart w:id="9" w:name="_Toc26931"/>
      <w:bookmarkStart w:id="10" w:name="_Toc18311"/>
      <w:bookmarkStart w:id="11" w:name="_Toc351203652"/>
      <w:r>
        <w:rPr>
          <w:rFonts w:hint="eastAsia" w:ascii="宋体" w:hAnsi="宋体" w:cs="宋体"/>
          <w:bCs/>
          <w:sz w:val="30"/>
          <w:szCs w:val="30"/>
        </w:rPr>
        <w:t>第三部分    专用合同条款</w:t>
      </w:r>
      <w:bookmarkEnd w:id="9"/>
      <w:bookmarkEnd w:id="10"/>
    </w:p>
    <w:p w14:paraId="405054A3">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 一般约定</w:t>
      </w:r>
    </w:p>
    <w:p w14:paraId="3CA88641">
      <w:pPr>
        <w:spacing w:line="360" w:lineRule="exact"/>
        <w:ind w:firstLine="420" w:firstLineChars="200"/>
        <w:rPr>
          <w:rFonts w:ascii="宋体" w:hAnsi="宋体" w:cs="宋体"/>
          <w:szCs w:val="21"/>
        </w:rPr>
      </w:pPr>
      <w:r>
        <w:rPr>
          <w:rFonts w:hint="eastAsia" w:ascii="宋体" w:hAnsi="宋体" w:cs="宋体"/>
          <w:szCs w:val="21"/>
        </w:rPr>
        <w:t>1.1 词语定义</w:t>
      </w:r>
    </w:p>
    <w:p w14:paraId="3899CACD">
      <w:pPr>
        <w:spacing w:line="360" w:lineRule="exact"/>
        <w:ind w:firstLine="420" w:firstLineChars="200"/>
        <w:rPr>
          <w:rFonts w:ascii="宋体" w:hAnsi="宋体" w:cs="宋体"/>
          <w:szCs w:val="21"/>
        </w:rPr>
      </w:pPr>
      <w:r>
        <w:rPr>
          <w:rFonts w:hint="eastAsia" w:ascii="宋体" w:hAnsi="宋体" w:cs="宋体"/>
          <w:szCs w:val="21"/>
        </w:rPr>
        <w:t>1.1.1合同</w:t>
      </w:r>
    </w:p>
    <w:p w14:paraId="2F8A0164">
      <w:pPr>
        <w:spacing w:line="360" w:lineRule="exact"/>
        <w:ind w:firstLine="420" w:firstLineChars="200"/>
        <w:rPr>
          <w:rFonts w:ascii="宋体" w:hAnsi="宋体" w:cs="宋体"/>
          <w:szCs w:val="21"/>
          <w:u w:val="single"/>
        </w:rPr>
      </w:pPr>
      <w:r>
        <w:rPr>
          <w:rFonts w:hint="eastAsia" w:ascii="宋体" w:hAnsi="宋体" w:cs="宋体"/>
          <w:szCs w:val="21"/>
        </w:rPr>
        <w:t>1.1.1.10其他合同文件包括：</w:t>
      </w:r>
      <w:r>
        <w:rPr>
          <w:rFonts w:hint="eastAsia" w:ascii="宋体" w:hAnsi="宋体" w:cs="宋体"/>
          <w:szCs w:val="21"/>
          <w:u w:val="single"/>
        </w:rPr>
        <w:t>工程招标文件、《关于进一步加强政府投资项目管理的若干意见的通知》（台政发〔2014〕26号）政府性投资项目，根据当地政府部门规定的工程变更办理程序文件填写）、除投标函及其附录和已标价工程量清单或预算书外的其它投标文件、监理合同、经批准的施工组织设计、专项施工方案。</w:t>
      </w:r>
    </w:p>
    <w:p w14:paraId="7D983DBC">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14:paraId="094AEFFA">
      <w:pPr>
        <w:spacing w:line="360" w:lineRule="exact"/>
        <w:ind w:firstLine="420" w:firstLineChars="200"/>
        <w:rPr>
          <w:rFonts w:ascii="宋体" w:hAnsi="宋体" w:cs="宋体"/>
          <w:szCs w:val="21"/>
        </w:rPr>
      </w:pPr>
      <w:r>
        <w:rPr>
          <w:rFonts w:hint="eastAsia" w:ascii="宋体" w:hAnsi="宋体" w:cs="宋体"/>
          <w:szCs w:val="21"/>
        </w:rPr>
        <w:t>1.1.2.4监理人：</w:t>
      </w:r>
    </w:p>
    <w:p w14:paraId="7C5EAA7D">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14:paraId="53506286">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1BD57C15">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0F8EAC6A">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14380CFB">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14:paraId="228A976D">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 设计人：</w:t>
      </w:r>
    </w:p>
    <w:p w14:paraId="066019B6">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w:t>
      </w:r>
      <w:r>
        <w:rPr>
          <w:rFonts w:hint="eastAsia" w:ascii="宋体" w:hAnsi="宋体" w:cs="宋体"/>
          <w:color w:val="000000" w:themeColor="text1"/>
          <w:szCs w:val="21"/>
          <w:u w:val="single"/>
          <w14:textFill>
            <w14:solidFill>
              <w14:schemeClr w14:val="tx1"/>
            </w14:solidFill>
          </w14:textFill>
        </w:rPr>
        <w:t xml:space="preserve">中滕勘察设计有限公司            </w:t>
      </w:r>
      <w:r>
        <w:rPr>
          <w:rFonts w:hint="eastAsia" w:ascii="宋体" w:hAnsi="宋体" w:cs="宋体"/>
          <w:color w:val="000000" w:themeColor="text1"/>
          <w:szCs w:val="21"/>
          <w14:textFill>
            <w14:solidFill>
              <w14:schemeClr w14:val="tx1"/>
            </w14:solidFill>
          </w14:textFill>
        </w:rPr>
        <w:t>；</w:t>
      </w:r>
    </w:p>
    <w:p w14:paraId="5574586D">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资质类别和等级：</w:t>
      </w:r>
      <w:r>
        <w:rPr>
          <w:rFonts w:hint="eastAsia" w:ascii="宋体" w:hAnsi="宋体" w:cs="宋体"/>
          <w:color w:val="000000" w:themeColor="text1"/>
          <w:szCs w:val="21"/>
          <w:u w:val="single"/>
          <w14:textFill>
            <w14:solidFill>
              <w14:schemeClr w14:val="tx1"/>
            </w14:solidFill>
          </w14:textFill>
        </w:rPr>
        <w:t>建筑行业(建筑工程)甲级   </w:t>
      </w:r>
      <w:r>
        <w:rPr>
          <w:rFonts w:hint="eastAsia" w:ascii="宋体" w:hAnsi="宋体" w:cs="宋体"/>
          <w:color w:val="000000" w:themeColor="text1"/>
          <w:szCs w:val="21"/>
          <w14:textFill>
            <w14:solidFill>
              <w14:schemeClr w14:val="tx1"/>
            </w14:solidFill>
          </w14:textFill>
        </w:rPr>
        <w:t>；</w:t>
      </w:r>
    </w:p>
    <w:p w14:paraId="0DC7D13B">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14:paraId="00C185CA">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xml:space="preserve">                    </w:t>
      </w:r>
      <w:r>
        <w:rPr>
          <w:rFonts w:hint="eastAsia" w:ascii="宋体" w:hAnsi="宋体" w:cs="宋体"/>
          <w:color w:val="000000" w:themeColor="text1"/>
          <w:szCs w:val="21"/>
          <w14:textFill>
            <w14:solidFill>
              <w14:schemeClr w14:val="tx1"/>
            </w14:solidFill>
          </w14:textFill>
        </w:rPr>
        <w:t>；</w:t>
      </w:r>
    </w:p>
    <w:p w14:paraId="582BE947">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14:paraId="70560AA1">
      <w:pPr>
        <w:spacing w:line="360" w:lineRule="exact"/>
        <w:ind w:firstLine="420" w:firstLineChars="200"/>
        <w:rPr>
          <w:rFonts w:ascii="宋体" w:hAnsi="宋体" w:cs="宋体"/>
          <w:szCs w:val="21"/>
        </w:rPr>
      </w:pPr>
      <w:r>
        <w:rPr>
          <w:rFonts w:hint="eastAsia" w:ascii="宋体" w:hAnsi="宋体" w:cs="宋体"/>
          <w:szCs w:val="21"/>
        </w:rPr>
        <w:t>1.1.3 工程和设备</w:t>
      </w:r>
    </w:p>
    <w:p w14:paraId="0D990FAA">
      <w:pPr>
        <w:spacing w:line="360" w:lineRule="exact"/>
        <w:ind w:firstLine="420" w:firstLineChars="200"/>
        <w:rPr>
          <w:rFonts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                                        </w:t>
      </w:r>
    </w:p>
    <w:p w14:paraId="71594FF0">
      <w:pPr>
        <w:spacing w:line="360" w:lineRule="exact"/>
        <w:ind w:firstLine="420" w:firstLineChars="200"/>
        <w:rPr>
          <w:rFonts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          /     </w:t>
      </w:r>
    </w:p>
    <w:p w14:paraId="58690E75">
      <w:pPr>
        <w:spacing w:line="360" w:lineRule="exact"/>
        <w:ind w:firstLine="420" w:firstLineChars="200"/>
        <w:rPr>
          <w:rFonts w:ascii="宋体" w:hAnsi="宋体" w:cs="宋体"/>
          <w:szCs w:val="21"/>
          <w:u w:val="single"/>
        </w:rPr>
      </w:pPr>
      <w:r>
        <w:rPr>
          <w:rFonts w:hint="eastAsia" w:ascii="宋体" w:hAnsi="宋体" w:cs="宋体"/>
          <w:szCs w:val="21"/>
        </w:rPr>
        <w:t>1.1.3.10 临时占地包括：</w:t>
      </w:r>
      <w:r>
        <w:rPr>
          <w:rFonts w:hint="eastAsia" w:ascii="宋体" w:hAnsi="宋体" w:cs="宋体"/>
          <w:szCs w:val="21"/>
          <w:u w:val="single"/>
        </w:rPr>
        <w:t xml:space="preserve">                 /        </w:t>
      </w:r>
    </w:p>
    <w:p w14:paraId="26C20CB8">
      <w:pPr>
        <w:spacing w:line="360" w:lineRule="exact"/>
        <w:ind w:firstLine="420" w:firstLineChars="200"/>
        <w:rPr>
          <w:rFonts w:ascii="宋体" w:hAnsi="宋体" w:cs="宋体"/>
          <w:szCs w:val="21"/>
        </w:rPr>
      </w:pPr>
      <w:r>
        <w:rPr>
          <w:rFonts w:hint="eastAsia" w:ascii="宋体" w:hAnsi="宋体" w:cs="宋体"/>
          <w:szCs w:val="21"/>
        </w:rPr>
        <w:t>1.3法律</w:t>
      </w:r>
    </w:p>
    <w:p w14:paraId="6CC953D7">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浙江省建设工程计价规则（2018版）；定额套用《浙江省房屋建筑与装饰工程预算定额》（2018版）、《浙江省建筑安装工程修缮预算定额》(2018),取费套用《浙江省建设工程施工费用定额》(2018)相应费率及浙建建(2018)61号发布的关于《浙江省建设工程施工费用定额》有关费用项目和费率调整的通知</w:t>
      </w:r>
      <w:r>
        <w:rPr>
          <w:rFonts w:hint="eastAsia" w:ascii="宋体" w:hAnsi="宋体" w:cs="宋体"/>
          <w:szCs w:val="21"/>
          <w:highlight w:val="none"/>
          <w:u w:val="single"/>
        </w:rPr>
        <w:t>、 《台州造价》2024年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月及市场价</w:t>
      </w:r>
      <w:r>
        <w:rPr>
          <w:rFonts w:hint="eastAsia" w:ascii="宋体" w:hAnsi="宋体" w:cs="宋体"/>
          <w:szCs w:val="21"/>
          <w:u w:val="single"/>
        </w:rPr>
        <w:t>格计取，台州造价信息没有的按浙江造价信息价格及市场价计算等工程所在地现行的有关工程造价方面规定</w:t>
      </w:r>
      <w:r>
        <w:rPr>
          <w:rFonts w:hint="eastAsia" w:ascii="宋体" w:hAnsi="宋体" w:cs="宋体"/>
          <w:szCs w:val="21"/>
        </w:rPr>
        <w:t>。</w:t>
      </w:r>
    </w:p>
    <w:p w14:paraId="54013AC9">
      <w:pPr>
        <w:spacing w:line="360" w:lineRule="exact"/>
        <w:ind w:firstLine="420" w:firstLineChars="200"/>
        <w:rPr>
          <w:rFonts w:ascii="宋体" w:hAnsi="宋体" w:cs="宋体"/>
          <w:szCs w:val="21"/>
        </w:rPr>
      </w:pPr>
      <w:r>
        <w:rPr>
          <w:rFonts w:hint="eastAsia" w:ascii="宋体" w:hAnsi="宋体" w:cs="宋体"/>
          <w:szCs w:val="21"/>
        </w:rPr>
        <w:t>1.4 标准和规范</w:t>
      </w:r>
    </w:p>
    <w:p w14:paraId="3ABF433B">
      <w:pPr>
        <w:spacing w:line="360" w:lineRule="exact"/>
        <w:ind w:firstLine="42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按现行的国家、省、市施工验收规范、质量评定标准及有关规定。合同工期内的标准、规范，招标文件中的技术要求等</w:t>
      </w:r>
      <w:r>
        <w:rPr>
          <w:rFonts w:hint="eastAsia" w:ascii="宋体" w:hAnsi="宋体" w:cs="宋体"/>
          <w:szCs w:val="21"/>
        </w:rPr>
        <w:t>。</w:t>
      </w:r>
    </w:p>
    <w:p w14:paraId="23727032">
      <w:pPr>
        <w:spacing w:line="360" w:lineRule="exact"/>
        <w:ind w:firstLine="420" w:firstLineChars="200"/>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D25953C">
      <w:pPr>
        <w:spacing w:line="360" w:lineRule="exact"/>
        <w:ind w:firstLine="420" w:firstLineChars="200"/>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67C80DDE">
      <w:pPr>
        <w:spacing w:line="360" w:lineRule="exact"/>
        <w:ind w:firstLine="420" w:firstLineChars="200"/>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FC839EB">
      <w:pPr>
        <w:spacing w:line="360" w:lineRule="exact"/>
        <w:ind w:firstLine="42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w:t>
      </w:r>
      <w:r>
        <w:rPr>
          <w:rFonts w:hint="eastAsia" w:ascii="宋体" w:hAnsi="宋体" w:cs="宋体"/>
          <w:szCs w:val="21"/>
        </w:rPr>
        <w:t>。</w:t>
      </w:r>
    </w:p>
    <w:p w14:paraId="75E2608A">
      <w:pPr>
        <w:spacing w:line="360" w:lineRule="exact"/>
        <w:rPr>
          <w:rFonts w:ascii="宋体" w:hAnsi="宋体" w:cs="宋体"/>
          <w:szCs w:val="21"/>
        </w:rPr>
      </w:pP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24933994">
      <w:pPr>
        <w:spacing w:line="360" w:lineRule="exact"/>
        <w:ind w:firstLine="420" w:firstLineChars="200"/>
        <w:rPr>
          <w:rFonts w:ascii="宋体" w:hAnsi="宋体" w:cs="宋体"/>
          <w:szCs w:val="21"/>
        </w:rPr>
      </w:pPr>
      <w:r>
        <w:rPr>
          <w:rFonts w:hint="eastAsia" w:ascii="宋体" w:hAnsi="宋体" w:cs="宋体"/>
          <w:szCs w:val="21"/>
        </w:rPr>
        <w:t>1.5 合同文件的优先顺序</w:t>
      </w:r>
    </w:p>
    <w:p w14:paraId="109DDB22">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按合同通用条款（注：如有特殊要求另编列顺序）。</w:t>
      </w:r>
    </w:p>
    <w:p w14:paraId="39F020D6">
      <w:pPr>
        <w:spacing w:line="360" w:lineRule="exact"/>
        <w:ind w:firstLine="420" w:firstLineChars="200"/>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14:paraId="587B185C">
      <w:pPr>
        <w:spacing w:line="360" w:lineRule="exact"/>
        <w:ind w:firstLine="420" w:firstLineChars="200"/>
        <w:rPr>
          <w:rFonts w:ascii="宋体" w:hAnsi="宋体" w:cs="宋体"/>
          <w:szCs w:val="21"/>
        </w:rPr>
      </w:pPr>
      <w:r>
        <w:rPr>
          <w:rFonts w:hint="eastAsia" w:ascii="宋体" w:hAnsi="宋体" w:cs="宋体"/>
          <w:szCs w:val="21"/>
        </w:rPr>
        <w:t>1.6.1 图纸的提供</w:t>
      </w:r>
    </w:p>
    <w:p w14:paraId="596E39D5">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开工日期14天前</w:t>
      </w:r>
      <w:r>
        <w:rPr>
          <w:rFonts w:hint="eastAsia" w:ascii="宋体" w:hAnsi="宋体" w:cs="宋体"/>
          <w:szCs w:val="21"/>
        </w:rPr>
        <w:t>；</w:t>
      </w:r>
    </w:p>
    <w:p w14:paraId="4249A858">
      <w:pPr>
        <w:spacing w:line="360" w:lineRule="exact"/>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纸质施工图〔    〕套并附目录清单及与其一致的电子版施工图。</w:t>
      </w:r>
    </w:p>
    <w:p w14:paraId="308BB2C5">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5D8E2F52">
      <w:pPr>
        <w:spacing w:line="360" w:lineRule="exact"/>
        <w:ind w:firstLine="420" w:firstLineChars="200"/>
        <w:rPr>
          <w:rFonts w:ascii="宋体" w:hAnsi="宋体" w:cs="宋体"/>
          <w:szCs w:val="21"/>
        </w:rPr>
      </w:pPr>
      <w:r>
        <w:rPr>
          <w:rFonts w:hint="eastAsia" w:ascii="宋体" w:hAnsi="宋体" w:cs="宋体"/>
          <w:szCs w:val="21"/>
        </w:rPr>
        <w:t>1.6.4 承包人文件</w:t>
      </w:r>
    </w:p>
    <w:p w14:paraId="60B590A8">
      <w:pPr>
        <w:spacing w:line="36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施工组织设计、专项施工方案(含危大工程,下同)、工程总进度计划、工程月进度计划表等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p>
    <w:p w14:paraId="76F50427">
      <w:pPr>
        <w:spacing w:line="36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rPr>
        <w:t>；</w:t>
      </w:r>
    </w:p>
    <w:p w14:paraId="4D7B6DB6">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每样不少于2份          </w:t>
      </w:r>
      <w:r>
        <w:rPr>
          <w:rFonts w:hint="eastAsia" w:ascii="宋体" w:hAnsi="宋体" w:cs="宋体"/>
          <w:szCs w:val="21"/>
        </w:rPr>
        <w:t>；</w:t>
      </w:r>
    </w:p>
    <w:p w14:paraId="0D85867E">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纸质及电子版本     </w:t>
      </w:r>
      <w:r>
        <w:rPr>
          <w:rFonts w:hint="eastAsia" w:ascii="宋体" w:hAnsi="宋体" w:cs="宋体"/>
          <w:szCs w:val="21"/>
        </w:rPr>
        <w:t>；</w:t>
      </w:r>
    </w:p>
    <w:p w14:paraId="42FA29F0">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收到相应文件后7天内 </w:t>
      </w:r>
      <w:r>
        <w:rPr>
          <w:rFonts w:hint="eastAsia" w:ascii="宋体" w:hAnsi="宋体" w:cs="宋体"/>
          <w:szCs w:val="21"/>
        </w:rPr>
        <w:t>。</w:t>
      </w:r>
    </w:p>
    <w:p w14:paraId="389D6995">
      <w:pPr>
        <w:spacing w:line="360" w:lineRule="exact"/>
        <w:ind w:firstLine="420" w:firstLineChars="200"/>
        <w:rPr>
          <w:rFonts w:ascii="宋体" w:hAnsi="宋体" w:cs="宋体"/>
          <w:szCs w:val="21"/>
        </w:rPr>
      </w:pPr>
      <w:r>
        <w:rPr>
          <w:rFonts w:hint="eastAsia" w:ascii="宋体" w:hAnsi="宋体" w:cs="宋体"/>
          <w:szCs w:val="21"/>
        </w:rPr>
        <w:t>1.6.5 现场图纸准备</w:t>
      </w:r>
    </w:p>
    <w:p w14:paraId="2490F461">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 </w:t>
      </w:r>
      <w:r>
        <w:rPr>
          <w:rFonts w:hint="eastAsia" w:ascii="宋体" w:hAnsi="宋体" w:cs="宋体"/>
          <w:szCs w:val="21"/>
        </w:rPr>
        <w:t>。</w:t>
      </w:r>
    </w:p>
    <w:p w14:paraId="725E049A">
      <w:pPr>
        <w:spacing w:line="360" w:lineRule="exact"/>
        <w:ind w:firstLine="420" w:firstLineChars="200"/>
        <w:rPr>
          <w:rFonts w:ascii="宋体" w:hAnsi="宋体" w:cs="宋体"/>
          <w:szCs w:val="21"/>
        </w:rPr>
      </w:pPr>
      <w:r>
        <w:rPr>
          <w:rFonts w:hint="eastAsia" w:ascii="宋体" w:hAnsi="宋体" w:cs="宋体"/>
          <w:szCs w:val="21"/>
        </w:rPr>
        <w:t>1.7 联络</w:t>
      </w:r>
    </w:p>
    <w:p w14:paraId="1CB17ECF">
      <w:pPr>
        <w:spacing w:line="360" w:lineRule="exact"/>
        <w:ind w:firstLine="420" w:firstLineChars="200"/>
        <w:rPr>
          <w:rFonts w:ascii="宋体" w:hAnsi="宋体" w:cs="宋体"/>
          <w:szCs w:val="21"/>
        </w:rPr>
      </w:pPr>
      <w:r>
        <w:rPr>
          <w:rFonts w:hint="eastAsia" w:ascii="宋体" w:hAnsi="宋体" w:cs="宋体"/>
          <w:szCs w:val="21"/>
        </w:rPr>
        <w:t>1.7.1发包人和承包人应当在</w:t>
      </w:r>
      <w:r>
        <w:rPr>
          <w:rFonts w:hint="eastAsia" w:ascii="宋体" w:hAnsi="宋体" w:cs="宋体"/>
          <w:szCs w:val="21"/>
          <w:u w:val="single"/>
        </w:rPr>
        <w:t xml:space="preserve">7  </w:t>
      </w:r>
      <w:r>
        <w:rPr>
          <w:rFonts w:hint="eastAsia" w:ascii="宋体" w:hAnsi="宋体" w:cs="宋体"/>
          <w:szCs w:val="21"/>
        </w:rPr>
        <w:t>天内将与合同有关的通知、批准、证明、证书、指示、指令、要求、请求、同意、意见、确定和决定等书面函件送达对方当事人。</w:t>
      </w:r>
    </w:p>
    <w:p w14:paraId="453D73FA">
      <w:pPr>
        <w:spacing w:line="360" w:lineRule="exact"/>
        <w:ind w:firstLine="420" w:firstLineChars="200"/>
        <w:rPr>
          <w:rFonts w:ascii="宋体" w:hAnsi="宋体" w:cs="宋体"/>
          <w:szCs w:val="21"/>
        </w:rPr>
      </w:pPr>
      <w:r>
        <w:rPr>
          <w:rFonts w:hint="eastAsia" w:ascii="宋体" w:hAnsi="宋体" w:cs="宋体"/>
          <w:szCs w:val="21"/>
        </w:rPr>
        <w:t>1.7.2 发包人接收文件的地点：</w:t>
      </w:r>
      <w:r>
        <w:rPr>
          <w:rFonts w:hint="eastAsia" w:ascii="宋体" w:hAnsi="宋体" w:cs="宋体"/>
          <w:szCs w:val="21"/>
          <w:u w:val="single"/>
        </w:rPr>
        <w:t>      </w:t>
      </w:r>
      <w:r>
        <w:rPr>
          <w:rFonts w:hint="eastAsia" w:ascii="宋体" w:hAnsi="宋体" w:cs="宋体"/>
          <w:szCs w:val="21"/>
        </w:rPr>
        <w:t>；</w:t>
      </w:r>
    </w:p>
    <w:p w14:paraId="0EE309C8">
      <w:pPr>
        <w:spacing w:line="360" w:lineRule="exact"/>
        <w:ind w:firstLine="420" w:firstLineChars="200"/>
        <w:rPr>
          <w:rFonts w:ascii="宋体" w:hAnsi="宋体" w:cs="宋体"/>
          <w:szCs w:val="21"/>
        </w:rPr>
      </w:pPr>
      <w:r>
        <w:rPr>
          <w:rFonts w:hint="eastAsia" w:ascii="宋体" w:hAnsi="宋体" w:cs="宋体"/>
          <w:szCs w:val="21"/>
        </w:rPr>
        <w:t>发包人指定的接收人为：</w:t>
      </w:r>
      <w:r>
        <w:rPr>
          <w:rFonts w:hint="eastAsia" w:ascii="宋体" w:hAnsi="宋体" w:cs="宋体"/>
          <w:szCs w:val="21"/>
          <w:u w:val="single"/>
        </w:rPr>
        <w:t>（2人以上及联系电话）</w:t>
      </w:r>
      <w:r>
        <w:rPr>
          <w:rFonts w:hint="eastAsia" w:ascii="宋体" w:hAnsi="宋体" w:cs="宋体"/>
          <w:szCs w:val="21"/>
        </w:rPr>
        <w:t>。</w:t>
      </w:r>
    </w:p>
    <w:p w14:paraId="5D280342">
      <w:pPr>
        <w:spacing w:line="360" w:lineRule="exact"/>
        <w:ind w:firstLine="420" w:firstLineChars="200"/>
        <w:rPr>
          <w:rFonts w:ascii="宋体" w:hAnsi="宋体" w:cs="宋体"/>
          <w:szCs w:val="21"/>
        </w:rPr>
      </w:pPr>
      <w:r>
        <w:rPr>
          <w:rFonts w:hint="eastAsia" w:ascii="宋体" w:hAnsi="宋体" w:cs="宋体"/>
          <w:szCs w:val="21"/>
        </w:rPr>
        <w:t>承包人接收文件的地点：</w:t>
      </w:r>
      <w:r>
        <w:rPr>
          <w:rFonts w:hint="eastAsia" w:ascii="宋体" w:hAnsi="宋体" w:cs="宋体"/>
          <w:szCs w:val="21"/>
          <w:u w:val="single"/>
        </w:rPr>
        <w:t>             </w:t>
      </w:r>
      <w:r>
        <w:rPr>
          <w:rFonts w:hint="eastAsia" w:ascii="宋体" w:hAnsi="宋体" w:cs="宋体"/>
          <w:szCs w:val="21"/>
        </w:rPr>
        <w:t>；</w:t>
      </w:r>
    </w:p>
    <w:p w14:paraId="33DEB932">
      <w:pPr>
        <w:spacing w:line="360" w:lineRule="exact"/>
        <w:ind w:firstLine="420" w:firstLineChars="200"/>
        <w:rPr>
          <w:rFonts w:ascii="宋体" w:hAnsi="宋体" w:cs="宋体"/>
          <w:szCs w:val="21"/>
        </w:rPr>
      </w:pPr>
      <w:r>
        <w:rPr>
          <w:rFonts w:hint="eastAsia" w:ascii="宋体" w:hAnsi="宋体" w:cs="宋体"/>
          <w:szCs w:val="21"/>
        </w:rPr>
        <w:t>承包人指定的接收人为：</w:t>
      </w:r>
      <w:r>
        <w:rPr>
          <w:rFonts w:hint="eastAsia" w:ascii="宋体" w:hAnsi="宋体" w:cs="宋体"/>
          <w:szCs w:val="21"/>
          <w:u w:val="single"/>
        </w:rPr>
        <w:t>（2人以上及联系电话）</w:t>
      </w:r>
      <w:r>
        <w:rPr>
          <w:rFonts w:hint="eastAsia" w:ascii="宋体" w:hAnsi="宋体" w:cs="宋体"/>
          <w:szCs w:val="21"/>
        </w:rPr>
        <w:t>。</w:t>
      </w:r>
    </w:p>
    <w:p w14:paraId="7A377819">
      <w:pPr>
        <w:spacing w:line="360" w:lineRule="exact"/>
        <w:ind w:firstLine="420" w:firstLineChars="200"/>
        <w:rPr>
          <w:rFonts w:ascii="宋体" w:hAnsi="宋体" w:cs="宋体"/>
          <w:szCs w:val="21"/>
        </w:rPr>
      </w:pPr>
      <w:r>
        <w:rPr>
          <w:rFonts w:hint="eastAsia" w:ascii="宋体" w:hAnsi="宋体" w:cs="宋体"/>
          <w:szCs w:val="21"/>
        </w:rPr>
        <w:t>监理人接收文件的地点：</w:t>
      </w:r>
      <w:r>
        <w:rPr>
          <w:rFonts w:hint="eastAsia" w:ascii="宋体" w:hAnsi="宋体" w:cs="宋体"/>
          <w:szCs w:val="21"/>
          <w:u w:val="single"/>
        </w:rPr>
        <w:t>            </w:t>
      </w:r>
      <w:r>
        <w:rPr>
          <w:rFonts w:hint="eastAsia" w:ascii="宋体" w:hAnsi="宋体" w:cs="宋体"/>
          <w:szCs w:val="21"/>
        </w:rPr>
        <w:t>；</w:t>
      </w:r>
    </w:p>
    <w:p w14:paraId="039436DD">
      <w:pPr>
        <w:spacing w:line="360" w:lineRule="exact"/>
        <w:ind w:firstLine="420" w:firstLineChars="200"/>
        <w:rPr>
          <w:rFonts w:ascii="宋体" w:hAnsi="宋体" w:cs="宋体"/>
          <w:szCs w:val="21"/>
        </w:rPr>
      </w:pPr>
      <w:r>
        <w:rPr>
          <w:rFonts w:hint="eastAsia" w:ascii="宋体" w:hAnsi="宋体" w:cs="宋体"/>
          <w:szCs w:val="21"/>
        </w:rPr>
        <w:t>监理人指定的接收人为：</w:t>
      </w:r>
      <w:r>
        <w:rPr>
          <w:rFonts w:hint="eastAsia" w:ascii="宋体" w:hAnsi="宋体" w:cs="宋体"/>
          <w:szCs w:val="21"/>
          <w:u w:val="single"/>
        </w:rPr>
        <w:t>（2人以上及联系电话） </w:t>
      </w:r>
      <w:r>
        <w:rPr>
          <w:rFonts w:hint="eastAsia" w:ascii="宋体" w:hAnsi="宋体" w:cs="宋体"/>
          <w:szCs w:val="21"/>
        </w:rPr>
        <w:t>。</w:t>
      </w:r>
    </w:p>
    <w:p w14:paraId="169BC1F3">
      <w:pPr>
        <w:spacing w:line="360" w:lineRule="exact"/>
        <w:ind w:firstLine="420" w:firstLineChars="200"/>
        <w:rPr>
          <w:rFonts w:ascii="宋体" w:hAnsi="宋体" w:cs="宋体"/>
          <w:szCs w:val="21"/>
        </w:rPr>
      </w:pPr>
      <w:r>
        <w:rPr>
          <w:rFonts w:hint="eastAsia" w:ascii="宋体" w:hAnsi="宋体" w:cs="宋体"/>
          <w:szCs w:val="21"/>
        </w:rPr>
        <w:t>1.10 交通运输</w:t>
      </w:r>
    </w:p>
    <w:p w14:paraId="5B32981A">
      <w:pPr>
        <w:spacing w:line="360" w:lineRule="exact"/>
        <w:ind w:firstLine="420" w:firstLineChars="200"/>
        <w:rPr>
          <w:rFonts w:ascii="宋体" w:hAnsi="宋体" w:cs="宋体"/>
          <w:szCs w:val="21"/>
        </w:rPr>
      </w:pPr>
      <w:r>
        <w:rPr>
          <w:rFonts w:hint="eastAsia" w:ascii="宋体" w:hAnsi="宋体" w:cs="宋体"/>
          <w:szCs w:val="21"/>
        </w:rPr>
        <w:t>1.10.1 出入现场的权利</w:t>
      </w:r>
    </w:p>
    <w:p w14:paraId="661C7B65">
      <w:pPr>
        <w:spacing w:line="360" w:lineRule="exact"/>
        <w:ind w:firstLine="420" w:firstLineChars="200"/>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按合同通用条款，可视工程实际双方再补充约定</w:t>
      </w:r>
      <w:r>
        <w:rPr>
          <w:rFonts w:hint="eastAsia" w:ascii="宋体" w:hAnsi="宋体" w:cs="宋体"/>
          <w:szCs w:val="21"/>
        </w:rPr>
        <w:t>。</w:t>
      </w:r>
    </w:p>
    <w:p w14:paraId="0596D9BC">
      <w:pPr>
        <w:spacing w:line="360" w:lineRule="exact"/>
        <w:ind w:firstLine="420" w:firstLineChars="200"/>
        <w:rPr>
          <w:rFonts w:ascii="宋体" w:hAnsi="宋体" w:cs="宋体"/>
          <w:szCs w:val="21"/>
        </w:rPr>
      </w:pPr>
      <w:r>
        <w:rPr>
          <w:rFonts w:hint="eastAsia" w:ascii="宋体" w:hAnsi="宋体" w:cs="宋体"/>
          <w:szCs w:val="21"/>
        </w:rPr>
        <w:t>1.10.3 场内交通</w:t>
      </w:r>
    </w:p>
    <w:p w14:paraId="51C76FEE">
      <w:pPr>
        <w:spacing w:line="360" w:lineRule="exact"/>
        <w:ind w:firstLine="420" w:firstLineChars="200"/>
        <w:rPr>
          <w:rFonts w:ascii="宋体" w:hAnsi="宋体" w:cs="宋体"/>
          <w:szCs w:val="21"/>
        </w:rPr>
      </w:pPr>
      <w:r>
        <w:rPr>
          <w:rFonts w:hint="eastAsia" w:ascii="宋体" w:hAnsi="宋体" w:cs="宋体"/>
          <w:szCs w:val="21"/>
        </w:rPr>
        <w:t>关于场外交通和场内交通的边界的约定：</w:t>
      </w:r>
      <w:r>
        <w:rPr>
          <w:rFonts w:hint="eastAsia" w:ascii="宋体" w:hAnsi="宋体" w:cs="宋体"/>
          <w:i/>
          <w:szCs w:val="21"/>
          <w:u w:val="single"/>
        </w:rPr>
        <w:t>按具体工程由发包人在招标文件中明确后，在合同中约定</w:t>
      </w:r>
      <w:r>
        <w:rPr>
          <w:rFonts w:hint="eastAsia" w:ascii="宋体" w:hAnsi="宋体" w:cs="宋体"/>
          <w:szCs w:val="21"/>
        </w:rPr>
        <w:t>。</w:t>
      </w:r>
    </w:p>
    <w:p w14:paraId="49668C5A">
      <w:pPr>
        <w:spacing w:line="360" w:lineRule="exact"/>
        <w:ind w:firstLine="42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发包人提供的场内交通条件为现状，承包人自行组织现场踏勘</w:t>
      </w:r>
      <w:r>
        <w:rPr>
          <w:rFonts w:hint="eastAsia" w:ascii="宋体" w:hAnsi="宋体" w:cs="宋体"/>
          <w:szCs w:val="21"/>
        </w:rPr>
        <w:t>。</w:t>
      </w:r>
    </w:p>
    <w:p w14:paraId="711CB691">
      <w:pPr>
        <w:spacing w:line="360" w:lineRule="exact"/>
        <w:ind w:firstLine="420" w:firstLineChars="200"/>
        <w:rPr>
          <w:rFonts w:ascii="宋体" w:hAnsi="宋体" w:cs="宋体"/>
          <w:szCs w:val="21"/>
        </w:rPr>
      </w:pPr>
      <w:r>
        <w:rPr>
          <w:rFonts w:hint="eastAsia" w:ascii="宋体" w:hAnsi="宋体" w:cs="宋体"/>
          <w:szCs w:val="21"/>
        </w:rPr>
        <w:t>1.10.4超大件和超重件的运输</w:t>
      </w:r>
    </w:p>
    <w:p w14:paraId="77232AD4">
      <w:pPr>
        <w:spacing w:line="360" w:lineRule="exact"/>
        <w:ind w:firstLine="420" w:firstLineChars="200"/>
        <w:rPr>
          <w:rFonts w:ascii="宋体" w:hAnsi="宋体" w:cs="宋体"/>
          <w:szCs w:val="21"/>
        </w:rPr>
      </w:pPr>
      <w:r>
        <w:rPr>
          <w:rFonts w:hint="eastAsia" w:ascii="宋体" w:hAnsi="宋体" w:cs="宋体"/>
          <w:szCs w:val="21"/>
        </w:rPr>
        <w:t>运输超大件或超重件所需的道路和桥梁临时加固改造费用和其他有关费用</w:t>
      </w:r>
      <w:r>
        <w:rPr>
          <w:rFonts w:hint="eastAsia" w:ascii="宋体" w:hAnsi="宋体" w:cs="宋体"/>
          <w:szCs w:val="21"/>
          <w:u w:val="single"/>
        </w:rPr>
        <w:t>（根据具体工程发包人在招标文件或工程量清单中明确相关费用）由承包人报价包干或发生时协商处理。</w:t>
      </w:r>
    </w:p>
    <w:p w14:paraId="7FF4A7D5">
      <w:pPr>
        <w:spacing w:line="360" w:lineRule="exact"/>
        <w:ind w:firstLine="420" w:firstLineChars="200"/>
        <w:rPr>
          <w:rFonts w:ascii="宋体" w:hAnsi="宋体" w:cs="宋体"/>
          <w:szCs w:val="21"/>
        </w:rPr>
      </w:pPr>
      <w:r>
        <w:rPr>
          <w:rFonts w:hint="eastAsia" w:ascii="宋体" w:hAnsi="宋体" w:cs="宋体"/>
          <w:szCs w:val="21"/>
        </w:rPr>
        <w:t>1.11 知识产权</w:t>
      </w:r>
    </w:p>
    <w:p w14:paraId="196D8CFE">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4F5E6B41">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476CFEDC">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44DAAEE5">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0BB05938">
      <w:pPr>
        <w:spacing w:line="360" w:lineRule="exact"/>
        <w:ind w:firstLine="420" w:firstLineChars="200"/>
        <w:rPr>
          <w:rFonts w:ascii="宋体" w:hAnsi="宋体" w:cs="宋体"/>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包含在签约合同价内</w:t>
      </w:r>
      <w:r>
        <w:rPr>
          <w:rFonts w:hint="eastAsia" w:ascii="宋体" w:hAnsi="宋体" w:cs="宋体"/>
          <w:szCs w:val="21"/>
        </w:rPr>
        <w:t>。</w:t>
      </w:r>
    </w:p>
    <w:p w14:paraId="19DAB3AF">
      <w:pPr>
        <w:spacing w:line="360" w:lineRule="exact"/>
        <w:ind w:firstLine="420" w:firstLineChars="200"/>
        <w:rPr>
          <w:rFonts w:ascii="宋体" w:hAnsi="宋体" w:cs="宋体"/>
          <w:szCs w:val="21"/>
        </w:rPr>
      </w:pPr>
      <w:r>
        <w:rPr>
          <w:rFonts w:hint="eastAsia" w:ascii="宋体" w:hAnsi="宋体" w:cs="宋体"/>
          <w:szCs w:val="21"/>
        </w:rPr>
        <w:t>1.13工程量清单错误的修正</w:t>
      </w:r>
    </w:p>
    <w:p w14:paraId="2CCDFFF1">
      <w:pPr>
        <w:spacing w:line="360" w:lineRule="exact"/>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调整合同价格 </w:t>
      </w:r>
      <w:r>
        <w:rPr>
          <w:rFonts w:hint="eastAsia" w:ascii="宋体" w:hAnsi="宋体" w:cs="宋体"/>
          <w:szCs w:val="21"/>
        </w:rPr>
        <w:t>。</w:t>
      </w:r>
    </w:p>
    <w:p w14:paraId="34CB6E80">
      <w:pPr>
        <w:spacing w:line="360" w:lineRule="exact"/>
        <w:ind w:firstLine="420" w:firstLineChars="20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清单工程量变化不调整综合单价，但如综合单价异常（见专用条款10.4.1），则调整合同价格的工程量偏差范围按专用条款10.4.1（1）条约定调整。</w:t>
      </w:r>
    </w:p>
    <w:p w14:paraId="4A97777A">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2. 发包人</w:t>
      </w:r>
    </w:p>
    <w:p w14:paraId="3CB83E3E">
      <w:pPr>
        <w:spacing w:line="360" w:lineRule="exact"/>
        <w:ind w:firstLine="420" w:firstLineChars="200"/>
        <w:rPr>
          <w:rFonts w:ascii="宋体" w:hAnsi="宋体" w:cs="宋体"/>
          <w:szCs w:val="21"/>
        </w:rPr>
      </w:pPr>
      <w:r>
        <w:rPr>
          <w:rFonts w:hint="eastAsia" w:ascii="宋体" w:hAnsi="宋体" w:cs="宋体"/>
          <w:szCs w:val="21"/>
        </w:rPr>
        <w:t>2.2 发包人代表</w:t>
      </w:r>
    </w:p>
    <w:p w14:paraId="4B8B6E6E">
      <w:pPr>
        <w:spacing w:line="360" w:lineRule="exact"/>
        <w:ind w:firstLine="420" w:firstLineChars="200"/>
        <w:rPr>
          <w:rFonts w:ascii="宋体" w:hAnsi="宋体" w:cs="宋体"/>
          <w:szCs w:val="21"/>
        </w:rPr>
      </w:pPr>
      <w:r>
        <w:rPr>
          <w:rFonts w:hint="eastAsia" w:ascii="宋体" w:hAnsi="宋体" w:cs="宋体"/>
          <w:szCs w:val="21"/>
        </w:rPr>
        <w:t>发包人代表：</w:t>
      </w:r>
    </w:p>
    <w:p w14:paraId="57ED1C44">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598B4647">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55C3F3D9">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w:t>
      </w:r>
    </w:p>
    <w:p w14:paraId="7FADE582">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0467047C">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0C823FE9">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1F10851E">
      <w:pPr>
        <w:spacing w:line="360" w:lineRule="exact"/>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对工程质量、进度、投资负责，并对合同的内容进行有效的控制及对施工现场的协调，问题处理，督促、检查承包人严格按照安全的相关规定，做好安全、文明施工；负责对工程结算的初审；本工程所发的现场签证、工程变更联系单等经发包人代表核实签字后，须及时递交发包人主管部门审核盖章后，方可生效；未经盖发包人盖章的签章一律无效         </w:t>
      </w:r>
      <w:r>
        <w:rPr>
          <w:rFonts w:hint="eastAsia" w:ascii="宋体" w:hAnsi="宋体" w:cs="宋体"/>
          <w:szCs w:val="21"/>
        </w:rPr>
        <w:t>。</w:t>
      </w:r>
    </w:p>
    <w:p w14:paraId="38307153">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14:paraId="07894079">
      <w:pPr>
        <w:spacing w:line="360" w:lineRule="exact"/>
        <w:ind w:firstLine="420" w:firstLineChars="200"/>
        <w:rPr>
          <w:rFonts w:ascii="宋体" w:hAnsi="宋体" w:cs="宋体"/>
          <w:szCs w:val="21"/>
        </w:rPr>
      </w:pPr>
      <w:r>
        <w:rPr>
          <w:rFonts w:hint="eastAsia" w:ascii="宋体" w:hAnsi="宋体" w:cs="宋体"/>
          <w:szCs w:val="21"/>
        </w:rPr>
        <w:t>2.4.1 提供施工现场</w:t>
      </w:r>
    </w:p>
    <w:p w14:paraId="24143E00">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开工日期14天前  </w:t>
      </w:r>
      <w:r>
        <w:rPr>
          <w:rFonts w:hint="eastAsia" w:ascii="宋体" w:hAnsi="宋体" w:cs="宋体"/>
          <w:szCs w:val="21"/>
        </w:rPr>
        <w:t>。</w:t>
      </w:r>
    </w:p>
    <w:p w14:paraId="7E93B7BB">
      <w:pPr>
        <w:spacing w:line="360" w:lineRule="exact"/>
        <w:ind w:firstLine="420" w:firstLineChars="200"/>
        <w:rPr>
          <w:rFonts w:ascii="宋体" w:hAnsi="宋体" w:cs="宋体"/>
          <w:szCs w:val="21"/>
        </w:rPr>
      </w:pPr>
      <w:r>
        <w:rPr>
          <w:rFonts w:hint="eastAsia" w:ascii="宋体" w:hAnsi="宋体" w:cs="宋体"/>
          <w:szCs w:val="21"/>
        </w:rPr>
        <w:t>2.4.2 提供施工条件</w:t>
      </w:r>
    </w:p>
    <w:p w14:paraId="2FCB981B">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施工临时用水、电接口由发包人提供，后续接驳工作由承包人自行完成，施工及试运行调试阶段的临时用水、电费用由承包人承担，承包人应持证上岗；水电费装表计量，承包人必须按水、电部门的计价标准，足额向发包人及时缴清，若承包人不按时支付，则发包人可以从承包人的工程进度款中直接扣除   </w:t>
      </w:r>
      <w:r>
        <w:rPr>
          <w:rFonts w:hint="eastAsia" w:ascii="宋体" w:hAnsi="宋体" w:cs="宋体"/>
          <w:szCs w:val="21"/>
        </w:rPr>
        <w:t>。</w:t>
      </w:r>
    </w:p>
    <w:p w14:paraId="06D20FE1">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14:paraId="357267BD">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56681565">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5439F51A">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7099F717">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3. 承包人</w:t>
      </w:r>
    </w:p>
    <w:p w14:paraId="38398851">
      <w:pPr>
        <w:spacing w:line="360" w:lineRule="exact"/>
        <w:ind w:firstLine="420" w:firstLineChars="200"/>
        <w:rPr>
          <w:rFonts w:ascii="宋体" w:hAnsi="宋体" w:cs="宋体"/>
          <w:szCs w:val="21"/>
        </w:rPr>
      </w:pPr>
      <w:r>
        <w:rPr>
          <w:rFonts w:hint="eastAsia" w:ascii="宋体" w:hAnsi="宋体" w:cs="宋体"/>
          <w:szCs w:val="21"/>
        </w:rPr>
        <w:t>3.1 承包人的一般义务</w:t>
      </w:r>
    </w:p>
    <w:p w14:paraId="1D52938D">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向发包人提交按规范规定应由承包人编制部分的竣工资料并符合建设工程资料存档要求</w:t>
      </w:r>
      <w:r>
        <w:rPr>
          <w:rFonts w:hint="eastAsia" w:ascii="宋体" w:hAnsi="宋体" w:cs="宋体"/>
          <w:szCs w:val="21"/>
        </w:rPr>
        <w:t>。</w:t>
      </w:r>
    </w:p>
    <w:p w14:paraId="19722A32">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34804C3F">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w:t>
      </w:r>
    </w:p>
    <w:p w14:paraId="7249EBD4">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5C69682D">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0191CB43">
      <w:pPr>
        <w:spacing w:line="360" w:lineRule="exact"/>
        <w:ind w:firstLine="420" w:firstLineChars="200"/>
        <w:rPr>
          <w:rFonts w:ascii="宋体" w:hAnsi="宋体" w:cs="宋体"/>
          <w:szCs w:val="21"/>
          <w:u w:val="single"/>
        </w:rPr>
      </w:pPr>
      <w:r>
        <w:rPr>
          <w:rFonts w:hint="eastAsia" w:ascii="宋体" w:hAnsi="宋体" w:cs="宋体"/>
          <w:szCs w:val="21"/>
        </w:rPr>
        <w:t>（10）承包人应履行的其他义务：</w:t>
      </w:r>
    </w:p>
    <w:p w14:paraId="7BDCE83C">
      <w:pPr>
        <w:spacing w:line="360" w:lineRule="exact"/>
        <w:ind w:firstLine="525" w:firstLineChars="25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14:paraId="6BA89C58">
      <w:pPr>
        <w:spacing w:line="360" w:lineRule="exact"/>
        <w:ind w:firstLine="525" w:firstLineChars="25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14:paraId="3E2AE5A5">
      <w:pPr>
        <w:spacing w:line="360" w:lineRule="exact"/>
        <w:ind w:firstLine="525" w:firstLineChars="250"/>
        <w:rPr>
          <w:rFonts w:ascii="宋体" w:hAnsi="宋体" w:cs="宋体"/>
          <w:szCs w:val="21"/>
          <w:u w:val="single"/>
        </w:rPr>
      </w:pPr>
      <w:r>
        <w:rPr>
          <w:rFonts w:hint="eastAsia" w:ascii="宋体" w:hAnsi="宋体" w:cs="宋体"/>
          <w:szCs w:val="21"/>
          <w:u w:val="single"/>
        </w:rPr>
        <w:t>c.本项目施工安全由承包人负总责。</w:t>
      </w:r>
    </w:p>
    <w:p w14:paraId="049FF2AA">
      <w:pPr>
        <w:spacing w:line="360" w:lineRule="exact"/>
        <w:ind w:firstLine="531" w:firstLineChars="253"/>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d.按当地有关部门要求，由承包人办理的有关施工场地交通、环卫和施工噪音管理等手续。</w:t>
      </w:r>
    </w:p>
    <w:p w14:paraId="1D8C4322">
      <w:pPr>
        <w:spacing w:line="360" w:lineRule="exact"/>
        <w:ind w:firstLine="531" w:firstLineChars="253"/>
        <w:rPr>
          <w:rFonts w:ascii="宋体" w:hAnsi="宋体" w:cs="宋体"/>
          <w:szCs w:val="21"/>
          <w:u w:val="single"/>
        </w:rPr>
      </w:pPr>
      <w:r>
        <w:rPr>
          <w:rFonts w:hint="eastAsia" w:ascii="宋体" w:hAnsi="宋体" w:cs="宋体"/>
          <w:szCs w:val="21"/>
        </w:rPr>
        <w:t>（11）承包人诚实信用的承诺：</w:t>
      </w:r>
      <w:r>
        <w:rPr>
          <w:rFonts w:hint="eastAsia" w:ascii="宋体" w:hAnsi="宋体" w:cs="宋体"/>
          <w:szCs w:val="21"/>
          <w:u w:val="single"/>
        </w:rPr>
        <w:t xml:space="preserve">              /            </w:t>
      </w:r>
    </w:p>
    <w:p w14:paraId="5CD2ACA0">
      <w:pPr>
        <w:spacing w:line="360" w:lineRule="exact"/>
        <w:rPr>
          <w:rFonts w:ascii="宋体" w:hAnsi="宋体" w:cs="宋体"/>
          <w:szCs w:val="21"/>
          <w:u w:val="single"/>
        </w:rPr>
      </w:pPr>
      <w:r>
        <w:rPr>
          <w:rFonts w:hint="eastAsia" w:ascii="宋体" w:hAnsi="宋体" w:cs="宋体"/>
          <w:szCs w:val="21"/>
          <w:u w:val="single"/>
        </w:rPr>
        <w:t xml:space="preserve">                                                         。</w:t>
      </w:r>
    </w:p>
    <w:p w14:paraId="24AFC487">
      <w:pPr>
        <w:spacing w:line="360" w:lineRule="exact"/>
        <w:ind w:firstLine="531" w:firstLineChars="253"/>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77982B29">
      <w:pPr>
        <w:spacing w:line="360" w:lineRule="exact"/>
        <w:rPr>
          <w:rFonts w:ascii="宋体" w:hAnsi="宋体" w:cs="宋体"/>
          <w:szCs w:val="21"/>
          <w:u w:val="single"/>
        </w:rPr>
      </w:pPr>
      <w:r>
        <w:rPr>
          <w:rFonts w:hint="eastAsia" w:ascii="宋体" w:hAnsi="宋体" w:cs="宋体"/>
          <w:szCs w:val="21"/>
          <w:u w:val="single"/>
        </w:rPr>
        <w:t xml:space="preserve">                                                         。</w:t>
      </w:r>
    </w:p>
    <w:p w14:paraId="432506A9">
      <w:pPr>
        <w:spacing w:line="360" w:lineRule="exact"/>
        <w:ind w:firstLine="420" w:firstLineChars="200"/>
        <w:rPr>
          <w:rFonts w:ascii="宋体" w:hAnsi="宋体" w:cs="宋体"/>
          <w:szCs w:val="21"/>
        </w:rPr>
      </w:pPr>
      <w:r>
        <w:rPr>
          <w:rFonts w:hint="eastAsia" w:ascii="宋体" w:hAnsi="宋体" w:cs="宋体"/>
          <w:szCs w:val="21"/>
        </w:rPr>
        <w:t>3.2 项目经理</w:t>
      </w:r>
    </w:p>
    <w:p w14:paraId="0EA6E02F">
      <w:pPr>
        <w:spacing w:line="360" w:lineRule="exact"/>
        <w:ind w:firstLine="420" w:firstLineChars="200"/>
        <w:rPr>
          <w:rFonts w:ascii="宋体" w:hAnsi="宋体" w:cs="宋体"/>
          <w:szCs w:val="21"/>
        </w:rPr>
      </w:pPr>
      <w:r>
        <w:rPr>
          <w:rFonts w:hint="eastAsia" w:ascii="宋体" w:hAnsi="宋体" w:cs="宋体"/>
          <w:szCs w:val="21"/>
        </w:rPr>
        <w:t>3.2.1 项目经理：</w:t>
      </w:r>
    </w:p>
    <w:p w14:paraId="4E38AB5D">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 </w:t>
      </w:r>
      <w:r>
        <w:rPr>
          <w:rFonts w:hint="eastAsia" w:ascii="宋体" w:hAnsi="宋体" w:cs="宋体"/>
          <w:szCs w:val="21"/>
        </w:rPr>
        <w:t>；</w:t>
      </w:r>
    </w:p>
    <w:p w14:paraId="2DDB0E9C">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20ED62C4">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 </w:t>
      </w:r>
      <w:r>
        <w:rPr>
          <w:rFonts w:hint="eastAsia" w:ascii="宋体" w:hAnsi="宋体" w:cs="宋体"/>
          <w:szCs w:val="21"/>
        </w:rPr>
        <w:t>；</w:t>
      </w:r>
    </w:p>
    <w:p w14:paraId="5C5B2029">
      <w:pPr>
        <w:spacing w:line="36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4B473D2B">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 </w:t>
      </w:r>
      <w:r>
        <w:rPr>
          <w:rFonts w:hint="eastAsia" w:ascii="宋体" w:hAnsi="宋体" w:cs="宋体"/>
          <w:szCs w:val="21"/>
        </w:rPr>
        <w:t>；</w:t>
      </w:r>
    </w:p>
    <w:p w14:paraId="3514B926">
      <w:pPr>
        <w:spacing w:line="36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 </w:t>
      </w:r>
      <w:r>
        <w:rPr>
          <w:rFonts w:hint="eastAsia" w:ascii="宋体" w:hAnsi="宋体" w:cs="宋体"/>
          <w:szCs w:val="21"/>
        </w:rPr>
        <w:t>；</w:t>
      </w:r>
    </w:p>
    <w:p w14:paraId="6FAE6B3A">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2CF36B1F">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w:t>
      </w:r>
      <w:r>
        <w:rPr>
          <w:rFonts w:hint="eastAsia" w:ascii="宋体" w:hAnsi="宋体" w:cs="宋体"/>
          <w:szCs w:val="21"/>
        </w:rPr>
        <w:t>；</w:t>
      </w:r>
    </w:p>
    <w:p w14:paraId="55D06EEF">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14:paraId="03B31713">
      <w:pPr>
        <w:spacing w:line="360" w:lineRule="exact"/>
        <w:ind w:firstLine="420" w:firstLineChars="200"/>
        <w:rPr>
          <w:rFonts w:ascii="宋体" w:hAnsi="宋体" w:cs="宋体"/>
          <w:szCs w:val="21"/>
        </w:rPr>
      </w:pPr>
      <w:r>
        <w:rPr>
          <w:rFonts w:hint="eastAsia" w:ascii="宋体" w:hAnsi="宋体" w:cs="宋体"/>
          <w:szCs w:val="21"/>
        </w:rPr>
        <w:t xml:space="preserve">承包人对项目经理的授权范围如下：  </w:t>
      </w:r>
      <w:r>
        <w:rPr>
          <w:rFonts w:hint="eastAsia" w:ascii="宋体" w:hAnsi="宋体" w:cs="宋体"/>
          <w:szCs w:val="21"/>
          <w:u w:val="single"/>
        </w:rPr>
        <w:t xml:space="preserve">     在满足相关规定的前提下，承包人自行确定      </w:t>
      </w:r>
      <w:r>
        <w:rPr>
          <w:rFonts w:hint="eastAsia" w:ascii="宋体" w:hAnsi="宋体" w:cs="宋体"/>
          <w:szCs w:val="21"/>
        </w:rPr>
        <w:t>。</w:t>
      </w:r>
    </w:p>
    <w:p w14:paraId="0E2C124B">
      <w:pPr>
        <w:spacing w:line="360" w:lineRule="exact"/>
        <w:ind w:firstLine="420" w:firstLineChars="200"/>
        <w:rPr>
          <w:rFonts w:ascii="宋体" w:hAnsi="宋体" w:cs="宋体"/>
          <w:szCs w:val="21"/>
        </w:rPr>
      </w:pPr>
      <w:r>
        <w:rPr>
          <w:rFonts w:hint="eastAsia" w:ascii="宋体" w:hAnsi="宋体" w:cs="宋体"/>
          <w:szCs w:val="21"/>
        </w:rPr>
        <w:t>关于项目经理每月在施工现场的时间要求：</w:t>
      </w:r>
      <w:r>
        <w:rPr>
          <w:rFonts w:hint="eastAsia" w:ascii="宋体" w:hAnsi="宋体" w:cs="宋体"/>
          <w:szCs w:val="21"/>
          <w:u w:val="single"/>
        </w:rPr>
        <w:t xml:space="preserve">  月到岗率须达到24天</w:t>
      </w:r>
      <w:r>
        <w:rPr>
          <w:rFonts w:hint="eastAsia" w:ascii="宋体" w:hAnsi="宋体" w:cs="宋体"/>
          <w:szCs w:val="21"/>
        </w:rPr>
        <w:t>。</w:t>
      </w:r>
    </w:p>
    <w:p w14:paraId="3992A562">
      <w:pPr>
        <w:spacing w:line="360" w:lineRule="exact"/>
        <w:ind w:firstLine="420" w:firstLineChars="200"/>
        <w:rPr>
          <w:rFonts w:ascii="宋体" w:hAnsi="宋体" w:cs="宋体"/>
          <w:szCs w:val="21"/>
        </w:rPr>
      </w:pPr>
      <w:r>
        <w:rPr>
          <w:rFonts w:hint="eastAsia" w:ascii="宋体" w:hAnsi="宋体" w:cs="宋体"/>
          <w:szCs w:val="21"/>
        </w:rPr>
        <w:t>承包人未提交劳动合同，以及没有为项目经理缴纳社会保险证明的违约责任：</w:t>
      </w:r>
      <w:r>
        <w:rPr>
          <w:rFonts w:hint="eastAsia" w:ascii="宋体" w:hAnsi="宋体" w:cs="宋体"/>
          <w:szCs w:val="21"/>
          <w:u w:val="single"/>
        </w:rPr>
        <w:t>发包人有权要求更换项目经理，由此增加的费用和（或）延误的工期由承包人承担，并承担违约责任</w:t>
      </w:r>
      <w:r>
        <w:rPr>
          <w:rFonts w:hint="eastAsia" w:ascii="宋体" w:hAnsi="宋体" w:cs="宋体"/>
          <w:szCs w:val="21"/>
        </w:rPr>
        <w:t>。</w:t>
      </w:r>
    </w:p>
    <w:p w14:paraId="7841898A">
      <w:pPr>
        <w:spacing w:line="360" w:lineRule="exact"/>
        <w:ind w:firstLine="420" w:firstLineChars="200"/>
        <w:rPr>
          <w:rFonts w:ascii="宋体" w:hAnsi="宋体" w:cs="宋体"/>
          <w:szCs w:val="21"/>
        </w:rPr>
      </w:pPr>
      <w:r>
        <w:rPr>
          <w:rFonts w:hint="eastAsia" w:ascii="宋体" w:hAnsi="宋体" w:cs="宋体"/>
          <w:szCs w:val="21"/>
        </w:rPr>
        <w:t>项目经理未经批准，擅自离开施工现场的违约责任：</w:t>
      </w:r>
      <w:r>
        <w:rPr>
          <w:rFonts w:hint="eastAsia" w:ascii="宋体" w:hAnsi="宋体" w:cs="宋体"/>
          <w:szCs w:val="21"/>
          <w:u w:val="single"/>
        </w:rPr>
        <w:t>月到岗须达到   天（按投标时的承诺，</w:t>
      </w:r>
      <w:r>
        <w:rPr>
          <w:rFonts w:hint="eastAsia" w:ascii="宋体" w:hAnsi="宋体" w:cs="宋体"/>
          <w:b/>
          <w:bCs/>
          <w:szCs w:val="21"/>
          <w:u w:val="single"/>
        </w:rPr>
        <w:t>到位率不少于95%</w:t>
      </w:r>
      <w:r>
        <w:rPr>
          <w:rFonts w:hint="eastAsia" w:ascii="宋体" w:hAnsi="宋体" w:cs="宋体"/>
          <w:szCs w:val="21"/>
          <w:u w:val="single"/>
        </w:rPr>
        <w:t>），不足天数，每天扣除400元，每月结算，在当期工程款支付时扣除；一个月达不到要求且项目经理不能到岗的，一次性扣除10000元，且发包人有权要求承包人更换项目经理，同时由承包人赔偿发包人由此造成的损失。另遇有工程检查、验收或参观等活动时，无特殊原因不得离开施工现场。</w:t>
      </w:r>
    </w:p>
    <w:p w14:paraId="43F03ECC">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5000元；及至发包人可通知承包人全部解除合同，并赔偿发包人损失。</w:t>
      </w:r>
    </w:p>
    <w:p w14:paraId="264CADDE">
      <w:pPr>
        <w:spacing w:line="360" w:lineRule="exact"/>
        <w:ind w:firstLine="420" w:firstLineChars="200"/>
        <w:rPr>
          <w:rFonts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3E39C850">
      <w:pPr>
        <w:spacing w:line="360" w:lineRule="exact"/>
        <w:ind w:firstLine="420" w:firstLineChars="200"/>
        <w:rPr>
          <w:rFonts w:ascii="宋体" w:hAnsi="宋体" w:cs="宋体"/>
          <w:szCs w:val="21"/>
        </w:rPr>
      </w:pPr>
      <w:r>
        <w:rPr>
          <w:rFonts w:hint="eastAsia" w:ascii="宋体" w:hAnsi="宋体" w:cs="宋体"/>
          <w:szCs w:val="21"/>
        </w:rPr>
        <w:t>3.3 承包人人员</w:t>
      </w:r>
    </w:p>
    <w:p w14:paraId="13A0A94D">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03B356D4">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626A0798">
      <w:pPr>
        <w:spacing w:line="360" w:lineRule="exact"/>
        <w:ind w:firstLine="357" w:firstLineChars="17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51741E04">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5000元；其他关键岗位人员每更换一人次扣除1000元。</w:t>
      </w:r>
    </w:p>
    <w:p w14:paraId="05D52F1E">
      <w:pPr>
        <w:spacing w:line="360" w:lineRule="exact"/>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关键岗位人员到岗达不到24天的，不足天数每人次每天扣除100元，每月结算，在当期工程款支付时扣除。某关键岗位人员连续三个月到岗率达不到要求且不能到岗的，一次性扣除10000元（含前三个月已扣除的），且发包人有权要求承包人更换该关键岗位人员。</w:t>
      </w:r>
    </w:p>
    <w:p w14:paraId="3014007D">
      <w:pPr>
        <w:spacing w:line="360" w:lineRule="exact"/>
        <w:ind w:firstLine="420" w:firstLineChars="200"/>
        <w:rPr>
          <w:rFonts w:ascii="宋体" w:hAnsi="宋体" w:cs="宋体"/>
          <w:szCs w:val="21"/>
        </w:rPr>
      </w:pPr>
      <w:r>
        <w:rPr>
          <w:rFonts w:hint="eastAsia" w:ascii="宋体" w:hAnsi="宋体" w:cs="宋体"/>
          <w:szCs w:val="21"/>
        </w:rPr>
        <w:t>3</w:t>
      </w:r>
      <w:bookmarkStart w:id="12" w:name="_Toc312677988"/>
      <w:bookmarkStart w:id="13" w:name="_Toc304295523"/>
      <w:bookmarkStart w:id="14" w:name="_Toc296346660"/>
      <w:bookmarkStart w:id="15" w:name="_Toc292559869"/>
      <w:bookmarkStart w:id="16" w:name="_Toc296944498"/>
      <w:bookmarkStart w:id="17" w:name="_Toc300934945"/>
      <w:bookmarkStart w:id="18" w:name="_Toc296347158"/>
      <w:bookmarkStart w:id="19" w:name="_Toc297123492"/>
      <w:bookmarkStart w:id="20" w:name="_Toc292559364"/>
      <w:bookmarkStart w:id="21" w:name="_Toc297048345"/>
      <w:bookmarkStart w:id="22" w:name="_Toc296890987"/>
      <w:bookmarkStart w:id="23" w:name="_Toc297120459"/>
      <w:bookmarkStart w:id="24" w:name="_Toc296891199"/>
      <w:bookmarkStart w:id="25" w:name="_Toc296503159"/>
      <w:bookmarkStart w:id="26" w:name="_Toc297216151"/>
      <w:bookmarkStart w:id="27" w:name="_Toc303539102"/>
      <w:r>
        <w:rPr>
          <w:rFonts w:hint="eastAsia" w:ascii="宋体" w:hAnsi="宋体" w:cs="宋体"/>
          <w:szCs w:val="21"/>
        </w:rPr>
        <w:t>.5 分包</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AE401D3">
      <w:pPr>
        <w:spacing w:line="360" w:lineRule="exact"/>
        <w:ind w:firstLine="420" w:firstLineChars="200"/>
        <w:rPr>
          <w:rFonts w:ascii="宋体" w:hAnsi="宋体" w:cs="宋体"/>
          <w:szCs w:val="21"/>
        </w:rPr>
      </w:pPr>
      <w:r>
        <w:rPr>
          <w:rFonts w:hint="eastAsia" w:ascii="宋体" w:hAnsi="宋体" w:cs="宋体"/>
          <w:szCs w:val="21"/>
        </w:rPr>
        <w:t>3</w:t>
      </w:r>
      <w:bookmarkStart w:id="28" w:name="_Toc292559870"/>
      <w:bookmarkStart w:id="29" w:name="_Toc297048346"/>
      <w:bookmarkStart w:id="30" w:name="_Toc297120460"/>
      <w:bookmarkStart w:id="31" w:name="_Toc296346661"/>
      <w:bookmarkStart w:id="32" w:name="_Toc297216152"/>
      <w:bookmarkStart w:id="33" w:name="_Toc296347159"/>
      <w:bookmarkStart w:id="34" w:name="_Toc300934946"/>
      <w:bookmarkStart w:id="35" w:name="_Toc303539103"/>
      <w:bookmarkStart w:id="36" w:name="_Toc296944499"/>
      <w:bookmarkStart w:id="37" w:name="_Toc292559365"/>
      <w:bookmarkStart w:id="38" w:name="_Toc296890988"/>
      <w:bookmarkStart w:id="39" w:name="_Toc296503160"/>
      <w:bookmarkStart w:id="40" w:name="_Toc296891200"/>
      <w:bookmarkStart w:id="41" w:name="_Toc297123493"/>
      <w:bookmarkStart w:id="42" w:name="_Toc304295524"/>
      <w:bookmarkStart w:id="43" w:name="_Toc318581158"/>
      <w:bookmarkStart w:id="44" w:name="_Toc312677989"/>
      <w:r>
        <w:rPr>
          <w:rFonts w:hint="eastAsia" w:ascii="宋体" w:hAnsi="宋体" w:cs="宋体"/>
          <w:szCs w:val="21"/>
        </w:rPr>
        <w:t>.5.1 分包的一般约定</w:t>
      </w:r>
    </w:p>
    <w:p w14:paraId="73CDD18C">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工程主体结构、关键性工作   </w:t>
      </w:r>
      <w:r>
        <w:rPr>
          <w:rFonts w:hint="eastAsia" w:ascii="宋体" w:hAnsi="宋体" w:cs="宋体"/>
          <w:szCs w:val="21"/>
        </w:rPr>
        <w:t>。</w:t>
      </w:r>
    </w:p>
    <w:p w14:paraId="543CC630">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5" w:name="_Toc297123494"/>
      <w:bookmarkStart w:id="46" w:name="_Toc297216153"/>
      <w:bookmarkStart w:id="47" w:name="_Toc297120461"/>
      <w:bookmarkStart w:id="48" w:name="_Toc296891201"/>
      <w:bookmarkStart w:id="49" w:name="_Toc303539104"/>
      <w:bookmarkStart w:id="50" w:name="_Toc296890989"/>
      <w:bookmarkStart w:id="51" w:name="_Toc297048347"/>
      <w:bookmarkStart w:id="52" w:name="_Toc296346662"/>
      <w:bookmarkStart w:id="53" w:name="_Toc304295525"/>
      <w:bookmarkStart w:id="54" w:name="_Toc296347160"/>
      <w:bookmarkStart w:id="55" w:name="_Toc296503161"/>
      <w:bookmarkStart w:id="56" w:name="_Toc296944500"/>
      <w:bookmarkStart w:id="57" w:name="_Toc300934947"/>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098C89C">
      <w:pPr>
        <w:spacing w:line="360" w:lineRule="exact"/>
        <w:rPr>
          <w:rFonts w:ascii="宋体" w:hAnsi="宋体" w:cs="宋体"/>
          <w:szCs w:val="21"/>
        </w:rPr>
      </w:pPr>
      <w:r>
        <w:rPr>
          <w:rFonts w:hint="eastAsia" w:ascii="宋体" w:hAnsi="宋体" w:cs="宋体"/>
          <w:szCs w:val="21"/>
        </w:rPr>
        <w:t xml:space="preserve">    3</w:t>
      </w:r>
      <w:bookmarkStart w:id="58" w:name="_Toc312677990"/>
      <w:bookmarkStart w:id="59" w:name="_Toc318581159"/>
      <w:r>
        <w:rPr>
          <w:rFonts w:hint="eastAsia" w:ascii="宋体" w:hAnsi="宋体" w:cs="宋体"/>
          <w:szCs w:val="21"/>
        </w:rPr>
        <w:t>.5.2分包的确定</w:t>
      </w:r>
    </w:p>
    <w:p w14:paraId="5DE2A44F">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2E0C4E1C">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34372C5D">
      <w:pPr>
        <w:spacing w:line="360" w:lineRule="exact"/>
        <w:ind w:firstLine="420" w:firstLineChars="200"/>
        <w:rPr>
          <w:rFonts w:ascii="宋体" w:hAnsi="宋体" w:cs="宋体"/>
          <w:szCs w:val="21"/>
        </w:rPr>
      </w:pPr>
      <w:r>
        <w:rPr>
          <w:rFonts w:hint="eastAsia" w:ascii="宋体" w:hAnsi="宋体" w:cs="宋体"/>
          <w:szCs w:val="21"/>
        </w:rPr>
        <w:t>3.5.4 分包合同价款</w:t>
      </w:r>
    </w:p>
    <w:p w14:paraId="26081777">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bookmarkEnd w:id="58"/>
    <w:bookmarkEnd w:id="59"/>
    <w:p w14:paraId="3028EB3D">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14:paraId="4C5AFB92">
      <w:pPr>
        <w:spacing w:line="360" w:lineRule="exact"/>
        <w:ind w:firstLine="420" w:firstLineChars="200"/>
        <w:rPr>
          <w:rFonts w:ascii="宋体" w:hAnsi="宋体" w:cs="宋体"/>
          <w:szCs w:val="21"/>
          <w:u w:val="single"/>
        </w:rPr>
      </w:pPr>
      <w:r>
        <w:rPr>
          <w:rFonts w:hint="eastAsia" w:ascii="宋体" w:hAnsi="宋体" w:cs="宋体"/>
          <w:szCs w:val="21"/>
        </w:rPr>
        <w:t>承包人负责照管工程及工程相关的材料、工程设备的起始时间：</w:t>
      </w:r>
      <w:r>
        <w:rPr>
          <w:rFonts w:hint="eastAsia" w:ascii="宋体" w:hAnsi="宋体" w:cs="宋体"/>
          <w:szCs w:val="21"/>
          <w:u w:val="single"/>
        </w:rPr>
        <w:t>按合同通用条款执行</w:t>
      </w:r>
      <w:r>
        <w:rPr>
          <w:rFonts w:hint="eastAsia" w:ascii="宋体" w:hAnsi="宋体" w:cs="宋体"/>
          <w:szCs w:val="21"/>
        </w:rPr>
        <w:t>。</w:t>
      </w:r>
    </w:p>
    <w:p w14:paraId="7FEF733D">
      <w:pPr>
        <w:spacing w:line="360" w:lineRule="exact"/>
        <w:ind w:firstLine="420" w:firstLineChars="200"/>
        <w:rPr>
          <w:rFonts w:ascii="宋体" w:hAnsi="宋体" w:cs="宋体"/>
          <w:szCs w:val="21"/>
        </w:rPr>
      </w:pPr>
      <w:r>
        <w:rPr>
          <w:rFonts w:hint="eastAsia" w:ascii="宋体" w:hAnsi="宋体" w:cs="宋体"/>
          <w:szCs w:val="21"/>
        </w:rPr>
        <w:t>3.7 履约担保</w:t>
      </w:r>
    </w:p>
    <w:p w14:paraId="0B49D46D">
      <w:pPr>
        <w:spacing w:line="36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15B8CCC9">
      <w:pPr>
        <w:spacing w:line="360" w:lineRule="exact"/>
        <w:ind w:firstLine="420" w:firstLineChars="200"/>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w:t>
      </w:r>
      <w:r>
        <w:rPr>
          <w:rFonts w:hint="eastAsia" w:ascii="宋体" w:hAnsi="宋体" w:cs="宋体"/>
          <w:szCs w:val="21"/>
        </w:rPr>
        <w:t>。</w:t>
      </w:r>
    </w:p>
    <w:p w14:paraId="1CBF344D">
      <w:pPr>
        <w:pStyle w:val="9"/>
        <w:spacing w:before="0" w:after="0" w:line="360" w:lineRule="exact"/>
        <w:rPr>
          <w:rFonts w:ascii="宋体" w:hAnsi="宋体" w:eastAsia="宋体" w:cs="宋体"/>
          <w:b w:val="0"/>
          <w:sz w:val="21"/>
          <w:szCs w:val="21"/>
        </w:rPr>
      </w:pPr>
      <w:bookmarkStart w:id="60" w:name="_Toc351203636"/>
      <w:r>
        <w:rPr>
          <w:rFonts w:hint="eastAsia" w:ascii="宋体" w:hAnsi="宋体" w:eastAsia="宋体" w:cs="宋体"/>
          <w:b w:val="0"/>
          <w:sz w:val="21"/>
          <w:szCs w:val="21"/>
        </w:rPr>
        <w:t>4</w:t>
      </w:r>
      <w:bookmarkStart w:id="61" w:name="_Toc296890990"/>
      <w:bookmarkStart w:id="62" w:name="_Toc297048348"/>
      <w:bookmarkStart w:id="63" w:name="_Toc297120462"/>
      <w:bookmarkStart w:id="64" w:name="_Toc296346663"/>
      <w:bookmarkStart w:id="65" w:name="_Toc296347161"/>
      <w:bookmarkStart w:id="66" w:name="_Toc267251413"/>
      <w:bookmarkStart w:id="67" w:name="_Toc292559871"/>
      <w:bookmarkStart w:id="68" w:name="_Toc296503162"/>
      <w:bookmarkStart w:id="69" w:name="_Toc292559366"/>
      <w:bookmarkStart w:id="70" w:name="_Toc296891202"/>
      <w:bookmarkStart w:id="71" w:name="_Toc296944501"/>
      <w:r>
        <w:rPr>
          <w:rFonts w:hint="eastAsia" w:ascii="宋体" w:hAnsi="宋体" w:eastAsia="宋体" w:cs="宋体"/>
          <w:b w:val="0"/>
          <w:sz w:val="21"/>
          <w:szCs w:val="21"/>
        </w:rPr>
        <w:t>. 监</w:t>
      </w:r>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 w:val="0"/>
          <w:sz w:val="21"/>
          <w:szCs w:val="21"/>
        </w:rPr>
        <w:t>理人</w:t>
      </w:r>
      <w:bookmarkEnd w:id="60"/>
    </w:p>
    <w:p w14:paraId="4B876661">
      <w:pPr>
        <w:spacing w:line="360" w:lineRule="exact"/>
        <w:ind w:firstLine="420" w:firstLineChars="200"/>
        <w:rPr>
          <w:rFonts w:ascii="宋体" w:hAnsi="宋体" w:cs="宋体"/>
          <w:szCs w:val="21"/>
        </w:rPr>
      </w:pPr>
      <w:r>
        <w:rPr>
          <w:rFonts w:hint="eastAsia" w:ascii="宋体" w:hAnsi="宋体" w:cs="宋体"/>
          <w:szCs w:val="21"/>
        </w:rPr>
        <w:t>4.1监理人的一般规定</w:t>
      </w:r>
    </w:p>
    <w:p w14:paraId="2A0C76D5">
      <w:pPr>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020FFBA1">
      <w:pPr>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78219FCD">
      <w:pPr>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0F86B112">
      <w:pPr>
        <w:spacing w:line="360" w:lineRule="exact"/>
        <w:ind w:firstLine="420" w:firstLineChars="200"/>
        <w:rPr>
          <w:rFonts w:ascii="宋体" w:hAnsi="宋体" w:cs="宋体"/>
          <w:szCs w:val="21"/>
        </w:rPr>
      </w:pPr>
      <w:r>
        <w:rPr>
          <w:rFonts w:hint="eastAsia" w:ascii="宋体" w:hAnsi="宋体" w:cs="宋体"/>
          <w:szCs w:val="21"/>
        </w:rPr>
        <w:t>4.2 监理人员</w:t>
      </w:r>
    </w:p>
    <w:p w14:paraId="73777544">
      <w:pPr>
        <w:spacing w:line="360" w:lineRule="exact"/>
        <w:ind w:firstLine="420" w:firstLineChars="200"/>
        <w:rPr>
          <w:rFonts w:ascii="宋体" w:hAnsi="宋体" w:cs="宋体"/>
          <w:szCs w:val="21"/>
        </w:rPr>
      </w:pPr>
      <w:r>
        <w:rPr>
          <w:rFonts w:hint="eastAsia" w:ascii="宋体" w:hAnsi="宋体" w:cs="宋体"/>
          <w:szCs w:val="21"/>
        </w:rPr>
        <w:t>总监理工程师：</w:t>
      </w:r>
    </w:p>
    <w:p w14:paraId="62A88D5E">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1A88D122">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D322DF1">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166C9735">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780E28A7">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7C8F2DDA">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F17B5FE">
      <w:pPr>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r>
        <w:rPr>
          <w:rFonts w:hint="eastAsia" w:ascii="宋体" w:hAnsi="宋体" w:cs="宋体"/>
          <w:szCs w:val="21"/>
          <w:u w:val="single"/>
        </w:rPr>
        <w:t>                。</w:t>
      </w:r>
    </w:p>
    <w:p w14:paraId="465A6D6D">
      <w:pPr>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0503E608">
      <w:pPr>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12084574">
      <w:pPr>
        <w:spacing w:line="360" w:lineRule="exact"/>
        <w:ind w:firstLine="420" w:firstLineChars="200"/>
        <w:rPr>
          <w:rFonts w:ascii="宋体" w:hAnsi="宋体" w:cs="宋体"/>
          <w:szCs w:val="21"/>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175E35E5">
      <w:pPr>
        <w:spacing w:line="360" w:lineRule="exact"/>
        <w:ind w:firstLine="420" w:firstLineChars="200"/>
        <w:rPr>
          <w:rFonts w:ascii="宋体" w:hAnsi="宋体" w:cs="宋体"/>
          <w:szCs w:val="21"/>
        </w:rPr>
      </w:pPr>
      <w:r>
        <w:rPr>
          <w:rFonts w:hint="eastAsia" w:ascii="宋体" w:hAnsi="宋体" w:cs="宋体"/>
          <w:szCs w:val="21"/>
        </w:rPr>
        <w:t>4.4 商定或确定</w:t>
      </w:r>
    </w:p>
    <w:p w14:paraId="1B781F6C">
      <w:pPr>
        <w:spacing w:line="360" w:lineRule="exact"/>
        <w:ind w:firstLine="420" w:firstLineChars="200"/>
        <w:rPr>
          <w:rFonts w:ascii="宋体" w:hAnsi="宋体" w:cs="宋体"/>
          <w:szCs w:val="21"/>
        </w:rPr>
      </w:pPr>
      <w:bookmarkStart w:id="72" w:name="_Toc267251418"/>
      <w:r>
        <w:rPr>
          <w:rFonts w:hint="eastAsia" w:ascii="宋体" w:hAnsi="宋体" w:cs="宋体"/>
          <w:szCs w:val="21"/>
        </w:rPr>
        <w:t>在发包人和承包人不能通过协商达成一致意见时，发包人授权监理人对以下事项进行确定：</w:t>
      </w:r>
    </w:p>
    <w:p w14:paraId="09966F3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451D7DC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409DD92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141A6D4F">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5</w:t>
      </w:r>
      <w:bookmarkEnd w:id="72"/>
      <w:r>
        <w:rPr>
          <w:rFonts w:hint="eastAsia" w:ascii="宋体" w:hAnsi="宋体" w:eastAsia="宋体" w:cs="宋体"/>
          <w:b w:val="0"/>
          <w:sz w:val="21"/>
          <w:szCs w:val="21"/>
        </w:rPr>
        <w:t>. 工程质量</w:t>
      </w:r>
    </w:p>
    <w:p w14:paraId="370CF96D">
      <w:pPr>
        <w:spacing w:line="360" w:lineRule="exact"/>
        <w:ind w:firstLine="420" w:firstLineChars="200"/>
        <w:rPr>
          <w:rFonts w:ascii="宋体" w:hAnsi="宋体" w:cs="宋体"/>
          <w:szCs w:val="21"/>
        </w:rPr>
      </w:pPr>
      <w:r>
        <w:rPr>
          <w:rFonts w:hint="eastAsia" w:ascii="宋体" w:hAnsi="宋体" w:cs="宋体"/>
          <w:szCs w:val="21"/>
        </w:rPr>
        <w:t>5.1 质量要求</w:t>
      </w:r>
    </w:p>
    <w:p w14:paraId="68F5F442">
      <w:pPr>
        <w:spacing w:line="360" w:lineRule="exact"/>
        <w:ind w:firstLine="420" w:firstLineChars="200"/>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              </w:t>
      </w:r>
      <w:r>
        <w:rPr>
          <w:rFonts w:hint="eastAsia" w:ascii="宋体" w:hAnsi="宋体" w:cs="宋体"/>
          <w:szCs w:val="21"/>
        </w:rPr>
        <w:t>。</w:t>
      </w:r>
    </w:p>
    <w:p w14:paraId="0845B0B5">
      <w:pPr>
        <w:spacing w:line="360" w:lineRule="exact"/>
        <w:ind w:firstLine="420" w:firstLineChars="200"/>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3AA20A59">
      <w:pPr>
        <w:spacing w:line="360" w:lineRule="exact"/>
        <w:ind w:firstLine="420" w:firstLineChars="200"/>
        <w:rPr>
          <w:rFonts w:ascii="宋体" w:hAnsi="宋体" w:cs="宋体"/>
          <w:szCs w:val="21"/>
        </w:rPr>
      </w:pPr>
      <w:r>
        <w:rPr>
          <w:rFonts w:hint="eastAsia" w:ascii="宋体" w:hAnsi="宋体" w:cs="宋体"/>
          <w:szCs w:val="21"/>
        </w:rPr>
        <w:t>5.3 隐蔽工程检查</w:t>
      </w:r>
    </w:p>
    <w:p w14:paraId="12BCDC54">
      <w:pPr>
        <w:spacing w:line="360" w:lineRule="exact"/>
        <w:ind w:firstLine="420" w:firstLineChars="200"/>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64ED13CB">
      <w:pPr>
        <w:spacing w:line="36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59320C09">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497D14AF">
      <w:pPr>
        <w:spacing w:line="360" w:lineRule="exact"/>
        <w:ind w:firstLine="420" w:firstLineChars="200"/>
        <w:rPr>
          <w:rFonts w:ascii="宋体" w:hAnsi="宋体" w:cs="宋体"/>
          <w:szCs w:val="21"/>
          <w:u w:val="single"/>
        </w:rPr>
      </w:pPr>
      <w:r>
        <w:rPr>
          <w:rFonts w:hint="eastAsia" w:ascii="宋体" w:hAnsi="宋体" w:cs="宋体"/>
          <w:szCs w:val="21"/>
          <w:u w:val="single"/>
        </w:rPr>
        <w:t>隐蔽工程验收过程、验收部位除办理纸质验收记录，还应留置验收部位、验收过程、主要验收人员相片、影像等资料。</w:t>
      </w:r>
    </w:p>
    <w:p w14:paraId="66BFC75E">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6. 安全文明施工与环境保护</w:t>
      </w:r>
    </w:p>
    <w:p w14:paraId="6B8CA70D">
      <w:pPr>
        <w:spacing w:line="360" w:lineRule="exact"/>
        <w:ind w:firstLine="420" w:firstLineChars="200"/>
        <w:rPr>
          <w:rFonts w:ascii="宋体" w:hAnsi="宋体" w:cs="宋体"/>
          <w:szCs w:val="21"/>
        </w:rPr>
      </w:pPr>
      <w:r>
        <w:rPr>
          <w:rFonts w:hint="eastAsia" w:ascii="宋体" w:hAnsi="宋体" w:cs="宋体"/>
          <w:szCs w:val="21"/>
        </w:rPr>
        <w:t>6.1安全文明施工</w:t>
      </w:r>
    </w:p>
    <w:p w14:paraId="5906421A">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b/>
          <w:szCs w:val="21"/>
          <w:u w:val="single"/>
        </w:rPr>
        <w:t>按《浙江省建筑施工安全标准化管理规定》（浙建建〔2012〕54号）及省、市建筑业、安全监督等相关主管部门发布的有关管理规定执行</w:t>
      </w:r>
      <w:r>
        <w:rPr>
          <w:rFonts w:hint="eastAsia" w:ascii="宋体" w:hAnsi="宋体" w:cs="宋体"/>
          <w:szCs w:val="21"/>
        </w:rPr>
        <w:t>。</w:t>
      </w:r>
    </w:p>
    <w:p w14:paraId="76A32948">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16BF0172">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1EDAF3FD">
      <w:pPr>
        <w:spacing w:line="360" w:lineRule="exact"/>
        <w:ind w:firstLine="420" w:firstLineChars="200"/>
        <w:rPr>
          <w:rFonts w:ascii="宋体" w:hAnsi="宋体" w:cs="宋体"/>
          <w:szCs w:val="21"/>
        </w:rPr>
      </w:pPr>
      <w:r>
        <w:rPr>
          <w:rFonts w:hint="eastAsia" w:ascii="宋体" w:hAnsi="宋体" w:cs="宋体"/>
          <w:szCs w:val="21"/>
        </w:rPr>
        <w:t>6.1.5 文明施工</w:t>
      </w:r>
    </w:p>
    <w:p w14:paraId="32E67258">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r>
        <w:rPr>
          <w:rFonts w:hint="eastAsia" w:ascii="宋体" w:hAnsi="宋体" w:cs="宋体"/>
          <w:szCs w:val="21"/>
          <w:u w:val="single"/>
        </w:rPr>
        <w:t>〔创国家、省、市、县（市、区）级安标化工地〕</w:t>
      </w:r>
    </w:p>
    <w:p w14:paraId="00A47B49">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关于安全文明施工费支付比例和支付期限的约定：安</w:t>
      </w:r>
      <w:r>
        <w:rPr>
          <w:rFonts w:hint="eastAsia" w:ascii="宋体" w:hAnsi="宋体" w:cs="宋体"/>
          <w:szCs w:val="21"/>
          <w:u w:val="single"/>
        </w:rPr>
        <w:t>全文明施工费预付费用包含在工程预付款内，与工程预付款一并支付，支付比例为安全文明施工费（不含创标化工地增加费）总额的（ 50  ）% ，金额为（    ）元(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rPr>
        <w:t>。</w:t>
      </w:r>
    </w:p>
    <w:p w14:paraId="20CD174D">
      <w:pPr>
        <w:spacing w:line="360" w:lineRule="exact"/>
        <w:ind w:firstLine="420" w:firstLineChars="200"/>
        <w:rPr>
          <w:rFonts w:ascii="宋体" w:hAnsi="宋体" w:cs="宋体"/>
          <w:szCs w:val="21"/>
        </w:rPr>
      </w:pPr>
      <w:r>
        <w:rPr>
          <w:rFonts w:hint="eastAsia" w:ascii="宋体" w:hAnsi="宋体" w:cs="宋体"/>
          <w:szCs w:val="21"/>
          <w:u w:val="single"/>
        </w:rPr>
        <w:t xml:space="preserve"> 安全文明施工费包含在签约合同价内。承包人经发包人同意采取合同以外的安全措施所产生的费用，由发、承包人协商处理；未经发包人同意，发包人可不承担由此增加费用；</w:t>
      </w:r>
    </w:p>
    <w:p w14:paraId="73B0669D">
      <w:pPr>
        <w:pStyle w:val="9"/>
        <w:spacing w:before="0" w:after="0" w:line="360" w:lineRule="exact"/>
        <w:rPr>
          <w:rFonts w:ascii="宋体" w:hAnsi="宋体" w:eastAsia="宋体" w:cs="宋体"/>
          <w:b w:val="0"/>
          <w:sz w:val="21"/>
          <w:szCs w:val="21"/>
        </w:rPr>
      </w:pPr>
      <w:bookmarkStart w:id="73" w:name="_Toc351203639"/>
      <w:r>
        <w:rPr>
          <w:rFonts w:hint="eastAsia" w:ascii="宋体" w:hAnsi="宋体" w:eastAsia="宋体" w:cs="宋体"/>
          <w:b w:val="0"/>
          <w:sz w:val="21"/>
          <w:szCs w:val="21"/>
        </w:rPr>
        <w:t>7. 工期和进度</w:t>
      </w:r>
      <w:bookmarkEnd w:id="73"/>
    </w:p>
    <w:p w14:paraId="46942D31">
      <w:pPr>
        <w:spacing w:line="360" w:lineRule="exact"/>
        <w:ind w:firstLine="420" w:firstLineChars="200"/>
        <w:rPr>
          <w:rFonts w:ascii="宋体" w:hAnsi="宋体" w:cs="宋体"/>
          <w:szCs w:val="21"/>
        </w:rPr>
      </w:pPr>
      <w:r>
        <w:rPr>
          <w:rFonts w:hint="eastAsia" w:ascii="宋体" w:hAnsi="宋体" w:cs="宋体"/>
          <w:szCs w:val="21"/>
        </w:rPr>
        <w:t>7.1 施工组织设计</w:t>
      </w:r>
    </w:p>
    <w:p w14:paraId="3EFA7B9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14:paraId="5C6C3B7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14:paraId="744EAF7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7CB0069B">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09DED644">
      <w:pPr>
        <w:spacing w:line="360" w:lineRule="exact"/>
        <w:ind w:firstLine="420" w:firstLineChars="200"/>
        <w:rPr>
          <w:rFonts w:ascii="宋体" w:hAnsi="宋体" w:cs="宋体"/>
          <w:szCs w:val="21"/>
        </w:rPr>
      </w:pPr>
      <w:r>
        <w:rPr>
          <w:rFonts w:hint="eastAsia" w:ascii="宋体" w:hAnsi="宋体" w:cs="宋体"/>
          <w:szCs w:val="21"/>
        </w:rPr>
        <w:t>7</w:t>
      </w:r>
      <w:bookmarkStart w:id="74" w:name="_Toc312678005"/>
      <w:bookmarkStart w:id="75" w:name="_Toc304295541"/>
      <w:bookmarkStart w:id="76" w:name="_Toc312677479"/>
      <w:bookmarkStart w:id="77" w:name="_Toc297216173"/>
      <w:bookmarkStart w:id="78" w:name="_Toc303539123"/>
      <w:bookmarkStart w:id="79" w:name="_Toc300934966"/>
      <w:bookmarkStart w:id="80" w:name="_Toc297123514"/>
      <w:r>
        <w:rPr>
          <w:rFonts w:hint="eastAsia" w:ascii="宋体" w:hAnsi="宋体" w:cs="宋体"/>
          <w:szCs w:val="21"/>
        </w:rPr>
        <w:t>.2 施工进度计划</w:t>
      </w:r>
    </w:p>
    <w:p w14:paraId="0F741ED5">
      <w:pPr>
        <w:spacing w:line="360" w:lineRule="exact"/>
        <w:ind w:firstLine="420" w:firstLineChars="200"/>
        <w:rPr>
          <w:rFonts w:ascii="宋体" w:hAnsi="宋体" w:cs="宋体"/>
          <w:szCs w:val="21"/>
        </w:rPr>
      </w:pPr>
      <w:r>
        <w:rPr>
          <w:rFonts w:hint="eastAsia" w:ascii="宋体" w:hAnsi="宋体" w:cs="宋体"/>
          <w:szCs w:val="21"/>
        </w:rPr>
        <w:t>7.2.2 施工进度计划的修订</w:t>
      </w:r>
    </w:p>
    <w:p w14:paraId="04ADB7F3">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0C248DB1">
      <w:pPr>
        <w:spacing w:line="360" w:lineRule="exact"/>
        <w:ind w:firstLine="420" w:firstLineChars="200"/>
        <w:rPr>
          <w:rFonts w:ascii="宋体" w:hAnsi="宋体" w:cs="宋体"/>
          <w:szCs w:val="21"/>
        </w:rPr>
      </w:pPr>
      <w:r>
        <w:rPr>
          <w:rFonts w:hint="eastAsia" w:ascii="宋体" w:hAnsi="宋体" w:cs="宋体"/>
          <w:szCs w:val="21"/>
        </w:rPr>
        <w:t>7.3 开工</w:t>
      </w:r>
    </w:p>
    <w:p w14:paraId="31DCD3DB">
      <w:pPr>
        <w:spacing w:line="360" w:lineRule="exact"/>
        <w:ind w:firstLine="420" w:firstLineChars="200"/>
        <w:rPr>
          <w:rFonts w:ascii="宋体" w:hAnsi="宋体" w:cs="宋体"/>
          <w:szCs w:val="21"/>
        </w:rPr>
      </w:pPr>
      <w:r>
        <w:rPr>
          <w:rFonts w:hint="eastAsia" w:ascii="宋体" w:hAnsi="宋体" w:cs="宋体"/>
          <w:szCs w:val="21"/>
        </w:rPr>
        <w:t>7.3.1 开工准备</w:t>
      </w:r>
    </w:p>
    <w:p w14:paraId="21AAE2BB">
      <w:pPr>
        <w:spacing w:line="360" w:lineRule="exact"/>
        <w:ind w:firstLine="645"/>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1B121FB7">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7DFF1EBB">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6CC974B3">
      <w:pPr>
        <w:spacing w:line="360" w:lineRule="exact"/>
        <w:ind w:firstLine="420" w:firstLineChars="200"/>
        <w:rPr>
          <w:rFonts w:ascii="宋体" w:hAnsi="宋体" w:cs="宋体"/>
          <w:szCs w:val="21"/>
        </w:rPr>
      </w:pPr>
      <w:r>
        <w:rPr>
          <w:rFonts w:hint="eastAsia" w:ascii="宋体" w:hAnsi="宋体" w:cs="宋体"/>
          <w:szCs w:val="21"/>
        </w:rPr>
        <w:t>7.3.2开工通知</w:t>
      </w:r>
    </w:p>
    <w:p w14:paraId="60D5CADE">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3C933A9C">
      <w:pPr>
        <w:spacing w:line="360" w:lineRule="exact"/>
        <w:ind w:firstLine="420" w:firstLineChars="200"/>
        <w:rPr>
          <w:rFonts w:ascii="宋体" w:hAnsi="宋体" w:cs="宋体"/>
          <w:szCs w:val="21"/>
        </w:rPr>
      </w:pPr>
      <w:r>
        <w:rPr>
          <w:rFonts w:hint="eastAsia" w:ascii="宋体" w:hAnsi="宋体" w:cs="宋体"/>
          <w:szCs w:val="21"/>
        </w:rPr>
        <w:t xml:space="preserve">因发包人原因造成监理人未能在计划开工日期之日起 </w:t>
      </w:r>
      <w:r>
        <w:rPr>
          <w:rFonts w:hint="eastAsia" w:ascii="宋体" w:hAnsi="宋体" w:cs="宋体"/>
          <w:szCs w:val="21"/>
          <w:u w:val="single"/>
        </w:rPr>
        <w:t xml:space="preserve"> 60</w:t>
      </w:r>
      <w:r>
        <w:rPr>
          <w:rFonts w:hint="eastAsia" w:ascii="宋体" w:hAnsi="宋体" w:cs="宋体"/>
          <w:szCs w:val="21"/>
        </w:rPr>
        <w:t>天内发出开工通知的，承包人有权提出价格调整要求，或者解除合同。发包人应当承担由此增加的费用或赔偿承包人的损失。</w:t>
      </w:r>
    </w:p>
    <w:bookmarkEnd w:id="74"/>
    <w:bookmarkEnd w:id="75"/>
    <w:bookmarkEnd w:id="76"/>
    <w:bookmarkEnd w:id="77"/>
    <w:bookmarkEnd w:id="78"/>
    <w:bookmarkEnd w:id="79"/>
    <w:bookmarkEnd w:id="80"/>
    <w:p w14:paraId="3243F5F1">
      <w:pPr>
        <w:spacing w:line="360" w:lineRule="exact"/>
        <w:ind w:firstLine="420" w:firstLineChars="200"/>
        <w:rPr>
          <w:rFonts w:ascii="宋体" w:hAnsi="宋体" w:cs="宋体"/>
          <w:szCs w:val="21"/>
        </w:rPr>
      </w:pPr>
      <w:r>
        <w:rPr>
          <w:rFonts w:hint="eastAsia" w:ascii="宋体" w:hAnsi="宋体" w:cs="宋体"/>
          <w:szCs w:val="21"/>
        </w:rPr>
        <w:t>7.4 测量放线</w:t>
      </w:r>
    </w:p>
    <w:p w14:paraId="6B230EDA">
      <w:pPr>
        <w:spacing w:line="360" w:lineRule="exact"/>
        <w:ind w:firstLine="420" w:firstLineChars="200"/>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20252E43">
      <w:pPr>
        <w:spacing w:line="360" w:lineRule="exact"/>
        <w:ind w:firstLine="420" w:firstLineChars="200"/>
        <w:rPr>
          <w:rFonts w:ascii="宋体" w:hAnsi="宋体" w:cs="宋体"/>
          <w:szCs w:val="21"/>
        </w:rPr>
      </w:pPr>
      <w:r>
        <w:rPr>
          <w:rFonts w:hint="eastAsia" w:ascii="宋体" w:hAnsi="宋体" w:cs="宋体"/>
          <w:szCs w:val="21"/>
        </w:rPr>
        <w:t>7</w:t>
      </w:r>
      <w:bookmarkStart w:id="81" w:name="_Toc297216175"/>
      <w:bookmarkStart w:id="82" w:name="_Toc304295546"/>
      <w:bookmarkStart w:id="83" w:name="_Toc312678010"/>
      <w:bookmarkStart w:id="84" w:name="_Toc312677484"/>
      <w:bookmarkStart w:id="85" w:name="_Toc303539125"/>
      <w:bookmarkStart w:id="86" w:name="_Toc297123516"/>
      <w:bookmarkStart w:id="87" w:name="_Toc300934968"/>
      <w:r>
        <w:rPr>
          <w:rFonts w:hint="eastAsia" w:ascii="宋体" w:hAnsi="宋体" w:cs="宋体"/>
          <w:szCs w:val="21"/>
        </w:rPr>
        <w:t>.5 工期延误</w:t>
      </w:r>
    </w:p>
    <w:bookmarkEnd w:id="81"/>
    <w:bookmarkEnd w:id="82"/>
    <w:bookmarkEnd w:id="83"/>
    <w:bookmarkEnd w:id="84"/>
    <w:bookmarkEnd w:id="85"/>
    <w:bookmarkEnd w:id="86"/>
    <w:bookmarkEnd w:id="87"/>
    <w:p w14:paraId="3295C650">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14:paraId="327D1FEA">
      <w:pPr>
        <w:spacing w:line="360" w:lineRule="exact"/>
        <w:ind w:firstLine="315" w:firstLineChars="15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14:paraId="69A0DE95">
      <w:pPr>
        <w:spacing w:line="360" w:lineRule="exact"/>
        <w:ind w:firstLine="420" w:firstLineChars="200"/>
        <w:rPr>
          <w:rFonts w:ascii="宋体" w:hAnsi="宋体" w:cs="宋体"/>
          <w:szCs w:val="21"/>
        </w:rPr>
      </w:pPr>
      <w:r>
        <w:rPr>
          <w:rFonts w:hint="eastAsia" w:ascii="宋体" w:hAnsi="宋体" w:cs="宋体"/>
          <w:szCs w:val="21"/>
        </w:rPr>
        <w:t>7</w:t>
      </w:r>
      <w:bookmarkStart w:id="88" w:name="_Toc318581169"/>
      <w:bookmarkStart w:id="89" w:name="_Toc312678012"/>
      <w:bookmarkStart w:id="90" w:name="_Toc312677486"/>
      <w:bookmarkStart w:id="91" w:name="_Toc300934970"/>
      <w:bookmarkStart w:id="92" w:name="_Toc297216177"/>
      <w:bookmarkStart w:id="93" w:name="_Toc304295548"/>
      <w:bookmarkStart w:id="94" w:name="_Toc303539127"/>
      <w:bookmarkStart w:id="95" w:name="_Toc297123518"/>
      <w:r>
        <w:rPr>
          <w:rFonts w:hint="eastAsia" w:ascii="宋体" w:hAnsi="宋体" w:cs="宋体"/>
          <w:szCs w:val="21"/>
        </w:rPr>
        <w:t>.5.2 因承包人原因导致工期延误</w:t>
      </w:r>
    </w:p>
    <w:bookmarkEnd w:id="88"/>
    <w:bookmarkEnd w:id="89"/>
    <w:bookmarkEnd w:id="90"/>
    <w:p w14:paraId="53D05535">
      <w:pPr>
        <w:spacing w:line="360" w:lineRule="exact"/>
        <w:ind w:firstLine="420" w:firstLineChars="200"/>
        <w:rPr>
          <w:rFonts w:ascii="宋体" w:hAnsi="宋体" w:cs="宋体"/>
          <w:i/>
          <w:szCs w:val="21"/>
          <w:u w:val="single"/>
        </w:rPr>
      </w:pPr>
      <w:r>
        <w:rPr>
          <w:rFonts w:hint="eastAsia" w:ascii="宋体" w:hAnsi="宋体" w:cs="宋体"/>
          <w:szCs w:val="21"/>
        </w:rPr>
        <w:t>因</w:t>
      </w:r>
      <w:bookmarkStart w:id="96" w:name="_Toc312677487"/>
      <w:bookmarkStart w:id="97" w:name="_Toc312678013"/>
      <w:bookmarkStart w:id="98" w:name="_Toc318581170"/>
      <w:r>
        <w:rPr>
          <w:rFonts w:hint="eastAsia" w:ascii="宋体" w:hAnsi="宋体" w:cs="宋体"/>
          <w:szCs w:val="21"/>
        </w:rPr>
        <w:t>承包人原因造成工期延误，逾期竣工违约金的计算方法为：</w:t>
      </w:r>
      <w:r>
        <w:rPr>
          <w:rFonts w:hint="eastAsia" w:ascii="宋体" w:hAnsi="宋体" w:cs="宋体"/>
          <w:szCs w:val="21"/>
          <w:u w:val="single"/>
        </w:rPr>
        <w:t>每天1000元</w:t>
      </w:r>
      <w:bookmarkEnd w:id="91"/>
      <w:bookmarkEnd w:id="92"/>
      <w:bookmarkEnd w:id="93"/>
      <w:bookmarkEnd w:id="94"/>
      <w:bookmarkEnd w:id="95"/>
      <w:bookmarkEnd w:id="96"/>
      <w:bookmarkEnd w:id="97"/>
      <w:r>
        <w:rPr>
          <w:rFonts w:hint="eastAsia" w:ascii="宋体" w:hAnsi="宋体" w:cs="宋体"/>
          <w:i/>
          <w:szCs w:val="21"/>
          <w:u w:val="single"/>
        </w:rPr>
        <w:t>。</w:t>
      </w:r>
    </w:p>
    <w:bookmarkEnd w:id="98"/>
    <w:p w14:paraId="047998BE">
      <w:pPr>
        <w:spacing w:line="360" w:lineRule="exact"/>
        <w:ind w:firstLine="420" w:firstLineChars="200"/>
        <w:rPr>
          <w:rFonts w:ascii="宋体" w:hAnsi="宋体" w:cs="宋体"/>
          <w:szCs w:val="21"/>
        </w:rPr>
      </w:pPr>
      <w:r>
        <w:rPr>
          <w:rFonts w:hint="eastAsia" w:ascii="宋体" w:hAnsi="宋体" w:cs="宋体"/>
          <w:szCs w:val="21"/>
        </w:rPr>
        <w:t>因承包人原因造成工期延误，逾</w:t>
      </w:r>
      <w:bookmarkStart w:id="99" w:name="_Toc318581171"/>
      <w:bookmarkStart w:id="100" w:name="_Toc312678014"/>
      <w:r>
        <w:rPr>
          <w:rFonts w:hint="eastAsia" w:ascii="宋体" w:hAnsi="宋体" w:cs="宋体"/>
          <w:szCs w:val="21"/>
        </w:rPr>
        <w:t>期竣工违约金的上限：</w:t>
      </w:r>
      <w:r>
        <w:rPr>
          <w:rFonts w:hint="eastAsia" w:ascii="宋体" w:hAnsi="宋体" w:cs="宋体"/>
          <w:szCs w:val="21"/>
          <w:u w:val="single"/>
        </w:rPr>
        <w:t>30000元</w:t>
      </w:r>
      <w:r>
        <w:rPr>
          <w:rFonts w:hint="eastAsia" w:ascii="宋体" w:hAnsi="宋体" w:cs="宋体"/>
          <w:szCs w:val="21"/>
        </w:rPr>
        <w:t>。</w:t>
      </w:r>
    </w:p>
    <w:bookmarkEnd w:id="99"/>
    <w:bookmarkEnd w:id="100"/>
    <w:p w14:paraId="63D37DAD">
      <w:pPr>
        <w:spacing w:line="360" w:lineRule="exact"/>
        <w:ind w:firstLine="420" w:firstLineChars="200"/>
        <w:rPr>
          <w:rFonts w:ascii="宋体" w:hAnsi="宋体" w:cs="宋体"/>
          <w:szCs w:val="21"/>
        </w:rPr>
      </w:pPr>
      <w:r>
        <w:rPr>
          <w:rFonts w:hint="eastAsia" w:ascii="宋体" w:hAnsi="宋体" w:cs="宋体"/>
          <w:szCs w:val="21"/>
        </w:rPr>
        <w:t>7</w:t>
      </w:r>
      <w:bookmarkStart w:id="101" w:name="_Toc297123519"/>
      <w:bookmarkStart w:id="102" w:name="_Toc300934971"/>
      <w:bookmarkStart w:id="103" w:name="_Toc297216178"/>
      <w:bookmarkStart w:id="104" w:name="_Toc304295549"/>
      <w:bookmarkStart w:id="105" w:name="_Toc303539128"/>
      <w:bookmarkStart w:id="106" w:name="_Toc312678015"/>
      <w:r>
        <w:rPr>
          <w:rFonts w:hint="eastAsia" w:ascii="宋体" w:hAnsi="宋体" w:cs="宋体"/>
          <w:szCs w:val="21"/>
        </w:rPr>
        <w:t>.6 不</w:t>
      </w:r>
      <w:bookmarkEnd w:id="101"/>
      <w:bookmarkEnd w:id="102"/>
      <w:bookmarkEnd w:id="103"/>
      <w:bookmarkEnd w:id="104"/>
      <w:bookmarkEnd w:id="105"/>
      <w:bookmarkEnd w:id="106"/>
      <w:r>
        <w:rPr>
          <w:rFonts w:hint="eastAsia" w:ascii="宋体" w:hAnsi="宋体" w:cs="宋体"/>
          <w:szCs w:val="21"/>
        </w:rPr>
        <w:t>利物质条件</w:t>
      </w:r>
    </w:p>
    <w:p w14:paraId="52D76CEA">
      <w:pPr>
        <w:spacing w:line="360" w:lineRule="exact"/>
        <w:ind w:firstLine="420" w:firstLineChars="200"/>
        <w:rPr>
          <w:rFonts w:ascii="宋体" w:hAnsi="宋体" w:cs="宋体"/>
          <w:szCs w:val="21"/>
        </w:rPr>
      </w:pPr>
      <w:bookmarkStart w:id="107" w:name="_Toc297123520"/>
      <w:bookmarkStart w:id="108" w:name="_Toc303539129"/>
      <w:bookmarkStart w:id="109" w:name="_Toc304295550"/>
      <w:bookmarkStart w:id="110" w:name="_Toc300934972"/>
      <w:bookmarkStart w:id="111" w:name="_Toc312678016"/>
      <w:bookmarkStart w:id="112" w:name="_Toc297216179"/>
      <w:bookmarkStart w:id="113" w:name="_Toc318581172"/>
      <w:r>
        <w:rPr>
          <w:rFonts w:hint="eastAsia" w:ascii="宋体" w:hAnsi="宋体" w:cs="宋体"/>
          <w:szCs w:val="21"/>
        </w:rPr>
        <w:t>不利物质条件的其他情形和有关约定：</w:t>
      </w:r>
    </w:p>
    <w:p w14:paraId="3EB2D71D">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14:paraId="08276737">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14:paraId="48EE94B9">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14:paraId="5776CADB">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14:paraId="135D4446">
      <w:pPr>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u w:val="single"/>
        </w:rPr>
        <w:t>地质勘探资料未涉及的地下管道、暗沟、岩层等。</w:t>
      </w:r>
    </w:p>
    <w:bookmarkEnd w:id="107"/>
    <w:bookmarkEnd w:id="108"/>
    <w:bookmarkEnd w:id="109"/>
    <w:bookmarkEnd w:id="110"/>
    <w:bookmarkEnd w:id="111"/>
    <w:bookmarkEnd w:id="112"/>
    <w:bookmarkEnd w:id="113"/>
    <w:p w14:paraId="5665BD18">
      <w:pPr>
        <w:spacing w:line="360" w:lineRule="exact"/>
        <w:ind w:firstLine="420" w:firstLineChars="200"/>
        <w:rPr>
          <w:rFonts w:ascii="宋体" w:hAnsi="宋体" w:cs="宋体"/>
          <w:szCs w:val="21"/>
        </w:rPr>
      </w:pPr>
      <w:r>
        <w:rPr>
          <w:rFonts w:hint="eastAsia" w:ascii="宋体" w:hAnsi="宋体" w:cs="宋体"/>
          <w:szCs w:val="21"/>
        </w:rPr>
        <w:t>7</w:t>
      </w:r>
      <w:bookmarkStart w:id="114" w:name="_Toc300934973"/>
      <w:bookmarkStart w:id="115" w:name="_Toc297123521"/>
      <w:bookmarkStart w:id="116" w:name="_Toc312678017"/>
      <w:bookmarkStart w:id="117" w:name="_Toc304295551"/>
      <w:bookmarkStart w:id="118" w:name="_Toc303539130"/>
      <w:bookmarkStart w:id="119" w:name="_Toc297216180"/>
      <w:r>
        <w:rPr>
          <w:rFonts w:hint="eastAsia" w:ascii="宋体" w:hAnsi="宋体" w:cs="宋体"/>
          <w:szCs w:val="21"/>
        </w:rPr>
        <w:t>.7异常恶劣的气候条件</w:t>
      </w:r>
    </w:p>
    <w:bookmarkEnd w:id="114"/>
    <w:bookmarkEnd w:id="115"/>
    <w:bookmarkEnd w:id="116"/>
    <w:bookmarkEnd w:id="117"/>
    <w:bookmarkEnd w:id="118"/>
    <w:bookmarkEnd w:id="119"/>
    <w:p w14:paraId="5559DF55">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14:paraId="4F22CB19">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8级以上持续24小时的大风（台风）；</w:t>
      </w:r>
    </w:p>
    <w:p w14:paraId="379F1271">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14:paraId="488AABBD">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14:paraId="5178C1DA">
      <w:pPr>
        <w:spacing w:line="360" w:lineRule="exact"/>
        <w:ind w:firstLine="420" w:firstLineChars="200"/>
        <w:rPr>
          <w:rFonts w:ascii="宋体" w:hAnsi="宋体" w:cs="宋体"/>
          <w:szCs w:val="21"/>
        </w:rPr>
      </w:pPr>
      <w:r>
        <w:rPr>
          <w:rFonts w:hint="eastAsia" w:ascii="宋体" w:hAnsi="宋体" w:cs="宋体"/>
          <w:szCs w:val="21"/>
        </w:rPr>
        <w:t>7.9 提前竣工的奖励</w:t>
      </w:r>
    </w:p>
    <w:p w14:paraId="0C26895C">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14:paraId="1EAFC891">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8. 材料与设备</w:t>
      </w:r>
    </w:p>
    <w:p w14:paraId="3940FEE0">
      <w:pPr>
        <w:spacing w:line="360" w:lineRule="exact"/>
        <w:ind w:firstLine="615"/>
        <w:rPr>
          <w:rFonts w:ascii="宋体" w:hAnsi="宋体" w:cs="宋体"/>
          <w:szCs w:val="21"/>
        </w:rPr>
      </w:pPr>
      <w:r>
        <w:rPr>
          <w:rFonts w:hint="eastAsia" w:ascii="宋体" w:hAnsi="宋体" w:cs="宋体"/>
          <w:szCs w:val="21"/>
        </w:rPr>
        <w:t>8.1 发包人供应材料与工程设备</w:t>
      </w:r>
    </w:p>
    <w:p w14:paraId="0F0600DB">
      <w:pPr>
        <w:spacing w:line="360" w:lineRule="exact"/>
        <w:ind w:firstLine="615"/>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086FFC93">
      <w:pPr>
        <w:spacing w:line="360" w:lineRule="exact"/>
        <w:ind w:firstLine="615"/>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w:t>
      </w:r>
    </w:p>
    <w:p w14:paraId="3885601C">
      <w:pPr>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14:paraId="0E6C5142">
      <w:pPr>
        <w:snapToGrid w:val="0"/>
        <w:spacing w:line="36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w:t>
      </w:r>
    </w:p>
    <w:p w14:paraId="5BAAA02E">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（2）本工程已确定承包价的建筑材料均由承包人自行询价、采购、运输和保管。新型墙体材料的使用须符合相关规定，否则相关押金由承包人承担。</w:t>
      </w:r>
    </w:p>
    <w:p w14:paraId="1DBEC1C7">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（3）本工程要求使用材料要求（如商品砼、商品砂浆、保温节能材料等）。</w:t>
      </w:r>
    </w:p>
    <w:p w14:paraId="7C1F0142">
      <w:pPr>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（4）所有材料必须有质保书或合格证，符合施工图纸和规范要求，且品牌、产地需报发包人备案，否则，因此产生的后果均由承包人负责。</w:t>
      </w:r>
    </w:p>
    <w:p w14:paraId="2B84F09E">
      <w:pPr>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685F94FC">
      <w:pPr>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4DEFE854">
      <w:pPr>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33E4A37B">
      <w:pPr>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0C5BA222">
      <w:pPr>
        <w:spacing w:line="360" w:lineRule="exact"/>
        <w:ind w:firstLine="420" w:firstLineChars="200"/>
        <w:rPr>
          <w:rFonts w:ascii="宋体" w:hAnsi="宋体" w:cs="宋体"/>
          <w:szCs w:val="21"/>
        </w:rPr>
      </w:pPr>
      <w:r>
        <w:rPr>
          <w:rFonts w:hint="eastAsia" w:ascii="宋体" w:hAnsi="宋体" w:cs="宋体"/>
          <w:szCs w:val="21"/>
        </w:rPr>
        <w:t>8</w:t>
      </w:r>
      <w:bookmarkStart w:id="120" w:name="_Toc280868654"/>
      <w:bookmarkStart w:id="121" w:name="_Toc296944506"/>
      <w:bookmarkStart w:id="122" w:name="_Toc296347166"/>
      <w:bookmarkStart w:id="123" w:name="_Toc304295556"/>
      <w:bookmarkStart w:id="124" w:name="_Toc296346668"/>
      <w:bookmarkStart w:id="125" w:name="_Toc297048353"/>
      <w:bookmarkStart w:id="126" w:name="_Toc292559877"/>
      <w:bookmarkStart w:id="127" w:name="_Toc297120467"/>
      <w:bookmarkStart w:id="128" w:name="_Toc312677493"/>
      <w:bookmarkStart w:id="129" w:name="_Toc300934979"/>
      <w:bookmarkStart w:id="130" w:name="_Toc296890995"/>
      <w:bookmarkStart w:id="131" w:name="_Toc303539136"/>
      <w:bookmarkStart w:id="132" w:name="_Toc296503167"/>
      <w:bookmarkStart w:id="133" w:name="_Toc292559372"/>
      <w:bookmarkStart w:id="134" w:name="_Toc296891207"/>
      <w:bookmarkStart w:id="135" w:name="_Toc312678019"/>
      <w:bookmarkStart w:id="136" w:name="_Toc297216186"/>
      <w:bookmarkStart w:id="137" w:name="_Toc297123527"/>
      <w:bookmarkStart w:id="138" w:name="_Toc280868655"/>
      <w:bookmarkStart w:id="139" w:name="_Toc280868656"/>
      <w:bookmarkStart w:id="140" w:name="_Toc267251424"/>
      <w:r>
        <w:rPr>
          <w:rFonts w:hint="eastAsia" w:ascii="宋体" w:hAnsi="宋体" w:cs="宋体"/>
          <w:szCs w:val="21"/>
        </w:rPr>
        <w:t>.4材料与工程设备的保管与使用</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6C2ED246">
      <w:pPr>
        <w:spacing w:line="360" w:lineRule="exact"/>
        <w:ind w:firstLine="420" w:firstLineChars="200"/>
        <w:rPr>
          <w:rFonts w:ascii="宋体" w:hAnsi="宋体" w:cs="宋体"/>
          <w:szCs w:val="21"/>
        </w:rPr>
      </w:pPr>
      <w:r>
        <w:rPr>
          <w:rFonts w:hint="eastAsia" w:ascii="宋体" w:hAnsi="宋体" w:cs="宋体"/>
          <w:szCs w:val="21"/>
        </w:rPr>
        <w:t>8</w:t>
      </w:r>
      <w:bookmarkStart w:id="141" w:name="_Toc292559373"/>
      <w:bookmarkStart w:id="142" w:name="_Toc292559878"/>
      <w:bookmarkStart w:id="143" w:name="_Toc296944507"/>
      <w:bookmarkStart w:id="144" w:name="_Toc297120468"/>
      <w:bookmarkStart w:id="145" w:name="_Toc296503168"/>
      <w:bookmarkStart w:id="146" w:name="_Toc297048354"/>
      <w:bookmarkStart w:id="147" w:name="_Toc297216187"/>
      <w:bookmarkStart w:id="148" w:name="_Toc296890996"/>
      <w:bookmarkStart w:id="149" w:name="_Toc304295557"/>
      <w:bookmarkStart w:id="150" w:name="_Toc296346669"/>
      <w:bookmarkStart w:id="151" w:name="_Toc312678020"/>
      <w:bookmarkStart w:id="152" w:name="_Toc303539137"/>
      <w:bookmarkStart w:id="153" w:name="_Toc312677494"/>
      <w:bookmarkStart w:id="154" w:name="_Toc296347167"/>
      <w:bookmarkStart w:id="155" w:name="_Toc296891208"/>
      <w:bookmarkStart w:id="156" w:name="_Toc300934980"/>
      <w:bookmarkStart w:id="157" w:name="_Toc318581173"/>
      <w:bookmarkStart w:id="158" w:name="_Toc297123528"/>
      <w:r>
        <w:rPr>
          <w:rFonts w:hint="eastAsia" w:ascii="宋体" w:hAnsi="宋体" w:cs="宋体"/>
          <w:szCs w:val="21"/>
        </w:rPr>
        <w:t>.4.1发包人供应的材料设备的保管费用的承担：</w:t>
      </w:r>
      <w:r>
        <w:rPr>
          <w:rFonts w:hint="eastAsia" w:ascii="宋体" w:hAnsi="宋体" w:cs="宋体"/>
          <w:szCs w:val="21"/>
          <w:u w:val="single"/>
        </w:rPr>
        <w:t>（可参考《浙江省建设工程费用定额（2010版）》计算计取总承包服务费）。</w:t>
      </w:r>
      <w:bookmarkEnd w:id="141"/>
      <w:bookmarkEnd w:id="142"/>
    </w:p>
    <w:p w14:paraId="3FF2973F">
      <w:pPr>
        <w:spacing w:line="360" w:lineRule="exact"/>
        <w:ind w:firstLine="420" w:firstLineChars="200"/>
        <w:rPr>
          <w:rFonts w:ascii="宋体" w:hAnsi="宋体" w:cs="宋体"/>
          <w:szCs w:val="21"/>
        </w:rPr>
      </w:pPr>
      <w:r>
        <w:rPr>
          <w:rFonts w:hint="eastAsia" w:ascii="宋体" w:hAnsi="宋体" w:cs="宋体"/>
          <w:szCs w:val="21"/>
        </w:rPr>
        <w:t>8.6 样品</w:t>
      </w:r>
    </w:p>
    <w:p w14:paraId="1B3F5BF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8.6.1 样品的报送与封存</w:t>
      </w:r>
    </w:p>
    <w:p w14:paraId="7E59781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rFonts w:hint="eastAsia" w:ascii="宋体" w:hAnsi="宋体" w:cs="宋体"/>
          <w:szCs w:val="21"/>
        </w:rPr>
        <w:t>。</w:t>
      </w:r>
    </w:p>
    <w:p w14:paraId="14413D82">
      <w:pPr>
        <w:spacing w:line="360" w:lineRule="exact"/>
        <w:ind w:firstLine="420" w:firstLineChars="200"/>
        <w:rPr>
          <w:rFonts w:ascii="宋体" w:hAnsi="宋体" w:cs="宋体"/>
          <w:szCs w:val="21"/>
        </w:rPr>
      </w:pPr>
      <w:r>
        <w:rPr>
          <w:rFonts w:hint="eastAsia" w:ascii="宋体" w:hAnsi="宋体" w:cs="宋体"/>
          <w:szCs w:val="21"/>
        </w:rPr>
        <w:t>8.8 施工设备和临时设施</w:t>
      </w:r>
    </w:p>
    <w:p w14:paraId="5EE83FE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14:paraId="5932ACF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20D45164">
      <w:pPr>
        <w:pStyle w:val="9"/>
        <w:spacing w:before="0" w:after="0" w:line="360" w:lineRule="exact"/>
        <w:rPr>
          <w:rFonts w:ascii="宋体" w:hAnsi="宋体" w:eastAsia="宋体" w:cs="宋体"/>
          <w:b w:val="0"/>
          <w:sz w:val="21"/>
          <w:szCs w:val="21"/>
        </w:rPr>
      </w:pPr>
      <w:bookmarkStart w:id="159" w:name="_Toc351203641"/>
      <w:r>
        <w:rPr>
          <w:rFonts w:hint="eastAsia" w:ascii="宋体" w:hAnsi="宋体" w:eastAsia="宋体" w:cs="宋体"/>
          <w:b w:val="0"/>
          <w:sz w:val="21"/>
          <w:szCs w:val="21"/>
        </w:rPr>
        <w:t>9</w:t>
      </w:r>
      <w:bookmarkEnd w:id="138"/>
      <w:bookmarkEnd w:id="139"/>
      <w:bookmarkEnd w:id="140"/>
      <w:bookmarkStart w:id="160" w:name="_Toc304295559"/>
      <w:bookmarkStart w:id="161" w:name="_Toc312677495"/>
      <w:bookmarkStart w:id="162" w:name="_Toc300934982"/>
      <w:bookmarkStart w:id="163" w:name="_Toc297216192"/>
      <w:bookmarkStart w:id="164" w:name="_Toc303539139"/>
      <w:bookmarkStart w:id="165" w:name="_Toc297123533"/>
      <w:bookmarkStart w:id="166" w:name="_Toc312678021"/>
      <w:bookmarkStart w:id="167" w:name="_Toc267251428"/>
      <w:bookmarkStart w:id="168" w:name="_Toc296891213"/>
      <w:bookmarkStart w:id="169" w:name="_Toc296347172"/>
      <w:bookmarkStart w:id="170" w:name="_Toc267251427"/>
      <w:bookmarkStart w:id="171" w:name="_Toc296346674"/>
      <w:bookmarkStart w:id="172" w:name="_Toc296944512"/>
      <w:bookmarkStart w:id="173" w:name="_Toc292559378"/>
      <w:bookmarkStart w:id="174" w:name="_Toc297048359"/>
      <w:bookmarkStart w:id="175" w:name="_Toc296891001"/>
      <w:bookmarkStart w:id="176" w:name="_Toc296503173"/>
      <w:bookmarkStart w:id="177" w:name="_Toc292559883"/>
      <w:bookmarkStart w:id="178" w:name="_Toc297120473"/>
      <w:r>
        <w:rPr>
          <w:rFonts w:hint="eastAsia" w:ascii="宋体" w:hAnsi="宋体" w:eastAsia="宋体" w:cs="宋体"/>
          <w:b w:val="0"/>
          <w:sz w:val="21"/>
          <w:szCs w:val="21"/>
        </w:rPr>
        <w:t>. 试验与检验</w:t>
      </w:r>
      <w:bookmarkEnd w:id="159"/>
    </w:p>
    <w:bookmarkEnd w:id="160"/>
    <w:bookmarkEnd w:id="161"/>
    <w:bookmarkEnd w:id="162"/>
    <w:bookmarkEnd w:id="163"/>
    <w:bookmarkEnd w:id="164"/>
    <w:bookmarkEnd w:id="165"/>
    <w:bookmarkEnd w:id="166"/>
    <w:p w14:paraId="0759BB3D">
      <w:pPr>
        <w:spacing w:line="360" w:lineRule="exact"/>
        <w:ind w:firstLine="420" w:firstLineChars="200"/>
        <w:rPr>
          <w:rFonts w:ascii="宋体" w:hAnsi="宋体" w:cs="宋体"/>
          <w:szCs w:val="21"/>
        </w:rPr>
      </w:pPr>
      <w:r>
        <w:rPr>
          <w:rFonts w:hint="eastAsia" w:ascii="宋体" w:hAnsi="宋体" w:cs="宋体"/>
          <w:szCs w:val="21"/>
        </w:rPr>
        <w:t>9</w:t>
      </w:r>
      <w:bookmarkStart w:id="179" w:name="_Toc297123534"/>
      <w:bookmarkStart w:id="180" w:name="_Toc297216193"/>
      <w:bookmarkStart w:id="181" w:name="_Toc300934983"/>
      <w:bookmarkStart w:id="182" w:name="_Toc312677496"/>
      <w:bookmarkStart w:id="183" w:name="_Toc303539140"/>
      <w:bookmarkStart w:id="184" w:name="_Toc304295560"/>
      <w:bookmarkStart w:id="185" w:name="_Toc312678022"/>
      <w:r>
        <w:rPr>
          <w:rFonts w:hint="eastAsia" w:ascii="宋体" w:hAnsi="宋体" w:cs="宋体"/>
          <w:szCs w:val="21"/>
        </w:rPr>
        <w:t>.1试验设备与试验人员</w:t>
      </w:r>
    </w:p>
    <w:bookmarkEnd w:id="179"/>
    <w:bookmarkEnd w:id="180"/>
    <w:bookmarkEnd w:id="181"/>
    <w:bookmarkEnd w:id="182"/>
    <w:bookmarkEnd w:id="183"/>
    <w:bookmarkEnd w:id="184"/>
    <w:bookmarkEnd w:id="185"/>
    <w:p w14:paraId="533C7FA9">
      <w:pPr>
        <w:spacing w:line="360" w:lineRule="exact"/>
        <w:ind w:firstLine="420" w:firstLineChars="200"/>
        <w:rPr>
          <w:rFonts w:ascii="宋体" w:hAnsi="宋体" w:cs="宋体"/>
          <w:szCs w:val="21"/>
        </w:rPr>
      </w:pPr>
      <w:r>
        <w:rPr>
          <w:rFonts w:hint="eastAsia" w:ascii="宋体" w:hAnsi="宋体" w:cs="宋体"/>
          <w:szCs w:val="21"/>
        </w:rPr>
        <w:t>9</w:t>
      </w:r>
      <w:bookmarkStart w:id="186" w:name="_Toc312677497"/>
      <w:bookmarkStart w:id="187" w:name="_Toc300934984"/>
      <w:bookmarkStart w:id="188" w:name="_Toc304295561"/>
      <w:bookmarkStart w:id="189" w:name="_Toc297216194"/>
      <w:bookmarkStart w:id="190" w:name="_Toc297123535"/>
      <w:bookmarkStart w:id="191" w:name="_Toc303539141"/>
      <w:bookmarkStart w:id="192" w:name="_Toc312678023"/>
      <w:bookmarkStart w:id="193" w:name="_Toc318581174"/>
      <w:r>
        <w:rPr>
          <w:rFonts w:hint="eastAsia" w:ascii="宋体" w:hAnsi="宋体" w:cs="宋体"/>
          <w:szCs w:val="21"/>
        </w:rPr>
        <w:t>.1.2 试验设备</w:t>
      </w:r>
    </w:p>
    <w:p w14:paraId="066075B1">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bookmarkEnd w:id="186"/>
      <w:bookmarkEnd w:id="187"/>
      <w:bookmarkEnd w:id="188"/>
      <w:bookmarkEnd w:id="189"/>
      <w:bookmarkEnd w:id="190"/>
      <w:bookmarkEnd w:id="191"/>
      <w:bookmarkEnd w:id="192"/>
      <w:bookmarkStart w:id="194" w:name="_Toc303539142"/>
      <w:bookmarkStart w:id="195" w:name="_Toc297123536"/>
      <w:bookmarkStart w:id="196" w:name="_Toc304295562"/>
      <w:bookmarkStart w:id="197" w:name="_Toc300934985"/>
      <w:bookmarkStart w:id="198" w:name="_Toc312678024"/>
      <w:bookmarkStart w:id="199" w:name="_Toc312677498"/>
      <w:bookmarkStart w:id="200" w:name="_Toc297216195"/>
      <w:r>
        <w:rPr>
          <w:rFonts w:hint="eastAsia" w:ascii="宋体" w:hAnsi="宋体" w:cs="宋体"/>
          <w:szCs w:val="21"/>
          <w:u w:val="single"/>
        </w:rPr>
        <w:t xml:space="preserve"> 按规范及（当地）建设行政主管部门要求配置</w:t>
      </w:r>
      <w:r>
        <w:rPr>
          <w:rFonts w:hint="eastAsia" w:ascii="宋体" w:hAnsi="宋体" w:cs="宋体"/>
          <w:szCs w:val="21"/>
        </w:rPr>
        <w:t>。</w:t>
      </w:r>
    </w:p>
    <w:p w14:paraId="4609961A">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14:paraId="220DA594">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14:paraId="6AEA6DD3">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14:paraId="7B1F65A5">
      <w:pPr>
        <w:spacing w:line="360" w:lineRule="exact"/>
        <w:ind w:firstLine="315" w:firstLineChars="150"/>
        <w:rPr>
          <w:rFonts w:ascii="宋体" w:hAnsi="宋体" w:cs="宋体"/>
          <w:szCs w:val="21"/>
          <w:u w:val="single"/>
        </w:rPr>
      </w:pPr>
      <w:r>
        <w:rPr>
          <w:rFonts w:hint="eastAsia" w:ascii="宋体" w:hAnsi="宋体" w:cs="宋体"/>
          <w:szCs w:val="21"/>
        </w:rPr>
        <w:t>材料、设备和工程的试验和检验的费用：</w:t>
      </w:r>
      <w:r>
        <w:rPr>
          <w:rFonts w:hint="eastAsia" w:ascii="宋体" w:hAnsi="宋体" w:cs="宋体"/>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A91251E">
      <w:pPr>
        <w:spacing w:line="360" w:lineRule="exact"/>
        <w:ind w:firstLine="315" w:firstLineChars="150"/>
        <w:rPr>
          <w:rFonts w:ascii="宋体" w:hAnsi="宋体" w:cs="宋体"/>
          <w:szCs w:val="21"/>
          <w:u w:val="single"/>
        </w:rPr>
      </w:pPr>
      <w:r>
        <w:rPr>
          <w:rFonts w:hint="eastAsia" w:ascii="宋体" w:hAnsi="宋体" w:cs="宋体"/>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541BCF1">
      <w:pPr>
        <w:spacing w:line="360" w:lineRule="exact"/>
        <w:ind w:firstLine="315" w:firstLineChars="150"/>
        <w:rPr>
          <w:rFonts w:ascii="宋体" w:hAnsi="宋体" w:cs="宋体"/>
          <w:szCs w:val="21"/>
          <w:u w:val="single"/>
        </w:rPr>
      </w:pPr>
      <w:r>
        <w:rPr>
          <w:rFonts w:hint="eastAsia" w:ascii="宋体" w:hAnsi="宋体" w:cs="宋体"/>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1514B365">
      <w:pPr>
        <w:spacing w:line="360" w:lineRule="exact"/>
        <w:ind w:firstLine="420" w:firstLineChars="200"/>
        <w:rPr>
          <w:rFonts w:ascii="宋体" w:hAnsi="宋体" w:cs="宋体"/>
          <w:szCs w:val="21"/>
        </w:rPr>
      </w:pPr>
      <w:r>
        <w:rPr>
          <w:rFonts w:hint="eastAsia" w:ascii="宋体" w:hAnsi="宋体" w:cs="宋体"/>
          <w:szCs w:val="21"/>
        </w:rPr>
        <w:t>9.4 现场工艺试验</w:t>
      </w:r>
    </w:p>
    <w:p w14:paraId="4DBA189A">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bookmarkEnd w:id="193"/>
    <w:bookmarkEnd w:id="194"/>
    <w:bookmarkEnd w:id="195"/>
    <w:bookmarkEnd w:id="196"/>
    <w:bookmarkEnd w:id="197"/>
    <w:bookmarkEnd w:id="198"/>
    <w:bookmarkEnd w:id="199"/>
    <w:bookmarkEnd w:id="200"/>
    <w:p w14:paraId="643571B6">
      <w:pPr>
        <w:pStyle w:val="9"/>
        <w:spacing w:before="0" w:after="0" w:line="360" w:lineRule="exact"/>
        <w:rPr>
          <w:rFonts w:ascii="宋体" w:hAnsi="宋体" w:eastAsia="宋体" w:cs="宋体"/>
          <w:b w:val="0"/>
          <w:sz w:val="21"/>
          <w:szCs w:val="21"/>
        </w:rPr>
      </w:pPr>
      <w:bookmarkStart w:id="201" w:name="_Toc351203642"/>
      <w:r>
        <w:rPr>
          <w:rFonts w:hint="eastAsia" w:ascii="宋体" w:hAnsi="宋体" w:eastAsia="宋体" w:cs="宋体"/>
          <w:b w:val="0"/>
          <w:sz w:val="21"/>
          <w:szCs w:val="21"/>
        </w:rPr>
        <w:t>1</w:t>
      </w:r>
      <w:bookmarkEnd w:id="167"/>
      <w:bookmarkEnd w:id="168"/>
      <w:bookmarkEnd w:id="169"/>
      <w:bookmarkEnd w:id="170"/>
      <w:bookmarkEnd w:id="171"/>
      <w:bookmarkEnd w:id="172"/>
      <w:bookmarkEnd w:id="173"/>
      <w:bookmarkEnd w:id="174"/>
      <w:bookmarkEnd w:id="175"/>
      <w:bookmarkEnd w:id="176"/>
      <w:bookmarkEnd w:id="177"/>
      <w:bookmarkEnd w:id="178"/>
      <w:bookmarkStart w:id="202" w:name="_Toc292559398"/>
      <w:bookmarkStart w:id="203" w:name="_Toc297120493"/>
      <w:bookmarkStart w:id="204" w:name="_Toc297123540"/>
      <w:bookmarkStart w:id="205" w:name="_Toc304295566"/>
      <w:bookmarkStart w:id="206" w:name="_Toc297048379"/>
      <w:bookmarkStart w:id="207" w:name="_Toc296944532"/>
      <w:bookmarkStart w:id="208" w:name="_Toc300934989"/>
      <w:bookmarkStart w:id="209" w:name="_Toc296347192"/>
      <w:bookmarkStart w:id="210" w:name="_Toc292559903"/>
      <w:bookmarkStart w:id="211" w:name="_Toc297216199"/>
      <w:bookmarkStart w:id="212" w:name="_Toc296503193"/>
      <w:bookmarkStart w:id="213" w:name="_Toc296346694"/>
      <w:bookmarkStart w:id="214" w:name="_Toc296891233"/>
      <w:bookmarkStart w:id="215" w:name="_Toc303539146"/>
      <w:bookmarkStart w:id="216" w:name="_Toc296891021"/>
      <w:bookmarkStart w:id="217" w:name="_Toc312678025"/>
      <w:bookmarkStart w:id="218" w:name="_Toc312677499"/>
      <w:r>
        <w:rPr>
          <w:rFonts w:hint="eastAsia" w:ascii="宋体" w:hAnsi="宋体" w:eastAsia="宋体" w:cs="宋体"/>
          <w:b w:val="0"/>
          <w:sz w:val="21"/>
          <w:szCs w:val="21"/>
        </w:rPr>
        <w:t>0. 变更</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End w:id="217"/>
    <w:bookmarkEnd w:id="218"/>
    <w:p w14:paraId="64FC88F5">
      <w:pPr>
        <w:spacing w:line="360" w:lineRule="exact"/>
        <w:ind w:firstLine="420" w:firstLineChars="200"/>
        <w:rPr>
          <w:rFonts w:ascii="宋体" w:hAnsi="宋体" w:cs="宋体"/>
          <w:szCs w:val="21"/>
        </w:rPr>
      </w:pPr>
      <w:r>
        <w:rPr>
          <w:rFonts w:hint="eastAsia" w:ascii="宋体" w:hAnsi="宋体" w:cs="宋体"/>
          <w:szCs w:val="21"/>
        </w:rPr>
        <w:t>1</w:t>
      </w:r>
      <w:bookmarkStart w:id="219" w:name="_Toc300934990"/>
      <w:bookmarkStart w:id="220" w:name="_Toc296346695"/>
      <w:bookmarkStart w:id="221" w:name="_Toc312677500"/>
      <w:bookmarkStart w:id="222" w:name="_Toc292559904"/>
      <w:bookmarkStart w:id="223" w:name="_Toc297216200"/>
      <w:bookmarkStart w:id="224" w:name="_Toc296347193"/>
      <w:bookmarkStart w:id="225" w:name="_Toc296891234"/>
      <w:bookmarkStart w:id="226" w:name="_Toc297123541"/>
      <w:bookmarkStart w:id="227" w:name="_Toc304295567"/>
      <w:bookmarkStart w:id="228" w:name="_Toc297120494"/>
      <w:bookmarkStart w:id="229" w:name="_Toc303539147"/>
      <w:bookmarkStart w:id="230" w:name="_Toc292559399"/>
      <w:bookmarkStart w:id="231" w:name="_Toc296503194"/>
      <w:bookmarkStart w:id="232" w:name="_Toc297048380"/>
      <w:bookmarkStart w:id="233" w:name="_Toc296891022"/>
      <w:bookmarkStart w:id="234" w:name="_Toc296944533"/>
      <w:bookmarkStart w:id="235" w:name="_Toc312678026"/>
      <w:r>
        <w:rPr>
          <w:rFonts w:hint="eastAsia" w:ascii="宋体" w:hAnsi="宋体" w:cs="宋体"/>
          <w:szCs w:val="21"/>
        </w:rPr>
        <w:t>0.1变更的范围</w:t>
      </w:r>
    </w:p>
    <w:p w14:paraId="6EF64D5C">
      <w:pPr>
        <w:spacing w:line="360" w:lineRule="exact"/>
        <w:ind w:firstLine="315" w:firstLineChars="15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396B7191">
      <w:pPr>
        <w:spacing w:line="360" w:lineRule="exact"/>
        <w:ind w:firstLine="420" w:firstLineChars="200"/>
        <w:rPr>
          <w:rFonts w:ascii="宋体" w:hAnsi="宋体" w:cs="宋体"/>
          <w:szCs w:val="21"/>
        </w:rPr>
      </w:pPr>
      <w:r>
        <w:rPr>
          <w:rFonts w:hint="eastAsia" w:ascii="宋体" w:hAnsi="宋体" w:cs="宋体"/>
          <w:szCs w:val="21"/>
        </w:rPr>
        <w:t>10.4 变更估价</w:t>
      </w:r>
    </w:p>
    <w:p w14:paraId="218DD197">
      <w:pPr>
        <w:spacing w:line="360" w:lineRule="exact"/>
        <w:ind w:firstLine="420" w:firstLineChars="200"/>
        <w:rPr>
          <w:rFonts w:ascii="宋体" w:hAnsi="宋体" w:cs="宋体"/>
          <w:szCs w:val="21"/>
        </w:rPr>
      </w:pPr>
      <w:r>
        <w:rPr>
          <w:rFonts w:hint="eastAsia" w:ascii="宋体" w:hAnsi="宋体" w:cs="宋体"/>
          <w:szCs w:val="21"/>
        </w:rPr>
        <w:t>10.4.1 变更估价原则</w:t>
      </w:r>
    </w:p>
    <w:p w14:paraId="07B0A9A3">
      <w:pPr>
        <w:spacing w:line="360" w:lineRule="exact"/>
        <w:ind w:firstLine="315" w:firstLineChars="150"/>
        <w:rPr>
          <w:rFonts w:ascii="宋体" w:hAnsi="宋体" w:cs="宋体"/>
          <w:szCs w:val="21"/>
        </w:rPr>
      </w:pPr>
      <w:r>
        <w:rPr>
          <w:rFonts w:hint="eastAsia" w:ascii="宋体" w:hAnsi="宋体" w:cs="宋体"/>
          <w:szCs w:val="21"/>
        </w:rPr>
        <w:t xml:space="preserve">关于变更估价的约定: </w:t>
      </w:r>
    </w:p>
    <w:p w14:paraId="5A1B8F87">
      <w:pPr>
        <w:spacing w:line="360" w:lineRule="exact"/>
        <w:ind w:firstLine="315" w:firstLineChars="150"/>
        <w:rPr>
          <w:rFonts w:ascii="宋体" w:hAnsi="宋体" w:cs="宋体"/>
          <w:szCs w:val="21"/>
          <w:u w:val="single"/>
        </w:rPr>
      </w:pPr>
      <w:r>
        <w:rPr>
          <w:rFonts w:hint="eastAsia" w:ascii="宋体" w:hAnsi="宋体" w:cs="宋体"/>
          <w:szCs w:val="21"/>
          <w:u w:val="single"/>
        </w:rPr>
        <w:t>（1）变更后项目与已标价工程量清单有相同项目的，按照相同项目综合单价确定。如该综合单价异常，则投标清单中合价金额占签约合同价2%及以上的分部分项清单项目，其工程量增加超过本项目工程数量15%及以上时；或投标清单中合价金额占签约合同价不到2%的分部分项清单项目，但其工程量增加超过本项目工程数量25%及以上时，该分部分项清单超过约定幅度外部分工程量的综合单价按专用条款10.4.1（2）（3）条约定调整。</w:t>
      </w:r>
    </w:p>
    <w:p w14:paraId="0CEDA4AB">
      <w:pPr>
        <w:spacing w:line="360" w:lineRule="exact"/>
        <w:ind w:firstLine="420" w:firstLineChars="200"/>
        <w:rPr>
          <w:rFonts w:ascii="宋体" w:hAnsi="宋体" w:cs="宋体"/>
          <w:szCs w:val="21"/>
          <w:u w:val="single"/>
        </w:rPr>
      </w:pPr>
      <w:r>
        <w:rPr>
          <w:rFonts w:hint="eastAsia" w:ascii="宋体" w:hAnsi="宋体" w:cs="宋体"/>
          <w:szCs w:val="21"/>
          <w:u w:val="single"/>
        </w:rPr>
        <w:t>综合单价异常：是指投标综合单价与按本项目招标控制价编制依据计算的综合单价偏差±25%以上。</w:t>
      </w:r>
    </w:p>
    <w:p w14:paraId="76CBBAFD">
      <w:pPr>
        <w:spacing w:line="360" w:lineRule="exact"/>
        <w:ind w:firstLine="210" w:firstLineChars="100"/>
        <w:rPr>
          <w:rFonts w:ascii="宋体" w:hAnsi="宋体" w:cs="宋体"/>
          <w:szCs w:val="21"/>
          <w:u w:val="single"/>
        </w:rPr>
      </w:pPr>
      <w:r>
        <w:rPr>
          <w:rFonts w:hint="eastAsia" w:ascii="宋体" w:hAnsi="宋体" w:cs="宋体"/>
          <w:szCs w:val="21"/>
          <w:u w:val="single"/>
        </w:rPr>
        <w:t>（2）变更后项目与已标价工程量清单中没有适用的综合单价，但有类似的工程项目综合单价，承包人可参照类似工程项目综合单价计算，并报发包人确定。</w:t>
      </w:r>
    </w:p>
    <w:p w14:paraId="2873C805">
      <w:pPr>
        <w:numPr>
          <w:ilvl w:val="0"/>
          <w:numId w:val="4"/>
        </w:numPr>
        <w:spacing w:line="360" w:lineRule="exact"/>
        <w:ind w:firstLine="336" w:firstLineChars="160"/>
        <w:rPr>
          <w:rFonts w:ascii="宋体" w:hAnsi="宋体" w:cs="宋体"/>
          <w:szCs w:val="21"/>
          <w:u w:val="single"/>
        </w:rPr>
      </w:pPr>
      <w:r>
        <w:rPr>
          <w:rFonts w:hint="eastAsia" w:ascii="宋体" w:hAnsi="宋体" w:cs="宋体"/>
          <w:szCs w:val="21"/>
          <w:u w:val="single"/>
        </w:rPr>
        <w:t>某种材料（或半成品及成品）等级、标准变化的，清单组合子目不变，仅调整不同的材料市场价格之差；</w:t>
      </w:r>
    </w:p>
    <w:p w14:paraId="3FA1F97A">
      <w:pPr>
        <w:numPr>
          <w:ilvl w:val="0"/>
          <w:numId w:val="4"/>
        </w:numPr>
        <w:spacing w:line="360" w:lineRule="exact"/>
        <w:ind w:firstLine="420"/>
        <w:rPr>
          <w:rFonts w:ascii="宋体" w:hAnsi="宋体" w:cs="宋体"/>
          <w:szCs w:val="21"/>
          <w:u w:val="single"/>
        </w:rPr>
      </w:pPr>
      <w:r>
        <w:rPr>
          <w:rFonts w:hint="eastAsia" w:ascii="宋体" w:hAnsi="宋体" w:cs="宋体"/>
          <w:szCs w:val="21"/>
          <w:u w:val="single"/>
        </w:rPr>
        <w:t>清单项目组合内容中某一个（或多个）定额子目发生变化，不影响其他特征及工程内容价格的，仅调整发生变化的定额子目价格。</w:t>
      </w:r>
    </w:p>
    <w:p w14:paraId="73E0CAB4">
      <w:pPr>
        <w:spacing w:line="360" w:lineRule="exact"/>
        <w:ind w:firstLine="315" w:firstLineChars="150"/>
        <w:rPr>
          <w:rFonts w:ascii="宋体" w:hAnsi="宋体" w:cs="宋体"/>
          <w:szCs w:val="21"/>
          <w:u w:val="single"/>
        </w:rPr>
      </w:pPr>
      <w:r>
        <w:rPr>
          <w:rFonts w:hint="eastAsia" w:ascii="宋体" w:hAnsi="宋体" w:cs="宋体"/>
          <w:szCs w:val="21"/>
          <w:u w:val="single"/>
        </w:rPr>
        <w:t>c、如该类似工程项目的综合单价异常，则按专用条款10.4.1（3）款重新计算综合单价。</w:t>
      </w:r>
    </w:p>
    <w:p w14:paraId="61A73BA6">
      <w:pPr>
        <w:spacing w:line="360" w:lineRule="exact"/>
        <w:ind w:firstLine="315" w:firstLineChars="150"/>
        <w:rPr>
          <w:rFonts w:ascii="宋体" w:hAnsi="宋体" w:cs="宋体"/>
          <w:szCs w:val="21"/>
          <w:u w:val="single"/>
        </w:rPr>
      </w:pPr>
      <w:r>
        <w:rPr>
          <w:rFonts w:hint="eastAsia" w:ascii="宋体" w:hAnsi="宋体" w:cs="宋体"/>
          <w:szCs w:val="21"/>
          <w:u w:val="single"/>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 </w:t>
      </w:r>
    </w:p>
    <w:p w14:paraId="6890DBCD">
      <w:pPr>
        <w:spacing w:line="360" w:lineRule="exact"/>
        <w:ind w:firstLine="420" w:firstLineChars="200"/>
        <w:rPr>
          <w:rFonts w:ascii="宋体" w:hAnsi="宋体" w:cs="宋体"/>
          <w:szCs w:val="21"/>
          <w:u w:val="single"/>
        </w:rPr>
      </w:pPr>
      <w:r>
        <w:rPr>
          <w:rFonts w:hint="eastAsia" w:ascii="宋体" w:hAnsi="宋体" w:cs="宋体"/>
          <w:szCs w:val="21"/>
          <w:u w:val="single"/>
        </w:rPr>
        <w:t>如按以上编制依据缺项的内容，承包人应通过市场调查等手段提出单价，并报发包人确定后执行。</w:t>
      </w:r>
    </w:p>
    <w:p w14:paraId="60CE7159">
      <w:pPr>
        <w:spacing w:line="360" w:lineRule="exact"/>
        <w:ind w:firstLine="420" w:firstLineChars="200"/>
        <w:rPr>
          <w:rFonts w:ascii="宋体" w:hAnsi="宋体" w:cs="宋体"/>
          <w:szCs w:val="21"/>
        </w:rPr>
      </w:pPr>
      <w:r>
        <w:rPr>
          <w:rFonts w:hint="eastAsia" w:ascii="宋体" w:hAnsi="宋体" w:cs="宋体"/>
          <w:szCs w:val="21"/>
        </w:rPr>
        <w:t>10.4.2 变更估价程序</w:t>
      </w:r>
    </w:p>
    <w:p w14:paraId="24EB85E0">
      <w:pPr>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5F8D6A2A">
      <w:pPr>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承包人提出工程变更、施工方案调整等变更应同时提交变更估价申请。</w:t>
      </w:r>
    </w:p>
    <w:p w14:paraId="37A0B764">
      <w:pPr>
        <w:spacing w:line="360" w:lineRule="exact"/>
        <w:ind w:firstLine="420" w:firstLineChars="200"/>
        <w:rPr>
          <w:rFonts w:ascii="宋体" w:hAnsi="宋体" w:cs="宋体"/>
          <w:szCs w:val="21"/>
        </w:rPr>
      </w:pPr>
      <w:r>
        <w:rPr>
          <w:rFonts w:hint="eastAsia" w:ascii="宋体" w:hAnsi="宋体" w:cs="宋体"/>
          <w:szCs w:val="21"/>
          <w:u w:val="single"/>
        </w:rPr>
        <w:t>承包人提交的变更估价申请，发包人应予以签收，并在14天内审批完毕。</w:t>
      </w:r>
    </w:p>
    <w:p w14:paraId="37790D43">
      <w:pPr>
        <w:spacing w:line="360" w:lineRule="exact"/>
        <w:ind w:firstLine="420" w:firstLineChars="200"/>
        <w:rPr>
          <w:rFonts w:ascii="宋体" w:hAnsi="宋体" w:cs="宋体"/>
          <w:szCs w:val="21"/>
        </w:rPr>
      </w:pPr>
      <w:r>
        <w:rPr>
          <w:rFonts w:hint="eastAsia" w:ascii="宋体" w:hAnsi="宋体" w:cs="宋体"/>
          <w:szCs w:val="21"/>
        </w:rPr>
        <w:t>1</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Start w:id="236" w:name="_Toc296944536"/>
      <w:bookmarkStart w:id="237" w:name="_Toc297123544"/>
      <w:bookmarkStart w:id="238" w:name="_Toc303539150"/>
      <w:bookmarkStart w:id="239" w:name="_Toc292559907"/>
      <w:bookmarkStart w:id="240" w:name="_Toc296503197"/>
      <w:bookmarkStart w:id="241" w:name="_Toc296891237"/>
      <w:bookmarkStart w:id="242" w:name="_Toc297216203"/>
      <w:bookmarkStart w:id="243" w:name="_Toc300934993"/>
      <w:bookmarkStart w:id="244" w:name="_Toc296347196"/>
      <w:bookmarkStart w:id="245" w:name="_Toc297048383"/>
      <w:bookmarkStart w:id="246" w:name="_Toc296891025"/>
      <w:bookmarkStart w:id="247" w:name="_Toc296346698"/>
      <w:bookmarkStart w:id="248" w:name="_Toc292559402"/>
      <w:bookmarkStart w:id="249" w:name="_Toc297120497"/>
      <w:bookmarkStart w:id="250" w:name="_Toc312677503"/>
      <w:bookmarkStart w:id="251" w:name="_Toc312678029"/>
      <w:bookmarkStart w:id="252" w:name="_Toc304295570"/>
      <w:r>
        <w:rPr>
          <w:rFonts w:hint="eastAsia" w:ascii="宋体" w:hAnsi="宋体" w:cs="宋体"/>
          <w:szCs w:val="21"/>
        </w:rPr>
        <w:t>0.5承</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3" w:name="_Toc296347202"/>
      <w:bookmarkStart w:id="254" w:name="_Toc296944542"/>
      <w:bookmarkStart w:id="255" w:name="_Toc297048389"/>
      <w:bookmarkStart w:id="256" w:name="_Toc297120503"/>
      <w:bookmarkStart w:id="257" w:name="_Toc296503203"/>
      <w:bookmarkStart w:id="258" w:name="_Toc297123545"/>
      <w:bookmarkStart w:id="259" w:name="_Toc296891243"/>
      <w:bookmarkStart w:id="260" w:name="_Toc303539151"/>
      <w:bookmarkStart w:id="261" w:name="_Toc296891031"/>
      <w:bookmarkStart w:id="262" w:name="_Toc297216204"/>
      <w:bookmarkStart w:id="263" w:name="_Toc296346704"/>
      <w:bookmarkStart w:id="264" w:name="_Toc292559408"/>
      <w:bookmarkStart w:id="265" w:name="_Toc300934994"/>
      <w:bookmarkStart w:id="266" w:name="_Toc292559913"/>
      <w:r>
        <w:rPr>
          <w:rFonts w:hint="eastAsia" w:ascii="宋体" w:hAnsi="宋体" w:cs="宋体"/>
          <w:szCs w:val="21"/>
        </w:rPr>
        <w:t>包人的合理化建议</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4163A353">
      <w:pPr>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2F07D006">
      <w:pPr>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00DEAE0C">
      <w:pPr>
        <w:spacing w:line="360" w:lineRule="exact"/>
        <w:ind w:firstLine="420" w:firstLineChars="200"/>
        <w:rPr>
          <w:rFonts w:ascii="宋体" w:hAnsi="宋体" w:cs="宋体"/>
          <w:szCs w:val="21"/>
          <w:u w:val="single"/>
        </w:rPr>
      </w:pPr>
      <w:r>
        <w:rPr>
          <w:rFonts w:hint="eastAsia" w:ascii="宋体" w:hAnsi="宋体" w:cs="宋体"/>
          <w:szCs w:val="21"/>
        </w:rPr>
        <w:t>承</w:t>
      </w:r>
      <w:bookmarkStart w:id="267" w:name="_Toc312678030"/>
      <w:bookmarkStart w:id="268" w:name="_Toc297048390"/>
      <w:bookmarkStart w:id="269" w:name="_Toc304295571"/>
      <w:bookmarkStart w:id="270" w:name="_Toc300934995"/>
      <w:bookmarkStart w:id="271" w:name="_Toc312677504"/>
      <w:bookmarkStart w:id="272" w:name="_Toc296944543"/>
      <w:bookmarkStart w:id="273" w:name="_Toc296891032"/>
      <w:bookmarkStart w:id="274" w:name="_Toc296346705"/>
      <w:bookmarkStart w:id="275" w:name="_Toc292559914"/>
      <w:bookmarkStart w:id="276" w:name="_Toc292559409"/>
      <w:bookmarkStart w:id="277" w:name="_Toc303539152"/>
      <w:bookmarkStart w:id="278" w:name="_Toc297216205"/>
      <w:bookmarkStart w:id="279" w:name="_Toc296503204"/>
      <w:bookmarkStart w:id="280" w:name="_Toc318581175"/>
      <w:bookmarkStart w:id="281" w:name="_Toc296891244"/>
      <w:bookmarkStart w:id="282" w:name="_Toc297120504"/>
      <w:bookmarkStart w:id="283" w:name="_Toc296347203"/>
      <w:bookmarkStart w:id="284" w:name="_Toc297123546"/>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4547689">
      <w:pPr>
        <w:spacing w:line="360" w:lineRule="exact"/>
        <w:ind w:firstLine="420" w:firstLineChars="200"/>
        <w:rPr>
          <w:rFonts w:ascii="宋体" w:hAnsi="宋体" w:cs="宋体"/>
          <w:szCs w:val="21"/>
        </w:rPr>
      </w:pPr>
      <w:r>
        <w:rPr>
          <w:rFonts w:hint="eastAsia" w:ascii="宋体" w:hAnsi="宋体" w:cs="宋体"/>
          <w:szCs w:val="21"/>
        </w:rPr>
        <w:t>1</w:t>
      </w:r>
      <w:bookmarkStart w:id="285" w:name="_Toc296944538"/>
      <w:bookmarkStart w:id="286" w:name="_Toc297123548"/>
      <w:bookmarkStart w:id="287" w:name="_Toc296347198"/>
      <w:bookmarkStart w:id="288" w:name="_Toc296891027"/>
      <w:bookmarkStart w:id="289" w:name="_Toc292559404"/>
      <w:bookmarkStart w:id="290" w:name="_Toc304295574"/>
      <w:bookmarkStart w:id="291" w:name="_Toc296503199"/>
      <w:bookmarkStart w:id="292" w:name="_Toc312678033"/>
      <w:bookmarkStart w:id="293" w:name="_Toc300934997"/>
      <w:bookmarkStart w:id="294" w:name="_Toc312677507"/>
      <w:bookmarkStart w:id="295" w:name="_Toc297120499"/>
      <w:bookmarkStart w:id="296" w:name="_Toc292559909"/>
      <w:bookmarkStart w:id="297" w:name="_Toc303539154"/>
      <w:bookmarkStart w:id="298" w:name="_Toc297216207"/>
      <w:bookmarkStart w:id="299" w:name="_Toc297048385"/>
      <w:bookmarkStart w:id="300" w:name="_Toc296346700"/>
      <w:bookmarkStart w:id="301" w:name="_Toc296891239"/>
      <w:r>
        <w:rPr>
          <w:rFonts w:hint="eastAsia" w:ascii="宋体" w:hAnsi="宋体" w:cs="宋体"/>
          <w:szCs w:val="21"/>
        </w:rPr>
        <w:t>0.7 暂估价</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6956FE65">
      <w:pPr>
        <w:spacing w:line="360" w:lineRule="exact"/>
        <w:ind w:firstLine="420" w:firstLineChars="200"/>
        <w:rPr>
          <w:rFonts w:ascii="宋体" w:hAnsi="宋体" w:cs="宋体"/>
          <w:szCs w:val="21"/>
        </w:rPr>
      </w:pPr>
      <w:r>
        <w:rPr>
          <w:rFonts w:hint="eastAsia" w:ascii="宋体" w:hAnsi="宋体" w:cs="宋体"/>
          <w:szCs w:val="21"/>
        </w:rPr>
        <w:t>暂</w:t>
      </w:r>
      <w:bookmarkStart w:id="302" w:name="_Toc312678034"/>
      <w:bookmarkStart w:id="303" w:name="_Toc318581176"/>
      <w:bookmarkStart w:id="304" w:name="_Toc312677508"/>
      <w:r>
        <w:rPr>
          <w:rFonts w:hint="eastAsia" w:ascii="宋体" w:hAnsi="宋体" w:cs="宋体"/>
          <w:szCs w:val="21"/>
        </w:rPr>
        <w:t>估价材料和工程设备的明细详见附件11：《暂估价一览表》。</w:t>
      </w:r>
    </w:p>
    <w:bookmarkEnd w:id="302"/>
    <w:bookmarkEnd w:id="303"/>
    <w:bookmarkEnd w:id="304"/>
    <w:p w14:paraId="75463FE7">
      <w:pPr>
        <w:spacing w:line="360" w:lineRule="exact"/>
        <w:ind w:firstLine="420" w:firstLineChars="200"/>
        <w:rPr>
          <w:rFonts w:ascii="宋体" w:hAnsi="宋体" w:cs="宋体"/>
          <w:szCs w:val="21"/>
        </w:rPr>
      </w:pPr>
      <w:r>
        <w:rPr>
          <w:rFonts w:hint="eastAsia" w:ascii="宋体" w:hAnsi="宋体" w:cs="宋体"/>
          <w:szCs w:val="21"/>
        </w:rPr>
        <w:t>1</w:t>
      </w:r>
      <w:bookmarkStart w:id="305" w:name="_Toc312678035"/>
      <w:bookmarkStart w:id="306" w:name="_Toc312677509"/>
      <w:bookmarkStart w:id="307" w:name="_Toc318581177"/>
      <w:r>
        <w:rPr>
          <w:rFonts w:hint="eastAsia" w:ascii="宋体" w:hAnsi="宋体" w:cs="宋体"/>
          <w:szCs w:val="21"/>
        </w:rPr>
        <w:t>0.7.1 依法必须招标的暂估价项目</w:t>
      </w:r>
    </w:p>
    <w:bookmarkEnd w:id="305"/>
    <w:bookmarkEnd w:id="306"/>
    <w:bookmarkEnd w:id="307"/>
    <w:p w14:paraId="3CFFEA93">
      <w:pPr>
        <w:spacing w:line="360" w:lineRule="exact"/>
        <w:ind w:firstLine="420" w:firstLineChars="200"/>
        <w:rPr>
          <w:rFonts w:ascii="宋体" w:hAnsi="宋体" w:cs="宋体"/>
          <w:szCs w:val="21"/>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10E551F1">
      <w:pPr>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25EB4B6">
      <w:pPr>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35E73005">
      <w:pPr>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4A290628">
      <w:pPr>
        <w:spacing w:line="360" w:lineRule="exact"/>
        <w:ind w:firstLine="420" w:firstLineChars="200"/>
        <w:rPr>
          <w:rFonts w:ascii="宋体" w:hAnsi="宋体" w:cs="宋体"/>
          <w:szCs w:val="21"/>
        </w:rPr>
      </w:pPr>
      <w:r>
        <w:rPr>
          <w:rFonts w:hint="eastAsia" w:ascii="宋体" w:hAnsi="宋体" w:cs="宋体"/>
          <w:szCs w:val="21"/>
        </w:rPr>
        <w:t>10.8 暂列金额</w:t>
      </w:r>
    </w:p>
    <w:p w14:paraId="5DBBDEA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4FD1B5D5">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148CE04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创优质工程增加费</w:t>
      </w:r>
      <w:r>
        <w:rPr>
          <w:rFonts w:hint="eastAsia" w:ascii="宋体" w:hAnsi="宋体" w:cs="宋体"/>
          <w:szCs w:val="21"/>
          <w:u w:val="single"/>
        </w:rPr>
        <w:t xml:space="preserve">              /                        </w:t>
      </w:r>
      <w:r>
        <w:rPr>
          <w:rFonts w:hint="eastAsia" w:ascii="宋体" w:hAnsi="宋体" w:cs="宋体"/>
          <w:szCs w:val="21"/>
        </w:rPr>
        <w:t>。</w:t>
      </w:r>
    </w:p>
    <w:p w14:paraId="69B27A72">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11. 价格调整</w:t>
      </w:r>
    </w:p>
    <w:p w14:paraId="5DFA2163">
      <w:pPr>
        <w:spacing w:line="360" w:lineRule="exact"/>
        <w:ind w:firstLine="420" w:firstLineChars="200"/>
        <w:rPr>
          <w:rFonts w:ascii="宋体" w:hAnsi="宋体" w:cs="宋体"/>
          <w:szCs w:val="21"/>
        </w:rPr>
      </w:pPr>
      <w:r>
        <w:rPr>
          <w:rFonts w:hint="eastAsia" w:ascii="宋体" w:hAnsi="宋体" w:cs="宋体"/>
          <w:szCs w:val="21"/>
        </w:rPr>
        <w:t>11.1 市场价格波动引起的调整</w:t>
      </w:r>
    </w:p>
    <w:p w14:paraId="3B63C9B2">
      <w:pPr>
        <w:spacing w:line="360" w:lineRule="exact"/>
        <w:ind w:firstLine="388" w:firstLineChars="185"/>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：不调整。</w:t>
      </w:r>
    </w:p>
    <w:p w14:paraId="24EB9756">
      <w:pPr>
        <w:spacing w:line="36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2  </w:t>
      </w:r>
      <w:r>
        <w:rPr>
          <w:rFonts w:hint="eastAsia" w:ascii="宋体" w:hAnsi="宋体" w:cs="宋体"/>
          <w:szCs w:val="21"/>
        </w:rPr>
        <w:t>种方式对合同价格进行调整：</w:t>
      </w:r>
    </w:p>
    <w:p w14:paraId="60E0A462">
      <w:pPr>
        <w:spacing w:line="360" w:lineRule="exact"/>
        <w:ind w:firstLine="420" w:firstLineChars="200"/>
        <w:rPr>
          <w:rFonts w:ascii="宋体" w:hAnsi="宋体" w:cs="宋体"/>
          <w:szCs w:val="21"/>
        </w:rPr>
      </w:pPr>
      <w:r>
        <w:rPr>
          <w:rFonts w:hint="eastAsia" w:ascii="宋体" w:hAnsi="宋体" w:cs="宋体"/>
          <w:szCs w:val="21"/>
        </w:rPr>
        <w:t>第1种方式：采用价格指数进行价格调整。</w:t>
      </w:r>
    </w:p>
    <w:p w14:paraId="7AAF38B8">
      <w:pPr>
        <w:spacing w:line="36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14:paraId="71B832A3">
      <w:pPr>
        <w:spacing w:line="360" w:lineRule="exact"/>
        <w:ind w:firstLine="420" w:firstLineChars="200"/>
        <w:rPr>
          <w:rFonts w:ascii="宋体" w:hAnsi="宋体" w:cs="宋体"/>
          <w:szCs w:val="21"/>
        </w:rPr>
      </w:pPr>
      <w:r>
        <w:rPr>
          <w:rFonts w:hint="eastAsia" w:ascii="宋体" w:hAnsi="宋体" w:cs="宋体"/>
          <w:szCs w:val="21"/>
        </w:rPr>
        <w:t>第2种方式：采用造价信息进行价格调整。</w:t>
      </w:r>
    </w:p>
    <w:p w14:paraId="507EEF67">
      <w:pPr>
        <w:spacing w:line="360" w:lineRule="exact"/>
        <w:ind w:firstLine="447" w:firstLineChars="213"/>
        <w:rPr>
          <w:rFonts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A1=编制招标控制价（预算书）时所采用《台州造价（工程所在地）》对应月份的人工、材料价格</w:t>
      </w:r>
      <w:r>
        <w:rPr>
          <w:rFonts w:hint="eastAsia" w:ascii="宋体" w:hAnsi="宋体" w:cs="宋体"/>
          <w:szCs w:val="21"/>
        </w:rPr>
        <w:t>。</w:t>
      </w:r>
    </w:p>
    <w:p w14:paraId="04896E45">
      <w:pPr>
        <w:spacing w:line="360" w:lineRule="exact"/>
        <w:ind w:firstLine="420" w:firstLineChars="200"/>
        <w:rPr>
          <w:rFonts w:ascii="宋体" w:hAnsi="宋体" w:cs="宋体"/>
          <w:szCs w:val="21"/>
        </w:rPr>
      </w:pPr>
      <w:r>
        <w:rPr>
          <w:rFonts w:hint="eastAsia" w:ascii="宋体" w:hAnsi="宋体" w:cs="宋体"/>
          <w:szCs w:val="21"/>
        </w:rPr>
        <w:t>（2）市场价格约定：</w:t>
      </w:r>
      <w:r>
        <w:rPr>
          <w:rFonts w:hint="eastAsia" w:ascii="宋体" w:hAnsi="宋体" w:cs="宋体"/>
          <w:szCs w:val="21"/>
          <w:u w:val="single"/>
        </w:rPr>
        <w:t>A2＝桩基施工期、结构施工工期、装饰施工等施工期对应《台州造价（工程所在地）》人工、材料信息价算术（或加权）平均价；市政工程如有多个分项工程可按分项工程分别计算对应人工、材料信息价算术（加权）平均值（如A2采用加权平均值计算，则在12.3.3条应约定，汇总合同约定可调的人工、材料，当月完成工程量中的数量）。</w:t>
      </w:r>
    </w:p>
    <w:p w14:paraId="1C0221AC">
      <w:pPr>
        <w:spacing w:line="360" w:lineRule="exact"/>
        <w:ind w:firstLine="315" w:firstLineChars="150"/>
        <w:rPr>
          <w:rFonts w:ascii="宋体" w:hAnsi="宋体" w:cs="宋体"/>
          <w:szCs w:val="21"/>
        </w:rPr>
      </w:pPr>
      <w:r>
        <w:rPr>
          <w:rFonts w:hint="eastAsia" w:ascii="宋体" w:hAnsi="宋体" w:cs="宋体"/>
          <w:szCs w:val="21"/>
          <w:u w:val="single"/>
        </w:rPr>
        <w:t>（注：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hint="eastAsia" w:ascii="宋体" w:hAnsi="宋体" w:cs="宋体"/>
          <w:szCs w:val="21"/>
        </w:rPr>
        <w:t>。）</w:t>
      </w:r>
    </w:p>
    <w:p w14:paraId="6E9927BE">
      <w:pPr>
        <w:spacing w:line="360" w:lineRule="exact"/>
        <w:ind w:firstLine="420" w:firstLineChars="200"/>
        <w:rPr>
          <w:rFonts w:ascii="宋体" w:hAnsi="宋体" w:cs="宋体"/>
          <w:szCs w:val="21"/>
        </w:rPr>
      </w:pPr>
      <w:r>
        <w:rPr>
          <w:rFonts w:hint="eastAsia" w:ascii="宋体" w:hAnsi="宋体" w:cs="宋体"/>
          <w:szCs w:val="21"/>
        </w:rPr>
        <w:t>（3）调整方法</w:t>
      </w:r>
    </w:p>
    <w:p w14:paraId="2F00D91D">
      <w:pPr>
        <w:spacing w:line="360" w:lineRule="exact"/>
        <w:ind w:firstLine="420" w:firstLineChars="200"/>
        <w:rPr>
          <w:rFonts w:ascii="宋体" w:hAnsi="宋体" w:cs="宋体"/>
          <w:szCs w:val="21"/>
        </w:rPr>
      </w:pPr>
      <w:r>
        <w:rPr>
          <w:rFonts w:hint="eastAsia" w:ascii="宋体" w:hAnsi="宋体" w:cs="宋体"/>
          <w:szCs w:val="21"/>
        </w:rPr>
        <w:t>a.当A2＞A1时，该材料（人工）结算单价按超出的金额调增，即该材料（人工）结算单价=承包人的投标单价+（A2－A1）；</w:t>
      </w:r>
    </w:p>
    <w:p w14:paraId="092349EC">
      <w:pPr>
        <w:spacing w:line="360" w:lineRule="exact"/>
        <w:ind w:firstLine="420" w:firstLineChars="200"/>
        <w:rPr>
          <w:rFonts w:ascii="宋体" w:hAnsi="宋体" w:cs="宋体"/>
          <w:szCs w:val="21"/>
        </w:rPr>
      </w:pPr>
      <w:r>
        <w:rPr>
          <w:rFonts w:hint="eastAsia" w:ascii="宋体" w:hAnsi="宋体" w:cs="宋体"/>
          <w:szCs w:val="21"/>
        </w:rPr>
        <w:t>b.当A2＜A1时，该材料（人工）结算单价按低于的金额调减，即该材料（人工）结算单价=承包人的投标单价－（A1－A2）；</w:t>
      </w:r>
    </w:p>
    <w:p w14:paraId="09324485">
      <w:pPr>
        <w:spacing w:line="36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622937CA">
      <w:pPr>
        <w:spacing w:line="360" w:lineRule="exact"/>
        <w:ind w:firstLine="420" w:firstLineChars="200"/>
        <w:rPr>
          <w:rFonts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14:paraId="5BCEFE53">
      <w:pPr>
        <w:spacing w:line="360" w:lineRule="exact"/>
        <w:ind w:firstLine="420" w:firstLineChars="200"/>
        <w:rPr>
          <w:rFonts w:ascii="宋体" w:hAnsi="宋体" w:cs="宋体"/>
          <w:szCs w:val="21"/>
        </w:rPr>
      </w:pPr>
      <w:r>
        <w:rPr>
          <w:rFonts w:hint="eastAsia" w:ascii="宋体" w:hAnsi="宋体" w:cs="宋体"/>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rPr>
        <w:t xml:space="preserve"> </w:t>
      </w:r>
    </w:p>
    <w:p w14:paraId="190CFDAC">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12. 合同价格、计量与支付</w:t>
      </w:r>
    </w:p>
    <w:p w14:paraId="3779D516">
      <w:pPr>
        <w:spacing w:line="360" w:lineRule="exact"/>
        <w:ind w:firstLine="420" w:firstLineChars="200"/>
        <w:rPr>
          <w:rFonts w:ascii="宋体" w:hAnsi="宋体" w:cs="宋体"/>
          <w:szCs w:val="21"/>
        </w:rPr>
      </w:pPr>
      <w:r>
        <w:rPr>
          <w:rFonts w:hint="eastAsia" w:ascii="宋体" w:hAnsi="宋体" w:cs="宋体"/>
          <w:szCs w:val="21"/>
        </w:rPr>
        <w:t>12.1 合同价格形式</w:t>
      </w:r>
    </w:p>
    <w:p w14:paraId="5A1C16D1">
      <w:pPr>
        <w:pStyle w:val="6"/>
        <w:widowControl/>
        <w:adjustRightInd w:val="0"/>
        <w:spacing w:line="360" w:lineRule="exact"/>
        <w:ind w:firstLine="420" w:firstLineChars="200"/>
        <w:rPr>
          <w:rFonts w:ascii="宋体" w:hAnsi="宋体" w:eastAsia="宋体" w:cs="宋体"/>
          <w:kern w:val="0"/>
        </w:rPr>
      </w:pPr>
      <w:r>
        <w:rPr>
          <w:rFonts w:hint="eastAsia" w:ascii="宋体" w:hAnsi="宋体" w:eastAsia="宋体" w:cs="宋体"/>
          <w:kern w:val="0"/>
        </w:rPr>
        <w:t>本合同价款采用第</w:t>
      </w:r>
      <w:r>
        <w:rPr>
          <w:rFonts w:hint="eastAsia" w:ascii="宋体" w:hAnsi="宋体" w:eastAsia="宋体" w:cs="宋体"/>
          <w:kern w:val="0"/>
          <w:u w:val="single"/>
        </w:rPr>
        <w:t xml:space="preserve">  1  </w:t>
      </w:r>
      <w:r>
        <w:rPr>
          <w:rFonts w:hint="eastAsia" w:ascii="宋体" w:hAnsi="宋体" w:eastAsia="宋体" w:cs="宋体"/>
          <w:kern w:val="0"/>
        </w:rPr>
        <w:t>种方式</w:t>
      </w:r>
      <w:r>
        <w:rPr>
          <w:rFonts w:hint="eastAsia" w:ascii="宋体" w:hAnsi="宋体" w:eastAsia="宋体" w:cs="宋体"/>
          <w:kern w:val="0"/>
          <w:u w:val="single"/>
        </w:rPr>
        <w:t xml:space="preserve">  固定结算率合同  </w:t>
      </w:r>
      <w:r>
        <w:rPr>
          <w:rFonts w:hint="eastAsia" w:ascii="宋体" w:hAnsi="宋体" w:eastAsia="宋体" w:cs="宋体"/>
          <w:kern w:val="0"/>
        </w:rPr>
        <w:t>确定。</w:t>
      </w:r>
    </w:p>
    <w:p w14:paraId="7BE0E0C4">
      <w:pPr>
        <w:numPr>
          <w:ilvl w:val="0"/>
          <w:numId w:val="5"/>
        </w:numPr>
        <w:adjustRightInd w:val="0"/>
        <w:spacing w:line="380" w:lineRule="exact"/>
        <w:ind w:firstLine="420" w:firstLineChars="200"/>
        <w:rPr>
          <w:rFonts w:ascii="宋体" w:hAnsi="宋体" w:cs="宋体"/>
          <w:szCs w:val="21"/>
        </w:rPr>
      </w:pPr>
      <w:r>
        <w:rPr>
          <w:rFonts w:hint="eastAsia" w:ascii="宋体" w:hAnsi="宋体" w:cs="宋体"/>
          <w:szCs w:val="21"/>
        </w:rPr>
        <w:t>采用固定结算率合同。</w:t>
      </w:r>
    </w:p>
    <w:p w14:paraId="2B73866C">
      <w:pPr>
        <w:adjustRightInd w:val="0"/>
        <w:spacing w:line="380" w:lineRule="exact"/>
        <w:ind w:firstLine="420" w:firstLineChars="200"/>
        <w:rPr>
          <w:rFonts w:ascii="宋体" w:hAnsi="宋体" w:cs="宋体"/>
          <w:szCs w:val="21"/>
        </w:rPr>
      </w:pPr>
      <w:r>
        <w:rPr>
          <w:rFonts w:hint="eastAsia" w:ascii="宋体" w:hAnsi="宋体" w:cs="宋体"/>
          <w:szCs w:val="21"/>
        </w:rPr>
        <w:t xml:space="preserve">(1)合同风险范围：         </w:t>
      </w:r>
    </w:p>
    <w:p w14:paraId="2CAEBBCD">
      <w:pPr>
        <w:autoSpaceDE w:val="0"/>
        <w:autoSpaceDN w:val="0"/>
        <w:spacing w:line="360" w:lineRule="exact"/>
        <w:ind w:firstLine="420" w:firstLineChars="200"/>
        <w:rPr>
          <w:rFonts w:ascii="宋体" w:hAnsi="宋体" w:cs="宋体"/>
          <w:szCs w:val="21"/>
        </w:rPr>
      </w:pPr>
      <w:r>
        <w:rPr>
          <w:rFonts w:hint="eastAsia" w:ascii="宋体" w:hAnsi="宋体" w:cs="宋体"/>
          <w:szCs w:val="21"/>
        </w:rPr>
        <w:t xml:space="preserve">  1）本工程的结算率一次性包死，结算率=（投标总报价/</w:t>
      </w:r>
      <w:r>
        <w:rPr>
          <w:rFonts w:hint="eastAsia" w:ascii="宋体" w:hAnsi="宋体" w:cs="宋体"/>
          <w:szCs w:val="21"/>
          <w:lang w:eastAsia="zh-CN"/>
        </w:rPr>
        <w:t>2783899</w:t>
      </w:r>
      <w:r>
        <w:rPr>
          <w:rFonts w:hint="eastAsia" w:ascii="宋体" w:hAnsi="宋体" w:cs="宋体"/>
          <w:szCs w:val="21"/>
        </w:rPr>
        <w:t>）×100%</w:t>
      </w:r>
    </w:p>
    <w:p w14:paraId="2DCE0995">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 xml:space="preserve">  2）本工程按发包人提供的预算价结合固定结算率方式结算，结算时应按照发包人提供的预算文件的计量依据、组价方式、取费标准等进行结算，不得调整。</w:t>
      </w:r>
    </w:p>
    <w:p w14:paraId="1243E75C">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（4）计日工综合单价（工数经发包人签证，综合单价按技术工（260）元/工日、普工（180）元/工日计取）；</w:t>
      </w:r>
    </w:p>
    <w:p w14:paraId="7B2A4C00">
      <w:pPr>
        <w:autoSpaceDE w:val="0"/>
        <w:autoSpaceDN w:val="0"/>
        <w:spacing w:line="36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（5）其他可能发生的费用：</w:t>
      </w:r>
    </w:p>
    <w:p w14:paraId="4A12060B">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0D598CAE">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b.实际施工中可能发生街道管理费、干扰费、环保费、占道押金等其它管理费。</w:t>
      </w:r>
    </w:p>
    <w:p w14:paraId="6D17AFFB">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c.土方开挖及外运、处置及泥浆外运、处置按当地有关要求办理，费用包含在合同价内。</w:t>
      </w:r>
    </w:p>
    <w:p w14:paraId="6801C4B9">
      <w:pPr>
        <w:spacing w:line="36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14:paraId="3C732087">
      <w:pPr>
        <w:spacing w:line="360" w:lineRule="exact"/>
        <w:ind w:firstLine="420" w:firstLineChars="200"/>
        <w:rPr>
          <w:rFonts w:ascii="宋体" w:hAnsi="宋体" w:cs="宋体"/>
          <w:szCs w:val="21"/>
        </w:rPr>
      </w:pPr>
      <w:r>
        <w:rPr>
          <w:rFonts w:hint="eastAsia" w:ascii="宋体" w:hAnsi="宋体" w:cs="宋体"/>
          <w:szCs w:val="21"/>
        </w:rPr>
        <w:t>风险范围以外合同价格的调整方法：</w:t>
      </w:r>
    </w:p>
    <w:p w14:paraId="25ABF75F">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lang w:val="zh-CN"/>
        </w:rPr>
        <w:t>（1）</w:t>
      </w:r>
      <w:r>
        <w:rPr>
          <w:rFonts w:hint="eastAsia" w:ascii="宋体" w:hAnsi="宋体" w:cs="宋体"/>
          <w:szCs w:val="21"/>
          <w:u w:val="single"/>
        </w:rPr>
        <w:t>工程量按照专用条款12.3.1条规定，由承包人计量，发包人及有关部门审核。</w:t>
      </w:r>
    </w:p>
    <w:p w14:paraId="2C60B3E3">
      <w:pPr>
        <w:autoSpaceDE w:val="0"/>
        <w:autoSpaceDN w:val="0"/>
        <w:spacing w:line="360" w:lineRule="exact"/>
        <w:ind w:firstLine="420" w:firstLineChars="200"/>
        <w:rPr>
          <w:rFonts w:ascii="宋体" w:hAnsi="宋体" w:cs="宋体"/>
          <w:szCs w:val="21"/>
          <w:u w:val="single"/>
          <w:lang w:val="zh-CN"/>
        </w:rPr>
      </w:pPr>
      <w:r>
        <w:rPr>
          <w:rFonts w:hint="eastAsia" w:ascii="宋体" w:hAnsi="宋体" w:cs="宋体"/>
          <w:szCs w:val="21"/>
          <w:u w:val="single"/>
        </w:rPr>
        <w:t>（2）因市场价格波动引起的调整按本合同专用条款第11.1款的约定调整。</w:t>
      </w:r>
    </w:p>
    <w:p w14:paraId="23950E88">
      <w:pPr>
        <w:autoSpaceDE w:val="0"/>
        <w:autoSpaceDN w:val="0"/>
        <w:spacing w:line="360" w:lineRule="exact"/>
        <w:ind w:firstLine="420" w:firstLineChars="200"/>
        <w:rPr>
          <w:rFonts w:ascii="宋体" w:hAnsi="宋体" w:cs="宋体"/>
          <w:szCs w:val="21"/>
          <w:u w:val="single"/>
          <w:lang w:val="zh-CN"/>
        </w:rPr>
      </w:pPr>
      <w:r>
        <w:rPr>
          <w:rFonts w:hint="eastAsia" w:ascii="宋体" w:hAnsi="宋体" w:cs="宋体"/>
          <w:szCs w:val="21"/>
          <w:u w:val="single"/>
          <w:lang w:val="zh-CN"/>
        </w:rPr>
        <w:t>（3）因发包人提供的工程量清单项目工程数量计算偏差或工程变更引起的</w:t>
      </w:r>
      <w:r>
        <w:rPr>
          <w:rFonts w:hint="eastAsia" w:ascii="宋体" w:hAnsi="宋体" w:cs="宋体"/>
          <w:szCs w:val="21"/>
          <w:u w:val="single"/>
        </w:rPr>
        <w:t>工程量增加或减少，按专用条款10.4.1条执行。</w:t>
      </w:r>
    </w:p>
    <w:p w14:paraId="6D40255B">
      <w:pPr>
        <w:autoSpaceDE w:val="0"/>
        <w:autoSpaceDN w:val="0"/>
        <w:spacing w:line="360" w:lineRule="exact"/>
        <w:ind w:firstLine="420" w:firstLineChars="200"/>
        <w:rPr>
          <w:rFonts w:ascii="宋体" w:hAnsi="宋体" w:cs="宋体"/>
          <w:szCs w:val="21"/>
          <w:u w:val="single"/>
          <w:lang w:val="zh-CN"/>
        </w:rPr>
      </w:pPr>
      <w:r>
        <w:rPr>
          <w:rFonts w:hint="eastAsia" w:ascii="宋体" w:hAnsi="宋体" w:cs="宋体"/>
          <w:szCs w:val="21"/>
          <w:u w:val="single"/>
          <w:lang w:val="zh-CN"/>
        </w:rPr>
        <w:t>（4）发包人提供的工程量清单项目漏项、错项、工程变更引起的新增项目、工程量清单局部变更，</w:t>
      </w:r>
      <w:r>
        <w:rPr>
          <w:rFonts w:hint="eastAsia" w:ascii="宋体" w:hAnsi="宋体" w:cs="宋体"/>
          <w:szCs w:val="21"/>
          <w:u w:val="single"/>
        </w:rPr>
        <w:t>与已标价工程量清单项目不同或相类似项目，</w:t>
      </w:r>
      <w:r>
        <w:rPr>
          <w:rFonts w:hint="eastAsia" w:ascii="宋体" w:hAnsi="宋体" w:cs="宋体"/>
          <w:szCs w:val="21"/>
          <w:u w:val="single"/>
          <w:lang w:val="zh-CN"/>
        </w:rPr>
        <w:t>其综合单价的确定方法</w:t>
      </w:r>
      <w:r>
        <w:rPr>
          <w:rFonts w:hint="eastAsia" w:ascii="宋体" w:hAnsi="宋体" w:cs="宋体"/>
          <w:szCs w:val="21"/>
          <w:u w:val="single"/>
        </w:rPr>
        <w:t>按本合同专用条款10.4.1条约定调整。</w:t>
      </w:r>
    </w:p>
    <w:p w14:paraId="148A82EC">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（5）因非承包人原因的分部分项工程量清单漏项、错项、工程变更及清单工程量增减等，引起措施项目内容、工程数量发生变化，则调整措施项目费用：</w:t>
      </w:r>
    </w:p>
    <w:p w14:paraId="56B58D80">
      <w:pPr>
        <w:autoSpaceDE w:val="0"/>
        <w:autoSpaceDN w:val="0"/>
        <w:spacing w:line="360" w:lineRule="exact"/>
        <w:ind w:firstLine="315" w:firstLineChars="150"/>
        <w:rPr>
          <w:rFonts w:ascii="宋体" w:hAnsi="宋体" w:cs="宋体"/>
          <w:szCs w:val="21"/>
          <w:u w:val="single"/>
        </w:rPr>
      </w:pPr>
      <w:r>
        <w:rPr>
          <w:rFonts w:hint="eastAsia" w:ascii="宋体" w:hAnsi="宋体" w:cs="宋体"/>
          <w:szCs w:val="21"/>
          <w:u w:val="single"/>
        </w:rPr>
        <w:t>a、采用综合单价计价的按专用条款第10.4.1条计算综合单价。</w:t>
      </w:r>
    </w:p>
    <w:p w14:paraId="5B7F33BB">
      <w:pPr>
        <w:spacing w:line="360" w:lineRule="exact"/>
        <w:ind w:firstLine="315" w:firstLineChars="150"/>
        <w:rPr>
          <w:rFonts w:ascii="宋体" w:hAnsi="宋体" w:cs="宋体"/>
          <w:szCs w:val="21"/>
          <w:u w:val="single"/>
        </w:rPr>
      </w:pPr>
      <w:r>
        <w:rPr>
          <w:rFonts w:hint="eastAsia" w:ascii="宋体" w:hAnsi="宋体" w:cs="宋体"/>
          <w:szCs w:val="21"/>
          <w:u w:val="single"/>
        </w:rPr>
        <w:t>b、计量单位采用以“项”计价的措施项目，工程量清单项目及工程数量变化引起措施变动部分重新组价。</w:t>
      </w:r>
    </w:p>
    <w:p w14:paraId="1A356947">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c、施工组织措施项目，按合同约定的费率内容调整措施费用计算基数。</w:t>
      </w:r>
    </w:p>
    <w:p w14:paraId="4097A03C">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（6）未在投标价中包含的专项施工方案的施工及论证费用，根据施工现场实际参照合同专用条款10.4.1款约定方法确定或签证。</w:t>
      </w:r>
    </w:p>
    <w:p w14:paraId="5C36BCE1">
      <w:pPr>
        <w:spacing w:line="360" w:lineRule="exact"/>
        <w:ind w:firstLine="420" w:firstLineChars="200"/>
        <w:rPr>
          <w:rFonts w:ascii="宋体" w:hAnsi="宋体" w:cs="宋体"/>
          <w:szCs w:val="21"/>
        </w:rPr>
      </w:pPr>
      <w:r>
        <w:rPr>
          <w:rFonts w:hint="eastAsia" w:ascii="宋体" w:hAnsi="宋体" w:cs="宋体"/>
          <w:szCs w:val="21"/>
        </w:rPr>
        <w:t>2．总价合同。</w:t>
      </w:r>
    </w:p>
    <w:p w14:paraId="5B2EAE60">
      <w:pPr>
        <w:spacing w:line="360" w:lineRule="exact"/>
        <w:ind w:firstLine="420" w:firstLineChars="200"/>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14:paraId="69E63C6C">
      <w:pPr>
        <w:spacing w:line="36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762DE49F">
      <w:pPr>
        <w:spacing w:line="36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7988E0B9">
      <w:pPr>
        <w:spacing w:line="360" w:lineRule="exact"/>
        <w:ind w:firstLine="420" w:firstLineChars="200"/>
        <w:rPr>
          <w:rFonts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                 </w:t>
      </w:r>
      <w:r>
        <w:rPr>
          <w:rFonts w:hint="eastAsia" w:ascii="宋体" w:hAnsi="宋体" w:cs="宋体"/>
          <w:szCs w:val="21"/>
        </w:rPr>
        <w:t>。</w:t>
      </w:r>
    </w:p>
    <w:p w14:paraId="1A52C7D9">
      <w:pPr>
        <w:spacing w:line="360" w:lineRule="exact"/>
        <w:ind w:firstLine="420" w:firstLineChars="200"/>
        <w:rPr>
          <w:rFonts w:ascii="宋体" w:hAnsi="宋体" w:cs="宋体"/>
          <w:szCs w:val="21"/>
        </w:rPr>
      </w:pPr>
      <w:bookmarkStart w:id="308" w:name="_Toc300935004"/>
      <w:bookmarkStart w:id="309" w:name="_Toc297123554"/>
      <w:bookmarkStart w:id="310" w:name="_Toc297216213"/>
      <w:bookmarkStart w:id="311" w:name="_Toc303539161"/>
      <w:bookmarkStart w:id="312" w:name="_Toc304295581"/>
      <w:bookmarkStart w:id="313" w:name="_Toc312678042"/>
      <w:bookmarkStart w:id="314" w:name="_Toc297120507"/>
      <w:bookmarkStart w:id="315" w:name="_Toc292559917"/>
      <w:bookmarkStart w:id="316" w:name="_Toc296347206"/>
      <w:bookmarkStart w:id="317" w:name="_Toc296891035"/>
      <w:bookmarkStart w:id="318" w:name="_Toc292559412"/>
      <w:bookmarkStart w:id="319" w:name="_Toc296891247"/>
      <w:bookmarkStart w:id="320" w:name="_Toc296944546"/>
      <w:bookmarkStart w:id="321" w:name="_Toc296503207"/>
      <w:bookmarkStart w:id="322" w:name="_Toc296346708"/>
      <w:bookmarkStart w:id="323" w:name="_Toc297048393"/>
      <w:r>
        <w:rPr>
          <w:rFonts w:hint="eastAsia" w:ascii="宋体" w:hAnsi="宋体" w:cs="宋体"/>
          <w:szCs w:val="21"/>
        </w:rPr>
        <w:t>12.2 预付款</w:t>
      </w:r>
    </w:p>
    <w:bookmarkEnd w:id="308"/>
    <w:bookmarkEnd w:id="309"/>
    <w:bookmarkEnd w:id="310"/>
    <w:bookmarkEnd w:id="311"/>
    <w:bookmarkEnd w:id="312"/>
    <w:bookmarkEnd w:id="313"/>
    <w:p w14:paraId="41D65CB0">
      <w:pPr>
        <w:spacing w:line="360" w:lineRule="exact"/>
        <w:ind w:firstLine="420" w:firstLineChars="200"/>
        <w:rPr>
          <w:rFonts w:ascii="宋体" w:hAnsi="宋体" w:cs="宋体"/>
          <w:szCs w:val="21"/>
        </w:rPr>
      </w:pPr>
      <w:r>
        <w:rPr>
          <w:rFonts w:hint="eastAsia" w:ascii="宋体" w:hAnsi="宋体" w:cs="宋体"/>
          <w:szCs w:val="21"/>
        </w:rPr>
        <w:t>12.2.1 预付款的支付</w:t>
      </w:r>
    </w:p>
    <w:p w14:paraId="7DFD6D4F">
      <w:pPr>
        <w:spacing w:line="36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签约合同价的40%，金额（  ）元，包含专用条款6.1.6条所列的安全文明施工费，其余作为备料款。</w:t>
      </w:r>
    </w:p>
    <w:p w14:paraId="51A03AB9">
      <w:pPr>
        <w:spacing w:line="36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按投标承诺的人员、机械设备进场后7天内 </w:t>
      </w:r>
      <w:r>
        <w:rPr>
          <w:rFonts w:hint="eastAsia" w:ascii="宋体" w:hAnsi="宋体" w:cs="宋体"/>
          <w:szCs w:val="21"/>
        </w:rPr>
        <w:t>。</w:t>
      </w:r>
    </w:p>
    <w:p w14:paraId="64880B6B">
      <w:pPr>
        <w:spacing w:line="360" w:lineRule="exact"/>
        <w:ind w:firstLine="420" w:firstLineChars="200"/>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不扣回，作为工程款</w:t>
      </w:r>
      <w:r>
        <w:rPr>
          <w:rFonts w:hint="eastAsia" w:ascii="宋体" w:hAnsi="宋体" w:cs="宋体"/>
          <w:szCs w:val="21"/>
        </w:rPr>
        <w:t>。</w:t>
      </w:r>
    </w:p>
    <w:p w14:paraId="3A445A44">
      <w:pPr>
        <w:spacing w:line="360" w:lineRule="exact"/>
        <w:ind w:firstLine="420" w:firstLineChars="200"/>
        <w:rPr>
          <w:rFonts w:ascii="宋体" w:hAnsi="宋体" w:cs="宋体"/>
          <w:szCs w:val="21"/>
        </w:rPr>
      </w:pPr>
      <w:r>
        <w:rPr>
          <w:rFonts w:hint="eastAsia" w:ascii="宋体" w:hAnsi="宋体" w:cs="宋体"/>
          <w:szCs w:val="21"/>
        </w:rPr>
        <w:t>12.2.2 预付款担保</w:t>
      </w:r>
    </w:p>
    <w:p w14:paraId="3B74CCCF">
      <w:pPr>
        <w:spacing w:line="360" w:lineRule="exact"/>
        <w:ind w:firstLine="420" w:firstLineChars="200"/>
        <w:rPr>
          <w:rFonts w:ascii="宋体" w:hAnsi="宋体" w:cs="宋体"/>
          <w:szCs w:val="21"/>
        </w:rPr>
      </w:pPr>
      <w:r>
        <w:rPr>
          <w:rFonts w:hint="eastAsia" w:ascii="宋体" w:hAnsi="宋体" w:cs="宋体"/>
          <w:szCs w:val="21"/>
        </w:rPr>
        <w:t xml:space="preserve">承包人提交预付款担保的期限： </w:t>
      </w:r>
      <w:r>
        <w:rPr>
          <w:rFonts w:hint="eastAsia" w:ascii="宋体" w:hAnsi="宋体" w:cs="宋体"/>
          <w:szCs w:val="21"/>
          <w:u w:val="single"/>
        </w:rPr>
        <w:t xml:space="preserve">       /            </w:t>
      </w:r>
      <w:r>
        <w:rPr>
          <w:rFonts w:hint="eastAsia" w:ascii="宋体" w:hAnsi="宋体" w:cs="宋体"/>
          <w:szCs w:val="21"/>
        </w:rPr>
        <w:t>。</w:t>
      </w:r>
    </w:p>
    <w:p w14:paraId="0EC8554F">
      <w:pPr>
        <w:spacing w:line="36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bookmarkEnd w:id="314"/>
    <w:bookmarkEnd w:id="315"/>
    <w:bookmarkEnd w:id="316"/>
    <w:bookmarkEnd w:id="317"/>
    <w:bookmarkEnd w:id="318"/>
    <w:bookmarkEnd w:id="319"/>
    <w:bookmarkEnd w:id="320"/>
    <w:bookmarkEnd w:id="321"/>
    <w:bookmarkEnd w:id="322"/>
    <w:bookmarkEnd w:id="323"/>
    <w:p w14:paraId="76864607">
      <w:pPr>
        <w:spacing w:line="360" w:lineRule="exact"/>
        <w:ind w:firstLine="420" w:firstLineChars="200"/>
        <w:rPr>
          <w:rFonts w:ascii="宋体" w:hAnsi="宋体" w:cs="宋体"/>
          <w:szCs w:val="21"/>
        </w:rPr>
      </w:pPr>
      <w:r>
        <w:rPr>
          <w:rFonts w:hint="eastAsia" w:ascii="宋体" w:hAnsi="宋体" w:cs="宋体"/>
          <w:szCs w:val="21"/>
        </w:rPr>
        <w:t>12.3 计量</w:t>
      </w:r>
    </w:p>
    <w:p w14:paraId="2262B935">
      <w:pPr>
        <w:spacing w:line="360" w:lineRule="exact"/>
        <w:ind w:firstLine="420" w:firstLineChars="200"/>
        <w:rPr>
          <w:rFonts w:ascii="宋体" w:hAnsi="宋体" w:cs="宋体"/>
          <w:szCs w:val="21"/>
        </w:rPr>
      </w:pPr>
      <w:r>
        <w:rPr>
          <w:rFonts w:hint="eastAsia" w:ascii="宋体" w:hAnsi="宋体" w:cs="宋体"/>
          <w:szCs w:val="21"/>
        </w:rPr>
        <w:t>12.3.1 计量原则</w:t>
      </w:r>
    </w:p>
    <w:p w14:paraId="5196B1DF">
      <w:pPr>
        <w:spacing w:line="360" w:lineRule="exact"/>
        <w:ind w:firstLine="420" w:firstLineChars="200"/>
        <w:rPr>
          <w:rFonts w:ascii="宋体" w:hAnsi="宋体" w:cs="宋体"/>
          <w:szCs w:val="21"/>
          <w:u w:val="single"/>
        </w:rPr>
      </w:pPr>
      <w:r>
        <w:rPr>
          <w:rFonts w:hint="eastAsia" w:ascii="宋体" w:hAnsi="宋体" w:cs="宋体"/>
          <w:szCs w:val="21"/>
          <w:u w:val="single"/>
        </w:rPr>
        <w:t>工程量计算按照实际完成施工图纸范围内和经发包人同意增加的施工内容按实计算，工程量计算规则按照〔以下按工程专业填〕《建设工程工程量清单计价规范》(GB 50500-2013)、《房屋建筑与装饰工程工程量计算规范》(GB 50854-2013)、《通用安装工程工程量计算规范》(GB 50856-2013)及省、市有关文件，《浙江省建设工程计价规则》（2018版）、《浙江省房屋建筑与装饰工程预算定额》（2018版）、《浙江省通用安装工程预算定额》（2018版）等浙江省2018版计价依据、关于增值税调整后我省建设工程计价依据增值税税率及有关计价调整的通知（浙建建〔2019〕92号）等省、市有关文件，材料信息价根据《台州造价》2024年</w:t>
      </w:r>
      <w:r>
        <w:rPr>
          <w:rFonts w:hint="eastAsia" w:ascii="宋体" w:hAnsi="宋体" w:cs="宋体"/>
          <w:szCs w:val="21"/>
          <w:u w:val="single"/>
          <w:lang w:val="en-US" w:eastAsia="zh-CN"/>
        </w:rPr>
        <w:t>8</w:t>
      </w:r>
      <w:r>
        <w:rPr>
          <w:rFonts w:hint="eastAsia" w:ascii="宋体" w:hAnsi="宋体" w:cs="宋体"/>
          <w:szCs w:val="21"/>
          <w:u w:val="single"/>
        </w:rPr>
        <w:t>月及市场价格计取:及发包人提供的工程量清单中说明的工程量计算规则计量。</w:t>
      </w:r>
    </w:p>
    <w:p w14:paraId="7922126B">
      <w:pPr>
        <w:spacing w:line="360" w:lineRule="exact"/>
        <w:ind w:firstLine="420" w:firstLineChars="200"/>
        <w:rPr>
          <w:rFonts w:ascii="宋体" w:hAnsi="宋体" w:cs="宋体"/>
          <w:szCs w:val="21"/>
        </w:rPr>
      </w:pPr>
      <w:r>
        <w:rPr>
          <w:rFonts w:hint="eastAsia" w:ascii="宋体" w:hAnsi="宋体" w:cs="宋体"/>
          <w:szCs w:val="21"/>
        </w:rPr>
        <w:t>12.3.2 计量周期：</w:t>
      </w:r>
    </w:p>
    <w:p w14:paraId="4BCFB13C">
      <w:pPr>
        <w:spacing w:line="36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按进度计量</w:t>
      </w:r>
      <w:r>
        <w:rPr>
          <w:rFonts w:hint="eastAsia" w:ascii="宋体" w:hAnsi="宋体" w:cs="宋体"/>
          <w:szCs w:val="21"/>
        </w:rPr>
        <w:t>。</w:t>
      </w:r>
    </w:p>
    <w:p w14:paraId="3BE29F61">
      <w:pPr>
        <w:spacing w:line="360" w:lineRule="exact"/>
        <w:ind w:firstLine="420" w:firstLineChars="200"/>
        <w:rPr>
          <w:rFonts w:ascii="宋体" w:hAnsi="宋体" w:cs="宋体"/>
          <w:szCs w:val="21"/>
        </w:rPr>
      </w:pPr>
      <w:r>
        <w:rPr>
          <w:rFonts w:hint="eastAsia" w:ascii="宋体" w:hAnsi="宋体" w:cs="宋体"/>
          <w:szCs w:val="21"/>
        </w:rPr>
        <w:t>12.3.3 单价合同的计量</w:t>
      </w:r>
    </w:p>
    <w:p w14:paraId="0C4EF226">
      <w:pPr>
        <w:spacing w:line="360" w:lineRule="exact"/>
        <w:ind w:firstLine="420" w:firstLineChars="200"/>
        <w:rPr>
          <w:rFonts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按合同通用条款执行。</w:t>
      </w:r>
    </w:p>
    <w:p w14:paraId="2E3EB233">
      <w:pPr>
        <w:spacing w:line="360" w:lineRule="exact"/>
        <w:ind w:firstLine="420" w:firstLineChars="200"/>
        <w:rPr>
          <w:rFonts w:ascii="宋体" w:hAnsi="宋体" w:cs="宋体"/>
          <w:szCs w:val="21"/>
          <w:u w:val="single"/>
        </w:rPr>
      </w:pPr>
      <w:r>
        <w:rPr>
          <w:rFonts w:hint="eastAsia" w:ascii="宋体" w:hAnsi="宋体" w:cs="宋体"/>
          <w:szCs w:val="21"/>
          <w:u w:val="single"/>
        </w:rPr>
        <w:t>（4）确认的工程量和单价仅作为本期工程款支付的依据。</w:t>
      </w:r>
    </w:p>
    <w:p w14:paraId="777A6C32">
      <w:pPr>
        <w:spacing w:line="360" w:lineRule="exact"/>
        <w:ind w:firstLine="420" w:firstLineChars="200"/>
        <w:rPr>
          <w:rFonts w:ascii="宋体" w:hAnsi="宋体" w:cs="宋体"/>
          <w:szCs w:val="21"/>
        </w:rPr>
      </w:pPr>
      <w:r>
        <w:rPr>
          <w:rFonts w:hint="eastAsia" w:ascii="宋体" w:hAnsi="宋体" w:cs="宋体"/>
          <w:szCs w:val="21"/>
        </w:rPr>
        <w:t>12.3.4 总价合同的计量</w:t>
      </w:r>
    </w:p>
    <w:p w14:paraId="7BA8B8DF">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10E517A8">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14:paraId="1BEFDD92">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14:paraId="2E865B37">
      <w:pPr>
        <w:spacing w:line="360"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 xml:space="preserve">    /     。</w:t>
      </w:r>
    </w:p>
    <w:p w14:paraId="4419A3BF">
      <w:pPr>
        <w:spacing w:line="360" w:lineRule="exact"/>
        <w:ind w:firstLine="420" w:firstLineChars="200"/>
        <w:rPr>
          <w:rFonts w:ascii="宋体" w:hAnsi="宋体" w:cs="宋体"/>
          <w:szCs w:val="21"/>
        </w:rPr>
      </w:pPr>
      <w:r>
        <w:rPr>
          <w:rFonts w:hint="eastAsia" w:ascii="宋体" w:hAnsi="宋体" w:cs="宋体"/>
          <w:szCs w:val="21"/>
        </w:rPr>
        <w:t xml:space="preserve"> 12.4 工程进度款支付</w:t>
      </w:r>
    </w:p>
    <w:p w14:paraId="76B47D39">
      <w:pPr>
        <w:spacing w:line="360" w:lineRule="exact"/>
        <w:ind w:firstLine="420" w:firstLineChars="200"/>
        <w:rPr>
          <w:rFonts w:ascii="宋体" w:hAnsi="宋体" w:cs="宋体"/>
          <w:szCs w:val="21"/>
        </w:rPr>
      </w:pPr>
      <w:r>
        <w:rPr>
          <w:rFonts w:hint="eastAsia" w:ascii="宋体" w:hAnsi="宋体" w:cs="宋体"/>
          <w:szCs w:val="21"/>
        </w:rPr>
        <w:t>12.4.1 付款周期</w:t>
      </w:r>
    </w:p>
    <w:p w14:paraId="2A4499EF">
      <w:pPr>
        <w:spacing w:line="360" w:lineRule="exact"/>
        <w:ind w:firstLine="420" w:firstLineChars="200"/>
        <w:rPr>
          <w:rFonts w:ascii="宋体" w:hAnsi="宋体" w:cs="宋体"/>
          <w:szCs w:val="21"/>
          <w:u w:val="single"/>
        </w:rPr>
      </w:pPr>
      <w:r>
        <w:rPr>
          <w:rFonts w:hint="eastAsia" w:ascii="宋体" w:hAnsi="宋体" w:cs="宋体"/>
          <w:szCs w:val="21"/>
        </w:rPr>
        <w:t>关于付款周期的约定：</w:t>
      </w:r>
      <w:r>
        <w:rPr>
          <w:rFonts w:hint="eastAsia" w:ascii="宋体" w:hAnsi="宋体" w:cs="宋体"/>
          <w:szCs w:val="21"/>
          <w:u w:val="single"/>
        </w:rPr>
        <w:t>按进度支付</w:t>
      </w:r>
    </w:p>
    <w:p w14:paraId="1B2A977C">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14:paraId="4B6CF624">
      <w:pPr>
        <w:spacing w:line="360" w:lineRule="exact"/>
        <w:ind w:firstLine="420" w:firstLineChars="200"/>
        <w:rPr>
          <w:rFonts w:ascii="宋体" w:hAnsi="宋体" w:cs="宋体"/>
          <w:szCs w:val="21"/>
          <w:u w:val="single"/>
        </w:rPr>
      </w:pPr>
      <w:r>
        <w:rPr>
          <w:rFonts w:hint="eastAsia" w:ascii="宋体" w:hAnsi="宋体" w:cs="宋体"/>
          <w:szCs w:val="21"/>
        </w:rPr>
        <w:t>关于进度付款申请单编制的约定：</w:t>
      </w:r>
      <w:r>
        <w:rPr>
          <w:rFonts w:hint="eastAsia" w:ascii="宋体" w:hAnsi="宋体" w:cs="宋体"/>
          <w:szCs w:val="21"/>
          <w:u w:val="single"/>
        </w:rPr>
        <w:t>发包人向承包人支付当期按12.1、12.3款计量工程量价款的75%工程价款。人工、材料价格调整引起合同价款调整，在完成专用条款第11.1条约定的调整节点后，计入该节点所在当期工程价款；工程变更按规定办理完毕的，计入当期工程价款。</w:t>
      </w:r>
    </w:p>
    <w:p w14:paraId="53C23235">
      <w:pPr>
        <w:spacing w:line="360" w:lineRule="exact"/>
        <w:ind w:firstLine="420" w:firstLineChars="200"/>
        <w:rPr>
          <w:rFonts w:ascii="宋体" w:hAnsi="宋体" w:cs="宋体"/>
          <w:szCs w:val="21"/>
          <w:u w:val="single"/>
        </w:rPr>
      </w:pPr>
      <w:r>
        <w:rPr>
          <w:rFonts w:hint="eastAsia" w:ascii="宋体" w:hAnsi="宋体" w:cs="宋体"/>
          <w:szCs w:val="21"/>
          <w:u w:val="single"/>
        </w:rPr>
        <w:t>合同范围内施工内容施工完成，参建各方（建设、监理、施工、勘察、设计单位等）对工程验收并签署工程质量合格文件后，支付至合同价格的85 %，经有关部门结算审核后支付至结算价款的100%。</w:t>
      </w:r>
    </w:p>
    <w:p w14:paraId="3217BF0E">
      <w:pPr>
        <w:spacing w:line="360" w:lineRule="exact"/>
        <w:ind w:firstLine="420" w:firstLineChars="200"/>
        <w:rPr>
          <w:rFonts w:ascii="宋体" w:hAnsi="宋体" w:cs="宋体"/>
          <w:szCs w:val="21"/>
          <w:u w:val="single"/>
        </w:rPr>
      </w:pPr>
      <w:r>
        <w:rPr>
          <w:rFonts w:hint="eastAsia" w:ascii="宋体" w:hAnsi="宋体" w:cs="宋体"/>
          <w:szCs w:val="21"/>
          <w:u w:val="single"/>
        </w:rPr>
        <w:t>承包人需提交工程质量保证金（保证金额为1.5%的工程结算审定价）。</w:t>
      </w:r>
    </w:p>
    <w:p w14:paraId="61305E46">
      <w:pPr>
        <w:spacing w:line="360" w:lineRule="exact"/>
        <w:ind w:firstLine="420" w:firstLineChars="200"/>
        <w:rPr>
          <w:rFonts w:ascii="宋体" w:hAnsi="宋体" w:cs="宋体"/>
          <w:szCs w:val="21"/>
        </w:rPr>
      </w:pPr>
      <w:r>
        <w:rPr>
          <w:rFonts w:hint="eastAsia" w:ascii="宋体" w:hAnsi="宋体" w:cs="宋体"/>
          <w:szCs w:val="21"/>
          <w:u w:val="single"/>
        </w:rPr>
        <w:t>其余按合同通用条款</w:t>
      </w:r>
      <w:r>
        <w:rPr>
          <w:rFonts w:hint="eastAsia" w:ascii="宋体" w:hAnsi="宋体" w:cs="宋体"/>
          <w:szCs w:val="21"/>
        </w:rPr>
        <w:t>。</w:t>
      </w:r>
    </w:p>
    <w:p w14:paraId="309AAB92">
      <w:pPr>
        <w:spacing w:line="360" w:lineRule="exact"/>
        <w:ind w:firstLine="420" w:firstLineChars="200"/>
        <w:rPr>
          <w:rFonts w:ascii="宋体" w:hAnsi="宋体" w:cs="宋体"/>
          <w:szCs w:val="21"/>
        </w:rPr>
      </w:pPr>
      <w:r>
        <w:rPr>
          <w:rFonts w:hint="eastAsia" w:ascii="宋体" w:hAnsi="宋体" w:cs="宋体"/>
          <w:szCs w:val="21"/>
        </w:rPr>
        <w:t>12.4.3 进度付款申请单的提交</w:t>
      </w:r>
    </w:p>
    <w:p w14:paraId="0268CF43">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5F512C3F">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5A0CFB04">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6D497CEB">
      <w:pPr>
        <w:spacing w:line="360" w:lineRule="exact"/>
        <w:ind w:firstLine="420" w:firstLineChars="200"/>
        <w:rPr>
          <w:rFonts w:ascii="宋体" w:hAnsi="宋体" w:cs="宋体"/>
          <w:szCs w:val="21"/>
        </w:rPr>
      </w:pPr>
      <w:r>
        <w:rPr>
          <w:rFonts w:hint="eastAsia" w:ascii="宋体" w:hAnsi="宋体" w:cs="宋体"/>
          <w:szCs w:val="21"/>
        </w:rPr>
        <w:t>12.4.4 进度款审核和支付</w:t>
      </w:r>
    </w:p>
    <w:p w14:paraId="74EA0BE5">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5A82AEE1">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1CCF0F2D">
      <w:pPr>
        <w:numPr>
          <w:ilvl w:val="0"/>
          <w:numId w:val="6"/>
        </w:numPr>
        <w:spacing w:line="360" w:lineRule="exact"/>
        <w:ind w:firstLine="420" w:firstLineChars="200"/>
        <w:rPr>
          <w:rFonts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14:paraId="2797BF17">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 发包人将当期应付工程进度款拨付到承包人，再由承包人将工程进度款的25%单独拨付到承包人开设的农民工工资（劳务费）专用账户，承包人应确保专款专用。</w:t>
      </w:r>
    </w:p>
    <w:p w14:paraId="58162695">
      <w:pPr>
        <w:spacing w:line="36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支付应付工程进度（备料）款的利息，利率按中国人民银行发布的同期同类贷款基准利率，时间为从约定应付之日起至支付之日止计算利息</w:t>
      </w:r>
      <w:r>
        <w:rPr>
          <w:rFonts w:hint="eastAsia" w:ascii="宋体" w:hAnsi="宋体" w:cs="宋体"/>
          <w:szCs w:val="21"/>
        </w:rPr>
        <w:t>。</w:t>
      </w:r>
    </w:p>
    <w:p w14:paraId="15BA821A">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1B01F47C">
      <w:pPr>
        <w:spacing w:line="360" w:lineRule="exact"/>
        <w:ind w:firstLine="413" w:firstLineChars="196"/>
        <w:rPr>
          <w:rFonts w:ascii="宋体" w:hAnsi="宋体" w:cs="宋体"/>
          <w:b/>
          <w:szCs w:val="21"/>
        </w:rPr>
      </w:pPr>
      <w:r>
        <w:rPr>
          <w:rFonts w:hint="eastAsia" w:ascii="宋体" w:hAnsi="宋体" w:cs="宋体"/>
          <w:b/>
          <w:szCs w:val="21"/>
        </w:rPr>
        <w:t>12.4.6 支付分解表的编制</w:t>
      </w:r>
    </w:p>
    <w:p w14:paraId="32BFAFB1">
      <w:pPr>
        <w:spacing w:line="360" w:lineRule="exact"/>
        <w:ind w:firstLine="420" w:firstLineChars="200"/>
        <w:rPr>
          <w:rFonts w:ascii="宋体" w:hAnsi="宋体" w:cs="宋体"/>
          <w:szCs w:val="21"/>
        </w:rPr>
      </w:pPr>
      <w:r>
        <w:rPr>
          <w:rFonts w:hint="eastAsia" w:ascii="宋体" w:hAnsi="宋体" w:cs="宋体"/>
          <w:szCs w:val="21"/>
        </w:rPr>
        <w:t xml:space="preserve">2、总价合同支付分解表的编制与审批： </w:t>
      </w:r>
      <w:r>
        <w:rPr>
          <w:rFonts w:hint="eastAsia" w:ascii="宋体" w:hAnsi="宋体" w:cs="宋体"/>
          <w:szCs w:val="21"/>
          <w:u w:val="single"/>
        </w:rPr>
        <w:t xml:space="preserve">      /         </w:t>
      </w:r>
      <w:r>
        <w:rPr>
          <w:rFonts w:hint="eastAsia" w:ascii="宋体" w:hAnsi="宋体" w:cs="宋体"/>
          <w:szCs w:val="21"/>
        </w:rPr>
        <w:t>。</w:t>
      </w:r>
    </w:p>
    <w:p w14:paraId="332EA298">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w:t>
      </w:r>
      <w:r>
        <w:rPr>
          <w:rFonts w:hint="eastAsia" w:ascii="宋体" w:hAnsi="宋体" w:cs="宋体"/>
          <w:szCs w:val="21"/>
        </w:rPr>
        <w:t>。</w:t>
      </w:r>
    </w:p>
    <w:p w14:paraId="262A0BEB">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13. 验收和工程试车</w:t>
      </w:r>
    </w:p>
    <w:p w14:paraId="3C3EA702">
      <w:pPr>
        <w:spacing w:line="360" w:lineRule="exact"/>
        <w:ind w:firstLine="420" w:firstLineChars="200"/>
        <w:rPr>
          <w:rFonts w:ascii="宋体" w:hAnsi="宋体" w:cs="宋体"/>
          <w:szCs w:val="21"/>
        </w:rPr>
      </w:pPr>
      <w:r>
        <w:rPr>
          <w:rFonts w:hint="eastAsia" w:ascii="宋体" w:hAnsi="宋体" w:cs="宋体"/>
          <w:szCs w:val="21"/>
        </w:rPr>
        <w:t>13.1 分部分项工程验收</w:t>
      </w:r>
    </w:p>
    <w:p w14:paraId="704457AB">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537B32D2">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68EC7D67">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4C6375AB">
      <w:pPr>
        <w:spacing w:line="360" w:lineRule="exact"/>
        <w:ind w:firstLine="420" w:firstLineChars="200"/>
        <w:rPr>
          <w:rFonts w:ascii="宋体" w:hAnsi="宋体" w:cs="宋体"/>
          <w:szCs w:val="21"/>
        </w:rPr>
      </w:pPr>
      <w:r>
        <w:rPr>
          <w:rFonts w:hint="eastAsia" w:ascii="宋体" w:hAnsi="宋体" w:cs="宋体"/>
          <w:szCs w:val="21"/>
        </w:rPr>
        <w:t>13.2 竣工验收</w:t>
      </w:r>
    </w:p>
    <w:p w14:paraId="5F3DB3BE">
      <w:pPr>
        <w:spacing w:line="360" w:lineRule="exact"/>
        <w:ind w:firstLine="420" w:firstLineChars="200"/>
        <w:rPr>
          <w:rFonts w:ascii="宋体" w:hAnsi="宋体" w:cs="宋体"/>
          <w:szCs w:val="21"/>
        </w:rPr>
      </w:pPr>
      <w:r>
        <w:rPr>
          <w:rFonts w:hint="eastAsia" w:ascii="宋体" w:hAnsi="宋体" w:cs="宋体"/>
          <w:szCs w:val="21"/>
        </w:rPr>
        <w:t>13.2.2竣工验收程序</w:t>
      </w:r>
    </w:p>
    <w:p w14:paraId="02330984">
      <w:pPr>
        <w:spacing w:line="360" w:lineRule="exact"/>
        <w:ind w:left="3746" w:leftChars="188" w:hanging="3351" w:hangingChars="1596"/>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5DABE630">
      <w:pPr>
        <w:spacing w:line="360" w:lineRule="exact"/>
        <w:ind w:firstLine="420" w:firstLineChars="200"/>
        <w:rPr>
          <w:rFonts w:ascii="宋体" w:hAnsi="宋体" w:cs="宋体"/>
          <w:szCs w:val="21"/>
          <w:u w:val="single"/>
        </w:rPr>
      </w:pPr>
      <w:r>
        <w:rPr>
          <w:rFonts w:hint="eastAsia" w:ascii="宋体" w:hAnsi="宋体" w:cs="宋体"/>
          <w:szCs w:val="21"/>
        </w:rPr>
        <w:t>发包人不按照本项约定组织竣工验收、颁发工程接收证书的违约金的计算方法：</w:t>
      </w:r>
      <w:r>
        <w:rPr>
          <w:rFonts w:hint="eastAsia" w:ascii="宋体" w:hAnsi="宋体" w:cs="宋体"/>
          <w:szCs w:val="21"/>
          <w:u w:val="single"/>
        </w:rPr>
        <w:t xml:space="preserve">  不计违约金。</w:t>
      </w:r>
    </w:p>
    <w:p w14:paraId="4B7AB1A2">
      <w:pPr>
        <w:spacing w:line="36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rPr>
        <w:t>。</w:t>
      </w:r>
    </w:p>
    <w:p w14:paraId="335150ED">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p w14:paraId="7ACC6568">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3B7DCBAA">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78284AB9">
      <w:pPr>
        <w:spacing w:line="360" w:lineRule="exact"/>
        <w:ind w:left="399" w:leftChars="189" w:hanging="2" w:hangingChars="1"/>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6C24C591">
      <w:pPr>
        <w:spacing w:line="360" w:lineRule="exact"/>
        <w:ind w:firstLine="420" w:firstLineChars="200"/>
        <w:rPr>
          <w:rFonts w:ascii="宋体" w:hAnsi="宋体" w:cs="宋体"/>
          <w:szCs w:val="21"/>
        </w:rPr>
      </w:pPr>
      <w:r>
        <w:rPr>
          <w:rFonts w:hint="eastAsia" w:ascii="宋体" w:hAnsi="宋体" w:cs="宋体"/>
          <w:szCs w:val="21"/>
        </w:rPr>
        <w:t>13.3 工程试车</w:t>
      </w:r>
    </w:p>
    <w:p w14:paraId="29D2EC91">
      <w:pPr>
        <w:spacing w:line="360" w:lineRule="exact"/>
        <w:ind w:firstLine="420" w:firstLineChars="200"/>
        <w:rPr>
          <w:rFonts w:ascii="宋体" w:hAnsi="宋体" w:cs="宋体"/>
          <w:szCs w:val="21"/>
        </w:rPr>
      </w:pPr>
      <w:r>
        <w:rPr>
          <w:rFonts w:hint="eastAsia" w:ascii="宋体" w:hAnsi="宋体" w:cs="宋体"/>
          <w:szCs w:val="21"/>
        </w:rPr>
        <w:t>13.3.1 试车程序</w:t>
      </w:r>
    </w:p>
    <w:p w14:paraId="2C50B022">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399E5F91">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15C1ACCE">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3E0470D3">
      <w:pPr>
        <w:spacing w:line="360" w:lineRule="exact"/>
        <w:ind w:firstLine="420" w:firstLineChars="200"/>
        <w:rPr>
          <w:rFonts w:ascii="宋体" w:hAnsi="宋体" w:cs="宋体"/>
          <w:szCs w:val="21"/>
        </w:rPr>
      </w:pPr>
      <w:r>
        <w:rPr>
          <w:rFonts w:hint="eastAsia" w:ascii="宋体" w:hAnsi="宋体" w:cs="宋体"/>
          <w:szCs w:val="21"/>
        </w:rPr>
        <w:t>13.3.3 投料试车</w:t>
      </w:r>
    </w:p>
    <w:p w14:paraId="3D5B56AB">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09C59068">
      <w:pPr>
        <w:spacing w:line="360" w:lineRule="exact"/>
        <w:ind w:firstLine="420" w:firstLineChars="200"/>
        <w:rPr>
          <w:rFonts w:ascii="宋体" w:hAnsi="宋体" w:cs="宋体"/>
          <w:szCs w:val="21"/>
        </w:rPr>
      </w:pPr>
      <w:r>
        <w:rPr>
          <w:rFonts w:hint="eastAsia" w:ascii="宋体" w:hAnsi="宋体" w:cs="宋体"/>
          <w:szCs w:val="21"/>
        </w:rPr>
        <w:t>13.6 竣工退场</w:t>
      </w:r>
    </w:p>
    <w:p w14:paraId="4E867FA3">
      <w:pPr>
        <w:spacing w:line="360" w:lineRule="exact"/>
        <w:ind w:firstLine="420" w:firstLineChars="200"/>
        <w:rPr>
          <w:rFonts w:ascii="宋体" w:hAnsi="宋体" w:cs="宋体"/>
          <w:szCs w:val="21"/>
        </w:rPr>
      </w:pPr>
      <w:r>
        <w:rPr>
          <w:rFonts w:hint="eastAsia" w:ascii="宋体" w:hAnsi="宋体" w:cs="宋体"/>
          <w:szCs w:val="21"/>
        </w:rPr>
        <w:t>13.6.1 竣工退场</w:t>
      </w:r>
    </w:p>
    <w:p w14:paraId="64D90619">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 </w:t>
      </w:r>
      <w:r>
        <w:rPr>
          <w:rFonts w:hint="eastAsia" w:ascii="宋体" w:hAnsi="宋体" w:cs="宋体"/>
          <w:szCs w:val="21"/>
        </w:rPr>
        <w:t>。</w:t>
      </w:r>
    </w:p>
    <w:p w14:paraId="5EE94667">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14. 竣工结算</w:t>
      </w:r>
    </w:p>
    <w:p w14:paraId="50293170">
      <w:pPr>
        <w:spacing w:line="360" w:lineRule="exact"/>
        <w:ind w:firstLine="420" w:firstLineChars="200"/>
        <w:rPr>
          <w:rFonts w:ascii="宋体" w:hAnsi="宋体" w:cs="宋体"/>
          <w:szCs w:val="21"/>
        </w:rPr>
      </w:pPr>
      <w:r>
        <w:rPr>
          <w:rFonts w:hint="eastAsia" w:ascii="宋体" w:hAnsi="宋体" w:cs="宋体"/>
          <w:szCs w:val="21"/>
        </w:rPr>
        <w:t>14.1 竣工结算申请</w:t>
      </w:r>
    </w:p>
    <w:p w14:paraId="4566F11C">
      <w:pPr>
        <w:spacing w:line="360" w:lineRule="exact"/>
        <w:ind w:firstLine="420" w:firstLineChars="200"/>
        <w:rPr>
          <w:rFonts w:ascii="宋体" w:hAnsi="宋体" w:cs="宋体"/>
          <w:szCs w:val="21"/>
          <w:u w:val="single"/>
        </w:rPr>
      </w:pPr>
      <w:r>
        <w:rPr>
          <w:rFonts w:hint="eastAsia" w:ascii="宋体" w:hAnsi="宋体" w:cs="宋体"/>
          <w:szCs w:val="21"/>
          <w:u w:val="single"/>
        </w:rPr>
        <w:t>承包人应在完成合同范围内施工内容，参建各方（建设、监理、施工、勘察、设计单位等）对工程验收并签署工程质量合格文件后90天内向发包人和监理人提交竣工结算申请单，并提交完整的工程结算资料一套。承包人超过90天未提交竣工结算资料，经发包人催告后28天，承包人还不提交竣工结算资料的，发包人可根据自己资料办理竣工结算，且视为承包人认可竣工结算结果。</w:t>
      </w:r>
    </w:p>
    <w:p w14:paraId="7BD7B50E">
      <w:pPr>
        <w:spacing w:line="360" w:lineRule="exact"/>
        <w:ind w:firstLine="420" w:firstLineChars="200"/>
        <w:rPr>
          <w:rFonts w:ascii="宋体" w:hAnsi="宋体" w:cs="宋体"/>
          <w:szCs w:val="21"/>
        </w:rPr>
      </w:pPr>
      <w:r>
        <w:rPr>
          <w:rFonts w:hint="eastAsia" w:ascii="宋体" w:hAnsi="宋体" w:cs="宋体"/>
          <w:szCs w:val="21"/>
        </w:rPr>
        <w:t>14.2 竣工结算审核</w:t>
      </w:r>
    </w:p>
    <w:p w14:paraId="527F0281">
      <w:pPr>
        <w:spacing w:line="360" w:lineRule="exact"/>
        <w:ind w:firstLine="420" w:firstLineChars="200"/>
        <w:rPr>
          <w:rFonts w:ascii="宋体" w:hAnsi="宋体" w:cs="宋体"/>
          <w:szCs w:val="21"/>
          <w:u w:val="single"/>
        </w:rPr>
      </w:pPr>
      <w:r>
        <w:rPr>
          <w:rFonts w:hint="eastAsia" w:ascii="宋体" w:hAnsi="宋体" w:cs="宋体"/>
          <w:szCs w:val="21"/>
        </w:rPr>
        <w:t>（1）发包人结算审核时间：</w:t>
      </w:r>
      <w:r>
        <w:rPr>
          <w:rFonts w:hint="eastAsia" w:ascii="宋体" w:hAnsi="宋体" w:cs="宋体"/>
          <w:szCs w:val="21"/>
          <w:u w:val="single"/>
        </w:rPr>
        <w:t>发包人收到承包人递交的竣工结算报告及结算资料后，在（  12  ）个月内审核完毕，并签发竣工结算证书。</w:t>
      </w:r>
    </w:p>
    <w:p w14:paraId="3D4BC769">
      <w:pPr>
        <w:spacing w:line="360" w:lineRule="exact"/>
        <w:ind w:firstLine="420" w:firstLineChars="200"/>
        <w:rPr>
          <w:rFonts w:ascii="宋体" w:hAnsi="宋体" w:cs="宋体"/>
          <w:szCs w:val="21"/>
          <w:u w:val="single"/>
        </w:rPr>
      </w:pPr>
      <w:r>
        <w:rPr>
          <w:rFonts w:hint="eastAsia" w:ascii="宋体" w:hAnsi="宋体" w:cs="宋体"/>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14:paraId="3471FE44">
      <w:pPr>
        <w:spacing w:line="360" w:lineRule="exact"/>
        <w:ind w:firstLine="420" w:firstLineChars="200"/>
        <w:rPr>
          <w:rFonts w:ascii="宋体" w:hAnsi="宋体" w:cs="宋体"/>
          <w:szCs w:val="21"/>
          <w:u w:val="single"/>
        </w:rPr>
      </w:pPr>
      <w:r>
        <w:rPr>
          <w:rFonts w:hint="eastAsia" w:ascii="宋体" w:hAnsi="宋体" w:cs="宋体"/>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4B15CD56">
      <w:pPr>
        <w:spacing w:line="360" w:lineRule="exact"/>
        <w:ind w:firstLine="420" w:firstLineChars="200"/>
        <w:rPr>
          <w:rFonts w:ascii="宋体" w:hAnsi="宋体" w:cs="宋体"/>
          <w:szCs w:val="21"/>
          <w:u w:val="single"/>
        </w:rPr>
      </w:pPr>
      <w:r>
        <w:rPr>
          <w:rFonts w:hint="eastAsia" w:ascii="宋体" w:hAnsi="宋体" w:cs="宋体"/>
          <w:szCs w:val="21"/>
          <w:u w:val="single"/>
        </w:rPr>
        <w:t>（3）承包人对发包人签认的结算价有异议的，发包人可先支付承包人无异议部分结算款。异议部分重新进行复核或按照第20条处理。</w:t>
      </w:r>
    </w:p>
    <w:p w14:paraId="2BB36920">
      <w:pPr>
        <w:spacing w:line="360" w:lineRule="exact"/>
        <w:ind w:firstLine="420" w:firstLineChars="200"/>
        <w:rPr>
          <w:rFonts w:ascii="宋体" w:hAnsi="宋体" w:cs="宋体"/>
          <w:szCs w:val="21"/>
        </w:rPr>
      </w:pPr>
      <w:r>
        <w:rPr>
          <w:rFonts w:hint="eastAsia" w:ascii="宋体" w:hAnsi="宋体" w:cs="宋体"/>
          <w:szCs w:val="21"/>
        </w:rPr>
        <w:t>14.4 最终结清</w:t>
      </w:r>
    </w:p>
    <w:p w14:paraId="73B3F570">
      <w:pPr>
        <w:spacing w:line="360" w:lineRule="exact"/>
        <w:ind w:firstLine="420" w:firstLineChars="200"/>
        <w:rPr>
          <w:rFonts w:ascii="宋体" w:hAnsi="宋体" w:cs="宋体"/>
          <w:szCs w:val="21"/>
        </w:rPr>
      </w:pPr>
      <w:r>
        <w:rPr>
          <w:rFonts w:hint="eastAsia" w:ascii="宋体" w:hAnsi="宋体" w:cs="宋体"/>
          <w:szCs w:val="21"/>
        </w:rPr>
        <w:t>14.4.1 最终结清申请单</w:t>
      </w:r>
    </w:p>
    <w:p w14:paraId="3D598101">
      <w:pPr>
        <w:spacing w:line="360" w:lineRule="exact"/>
        <w:ind w:firstLine="420" w:firstLineChars="200"/>
        <w:rPr>
          <w:rFonts w:ascii="宋体" w:hAnsi="宋体" w:cs="宋体"/>
          <w:szCs w:val="21"/>
        </w:rPr>
      </w:pPr>
      <w:r>
        <w:rPr>
          <w:rFonts w:hint="eastAsia" w:ascii="宋体" w:hAnsi="宋体" w:cs="宋体"/>
          <w:szCs w:val="21"/>
        </w:rPr>
        <w:t>承包人提交最终结清申请单的份数：</w:t>
      </w:r>
      <w:r>
        <w:rPr>
          <w:rFonts w:hint="eastAsia" w:ascii="宋体" w:hAnsi="宋体" w:cs="宋体"/>
          <w:szCs w:val="21"/>
          <w:u w:val="single"/>
        </w:rPr>
        <w:t xml:space="preserve">  满足发包人及相关部门审查要求    </w:t>
      </w:r>
      <w:r>
        <w:rPr>
          <w:rFonts w:hint="eastAsia" w:ascii="宋体" w:hAnsi="宋体" w:cs="宋体"/>
          <w:szCs w:val="21"/>
        </w:rPr>
        <w:t>。</w:t>
      </w:r>
    </w:p>
    <w:p w14:paraId="7020CF68">
      <w:pPr>
        <w:spacing w:line="360" w:lineRule="exact"/>
        <w:ind w:firstLine="420" w:firstLineChars="200"/>
        <w:rPr>
          <w:rFonts w:ascii="宋体" w:hAnsi="宋体" w:cs="宋体"/>
          <w:szCs w:val="21"/>
        </w:rPr>
      </w:pPr>
      <w:r>
        <w:rPr>
          <w:rFonts w:hint="eastAsia" w:ascii="宋体" w:hAnsi="宋体" w:cs="宋体"/>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293D3719">
      <w:pPr>
        <w:spacing w:line="360" w:lineRule="exact"/>
        <w:ind w:firstLine="420" w:firstLineChars="200"/>
        <w:rPr>
          <w:rFonts w:ascii="宋体" w:hAnsi="宋体" w:cs="宋体"/>
          <w:szCs w:val="21"/>
        </w:rPr>
      </w:pPr>
      <w:r>
        <w:rPr>
          <w:rFonts w:hint="eastAsia" w:ascii="宋体" w:hAnsi="宋体" w:cs="宋体"/>
          <w:szCs w:val="21"/>
        </w:rPr>
        <w:t>14.4.2 最终结清证书和支付</w:t>
      </w:r>
    </w:p>
    <w:p w14:paraId="7FF645DD">
      <w:pPr>
        <w:spacing w:line="36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76206F2F">
      <w:pPr>
        <w:spacing w:line="36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4A474DCD">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15. 缺陷责任期与保修</w:t>
      </w:r>
    </w:p>
    <w:p w14:paraId="44DC93DE">
      <w:pPr>
        <w:spacing w:line="360" w:lineRule="exact"/>
        <w:ind w:firstLine="420" w:firstLineChars="200"/>
        <w:rPr>
          <w:rFonts w:ascii="宋体" w:hAnsi="宋体" w:cs="宋体"/>
          <w:szCs w:val="21"/>
        </w:rPr>
      </w:pPr>
      <w:r>
        <w:rPr>
          <w:rFonts w:hint="eastAsia" w:ascii="宋体" w:hAnsi="宋体" w:cs="宋体"/>
          <w:szCs w:val="21"/>
        </w:rPr>
        <w:t>15.2缺陷责任期</w:t>
      </w:r>
    </w:p>
    <w:p w14:paraId="70D8E9A1">
      <w:pPr>
        <w:spacing w:line="360" w:lineRule="exact"/>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缺陷责任期24个月，其余按通用条款执行</w:t>
      </w:r>
      <w:r>
        <w:rPr>
          <w:rFonts w:hint="eastAsia" w:ascii="宋体" w:hAnsi="宋体" w:cs="宋体"/>
          <w:szCs w:val="21"/>
        </w:rPr>
        <w:t>。</w:t>
      </w:r>
    </w:p>
    <w:p w14:paraId="4A6D9EB4">
      <w:pPr>
        <w:spacing w:line="360" w:lineRule="exact"/>
        <w:ind w:firstLine="420" w:firstLineChars="200"/>
        <w:rPr>
          <w:rFonts w:ascii="宋体" w:hAnsi="宋体" w:cs="宋体"/>
          <w:szCs w:val="21"/>
        </w:rPr>
      </w:pPr>
      <w:r>
        <w:rPr>
          <w:rFonts w:hint="eastAsia" w:ascii="宋体" w:hAnsi="宋体" w:cs="宋体"/>
          <w:szCs w:val="21"/>
        </w:rPr>
        <w:t>15.3 质量保证金</w:t>
      </w:r>
    </w:p>
    <w:p w14:paraId="0C152897">
      <w:pPr>
        <w:spacing w:line="36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不扣留质量保证金    </w:t>
      </w:r>
      <w:r>
        <w:rPr>
          <w:rFonts w:hint="eastAsia" w:ascii="宋体" w:hAnsi="宋体" w:cs="宋体"/>
          <w:szCs w:val="21"/>
        </w:rPr>
        <w:t>。</w:t>
      </w:r>
    </w:p>
    <w:p w14:paraId="0B571023">
      <w:pPr>
        <w:spacing w:line="360" w:lineRule="exact"/>
        <w:ind w:firstLine="420" w:firstLineChars="200"/>
        <w:rPr>
          <w:rFonts w:ascii="宋体" w:hAnsi="宋体" w:cs="宋体"/>
          <w:szCs w:val="21"/>
        </w:rPr>
      </w:pPr>
      <w:r>
        <w:rPr>
          <w:rFonts w:hint="eastAsia" w:ascii="宋体" w:hAnsi="宋体" w:cs="宋体"/>
          <w:szCs w:val="21"/>
        </w:rPr>
        <w:t>15.3.1 承包人提供质量保证金的方式</w:t>
      </w:r>
    </w:p>
    <w:p w14:paraId="63716521">
      <w:pPr>
        <w:spacing w:line="36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3  </w:t>
      </w:r>
      <w:r>
        <w:rPr>
          <w:rFonts w:hint="eastAsia" w:ascii="宋体" w:hAnsi="宋体" w:cs="宋体"/>
          <w:szCs w:val="21"/>
        </w:rPr>
        <w:t>种方式：</w:t>
      </w:r>
    </w:p>
    <w:p w14:paraId="6B8BD10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 xml:space="preserve">（1）质量保证金保函，保证金额为1.5 %的工程结算价款； </w:t>
      </w:r>
    </w:p>
    <w:p w14:paraId="062DF08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1.5 %</w:t>
      </w:r>
      <w:r>
        <w:rPr>
          <w:rFonts w:hint="eastAsia" w:ascii="宋体" w:hAnsi="宋体" w:cs="宋体"/>
          <w:szCs w:val="21"/>
        </w:rPr>
        <w:t>的工程结算价款；</w:t>
      </w:r>
    </w:p>
    <w:p w14:paraId="17E1917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承包人提交工程质量保证金（保证金额为1.5%的工程结算审定价） </w:t>
      </w:r>
      <w:r>
        <w:rPr>
          <w:rFonts w:hint="eastAsia" w:ascii="宋体" w:hAnsi="宋体" w:cs="宋体"/>
          <w:szCs w:val="21"/>
        </w:rPr>
        <w:t>。</w:t>
      </w:r>
    </w:p>
    <w:p w14:paraId="700248C0">
      <w:pPr>
        <w:spacing w:line="360" w:lineRule="exact"/>
        <w:ind w:firstLine="420" w:firstLineChars="200"/>
        <w:rPr>
          <w:rFonts w:ascii="宋体" w:hAnsi="宋体" w:cs="宋体"/>
          <w:szCs w:val="21"/>
        </w:rPr>
      </w:pPr>
      <w:r>
        <w:rPr>
          <w:rFonts w:hint="eastAsia" w:ascii="宋体" w:hAnsi="宋体" w:cs="宋体"/>
          <w:szCs w:val="21"/>
        </w:rPr>
        <w:t xml:space="preserve">15.3.2 质量保证金的扣留 </w:t>
      </w:r>
    </w:p>
    <w:p w14:paraId="33E649CB">
      <w:pPr>
        <w:spacing w:line="36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14:paraId="3535B1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14:paraId="5B50C48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（2）工程竣工结算时一次性扣留质量保证金；</w:t>
      </w:r>
    </w:p>
    <w:p w14:paraId="1B0AAA6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发包人支付完成最后工程结算付款前，承包人提交工程质量保证金       </w:t>
      </w:r>
      <w:r>
        <w:rPr>
          <w:rFonts w:hint="eastAsia" w:ascii="宋体" w:hAnsi="宋体" w:cs="宋体"/>
          <w:szCs w:val="21"/>
        </w:rPr>
        <w:t>。</w:t>
      </w:r>
    </w:p>
    <w:p w14:paraId="23BF0628">
      <w:pPr>
        <w:spacing w:line="360" w:lineRule="exact"/>
        <w:ind w:firstLine="42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             /                。</w:t>
      </w:r>
    </w:p>
    <w:p w14:paraId="32F7D6B7">
      <w:pPr>
        <w:spacing w:line="360" w:lineRule="exact"/>
        <w:ind w:firstLine="420" w:firstLineChars="200"/>
        <w:rPr>
          <w:rFonts w:ascii="宋体" w:hAnsi="宋体" w:cs="宋体"/>
          <w:szCs w:val="21"/>
        </w:rPr>
      </w:pPr>
      <w:r>
        <w:rPr>
          <w:rFonts w:hint="eastAsia" w:ascii="宋体" w:hAnsi="宋体" w:cs="宋体"/>
          <w:szCs w:val="21"/>
        </w:rPr>
        <w:t>15.3.3 质量保证金的退还</w:t>
      </w:r>
    </w:p>
    <w:p w14:paraId="13D84265">
      <w:pPr>
        <w:spacing w:line="36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14:paraId="0E1E2406">
      <w:pPr>
        <w:spacing w:line="360" w:lineRule="exact"/>
        <w:ind w:firstLine="420" w:firstLineChars="200"/>
        <w:rPr>
          <w:rFonts w:ascii="宋体" w:hAnsi="宋体" w:cs="宋体"/>
          <w:szCs w:val="21"/>
        </w:rPr>
      </w:pPr>
      <w:r>
        <w:rPr>
          <w:rFonts w:hint="eastAsia" w:ascii="宋体" w:hAnsi="宋体" w:cs="宋体"/>
          <w:szCs w:val="21"/>
        </w:rPr>
        <w:t>（1）缺陷责任期终止后，发包人退还剩余的质量保证金（不计息）。</w:t>
      </w:r>
    </w:p>
    <w:p w14:paraId="7553940B">
      <w:pPr>
        <w:adjustRightInd w:val="0"/>
        <w:spacing w:line="360" w:lineRule="exact"/>
        <w:ind w:firstLine="420" w:firstLineChars="200"/>
        <w:rPr>
          <w:rFonts w:ascii="宋体" w:hAnsi="宋体" w:cs="宋体"/>
          <w:szCs w:val="21"/>
        </w:rPr>
      </w:pPr>
      <w:r>
        <w:rPr>
          <w:rFonts w:hint="eastAsia" w:ascii="宋体" w:hAnsi="宋体" w:cs="宋体"/>
          <w:szCs w:val="21"/>
        </w:rPr>
        <w:t>（2）建筑工程：工程实际竣工验收合格后满一年返还质量保证金的30%，质量缺陷保修期后返还全部预留的质量保证金。</w:t>
      </w:r>
    </w:p>
    <w:p w14:paraId="5292AB11">
      <w:pPr>
        <w:adjustRightInd w:val="0"/>
        <w:spacing w:line="360" w:lineRule="exact"/>
        <w:ind w:firstLine="420" w:firstLineChars="200"/>
        <w:rPr>
          <w:rFonts w:ascii="宋体" w:hAnsi="宋体" w:cs="宋体"/>
          <w:szCs w:val="21"/>
        </w:rPr>
      </w:pPr>
      <w:r>
        <w:rPr>
          <w:rFonts w:hint="eastAsia" w:ascii="宋体" w:hAnsi="宋体" w:cs="宋体"/>
          <w:szCs w:val="21"/>
        </w:rPr>
        <w:t>（3）市政工程：工程实际竣工验收合格后满一年可返还全部质量保证金。</w:t>
      </w:r>
    </w:p>
    <w:p w14:paraId="33A7BE09">
      <w:pPr>
        <w:spacing w:line="36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工程实际竣工验收合格后满二年可返还全部质量保证金。    </w:t>
      </w:r>
    </w:p>
    <w:p w14:paraId="7D371377">
      <w:pPr>
        <w:spacing w:line="360" w:lineRule="exact"/>
        <w:ind w:firstLine="420" w:firstLineChars="200"/>
        <w:rPr>
          <w:rFonts w:ascii="宋体" w:hAnsi="宋体" w:cs="宋体"/>
          <w:szCs w:val="21"/>
        </w:rPr>
      </w:pPr>
      <w:r>
        <w:rPr>
          <w:rFonts w:hint="eastAsia" w:ascii="宋体" w:hAnsi="宋体" w:cs="宋体"/>
          <w:szCs w:val="21"/>
        </w:rPr>
        <w:t>15.4保修</w:t>
      </w:r>
    </w:p>
    <w:p w14:paraId="53C98C9F">
      <w:pPr>
        <w:spacing w:line="360" w:lineRule="exact"/>
        <w:ind w:firstLine="420" w:firstLineChars="200"/>
        <w:rPr>
          <w:rFonts w:ascii="宋体" w:hAnsi="宋体" w:cs="宋体"/>
          <w:szCs w:val="21"/>
        </w:rPr>
      </w:pPr>
      <w:r>
        <w:rPr>
          <w:rFonts w:hint="eastAsia" w:ascii="宋体" w:hAnsi="宋体" w:cs="宋体"/>
          <w:szCs w:val="21"/>
        </w:rPr>
        <w:t>15.4.1 保修责任</w:t>
      </w:r>
    </w:p>
    <w:p w14:paraId="1984247F">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5F235328">
      <w:pPr>
        <w:spacing w:line="360" w:lineRule="exact"/>
        <w:ind w:firstLine="420" w:firstLineChars="200"/>
        <w:rPr>
          <w:rFonts w:ascii="宋体" w:hAnsi="宋体" w:cs="宋体"/>
          <w:szCs w:val="21"/>
        </w:rPr>
      </w:pPr>
      <w:r>
        <w:rPr>
          <w:rFonts w:hint="eastAsia" w:ascii="宋体" w:hAnsi="宋体" w:cs="宋体"/>
          <w:szCs w:val="21"/>
        </w:rPr>
        <w:t>15.4.3 修复通知</w:t>
      </w:r>
    </w:p>
    <w:p w14:paraId="3F3169CA">
      <w:pPr>
        <w:spacing w:line="360" w:lineRule="exact"/>
        <w:ind w:firstLine="420" w:firstLineChars="200"/>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08E721AC">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16. 违约</w:t>
      </w:r>
    </w:p>
    <w:p w14:paraId="566311D9">
      <w:pPr>
        <w:spacing w:line="360" w:lineRule="exact"/>
        <w:ind w:firstLine="420" w:firstLineChars="200"/>
        <w:rPr>
          <w:rFonts w:ascii="宋体" w:hAnsi="宋体" w:cs="宋体"/>
          <w:szCs w:val="21"/>
        </w:rPr>
      </w:pPr>
      <w:r>
        <w:rPr>
          <w:rFonts w:hint="eastAsia" w:ascii="宋体" w:hAnsi="宋体" w:cs="宋体"/>
          <w:szCs w:val="21"/>
        </w:rPr>
        <w:t>16.1 发包人违约</w:t>
      </w:r>
    </w:p>
    <w:p w14:paraId="1F76C7FE">
      <w:pPr>
        <w:spacing w:line="360" w:lineRule="exact"/>
        <w:ind w:firstLine="420" w:firstLineChars="200"/>
        <w:rPr>
          <w:rFonts w:ascii="宋体" w:hAnsi="宋体" w:cs="宋体"/>
          <w:szCs w:val="21"/>
        </w:rPr>
      </w:pPr>
      <w:r>
        <w:rPr>
          <w:rFonts w:hint="eastAsia" w:ascii="宋体" w:hAnsi="宋体" w:cs="宋体"/>
          <w:szCs w:val="21"/>
        </w:rPr>
        <w:t>16.1.1发包人违约的情形</w:t>
      </w:r>
    </w:p>
    <w:p w14:paraId="276DBE97">
      <w:pPr>
        <w:spacing w:line="360" w:lineRule="exact"/>
        <w:ind w:left="815" w:leftChars="188" w:hanging="420" w:hangingChars="200"/>
        <w:rPr>
          <w:rFonts w:ascii="宋体" w:hAnsi="宋体" w:cs="宋体"/>
          <w:szCs w:val="21"/>
        </w:rPr>
      </w:pPr>
      <w:r>
        <w:rPr>
          <w:rFonts w:hint="eastAsia" w:ascii="宋体" w:hAnsi="宋体" w:cs="宋体"/>
          <w:szCs w:val="21"/>
        </w:rPr>
        <w:t>发包人违约的其他情形：</w:t>
      </w:r>
      <w:r>
        <w:rPr>
          <w:rFonts w:hint="eastAsia" w:ascii="宋体" w:hAnsi="宋体" w:cs="宋体"/>
          <w:szCs w:val="21"/>
          <w:u w:val="single"/>
        </w:rPr>
        <w:t xml:space="preserve">       /           </w:t>
      </w:r>
      <w:r>
        <w:rPr>
          <w:rFonts w:hint="eastAsia" w:ascii="宋体" w:hAnsi="宋体" w:cs="宋体"/>
          <w:szCs w:val="21"/>
        </w:rPr>
        <w:t>。</w:t>
      </w:r>
    </w:p>
    <w:p w14:paraId="7BCB3786">
      <w:pPr>
        <w:spacing w:line="360" w:lineRule="exact"/>
        <w:ind w:left="1016" w:leftChars="188" w:hanging="621" w:hangingChars="296"/>
        <w:rPr>
          <w:rFonts w:ascii="宋体" w:hAnsi="宋体" w:cs="宋体"/>
          <w:szCs w:val="21"/>
        </w:rPr>
      </w:pPr>
      <w:r>
        <w:rPr>
          <w:rFonts w:hint="eastAsia" w:ascii="宋体" w:hAnsi="宋体" w:cs="宋体"/>
          <w:szCs w:val="21"/>
        </w:rPr>
        <w:t>16.1.2 发包人违约的责任</w:t>
      </w:r>
    </w:p>
    <w:p w14:paraId="35000BD2">
      <w:pPr>
        <w:spacing w:line="360" w:lineRule="exact"/>
        <w:ind w:firstLine="420" w:firstLineChars="200"/>
        <w:rPr>
          <w:rFonts w:ascii="宋体" w:hAnsi="宋体" w:cs="宋体"/>
          <w:szCs w:val="21"/>
        </w:rPr>
      </w:pPr>
      <w:r>
        <w:rPr>
          <w:rFonts w:hint="eastAsia" w:ascii="宋体" w:hAnsi="宋体" w:cs="宋体"/>
          <w:szCs w:val="21"/>
        </w:rPr>
        <w:t>发包人违约责任的承担方式和计算方法：</w:t>
      </w:r>
    </w:p>
    <w:p w14:paraId="60BFDC46">
      <w:pPr>
        <w:spacing w:line="360" w:lineRule="exact"/>
        <w:ind w:firstLine="420" w:firstLineChars="200"/>
        <w:rPr>
          <w:rFonts w:ascii="宋体" w:hAnsi="宋体" w:cs="宋体"/>
          <w:szCs w:val="21"/>
          <w:u w:val="single"/>
        </w:rPr>
      </w:pPr>
      <w:r>
        <w:rPr>
          <w:rFonts w:hint="eastAsia" w:ascii="宋体" w:hAnsi="宋体" w:cs="宋体"/>
          <w:szCs w:val="21"/>
        </w:rPr>
        <w:t>（1）因发包人原因未能在计划开工日期前7天内下达开工通知的违约责任：</w:t>
      </w:r>
      <w:r>
        <w:rPr>
          <w:rFonts w:hint="eastAsia" w:ascii="宋体" w:hAnsi="宋体" w:cs="宋体"/>
          <w:szCs w:val="21"/>
          <w:u w:val="single"/>
        </w:rPr>
        <w:t xml:space="preserve"> 开始计算第7天后承包人已进场施工设备租赁费及施工人员窝工费。</w:t>
      </w:r>
    </w:p>
    <w:p w14:paraId="34A47792">
      <w:pPr>
        <w:spacing w:line="360" w:lineRule="exact"/>
        <w:ind w:firstLine="420" w:firstLineChars="200"/>
        <w:rPr>
          <w:rFonts w:ascii="宋体" w:hAnsi="宋体" w:cs="宋体"/>
          <w:szCs w:val="21"/>
        </w:rPr>
      </w:pPr>
      <w:r>
        <w:rPr>
          <w:rFonts w:hint="eastAsia" w:ascii="宋体" w:hAnsi="宋体" w:cs="宋体"/>
          <w:szCs w:val="21"/>
        </w:rPr>
        <w:t>（2）因发包人原因未能按合同约定支付合同价款的违约责任：</w:t>
      </w:r>
      <w:r>
        <w:rPr>
          <w:rFonts w:hint="eastAsia" w:ascii="宋体" w:hAnsi="宋体" w:cs="宋体"/>
          <w:szCs w:val="21"/>
          <w:u w:val="single"/>
        </w:rPr>
        <w:t xml:space="preserve">  支付违约金，违约金为应付工程款的利息，利率按中国人民银行发布的同期同类贷款基准利率，利息计算时间为应付工程款日至支付工程款日止。</w:t>
      </w:r>
    </w:p>
    <w:p w14:paraId="71389FF9">
      <w:pPr>
        <w:spacing w:line="360" w:lineRule="exact"/>
        <w:ind w:firstLine="420" w:firstLineChars="200"/>
        <w:rPr>
          <w:rFonts w:ascii="宋体" w:hAnsi="宋体" w:cs="宋体"/>
          <w:szCs w:val="21"/>
        </w:rPr>
      </w:pPr>
      <w:r>
        <w:rPr>
          <w:rFonts w:hint="eastAsia" w:ascii="宋体" w:hAnsi="宋体" w:cs="宋体"/>
          <w:szCs w:val="21"/>
        </w:rPr>
        <w:t>（3）发包人违反第10.1款〔变更的范围〕第（2）项约定，自行实施被取消的工作或转由他人实施的违约责任：</w:t>
      </w:r>
      <w:r>
        <w:rPr>
          <w:rFonts w:hint="eastAsia" w:ascii="宋体" w:hAnsi="宋体" w:cs="宋体"/>
          <w:szCs w:val="21"/>
          <w:u w:val="single"/>
        </w:rPr>
        <w:t xml:space="preserve">    /      </w:t>
      </w:r>
      <w:r>
        <w:rPr>
          <w:rFonts w:hint="eastAsia" w:ascii="宋体" w:hAnsi="宋体" w:cs="宋体"/>
          <w:szCs w:val="21"/>
        </w:rPr>
        <w:t>。</w:t>
      </w:r>
    </w:p>
    <w:p w14:paraId="0E26700F">
      <w:pPr>
        <w:spacing w:line="360" w:lineRule="exact"/>
        <w:ind w:firstLine="420" w:firstLineChars="200"/>
        <w:rPr>
          <w:rFonts w:ascii="宋体" w:hAnsi="宋体" w:cs="宋体"/>
          <w:szCs w:val="21"/>
        </w:rPr>
      </w:pPr>
      <w:r>
        <w:rPr>
          <w:rFonts w:hint="eastAsia" w:ascii="宋体" w:hAnsi="宋体" w:cs="宋体"/>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 xml:space="preserve">      造成工期延误的顺延工期，并承担增加的造价及承包人的相应损失费用等        </w:t>
      </w:r>
      <w:r>
        <w:rPr>
          <w:rFonts w:hint="eastAsia" w:ascii="宋体" w:hAnsi="宋体" w:cs="宋体"/>
          <w:szCs w:val="21"/>
        </w:rPr>
        <w:t>。</w:t>
      </w:r>
    </w:p>
    <w:p w14:paraId="4EDB6217">
      <w:pPr>
        <w:spacing w:line="360" w:lineRule="exact"/>
        <w:ind w:firstLine="420" w:firstLineChars="200"/>
        <w:rPr>
          <w:rFonts w:ascii="宋体" w:hAnsi="宋体" w:cs="宋体"/>
          <w:szCs w:val="21"/>
        </w:rPr>
      </w:pPr>
      <w:r>
        <w:rPr>
          <w:rFonts w:hint="eastAsia" w:ascii="宋体" w:hAnsi="宋体" w:cs="宋体"/>
          <w:szCs w:val="21"/>
        </w:rPr>
        <w:t>（5）因发包人违反合同约定造成暂停施工的违约责任：</w:t>
      </w:r>
      <w:r>
        <w:rPr>
          <w:rFonts w:hint="eastAsia" w:ascii="宋体" w:hAnsi="宋体" w:cs="宋体"/>
          <w:szCs w:val="21"/>
          <w:u w:val="single"/>
        </w:rPr>
        <w:t xml:space="preserve"> 造成工期延误的顺延工期，并承担增加的造价及承包人的相应损失费用等  </w:t>
      </w:r>
      <w:r>
        <w:rPr>
          <w:rFonts w:hint="eastAsia" w:ascii="宋体" w:hAnsi="宋体" w:cs="宋体"/>
          <w:szCs w:val="21"/>
        </w:rPr>
        <w:t>。</w:t>
      </w:r>
    </w:p>
    <w:p w14:paraId="71CB7144">
      <w:pPr>
        <w:spacing w:line="360" w:lineRule="exact"/>
        <w:ind w:firstLine="420" w:firstLineChars="200"/>
        <w:rPr>
          <w:rFonts w:ascii="宋体" w:hAnsi="宋体" w:cs="宋体"/>
          <w:szCs w:val="21"/>
        </w:rPr>
      </w:pPr>
      <w:r>
        <w:rPr>
          <w:rFonts w:hint="eastAsia" w:ascii="宋体" w:hAnsi="宋体" w:cs="宋体"/>
          <w:szCs w:val="21"/>
        </w:rPr>
        <w:t>（6）发包人无正当理由没有在约定期限内发出复工指示，导致承包人无法复工的违约责任：</w:t>
      </w:r>
      <w:r>
        <w:rPr>
          <w:rFonts w:hint="eastAsia" w:ascii="宋体" w:hAnsi="宋体" w:cs="宋体"/>
          <w:szCs w:val="21"/>
          <w:u w:val="single"/>
        </w:rPr>
        <w:t xml:space="preserve">     造成工期延误的顺延工期，并承担增加的造价及承包人的相应损失费用等       </w:t>
      </w:r>
      <w:r>
        <w:rPr>
          <w:rFonts w:hint="eastAsia" w:ascii="宋体" w:hAnsi="宋体" w:cs="宋体"/>
          <w:szCs w:val="21"/>
        </w:rPr>
        <w:t>。</w:t>
      </w:r>
    </w:p>
    <w:p w14:paraId="4282CF85">
      <w:pPr>
        <w:spacing w:line="360" w:lineRule="exact"/>
        <w:ind w:firstLine="420" w:firstLineChars="200"/>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r>
        <w:rPr>
          <w:rFonts w:hint="eastAsia" w:ascii="宋体" w:hAnsi="宋体" w:cs="宋体"/>
          <w:szCs w:val="21"/>
        </w:rPr>
        <w:t>。</w:t>
      </w:r>
    </w:p>
    <w:p w14:paraId="4A1C98F0">
      <w:pPr>
        <w:spacing w:line="360" w:lineRule="exact"/>
        <w:ind w:firstLine="420" w:firstLineChars="200"/>
        <w:rPr>
          <w:rFonts w:ascii="宋体" w:hAnsi="宋体" w:cs="宋体"/>
          <w:szCs w:val="21"/>
        </w:rPr>
      </w:pPr>
      <w:r>
        <w:rPr>
          <w:rFonts w:hint="eastAsia" w:ascii="宋体" w:hAnsi="宋体" w:cs="宋体"/>
          <w:szCs w:val="21"/>
        </w:rPr>
        <w:t>16.1.3 因发包人违约解除合同</w:t>
      </w:r>
    </w:p>
    <w:p w14:paraId="7ABFD49A">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承包人按16.1.1项〔发包人违约的情形〕约定暂停施工满</w:t>
      </w:r>
      <w:r>
        <w:rPr>
          <w:rFonts w:hint="eastAsia" w:ascii="宋体" w:hAnsi="宋体" w:cs="宋体"/>
          <w:szCs w:val="21"/>
          <w:u w:val="single"/>
        </w:rPr>
        <w:t xml:space="preserve"> 90   </w:t>
      </w:r>
      <w:r>
        <w:rPr>
          <w:rFonts w:hint="eastAsia" w:ascii="宋体" w:hAnsi="宋体" w:cs="宋体"/>
          <w:szCs w:val="21"/>
        </w:rPr>
        <w:t>天后发包人仍不纠正其违约行为并致使合同目的不能实现的，承包人有权解除合同。</w:t>
      </w:r>
    </w:p>
    <w:p w14:paraId="0D463FCA">
      <w:pPr>
        <w:spacing w:line="360" w:lineRule="exact"/>
        <w:ind w:firstLine="420" w:firstLineChars="200"/>
        <w:rPr>
          <w:rFonts w:ascii="宋体" w:hAnsi="宋体" w:cs="宋体"/>
          <w:szCs w:val="21"/>
        </w:rPr>
      </w:pPr>
      <w:r>
        <w:rPr>
          <w:rFonts w:hint="eastAsia" w:ascii="宋体" w:hAnsi="宋体" w:cs="宋体"/>
          <w:szCs w:val="21"/>
        </w:rPr>
        <w:t>16.2 承包人违约</w:t>
      </w:r>
    </w:p>
    <w:p w14:paraId="1B223CBD">
      <w:pPr>
        <w:spacing w:line="360" w:lineRule="exact"/>
        <w:ind w:firstLine="420" w:firstLineChars="200"/>
        <w:rPr>
          <w:rFonts w:ascii="宋体" w:hAnsi="宋体" w:cs="宋体"/>
          <w:szCs w:val="21"/>
        </w:rPr>
      </w:pPr>
      <w:r>
        <w:rPr>
          <w:rFonts w:hint="eastAsia" w:ascii="宋体" w:hAnsi="宋体" w:cs="宋体"/>
          <w:szCs w:val="21"/>
        </w:rPr>
        <w:t>16.2.1 承包人违约的情形</w:t>
      </w:r>
    </w:p>
    <w:p w14:paraId="6EE2966B">
      <w:pPr>
        <w:spacing w:line="360" w:lineRule="exact"/>
        <w:ind w:firstLine="420" w:firstLineChars="200"/>
        <w:rPr>
          <w:rFonts w:ascii="宋体" w:hAnsi="宋体" w:cs="宋体"/>
          <w:szCs w:val="21"/>
          <w:u w:val="single"/>
        </w:rPr>
      </w:pPr>
      <w:r>
        <w:rPr>
          <w:rFonts w:hint="eastAsia" w:ascii="宋体" w:hAnsi="宋体" w:cs="宋体"/>
          <w:szCs w:val="21"/>
        </w:rPr>
        <w:t>承包人违约的其他情形：</w:t>
      </w:r>
    </w:p>
    <w:p w14:paraId="37EE60B8">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）机械设备、施工项目班子未按投标承诺及时到位；</w:t>
      </w:r>
    </w:p>
    <w:p w14:paraId="32F0AFEE">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）本工程在实施过程中，如承包人的施工队伍素质、力量、现场管理班子、现场安全文明施工不符合投标书的承诺，造成现场管理混乱、工程质量和进度达不到投标所承诺的要求；</w:t>
      </w:r>
    </w:p>
    <w:p w14:paraId="4E5304D8">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szCs w:val="21"/>
        </w:rPr>
        <w:t>；</w:t>
      </w:r>
    </w:p>
    <w:p w14:paraId="66A01A1A">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）承包人未达到投标时所承诺的诚信与技术标准。</w:t>
      </w:r>
    </w:p>
    <w:p w14:paraId="701AD789">
      <w:pPr>
        <w:spacing w:line="360" w:lineRule="exact"/>
        <w:ind w:firstLine="420" w:firstLineChars="200"/>
        <w:rPr>
          <w:rFonts w:ascii="宋体" w:hAnsi="宋体" w:cs="宋体"/>
          <w:szCs w:val="21"/>
        </w:rPr>
      </w:pPr>
      <w:r>
        <w:rPr>
          <w:rFonts w:hint="eastAsia" w:ascii="宋体" w:hAnsi="宋体" w:cs="宋体"/>
          <w:szCs w:val="21"/>
        </w:rPr>
        <w:t>16.2.2承包人违约的责任</w:t>
      </w:r>
    </w:p>
    <w:p w14:paraId="192ED8AB">
      <w:pPr>
        <w:spacing w:line="360" w:lineRule="exact"/>
        <w:ind w:firstLine="420" w:firstLineChars="200"/>
        <w:rPr>
          <w:rFonts w:ascii="宋体" w:hAnsi="宋体" w:cs="宋体"/>
          <w:szCs w:val="21"/>
        </w:rPr>
      </w:pPr>
      <w:r>
        <w:rPr>
          <w:rFonts w:hint="eastAsia" w:ascii="宋体" w:hAnsi="宋体" w:cs="宋体"/>
          <w:szCs w:val="21"/>
        </w:rPr>
        <w:t>承包人违约责任的承担方式和计算方法：</w:t>
      </w:r>
    </w:p>
    <w:p w14:paraId="0584C46E">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机械设备未按投标承诺到位，每项扣除5000元；</w:t>
      </w:r>
    </w:p>
    <w:p w14:paraId="331D9D4E">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并赔偿发包人损失。</w:t>
      </w:r>
    </w:p>
    <w:p w14:paraId="72B0C393">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发现承包人允许其他人挂靠经营、私自转包，同时赔偿发包人损失，并责令退出工地。</w:t>
      </w:r>
    </w:p>
    <w:p w14:paraId="697F67C2">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未达到投标所承诺的诚信与技术标准，按每一项扣减3000元。</w:t>
      </w:r>
    </w:p>
    <w:p w14:paraId="6C2999FC">
      <w:pPr>
        <w:spacing w:line="36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14:paraId="569A1226">
      <w:pPr>
        <w:spacing w:line="360" w:lineRule="exact"/>
        <w:ind w:firstLine="420" w:firstLineChars="200"/>
        <w:rPr>
          <w:rFonts w:ascii="宋体" w:hAnsi="宋体" w:cs="宋体"/>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3922C0E2">
      <w:pPr>
        <w:spacing w:line="360" w:lineRule="exact"/>
        <w:ind w:firstLine="420" w:firstLineChars="200"/>
        <w:rPr>
          <w:rFonts w:ascii="宋体" w:hAnsi="宋体" w:cs="宋体"/>
          <w:szCs w:val="21"/>
        </w:rPr>
      </w:pPr>
      <w:r>
        <w:rPr>
          <w:rFonts w:hint="eastAsia" w:ascii="宋体" w:hAnsi="宋体" w:cs="宋体"/>
          <w:szCs w:val="21"/>
        </w:rPr>
        <w:t>16.2.3 因承包人违约解除合同</w:t>
      </w:r>
    </w:p>
    <w:p w14:paraId="6A8C707D">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关于承包人违约解除合同的特别约定：</w:t>
      </w:r>
      <w:r>
        <w:rPr>
          <w:rFonts w:hint="eastAsia" w:ascii="宋体" w:hAnsi="宋体" w:cs="宋体"/>
          <w:szCs w:val="21"/>
          <w:u w:val="single"/>
        </w:rPr>
        <w:t xml:space="preserve">   施工现场满足开工条件，且承包人接到发包人发出的开工令后14天内，不进行正常施工的，发包人有权单方面解除合同          。</w:t>
      </w:r>
    </w:p>
    <w:p w14:paraId="2681BEF5">
      <w:pPr>
        <w:spacing w:line="360" w:lineRule="exact"/>
        <w:ind w:firstLine="420" w:firstLineChars="200"/>
        <w:rPr>
          <w:rFonts w:ascii="宋体" w:hAnsi="宋体" w:cs="宋体"/>
          <w:szCs w:val="21"/>
        </w:rPr>
      </w:pPr>
      <w:r>
        <w:rPr>
          <w:rFonts w:hint="eastAsia" w:ascii="宋体" w:hAnsi="宋体" w:cs="宋体"/>
          <w:szCs w:val="21"/>
        </w:rPr>
        <w:t>发包人继续使用承包人在施工现场的材料、设备、临时工程、承包人文件和由承包人或以其名义编制的其他文件的费用承担方式：</w:t>
      </w:r>
      <w:r>
        <w:rPr>
          <w:rFonts w:hint="eastAsia" w:ascii="宋体" w:hAnsi="宋体" w:cs="宋体"/>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szCs w:val="21"/>
        </w:rPr>
        <w:t>。</w:t>
      </w:r>
    </w:p>
    <w:p w14:paraId="4D2DEF6A">
      <w:pPr>
        <w:spacing w:line="360" w:lineRule="exact"/>
        <w:ind w:firstLine="420" w:firstLineChars="200"/>
        <w:rPr>
          <w:rFonts w:ascii="宋体" w:hAnsi="宋体" w:cs="宋体"/>
          <w:szCs w:val="21"/>
        </w:rPr>
      </w:pPr>
      <w:r>
        <w:rPr>
          <w:rFonts w:hint="eastAsia" w:ascii="宋体" w:hAnsi="宋体" w:cs="宋体"/>
          <w:szCs w:val="21"/>
        </w:rPr>
        <w:t>16.2.4 因承包人违约解除合同后的处理</w:t>
      </w:r>
    </w:p>
    <w:p w14:paraId="730E5C5F">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 xml:space="preserve">17. 不可抗力 </w:t>
      </w:r>
    </w:p>
    <w:p w14:paraId="0E828642">
      <w:pPr>
        <w:spacing w:line="360" w:lineRule="exact"/>
        <w:ind w:firstLine="420" w:firstLineChars="200"/>
        <w:rPr>
          <w:rFonts w:ascii="宋体" w:hAnsi="宋体" w:cs="宋体"/>
          <w:szCs w:val="21"/>
        </w:rPr>
      </w:pPr>
      <w:r>
        <w:rPr>
          <w:rFonts w:hint="eastAsia" w:ascii="宋体" w:hAnsi="宋体" w:cs="宋体"/>
          <w:szCs w:val="21"/>
        </w:rPr>
        <w:t>17.1 不可抗力的确认</w:t>
      </w:r>
    </w:p>
    <w:p w14:paraId="783CCFF4">
      <w:pPr>
        <w:spacing w:line="360" w:lineRule="exact"/>
        <w:ind w:firstLine="420" w:firstLineChars="200"/>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 10年一遇洪水、暴风雪、干旱， 罢工、政府禁令 </w:t>
      </w:r>
      <w:r>
        <w:rPr>
          <w:rFonts w:hint="eastAsia" w:ascii="宋体" w:hAnsi="宋体" w:cs="宋体"/>
          <w:szCs w:val="21"/>
        </w:rPr>
        <w:t>。</w:t>
      </w:r>
    </w:p>
    <w:p w14:paraId="2C21A0D7">
      <w:pPr>
        <w:spacing w:line="360" w:lineRule="exact"/>
        <w:ind w:firstLine="420" w:firstLineChars="200"/>
        <w:rPr>
          <w:rFonts w:ascii="宋体" w:hAnsi="宋体" w:cs="宋体"/>
          <w:szCs w:val="21"/>
        </w:rPr>
      </w:pPr>
      <w:r>
        <w:rPr>
          <w:rFonts w:hint="eastAsia" w:ascii="宋体" w:hAnsi="宋体" w:cs="宋体"/>
          <w:szCs w:val="21"/>
        </w:rPr>
        <w:t>17.4 因不可抗力解除合同</w:t>
      </w:r>
    </w:p>
    <w:p w14:paraId="17C01B6C">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rPr>
        <w:t>天内完成款项的支付。</w:t>
      </w:r>
    </w:p>
    <w:p w14:paraId="7B1DC02B">
      <w:pPr>
        <w:pStyle w:val="9"/>
        <w:spacing w:before="0" w:after="0" w:line="360" w:lineRule="exact"/>
        <w:rPr>
          <w:rFonts w:ascii="宋体" w:hAnsi="宋体" w:eastAsia="宋体" w:cs="宋体"/>
          <w:b w:val="0"/>
          <w:sz w:val="21"/>
          <w:szCs w:val="21"/>
        </w:rPr>
      </w:pPr>
      <w:bookmarkStart w:id="324" w:name="_Toc351203650"/>
      <w:r>
        <w:rPr>
          <w:rFonts w:hint="eastAsia" w:ascii="宋体" w:hAnsi="宋体" w:eastAsia="宋体" w:cs="宋体"/>
          <w:b w:val="0"/>
          <w:sz w:val="21"/>
          <w:szCs w:val="21"/>
        </w:rPr>
        <w:t>18. 保险</w:t>
      </w:r>
      <w:bookmarkEnd w:id="324"/>
    </w:p>
    <w:p w14:paraId="1296319F">
      <w:pPr>
        <w:spacing w:line="360" w:lineRule="exact"/>
        <w:ind w:firstLine="420" w:firstLineChars="200"/>
        <w:rPr>
          <w:rFonts w:ascii="宋体" w:hAnsi="宋体" w:cs="宋体"/>
          <w:szCs w:val="21"/>
        </w:rPr>
      </w:pPr>
      <w:r>
        <w:rPr>
          <w:rFonts w:hint="eastAsia" w:ascii="宋体" w:hAnsi="宋体" w:cs="宋体"/>
          <w:szCs w:val="21"/>
        </w:rPr>
        <w:t>18.1 工程保险</w:t>
      </w:r>
    </w:p>
    <w:p w14:paraId="32A88124">
      <w:pPr>
        <w:spacing w:line="36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 xml:space="preserve">    承包人须为工程施工人员办理人身意外伤害保险，并为施工场内自有人员生命财产和施工机械设备办理保险，保险费用由承包人自行承担并支付，费用包含在投标报价中      </w:t>
      </w:r>
      <w:r>
        <w:rPr>
          <w:rFonts w:hint="eastAsia" w:ascii="宋体" w:hAnsi="宋体" w:cs="宋体"/>
          <w:szCs w:val="21"/>
        </w:rPr>
        <w:t>。</w:t>
      </w:r>
    </w:p>
    <w:p w14:paraId="7E237BC1">
      <w:pPr>
        <w:spacing w:line="360" w:lineRule="exact"/>
        <w:ind w:firstLine="420" w:firstLineChars="200"/>
        <w:rPr>
          <w:rFonts w:ascii="宋体" w:hAnsi="宋体" w:cs="宋体"/>
          <w:szCs w:val="21"/>
        </w:rPr>
      </w:pPr>
      <w:r>
        <w:rPr>
          <w:rFonts w:hint="eastAsia" w:ascii="宋体" w:hAnsi="宋体" w:cs="宋体"/>
          <w:szCs w:val="21"/>
        </w:rPr>
        <w:t>18.3 其他保险</w:t>
      </w:r>
    </w:p>
    <w:p w14:paraId="0A1535F3">
      <w:pPr>
        <w:spacing w:line="360" w:lineRule="exact"/>
        <w:ind w:firstLine="420" w:firstLineChars="200"/>
        <w:rPr>
          <w:rFonts w:ascii="宋体" w:hAnsi="宋体" w:cs="宋体"/>
          <w:szCs w:val="21"/>
        </w:rPr>
      </w:pPr>
      <w:r>
        <w:rPr>
          <w:rFonts w:hint="eastAsia" w:ascii="宋体" w:hAnsi="宋体" w:cs="宋体"/>
          <w:szCs w:val="21"/>
        </w:rPr>
        <w:t>关于其他保险的约定：</w:t>
      </w:r>
      <w:r>
        <w:rPr>
          <w:rFonts w:hint="eastAsia" w:ascii="宋体" w:hAnsi="宋体" w:cs="宋体"/>
          <w:szCs w:val="21"/>
          <w:u w:val="single"/>
        </w:rPr>
        <w:t xml:space="preserve">         按通用条款执行         </w:t>
      </w:r>
      <w:r>
        <w:rPr>
          <w:rFonts w:hint="eastAsia" w:ascii="宋体" w:hAnsi="宋体" w:cs="宋体"/>
          <w:szCs w:val="21"/>
        </w:rPr>
        <w:t>。</w:t>
      </w:r>
    </w:p>
    <w:p w14:paraId="2DAA58EE">
      <w:pPr>
        <w:spacing w:line="36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承包人须为其施工现场的全部人员（包括其员工及为履行合同聘请的第三方人员）办理人身意外伤害保险，并为其施工机械设备办理保险，保险费用由承包人自行承担并支付，费用包含在投标报价中    </w:t>
      </w:r>
      <w:r>
        <w:rPr>
          <w:rFonts w:hint="eastAsia" w:ascii="宋体" w:hAnsi="宋体" w:cs="宋体"/>
          <w:szCs w:val="21"/>
        </w:rPr>
        <w:t>。</w:t>
      </w:r>
    </w:p>
    <w:p w14:paraId="6E01209B">
      <w:pPr>
        <w:spacing w:line="360" w:lineRule="exact"/>
        <w:ind w:firstLine="420" w:firstLineChars="200"/>
        <w:rPr>
          <w:rFonts w:ascii="宋体" w:hAnsi="宋体" w:cs="宋体"/>
          <w:szCs w:val="21"/>
        </w:rPr>
      </w:pPr>
      <w:r>
        <w:rPr>
          <w:rFonts w:hint="eastAsia" w:ascii="宋体" w:hAnsi="宋体" w:cs="宋体"/>
          <w:szCs w:val="21"/>
        </w:rPr>
        <w:t>18.7 通知义务</w:t>
      </w:r>
    </w:p>
    <w:p w14:paraId="36D496BE">
      <w:pPr>
        <w:spacing w:line="360" w:lineRule="exact"/>
        <w:ind w:firstLine="420" w:firstLineChars="200"/>
        <w:rPr>
          <w:rFonts w:ascii="宋体" w:hAnsi="宋体" w:cs="宋体"/>
          <w:szCs w:val="21"/>
        </w:rPr>
      </w:pPr>
      <w:r>
        <w:rPr>
          <w:rFonts w:hint="eastAsia" w:ascii="宋体" w:hAnsi="宋体" w:cs="宋体"/>
          <w:szCs w:val="21"/>
        </w:rPr>
        <w:t>关于变更保险合同时的通知义务的约定：</w:t>
      </w:r>
      <w:r>
        <w:rPr>
          <w:rFonts w:hint="eastAsia" w:ascii="宋体" w:hAnsi="宋体" w:cs="宋体"/>
          <w:szCs w:val="21"/>
          <w:u w:val="single"/>
        </w:rPr>
        <w:t xml:space="preserve">    按合同通用条款执行     </w:t>
      </w:r>
      <w:r>
        <w:rPr>
          <w:rFonts w:hint="eastAsia" w:ascii="宋体" w:hAnsi="宋体" w:cs="宋体"/>
          <w:szCs w:val="21"/>
        </w:rPr>
        <w:t>。</w:t>
      </w:r>
    </w:p>
    <w:p w14:paraId="3C029597">
      <w:pPr>
        <w:pStyle w:val="9"/>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20. 争议解决</w:t>
      </w:r>
    </w:p>
    <w:p w14:paraId="322D017A">
      <w:pPr>
        <w:spacing w:line="360" w:lineRule="exact"/>
        <w:ind w:firstLine="420" w:firstLineChars="200"/>
        <w:rPr>
          <w:rFonts w:ascii="宋体" w:hAnsi="宋体" w:cs="宋体"/>
          <w:szCs w:val="21"/>
        </w:rPr>
      </w:pPr>
      <w:r>
        <w:rPr>
          <w:rFonts w:hint="eastAsia" w:ascii="宋体" w:hAnsi="宋体" w:cs="宋体"/>
          <w:szCs w:val="21"/>
        </w:rPr>
        <w:t>20.3 争议评审</w:t>
      </w:r>
    </w:p>
    <w:p w14:paraId="00AAF9AA">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否    </w:t>
      </w:r>
      <w:r>
        <w:rPr>
          <w:rFonts w:hint="eastAsia" w:ascii="宋体" w:hAnsi="宋体" w:cs="宋体"/>
          <w:szCs w:val="21"/>
        </w:rPr>
        <w:t>。</w:t>
      </w:r>
    </w:p>
    <w:p w14:paraId="663F5EA0">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14:paraId="55D44A02">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6A3BE9B4">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185B16E6">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116975F6">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0BC4BDD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20.3.2 争议评审小组的决定</w:t>
      </w:r>
    </w:p>
    <w:p w14:paraId="39484D90">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2CCEA9E">
      <w:pPr>
        <w:spacing w:line="360" w:lineRule="exact"/>
        <w:ind w:firstLine="420" w:firstLineChars="200"/>
        <w:rPr>
          <w:rFonts w:ascii="宋体" w:hAnsi="宋体" w:cs="宋体"/>
          <w:szCs w:val="21"/>
          <w:u w:val="single"/>
        </w:rPr>
      </w:pPr>
      <w:r>
        <w:rPr>
          <w:rFonts w:hint="eastAsia" w:ascii="宋体" w:hAnsi="宋体" w:cs="宋体"/>
          <w:szCs w:val="21"/>
          <w:u w:val="single"/>
        </w:rPr>
        <w:t>20.3.3 争议评审小组决定的效力：按通用条款执行。</w:t>
      </w:r>
    </w:p>
    <w:p w14:paraId="4C1B3EC7">
      <w:pPr>
        <w:spacing w:line="360" w:lineRule="exact"/>
        <w:ind w:firstLine="420" w:firstLineChars="200"/>
        <w:rPr>
          <w:rFonts w:ascii="宋体" w:hAnsi="宋体" w:cs="宋体"/>
          <w:szCs w:val="21"/>
        </w:rPr>
      </w:pPr>
      <w:r>
        <w:rPr>
          <w:rFonts w:hint="eastAsia" w:ascii="宋体" w:hAnsi="宋体" w:cs="宋体"/>
          <w:szCs w:val="21"/>
        </w:rPr>
        <w:t>20.4仲裁或诉讼</w:t>
      </w:r>
    </w:p>
    <w:p w14:paraId="4F5D7C47">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1  </w:t>
      </w:r>
      <w:r>
        <w:rPr>
          <w:rFonts w:hint="eastAsia" w:ascii="宋体" w:hAnsi="宋体" w:cs="宋体"/>
          <w:szCs w:val="21"/>
        </w:rPr>
        <w:t>种方式解决：</w:t>
      </w:r>
    </w:p>
    <w:p w14:paraId="2EC4D486">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43CD47B1">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14:paraId="7D1BE572">
      <w:pPr>
        <w:spacing w:line="360" w:lineRule="exact"/>
        <w:rPr>
          <w:rFonts w:ascii="宋体" w:hAnsi="宋体" w:cs="宋体"/>
          <w:szCs w:val="21"/>
        </w:rPr>
      </w:pPr>
    </w:p>
    <w:p w14:paraId="0F801B2F">
      <w:pPr>
        <w:spacing w:line="360" w:lineRule="exact"/>
        <w:rPr>
          <w:rFonts w:ascii="宋体" w:hAnsi="宋体" w:cs="宋体"/>
          <w:szCs w:val="21"/>
        </w:rPr>
      </w:pPr>
    </w:p>
    <w:p w14:paraId="6B1519C3">
      <w:pPr>
        <w:spacing w:line="360" w:lineRule="exact"/>
        <w:rPr>
          <w:rFonts w:ascii="宋体" w:hAnsi="宋体" w:cs="宋体"/>
          <w:szCs w:val="21"/>
        </w:rPr>
      </w:pPr>
    </w:p>
    <w:p w14:paraId="6947E310">
      <w:pPr>
        <w:spacing w:line="360" w:lineRule="exact"/>
        <w:rPr>
          <w:rFonts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14:paraId="21322FDA">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w:t>
      </w:r>
    </w:p>
    <w:p w14:paraId="036A2891">
      <w:pPr>
        <w:spacing w:line="360" w:lineRule="exac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39CCF68B">
      <w:pPr>
        <w:spacing w:line="36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741696E3">
      <w:pPr>
        <w:spacing w:line="3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w:t>
      </w:r>
    </w:p>
    <w:p w14:paraId="39667251">
      <w:pPr>
        <w:spacing w:line="3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14:paraId="314EB015">
      <w:pPr>
        <w:spacing w:line="360" w:lineRule="exact"/>
        <w:rPr>
          <w:rFonts w:ascii="宋体" w:hAnsi="宋体" w:cs="宋体"/>
          <w:szCs w:val="21"/>
        </w:rPr>
      </w:pPr>
    </w:p>
    <w:p w14:paraId="2C70D457">
      <w:pPr>
        <w:spacing w:line="360" w:lineRule="exact"/>
        <w:rPr>
          <w:rFonts w:ascii="宋体" w:hAnsi="宋体" w:cs="宋体"/>
          <w:szCs w:val="21"/>
        </w:rPr>
      </w:pPr>
    </w:p>
    <w:p w14:paraId="2FE27513">
      <w:pPr>
        <w:rPr>
          <w:rFonts w:ascii="宋体" w:hAnsi="宋体" w:cs="宋体"/>
        </w:rPr>
      </w:pPr>
      <w:r>
        <w:rPr>
          <w:rFonts w:hint="eastAsia" w:ascii="宋体" w:hAnsi="宋体" w:cs="宋体"/>
          <w:szCs w:val="21"/>
        </w:rPr>
        <w:t>见证方（盖章）</w:t>
      </w:r>
      <w:bookmarkEnd w:id="11"/>
    </w:p>
    <w:p w14:paraId="5EBDA828">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04E051B0">
      <w:pPr>
        <w:spacing w:line="360" w:lineRule="exact"/>
        <w:ind w:firstLine="420" w:firstLineChars="200"/>
        <w:jc w:val="center"/>
        <w:rPr>
          <w:rFonts w:ascii="黑体" w:hAnsi="宋体" w:eastAsia="黑体"/>
          <w:b/>
          <w:color w:val="000000" w:themeColor="text1"/>
          <w:kern w:val="44"/>
          <w:sz w:val="32"/>
          <w:szCs w:val="32"/>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黑体" w:hAnsi="宋体" w:eastAsia="黑体"/>
          <w:b/>
          <w:color w:val="000000" w:themeColor="text1"/>
          <w:kern w:val="44"/>
          <w:sz w:val="32"/>
          <w:szCs w:val="32"/>
          <w14:textFill>
            <w14:solidFill>
              <w14:schemeClr w14:val="tx1"/>
            </w14:solidFill>
          </w14:textFill>
        </w:rPr>
        <w:t>工程质量保修书</w:t>
      </w:r>
    </w:p>
    <w:p w14:paraId="54404D42">
      <w:pPr>
        <w:rPr>
          <w:rFonts w:ascii="宋体" w:hAnsi="宋体"/>
          <w:color w:val="000000" w:themeColor="text1"/>
          <w14:textFill>
            <w14:solidFill>
              <w14:schemeClr w14:val="tx1"/>
            </w14:solidFill>
          </w14:textFill>
        </w:rPr>
      </w:pPr>
    </w:p>
    <w:p w14:paraId="5A992D6D">
      <w:pPr>
        <w:spacing w:line="586"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发包人（全称）：</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台州职业技术学院</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62F69DD9">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承包人（全称）：</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7212F58F">
      <w:pPr>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7994088">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u w:val="single"/>
          <w14:textFill>
            <w14:solidFill>
              <w14:schemeClr w14:val="tx1"/>
            </w14:solidFill>
          </w14:textFill>
        </w:rPr>
        <w:t>台州职业技术学院科技创新与成果转化中心改造项目</w:t>
      </w:r>
      <w:r>
        <w:rPr>
          <w:rFonts w:ascii="宋体" w:hAnsi="宋体"/>
          <w:color w:val="000000" w:themeColor="text1"/>
          <w14:textFill>
            <w14:solidFill>
              <w14:schemeClr w14:val="tx1"/>
            </w14:solidFill>
          </w14:textFill>
        </w:rPr>
        <w:t>（工程全称）签订工程质量保修书。</w:t>
      </w:r>
    </w:p>
    <w:p w14:paraId="07417700">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一、工程质量保修范围和内容</w:t>
      </w:r>
    </w:p>
    <w:p w14:paraId="7E08FFA3">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承包人在质量保修期内，按照有关法律规定和合同约定，承担工程质量保修责任。</w:t>
      </w:r>
    </w:p>
    <w:p w14:paraId="1BD1083C">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u w:val="single"/>
          <w14:textFill>
            <w14:solidFill>
              <w14:schemeClr w14:val="tx1"/>
            </w14:solidFill>
          </w14:textFill>
        </w:rPr>
        <w:t>本工程合同范围内的所有工程</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1ED8E11C">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二、质量保修期</w:t>
      </w:r>
    </w:p>
    <w:p w14:paraId="1840E6BC">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根据《建设工程质量管理条例》及有关规定，工程的质量保修期如下：</w:t>
      </w:r>
    </w:p>
    <w:p w14:paraId="464547FD">
      <w:pPr>
        <w:spacing w:line="360" w:lineRule="exact"/>
        <w:rPr>
          <w:rFonts w:ascii="仿宋_GB2312" w:eastAsia="仿宋_GB2312"/>
          <w:color w:val="000000" w:themeColor="text1"/>
          <w14:textFill>
            <w14:solidFill>
              <w14:schemeClr w14:val="tx1"/>
            </w14:solidFill>
          </w14:textFill>
        </w:rPr>
      </w:pPr>
      <w:r>
        <w:rPr>
          <w:rFonts w:hint="eastAsia" w:ascii="仿宋_GB2312"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．地基基础工程和主体结构工程为设计文件规定的工程合理使用年限；</w:t>
      </w:r>
    </w:p>
    <w:p w14:paraId="685A3A72">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屋面防水工程、有防水要求的卫生间、房间和外墙面的防渗</w:t>
      </w:r>
      <w:r>
        <w:rPr>
          <w:rFonts w:hint="eastAsia" w:ascii="宋体" w:hAnsi="宋体"/>
          <w:color w:val="000000" w:themeColor="text1"/>
          <w14:textFill>
            <w14:solidFill>
              <w14:schemeClr w14:val="tx1"/>
            </w14:solidFill>
          </w14:textFill>
        </w:rPr>
        <w:t>为</w:t>
      </w:r>
      <w:r>
        <w:rPr>
          <w:rFonts w:hint="eastAsia" w:ascii="宋体" w:hAnsi="宋体"/>
          <w:color w:val="000000" w:themeColor="text1"/>
          <w:u w:val="single"/>
          <w14:textFill>
            <w14:solidFill>
              <w14:schemeClr w14:val="tx1"/>
            </w14:solidFill>
          </w14:textFill>
        </w:rPr>
        <w:t xml:space="preserve">   5   </w:t>
      </w:r>
      <w:r>
        <w:rPr>
          <w:rFonts w:ascii="宋体" w:hAnsi="宋体"/>
          <w:color w:val="000000" w:themeColor="text1"/>
          <w14:textFill>
            <w14:solidFill>
              <w14:schemeClr w14:val="tx1"/>
            </w14:solidFill>
          </w14:textFill>
        </w:rPr>
        <w:t>年；</w:t>
      </w:r>
    </w:p>
    <w:p w14:paraId="5E1CD9D2">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装修工程为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14:paraId="2C46593E">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电气管线、给排水管道、设备安装工程为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14:paraId="069232FD">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供热与供冷系统为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个采暖期、供冷期；</w:t>
      </w:r>
    </w:p>
    <w:p w14:paraId="42B46383">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住宅小区内的给排水设施、道路等配套工程为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14:paraId="25833AB1">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其他项目保修期限：</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14:paraId="647DFD40">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质量保修期自工程竣工验收合格之日起计算。</w:t>
      </w:r>
    </w:p>
    <w:p w14:paraId="6A3F0565">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三、缺陷责任期</w:t>
      </w:r>
    </w:p>
    <w:p w14:paraId="529393D4">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工程缺陷责任期为</w:t>
      </w:r>
      <w:r>
        <w:rPr>
          <w:rFonts w:hint="eastAsia" w:ascii="宋体" w:hAnsi="宋体"/>
          <w:color w:val="000000" w:themeColor="text1"/>
          <w:u w:val="single"/>
          <w14:textFill>
            <w14:solidFill>
              <w14:schemeClr w14:val="tx1"/>
            </w14:solidFill>
          </w14:textFill>
        </w:rPr>
        <w:t xml:space="preserve"> 24 </w:t>
      </w:r>
      <w:r>
        <w:rPr>
          <w:rFonts w:ascii="宋体" w:hAnsi="宋体"/>
          <w:color w:val="000000" w:themeColor="text1"/>
          <w14:textFill>
            <w14:solidFill>
              <w14:schemeClr w14:val="tx1"/>
            </w14:solidFill>
          </w14:textFill>
        </w:rPr>
        <w:t>个月，缺陷责任期自工程竣工验收合格之日起计算。单位工程先于全部工程进行验收，单位工程缺陷责任期自单位工程验收合格之日起算。</w:t>
      </w:r>
    </w:p>
    <w:p w14:paraId="2FF21F97">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四、质量保修责任</w:t>
      </w:r>
    </w:p>
    <w:p w14:paraId="4BE46F37">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属于保修范围、内容的项目，承包人应当在接到保修通知之日起</w:t>
      </w: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天内派人保修。承包人不在约定期限内派人保修的，发包人可以委托他人修理。</w:t>
      </w:r>
    </w:p>
    <w:p w14:paraId="573E76BA">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发生紧急事故需抢修的，承包人在接到事故通知后，应当立即到达事故现场抢修。</w:t>
      </w:r>
    </w:p>
    <w:p w14:paraId="09030D2B">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82897E">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质量保修完成后，由发包人组织验收。</w:t>
      </w:r>
    </w:p>
    <w:p w14:paraId="4178F795">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五、保修费用</w:t>
      </w:r>
    </w:p>
    <w:p w14:paraId="48CBB01D">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保修费用由造成质量缺陷的责任方承担。</w:t>
      </w:r>
    </w:p>
    <w:p w14:paraId="22715BC7">
      <w:pPr>
        <w:spacing w:line="360" w:lineRule="exact"/>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六</w:t>
      </w:r>
      <w:r>
        <w:rPr>
          <w:rFonts w:ascii="黑体" w:hAnsi="黑体" w:eastAsia="黑体"/>
          <w:color w:val="000000" w:themeColor="text1"/>
          <w14:textFill>
            <w14:solidFill>
              <w14:schemeClr w14:val="tx1"/>
            </w14:solidFill>
          </w14:textFill>
        </w:rPr>
        <w:t>、双方约定的其他工程质量保修事项</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3F2F59F1">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工程质量保修书由发包人、承包人在工程竣工验收前共同签署，作为施工合同附件，其有效期限至保修期满。</w:t>
      </w:r>
    </w:p>
    <w:p w14:paraId="6B3DBF25">
      <w:pPr>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279E6F2D">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公章</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 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承包人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公章</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048640AF">
      <w:pPr>
        <w:spacing w:line="360" w:lineRule="exact"/>
        <w:ind w:left="4935" w:hanging="4935" w:hangingChars="2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地  址：</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6E837C5A">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6724B9B1">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委托代理人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50910F1A">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339596C9">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传</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真：</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14:paraId="37429468">
      <w:pPr>
        <w:spacing w:line="360" w:lineRule="exact"/>
        <w:ind w:left="5880" w:hanging="5880" w:hangingChars="28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开户银行：</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4A3B9CE7">
      <w:pPr>
        <w:keepNext/>
        <w:keepLines/>
        <w:spacing w:before="100" w:line="400" w:lineRule="exact"/>
        <w:outlineLvl w:val="1"/>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账  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账  号：</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3DE9CAEC">
      <w:pPr>
        <w:keepNext/>
        <w:keepLines/>
        <w:spacing w:before="100" w:line="400" w:lineRule="exact"/>
        <w:outlineLvl w:val="1"/>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邮政编码：</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14:paraId="3E33FA76">
      <w:pPr>
        <w:spacing w:line="360" w:lineRule="exact"/>
        <w:rPr>
          <w:rFonts w:ascii="宋体" w:hAnsi="宋体"/>
          <w:color w:val="000000" w:themeColor="text1"/>
          <w:u w:val="single"/>
          <w14:textFill>
            <w14:solidFill>
              <w14:schemeClr w14:val="tx1"/>
            </w14:solidFill>
          </w14:textFill>
        </w:rPr>
      </w:pPr>
    </w:p>
    <w:p w14:paraId="09CA5237">
      <w:pPr>
        <w:spacing w:after="120"/>
        <w:rPr>
          <w:color w:val="000000" w:themeColor="text1"/>
          <w14:textFill>
            <w14:solidFill>
              <w14:schemeClr w14:val="tx1"/>
            </w14:solidFill>
          </w14:textFill>
        </w:rPr>
      </w:pPr>
    </w:p>
    <w:p w14:paraId="78C9AFCA">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14:paraId="27BDABEB">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14:paraId="12F9C266">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14:paraId="59463F34">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14:paraId="57397B58">
      <w:pPr>
        <w:adjustRightInd w:val="0"/>
        <w:spacing w:line="360" w:lineRule="exact"/>
        <w:jc w:val="center"/>
        <w:rPr>
          <w:rFonts w:ascii="黑体" w:hAnsi="黑体" w:eastAsia="黑体"/>
          <w:color w:val="000000" w:themeColor="text1"/>
          <w:sz w:val="30"/>
          <w:szCs w:val="30"/>
          <w14:textFill>
            <w14:solidFill>
              <w14:schemeClr w14:val="tx1"/>
            </w14:solidFill>
          </w14:textFill>
        </w:rPr>
        <w:sectPr>
          <w:footerReference r:id="rId5" w:type="default"/>
          <w:footnotePr>
            <w:numRestart w:val="eachPage"/>
          </w:footnotePr>
          <w:endnotePr>
            <w:numRestart w:val="eachSect"/>
          </w:endnotePr>
          <w:pgSz w:w="11907" w:h="16840"/>
          <w:pgMar w:top="1247" w:right="1361" w:bottom="1247" w:left="1361" w:header="851" w:footer="824" w:gutter="0"/>
          <w:pgNumType w:fmt="decimalFullWidth"/>
          <w:cols w:space="720" w:num="1"/>
          <w:docGrid w:linePitch="435" w:charSpace="-6554"/>
        </w:sectPr>
      </w:pPr>
    </w:p>
    <w:p w14:paraId="3C85F3AE">
      <w:pPr>
        <w:keepNext/>
        <w:keepLines/>
        <w:spacing w:before="100" w:line="400" w:lineRule="exact"/>
        <w:jc w:val="center"/>
        <w:outlineLvl w:val="1"/>
        <w:rPr>
          <w:rFonts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工程建设项目廉政责任书</w:t>
      </w:r>
    </w:p>
    <w:p w14:paraId="1B7BC8F7">
      <w:pPr>
        <w:adjustRightInd w:val="0"/>
        <w:spacing w:line="360" w:lineRule="exact"/>
        <w:jc w:val="center"/>
        <w:rPr>
          <w:rFonts w:ascii="黑体" w:hAnsi="黑体" w:eastAsia="黑体"/>
          <w:color w:val="000000" w:themeColor="text1"/>
          <w:sz w:val="28"/>
          <w:szCs w:val="28"/>
          <w14:textFill>
            <w14:solidFill>
              <w14:schemeClr w14:val="tx1"/>
            </w14:solidFill>
          </w14:textFill>
        </w:rPr>
      </w:pPr>
    </w:p>
    <w:p w14:paraId="1DCB3134">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工程项目名称：</w:t>
      </w:r>
      <w:r>
        <w:rPr>
          <w:rFonts w:hint="eastAsia" w:ascii="宋体" w:hAnsi="宋体"/>
          <w:color w:val="000000" w:themeColor="text1"/>
          <w:u w:val="single"/>
          <w14:textFill>
            <w14:solidFill>
              <w14:schemeClr w14:val="tx1"/>
            </w14:solidFill>
          </w14:textFill>
        </w:rPr>
        <w:t>台州职业技术学院科技创新与成果转化中心改造项目</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14:paraId="2CA29A78">
      <w:pPr>
        <w:autoSpaceDE w:val="0"/>
        <w:autoSpaceDN w:val="0"/>
        <w:spacing w:line="36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工程项目地址：</w:t>
      </w:r>
      <w:r>
        <w:rPr>
          <w:rFonts w:hint="eastAsia" w:ascii="宋体" w:hAnsi="宋体"/>
          <w:color w:val="000000" w:themeColor="text1"/>
          <w:u w:val="single"/>
          <w14:textFill>
            <w14:solidFill>
              <w14:schemeClr w14:val="tx1"/>
            </w14:solidFill>
          </w14:textFill>
        </w:rPr>
        <w:t xml:space="preserve">       </w:t>
      </w:r>
    </w:p>
    <w:p w14:paraId="4F5E242D">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建设单位（甲方）：</w:t>
      </w:r>
      <w:r>
        <w:rPr>
          <w:rFonts w:hint="eastAsia" w:ascii="宋体" w:hAnsi="宋体"/>
          <w:color w:val="000000" w:themeColor="text1"/>
          <w:u w:val="single"/>
          <w14:textFill>
            <w14:solidFill>
              <w14:schemeClr w14:val="tx1"/>
            </w14:solidFill>
          </w14:textFill>
        </w:rPr>
        <w:t xml:space="preserve">台州职业技术学院    </w:t>
      </w:r>
    </w:p>
    <w:p w14:paraId="47DEC650">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施工单位（乙方）：</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6AB45886">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FB70C6F">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第一条 甲乙双方的责任</w:t>
      </w:r>
    </w:p>
    <w:p w14:paraId="67C813B0">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（一）应严格遵守国家关于市场准入、项目招标投标、工程建设、施工安装和市场活动等有关法律、法规，相关政策，以及廉政建设的各项规定。</w:t>
      </w:r>
    </w:p>
    <w:p w14:paraId="195EC4ED">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（二）严格执行建设工程项目承发包合同文件，自觉按合同办事。</w:t>
      </w:r>
    </w:p>
    <w:p w14:paraId="2B527B21">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5D78E8DE">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（四）发现对方在业务活动中有违规、违纪、违法行为的，应及时提醒对方，情节严重的，应向其上级主管部门或纪检监察、司法等有关机关举报。</w:t>
      </w:r>
    </w:p>
    <w:p w14:paraId="0A2F42C6">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第二条 甲方的责任</w:t>
      </w:r>
    </w:p>
    <w:p w14:paraId="024CD21A">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甲方的领导和从事该建设工程项目的工作人员，在工程建设的事前、事中、事后应遵守以下规定：</w:t>
      </w:r>
    </w:p>
    <w:p w14:paraId="0B70F556">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（一）不准向乙方和相关单位索要或接受回扣、礼金、有价证券、贵重物品和好处费、感谢费等。</w:t>
      </w:r>
    </w:p>
    <w:p w14:paraId="38C04E22">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（二）不准在乙方和相关单位报销任何应由甲方或个人支付的费用。</w:t>
      </w:r>
    </w:p>
    <w:p w14:paraId="2E2D4691">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（三）不准要求、暗示和接受乙方和相关单位为个人装修住房、婚丧嫁娶、配偶子女的工作安排以及出国（境）、旅游等提供方便。</w:t>
      </w:r>
    </w:p>
    <w:p w14:paraId="0D1595B5">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（四）不准参加有可能影响公正执行公务的乙方和相关单位的宴请和健身、娱乐等活动。</w:t>
      </w:r>
    </w:p>
    <w:p w14:paraId="1432E570">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774E59E">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第三条 乙方的责任</w:t>
      </w:r>
    </w:p>
    <w:p w14:paraId="25671920">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66786A7C">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（一）不准以任何理由向甲方、相关单位及其工作人员索要、接受或赠送礼金、有价证券、贵重物品和回扣、好处费、感谢费等。</w:t>
      </w:r>
    </w:p>
    <w:p w14:paraId="3A6E2FC3">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（二）不准以任何理由为甲方和相关单位报销应由对方或个人支付的费用。</w:t>
      </w:r>
    </w:p>
    <w:p w14:paraId="12FB2B20">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（三）不准接受或暗示为甲方、相关单位或个人装修住房、婚丧嫁娶、配偶子女的工作安排以及出国（境）、旅游等提供方便。</w:t>
      </w:r>
    </w:p>
    <w:p w14:paraId="7F7C0B2B">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（四）不准以任何理由为甲方、相关单位或个人组织有可能影响公正执行公务的宴请、健身、娱乐等活动。</w:t>
      </w:r>
    </w:p>
    <w:p w14:paraId="35717522">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第四条 违约责任</w:t>
      </w:r>
    </w:p>
    <w:p w14:paraId="0E62E12F">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733B79B">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347AAF0">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第五条 本责任书作为工程施工合同的附件，与工程施工合同具有同等法律效力。经双方签署后立即生效。</w:t>
      </w:r>
    </w:p>
    <w:p w14:paraId="6CFE7216">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第六条 本责任书的有效期为双方签署之日起至该工程项目竣工验收合格时止。</w:t>
      </w:r>
    </w:p>
    <w:p w14:paraId="1F275C4B">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第七条 本责任书一式四份，由甲乙双方各执一份，送交甲乙双方的监督单位各一份。</w:t>
      </w:r>
    </w:p>
    <w:p w14:paraId="1D44B862">
      <w:pPr>
        <w:autoSpaceDE w:val="0"/>
        <w:autoSpaceDN w:val="0"/>
        <w:spacing w:line="360" w:lineRule="exact"/>
        <w:rPr>
          <w:color w:val="000000" w:themeColor="text1"/>
          <w:szCs w:val="21"/>
          <w14:textFill>
            <w14:solidFill>
              <w14:schemeClr w14:val="tx1"/>
            </w14:solidFill>
          </w14:textFill>
        </w:rPr>
      </w:pPr>
    </w:p>
    <w:p w14:paraId="3E4972BA">
      <w:pPr>
        <w:autoSpaceDE w:val="0"/>
        <w:autoSpaceDN w:val="0"/>
        <w:spacing w:line="360" w:lineRule="exact"/>
        <w:rPr>
          <w:color w:val="000000" w:themeColor="text1"/>
          <w:szCs w:val="21"/>
          <w14:textFill>
            <w14:solidFill>
              <w14:schemeClr w14:val="tx1"/>
            </w14:solidFill>
          </w14:textFill>
        </w:rPr>
      </w:pPr>
    </w:p>
    <w:p w14:paraId="44F5ADE5">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甲方单位：（盖章）　　　　　　　　             乙方单位：（盖章）</w:t>
      </w:r>
    </w:p>
    <w:p w14:paraId="04DDB1D5">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　　　　　　　　　               　法定代表人：</w:t>
      </w:r>
    </w:p>
    <w:p w14:paraId="40186FA4">
      <w:pPr>
        <w:spacing w:line="360" w:lineRule="exact"/>
        <w:ind w:left="4935" w:hanging="4935" w:hangingChars="2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地  址：</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4D21B52D">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  话：</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36D8B0D2">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月　日　　　　　　　　　　　　　           年　月　日</w:t>
      </w:r>
    </w:p>
    <w:p w14:paraId="53AEB8B5">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甲方监督单位（盖章）　　　　　　　　　         乙方监督单位（盖章）</w:t>
      </w:r>
    </w:p>
    <w:p w14:paraId="07CABFDC">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年　月　日　　　　　　　　　　　　　　         年　月　日</w:t>
      </w:r>
    </w:p>
    <w:p w14:paraId="6A93B822">
      <w:pPr>
        <w:rPr>
          <w:color w:val="000000" w:themeColor="text1"/>
          <w14:textFill>
            <w14:solidFill>
              <w14:schemeClr w14:val="tx1"/>
            </w14:solidFill>
          </w14:textFill>
        </w:rPr>
      </w:pPr>
    </w:p>
    <w:p w14:paraId="23220487">
      <w:pPr>
        <w:rPr>
          <w:color w:val="000000" w:themeColor="text1"/>
          <w14:textFill>
            <w14:solidFill>
              <w14:schemeClr w14:val="tx1"/>
            </w14:solidFill>
          </w14:textFill>
        </w:rPr>
      </w:pPr>
    </w:p>
    <w:p w14:paraId="5732E45F">
      <w:pPr>
        <w:spacing w:line="360" w:lineRule="auto"/>
        <w:jc w:val="left"/>
        <w:rPr>
          <w:rFonts w:ascii="宋体" w:hAnsi="宋体"/>
          <w:color w:val="000000" w:themeColor="text1"/>
          <w:sz w:val="28"/>
          <w:szCs w:val="28"/>
          <w14:textFill>
            <w14:solidFill>
              <w14:schemeClr w14:val="tx1"/>
            </w14:solidFill>
          </w14:textFill>
        </w:rPr>
      </w:pPr>
    </w:p>
    <w:p w14:paraId="32C71176">
      <w:pPr>
        <w:spacing w:line="360" w:lineRule="auto"/>
        <w:jc w:val="left"/>
        <w:rPr>
          <w:rFonts w:ascii="宋体" w:hAnsi="宋体"/>
          <w:color w:val="000000" w:themeColor="text1"/>
          <w:sz w:val="28"/>
          <w:szCs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2832804">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第六章：响应文件格式附件</w:t>
      </w:r>
    </w:p>
    <w:p w14:paraId="2D1D0D0D">
      <w:pPr>
        <w:tabs>
          <w:tab w:val="left" w:pos="8280"/>
        </w:tabs>
        <w:autoSpaceDE w:val="0"/>
        <w:autoSpaceDN w:val="0"/>
        <w:adjustRightInd w:val="0"/>
        <w:spacing w:line="240" w:lineRule="atLeast"/>
        <w:ind w:right="25"/>
        <w:rPr>
          <w:rFonts w:ascii="宋体" w:hAnsi="宋体"/>
          <w:color w:val="000000" w:themeColor="text1"/>
          <w:kern w:val="0"/>
          <w:sz w:val="24"/>
          <w14:textFill>
            <w14:solidFill>
              <w14:schemeClr w14:val="tx1"/>
            </w14:solidFill>
          </w14:textFill>
        </w:rPr>
      </w:pPr>
    </w:p>
    <w:p w14:paraId="7863E08D">
      <w:pPr>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p>
    <w:p w14:paraId="4F79EA52">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磋商响应文件目录</w:t>
      </w:r>
    </w:p>
    <w:p w14:paraId="37006420">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p>
    <w:p w14:paraId="39982DF3">
      <w:pPr>
        <w:snapToGrid w:val="0"/>
        <w:spacing w:before="50" w:after="50" w:line="360" w:lineRule="auto"/>
        <w:ind w:firstLine="422" w:firstLineChars="150"/>
        <w:rPr>
          <w:rFonts w:ascii="宋体" w:hAnsi="宋体" w:cs="楷体_GB2312"/>
          <w:b/>
          <w:bCs/>
          <w:color w:val="000000" w:themeColor="text1"/>
          <w:sz w:val="28"/>
          <w:szCs w:val="28"/>
          <w14:textFill>
            <w14:solidFill>
              <w14:schemeClr w14:val="tx1"/>
            </w14:solidFill>
          </w14:textFill>
        </w:rPr>
      </w:pPr>
      <w:r>
        <w:rPr>
          <w:rFonts w:hint="eastAsia" w:ascii="宋体" w:hAnsi="宋体" w:cs="楷体_GB2312"/>
          <w:b/>
          <w:bCs/>
          <w:color w:val="000000" w:themeColor="text1"/>
          <w:sz w:val="28"/>
          <w:szCs w:val="28"/>
          <w14:textFill>
            <w14:solidFill>
              <w14:schemeClr w14:val="tx1"/>
            </w14:solidFill>
          </w14:textFill>
        </w:rPr>
        <w:t>第一部分：资格证明部分</w:t>
      </w:r>
    </w:p>
    <w:p w14:paraId="6BC44D28">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（1）磋商声明书；（附件2）</w:t>
      </w:r>
    </w:p>
    <w:p w14:paraId="10B5CA7A">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（2）授权委托书（法定代表人亲自办理磋商响应事宜的，则无需提交)；（附件3）</w:t>
      </w:r>
    </w:p>
    <w:p w14:paraId="03787347">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（3）法人或者其他组织的营业执照等证明文件；</w:t>
      </w:r>
    </w:p>
    <w:p w14:paraId="048D9742">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（4）提供采购公告中符合供应商特定条件的有效资质证书复印件（投标供应商特定条件中有要求的必须提供）；</w:t>
      </w:r>
    </w:p>
    <w:p w14:paraId="157455D9">
      <w:pPr>
        <w:snapToGrid w:val="0"/>
        <w:spacing w:line="360" w:lineRule="auto"/>
        <w:ind w:firstLine="422" w:firstLineChars="150"/>
        <w:rPr>
          <w:rFonts w:ascii="宋体" w:hAnsi="宋体" w:cs="楷体_GB2312"/>
          <w:b/>
          <w:bCs/>
          <w:color w:val="000000" w:themeColor="text1"/>
          <w:sz w:val="28"/>
          <w:szCs w:val="28"/>
          <w14:textFill>
            <w14:solidFill>
              <w14:schemeClr w14:val="tx1"/>
            </w14:solidFill>
          </w14:textFill>
        </w:rPr>
      </w:pPr>
      <w:r>
        <w:rPr>
          <w:rFonts w:hint="eastAsia" w:ascii="宋体" w:hAnsi="宋体" w:cs="楷体_GB2312"/>
          <w:b/>
          <w:bCs/>
          <w:color w:val="000000" w:themeColor="text1"/>
          <w:sz w:val="28"/>
          <w:szCs w:val="28"/>
          <w:lang w:val="zh-CN"/>
          <w14:textFill>
            <w14:solidFill>
              <w14:schemeClr w14:val="tx1"/>
            </w14:solidFill>
          </w14:textFill>
        </w:rPr>
        <w:t>第二部分：商务与技术</w:t>
      </w:r>
      <w:r>
        <w:rPr>
          <w:rFonts w:hint="eastAsia" w:ascii="宋体" w:hAnsi="宋体" w:cs="楷体_GB2312"/>
          <w:b/>
          <w:bCs/>
          <w:color w:val="000000" w:themeColor="text1"/>
          <w:sz w:val="28"/>
          <w:szCs w:val="28"/>
          <w14:textFill>
            <w14:solidFill>
              <w14:schemeClr w14:val="tx1"/>
            </w14:solidFill>
          </w14:textFill>
        </w:rPr>
        <w:t>部分</w:t>
      </w:r>
    </w:p>
    <w:p w14:paraId="35B5A4F0">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（1）供应商基本情况表；（附件4）</w:t>
      </w:r>
    </w:p>
    <w:p w14:paraId="056D91A1">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 xml:space="preserve">（2）项目实施人员一览表；（附件5） </w:t>
      </w:r>
    </w:p>
    <w:p w14:paraId="1BE865AD">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（3）项目负责人简历表；（附件</w:t>
      </w:r>
      <w:r>
        <w:rPr>
          <w:rFonts w:ascii="宋体" w:hAnsi="宋体" w:cs="楷体_GB2312"/>
          <w:bCs/>
          <w:color w:val="000000" w:themeColor="text1"/>
          <w:sz w:val="24"/>
          <w14:textFill>
            <w14:solidFill>
              <w14:schemeClr w14:val="tx1"/>
            </w14:solidFill>
          </w14:textFill>
        </w:rPr>
        <w:t>6</w:t>
      </w:r>
      <w:r>
        <w:rPr>
          <w:rFonts w:hint="eastAsia" w:ascii="宋体" w:hAnsi="宋体" w:cs="楷体_GB2312"/>
          <w:bCs/>
          <w:color w:val="000000" w:themeColor="text1"/>
          <w:sz w:val="24"/>
          <w14:textFill>
            <w14:solidFill>
              <w14:schemeClr w14:val="tx1"/>
            </w14:solidFill>
          </w14:textFill>
        </w:rPr>
        <w:t>）</w:t>
      </w:r>
    </w:p>
    <w:p w14:paraId="4F079B15">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（4）作业机械、设备一览表；（附件</w:t>
      </w:r>
      <w:r>
        <w:rPr>
          <w:rFonts w:ascii="宋体" w:hAnsi="宋体" w:cs="楷体_GB2312"/>
          <w:bCs/>
          <w:color w:val="000000" w:themeColor="text1"/>
          <w:sz w:val="24"/>
          <w14:textFill>
            <w14:solidFill>
              <w14:schemeClr w14:val="tx1"/>
            </w14:solidFill>
          </w14:textFill>
        </w:rPr>
        <w:t>7</w:t>
      </w:r>
      <w:r>
        <w:rPr>
          <w:rFonts w:hint="eastAsia" w:ascii="宋体" w:hAnsi="宋体" w:cs="楷体_GB2312"/>
          <w:bCs/>
          <w:color w:val="000000" w:themeColor="text1"/>
          <w:sz w:val="24"/>
          <w14:textFill>
            <w14:solidFill>
              <w14:schemeClr w14:val="tx1"/>
            </w14:solidFill>
          </w14:textFill>
        </w:rPr>
        <w:t>）</w:t>
      </w:r>
    </w:p>
    <w:p w14:paraId="241A05DC">
      <w:pPr>
        <w:spacing w:line="360" w:lineRule="auto"/>
        <w:ind w:right="-108" w:firstLine="480" w:firstLineChars="200"/>
        <w:rPr>
          <w:rFonts w:ascii="宋体" w:hAnsi="宋体" w:cs="楷体_GB2312"/>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（5）其余内容根据评标办法自拟（格式参考附件，无格式的自拟）；</w:t>
      </w:r>
    </w:p>
    <w:p w14:paraId="26F0AD23">
      <w:pPr>
        <w:spacing w:line="360" w:lineRule="auto"/>
        <w:ind w:right="-108" w:firstLine="361" w:firstLineChars="150"/>
        <w:rPr>
          <w:rFonts w:ascii="宋体" w:hAnsi="宋体" w:cs="楷体_GB2312"/>
          <w:b/>
          <w:color w:val="000000" w:themeColor="text1"/>
          <w:sz w:val="24"/>
          <w14:textFill>
            <w14:solidFill>
              <w14:schemeClr w14:val="tx1"/>
            </w14:solidFill>
          </w14:textFill>
        </w:rPr>
      </w:pPr>
      <w:r>
        <w:rPr>
          <w:rFonts w:hint="eastAsia" w:ascii="宋体" w:hAnsi="宋体" w:cs="楷体_GB2312"/>
          <w:b/>
          <w:color w:val="000000" w:themeColor="text1"/>
          <w:sz w:val="24"/>
          <w14:textFill>
            <w14:solidFill>
              <w14:schemeClr w14:val="tx1"/>
            </w14:solidFill>
          </w14:textFill>
        </w:rPr>
        <w:t>招标需求</w:t>
      </w:r>
      <w:r>
        <w:rPr>
          <w:rFonts w:ascii="宋体" w:hAnsi="宋体" w:cs="楷体_GB2312"/>
          <w:b/>
          <w:color w:val="000000" w:themeColor="text1"/>
          <w:sz w:val="24"/>
          <w14:textFill>
            <w14:solidFill>
              <w14:schemeClr w14:val="tx1"/>
            </w14:solidFill>
          </w14:textFill>
        </w:rPr>
        <w:t>中</w:t>
      </w:r>
      <w:r>
        <w:rPr>
          <w:rFonts w:hint="eastAsia" w:ascii="宋体" w:hAnsi="宋体" w:cs="楷体_GB2312"/>
          <w:b/>
          <w:color w:val="000000" w:themeColor="text1"/>
          <w:sz w:val="24"/>
          <w14:textFill>
            <w14:solidFill>
              <w14:schemeClr w14:val="tx1"/>
            </w14:solidFill>
          </w14:textFill>
        </w:rPr>
        <w:t>要求提供的相关证明材料及根据</w:t>
      </w:r>
      <w:r>
        <w:rPr>
          <w:rFonts w:ascii="宋体" w:hAnsi="宋体" w:cs="楷体_GB2312"/>
          <w:b/>
          <w:color w:val="000000" w:themeColor="text1"/>
          <w:sz w:val="24"/>
          <w14:textFill>
            <w14:solidFill>
              <w14:schemeClr w14:val="tx1"/>
            </w14:solidFill>
          </w14:textFill>
        </w:rPr>
        <w:t>评标办法</w:t>
      </w:r>
      <w:r>
        <w:rPr>
          <w:rFonts w:hint="eastAsia" w:ascii="宋体" w:hAnsi="宋体" w:cs="楷体_GB2312"/>
          <w:b/>
          <w:color w:val="000000" w:themeColor="text1"/>
          <w:sz w:val="24"/>
          <w14:textFill>
            <w14:solidFill>
              <w14:schemeClr w14:val="tx1"/>
            </w14:solidFill>
          </w14:textFill>
        </w:rPr>
        <w:t>提供</w:t>
      </w:r>
      <w:r>
        <w:rPr>
          <w:rFonts w:ascii="宋体" w:hAnsi="宋体" w:cs="楷体_GB2312"/>
          <w:b/>
          <w:color w:val="000000" w:themeColor="text1"/>
          <w:sz w:val="24"/>
          <w14:textFill>
            <w14:solidFill>
              <w14:schemeClr w14:val="tx1"/>
            </w14:solidFill>
          </w14:textFill>
        </w:rPr>
        <w:t>的证明材料</w:t>
      </w:r>
      <w:r>
        <w:rPr>
          <w:rFonts w:hint="eastAsia" w:ascii="宋体" w:hAnsi="宋体" w:cs="楷体_GB2312"/>
          <w:b/>
          <w:color w:val="000000" w:themeColor="text1"/>
          <w:sz w:val="24"/>
          <w14:textFill>
            <w14:solidFill>
              <w14:schemeClr w14:val="tx1"/>
            </w14:solidFill>
          </w14:textFill>
        </w:rPr>
        <w:t>均需在投标文件中提供原件的扫描件。</w:t>
      </w:r>
    </w:p>
    <w:p w14:paraId="59870382">
      <w:pPr>
        <w:spacing w:line="360" w:lineRule="auto"/>
        <w:ind w:right="-108" w:firstLine="422" w:firstLineChars="150"/>
        <w:rPr>
          <w:rFonts w:ascii="宋体" w:hAnsi="宋体" w:cs="楷体_GB2312"/>
          <w:color w:val="000000" w:themeColor="text1"/>
          <w:sz w:val="24"/>
          <w14:textFill>
            <w14:solidFill>
              <w14:schemeClr w14:val="tx1"/>
            </w14:solidFill>
          </w14:textFill>
        </w:rPr>
      </w:pPr>
      <w:r>
        <w:rPr>
          <w:rFonts w:hint="eastAsia" w:ascii="宋体" w:hAnsi="宋体" w:cs="楷体_GB2312"/>
          <w:b/>
          <w:bCs/>
          <w:color w:val="000000" w:themeColor="text1"/>
          <w:kern w:val="0"/>
          <w:sz w:val="28"/>
          <w:szCs w:val="28"/>
          <w14:textFill>
            <w14:solidFill>
              <w14:schemeClr w14:val="tx1"/>
            </w14:solidFill>
          </w14:textFill>
        </w:rPr>
        <w:t>第三部分 ：</w:t>
      </w:r>
      <w:r>
        <w:rPr>
          <w:rFonts w:hint="eastAsia" w:ascii="宋体" w:hAnsi="宋体" w:cs="楷体_GB2312"/>
          <w:b/>
          <w:color w:val="000000" w:themeColor="text1"/>
          <w:sz w:val="28"/>
          <w:szCs w:val="28"/>
          <w14:textFill>
            <w14:solidFill>
              <w14:schemeClr w14:val="tx1"/>
            </w14:solidFill>
          </w14:textFill>
        </w:rPr>
        <w:t>报价</w:t>
      </w:r>
      <w:r>
        <w:rPr>
          <w:rFonts w:hint="eastAsia" w:ascii="宋体" w:hAnsi="宋体" w:cs="楷体_GB2312"/>
          <w:b/>
          <w:bCs/>
          <w:color w:val="000000" w:themeColor="text1"/>
          <w:sz w:val="28"/>
          <w:szCs w:val="28"/>
          <w14:textFill>
            <w14:solidFill>
              <w14:schemeClr w14:val="tx1"/>
            </w14:solidFill>
          </w14:textFill>
        </w:rPr>
        <w:t>部分</w:t>
      </w:r>
    </w:p>
    <w:p w14:paraId="0999DF01">
      <w:pPr>
        <w:snapToGrid w:val="0"/>
        <w:spacing w:line="360" w:lineRule="auto"/>
        <w:ind w:firstLine="480" w:firstLineChars="200"/>
        <w:jc w:val="left"/>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（1）首次报价一览表；（附件1</w:t>
      </w:r>
      <w:r>
        <w:rPr>
          <w:rFonts w:ascii="宋体" w:hAnsi="宋体" w:cs="楷体_GB2312"/>
          <w:color w:val="000000" w:themeColor="text1"/>
          <w:sz w:val="24"/>
          <w14:textFill>
            <w14:solidFill>
              <w14:schemeClr w14:val="tx1"/>
            </w14:solidFill>
          </w14:textFill>
        </w:rPr>
        <w:t>0</w:t>
      </w:r>
      <w:r>
        <w:rPr>
          <w:rFonts w:hint="eastAsia" w:ascii="宋体" w:hAnsi="宋体" w:cs="楷体_GB2312"/>
          <w:color w:val="000000" w:themeColor="text1"/>
          <w:sz w:val="24"/>
          <w14:textFill>
            <w14:solidFill>
              <w14:schemeClr w14:val="tx1"/>
            </w14:solidFill>
          </w14:textFill>
        </w:rPr>
        <w:t>）</w:t>
      </w:r>
    </w:p>
    <w:p w14:paraId="0CE769AF">
      <w:pPr>
        <w:spacing w:line="360" w:lineRule="auto"/>
        <w:ind w:left="420"/>
        <w:rPr>
          <w:rFonts w:ascii="宋体" w:hAnsi="宋体"/>
          <w:b/>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04911D7">
      <w:pPr>
        <w:spacing w:line="360" w:lineRule="auto"/>
        <w:ind w:left="42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14:paraId="66BF92F5">
      <w:pPr>
        <w:snapToGrid w:val="0"/>
        <w:spacing w:before="156" w:beforeLines="50" w:after="50" w:line="360" w:lineRule="auto"/>
        <w:ind w:firstLine="643" w:firstLineChars="200"/>
        <w:jc w:val="center"/>
        <w:rPr>
          <w:rStyle w:val="31"/>
          <w:rFonts w:ascii="宋体" w:hAnsi="宋体"/>
          <w:b/>
          <w:color w:val="000000" w:themeColor="text1"/>
          <w:sz w:val="32"/>
          <w:szCs w:val="32"/>
          <w:u w:val="none"/>
          <w14:textFill>
            <w14:solidFill>
              <w14:schemeClr w14:val="tx1"/>
            </w14:solidFill>
          </w14:textFill>
        </w:rPr>
      </w:pPr>
      <w:r>
        <w:rPr>
          <w:rStyle w:val="31"/>
          <w:rFonts w:hint="eastAsia" w:ascii="宋体" w:hAnsi="宋体"/>
          <w:b/>
          <w:color w:val="000000" w:themeColor="text1"/>
          <w:sz w:val="32"/>
          <w:szCs w:val="32"/>
          <w:u w:val="none"/>
          <w14:textFill>
            <w14:solidFill>
              <w14:schemeClr w14:val="tx1"/>
            </w14:solidFill>
          </w14:textFill>
        </w:rPr>
        <w:t>磋商声明书</w:t>
      </w:r>
    </w:p>
    <w:p w14:paraId="1049D8C6">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ascii="宋体" w:hAnsi="宋体" w:cs="楷体_GB2312"/>
          <w:color w:val="000000" w:themeColor="text1"/>
          <w:kern w:val="0"/>
          <w:sz w:val="24"/>
          <w:u w:val="single"/>
          <w14:textFill>
            <w14:solidFill>
              <w14:schemeClr w14:val="tx1"/>
            </w14:solidFill>
          </w14:textFill>
        </w:rPr>
        <w:t>浙江五石中正工程咨询有限公司</w:t>
      </w:r>
      <w:r>
        <w:rPr>
          <w:rFonts w:hint="eastAsia" w:ascii="宋体" w:hAnsi="宋体" w:cs="楷体_GB2312"/>
          <w:color w:val="000000" w:themeColor="text1"/>
          <w:kern w:val="0"/>
          <w:sz w:val="24"/>
          <w14:textFill>
            <w14:solidFill>
              <w14:schemeClr w14:val="tx1"/>
            </w14:solidFill>
          </w14:textFill>
        </w:rPr>
        <w:t>（采购代理机构名称）：</w:t>
      </w:r>
    </w:p>
    <w:p w14:paraId="4052171F">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u w:val="single"/>
          <w14:textFill>
            <w14:solidFill>
              <w14:schemeClr w14:val="tx1"/>
            </w14:solidFill>
          </w14:textFill>
        </w:rPr>
        <w:t xml:space="preserve">（供应商名称）            </w:t>
      </w:r>
      <w:r>
        <w:rPr>
          <w:rFonts w:hint="eastAsia" w:ascii="宋体" w:hAnsi="宋体" w:cs="楷体_GB2312"/>
          <w:color w:val="000000" w:themeColor="text1"/>
          <w:kern w:val="0"/>
          <w:sz w:val="24"/>
          <w14:textFill>
            <w14:solidFill>
              <w14:schemeClr w14:val="tx1"/>
            </w14:solidFill>
          </w14:textFill>
        </w:rPr>
        <w:t>系中华人民共和国合法企业，经营地址。</w:t>
      </w:r>
    </w:p>
    <w:p w14:paraId="797ED618">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楷体_GB2312"/>
          <w:color w:val="000000" w:themeColor="text1"/>
          <w:kern w:val="0"/>
          <w:sz w:val="24"/>
          <w:u w:val="single"/>
          <w14:textFill>
            <w14:solidFill>
              <w14:schemeClr w14:val="tx1"/>
            </w14:solidFill>
          </w14:textFill>
        </w:rPr>
        <w:t xml:space="preserve"> 姓名 </w:t>
      </w:r>
      <w:r>
        <w:rPr>
          <w:rFonts w:hint="eastAsia" w:ascii="宋体" w:hAnsi="宋体" w:cs="楷体_GB2312"/>
          <w:color w:val="000000" w:themeColor="text1"/>
          <w:kern w:val="0"/>
          <w:sz w:val="24"/>
          <w14:textFill>
            <w14:solidFill>
              <w14:schemeClr w14:val="tx1"/>
            </w14:solidFill>
          </w14:textFill>
        </w:rPr>
        <w:t>）系（</w:t>
      </w:r>
      <w:r>
        <w:rPr>
          <w:rFonts w:hint="eastAsia" w:ascii="宋体" w:hAnsi="宋体" w:cs="楷体_GB2312"/>
          <w:color w:val="000000" w:themeColor="text1"/>
          <w:kern w:val="0"/>
          <w:sz w:val="24"/>
          <w:u w:val="single"/>
          <w14:textFill>
            <w14:solidFill>
              <w14:schemeClr w14:val="tx1"/>
            </w14:solidFill>
          </w14:textFill>
        </w:rPr>
        <w:t xml:space="preserve"> 供应商名称 </w:t>
      </w:r>
      <w:r>
        <w:rPr>
          <w:rFonts w:hint="eastAsia" w:ascii="宋体" w:hAnsi="宋体" w:cs="楷体_GB2312"/>
          <w:color w:val="000000" w:themeColor="text1"/>
          <w:kern w:val="0"/>
          <w:sz w:val="24"/>
          <w14:textFill>
            <w14:solidFill>
              <w14:schemeClr w14:val="tx1"/>
            </w14:solidFill>
          </w14:textFill>
        </w:rPr>
        <w:t>）的法定代表人，我公司自愿参加贵方组织的</w:t>
      </w:r>
      <w:r>
        <w:rPr>
          <w:rFonts w:hint="eastAsia" w:ascii="宋体" w:hAnsi="宋体" w:cs="楷体_GB2312"/>
          <w:color w:val="000000" w:themeColor="text1"/>
          <w:kern w:val="0"/>
          <w:sz w:val="24"/>
          <w:u w:val="single"/>
          <w14:textFill>
            <w14:solidFill>
              <w14:schemeClr w14:val="tx1"/>
            </w14:solidFill>
          </w14:textFill>
        </w:rPr>
        <w:t>台州职业技术学院科技创新与成果转化中心改造项目</w:t>
      </w:r>
      <w:r>
        <w:rPr>
          <w:rFonts w:hint="eastAsia" w:ascii="宋体" w:hAnsi="宋体" w:cs="楷体_GB2312"/>
          <w:color w:val="000000" w:themeColor="text1"/>
          <w:kern w:val="0"/>
          <w:sz w:val="24"/>
          <w14:textFill>
            <w14:solidFill>
              <w14:schemeClr w14:val="tx1"/>
            </w14:solidFill>
          </w14:textFill>
        </w:rPr>
        <w:t>（编号为</w:t>
      </w:r>
      <w:r>
        <w:rPr>
          <w:rFonts w:hint="eastAsia" w:ascii="宋体" w:hAnsi="宋体" w:cs="楷体_GB2312"/>
          <w:color w:val="000000" w:themeColor="text1"/>
          <w:kern w:val="0"/>
          <w:sz w:val="24"/>
          <w:u w:val="single"/>
          <w14:textFill>
            <w14:solidFill>
              <w14:schemeClr w14:val="tx1"/>
            </w14:solidFill>
          </w14:textFill>
        </w:rPr>
        <w:t>ZJWS2024-JJ302</w:t>
      </w:r>
      <w:r>
        <w:rPr>
          <w:rFonts w:hint="eastAsia" w:ascii="宋体" w:hAnsi="宋体" w:cs="楷体_GB2312"/>
          <w:color w:val="000000" w:themeColor="text1"/>
          <w:kern w:val="0"/>
          <w:sz w:val="24"/>
          <w14:textFill>
            <w14:solidFill>
              <w14:schemeClr w14:val="tx1"/>
            </w14:solidFill>
          </w14:textFill>
        </w:rPr>
        <w:t>）的磋商，为此，我公司就本次磋商有关事项郑重声明如下：</w:t>
      </w:r>
    </w:p>
    <w:p w14:paraId="78508085">
      <w:pPr>
        <w:numPr>
          <w:ilvl w:val="0"/>
          <w:numId w:val="7"/>
        </w:numPr>
        <w:snapToGrid w:val="0"/>
        <w:spacing w:before="156" w:beforeLines="50" w:after="50" w:line="288" w:lineRule="auto"/>
        <w:ind w:firstLine="480" w:firstLineChars="200"/>
        <w:rPr>
          <w:rFonts w:ascii="宋体" w:hAnsi="宋体" w:cs="楷体_GB2312"/>
          <w:b/>
          <w:color w:val="000000" w:themeColor="text1"/>
          <w:kern w:val="0"/>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0B7780E8">
      <w:pPr>
        <w:numPr>
          <w:ilvl w:val="0"/>
          <w:numId w:val="7"/>
        </w:num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14:textFill>
            <w14:solidFill>
              <w14:schemeClr w14:val="tx1"/>
            </w14:solidFill>
          </w14:textFill>
        </w:rPr>
        <w:t>我公司</w:t>
      </w:r>
      <w:r>
        <w:rPr>
          <w:rFonts w:ascii="宋体" w:hAnsi="宋体" w:cs="楷体_GB2312"/>
          <w:color w:val="000000" w:themeColor="text1"/>
          <w:kern w:val="0"/>
          <w:sz w:val="24"/>
          <w14:textFill>
            <w14:solidFill>
              <w14:schemeClr w14:val="tx1"/>
            </w14:solidFill>
          </w14:textFill>
        </w:rPr>
        <w:t>在参与</w:t>
      </w:r>
      <w:r>
        <w:rPr>
          <w:rFonts w:hint="eastAsia" w:ascii="宋体" w:hAnsi="宋体" w:cs="楷体_GB2312"/>
          <w:color w:val="000000" w:themeColor="text1"/>
          <w:kern w:val="0"/>
          <w:sz w:val="24"/>
          <w14:textFill>
            <w14:solidFill>
              <w14:schemeClr w14:val="tx1"/>
            </w14:solidFill>
          </w14:textFill>
        </w:rPr>
        <w:t>磋商</w:t>
      </w:r>
      <w:r>
        <w:rPr>
          <w:rFonts w:ascii="宋体" w:hAnsi="宋体" w:cs="楷体_GB2312"/>
          <w:color w:val="000000" w:themeColor="text1"/>
          <w:kern w:val="0"/>
          <w:sz w:val="24"/>
          <w14:textFill>
            <w14:solidFill>
              <w14:schemeClr w14:val="tx1"/>
            </w14:solidFill>
          </w14:textFill>
        </w:rPr>
        <w:t>前已</w:t>
      </w:r>
      <w:r>
        <w:rPr>
          <w:rFonts w:hint="eastAsia" w:ascii="宋体" w:hAnsi="宋体" w:cs="楷体_GB2312"/>
          <w:color w:val="000000" w:themeColor="text1"/>
          <w:kern w:val="0"/>
          <w:sz w:val="24"/>
          <w14:textFill>
            <w14:solidFill>
              <w14:schemeClr w14:val="tx1"/>
            </w14:solidFill>
          </w14:textFill>
        </w:rPr>
        <w:t>详细审查</w:t>
      </w:r>
      <w:r>
        <w:rPr>
          <w:rFonts w:ascii="宋体" w:hAnsi="宋体" w:cs="楷体_GB2312"/>
          <w:color w:val="000000" w:themeColor="text1"/>
          <w:kern w:val="0"/>
          <w:sz w:val="24"/>
          <w14:textFill>
            <w14:solidFill>
              <w14:schemeClr w14:val="tx1"/>
            </w14:solidFill>
          </w14:textFill>
        </w:rPr>
        <w:t>了</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文件和所有相关资料，我方完全明白并认为此</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文件没有倾向性，也没有存在排斥潜在</w:t>
      </w:r>
      <w:r>
        <w:rPr>
          <w:rFonts w:hint="eastAsia" w:ascii="宋体" w:hAnsi="宋体" w:cs="楷体_GB2312"/>
          <w:color w:val="000000" w:themeColor="text1"/>
          <w:kern w:val="0"/>
          <w:sz w:val="24"/>
          <w14:textFill>
            <w14:solidFill>
              <w14:schemeClr w14:val="tx1"/>
            </w14:solidFill>
          </w14:textFill>
        </w:rPr>
        <w:t>供应商</w:t>
      </w:r>
      <w:r>
        <w:rPr>
          <w:rFonts w:ascii="宋体" w:hAnsi="宋体" w:cs="楷体_GB2312"/>
          <w:color w:val="000000" w:themeColor="text1"/>
          <w:kern w:val="0"/>
          <w:sz w:val="24"/>
          <w14:textFill>
            <w14:solidFill>
              <w14:schemeClr w14:val="tx1"/>
            </w14:solidFill>
          </w14:textFill>
        </w:rPr>
        <w:t>的内容，我方同意</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文件的相关条款，放弃对</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文件提出误解和质疑的一切权</w:t>
      </w:r>
      <w:r>
        <w:rPr>
          <w:rFonts w:hint="eastAsia" w:ascii="宋体" w:hAnsi="宋体" w:cs="楷体_GB2312"/>
          <w:color w:val="000000" w:themeColor="text1"/>
          <w:kern w:val="0"/>
          <w:sz w:val="24"/>
          <w14:textFill>
            <w14:solidFill>
              <w14:schemeClr w14:val="tx1"/>
            </w14:solidFill>
          </w14:textFill>
        </w:rPr>
        <w:t>利。</w:t>
      </w:r>
    </w:p>
    <w:p w14:paraId="76701006">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14:paraId="7E158507">
      <w:pPr>
        <w:snapToGrid w:val="0"/>
        <w:spacing w:before="156" w:beforeLines="50" w:after="50" w:line="288"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s="楷体_GB2312"/>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楷体_GB2312"/>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总报价</w:t>
      </w:r>
      <w:r>
        <w:rPr>
          <w:rFonts w:hint="eastAsia" w:ascii="宋体" w:hAnsi="宋体" w:cs="楷体_GB2312"/>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14:paraId="0E473881">
      <w:pPr>
        <w:snapToGrid w:val="0"/>
        <w:spacing w:before="156" w:beforeLines="50" w:after="50" w:line="288" w:lineRule="auto"/>
        <w:ind w:firstLine="480" w:firstLineChars="200"/>
        <w:rPr>
          <w:rFonts w:ascii="宋体" w:hAnsi="宋体" w:cs="方正书宋简体"/>
          <w:color w:val="000000" w:themeColor="text1"/>
          <w:sz w:val="24"/>
          <w14:textFill>
            <w14:solidFill>
              <w14:schemeClr w14:val="tx1"/>
            </w14:solidFill>
          </w14:textFill>
        </w:rPr>
      </w:pPr>
      <w:r>
        <w:rPr>
          <w:rFonts w:hint="eastAsia" w:ascii="宋体" w:hAnsi="宋体" w:cs="楷体_GB2312"/>
          <w:color w:val="000000" w:themeColor="text1"/>
          <w:kern w:val="0"/>
          <w:sz w:val="24"/>
          <w:lang w:val="af-ZA"/>
          <w14:textFill>
            <w14:solidFill>
              <w14:schemeClr w14:val="tx1"/>
            </w14:solidFill>
          </w14:textFill>
        </w:rPr>
        <w:t>5、我</w:t>
      </w:r>
      <w:r>
        <w:rPr>
          <w:rFonts w:hint="eastAsia" w:ascii="宋体" w:hAnsi="宋体" w:cs="楷体_GB2312"/>
          <w:color w:val="000000" w:themeColor="text1"/>
          <w:kern w:val="0"/>
          <w:sz w:val="24"/>
          <w:lang w:val="zh-CN"/>
          <w14:textFill>
            <w14:solidFill>
              <w14:schemeClr w14:val="tx1"/>
            </w14:solidFill>
          </w14:textFill>
        </w:rPr>
        <w:t>公司</w:t>
      </w:r>
      <w:r>
        <w:rPr>
          <w:rFonts w:hint="eastAsia" w:ascii="宋体" w:hAnsi="宋体" w:cs="楷体_GB2312"/>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14:paraId="31DAF47E">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14:paraId="3C29E1A1">
      <w:pPr>
        <w:adjustRightInd w:val="0"/>
        <w:snapToGrid w:val="0"/>
        <w:spacing w:line="360" w:lineRule="auto"/>
        <w:ind w:firstLine="480"/>
        <w:rPr>
          <w:rFonts w:ascii="宋体" w:hAnsi="宋体" w:cs="方正书宋简体"/>
          <w:color w:val="000000" w:themeColor="text1"/>
          <w:kern w:val="0"/>
          <w:sz w:val="24"/>
          <w14:textFill>
            <w14:solidFill>
              <w14:schemeClr w14:val="tx1"/>
            </w14:solidFill>
          </w14:textFill>
        </w:rPr>
      </w:pPr>
    </w:p>
    <w:p w14:paraId="37BA2D21">
      <w:pPr>
        <w:adjustRightInd w:val="0"/>
        <w:snapToGrid w:val="0"/>
        <w:spacing w:line="360" w:lineRule="auto"/>
        <w:ind w:firstLine="4680" w:firstLineChars="1950"/>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供应商名称(公章)：</w:t>
      </w:r>
    </w:p>
    <w:p w14:paraId="61333255">
      <w:pPr>
        <w:adjustRightInd w:val="0"/>
        <w:snapToGrid w:val="0"/>
        <w:spacing w:line="360" w:lineRule="auto"/>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法定代表人或授权委托人(签章或签字)：</w:t>
      </w:r>
    </w:p>
    <w:p w14:paraId="59A4D60E">
      <w:pPr>
        <w:adjustRightInd w:val="0"/>
        <w:snapToGrid w:val="0"/>
        <w:spacing w:line="360" w:lineRule="auto"/>
        <w:ind w:right="480"/>
        <w:jc w:val="center"/>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日期：年  月   日</w:t>
      </w:r>
    </w:p>
    <w:p w14:paraId="7C5E66FE">
      <w:pPr>
        <w:adjustRightInd w:val="0"/>
        <w:snapToGrid w:val="0"/>
        <w:spacing w:line="360" w:lineRule="auto"/>
        <w:ind w:right="480"/>
        <w:jc w:val="center"/>
        <w:rPr>
          <w:rFonts w:ascii="宋体" w:hAnsi="宋体" w:cs="方正书宋简体"/>
          <w:color w:val="000000" w:themeColor="text1"/>
          <w:kern w:val="0"/>
          <w:sz w:val="24"/>
          <w:lang w:val="zh-CN"/>
          <w14:textFill>
            <w14:solidFill>
              <w14:schemeClr w14:val="tx1"/>
            </w14:solidFill>
          </w14:textFill>
        </w:rPr>
      </w:pPr>
    </w:p>
    <w:p w14:paraId="32643972">
      <w:pPr>
        <w:adjustRightInd w:val="0"/>
        <w:snapToGrid w:val="0"/>
        <w:spacing w:line="360" w:lineRule="auto"/>
        <w:ind w:right="48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14:paraId="34214E0D">
      <w:pPr>
        <w:spacing w:line="360" w:lineRule="auto"/>
        <w:ind w:firstLine="321" w:firstLineChars="100"/>
        <w:jc w:val="center"/>
        <w:rPr>
          <w:rFonts w:ascii="宋体" w:hAnsi="宋体"/>
          <w:b/>
          <w:color w:val="000000" w:themeColor="text1"/>
          <w:sz w:val="32"/>
          <w:szCs w:val="32"/>
          <w:u w:val="single"/>
          <w14:textFill>
            <w14:solidFill>
              <w14:schemeClr w14:val="tx1"/>
            </w14:solidFill>
          </w14:textFill>
        </w:rPr>
      </w:pPr>
      <w:r>
        <w:rPr>
          <w:rFonts w:ascii="宋体" w:hAnsi="宋体"/>
          <w:b/>
          <w:color w:val="000000" w:themeColor="text1"/>
          <w:sz w:val="32"/>
          <w:szCs w:val="32"/>
          <w14:textFill>
            <w14:solidFill>
              <w14:schemeClr w14:val="tx1"/>
            </w14:solidFill>
          </w14:textFill>
        </w:rPr>
        <w:t>授权</w:t>
      </w:r>
      <w:r>
        <w:rPr>
          <w:rFonts w:hint="eastAsia" w:ascii="宋体" w:hAnsi="宋体"/>
          <w:b/>
          <w:color w:val="000000" w:themeColor="text1"/>
          <w:sz w:val="32"/>
          <w:szCs w:val="32"/>
          <w14:textFill>
            <w14:solidFill>
              <w14:schemeClr w14:val="tx1"/>
            </w14:solidFill>
          </w14:textFill>
        </w:rPr>
        <w:t>委托</w:t>
      </w:r>
      <w:r>
        <w:rPr>
          <w:rFonts w:ascii="宋体" w:hAnsi="宋体"/>
          <w:b/>
          <w:color w:val="000000" w:themeColor="text1"/>
          <w:sz w:val="32"/>
          <w:szCs w:val="32"/>
          <w14:textFill>
            <w14:solidFill>
              <w14:schemeClr w14:val="tx1"/>
            </w14:solidFill>
          </w14:textFill>
        </w:rPr>
        <w:t>书</w:t>
      </w:r>
    </w:p>
    <w:p w14:paraId="4B9C2F69">
      <w:pPr>
        <w:pStyle w:val="6"/>
        <w:spacing w:line="500" w:lineRule="exact"/>
        <w:rPr>
          <w:rFonts w:ascii="宋体" w:hAnsi="宋体" w:eastAsia="宋体"/>
          <w:b/>
          <w:color w:val="000000" w:themeColor="text1"/>
          <w:sz w:val="24"/>
          <w14:textFill>
            <w14:solidFill>
              <w14:schemeClr w14:val="tx1"/>
            </w14:solidFill>
          </w14:textFill>
        </w:rPr>
      </w:pPr>
      <w:r>
        <w:rPr>
          <w:rFonts w:ascii="宋体" w:hAnsi="宋体" w:eastAsia="宋体"/>
          <w:color w:val="000000" w:themeColor="text1"/>
          <w:sz w:val="24"/>
          <w:u w:val="single"/>
          <w14:textFill>
            <w14:solidFill>
              <w14:schemeClr w14:val="tx1"/>
            </w14:solidFill>
          </w14:textFill>
        </w:rPr>
        <w:t>浙江五石中正工程咨询有限公司</w:t>
      </w:r>
      <w:r>
        <w:rPr>
          <w:rFonts w:hint="eastAsia" w:ascii="宋体" w:hAnsi="宋体" w:eastAsia="宋体" w:cs="楷体_GB2312"/>
          <w:color w:val="000000" w:themeColor="text1"/>
          <w:kern w:val="0"/>
          <w:sz w:val="24"/>
          <w:u w:val="single"/>
          <w14:textFill>
            <w14:solidFill>
              <w14:schemeClr w14:val="tx1"/>
            </w14:solidFill>
          </w14:textFill>
        </w:rPr>
        <w:t>（采购代理机构名称）</w:t>
      </w:r>
      <w:r>
        <w:rPr>
          <w:rFonts w:ascii="宋体" w:hAnsi="宋体" w:eastAsia="宋体"/>
          <w:b/>
          <w:color w:val="000000" w:themeColor="text1"/>
          <w:sz w:val="24"/>
          <w14:textFill>
            <w14:solidFill>
              <w14:schemeClr w14:val="tx1"/>
            </w14:solidFill>
          </w14:textFill>
        </w:rPr>
        <w:t>：</w:t>
      </w:r>
    </w:p>
    <w:p w14:paraId="673A5278">
      <w:pPr>
        <w:pStyle w:val="6"/>
        <w:spacing w:line="440" w:lineRule="atLeast"/>
        <w:ind w:left="240" w:hanging="240" w:hangingChars="1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供应商</w:t>
      </w:r>
      <w:r>
        <w:rPr>
          <w:rFonts w:ascii="宋体" w:hAnsi="宋体" w:eastAsia="宋体"/>
          <w:color w:val="000000" w:themeColor="text1"/>
          <w:sz w:val="24"/>
          <w:u w:val="single"/>
          <w14:textFill>
            <w14:solidFill>
              <w14:schemeClr w14:val="tx1"/>
            </w14:solidFill>
          </w14:textFill>
        </w:rPr>
        <w:t xml:space="preserve">全称）  </w:t>
      </w:r>
      <w:r>
        <w:rPr>
          <w:rFonts w:ascii="宋体" w:hAnsi="宋体" w:eastAsia="宋体"/>
          <w:color w:val="000000" w:themeColor="text1"/>
          <w:sz w:val="24"/>
          <w14:textFill>
            <w14:solidFill>
              <w14:schemeClr w14:val="tx1"/>
            </w14:solidFill>
          </w14:textFill>
        </w:rPr>
        <w:t>法定代表人</w:t>
      </w:r>
      <w:r>
        <w:rPr>
          <w:rFonts w:hint="eastAsia" w:ascii="宋体" w:hAnsi="宋体" w:eastAsia="宋体" w:cs="Tahoma"/>
          <w:color w:val="000000" w:themeColor="text1"/>
          <w:sz w:val="24"/>
          <w14:textFill>
            <w14:solidFill>
              <w14:schemeClr w14:val="tx1"/>
            </w14:solidFill>
          </w14:textFill>
        </w:rPr>
        <w:t>（或营业执照中单位负责人）</w:t>
      </w:r>
      <w:r>
        <w:rPr>
          <w:rFonts w:ascii="宋体" w:hAnsi="宋体" w:eastAsia="宋体"/>
          <w:color w:val="000000" w:themeColor="text1"/>
          <w:sz w:val="24"/>
          <w:u w:val="single"/>
          <w14:textFill>
            <w14:solidFill>
              <w14:schemeClr w14:val="tx1"/>
            </w14:solidFill>
          </w14:textFill>
        </w:rPr>
        <w:tab/>
      </w:r>
      <w:r>
        <w:rPr>
          <w:rFonts w:ascii="宋体" w:hAnsi="宋体" w:eastAsia="宋体"/>
          <w:color w:val="000000" w:themeColor="text1"/>
          <w:sz w:val="24"/>
          <w:u w:val="single"/>
          <w14:textFill>
            <w14:solidFill>
              <w14:schemeClr w14:val="tx1"/>
            </w14:solidFill>
          </w14:textFill>
        </w:rPr>
        <w:t>（法定代表</w:t>
      </w:r>
      <w:r>
        <w:rPr>
          <w:rFonts w:hint="eastAsia" w:ascii="宋体" w:hAnsi="宋体" w:eastAsia="宋体"/>
          <w:color w:val="000000" w:themeColor="text1"/>
          <w:sz w:val="24"/>
          <w:u w:val="single"/>
          <w14:textFill>
            <w14:solidFill>
              <w14:schemeClr w14:val="tx1"/>
            </w14:solidFill>
          </w14:textFill>
        </w:rPr>
        <w:t>人</w:t>
      </w:r>
      <w:r>
        <w:rPr>
          <w:rFonts w:hint="eastAsia" w:ascii="宋体" w:hAnsi="宋体" w:eastAsia="宋体" w:cs="Tahoma"/>
          <w:color w:val="000000" w:themeColor="text1"/>
          <w:sz w:val="24"/>
          <w:u w:val="single"/>
          <w14:textFill>
            <w14:solidFill>
              <w14:schemeClr w14:val="tx1"/>
            </w14:solidFill>
          </w14:textFill>
        </w:rPr>
        <w:t>或营业执照中单位负责人</w:t>
      </w:r>
      <w:r>
        <w:rPr>
          <w:rFonts w:ascii="宋体" w:hAnsi="宋体" w:eastAsia="宋体"/>
          <w:color w:val="000000" w:themeColor="text1"/>
          <w:sz w:val="24"/>
          <w:u w:val="single"/>
          <w14:textFill>
            <w14:solidFill>
              <w14:schemeClr w14:val="tx1"/>
            </w14:solidFill>
          </w14:textFill>
        </w:rPr>
        <w:t xml:space="preserve">姓名） </w:t>
      </w:r>
      <w:r>
        <w:rPr>
          <w:rFonts w:ascii="宋体" w:hAnsi="宋体" w:eastAsia="宋体"/>
          <w:color w:val="000000" w:themeColor="text1"/>
          <w:sz w:val="24"/>
          <w14:textFill>
            <w14:solidFill>
              <w14:schemeClr w14:val="tx1"/>
            </w14:solidFill>
          </w14:textFill>
        </w:rPr>
        <w:t>授权</w:t>
      </w:r>
      <w:r>
        <w:rPr>
          <w:rFonts w:hint="eastAsia" w:ascii="宋体" w:hAnsi="宋体" w:eastAsia="宋体"/>
          <w:color w:val="000000" w:themeColor="text1"/>
          <w:sz w:val="24"/>
          <w:u w:val="single"/>
          <w14:textFill>
            <w14:solidFill>
              <w14:schemeClr w14:val="tx1"/>
            </w14:solidFill>
          </w14:textFill>
        </w:rPr>
        <w:t xml:space="preserve">   （全权代表</w:t>
      </w:r>
      <w:r>
        <w:rPr>
          <w:rFonts w:ascii="宋体" w:hAnsi="宋体" w:eastAsia="宋体"/>
          <w:color w:val="000000" w:themeColor="text1"/>
          <w:sz w:val="24"/>
          <w:u w:val="single"/>
          <w14:textFill>
            <w14:solidFill>
              <w14:schemeClr w14:val="tx1"/>
            </w14:solidFill>
          </w14:textFill>
        </w:rPr>
        <w:t>姓名</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为</w:t>
      </w:r>
      <w:r>
        <w:rPr>
          <w:rFonts w:hint="eastAsia" w:ascii="宋体" w:hAnsi="宋体" w:eastAsia="宋体"/>
          <w:color w:val="000000" w:themeColor="text1"/>
          <w:sz w:val="24"/>
          <w14:textFill>
            <w14:solidFill>
              <w14:schemeClr w14:val="tx1"/>
            </w14:solidFill>
          </w14:textFill>
        </w:rPr>
        <w:t>全权代表</w:t>
      </w:r>
      <w:r>
        <w:rPr>
          <w:rFonts w:ascii="宋体" w:hAnsi="宋体" w:eastAsia="宋体"/>
          <w:color w:val="000000" w:themeColor="text1"/>
          <w:sz w:val="24"/>
          <w14:textFill>
            <w14:solidFill>
              <w14:schemeClr w14:val="tx1"/>
            </w14:solidFill>
          </w14:textFill>
        </w:rPr>
        <w:t>，参加贵单位组织的</w:t>
      </w:r>
      <w:r>
        <w:rPr>
          <w:rFonts w:hint="eastAsia" w:ascii="宋体" w:hAnsi="宋体" w:eastAsia="宋体"/>
          <w:color w:val="000000" w:themeColor="text1"/>
          <w:sz w:val="24"/>
          <w:u w:val="single"/>
          <w14:textFill>
            <w14:solidFill>
              <w14:schemeClr w14:val="tx1"/>
            </w14:solidFill>
          </w14:textFill>
        </w:rPr>
        <w:t>台州职业技术学院科技创新与成果转化中心改造项目</w:t>
      </w:r>
      <w:r>
        <w:rPr>
          <w:rFonts w:ascii="宋体" w:hAnsi="宋体" w:eastAsia="宋体"/>
          <w:color w:val="000000" w:themeColor="text1"/>
          <w:sz w:val="24"/>
          <w14:textFill>
            <w14:solidFill>
              <w14:schemeClr w14:val="tx1"/>
            </w14:solidFill>
          </w14:textFill>
        </w:rPr>
        <w:t>的采购活动，并代表我方全权办理针对上述项目的磋商、签约等具体事务和签署相关文件。</w:t>
      </w:r>
      <w:r>
        <w:rPr>
          <w:rFonts w:hint="eastAsia" w:ascii="宋体" w:hAnsi="宋体" w:eastAsia="宋体"/>
          <w:color w:val="000000" w:themeColor="text1"/>
          <w:sz w:val="24"/>
          <w14:textFill>
            <w14:solidFill>
              <w14:schemeClr w14:val="tx1"/>
            </w14:solidFill>
          </w14:textFill>
        </w:rPr>
        <w:t>我方对全权代表的签字事项负全部责任。</w:t>
      </w:r>
    </w:p>
    <w:p w14:paraId="56A2D8E1">
      <w:pPr>
        <w:pStyle w:val="6"/>
        <w:spacing w:line="440" w:lineRule="atLeast"/>
        <w:ind w:left="139" w:leftChars="66"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082FBFC7">
      <w:pPr>
        <w:pStyle w:val="6"/>
        <w:spacing w:line="440" w:lineRule="atLeast"/>
        <w:ind w:left="139" w:leftChars="66"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全权代表无转委托权，特此委托。</w:t>
      </w:r>
    </w:p>
    <w:p w14:paraId="2A34F8A5">
      <w:pPr>
        <w:spacing w:line="440" w:lineRule="atLeast"/>
        <w:rPr>
          <w:rFonts w:ascii="宋体" w:hAnsi="宋体"/>
          <w:color w:val="000000" w:themeColor="text1"/>
          <w:sz w:val="24"/>
          <w14:textFill>
            <w14:solidFill>
              <w14:schemeClr w14:val="tx1"/>
            </w14:solidFill>
          </w14:textFill>
        </w:rPr>
      </w:pPr>
    </w:p>
    <w:p w14:paraId="18F8DAC0">
      <w:pPr>
        <w:spacing w:line="44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法定代表人签字或签章：</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14:paraId="1EA58FD9">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供应商全称（公章）：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日期：</w:t>
      </w:r>
    </w:p>
    <w:p w14:paraId="2CCCBB95">
      <w:pPr>
        <w:spacing w:line="440" w:lineRule="atLeast"/>
        <w:rPr>
          <w:rFonts w:ascii="宋体" w:hAnsi="宋体"/>
          <w:color w:val="000000" w:themeColor="text1"/>
          <w:sz w:val="24"/>
          <w14:textFill>
            <w14:solidFill>
              <w14:schemeClr w14:val="tx1"/>
            </w14:solidFill>
          </w14:textFill>
        </w:rPr>
      </w:pPr>
    </w:p>
    <w:p w14:paraId="55352FFE">
      <w:pPr>
        <w:spacing w:line="44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5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AA42917">
            <w:pPr>
              <w:spacing w:line="440" w:lineRule="atLeast"/>
              <w:rPr>
                <w:rFonts w:ascii="宋体" w:hAnsi="宋体"/>
                <w:b/>
                <w:color w:val="000000" w:themeColor="text1"/>
                <w:sz w:val="24"/>
                <w14:textFill>
                  <w14:solidFill>
                    <w14:schemeClr w14:val="tx1"/>
                  </w14:solidFill>
                </w14:textFill>
              </w:rPr>
            </w:pPr>
          </w:p>
          <w:p w14:paraId="383A5AE8">
            <w:pPr>
              <w:spacing w:line="440" w:lineRule="atLeast"/>
              <w:ind w:firstLine="361"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法定代表身份证扫描件粘帖处</w:t>
            </w:r>
          </w:p>
        </w:tc>
      </w:tr>
    </w:tbl>
    <w:p w14:paraId="4D80DF47">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法定代表人姓名：                                 </w:t>
      </w:r>
    </w:p>
    <w:p w14:paraId="094022B4">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p w14:paraId="35E290F9">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14:paraId="55250993">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14:paraId="61B5A2F0">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14:paraId="2A5969D8">
      <w:pPr>
        <w:spacing w:line="440" w:lineRule="atLeast"/>
        <w:rPr>
          <w:rFonts w:ascii="宋体" w:hAnsi="宋体"/>
          <w:b/>
          <w:color w:val="000000" w:themeColor="text1"/>
          <w:sz w:val="24"/>
          <w14:textFill>
            <w14:solidFill>
              <w14:schemeClr w14:val="tx1"/>
            </w14:solidFill>
          </w14:textFill>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F2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DAE10BD">
            <w:pPr>
              <w:spacing w:line="440" w:lineRule="atLeast"/>
              <w:rPr>
                <w:rFonts w:ascii="宋体" w:hAnsi="宋体"/>
                <w:b/>
                <w:color w:val="000000" w:themeColor="text1"/>
                <w:sz w:val="24"/>
                <w14:textFill>
                  <w14:solidFill>
                    <w14:schemeClr w14:val="tx1"/>
                  </w14:solidFill>
                </w14:textFill>
              </w:rPr>
            </w:pPr>
          </w:p>
          <w:p w14:paraId="78F3F671">
            <w:pPr>
              <w:spacing w:line="440" w:lineRule="atLeast"/>
              <w:ind w:firstLine="361"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全权代表身份证扫描件粘帖处</w:t>
            </w:r>
          </w:p>
        </w:tc>
      </w:tr>
    </w:tbl>
    <w:p w14:paraId="348E8D89">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全权代表姓名：       </w:t>
      </w:r>
    </w:p>
    <w:p w14:paraId="78D66649">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职务：                           </w:t>
      </w:r>
    </w:p>
    <w:p w14:paraId="297414D9">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邮箱：</w:t>
      </w:r>
    </w:p>
    <w:p w14:paraId="6D459BD4">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14:paraId="4537C251">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14:paraId="654B422D">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14:paraId="061FF82E">
      <w:pPr>
        <w:pStyle w:val="6"/>
        <w:spacing w:line="500" w:lineRule="exact"/>
        <w:ind w:left="2"/>
        <w:rPr>
          <w:rFonts w:ascii="宋体" w:hAnsi="宋体" w:eastAsia="宋体"/>
          <w:b/>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eastAsia="宋体"/>
          <w:b/>
          <w:color w:val="000000" w:themeColor="text1"/>
          <w:sz w:val="24"/>
          <w14:textFill>
            <w14:solidFill>
              <w14:schemeClr w14:val="tx1"/>
            </w14:solidFill>
          </w14:textFill>
        </w:rPr>
        <w:t>备注：手机号码和电子邮箱必须准确填写，开评标过程中须保持手机号码和电子邮箱畅通，随时进行项目开标情况通报及回执。</w:t>
      </w:r>
    </w:p>
    <w:p w14:paraId="6BED8AAB">
      <w:pPr>
        <w:pStyle w:val="51"/>
        <w:shd w:val="clear" w:color="auto" w:fill="FFFFFF"/>
        <w:spacing w:before="0" w:beforeAutospacing="0" w:after="0" w:afterAutospacing="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附件4：       </w:t>
      </w:r>
    </w:p>
    <w:p w14:paraId="1CC70A6C">
      <w:pPr>
        <w:pStyle w:val="51"/>
        <w:shd w:val="clear" w:color="auto" w:fill="FFFFFF"/>
        <w:spacing w:before="0" w:beforeAutospacing="0" w:after="0" w:afterAutospacing="0" w:line="360" w:lineRule="auto"/>
        <w:jc w:val="center"/>
        <w:rPr>
          <w:rFonts w:ascii="宋体" w:hAnsi="宋体"/>
          <w:b/>
          <w:bCs/>
          <w:color w:val="000000" w:themeColor="text1"/>
          <w:spacing w:val="2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供应商</w:t>
      </w:r>
      <w:r>
        <w:rPr>
          <w:rFonts w:hint="eastAsia" w:ascii="宋体" w:hAnsi="宋体"/>
          <w:b/>
          <w:bCs/>
          <w:color w:val="000000" w:themeColor="text1"/>
          <w:spacing w:val="21"/>
          <w:sz w:val="32"/>
          <w:szCs w:val="32"/>
          <w14:textFill>
            <w14:solidFill>
              <w14:schemeClr w14:val="tx1"/>
            </w14:solidFill>
          </w14:textFill>
        </w:rPr>
        <w:t>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182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3BF067C0">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企业名称</w:t>
            </w:r>
          </w:p>
        </w:tc>
        <w:tc>
          <w:tcPr>
            <w:tcW w:w="3979" w:type="dxa"/>
            <w:gridSpan w:val="6"/>
          </w:tcPr>
          <w:p w14:paraId="02A7A76A">
            <w:pPr>
              <w:pStyle w:val="51"/>
              <w:shd w:val="clear" w:color="auto" w:fill="FFFFFF"/>
              <w:spacing w:line="360" w:lineRule="auto"/>
              <w:rPr>
                <w:rFonts w:ascii="宋体" w:hAnsi="宋体"/>
                <w:bCs/>
                <w:color w:val="000000" w:themeColor="text1"/>
                <w14:textFill>
                  <w14:solidFill>
                    <w14:schemeClr w14:val="tx1"/>
                  </w14:solidFill>
                </w14:textFill>
              </w:rPr>
            </w:pPr>
          </w:p>
        </w:tc>
        <w:tc>
          <w:tcPr>
            <w:tcW w:w="2001" w:type="dxa"/>
            <w:gridSpan w:val="3"/>
          </w:tcPr>
          <w:p w14:paraId="58F0FDE9">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法人代表</w:t>
            </w:r>
          </w:p>
        </w:tc>
        <w:tc>
          <w:tcPr>
            <w:tcW w:w="2151" w:type="dxa"/>
            <w:gridSpan w:val="2"/>
          </w:tcPr>
          <w:p w14:paraId="1D6A23FF">
            <w:pPr>
              <w:pStyle w:val="51"/>
              <w:shd w:val="clear" w:color="auto" w:fill="FFFFFF"/>
              <w:spacing w:line="360" w:lineRule="auto"/>
              <w:rPr>
                <w:rFonts w:ascii="宋体" w:hAnsi="宋体"/>
                <w:bCs/>
                <w:color w:val="000000" w:themeColor="text1"/>
                <w14:textFill>
                  <w14:solidFill>
                    <w14:schemeClr w14:val="tx1"/>
                  </w14:solidFill>
                </w14:textFill>
              </w:rPr>
            </w:pPr>
          </w:p>
        </w:tc>
      </w:tr>
      <w:tr w14:paraId="72E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1F49F1C0">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地址</w:t>
            </w:r>
          </w:p>
        </w:tc>
        <w:tc>
          <w:tcPr>
            <w:tcW w:w="3979" w:type="dxa"/>
            <w:gridSpan w:val="6"/>
            <w:tcBorders>
              <w:bottom w:val="single" w:color="auto" w:sz="4" w:space="0"/>
            </w:tcBorders>
          </w:tcPr>
          <w:p w14:paraId="35D7DB34">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Pr>
          <w:p w14:paraId="48C59F41">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企业性质</w:t>
            </w:r>
          </w:p>
        </w:tc>
        <w:tc>
          <w:tcPr>
            <w:tcW w:w="2151" w:type="dxa"/>
            <w:gridSpan w:val="2"/>
          </w:tcPr>
          <w:p w14:paraId="7140542A">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r w14:paraId="49A4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5A8DA01F">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股东姓名</w:t>
            </w:r>
          </w:p>
        </w:tc>
        <w:tc>
          <w:tcPr>
            <w:tcW w:w="701" w:type="dxa"/>
            <w:tcBorders>
              <w:bottom w:val="single" w:color="auto" w:sz="4" w:space="0"/>
            </w:tcBorders>
          </w:tcPr>
          <w:p w14:paraId="646EF2C0">
            <w:pPr>
              <w:pStyle w:val="51"/>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p>
        </w:tc>
        <w:tc>
          <w:tcPr>
            <w:tcW w:w="910" w:type="dxa"/>
            <w:gridSpan w:val="2"/>
            <w:tcBorders>
              <w:bottom w:val="single" w:color="auto" w:sz="4" w:space="0"/>
            </w:tcBorders>
          </w:tcPr>
          <w:p w14:paraId="61F56026">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14:paraId="161B2842">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14:paraId="17391ED8">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Pr>
          <w:p w14:paraId="2C73ED66">
            <w:pPr>
              <w:pStyle w:val="51"/>
              <w:shd w:val="clear" w:color="auto" w:fill="FFFFFF"/>
              <w:spacing w:line="360" w:lineRule="auto"/>
              <w:ind w:left="107"/>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股东关系</w:t>
            </w:r>
          </w:p>
        </w:tc>
        <w:tc>
          <w:tcPr>
            <w:tcW w:w="2151" w:type="dxa"/>
            <w:gridSpan w:val="2"/>
          </w:tcPr>
          <w:p w14:paraId="347C9810">
            <w:pPr>
              <w:pStyle w:val="51"/>
              <w:shd w:val="clear" w:color="auto" w:fill="FFFFFF"/>
              <w:spacing w:line="360" w:lineRule="auto"/>
              <w:ind w:left="107"/>
              <w:rPr>
                <w:rFonts w:ascii="宋体" w:hAnsi="宋体"/>
                <w:bCs/>
                <w:color w:val="000000" w:themeColor="text1"/>
                <w:spacing w:val="16"/>
                <w14:textFill>
                  <w14:solidFill>
                    <w14:schemeClr w14:val="tx1"/>
                  </w14:solidFill>
                </w14:textFill>
              </w:rPr>
            </w:pPr>
          </w:p>
        </w:tc>
      </w:tr>
      <w:tr w14:paraId="1309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7FEE68AC">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2"/>
                <w14:textFill>
                  <w14:solidFill>
                    <w14:schemeClr w14:val="tx1"/>
                  </w14:solidFill>
                </w14:textFill>
              </w:rPr>
              <w:t>联系人</w:t>
            </w:r>
            <w:r>
              <w:rPr>
                <w:rFonts w:hint="eastAsia" w:ascii="宋体" w:hAnsi="宋体"/>
                <w:bCs/>
                <w:color w:val="000000" w:themeColor="text1"/>
                <w:spacing w:val="27"/>
                <w14:textFill>
                  <w14:solidFill>
                    <w14:schemeClr w14:val="tx1"/>
                  </w14:solidFill>
                </w14:textFill>
              </w:rPr>
              <w:t>姓名</w:t>
            </w:r>
          </w:p>
        </w:tc>
        <w:tc>
          <w:tcPr>
            <w:tcW w:w="701" w:type="dxa"/>
            <w:vMerge w:val="restart"/>
            <w:tcBorders>
              <w:top w:val="nil"/>
            </w:tcBorders>
          </w:tcPr>
          <w:p w14:paraId="2CAF266D">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14:paraId="67DE5BCC">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14:paraId="2547614D">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14:paraId="38DC5787">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vMerge w:val="restart"/>
          </w:tcPr>
          <w:p w14:paraId="3CDB0D28">
            <w:pPr>
              <w:pStyle w:val="51"/>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传真</w:t>
            </w:r>
          </w:p>
        </w:tc>
        <w:tc>
          <w:tcPr>
            <w:tcW w:w="2151" w:type="dxa"/>
            <w:gridSpan w:val="2"/>
            <w:vMerge w:val="restart"/>
          </w:tcPr>
          <w:p w14:paraId="1EB7199C">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r w14:paraId="22FC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640B8D4E">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vMerge w:val="continue"/>
            <w:tcBorders>
              <w:bottom w:val="single" w:color="auto" w:sz="4" w:space="0"/>
            </w:tcBorders>
          </w:tcPr>
          <w:p w14:paraId="27877A0B">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910" w:type="dxa"/>
            <w:gridSpan w:val="2"/>
            <w:tcBorders>
              <w:bottom w:val="single" w:color="auto" w:sz="4" w:space="0"/>
            </w:tcBorders>
          </w:tcPr>
          <w:p w14:paraId="53F8C7F2">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手机</w:t>
            </w:r>
          </w:p>
        </w:tc>
        <w:tc>
          <w:tcPr>
            <w:tcW w:w="2368" w:type="dxa"/>
            <w:gridSpan w:val="3"/>
            <w:tcBorders>
              <w:bottom w:val="single" w:color="auto" w:sz="4" w:space="0"/>
            </w:tcBorders>
          </w:tcPr>
          <w:p w14:paraId="508F52AA">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14:paraId="58ECDE17">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14:paraId="4504AC9D">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r w14:paraId="070B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02B0EFC4">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w:t>
            </w:r>
            <w:r>
              <w:rPr>
                <w:rFonts w:hint="eastAsia" w:ascii="宋体" w:hAnsi="宋体"/>
                <w:bCs/>
                <w:color w:val="000000" w:themeColor="text1"/>
                <w14:textFill>
                  <w14:solidFill>
                    <w14:schemeClr w14:val="tx1"/>
                  </w14:solidFill>
                </w14:textFill>
              </w:rPr>
              <w:t>.</w:t>
            </w:r>
          </w:p>
          <w:p w14:paraId="54D053D5">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企</w:t>
            </w:r>
          </w:p>
          <w:p w14:paraId="23B4C5CD">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业</w:t>
            </w:r>
          </w:p>
          <w:p w14:paraId="717C0EF1">
            <w:pPr>
              <w:pStyle w:val="51"/>
              <w:shd w:val="clear" w:color="auto" w:fill="FFFFFF"/>
              <w:spacing w:line="360" w:lineRule="auto"/>
              <w:ind w:left="107"/>
              <w:rPr>
                <w:rFonts w:ascii="宋体" w:hAnsi="宋体"/>
                <w:bCs/>
                <w:color w:val="000000" w:themeColor="text1"/>
                <w:spacing w:val="27"/>
                <w14:textFill>
                  <w14:solidFill>
                    <w14:schemeClr w14:val="tx1"/>
                  </w14:solidFill>
                </w14:textFill>
              </w:rPr>
            </w:pPr>
            <w:r>
              <w:rPr>
                <w:rFonts w:hint="eastAsia" w:ascii="宋体" w:hAnsi="宋体"/>
                <w:bCs/>
                <w:color w:val="000000" w:themeColor="text1"/>
                <w:spacing w:val="27"/>
                <w14:textFill>
                  <w14:solidFill>
                    <w14:schemeClr w14:val="tx1"/>
                  </w14:solidFill>
                </w14:textFill>
              </w:rPr>
              <w:t>概</w:t>
            </w:r>
          </w:p>
          <w:p w14:paraId="1173BC3B">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况</w:t>
            </w:r>
          </w:p>
        </w:tc>
        <w:tc>
          <w:tcPr>
            <w:tcW w:w="701" w:type="dxa"/>
            <w:tcBorders>
              <w:top w:val="single" w:color="auto" w:sz="4" w:space="0"/>
            </w:tcBorders>
          </w:tcPr>
          <w:p w14:paraId="2E4C333D">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14:paraId="65777AEF">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1163" w:type="dxa"/>
            <w:tcBorders>
              <w:top w:val="single" w:color="auto" w:sz="4" w:space="0"/>
            </w:tcBorders>
          </w:tcPr>
          <w:p w14:paraId="3A686588">
            <w:pPr>
              <w:pStyle w:val="51"/>
              <w:shd w:val="clear" w:color="auto" w:fill="FFFFFF"/>
              <w:spacing w:before="0" w:beforeAutospacing="0" w:after="0" w:afterAutospacing="0"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8"/>
                <w14:textFill>
                  <w14:solidFill>
                    <w14:schemeClr w14:val="tx1"/>
                  </w14:solidFill>
                </w14:textFill>
              </w:rPr>
              <w:t>具备大专以</w:t>
            </w:r>
            <w:r>
              <w:rPr>
                <w:rFonts w:hint="eastAsia" w:ascii="宋体" w:hAnsi="宋体"/>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14:paraId="249DBAAC">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14:paraId="4B84DA12">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14:paraId="50CA24FE">
            <w:pPr>
              <w:pStyle w:val="51"/>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Borders>
              <w:top w:val="single" w:color="auto" w:sz="4" w:space="0"/>
            </w:tcBorders>
          </w:tcPr>
          <w:p w14:paraId="0CBF3F58">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65"/>
                <w14:textFill>
                  <w14:solidFill>
                    <w14:schemeClr w14:val="tx1"/>
                  </w14:solidFill>
                </w14:textFill>
              </w:rPr>
              <w:t>国家授予技</w:t>
            </w:r>
            <w:r>
              <w:rPr>
                <w:rFonts w:hint="eastAsia" w:ascii="宋体" w:hAnsi="宋体"/>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14:paraId="68724117">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14:paraId="2DB3AC31">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r w14:paraId="40E3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6E466B37">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14:paraId="3F35835F">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占地面积</w:t>
            </w:r>
          </w:p>
        </w:tc>
        <w:tc>
          <w:tcPr>
            <w:tcW w:w="910" w:type="dxa"/>
            <w:gridSpan w:val="2"/>
          </w:tcPr>
          <w:p w14:paraId="026278D1">
            <w:pPr>
              <w:pStyle w:val="51"/>
              <w:shd w:val="clear" w:color="auto" w:fill="FFFFFF"/>
              <w:spacing w:line="360" w:lineRule="auto"/>
              <w:rPr>
                <w:rFonts w:ascii="宋体" w:hAnsi="宋体"/>
                <w:bCs/>
                <w:color w:val="000000" w:themeColor="text1"/>
                <w14:textFill>
                  <w14:solidFill>
                    <w14:schemeClr w14:val="tx1"/>
                  </w14:solidFill>
                </w14:textFill>
              </w:rPr>
            </w:pPr>
          </w:p>
        </w:tc>
        <w:tc>
          <w:tcPr>
            <w:tcW w:w="1163" w:type="dxa"/>
          </w:tcPr>
          <w:p w14:paraId="12AF2150">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建筑面积</w:t>
            </w:r>
          </w:p>
        </w:tc>
        <w:tc>
          <w:tcPr>
            <w:tcW w:w="1205" w:type="dxa"/>
            <w:gridSpan w:val="2"/>
          </w:tcPr>
          <w:p w14:paraId="51E3BF0A">
            <w:pPr>
              <w:pStyle w:val="51"/>
              <w:shd w:val="clear" w:color="auto" w:fill="FFFFFF"/>
              <w:spacing w:line="360" w:lineRule="auto"/>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平方米 </w:t>
            </w:r>
          </w:p>
          <w:p w14:paraId="7FD58D4B">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□自有□租賃</w:t>
            </w:r>
          </w:p>
        </w:tc>
        <w:tc>
          <w:tcPr>
            <w:tcW w:w="2001" w:type="dxa"/>
            <w:gridSpan w:val="3"/>
          </w:tcPr>
          <w:p w14:paraId="6F003536">
            <w:pPr>
              <w:pStyle w:val="51"/>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生产经营场所及场所的设施与设备</w:t>
            </w:r>
          </w:p>
        </w:tc>
        <w:tc>
          <w:tcPr>
            <w:tcW w:w="2151" w:type="dxa"/>
            <w:gridSpan w:val="2"/>
          </w:tcPr>
          <w:p w14:paraId="0C8E1ADB">
            <w:pPr>
              <w:pStyle w:val="51"/>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p>
        </w:tc>
      </w:tr>
      <w:tr w14:paraId="297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783D5C10">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14:paraId="0BC5E226">
            <w:pPr>
              <w:pStyle w:val="51"/>
              <w:shd w:val="clear" w:color="auto" w:fill="FFFFFF"/>
              <w:spacing w:line="360" w:lineRule="auto"/>
              <w:ind w:left="2"/>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注册资金</w:t>
            </w:r>
          </w:p>
        </w:tc>
        <w:tc>
          <w:tcPr>
            <w:tcW w:w="910" w:type="dxa"/>
            <w:gridSpan w:val="2"/>
          </w:tcPr>
          <w:p w14:paraId="20CD8370">
            <w:pPr>
              <w:pStyle w:val="51"/>
              <w:shd w:val="clear" w:color="auto" w:fill="FFFFFF"/>
              <w:spacing w:line="360" w:lineRule="auto"/>
              <w:ind w:left="2"/>
              <w:rPr>
                <w:rFonts w:ascii="宋体" w:hAnsi="宋体"/>
                <w:bCs/>
                <w:color w:val="000000" w:themeColor="text1"/>
                <w14:textFill>
                  <w14:solidFill>
                    <w14:schemeClr w14:val="tx1"/>
                  </w14:solidFill>
                </w14:textFill>
              </w:rPr>
            </w:pPr>
          </w:p>
        </w:tc>
        <w:tc>
          <w:tcPr>
            <w:tcW w:w="1163" w:type="dxa"/>
          </w:tcPr>
          <w:p w14:paraId="7C29F9D2">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注册发证</w:t>
            </w:r>
            <w:r>
              <w:rPr>
                <w:rFonts w:hint="eastAsia" w:ascii="宋体" w:hAnsi="宋体"/>
                <w:bCs/>
                <w:color w:val="000000" w:themeColor="text1"/>
                <w:spacing w:val="27"/>
                <w14:textFill>
                  <w14:solidFill>
                    <w14:schemeClr w14:val="tx1"/>
                  </w14:solidFill>
                </w14:textFill>
              </w:rPr>
              <w:t>机关</w:t>
            </w:r>
          </w:p>
        </w:tc>
        <w:tc>
          <w:tcPr>
            <w:tcW w:w="3206" w:type="dxa"/>
            <w:gridSpan w:val="5"/>
          </w:tcPr>
          <w:p w14:paraId="11CF8A4E">
            <w:pPr>
              <w:widowControl/>
              <w:spacing w:line="360" w:lineRule="auto"/>
              <w:jc w:val="left"/>
              <w:rPr>
                <w:rFonts w:ascii="宋体" w:hAnsi="宋体" w:cs="楷体_GB2312"/>
                <w:bCs/>
                <w:color w:val="000000" w:themeColor="text1"/>
                <w:kern w:val="0"/>
                <w:sz w:val="24"/>
                <w14:textFill>
                  <w14:solidFill>
                    <w14:schemeClr w14:val="tx1"/>
                  </w14:solidFill>
                </w14:textFill>
              </w:rPr>
            </w:pPr>
          </w:p>
          <w:p w14:paraId="20669163">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1218" w:type="dxa"/>
          </w:tcPr>
          <w:p w14:paraId="5C58B481">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公司成</w:t>
            </w:r>
            <w:r>
              <w:rPr>
                <w:rFonts w:hint="eastAsia" w:ascii="宋体" w:hAnsi="宋体"/>
                <w:bCs/>
                <w:color w:val="000000" w:themeColor="text1"/>
                <w:spacing w:val="12"/>
                <w14:textFill>
                  <w14:solidFill>
                    <w14:schemeClr w14:val="tx1"/>
                  </w14:solidFill>
                </w14:textFill>
              </w:rPr>
              <w:t>立时间</w:t>
            </w:r>
          </w:p>
        </w:tc>
        <w:tc>
          <w:tcPr>
            <w:tcW w:w="933" w:type="dxa"/>
          </w:tcPr>
          <w:p w14:paraId="38B9DDE7">
            <w:pPr>
              <w:pStyle w:val="51"/>
              <w:shd w:val="clear" w:color="auto" w:fill="FFFFFF"/>
              <w:spacing w:line="360" w:lineRule="auto"/>
              <w:ind w:left="107"/>
              <w:rPr>
                <w:rFonts w:ascii="宋体" w:hAnsi="宋体"/>
                <w:bCs/>
                <w:color w:val="000000" w:themeColor="text1"/>
                <w14:textFill>
                  <w14:solidFill>
                    <w14:schemeClr w14:val="tx1"/>
                  </w14:solidFill>
                </w14:textFill>
              </w:rPr>
            </w:pPr>
          </w:p>
        </w:tc>
      </w:tr>
      <w:tr w14:paraId="7EB4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040BBC95">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14:paraId="46024E42">
            <w:pPr>
              <w:pStyle w:val="51"/>
              <w:shd w:val="clear" w:color="auto" w:fill="FFFFFF"/>
              <w:spacing w:line="360" w:lineRule="auto"/>
              <w:ind w:left="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核准经营范围</w:t>
            </w:r>
          </w:p>
        </w:tc>
        <w:tc>
          <w:tcPr>
            <w:tcW w:w="7430" w:type="dxa"/>
            <w:gridSpan w:val="10"/>
          </w:tcPr>
          <w:p w14:paraId="1F182D45">
            <w:pPr>
              <w:pStyle w:val="51"/>
              <w:shd w:val="clear" w:color="auto" w:fill="FFFFFF"/>
              <w:spacing w:line="360" w:lineRule="auto"/>
              <w:ind w:left="107"/>
              <w:rPr>
                <w:rFonts w:ascii="宋体" w:hAnsi="宋体"/>
                <w:bCs/>
                <w:color w:val="000000" w:themeColor="text1"/>
                <w14:textFill>
                  <w14:solidFill>
                    <w14:schemeClr w14:val="tx1"/>
                  </w14:solidFill>
                </w14:textFill>
              </w:rPr>
            </w:pPr>
          </w:p>
        </w:tc>
      </w:tr>
      <w:tr w14:paraId="1465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78B55315">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8131" w:type="dxa"/>
            <w:gridSpan w:val="11"/>
          </w:tcPr>
          <w:p w14:paraId="7D007E75">
            <w:pPr>
              <w:pStyle w:val="51"/>
              <w:shd w:val="clear" w:color="auto" w:fill="FFFFFF"/>
              <w:spacing w:line="360" w:lineRule="auto"/>
              <w:rPr>
                <w:rFonts w:ascii="宋体" w:hAnsi="宋体"/>
                <w:bCs/>
                <w:color w:val="000000" w:themeColor="text1"/>
                <w:spacing w:val="13"/>
                <w14:textFill>
                  <w14:solidFill>
                    <w14:schemeClr w14:val="tx1"/>
                  </w14:solidFill>
                </w14:textFill>
              </w:rPr>
            </w:pPr>
            <w:r>
              <w:rPr>
                <w:rFonts w:hint="eastAsia" w:ascii="宋体" w:hAnsi="宋体"/>
                <w:bCs/>
                <w:color w:val="000000" w:themeColor="text1"/>
                <w:spacing w:val="13"/>
                <w14:textFill>
                  <w14:solidFill>
                    <w14:schemeClr w14:val="tx1"/>
                  </w14:solidFill>
                </w14:textFill>
              </w:rPr>
              <w:t>发展历程及主要荣誉：</w:t>
            </w:r>
          </w:p>
        </w:tc>
      </w:tr>
      <w:tr w14:paraId="1EA7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175875F0">
            <w:pPr>
              <w:pStyle w:val="51"/>
              <w:shd w:val="clear" w:color="auto" w:fill="FFFFFF"/>
              <w:spacing w:line="360" w:lineRule="auto"/>
              <w:ind w:left="107"/>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w:t>
            </w:r>
            <w:r>
              <w:rPr>
                <w:rFonts w:hint="eastAsia" w:ascii="宋体" w:hAnsi="宋体"/>
                <w:bCs/>
                <w:color w:val="000000" w:themeColor="text1"/>
                <w14:textFill>
                  <w14:solidFill>
                    <w14:schemeClr w14:val="tx1"/>
                  </w14:solidFill>
                </w14:textFill>
              </w:rPr>
              <w:t>．</w:t>
            </w:r>
          </w:p>
          <w:p w14:paraId="56533435">
            <w:pPr>
              <w:pStyle w:val="51"/>
              <w:shd w:val="clear" w:color="auto" w:fill="FFFFFF"/>
              <w:spacing w:line="360" w:lineRule="auto"/>
              <w:ind w:left="107"/>
              <w:rPr>
                <w:rFonts w:ascii="宋体" w:hAnsi="宋体"/>
                <w:bCs/>
                <w:color w:val="000000" w:themeColor="text1"/>
                <w:spacing w:val="16"/>
                <w14:textFill>
                  <w14:solidFill>
                    <w14:schemeClr w14:val="tx1"/>
                  </w14:solidFill>
                </w14:textFill>
              </w:rPr>
            </w:pPr>
            <w:r>
              <w:rPr>
                <w:rFonts w:hint="eastAsia" w:ascii="宋体" w:hAnsi="宋体"/>
                <w:bCs/>
                <w:color w:val="000000" w:themeColor="text1"/>
                <w14:textFill>
                  <w14:solidFill>
                    <w14:schemeClr w14:val="tx1"/>
                  </w14:solidFill>
                </w14:textFill>
              </w:rPr>
              <w:t>企</w:t>
            </w:r>
            <w:r>
              <w:rPr>
                <w:rFonts w:hint="eastAsia" w:ascii="宋体" w:hAnsi="宋体"/>
                <w:bCs/>
                <w:color w:val="000000" w:themeColor="text1"/>
                <w:spacing w:val="12"/>
                <w14:textFill>
                  <w14:solidFill>
                    <w14:schemeClr w14:val="tx1"/>
                  </w14:solidFill>
                </w14:textFill>
              </w:rPr>
              <w:t>业有关资质获证情况</w:t>
            </w:r>
          </w:p>
        </w:tc>
        <w:tc>
          <w:tcPr>
            <w:tcW w:w="1553" w:type="dxa"/>
            <w:gridSpan w:val="2"/>
            <w:vMerge w:val="restart"/>
          </w:tcPr>
          <w:p w14:paraId="59B4990D">
            <w:pPr>
              <w:pStyle w:val="51"/>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2"/>
                <w14:textFill>
                  <w14:solidFill>
                    <w14:schemeClr w14:val="tx1"/>
                  </w14:solidFill>
                </w14:textFill>
              </w:rPr>
              <w:t>产品生产许可证情况</w:t>
            </w:r>
            <w:r>
              <w:rPr>
                <w:rFonts w:hint="eastAsia" w:ascii="宋体" w:hAnsi="宋体"/>
                <w:bCs/>
                <w:color w:val="000000" w:themeColor="text1"/>
                <w:spacing w:val="41"/>
                <w14:textFill>
                  <w14:solidFill>
                    <w14:schemeClr w14:val="tx1"/>
                  </w14:solidFill>
                </w14:textFill>
              </w:rPr>
              <w:t>（对需获得生产许可证的</w:t>
            </w:r>
            <w:r>
              <w:rPr>
                <w:rFonts w:hint="eastAsia" w:ascii="宋体" w:hAnsi="宋体"/>
                <w:bCs/>
                <w:color w:val="000000" w:themeColor="text1"/>
                <w:spacing w:val="11"/>
                <w14:textFill>
                  <w14:solidFill>
                    <w14:schemeClr w14:val="tx1"/>
                  </w14:solidFill>
                </w14:textFill>
              </w:rPr>
              <w:t>产品要填写此栏）</w:t>
            </w:r>
          </w:p>
        </w:tc>
        <w:tc>
          <w:tcPr>
            <w:tcW w:w="1333" w:type="dxa"/>
            <w:gridSpan w:val="3"/>
          </w:tcPr>
          <w:p w14:paraId="795B5398">
            <w:pPr>
              <w:pStyle w:val="51"/>
              <w:shd w:val="clear" w:color="auto" w:fill="FFFFFF"/>
              <w:spacing w:line="360" w:lineRule="auto"/>
              <w:ind w:right="-78" w:rightChars="-37"/>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产品名称</w:t>
            </w:r>
          </w:p>
        </w:tc>
        <w:tc>
          <w:tcPr>
            <w:tcW w:w="1418" w:type="dxa"/>
            <w:gridSpan w:val="2"/>
          </w:tcPr>
          <w:p w14:paraId="5F1B71FE">
            <w:pPr>
              <w:pStyle w:val="51"/>
              <w:shd w:val="clear" w:color="auto" w:fill="FFFFFF"/>
              <w:spacing w:before="0" w:beforeAutospacing="0" w:after="0" w:afterAutospacing="0"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发证机关</w:t>
            </w:r>
          </w:p>
        </w:tc>
        <w:tc>
          <w:tcPr>
            <w:tcW w:w="1276" w:type="dxa"/>
          </w:tcPr>
          <w:p w14:paraId="05AA7E24">
            <w:pPr>
              <w:pStyle w:val="51"/>
              <w:shd w:val="clear" w:color="auto" w:fill="FFFFFF"/>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编号</w:t>
            </w:r>
          </w:p>
        </w:tc>
        <w:tc>
          <w:tcPr>
            <w:tcW w:w="1618" w:type="dxa"/>
            <w:gridSpan w:val="2"/>
          </w:tcPr>
          <w:p w14:paraId="142FC68F">
            <w:pPr>
              <w:pStyle w:val="51"/>
              <w:shd w:val="clear" w:color="auto" w:fill="FFFFFF"/>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发证时间</w:t>
            </w:r>
          </w:p>
        </w:tc>
        <w:tc>
          <w:tcPr>
            <w:tcW w:w="933" w:type="dxa"/>
          </w:tcPr>
          <w:p w14:paraId="6C6F799A">
            <w:pPr>
              <w:pStyle w:val="51"/>
              <w:shd w:val="clear" w:color="auto" w:fill="FFFFFF"/>
              <w:spacing w:before="0" w:beforeAutospacing="0" w:after="0" w:afterAutospacing="0"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期限</w:t>
            </w:r>
          </w:p>
        </w:tc>
      </w:tr>
      <w:tr w14:paraId="4172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32AD9C10">
            <w:pPr>
              <w:pStyle w:val="51"/>
              <w:shd w:val="clear" w:color="auto" w:fill="FFFFFF"/>
              <w:spacing w:line="360" w:lineRule="auto"/>
              <w:ind w:left="107"/>
              <w:rPr>
                <w:rFonts w:ascii="宋体" w:hAnsi="宋体"/>
                <w:bCs/>
                <w:color w:val="000000" w:themeColor="text1"/>
                <w14:textFill>
                  <w14:solidFill>
                    <w14:schemeClr w14:val="tx1"/>
                  </w14:solidFill>
                </w14:textFill>
              </w:rPr>
            </w:pPr>
          </w:p>
        </w:tc>
        <w:tc>
          <w:tcPr>
            <w:tcW w:w="1553" w:type="dxa"/>
            <w:gridSpan w:val="2"/>
            <w:vMerge w:val="continue"/>
          </w:tcPr>
          <w:p w14:paraId="0A299B15">
            <w:pPr>
              <w:pStyle w:val="51"/>
              <w:shd w:val="clear" w:color="auto" w:fill="FFFFFF"/>
              <w:spacing w:line="360" w:lineRule="auto"/>
              <w:rPr>
                <w:rFonts w:ascii="宋体" w:hAnsi="宋体"/>
                <w:bCs/>
                <w:color w:val="000000" w:themeColor="text1"/>
                <w14:textFill>
                  <w14:solidFill>
                    <w14:schemeClr w14:val="tx1"/>
                  </w14:solidFill>
                </w14:textFill>
              </w:rPr>
            </w:pPr>
          </w:p>
        </w:tc>
        <w:tc>
          <w:tcPr>
            <w:tcW w:w="1333" w:type="dxa"/>
            <w:gridSpan w:val="3"/>
          </w:tcPr>
          <w:p w14:paraId="6613C73A">
            <w:pPr>
              <w:pStyle w:val="51"/>
              <w:shd w:val="clear" w:color="auto" w:fill="FFFFFF"/>
              <w:spacing w:line="360" w:lineRule="auto"/>
              <w:rPr>
                <w:rFonts w:ascii="宋体" w:hAnsi="宋体"/>
                <w:bCs/>
                <w:color w:val="000000" w:themeColor="text1"/>
                <w14:textFill>
                  <w14:solidFill>
                    <w14:schemeClr w14:val="tx1"/>
                  </w14:solidFill>
                </w14:textFill>
              </w:rPr>
            </w:pPr>
          </w:p>
        </w:tc>
        <w:tc>
          <w:tcPr>
            <w:tcW w:w="1418" w:type="dxa"/>
            <w:gridSpan w:val="2"/>
          </w:tcPr>
          <w:p w14:paraId="51B751C9">
            <w:pPr>
              <w:pStyle w:val="51"/>
              <w:shd w:val="clear" w:color="auto" w:fill="FFFFFF"/>
              <w:spacing w:line="360" w:lineRule="auto"/>
              <w:rPr>
                <w:rFonts w:ascii="宋体" w:hAnsi="宋体"/>
                <w:bCs/>
                <w:color w:val="000000" w:themeColor="text1"/>
                <w14:textFill>
                  <w14:solidFill>
                    <w14:schemeClr w14:val="tx1"/>
                  </w14:solidFill>
                </w14:textFill>
              </w:rPr>
            </w:pPr>
          </w:p>
        </w:tc>
        <w:tc>
          <w:tcPr>
            <w:tcW w:w="1276" w:type="dxa"/>
          </w:tcPr>
          <w:p w14:paraId="20467F0D">
            <w:pPr>
              <w:pStyle w:val="51"/>
              <w:shd w:val="clear" w:color="auto" w:fill="FFFFFF"/>
              <w:spacing w:line="360" w:lineRule="auto"/>
              <w:rPr>
                <w:rFonts w:ascii="宋体" w:hAnsi="宋体"/>
                <w:bCs/>
                <w:color w:val="000000" w:themeColor="text1"/>
                <w14:textFill>
                  <w14:solidFill>
                    <w14:schemeClr w14:val="tx1"/>
                  </w14:solidFill>
                </w14:textFill>
              </w:rPr>
            </w:pPr>
          </w:p>
        </w:tc>
        <w:tc>
          <w:tcPr>
            <w:tcW w:w="2551" w:type="dxa"/>
            <w:gridSpan w:val="3"/>
          </w:tcPr>
          <w:p w14:paraId="6C33E72B">
            <w:pPr>
              <w:pStyle w:val="51"/>
              <w:shd w:val="clear" w:color="auto" w:fill="FFFFFF"/>
              <w:spacing w:line="360" w:lineRule="auto"/>
              <w:rPr>
                <w:rFonts w:ascii="宋体" w:hAnsi="宋体"/>
                <w:bCs/>
                <w:color w:val="000000" w:themeColor="text1"/>
                <w14:textFill>
                  <w14:solidFill>
                    <w14:schemeClr w14:val="tx1"/>
                  </w14:solidFill>
                </w14:textFill>
              </w:rPr>
            </w:pPr>
          </w:p>
        </w:tc>
      </w:tr>
      <w:tr w14:paraId="4D45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C465613">
            <w:pPr>
              <w:pStyle w:val="51"/>
              <w:shd w:val="clear" w:color="auto" w:fill="FFFFFF"/>
              <w:spacing w:line="360" w:lineRule="auto"/>
              <w:ind w:left="107"/>
              <w:rPr>
                <w:rFonts w:ascii="宋体" w:hAnsi="宋体"/>
                <w:bCs/>
                <w:color w:val="000000" w:themeColor="text1"/>
                <w:spacing w:val="16"/>
                <w14:textFill>
                  <w14:solidFill>
                    <w14:schemeClr w14:val="tx1"/>
                  </w14:solidFill>
                </w14:textFill>
              </w:rPr>
            </w:pPr>
          </w:p>
        </w:tc>
        <w:tc>
          <w:tcPr>
            <w:tcW w:w="1553" w:type="dxa"/>
            <w:gridSpan w:val="2"/>
          </w:tcPr>
          <w:p w14:paraId="4C15A6CD">
            <w:pPr>
              <w:pStyle w:val="51"/>
              <w:shd w:val="clear" w:color="auto" w:fill="FFFFFF"/>
              <w:spacing w:before="0" w:beforeAutospacing="0" w:after="0" w:afterAutospacing="0" w:line="360" w:lineRule="auto"/>
              <w:ind w:right="-107" w:rightChars="-51"/>
              <w:rPr>
                <w:rFonts w:ascii="宋体" w:hAnsi="宋体"/>
                <w:bCs/>
                <w:color w:val="000000" w:themeColor="text1"/>
                <w:spacing w:val="41"/>
                <w14:textFill>
                  <w14:solidFill>
                    <w14:schemeClr w14:val="tx1"/>
                  </w14:solidFill>
                </w14:textFill>
              </w:rPr>
            </w:pPr>
            <w:r>
              <w:rPr>
                <w:rFonts w:hint="eastAsia" w:ascii="宋体" w:hAnsi="宋体"/>
                <w:bCs/>
                <w:color w:val="000000" w:themeColor="text1"/>
                <w:spacing w:val="41"/>
                <w14:textFill>
                  <w14:solidFill>
                    <w14:schemeClr w14:val="tx1"/>
                  </w14:solidFill>
                </w14:textFill>
              </w:rPr>
              <w:t>企业通过质量体系、环保</w:t>
            </w:r>
            <w:r>
              <w:rPr>
                <w:rFonts w:hint="eastAsia" w:ascii="宋体" w:hAnsi="宋体"/>
                <w:bCs/>
                <w:color w:val="000000" w:themeColor="text1"/>
                <w:spacing w:val="11"/>
                <w14:textFill>
                  <w14:solidFill>
                    <w14:schemeClr w14:val="tx1"/>
                  </w14:solidFill>
                </w14:textFill>
              </w:rPr>
              <w:t>体系、计量等认证情况</w:t>
            </w:r>
          </w:p>
        </w:tc>
        <w:tc>
          <w:tcPr>
            <w:tcW w:w="6578" w:type="dxa"/>
            <w:gridSpan w:val="9"/>
          </w:tcPr>
          <w:p w14:paraId="370E6253">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r w14:paraId="256F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3390151">
            <w:pPr>
              <w:pStyle w:val="51"/>
              <w:shd w:val="clear" w:color="auto" w:fill="FFFFFF"/>
              <w:spacing w:line="360" w:lineRule="auto"/>
              <w:ind w:left="107"/>
              <w:rPr>
                <w:rFonts w:ascii="宋体" w:hAnsi="宋体"/>
                <w:bCs/>
                <w:color w:val="000000" w:themeColor="text1"/>
                <w:spacing w:val="27"/>
                <w14:textFill>
                  <w14:solidFill>
                    <w14:schemeClr w14:val="tx1"/>
                  </w14:solidFill>
                </w14:textFill>
              </w:rPr>
            </w:pPr>
          </w:p>
        </w:tc>
        <w:tc>
          <w:tcPr>
            <w:tcW w:w="1553" w:type="dxa"/>
            <w:gridSpan w:val="2"/>
          </w:tcPr>
          <w:p w14:paraId="76B12034">
            <w:pPr>
              <w:pStyle w:val="51"/>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0"/>
                <w14:textFill>
                  <w14:solidFill>
                    <w14:schemeClr w14:val="tx1"/>
                  </w14:solidFill>
                </w14:textFill>
              </w:rPr>
              <w:t>企业获得专利情况</w:t>
            </w:r>
          </w:p>
        </w:tc>
        <w:tc>
          <w:tcPr>
            <w:tcW w:w="6578" w:type="dxa"/>
            <w:gridSpan w:val="9"/>
          </w:tcPr>
          <w:p w14:paraId="708CBA50">
            <w:pPr>
              <w:pStyle w:val="51"/>
              <w:shd w:val="clear" w:color="auto" w:fill="FFFFFF"/>
              <w:spacing w:line="360" w:lineRule="auto"/>
              <w:rPr>
                <w:rFonts w:ascii="宋体" w:hAnsi="宋体"/>
                <w:bCs/>
                <w:color w:val="000000" w:themeColor="text1"/>
                <w:spacing w:val="16"/>
                <w14:textFill>
                  <w14:solidFill>
                    <w14:schemeClr w14:val="tx1"/>
                  </w14:solidFill>
                </w14:textFill>
              </w:rPr>
            </w:pPr>
          </w:p>
        </w:tc>
      </w:tr>
    </w:tbl>
    <w:p w14:paraId="338FD68F">
      <w:pPr>
        <w:pStyle w:val="51"/>
        <w:shd w:val="clear" w:color="auto" w:fill="FFFFFF"/>
        <w:spacing w:before="0" w:beforeAutospacing="0" w:after="0" w:afterAutospacing="0" w:line="360" w:lineRule="auto"/>
        <w:rPr>
          <w:rFonts w:ascii="宋体" w:hAnsi="宋体"/>
          <w:color w:val="000000" w:themeColor="text1"/>
          <w14:textFill>
            <w14:solidFill>
              <w14:schemeClr w14:val="tx1"/>
            </w14:solidFill>
          </w14:textFill>
        </w:rPr>
      </w:pPr>
    </w:p>
    <w:p w14:paraId="1F3B27F9">
      <w:pPr>
        <w:pStyle w:val="51"/>
        <w:shd w:val="clear" w:color="auto" w:fill="FFFFFF"/>
        <w:spacing w:before="0" w:beforeAutospacing="0" w:after="0" w:afterAutospacing="0"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要求：</w:t>
      </w:r>
    </w:p>
    <w:p w14:paraId="2F71DFB0">
      <w:pPr>
        <w:pStyle w:val="51"/>
        <w:shd w:val="clear" w:color="auto" w:fill="FFFFFF"/>
        <w:spacing w:before="0" w:beforeAutospacing="0" w:after="0" w:afterAutospacing="0"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1.姓名栏必须将所有股东都统计在内，若非股份公司此行（第三行）无需填写；</w:t>
      </w:r>
    </w:p>
    <w:p w14:paraId="1F0E1CB0">
      <w:pPr>
        <w:rPr>
          <w:rFonts w:ascii="宋体" w:hAnsi="宋体"/>
          <w:color w:val="000000" w:themeColor="text1"/>
          <w:sz w:val="24"/>
          <w14:textFill>
            <w14:solidFill>
              <w14:schemeClr w14:val="tx1"/>
            </w14:solidFill>
          </w14:textFill>
        </w:rPr>
      </w:pPr>
    </w:p>
    <w:p w14:paraId="4D2D1142">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63A42D44">
      <w:pPr>
        <w:ind w:left="420"/>
        <w:rPr>
          <w:rFonts w:ascii="宋体" w:hAnsi="宋体"/>
          <w:color w:val="000000" w:themeColor="text1"/>
          <w:sz w:val="24"/>
          <w14:textFill>
            <w14:solidFill>
              <w14:schemeClr w14:val="tx1"/>
            </w14:solidFill>
          </w14:textFill>
        </w:rPr>
      </w:pPr>
    </w:p>
    <w:p w14:paraId="0D98B105">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56956317">
      <w:pPr>
        <w:ind w:firstLine="435"/>
        <w:rPr>
          <w:rFonts w:ascii="宋体" w:hAnsi="宋体"/>
          <w:color w:val="000000" w:themeColor="text1"/>
          <w:sz w:val="24"/>
          <w14:textFill>
            <w14:solidFill>
              <w14:schemeClr w14:val="tx1"/>
            </w14:solidFill>
          </w14:textFill>
        </w:rPr>
      </w:pPr>
    </w:p>
    <w:p w14:paraId="03871D08">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0DFE4813">
      <w:pPr>
        <w:rPr>
          <w:rFonts w:ascii="宋体" w:hAnsi="宋体"/>
          <w:color w:val="000000" w:themeColor="text1"/>
          <w:sz w:val="24"/>
          <w14:textFill>
            <w14:solidFill>
              <w14:schemeClr w14:val="tx1"/>
            </w14:solidFill>
          </w14:textFill>
        </w:rPr>
      </w:pPr>
    </w:p>
    <w:p w14:paraId="6DD8C657">
      <w:pPr>
        <w:pStyle w:val="51"/>
        <w:shd w:val="clear" w:color="auto" w:fill="FFFFFF"/>
        <w:spacing w:before="0" w:beforeAutospacing="0" w:after="0" w:afterAutospacing="0"/>
        <w:ind w:firstLine="424" w:firstLineChars="177"/>
        <w:rPr>
          <w:rFonts w:ascii="宋体" w:hAnsi="宋体"/>
          <w:b/>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p>
    <w:p w14:paraId="4E6AAD7C">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68919857">
      <w:pPr>
        <w:snapToGrid w:val="0"/>
        <w:spacing w:before="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附件5：</w:t>
      </w:r>
    </w:p>
    <w:p w14:paraId="274CB44C">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14:paraId="10C8528E">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799"/>
        <w:gridCol w:w="1276"/>
        <w:gridCol w:w="1275"/>
        <w:gridCol w:w="1418"/>
        <w:gridCol w:w="2126"/>
      </w:tblGrid>
      <w:tr w14:paraId="68E77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65E3112E">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AF7EA38">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81333F3">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ascii="宋体" w:hAnsi="宋体"/>
                <w:b/>
                <w:color w:val="000000" w:themeColor="text1"/>
                <w:sz w:val="24"/>
                <w:szCs w:val="20"/>
                <w14:textFill>
                  <w14:solidFill>
                    <w14:schemeClr w14:val="tx1"/>
                  </w14:solidFill>
                </w14:textFill>
              </w:rPr>
              <w:t>拟任岗位</w:t>
            </w:r>
          </w:p>
        </w:tc>
        <w:tc>
          <w:tcPr>
            <w:tcW w:w="1276" w:type="dxa"/>
            <w:tcBorders>
              <w:top w:val="single" w:color="auto" w:sz="4" w:space="0"/>
              <w:left w:val="single" w:color="auto" w:sz="4" w:space="0"/>
              <w:bottom w:val="single" w:color="auto" w:sz="4" w:space="0"/>
              <w:right w:val="single" w:color="auto" w:sz="4" w:space="0"/>
            </w:tcBorders>
            <w:vAlign w:val="center"/>
          </w:tcPr>
          <w:p w14:paraId="79040EC7">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66B3C543">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3F6D426">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033EF4A6">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14:paraId="0D67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228397D">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E2D1C39">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58DE2C1C">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r>
              <w:rPr>
                <w:rFonts w:ascii="宋体" w:hAnsi="宋体"/>
                <w:b/>
                <w:color w:val="000000" w:themeColor="text1"/>
                <w:kern w:val="44"/>
                <w:sz w:val="24"/>
                <w:szCs w:val="20"/>
                <w14:textFill>
                  <w14:solidFill>
                    <w14:schemeClr w14:val="tx1"/>
                  </w14:solidFill>
                </w14:textFill>
              </w:rPr>
              <w:t>项目负责人</w:t>
            </w:r>
          </w:p>
        </w:tc>
        <w:tc>
          <w:tcPr>
            <w:tcW w:w="1276" w:type="dxa"/>
            <w:tcBorders>
              <w:top w:val="single" w:color="auto" w:sz="4" w:space="0"/>
              <w:left w:val="single" w:color="auto" w:sz="4" w:space="0"/>
              <w:bottom w:val="single" w:color="auto" w:sz="4" w:space="0"/>
              <w:right w:val="single" w:color="auto" w:sz="4" w:space="0"/>
            </w:tcBorders>
          </w:tcPr>
          <w:p w14:paraId="05E6AE0E">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6F4F5EA">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C5EFFBC">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365E90A">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14:paraId="147C0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A631E44">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54DB80E">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15FE8266">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090C6C1">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E00B508">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D779626">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866D60B">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14:paraId="5A87F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D8565F8">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6D29D9A">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0AC50F99">
            <w:pPr>
              <w:pStyle w:val="7"/>
              <w:snapToGrid w:val="0"/>
              <w:spacing w:before="156" w:beforeLines="50" w:after="50" w:line="360" w:lineRule="auto"/>
              <w:ind w:left="5250"/>
              <w:rPr>
                <w:rFonts w:ascii="宋体" w:hAnsi="宋体" w:eastAsia="宋体"/>
                <w:b/>
                <w:color w:val="000000" w:themeColor="text1"/>
                <w:kern w:val="4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003A495">
            <w:pPr>
              <w:pStyle w:val="7"/>
              <w:snapToGrid w:val="0"/>
              <w:spacing w:before="156" w:beforeLines="50" w:after="50" w:line="360" w:lineRule="auto"/>
              <w:ind w:left="5250"/>
              <w:rPr>
                <w:rFonts w:ascii="宋体" w:hAnsi="宋体" w:eastAsia="宋体"/>
                <w:b/>
                <w:color w:val="000000" w:themeColor="text1"/>
                <w:kern w:val="4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2A72163">
            <w:pPr>
              <w:pStyle w:val="7"/>
              <w:spacing w:line="360" w:lineRule="auto"/>
              <w:ind w:left="5250"/>
              <w:rPr>
                <w:rFonts w:ascii="宋体" w:hAnsi="宋体" w:eastAsia="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FD45D99">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0DB5CFD">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14:paraId="14EAA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DDCC0CC">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5036CC7">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0F34C3C3">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5E0B427">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4AA392A">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529DDC8">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85FD8F2">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14:paraId="1349D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56B1BA4">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1C0804D">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339304AA">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88C477C">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88C4E01">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3F574C5">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5F8B641">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14:paraId="5CE506D3">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325E88B9">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14:paraId="2FDCA757">
      <w:pPr>
        <w:pStyle w:val="48"/>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2.附人员证书原件的扫描件；</w:t>
      </w:r>
    </w:p>
    <w:p w14:paraId="5112B2D9">
      <w:pPr>
        <w:pStyle w:val="48"/>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3.出具上述人员在本单位服务的社保证明，按评标办法</w:t>
      </w:r>
      <w:r>
        <w:rPr>
          <w:rFonts w:ascii="宋体" w:hAnsi="宋体"/>
          <w:color w:val="000000" w:themeColor="text1"/>
          <w:szCs w:val="21"/>
          <w14:textFill>
            <w14:solidFill>
              <w14:schemeClr w14:val="tx1"/>
            </w14:solidFill>
          </w14:textFill>
        </w:rPr>
        <w:t>要求提供</w:t>
      </w:r>
      <w:r>
        <w:rPr>
          <w:rFonts w:hint="eastAsia" w:ascii="宋体" w:hAnsi="宋体"/>
          <w:color w:val="000000" w:themeColor="text1"/>
          <w:szCs w:val="21"/>
          <w14:textFill>
            <w14:solidFill>
              <w14:schemeClr w14:val="tx1"/>
            </w14:solidFill>
          </w14:textFill>
        </w:rPr>
        <w:t>。</w:t>
      </w:r>
    </w:p>
    <w:p w14:paraId="6E70CE6E">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14:paraId="17D6CC21">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16A866EE">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E29343E">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6068E044">
      <w:pPr>
        <w:spacing w:line="360" w:lineRule="auto"/>
        <w:ind w:firstLine="435"/>
        <w:rPr>
          <w:rFonts w:ascii="宋体" w:hAnsi="宋体"/>
          <w:color w:val="000000" w:themeColor="text1"/>
          <w:sz w:val="24"/>
          <w14:textFill>
            <w14:solidFill>
              <w14:schemeClr w14:val="tx1"/>
            </w14:solidFill>
          </w14:textFill>
        </w:rPr>
      </w:pPr>
    </w:p>
    <w:p w14:paraId="00240149">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13F85B5E">
      <w:pPr>
        <w:spacing w:line="360" w:lineRule="auto"/>
        <w:ind w:firstLine="435"/>
        <w:rPr>
          <w:rFonts w:ascii="宋体" w:hAnsi="宋体"/>
          <w:color w:val="000000" w:themeColor="text1"/>
          <w:sz w:val="24"/>
          <w14:textFill>
            <w14:solidFill>
              <w14:schemeClr w14:val="tx1"/>
            </w14:solidFill>
          </w14:textFill>
        </w:rPr>
      </w:pPr>
    </w:p>
    <w:p w14:paraId="702BF23D">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578D90B1">
      <w:pPr>
        <w:spacing w:line="360" w:lineRule="auto"/>
        <w:ind w:firstLine="993"/>
        <w:rPr>
          <w:rFonts w:ascii="宋体" w:hAnsi="宋体"/>
          <w:color w:val="000000" w:themeColor="text1"/>
          <w:sz w:val="24"/>
          <w14:textFill>
            <w14:solidFill>
              <w14:schemeClr w14:val="tx1"/>
            </w14:solidFill>
          </w14:textFill>
        </w:rPr>
      </w:pPr>
    </w:p>
    <w:p w14:paraId="3529A57F">
      <w:pPr>
        <w:snapToGrid w:val="0"/>
        <w:spacing w:before="50" w:after="50" w:line="360" w:lineRule="auto"/>
        <w:rPr>
          <w:rFonts w:ascii="宋体" w:hAnsi="宋体"/>
          <w:b/>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9C06BFB">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6</w:t>
      </w:r>
    </w:p>
    <w:p w14:paraId="53CBC192">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项目负责人简历表</w:t>
      </w:r>
    </w:p>
    <w:tbl>
      <w:tblPr>
        <w:tblStyle w:val="27"/>
        <w:tblW w:w="8345" w:type="dxa"/>
        <w:tblInd w:w="108" w:type="dxa"/>
        <w:tblLayout w:type="fixed"/>
        <w:tblCellMar>
          <w:top w:w="0" w:type="dxa"/>
          <w:left w:w="108" w:type="dxa"/>
          <w:bottom w:w="0" w:type="dxa"/>
          <w:right w:w="108" w:type="dxa"/>
        </w:tblCellMar>
      </w:tblPr>
      <w:tblGrid>
        <w:gridCol w:w="1083"/>
        <w:gridCol w:w="278"/>
        <w:gridCol w:w="661"/>
        <w:gridCol w:w="889"/>
        <w:gridCol w:w="1083"/>
        <w:gridCol w:w="1110"/>
        <w:gridCol w:w="929"/>
        <w:gridCol w:w="967"/>
        <w:gridCol w:w="1345"/>
      </w:tblGrid>
      <w:tr w14:paraId="1F74A39B">
        <w:tblPrEx>
          <w:tblCellMar>
            <w:top w:w="0" w:type="dxa"/>
            <w:left w:w="108" w:type="dxa"/>
            <w:bottom w:w="0" w:type="dxa"/>
            <w:right w:w="108" w:type="dxa"/>
          </w:tblCellMar>
        </w:tblPrEx>
        <w:trPr>
          <w:trHeight w:val="44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0185">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姓名</w:t>
            </w:r>
          </w:p>
        </w:tc>
        <w:tc>
          <w:tcPr>
            <w:tcW w:w="938" w:type="dxa"/>
            <w:gridSpan w:val="2"/>
            <w:tcBorders>
              <w:top w:val="single" w:color="000000" w:sz="4" w:space="0"/>
              <w:left w:val="nil"/>
              <w:bottom w:val="single" w:color="000000" w:sz="4" w:space="0"/>
              <w:right w:val="single" w:color="000000" w:sz="4" w:space="0"/>
            </w:tcBorders>
            <w:shd w:val="clear" w:color="auto" w:fill="FFFFFF"/>
            <w:vAlign w:val="center"/>
          </w:tcPr>
          <w:p w14:paraId="6C5D2C37">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889" w:type="dxa"/>
            <w:tcBorders>
              <w:top w:val="single" w:color="000000" w:sz="4" w:space="0"/>
              <w:left w:val="nil"/>
              <w:bottom w:val="single" w:color="000000" w:sz="4" w:space="0"/>
              <w:right w:val="single" w:color="000000" w:sz="4" w:space="0"/>
            </w:tcBorders>
            <w:shd w:val="clear" w:color="auto" w:fill="FFFFFF"/>
            <w:vAlign w:val="center"/>
          </w:tcPr>
          <w:p w14:paraId="2A76184C">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性别</w:t>
            </w:r>
          </w:p>
        </w:tc>
        <w:tc>
          <w:tcPr>
            <w:tcW w:w="1083" w:type="dxa"/>
            <w:tcBorders>
              <w:top w:val="single" w:color="000000" w:sz="4" w:space="0"/>
              <w:left w:val="nil"/>
              <w:bottom w:val="single" w:color="000000" w:sz="4" w:space="0"/>
              <w:right w:val="single" w:color="000000" w:sz="4" w:space="0"/>
            </w:tcBorders>
            <w:shd w:val="clear" w:color="auto" w:fill="FFFFFF"/>
            <w:vAlign w:val="center"/>
          </w:tcPr>
          <w:p w14:paraId="527003C4">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27E62F8">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年龄</w:t>
            </w:r>
          </w:p>
        </w:tc>
        <w:tc>
          <w:tcPr>
            <w:tcW w:w="928" w:type="dxa"/>
            <w:tcBorders>
              <w:top w:val="single" w:color="000000" w:sz="4" w:space="0"/>
              <w:left w:val="nil"/>
              <w:bottom w:val="single" w:color="000000" w:sz="4" w:space="0"/>
              <w:right w:val="single" w:color="000000" w:sz="4" w:space="0"/>
            </w:tcBorders>
            <w:shd w:val="clear" w:color="auto" w:fill="FFFFFF"/>
            <w:vAlign w:val="center"/>
          </w:tcPr>
          <w:p w14:paraId="14AB8CF5">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966" w:type="dxa"/>
            <w:tcBorders>
              <w:top w:val="single" w:color="000000" w:sz="4" w:space="0"/>
              <w:left w:val="nil"/>
              <w:bottom w:val="single" w:color="000000" w:sz="4" w:space="0"/>
              <w:right w:val="single" w:color="000000" w:sz="4" w:space="0"/>
            </w:tcBorders>
            <w:shd w:val="clear" w:color="auto" w:fill="FFFFFF"/>
            <w:vAlign w:val="center"/>
          </w:tcPr>
          <w:p w14:paraId="08380737">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专业</w:t>
            </w:r>
          </w:p>
        </w:tc>
        <w:tc>
          <w:tcPr>
            <w:tcW w:w="1345" w:type="dxa"/>
            <w:tcBorders>
              <w:top w:val="single" w:color="000000" w:sz="4" w:space="0"/>
              <w:left w:val="nil"/>
              <w:bottom w:val="single" w:color="000000" w:sz="4" w:space="0"/>
              <w:right w:val="single" w:color="000000" w:sz="4" w:space="0"/>
            </w:tcBorders>
            <w:shd w:val="clear" w:color="auto" w:fill="FFFFFF"/>
            <w:vAlign w:val="center"/>
          </w:tcPr>
          <w:p w14:paraId="208F0A24">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14:paraId="4640B40B">
        <w:tblPrEx>
          <w:tblCellMar>
            <w:top w:w="0" w:type="dxa"/>
            <w:left w:w="108" w:type="dxa"/>
            <w:bottom w:w="0" w:type="dxa"/>
            <w:right w:w="108" w:type="dxa"/>
          </w:tblCellMar>
        </w:tblPrEx>
        <w:trPr>
          <w:trHeight w:val="454"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A74C25">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资质等级</w:t>
            </w:r>
          </w:p>
        </w:tc>
        <w:tc>
          <w:tcPr>
            <w:tcW w:w="1550" w:type="dxa"/>
            <w:gridSpan w:val="2"/>
            <w:tcBorders>
              <w:top w:val="single" w:color="000000" w:sz="4" w:space="0"/>
              <w:left w:val="nil"/>
              <w:bottom w:val="single" w:color="000000" w:sz="4" w:space="0"/>
              <w:right w:val="single" w:color="000000" w:sz="4" w:space="0"/>
            </w:tcBorders>
            <w:shd w:val="clear" w:color="auto" w:fill="FFFFFF"/>
            <w:vAlign w:val="center"/>
          </w:tcPr>
          <w:p w14:paraId="7489F93A">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083" w:type="dxa"/>
            <w:tcBorders>
              <w:top w:val="nil"/>
              <w:left w:val="nil"/>
              <w:bottom w:val="single" w:color="000000" w:sz="4" w:space="0"/>
              <w:right w:val="single" w:color="000000" w:sz="4" w:space="0"/>
            </w:tcBorders>
            <w:shd w:val="clear" w:color="auto" w:fill="FFFFFF"/>
            <w:vAlign w:val="center"/>
          </w:tcPr>
          <w:p w14:paraId="42CE689F">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职称</w:t>
            </w:r>
          </w:p>
        </w:tc>
        <w:tc>
          <w:tcPr>
            <w:tcW w:w="2039" w:type="dxa"/>
            <w:gridSpan w:val="2"/>
            <w:tcBorders>
              <w:top w:val="single" w:color="000000" w:sz="4" w:space="0"/>
              <w:left w:val="nil"/>
              <w:bottom w:val="single" w:color="000000" w:sz="4" w:space="0"/>
              <w:right w:val="single" w:color="000000" w:sz="4" w:space="0"/>
            </w:tcBorders>
            <w:shd w:val="clear" w:color="auto" w:fill="FFFFFF"/>
            <w:vAlign w:val="center"/>
          </w:tcPr>
          <w:p w14:paraId="1243EF35">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966" w:type="dxa"/>
            <w:tcBorders>
              <w:top w:val="nil"/>
              <w:left w:val="nil"/>
              <w:bottom w:val="single" w:color="000000" w:sz="4" w:space="0"/>
              <w:right w:val="single" w:color="000000" w:sz="4" w:space="0"/>
            </w:tcBorders>
            <w:shd w:val="clear" w:color="auto" w:fill="FFFFFF"/>
            <w:vAlign w:val="center"/>
          </w:tcPr>
          <w:p w14:paraId="463A75B5">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学历</w:t>
            </w:r>
          </w:p>
        </w:tc>
        <w:tc>
          <w:tcPr>
            <w:tcW w:w="1345" w:type="dxa"/>
            <w:tcBorders>
              <w:top w:val="nil"/>
              <w:left w:val="nil"/>
              <w:bottom w:val="single" w:color="000000" w:sz="4" w:space="0"/>
              <w:right w:val="single" w:color="000000" w:sz="4" w:space="0"/>
            </w:tcBorders>
            <w:shd w:val="clear" w:color="auto" w:fill="FFFFFF"/>
            <w:vAlign w:val="center"/>
          </w:tcPr>
          <w:p w14:paraId="4BBEF6BE">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14:paraId="3EF75DD5">
        <w:tblPrEx>
          <w:tblCellMar>
            <w:top w:w="0" w:type="dxa"/>
            <w:left w:w="108" w:type="dxa"/>
            <w:bottom w:w="0" w:type="dxa"/>
            <w:right w:w="108" w:type="dxa"/>
          </w:tblCellMar>
        </w:tblPrEx>
        <w:trPr>
          <w:trHeight w:val="465" w:hRule="atLeast"/>
        </w:trPr>
        <w:tc>
          <w:tcPr>
            <w:tcW w:w="20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50406">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vAlign w:val="center"/>
          </w:tcPr>
          <w:p w14:paraId="6ED35A4C">
            <w:pPr>
              <w:widowControl/>
              <w:ind w:leftChars="-137" w:hanging="288" w:hangingChars="120"/>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3006" w:type="dxa"/>
            <w:gridSpan w:val="3"/>
            <w:tcBorders>
              <w:top w:val="single" w:color="000000" w:sz="4" w:space="0"/>
              <w:left w:val="nil"/>
              <w:bottom w:val="single" w:color="000000" w:sz="4" w:space="0"/>
              <w:right w:val="single" w:color="000000" w:sz="4" w:space="0"/>
            </w:tcBorders>
            <w:shd w:val="clear" w:color="auto" w:fill="FFFFFF"/>
            <w:vAlign w:val="center"/>
          </w:tcPr>
          <w:p w14:paraId="255EC536">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从事项目负责人年限</w:t>
            </w:r>
          </w:p>
        </w:tc>
        <w:tc>
          <w:tcPr>
            <w:tcW w:w="1345" w:type="dxa"/>
            <w:tcBorders>
              <w:top w:val="nil"/>
              <w:left w:val="nil"/>
              <w:bottom w:val="single" w:color="000000" w:sz="4" w:space="0"/>
              <w:right w:val="single" w:color="000000" w:sz="4" w:space="0"/>
            </w:tcBorders>
            <w:shd w:val="clear" w:color="auto" w:fill="FFFFFF"/>
            <w:vAlign w:val="center"/>
          </w:tcPr>
          <w:p w14:paraId="19196913">
            <w:pPr>
              <w:widowControl/>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14:paraId="1A3D846D">
        <w:tblPrEx>
          <w:tblCellMar>
            <w:top w:w="0" w:type="dxa"/>
            <w:left w:w="108" w:type="dxa"/>
            <w:bottom w:w="0" w:type="dxa"/>
            <w:right w:w="108" w:type="dxa"/>
          </w:tblCellMar>
        </w:tblPrEx>
        <w:trPr>
          <w:trHeight w:val="476"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72C5E">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证书号</w:t>
            </w:r>
          </w:p>
        </w:tc>
        <w:tc>
          <w:tcPr>
            <w:tcW w:w="2633" w:type="dxa"/>
            <w:gridSpan w:val="3"/>
            <w:tcBorders>
              <w:top w:val="single" w:color="000000" w:sz="4" w:space="0"/>
              <w:left w:val="nil"/>
              <w:bottom w:val="single" w:color="000000" w:sz="4" w:space="0"/>
              <w:right w:val="single" w:color="000000" w:sz="4" w:space="0"/>
            </w:tcBorders>
            <w:shd w:val="clear" w:color="auto" w:fill="FFFFFF"/>
            <w:vAlign w:val="center"/>
          </w:tcPr>
          <w:p w14:paraId="5E3F5023">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110" w:type="dxa"/>
            <w:tcBorders>
              <w:top w:val="nil"/>
              <w:left w:val="nil"/>
              <w:bottom w:val="single" w:color="000000" w:sz="4" w:space="0"/>
              <w:right w:val="single" w:color="000000" w:sz="4" w:space="0"/>
            </w:tcBorders>
            <w:shd w:val="clear" w:color="auto" w:fill="FFFFFF"/>
            <w:vAlign w:val="center"/>
          </w:tcPr>
          <w:p w14:paraId="71B397E7">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身份证</w:t>
            </w:r>
          </w:p>
        </w:tc>
        <w:tc>
          <w:tcPr>
            <w:tcW w:w="3240" w:type="dxa"/>
            <w:gridSpan w:val="3"/>
            <w:tcBorders>
              <w:top w:val="single" w:color="000000" w:sz="4" w:space="0"/>
              <w:left w:val="nil"/>
              <w:bottom w:val="single" w:color="000000" w:sz="4" w:space="0"/>
              <w:right w:val="single" w:color="000000" w:sz="4" w:space="0"/>
            </w:tcBorders>
            <w:shd w:val="clear" w:color="auto" w:fill="FFFFFF"/>
            <w:vAlign w:val="center"/>
          </w:tcPr>
          <w:p w14:paraId="0E048393">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14:paraId="2A30E7CB">
        <w:tblPrEx>
          <w:tblCellMar>
            <w:top w:w="0" w:type="dxa"/>
            <w:left w:w="108" w:type="dxa"/>
            <w:bottom w:w="0" w:type="dxa"/>
            <w:right w:w="108" w:type="dxa"/>
          </w:tblCellMar>
        </w:tblPrEx>
        <w:trPr>
          <w:trHeight w:val="6881" w:hRule="atLeast"/>
        </w:trPr>
        <w:tc>
          <w:tcPr>
            <w:tcW w:w="1083" w:type="dxa"/>
            <w:vMerge w:val="restart"/>
            <w:tcBorders>
              <w:top w:val="nil"/>
              <w:left w:val="single" w:color="000000" w:sz="4" w:space="0"/>
              <w:bottom w:val="single" w:color="000000" w:sz="4" w:space="0"/>
              <w:right w:val="single" w:color="000000" w:sz="4" w:space="0"/>
            </w:tcBorders>
            <w:shd w:val="clear" w:color="auto" w:fill="FFFFFF"/>
            <w:vAlign w:val="center"/>
          </w:tcPr>
          <w:p w14:paraId="7E348C03">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简</w:t>
            </w:r>
          </w:p>
          <w:p w14:paraId="3A213CA9">
            <w:pPr>
              <w:widowControl/>
              <w:jc w:val="center"/>
              <w:rPr>
                <w:rFonts w:cs="宋体"/>
                <w:color w:val="000000" w:themeColor="text1"/>
                <w:kern w:val="0"/>
                <w:sz w:val="24"/>
                <w14:textFill>
                  <w14:solidFill>
                    <w14:schemeClr w14:val="tx1"/>
                  </w14:solidFill>
                </w14:textFill>
              </w:rPr>
            </w:pPr>
          </w:p>
          <w:p w14:paraId="246E67DA">
            <w:pPr>
              <w:widowControl/>
              <w:jc w:val="center"/>
              <w:rPr>
                <w:rFonts w:cs="宋体"/>
                <w:color w:val="000000" w:themeColor="text1"/>
                <w:kern w:val="0"/>
                <w:sz w:val="24"/>
                <w14:textFill>
                  <w14:solidFill>
                    <w14:schemeClr w14:val="tx1"/>
                  </w14:solidFill>
                </w14:textFill>
              </w:rPr>
            </w:pPr>
          </w:p>
          <w:p w14:paraId="527877A4">
            <w:pPr>
              <w:widowControl/>
              <w:jc w:val="center"/>
              <w:rPr>
                <w:rFonts w:cs="宋体"/>
                <w:color w:val="000000" w:themeColor="text1"/>
                <w:kern w:val="0"/>
                <w:sz w:val="24"/>
                <w14:textFill>
                  <w14:solidFill>
                    <w14:schemeClr w14:val="tx1"/>
                  </w14:solidFill>
                </w14:textFill>
              </w:rPr>
            </w:pPr>
          </w:p>
          <w:p w14:paraId="2E69847E">
            <w:pPr>
              <w:widowControl/>
              <w:jc w:val="center"/>
              <w:rPr>
                <w:rFonts w:cs="宋体"/>
                <w:color w:val="000000" w:themeColor="text1"/>
                <w:kern w:val="0"/>
                <w:sz w:val="24"/>
                <w14:textFill>
                  <w14:solidFill>
                    <w14:schemeClr w14:val="tx1"/>
                  </w14:solidFill>
                </w14:textFill>
              </w:rPr>
            </w:pPr>
          </w:p>
          <w:p w14:paraId="2E59D561">
            <w:pPr>
              <w:widowControl/>
              <w:jc w:val="center"/>
              <w:rPr>
                <w:rFonts w:cs="宋体"/>
                <w:color w:val="000000" w:themeColor="text1"/>
                <w:kern w:val="0"/>
                <w:sz w:val="24"/>
                <w14:textFill>
                  <w14:solidFill>
                    <w14:schemeClr w14:val="tx1"/>
                  </w14:solidFill>
                </w14:textFill>
              </w:rPr>
            </w:pPr>
          </w:p>
          <w:p w14:paraId="0717E1E6">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历</w:t>
            </w:r>
          </w:p>
        </w:tc>
        <w:tc>
          <w:tcPr>
            <w:tcW w:w="726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6EEAEA4F">
            <w:pPr>
              <w:widowControl/>
              <w:jc w:val="left"/>
              <w:rPr>
                <w:rFonts w:cs="宋体"/>
                <w:color w:val="000000" w:themeColor="text1"/>
                <w:kern w:val="0"/>
                <w:sz w:val="24"/>
                <w14:textFill>
                  <w14:solidFill>
                    <w14:schemeClr w14:val="tx1"/>
                  </w14:solidFill>
                </w14:textFill>
              </w:rPr>
            </w:pPr>
          </w:p>
        </w:tc>
      </w:tr>
      <w:tr w14:paraId="35357701">
        <w:tblPrEx>
          <w:tblCellMar>
            <w:top w:w="0" w:type="dxa"/>
            <w:left w:w="108" w:type="dxa"/>
            <w:bottom w:w="0" w:type="dxa"/>
            <w:right w:w="108"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vAlign w:val="center"/>
          </w:tcPr>
          <w:p w14:paraId="4EC0F22F">
            <w:pPr>
              <w:widowControl/>
              <w:jc w:val="left"/>
              <w:rPr>
                <w:rFonts w:cs="宋体"/>
                <w:color w:val="000000" w:themeColor="text1"/>
                <w:kern w:val="0"/>
                <w:sz w:val="22"/>
                <w:szCs w:val="22"/>
                <w14:textFill>
                  <w14:solidFill>
                    <w14:schemeClr w14:val="tx1"/>
                  </w14:solidFill>
                </w14:textFill>
              </w:rPr>
            </w:pPr>
          </w:p>
        </w:tc>
        <w:tc>
          <w:tcPr>
            <w:tcW w:w="726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0CBFE20">
            <w:pPr>
              <w:widowControl/>
              <w:jc w:val="left"/>
              <w:rPr>
                <w:rFonts w:cs="宋体"/>
                <w:color w:val="000000" w:themeColor="text1"/>
                <w:kern w:val="0"/>
                <w:sz w:val="22"/>
                <w:szCs w:val="22"/>
                <w14:textFill>
                  <w14:solidFill>
                    <w14:schemeClr w14:val="tx1"/>
                  </w14:solidFill>
                </w14:textFill>
              </w:rPr>
            </w:pPr>
          </w:p>
        </w:tc>
      </w:tr>
    </w:tbl>
    <w:p w14:paraId="0FC7609F">
      <w:pPr>
        <w:ind w:firstLine="424" w:firstLineChars="177"/>
        <w:rPr>
          <w:rFonts w:ascii="宋体" w:hAnsi="宋体"/>
          <w:color w:val="000000" w:themeColor="text1"/>
          <w:sz w:val="24"/>
          <w14:textFill>
            <w14:solidFill>
              <w14:schemeClr w14:val="tx1"/>
            </w14:solidFill>
          </w14:textFill>
        </w:rPr>
      </w:pPr>
    </w:p>
    <w:p w14:paraId="39DE0A94">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4005C05A">
      <w:pPr>
        <w:ind w:left="420"/>
        <w:rPr>
          <w:rFonts w:ascii="宋体" w:hAnsi="宋体"/>
          <w:color w:val="000000" w:themeColor="text1"/>
          <w:sz w:val="24"/>
          <w14:textFill>
            <w14:solidFill>
              <w14:schemeClr w14:val="tx1"/>
            </w14:solidFill>
          </w14:textFill>
        </w:rPr>
      </w:pPr>
    </w:p>
    <w:p w14:paraId="4F10894D">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1723D55D">
      <w:pPr>
        <w:spacing w:line="360" w:lineRule="exact"/>
        <w:rPr>
          <w:rFonts w:ascii="宋体" w:hAnsi="宋体"/>
          <w:color w:val="000000" w:themeColor="text1"/>
          <w:sz w:val="24"/>
          <w14:textFill>
            <w14:solidFill>
              <w14:schemeClr w14:val="tx1"/>
            </w14:solidFill>
          </w14:textFill>
        </w:rPr>
      </w:pPr>
    </w:p>
    <w:p w14:paraId="16EFF983">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4D99BA6B">
      <w:pPr>
        <w:spacing w:line="360" w:lineRule="auto"/>
        <w:rPr>
          <w:rFonts w:ascii="宋体" w:hAnsi="宋体"/>
          <w:color w:val="000000" w:themeColor="text1"/>
          <w:sz w:val="24"/>
          <w14:textFill>
            <w14:solidFill>
              <w14:schemeClr w14:val="tx1"/>
            </w14:solidFill>
          </w14:textFill>
        </w:rPr>
      </w:pPr>
    </w:p>
    <w:p w14:paraId="565E13E6">
      <w:pPr>
        <w:spacing w:line="360" w:lineRule="auto"/>
        <w:ind w:left="420"/>
        <w:rPr>
          <w:rFonts w:ascii="宋体" w:hAnsi="宋体"/>
          <w:color w:val="000000" w:themeColor="text1"/>
          <w:sz w:val="24"/>
          <w14:textFill>
            <w14:solidFill>
              <w14:schemeClr w14:val="tx1"/>
            </w14:solidFill>
          </w14:textFill>
        </w:rPr>
      </w:pPr>
    </w:p>
    <w:p w14:paraId="7AFF64A4">
      <w:pPr>
        <w:pStyle w:val="6"/>
        <w:adjustRightInd w:val="0"/>
        <w:snapToGrid w:val="0"/>
        <w:spacing w:line="360" w:lineRule="auto"/>
        <w:jc w:val="center"/>
        <w:rPr>
          <w:rFonts w:ascii="宋体" w:hAnsi="宋体" w:eastAsia="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348B651">
      <w:pPr>
        <w:ind w:right="-296" w:rightChars="-141"/>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附件7：</w:t>
      </w:r>
    </w:p>
    <w:p w14:paraId="06955FF9">
      <w:pPr>
        <w:ind w:right="-296" w:rightChars="-141"/>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作业机械、设备一览表</w:t>
      </w:r>
    </w:p>
    <w:tbl>
      <w:tblPr>
        <w:tblStyle w:val="2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34B8CCF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DB1A">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239EFD2">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E64FC42">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B5CCEFB">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4183C2">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640D732">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27C796">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备注</w:t>
            </w:r>
          </w:p>
        </w:tc>
      </w:tr>
      <w:tr w14:paraId="6C53280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4B74">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0F5A749">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B7D7987">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6797DD2">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8F7AFA">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2142CE4">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EF53860">
            <w:pPr>
              <w:widowControl/>
              <w:jc w:val="center"/>
              <w:rPr>
                <w:rFonts w:cs="宋体"/>
                <w:color w:val="000000" w:themeColor="text1"/>
                <w:kern w:val="0"/>
                <w:sz w:val="22"/>
                <w:szCs w:val="22"/>
                <w14:textFill>
                  <w14:solidFill>
                    <w14:schemeClr w14:val="tx1"/>
                  </w14:solidFill>
                </w14:textFill>
              </w:rPr>
            </w:pPr>
          </w:p>
        </w:tc>
      </w:tr>
      <w:tr w14:paraId="2B42ECE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ECDE">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D41AEA">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6A2C4D9">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ECE72A">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6C300C2">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78F4C97">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939CDC9">
            <w:pPr>
              <w:widowControl/>
              <w:jc w:val="center"/>
              <w:rPr>
                <w:rFonts w:cs="宋体"/>
                <w:color w:val="000000" w:themeColor="text1"/>
                <w:kern w:val="0"/>
                <w:sz w:val="22"/>
                <w:szCs w:val="22"/>
                <w14:textFill>
                  <w14:solidFill>
                    <w14:schemeClr w14:val="tx1"/>
                  </w14:solidFill>
                </w14:textFill>
              </w:rPr>
            </w:pPr>
          </w:p>
        </w:tc>
      </w:tr>
      <w:tr w14:paraId="056C7FE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915A">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D427CCC">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7CED2B5">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E1EE5B6">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8F5367">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5D5D72E">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E6FFAB6">
            <w:pPr>
              <w:widowControl/>
              <w:jc w:val="center"/>
              <w:rPr>
                <w:rFonts w:cs="宋体"/>
                <w:color w:val="000000" w:themeColor="text1"/>
                <w:kern w:val="0"/>
                <w:sz w:val="22"/>
                <w:szCs w:val="22"/>
                <w14:textFill>
                  <w14:solidFill>
                    <w14:schemeClr w14:val="tx1"/>
                  </w14:solidFill>
                </w14:textFill>
              </w:rPr>
            </w:pPr>
          </w:p>
        </w:tc>
      </w:tr>
      <w:tr w14:paraId="073331B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3209">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C5D081">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35169CC">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D1A1C2">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00FF5F">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2077742">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C9325C4">
            <w:pPr>
              <w:widowControl/>
              <w:jc w:val="center"/>
              <w:rPr>
                <w:rFonts w:cs="宋体"/>
                <w:color w:val="000000" w:themeColor="text1"/>
                <w:kern w:val="0"/>
                <w:sz w:val="22"/>
                <w:szCs w:val="22"/>
                <w14:textFill>
                  <w14:solidFill>
                    <w14:schemeClr w14:val="tx1"/>
                  </w14:solidFill>
                </w14:textFill>
              </w:rPr>
            </w:pPr>
          </w:p>
        </w:tc>
      </w:tr>
      <w:tr w14:paraId="26B69D9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DF0C">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113F2B">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5F01138">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1D6C5C6">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B101FB2">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59D1AAE">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AB49D8E">
            <w:pPr>
              <w:widowControl/>
              <w:jc w:val="center"/>
              <w:rPr>
                <w:rFonts w:cs="宋体"/>
                <w:color w:val="000000" w:themeColor="text1"/>
                <w:kern w:val="0"/>
                <w:sz w:val="22"/>
                <w:szCs w:val="22"/>
                <w14:textFill>
                  <w14:solidFill>
                    <w14:schemeClr w14:val="tx1"/>
                  </w14:solidFill>
                </w14:textFill>
              </w:rPr>
            </w:pPr>
          </w:p>
        </w:tc>
      </w:tr>
      <w:tr w14:paraId="57D88E5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D1A1">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5124ED">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23102A">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1F1236">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ABF027">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E90D8A">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CAA11E0">
            <w:pPr>
              <w:widowControl/>
              <w:jc w:val="center"/>
              <w:rPr>
                <w:rFonts w:cs="宋体"/>
                <w:color w:val="000000" w:themeColor="text1"/>
                <w:kern w:val="0"/>
                <w:sz w:val="22"/>
                <w:szCs w:val="22"/>
                <w14:textFill>
                  <w14:solidFill>
                    <w14:schemeClr w14:val="tx1"/>
                  </w14:solidFill>
                </w14:textFill>
              </w:rPr>
            </w:pPr>
          </w:p>
        </w:tc>
      </w:tr>
      <w:tr w14:paraId="01B9AD0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D3D6">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036B98D">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8CD79F0">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2AB2D4">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494DD9">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3BEB74">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96E77A3">
            <w:pPr>
              <w:widowControl/>
              <w:jc w:val="center"/>
              <w:rPr>
                <w:rFonts w:cs="宋体"/>
                <w:color w:val="000000" w:themeColor="text1"/>
                <w:kern w:val="0"/>
                <w:sz w:val="22"/>
                <w:szCs w:val="22"/>
                <w14:textFill>
                  <w14:solidFill>
                    <w14:schemeClr w14:val="tx1"/>
                  </w14:solidFill>
                </w14:textFill>
              </w:rPr>
            </w:pPr>
          </w:p>
        </w:tc>
      </w:tr>
      <w:tr w14:paraId="2C0A71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DFC2">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6AD5D7">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7E6AE4E">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0615A96">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246F012">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50F30DD">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E26AD1C">
            <w:pPr>
              <w:widowControl/>
              <w:jc w:val="center"/>
              <w:rPr>
                <w:rFonts w:cs="宋体"/>
                <w:color w:val="000000" w:themeColor="text1"/>
                <w:kern w:val="0"/>
                <w:sz w:val="22"/>
                <w:szCs w:val="22"/>
                <w14:textFill>
                  <w14:solidFill>
                    <w14:schemeClr w14:val="tx1"/>
                  </w14:solidFill>
                </w14:textFill>
              </w:rPr>
            </w:pPr>
          </w:p>
        </w:tc>
      </w:tr>
      <w:tr w14:paraId="0F6C510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15AB">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CFFFBF5">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F4FD6F">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BA4E90">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A2434D">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33BC4C">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E244DC3">
            <w:pPr>
              <w:widowControl/>
              <w:jc w:val="center"/>
              <w:rPr>
                <w:rFonts w:cs="宋体"/>
                <w:color w:val="000000" w:themeColor="text1"/>
                <w:kern w:val="0"/>
                <w:sz w:val="22"/>
                <w:szCs w:val="22"/>
                <w14:textFill>
                  <w14:solidFill>
                    <w14:schemeClr w14:val="tx1"/>
                  </w14:solidFill>
                </w14:textFill>
              </w:rPr>
            </w:pPr>
          </w:p>
        </w:tc>
      </w:tr>
      <w:tr w14:paraId="5532954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EA99">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BE6B7C5">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CEBA9E">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B074F01">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79A3313">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45E6B77">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481515">
            <w:pPr>
              <w:widowControl/>
              <w:jc w:val="center"/>
              <w:rPr>
                <w:rFonts w:cs="宋体"/>
                <w:color w:val="000000" w:themeColor="text1"/>
                <w:kern w:val="0"/>
                <w:sz w:val="22"/>
                <w:szCs w:val="22"/>
                <w14:textFill>
                  <w14:solidFill>
                    <w14:schemeClr w14:val="tx1"/>
                  </w14:solidFill>
                </w14:textFill>
              </w:rPr>
            </w:pPr>
          </w:p>
        </w:tc>
      </w:tr>
      <w:tr w14:paraId="56613EA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58B1">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EA6D908">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F7E42">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744626B">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77E3AFB">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765DB0F">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7632E8A">
            <w:pPr>
              <w:widowControl/>
              <w:jc w:val="center"/>
              <w:rPr>
                <w:rFonts w:cs="宋体"/>
                <w:color w:val="000000" w:themeColor="text1"/>
                <w:kern w:val="0"/>
                <w:sz w:val="22"/>
                <w:szCs w:val="22"/>
                <w14:textFill>
                  <w14:solidFill>
                    <w14:schemeClr w14:val="tx1"/>
                  </w14:solidFill>
                </w14:textFill>
              </w:rPr>
            </w:pPr>
          </w:p>
        </w:tc>
      </w:tr>
      <w:tr w14:paraId="407B057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4F53">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733820B">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CCA545">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74C5E1">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383AA6">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A0E0FE">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9520EEE">
            <w:pPr>
              <w:widowControl/>
              <w:jc w:val="center"/>
              <w:rPr>
                <w:rFonts w:cs="宋体"/>
                <w:color w:val="000000" w:themeColor="text1"/>
                <w:kern w:val="0"/>
                <w:sz w:val="22"/>
                <w:szCs w:val="22"/>
                <w14:textFill>
                  <w14:solidFill>
                    <w14:schemeClr w14:val="tx1"/>
                  </w14:solidFill>
                </w14:textFill>
              </w:rPr>
            </w:pPr>
          </w:p>
        </w:tc>
      </w:tr>
    </w:tbl>
    <w:p w14:paraId="27738A54">
      <w:pPr>
        <w:spacing w:line="320" w:lineRule="exact"/>
        <w:ind w:left="420"/>
        <w:rPr>
          <w:rFonts w:ascii="宋体" w:hAnsi="宋体"/>
          <w:color w:val="000000" w:themeColor="text1"/>
          <w:sz w:val="24"/>
          <w14:textFill>
            <w14:solidFill>
              <w14:schemeClr w14:val="tx1"/>
            </w14:solidFill>
          </w14:textFill>
        </w:rPr>
      </w:pPr>
    </w:p>
    <w:p w14:paraId="453E1727">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投标人（盖章）：</w:t>
      </w:r>
      <w:r>
        <w:rPr>
          <w:rFonts w:hint="eastAsia" w:ascii="宋体" w:hAnsi="宋体"/>
          <w:color w:val="000000" w:themeColor="text1"/>
          <w:sz w:val="24"/>
          <w:u w:val="single"/>
          <w14:textFill>
            <w14:solidFill>
              <w14:schemeClr w14:val="tx1"/>
            </w14:solidFill>
          </w14:textFill>
        </w:rPr>
        <w:t xml:space="preserve">                     </w:t>
      </w:r>
    </w:p>
    <w:p w14:paraId="4DD7A93E">
      <w:pPr>
        <w:spacing w:line="320" w:lineRule="exact"/>
        <w:ind w:left="420"/>
        <w:rPr>
          <w:rFonts w:ascii="宋体" w:hAnsi="宋体"/>
          <w:color w:val="000000" w:themeColor="text1"/>
          <w:sz w:val="24"/>
          <w14:textFill>
            <w14:solidFill>
              <w14:schemeClr w14:val="tx1"/>
            </w14:solidFill>
          </w14:textFill>
        </w:rPr>
      </w:pPr>
    </w:p>
    <w:p w14:paraId="4A007EF8">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法定代表人或授权委托人（签字或盖章）：</w:t>
      </w:r>
      <w:r>
        <w:rPr>
          <w:rFonts w:hint="eastAsia" w:ascii="宋体" w:hAnsi="宋体"/>
          <w:color w:val="000000" w:themeColor="text1"/>
          <w:sz w:val="24"/>
          <w:u w:val="single"/>
          <w14:textFill>
            <w14:solidFill>
              <w14:schemeClr w14:val="tx1"/>
            </w14:solidFill>
          </w14:textFill>
        </w:rPr>
        <w:t xml:space="preserve">                         </w:t>
      </w:r>
    </w:p>
    <w:p w14:paraId="1E3045F2">
      <w:pPr>
        <w:spacing w:line="320" w:lineRule="exact"/>
        <w:ind w:firstLine="435"/>
        <w:rPr>
          <w:rFonts w:ascii="宋体" w:hAnsi="宋体"/>
          <w:color w:val="000000" w:themeColor="text1"/>
          <w:sz w:val="24"/>
          <w14:textFill>
            <w14:solidFill>
              <w14:schemeClr w14:val="tx1"/>
            </w14:solidFill>
          </w14:textFill>
        </w:rPr>
      </w:pPr>
    </w:p>
    <w:p w14:paraId="055F7DC8">
      <w:pPr>
        <w:spacing w:line="320" w:lineRule="exact"/>
        <w:ind w:firstLine="480" w:firstLineChars="20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3BD58DCE">
      <w:pPr>
        <w:pStyle w:val="6"/>
        <w:adjustRightInd w:val="0"/>
        <w:snapToGrid w:val="0"/>
        <w:spacing w:line="360" w:lineRule="auto"/>
        <w:jc w:val="left"/>
        <w:rPr>
          <w:rFonts w:ascii="宋体" w:hAnsi="宋体" w:eastAsia="宋体"/>
          <w:b/>
          <w:color w:val="000000" w:themeColor="text1"/>
          <w:sz w:val="32"/>
          <w:szCs w:val="32"/>
          <w14:textFill>
            <w14:solidFill>
              <w14:schemeClr w14:val="tx1"/>
            </w14:solidFill>
          </w14:textFill>
        </w:rPr>
      </w:pPr>
      <w:r>
        <w:rPr>
          <w:rFonts w:ascii="宋体" w:hAnsi="宋体" w:eastAsia="宋体"/>
          <w:b/>
          <w:color w:val="000000" w:themeColor="text1"/>
          <w:sz w:val="32"/>
          <w:szCs w:val="32"/>
          <w14:textFill>
            <w14:solidFill>
              <w14:schemeClr w14:val="tx1"/>
            </w14:solidFill>
          </w14:textFill>
        </w:rPr>
        <w:t>附件</w:t>
      </w:r>
      <w:r>
        <w:rPr>
          <w:rFonts w:hint="eastAsia" w:ascii="宋体" w:hAnsi="宋体" w:eastAsia="宋体"/>
          <w:b/>
          <w:color w:val="000000" w:themeColor="text1"/>
          <w:sz w:val="32"/>
          <w:szCs w:val="32"/>
          <w14:textFill>
            <w14:solidFill>
              <w14:schemeClr w14:val="tx1"/>
            </w14:solidFill>
          </w14:textFill>
        </w:rPr>
        <w:t>8：</w:t>
      </w:r>
    </w:p>
    <w:p w14:paraId="21FC0019">
      <w:pPr>
        <w:autoSpaceDE w:val="0"/>
        <w:autoSpaceDN w:val="0"/>
        <w:adjustRightInd w:val="0"/>
        <w:snapToGrid w:val="0"/>
        <w:spacing w:line="288" w:lineRule="auto"/>
        <w:ind w:firstLine="361" w:firstLineChars="100"/>
        <w:jc w:val="center"/>
        <w:textAlignment w:val="bottom"/>
        <w:rPr>
          <w:rFonts w:ascii="宋体" w:hAnsi="宋体" w:cs="Arial"/>
          <w:b/>
          <w:bCs/>
          <w:color w:val="000000" w:themeColor="text1"/>
          <w:szCs w:val="21"/>
          <w14:textFill>
            <w14:solidFill>
              <w14:schemeClr w14:val="tx1"/>
            </w14:solidFill>
          </w14:textFill>
        </w:rPr>
      </w:pPr>
      <w:r>
        <w:rPr>
          <w:rFonts w:hint="eastAsia" w:ascii="黑体" w:hAnsi="宋体" w:eastAsia="黑体"/>
          <w:b/>
          <w:bCs/>
          <w:color w:val="000000" w:themeColor="text1"/>
          <w:sz w:val="36"/>
          <w:szCs w:val="22"/>
          <w14:textFill>
            <w14:solidFill>
              <w14:schemeClr w14:val="tx1"/>
            </w14:solidFill>
          </w14:textFill>
        </w:rPr>
        <w:t>投标品牌匹配一览表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5"/>
        <w:gridCol w:w="3690"/>
        <w:gridCol w:w="1403"/>
      </w:tblGrid>
      <w:tr w14:paraId="27CC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560A871">
            <w:pPr>
              <w:spacing w:line="360" w:lineRule="auto"/>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685" w:type="dxa"/>
          </w:tcPr>
          <w:p w14:paraId="1CD3F6E8">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材料名称</w:t>
            </w:r>
          </w:p>
        </w:tc>
        <w:tc>
          <w:tcPr>
            <w:tcW w:w="3690" w:type="dxa"/>
          </w:tcPr>
          <w:p w14:paraId="173B8FB1">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备选品牌或厂家</w:t>
            </w:r>
          </w:p>
        </w:tc>
        <w:tc>
          <w:tcPr>
            <w:tcW w:w="1403" w:type="dxa"/>
          </w:tcPr>
          <w:p w14:paraId="3315305C">
            <w:pPr>
              <w:spacing w:line="360" w:lineRule="auto"/>
              <w:jc w:val="center"/>
              <w:rPr>
                <w:rFonts w:eastAsiaTheme="minorEastAsia"/>
                <w:color w:val="000000" w:themeColor="text1"/>
                <w:lang w:eastAsia="zh-Hans"/>
                <w14:textFill>
                  <w14:solidFill>
                    <w14:schemeClr w14:val="tx1"/>
                  </w14:solidFill>
                </w14:textFill>
              </w:rPr>
            </w:pPr>
            <w:r>
              <w:rPr>
                <w:rFonts w:hint="eastAsia" w:eastAsiaTheme="minorEastAsia"/>
                <w:color w:val="000000" w:themeColor="text1"/>
                <w:lang w:eastAsia="zh-Hans"/>
                <w14:textFill>
                  <w14:solidFill>
                    <w14:schemeClr w14:val="tx1"/>
                  </w14:solidFill>
                </w14:textFill>
              </w:rPr>
              <w:t>投标品牌</w:t>
            </w:r>
          </w:p>
        </w:tc>
      </w:tr>
      <w:tr w14:paraId="2932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608ACB0">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685" w:type="dxa"/>
          </w:tcPr>
          <w:p w14:paraId="68CA600C">
            <w:pPr>
              <w:spacing w:line="360" w:lineRule="auto"/>
              <w:jc w:val="left"/>
              <w:rPr>
                <w:rFonts w:eastAsiaTheme="minorEastAsia"/>
                <w:color w:val="000000" w:themeColor="text1"/>
                <w14:textFill>
                  <w14:solidFill>
                    <w14:schemeClr w14:val="tx1"/>
                  </w14:solidFill>
                </w14:textFill>
              </w:rPr>
            </w:pPr>
          </w:p>
        </w:tc>
        <w:tc>
          <w:tcPr>
            <w:tcW w:w="3690" w:type="dxa"/>
          </w:tcPr>
          <w:p w14:paraId="760C7DC6">
            <w:pPr>
              <w:spacing w:line="360" w:lineRule="auto"/>
              <w:rPr>
                <w:rFonts w:eastAsiaTheme="minorEastAsia"/>
                <w:color w:val="000000" w:themeColor="text1"/>
                <w14:textFill>
                  <w14:solidFill>
                    <w14:schemeClr w14:val="tx1"/>
                  </w14:solidFill>
                </w14:textFill>
              </w:rPr>
            </w:pPr>
          </w:p>
        </w:tc>
        <w:tc>
          <w:tcPr>
            <w:tcW w:w="1403" w:type="dxa"/>
          </w:tcPr>
          <w:p w14:paraId="1A2E79D5">
            <w:pPr>
              <w:spacing w:line="360" w:lineRule="auto"/>
              <w:rPr>
                <w:color w:val="000000" w:themeColor="text1"/>
                <w14:textFill>
                  <w14:solidFill>
                    <w14:schemeClr w14:val="tx1"/>
                  </w14:solidFill>
                </w14:textFill>
              </w:rPr>
            </w:pPr>
          </w:p>
        </w:tc>
      </w:tr>
      <w:tr w14:paraId="0A14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9ACA3C3">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685" w:type="dxa"/>
          </w:tcPr>
          <w:p w14:paraId="150D2203">
            <w:pPr>
              <w:spacing w:line="360" w:lineRule="auto"/>
              <w:jc w:val="left"/>
              <w:rPr>
                <w:rFonts w:eastAsiaTheme="minorEastAsia"/>
                <w:color w:val="000000" w:themeColor="text1"/>
                <w14:textFill>
                  <w14:solidFill>
                    <w14:schemeClr w14:val="tx1"/>
                  </w14:solidFill>
                </w14:textFill>
              </w:rPr>
            </w:pPr>
          </w:p>
        </w:tc>
        <w:tc>
          <w:tcPr>
            <w:tcW w:w="3690" w:type="dxa"/>
          </w:tcPr>
          <w:p w14:paraId="00796501">
            <w:pPr>
              <w:spacing w:line="360" w:lineRule="auto"/>
              <w:rPr>
                <w:rFonts w:eastAsiaTheme="minorEastAsia"/>
                <w:color w:val="000000" w:themeColor="text1"/>
                <w14:textFill>
                  <w14:solidFill>
                    <w14:schemeClr w14:val="tx1"/>
                  </w14:solidFill>
                </w14:textFill>
              </w:rPr>
            </w:pPr>
          </w:p>
        </w:tc>
        <w:tc>
          <w:tcPr>
            <w:tcW w:w="1403" w:type="dxa"/>
          </w:tcPr>
          <w:p w14:paraId="0E146DE9">
            <w:pPr>
              <w:spacing w:line="360" w:lineRule="auto"/>
              <w:rPr>
                <w:color w:val="000000" w:themeColor="text1"/>
                <w14:textFill>
                  <w14:solidFill>
                    <w14:schemeClr w14:val="tx1"/>
                  </w14:solidFill>
                </w14:textFill>
              </w:rPr>
            </w:pPr>
          </w:p>
        </w:tc>
      </w:tr>
      <w:tr w14:paraId="245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F5DDD91">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685" w:type="dxa"/>
          </w:tcPr>
          <w:p w14:paraId="352720A5">
            <w:pPr>
              <w:spacing w:line="360" w:lineRule="auto"/>
              <w:jc w:val="left"/>
              <w:rPr>
                <w:rFonts w:eastAsiaTheme="minorEastAsia"/>
                <w:color w:val="000000" w:themeColor="text1"/>
                <w14:textFill>
                  <w14:solidFill>
                    <w14:schemeClr w14:val="tx1"/>
                  </w14:solidFill>
                </w14:textFill>
              </w:rPr>
            </w:pPr>
          </w:p>
        </w:tc>
        <w:tc>
          <w:tcPr>
            <w:tcW w:w="3690" w:type="dxa"/>
          </w:tcPr>
          <w:p w14:paraId="40BFD93E">
            <w:pPr>
              <w:spacing w:line="360" w:lineRule="auto"/>
              <w:rPr>
                <w:rFonts w:eastAsiaTheme="minorEastAsia"/>
                <w:color w:val="000000" w:themeColor="text1"/>
                <w14:textFill>
                  <w14:solidFill>
                    <w14:schemeClr w14:val="tx1"/>
                  </w14:solidFill>
                </w14:textFill>
              </w:rPr>
            </w:pPr>
          </w:p>
        </w:tc>
        <w:tc>
          <w:tcPr>
            <w:tcW w:w="1403" w:type="dxa"/>
          </w:tcPr>
          <w:p w14:paraId="3E07020A">
            <w:pPr>
              <w:spacing w:line="360" w:lineRule="auto"/>
              <w:rPr>
                <w:color w:val="000000" w:themeColor="text1"/>
                <w14:textFill>
                  <w14:solidFill>
                    <w14:schemeClr w14:val="tx1"/>
                  </w14:solidFill>
                </w14:textFill>
              </w:rPr>
            </w:pPr>
          </w:p>
        </w:tc>
      </w:tr>
      <w:tr w14:paraId="7689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B375B38">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685" w:type="dxa"/>
          </w:tcPr>
          <w:p w14:paraId="5DFEBCA2">
            <w:pPr>
              <w:spacing w:line="360" w:lineRule="auto"/>
              <w:jc w:val="left"/>
              <w:rPr>
                <w:rFonts w:eastAsiaTheme="minorEastAsia"/>
                <w:color w:val="000000" w:themeColor="text1"/>
                <w14:textFill>
                  <w14:solidFill>
                    <w14:schemeClr w14:val="tx1"/>
                  </w14:solidFill>
                </w14:textFill>
              </w:rPr>
            </w:pPr>
          </w:p>
        </w:tc>
        <w:tc>
          <w:tcPr>
            <w:tcW w:w="3690" w:type="dxa"/>
          </w:tcPr>
          <w:p w14:paraId="2CA88013">
            <w:pPr>
              <w:spacing w:line="360" w:lineRule="auto"/>
              <w:rPr>
                <w:rFonts w:eastAsiaTheme="minorEastAsia"/>
                <w:color w:val="000000" w:themeColor="text1"/>
                <w14:textFill>
                  <w14:solidFill>
                    <w14:schemeClr w14:val="tx1"/>
                  </w14:solidFill>
                </w14:textFill>
              </w:rPr>
            </w:pPr>
          </w:p>
        </w:tc>
        <w:tc>
          <w:tcPr>
            <w:tcW w:w="1403" w:type="dxa"/>
          </w:tcPr>
          <w:p w14:paraId="63EC2145">
            <w:pPr>
              <w:spacing w:line="360" w:lineRule="auto"/>
              <w:rPr>
                <w:color w:val="000000" w:themeColor="text1"/>
                <w14:textFill>
                  <w14:solidFill>
                    <w14:schemeClr w14:val="tx1"/>
                  </w14:solidFill>
                </w14:textFill>
              </w:rPr>
            </w:pPr>
          </w:p>
        </w:tc>
      </w:tr>
      <w:tr w14:paraId="6481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EE4263E">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685" w:type="dxa"/>
          </w:tcPr>
          <w:p w14:paraId="630F533A">
            <w:pPr>
              <w:spacing w:line="360" w:lineRule="auto"/>
              <w:jc w:val="left"/>
              <w:rPr>
                <w:rFonts w:eastAsiaTheme="minorEastAsia"/>
                <w:color w:val="000000" w:themeColor="text1"/>
                <w14:textFill>
                  <w14:solidFill>
                    <w14:schemeClr w14:val="tx1"/>
                  </w14:solidFill>
                </w14:textFill>
              </w:rPr>
            </w:pPr>
          </w:p>
        </w:tc>
        <w:tc>
          <w:tcPr>
            <w:tcW w:w="3690" w:type="dxa"/>
          </w:tcPr>
          <w:p w14:paraId="7318CA7A">
            <w:pPr>
              <w:spacing w:line="360" w:lineRule="auto"/>
              <w:rPr>
                <w:rFonts w:eastAsiaTheme="minorEastAsia"/>
                <w:color w:val="000000" w:themeColor="text1"/>
                <w14:textFill>
                  <w14:solidFill>
                    <w14:schemeClr w14:val="tx1"/>
                  </w14:solidFill>
                </w14:textFill>
              </w:rPr>
            </w:pPr>
          </w:p>
        </w:tc>
        <w:tc>
          <w:tcPr>
            <w:tcW w:w="1403" w:type="dxa"/>
          </w:tcPr>
          <w:p w14:paraId="112E7435">
            <w:pPr>
              <w:spacing w:line="360" w:lineRule="auto"/>
              <w:rPr>
                <w:color w:val="000000" w:themeColor="text1"/>
                <w14:textFill>
                  <w14:solidFill>
                    <w14:schemeClr w14:val="tx1"/>
                  </w14:solidFill>
                </w14:textFill>
              </w:rPr>
            </w:pPr>
          </w:p>
        </w:tc>
      </w:tr>
      <w:tr w14:paraId="57A0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3F5B7F6">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685" w:type="dxa"/>
          </w:tcPr>
          <w:p w14:paraId="5ABB8B18">
            <w:pPr>
              <w:spacing w:line="360" w:lineRule="auto"/>
              <w:jc w:val="left"/>
              <w:rPr>
                <w:rFonts w:eastAsiaTheme="minorEastAsia"/>
                <w:color w:val="000000" w:themeColor="text1"/>
                <w14:textFill>
                  <w14:solidFill>
                    <w14:schemeClr w14:val="tx1"/>
                  </w14:solidFill>
                </w14:textFill>
              </w:rPr>
            </w:pPr>
          </w:p>
        </w:tc>
        <w:tc>
          <w:tcPr>
            <w:tcW w:w="3690" w:type="dxa"/>
          </w:tcPr>
          <w:p w14:paraId="021AB4FE">
            <w:pPr>
              <w:spacing w:line="360" w:lineRule="auto"/>
              <w:rPr>
                <w:rFonts w:eastAsiaTheme="minorEastAsia"/>
                <w:color w:val="000000" w:themeColor="text1"/>
                <w14:textFill>
                  <w14:solidFill>
                    <w14:schemeClr w14:val="tx1"/>
                  </w14:solidFill>
                </w14:textFill>
              </w:rPr>
            </w:pPr>
          </w:p>
        </w:tc>
        <w:tc>
          <w:tcPr>
            <w:tcW w:w="1403" w:type="dxa"/>
          </w:tcPr>
          <w:p w14:paraId="695B622B">
            <w:pPr>
              <w:spacing w:line="360" w:lineRule="auto"/>
              <w:rPr>
                <w:color w:val="000000" w:themeColor="text1"/>
                <w14:textFill>
                  <w14:solidFill>
                    <w14:schemeClr w14:val="tx1"/>
                  </w14:solidFill>
                </w14:textFill>
              </w:rPr>
            </w:pPr>
          </w:p>
        </w:tc>
      </w:tr>
      <w:tr w14:paraId="2AF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8F4833E">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685" w:type="dxa"/>
          </w:tcPr>
          <w:p w14:paraId="160EBC60">
            <w:pPr>
              <w:spacing w:line="360" w:lineRule="auto"/>
              <w:jc w:val="left"/>
              <w:rPr>
                <w:rFonts w:eastAsiaTheme="minorEastAsia"/>
                <w:color w:val="000000" w:themeColor="text1"/>
                <w14:textFill>
                  <w14:solidFill>
                    <w14:schemeClr w14:val="tx1"/>
                  </w14:solidFill>
                </w14:textFill>
              </w:rPr>
            </w:pPr>
          </w:p>
        </w:tc>
        <w:tc>
          <w:tcPr>
            <w:tcW w:w="3690" w:type="dxa"/>
          </w:tcPr>
          <w:p w14:paraId="40AA343D">
            <w:pPr>
              <w:spacing w:line="360" w:lineRule="auto"/>
              <w:rPr>
                <w:rFonts w:eastAsiaTheme="minorEastAsia"/>
                <w:color w:val="000000" w:themeColor="text1"/>
                <w14:textFill>
                  <w14:solidFill>
                    <w14:schemeClr w14:val="tx1"/>
                  </w14:solidFill>
                </w14:textFill>
              </w:rPr>
            </w:pPr>
          </w:p>
        </w:tc>
        <w:tc>
          <w:tcPr>
            <w:tcW w:w="1403" w:type="dxa"/>
          </w:tcPr>
          <w:p w14:paraId="5CE87FF4">
            <w:pPr>
              <w:spacing w:line="360" w:lineRule="auto"/>
              <w:rPr>
                <w:color w:val="000000" w:themeColor="text1"/>
                <w14:textFill>
                  <w14:solidFill>
                    <w14:schemeClr w14:val="tx1"/>
                  </w14:solidFill>
                </w14:textFill>
              </w:rPr>
            </w:pPr>
          </w:p>
        </w:tc>
      </w:tr>
      <w:tr w14:paraId="725B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A181B15">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685" w:type="dxa"/>
          </w:tcPr>
          <w:p w14:paraId="13F260E8">
            <w:pPr>
              <w:spacing w:line="360" w:lineRule="auto"/>
              <w:jc w:val="left"/>
              <w:rPr>
                <w:rFonts w:eastAsiaTheme="minorEastAsia"/>
                <w:color w:val="000000" w:themeColor="text1"/>
                <w14:textFill>
                  <w14:solidFill>
                    <w14:schemeClr w14:val="tx1"/>
                  </w14:solidFill>
                </w14:textFill>
              </w:rPr>
            </w:pPr>
          </w:p>
        </w:tc>
        <w:tc>
          <w:tcPr>
            <w:tcW w:w="3690" w:type="dxa"/>
          </w:tcPr>
          <w:p w14:paraId="7C759251">
            <w:pPr>
              <w:spacing w:line="360" w:lineRule="auto"/>
              <w:rPr>
                <w:rFonts w:eastAsiaTheme="minorEastAsia"/>
                <w:color w:val="000000" w:themeColor="text1"/>
                <w14:textFill>
                  <w14:solidFill>
                    <w14:schemeClr w14:val="tx1"/>
                  </w14:solidFill>
                </w14:textFill>
              </w:rPr>
            </w:pPr>
          </w:p>
        </w:tc>
        <w:tc>
          <w:tcPr>
            <w:tcW w:w="1403" w:type="dxa"/>
          </w:tcPr>
          <w:p w14:paraId="12D55979">
            <w:pPr>
              <w:spacing w:line="360" w:lineRule="auto"/>
              <w:rPr>
                <w:color w:val="000000" w:themeColor="text1"/>
                <w14:textFill>
                  <w14:solidFill>
                    <w14:schemeClr w14:val="tx1"/>
                  </w14:solidFill>
                </w14:textFill>
              </w:rPr>
            </w:pPr>
          </w:p>
        </w:tc>
      </w:tr>
      <w:tr w14:paraId="08AA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FF6D18A">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685" w:type="dxa"/>
          </w:tcPr>
          <w:p w14:paraId="13F084D1">
            <w:pPr>
              <w:spacing w:line="360" w:lineRule="auto"/>
              <w:jc w:val="left"/>
              <w:rPr>
                <w:rFonts w:eastAsiaTheme="minorEastAsia"/>
                <w:color w:val="000000" w:themeColor="text1"/>
                <w14:textFill>
                  <w14:solidFill>
                    <w14:schemeClr w14:val="tx1"/>
                  </w14:solidFill>
                </w14:textFill>
              </w:rPr>
            </w:pPr>
          </w:p>
        </w:tc>
        <w:tc>
          <w:tcPr>
            <w:tcW w:w="3690" w:type="dxa"/>
          </w:tcPr>
          <w:p w14:paraId="57737A86">
            <w:pPr>
              <w:spacing w:line="360" w:lineRule="auto"/>
              <w:rPr>
                <w:rFonts w:eastAsiaTheme="minorEastAsia"/>
                <w:color w:val="000000" w:themeColor="text1"/>
                <w14:textFill>
                  <w14:solidFill>
                    <w14:schemeClr w14:val="tx1"/>
                  </w14:solidFill>
                </w14:textFill>
              </w:rPr>
            </w:pPr>
          </w:p>
        </w:tc>
        <w:tc>
          <w:tcPr>
            <w:tcW w:w="1403" w:type="dxa"/>
          </w:tcPr>
          <w:p w14:paraId="7B7DD198">
            <w:pPr>
              <w:spacing w:line="360" w:lineRule="auto"/>
              <w:rPr>
                <w:color w:val="000000" w:themeColor="text1"/>
                <w14:textFill>
                  <w14:solidFill>
                    <w14:schemeClr w14:val="tx1"/>
                  </w14:solidFill>
                </w14:textFill>
              </w:rPr>
            </w:pPr>
          </w:p>
        </w:tc>
      </w:tr>
      <w:tr w14:paraId="3F29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07134C1">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685" w:type="dxa"/>
          </w:tcPr>
          <w:p w14:paraId="24978302">
            <w:pPr>
              <w:spacing w:line="360" w:lineRule="auto"/>
              <w:jc w:val="left"/>
              <w:rPr>
                <w:rFonts w:eastAsiaTheme="minorEastAsia"/>
                <w:color w:val="000000" w:themeColor="text1"/>
                <w14:textFill>
                  <w14:solidFill>
                    <w14:schemeClr w14:val="tx1"/>
                  </w14:solidFill>
                </w14:textFill>
              </w:rPr>
            </w:pPr>
          </w:p>
        </w:tc>
        <w:tc>
          <w:tcPr>
            <w:tcW w:w="3690" w:type="dxa"/>
          </w:tcPr>
          <w:p w14:paraId="2EB295F5">
            <w:pPr>
              <w:spacing w:line="360" w:lineRule="auto"/>
              <w:rPr>
                <w:rFonts w:eastAsiaTheme="minorEastAsia"/>
                <w:color w:val="000000" w:themeColor="text1"/>
                <w14:textFill>
                  <w14:solidFill>
                    <w14:schemeClr w14:val="tx1"/>
                  </w14:solidFill>
                </w14:textFill>
              </w:rPr>
            </w:pPr>
          </w:p>
        </w:tc>
        <w:tc>
          <w:tcPr>
            <w:tcW w:w="1403" w:type="dxa"/>
          </w:tcPr>
          <w:p w14:paraId="24890CCE">
            <w:pPr>
              <w:spacing w:line="360" w:lineRule="auto"/>
              <w:rPr>
                <w:color w:val="000000" w:themeColor="text1"/>
                <w14:textFill>
                  <w14:solidFill>
                    <w14:schemeClr w14:val="tx1"/>
                  </w14:solidFill>
                </w14:textFill>
              </w:rPr>
            </w:pPr>
          </w:p>
        </w:tc>
      </w:tr>
      <w:tr w14:paraId="4E4D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151C237">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685" w:type="dxa"/>
          </w:tcPr>
          <w:p w14:paraId="7CEA2BAF">
            <w:pPr>
              <w:spacing w:line="360" w:lineRule="auto"/>
              <w:jc w:val="left"/>
              <w:rPr>
                <w:rFonts w:eastAsiaTheme="minorEastAsia"/>
                <w:color w:val="000000" w:themeColor="text1"/>
                <w14:textFill>
                  <w14:solidFill>
                    <w14:schemeClr w14:val="tx1"/>
                  </w14:solidFill>
                </w14:textFill>
              </w:rPr>
            </w:pPr>
          </w:p>
        </w:tc>
        <w:tc>
          <w:tcPr>
            <w:tcW w:w="3690" w:type="dxa"/>
          </w:tcPr>
          <w:p w14:paraId="12CD90DD">
            <w:pPr>
              <w:spacing w:line="360" w:lineRule="auto"/>
              <w:rPr>
                <w:rFonts w:eastAsiaTheme="minorEastAsia"/>
                <w:color w:val="000000" w:themeColor="text1"/>
                <w14:textFill>
                  <w14:solidFill>
                    <w14:schemeClr w14:val="tx1"/>
                  </w14:solidFill>
                </w14:textFill>
              </w:rPr>
            </w:pPr>
          </w:p>
        </w:tc>
        <w:tc>
          <w:tcPr>
            <w:tcW w:w="1403" w:type="dxa"/>
          </w:tcPr>
          <w:p w14:paraId="21C4055E">
            <w:pPr>
              <w:spacing w:line="360" w:lineRule="auto"/>
              <w:rPr>
                <w:color w:val="000000" w:themeColor="text1"/>
                <w14:textFill>
                  <w14:solidFill>
                    <w14:schemeClr w14:val="tx1"/>
                  </w14:solidFill>
                </w14:textFill>
              </w:rPr>
            </w:pPr>
          </w:p>
        </w:tc>
      </w:tr>
      <w:tr w14:paraId="53AE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CC1B3D5">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2685" w:type="dxa"/>
          </w:tcPr>
          <w:p w14:paraId="0AEE7044">
            <w:pPr>
              <w:spacing w:line="360" w:lineRule="auto"/>
              <w:jc w:val="left"/>
              <w:rPr>
                <w:rFonts w:eastAsiaTheme="minorEastAsia"/>
                <w:color w:val="000000" w:themeColor="text1"/>
                <w14:textFill>
                  <w14:solidFill>
                    <w14:schemeClr w14:val="tx1"/>
                  </w14:solidFill>
                </w14:textFill>
              </w:rPr>
            </w:pPr>
          </w:p>
        </w:tc>
        <w:tc>
          <w:tcPr>
            <w:tcW w:w="3690" w:type="dxa"/>
          </w:tcPr>
          <w:p w14:paraId="2AF510FA">
            <w:pPr>
              <w:spacing w:line="360" w:lineRule="auto"/>
              <w:rPr>
                <w:rFonts w:eastAsiaTheme="minorEastAsia"/>
                <w:color w:val="000000" w:themeColor="text1"/>
                <w14:textFill>
                  <w14:solidFill>
                    <w14:schemeClr w14:val="tx1"/>
                  </w14:solidFill>
                </w14:textFill>
              </w:rPr>
            </w:pPr>
          </w:p>
        </w:tc>
        <w:tc>
          <w:tcPr>
            <w:tcW w:w="1403" w:type="dxa"/>
          </w:tcPr>
          <w:p w14:paraId="1775B0BF">
            <w:pPr>
              <w:spacing w:line="360" w:lineRule="auto"/>
              <w:rPr>
                <w:color w:val="000000" w:themeColor="text1"/>
                <w14:textFill>
                  <w14:solidFill>
                    <w14:schemeClr w14:val="tx1"/>
                  </w14:solidFill>
                </w14:textFill>
              </w:rPr>
            </w:pPr>
          </w:p>
        </w:tc>
      </w:tr>
      <w:tr w14:paraId="2EBC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EEE1BCC">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2685" w:type="dxa"/>
          </w:tcPr>
          <w:p w14:paraId="077BAA24">
            <w:pPr>
              <w:spacing w:line="360" w:lineRule="auto"/>
              <w:jc w:val="left"/>
              <w:rPr>
                <w:rFonts w:eastAsiaTheme="minorEastAsia"/>
                <w:color w:val="000000" w:themeColor="text1"/>
                <w14:textFill>
                  <w14:solidFill>
                    <w14:schemeClr w14:val="tx1"/>
                  </w14:solidFill>
                </w14:textFill>
              </w:rPr>
            </w:pPr>
          </w:p>
        </w:tc>
        <w:tc>
          <w:tcPr>
            <w:tcW w:w="3690" w:type="dxa"/>
          </w:tcPr>
          <w:p w14:paraId="7EB2DD45">
            <w:pPr>
              <w:spacing w:line="360" w:lineRule="auto"/>
              <w:rPr>
                <w:rFonts w:eastAsiaTheme="minorEastAsia"/>
                <w:color w:val="000000" w:themeColor="text1"/>
                <w14:textFill>
                  <w14:solidFill>
                    <w14:schemeClr w14:val="tx1"/>
                  </w14:solidFill>
                </w14:textFill>
              </w:rPr>
            </w:pPr>
          </w:p>
        </w:tc>
        <w:tc>
          <w:tcPr>
            <w:tcW w:w="1403" w:type="dxa"/>
          </w:tcPr>
          <w:p w14:paraId="71B7F372">
            <w:pPr>
              <w:spacing w:line="360" w:lineRule="auto"/>
              <w:rPr>
                <w:color w:val="000000" w:themeColor="text1"/>
                <w14:textFill>
                  <w14:solidFill>
                    <w14:schemeClr w14:val="tx1"/>
                  </w14:solidFill>
                </w14:textFill>
              </w:rPr>
            </w:pPr>
          </w:p>
        </w:tc>
      </w:tr>
      <w:tr w14:paraId="653B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1E1321B">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2685" w:type="dxa"/>
          </w:tcPr>
          <w:p w14:paraId="5A4B3D1D">
            <w:pPr>
              <w:spacing w:line="360" w:lineRule="auto"/>
              <w:jc w:val="left"/>
              <w:rPr>
                <w:rFonts w:eastAsiaTheme="minorEastAsia"/>
                <w:color w:val="000000" w:themeColor="text1"/>
                <w14:textFill>
                  <w14:solidFill>
                    <w14:schemeClr w14:val="tx1"/>
                  </w14:solidFill>
                </w14:textFill>
              </w:rPr>
            </w:pPr>
          </w:p>
        </w:tc>
        <w:tc>
          <w:tcPr>
            <w:tcW w:w="3690" w:type="dxa"/>
          </w:tcPr>
          <w:p w14:paraId="1AED8B4A">
            <w:pPr>
              <w:spacing w:line="360" w:lineRule="auto"/>
              <w:rPr>
                <w:rFonts w:eastAsiaTheme="minorEastAsia"/>
                <w:color w:val="000000" w:themeColor="text1"/>
                <w14:textFill>
                  <w14:solidFill>
                    <w14:schemeClr w14:val="tx1"/>
                  </w14:solidFill>
                </w14:textFill>
              </w:rPr>
            </w:pPr>
          </w:p>
        </w:tc>
        <w:tc>
          <w:tcPr>
            <w:tcW w:w="1403" w:type="dxa"/>
          </w:tcPr>
          <w:p w14:paraId="428ECC44">
            <w:pPr>
              <w:spacing w:line="360" w:lineRule="auto"/>
              <w:rPr>
                <w:color w:val="000000" w:themeColor="text1"/>
                <w14:textFill>
                  <w14:solidFill>
                    <w14:schemeClr w14:val="tx1"/>
                  </w14:solidFill>
                </w14:textFill>
              </w:rPr>
            </w:pPr>
          </w:p>
        </w:tc>
      </w:tr>
      <w:tr w14:paraId="721B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BFDDA46">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685" w:type="dxa"/>
          </w:tcPr>
          <w:p w14:paraId="0E93B24A">
            <w:pPr>
              <w:spacing w:line="360" w:lineRule="auto"/>
              <w:jc w:val="left"/>
              <w:rPr>
                <w:rFonts w:eastAsiaTheme="minorEastAsia"/>
                <w:color w:val="000000" w:themeColor="text1"/>
                <w14:textFill>
                  <w14:solidFill>
                    <w14:schemeClr w14:val="tx1"/>
                  </w14:solidFill>
                </w14:textFill>
              </w:rPr>
            </w:pPr>
          </w:p>
        </w:tc>
        <w:tc>
          <w:tcPr>
            <w:tcW w:w="3690" w:type="dxa"/>
          </w:tcPr>
          <w:p w14:paraId="6703AA7B">
            <w:pPr>
              <w:spacing w:line="360" w:lineRule="auto"/>
              <w:rPr>
                <w:rFonts w:eastAsiaTheme="minorEastAsia"/>
                <w:color w:val="000000" w:themeColor="text1"/>
                <w14:textFill>
                  <w14:solidFill>
                    <w14:schemeClr w14:val="tx1"/>
                  </w14:solidFill>
                </w14:textFill>
              </w:rPr>
            </w:pPr>
          </w:p>
        </w:tc>
        <w:tc>
          <w:tcPr>
            <w:tcW w:w="1403" w:type="dxa"/>
          </w:tcPr>
          <w:p w14:paraId="549679A2">
            <w:pPr>
              <w:spacing w:line="360" w:lineRule="auto"/>
              <w:rPr>
                <w:color w:val="000000" w:themeColor="text1"/>
                <w14:textFill>
                  <w14:solidFill>
                    <w14:schemeClr w14:val="tx1"/>
                  </w14:solidFill>
                </w14:textFill>
              </w:rPr>
            </w:pPr>
          </w:p>
        </w:tc>
      </w:tr>
      <w:tr w14:paraId="460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089D8AA">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2685" w:type="dxa"/>
          </w:tcPr>
          <w:p w14:paraId="6A977CC7">
            <w:pPr>
              <w:spacing w:line="360" w:lineRule="auto"/>
              <w:jc w:val="left"/>
              <w:rPr>
                <w:rFonts w:eastAsiaTheme="minorEastAsia"/>
                <w:color w:val="000000" w:themeColor="text1"/>
                <w14:textFill>
                  <w14:solidFill>
                    <w14:schemeClr w14:val="tx1"/>
                  </w14:solidFill>
                </w14:textFill>
              </w:rPr>
            </w:pPr>
          </w:p>
        </w:tc>
        <w:tc>
          <w:tcPr>
            <w:tcW w:w="3690" w:type="dxa"/>
          </w:tcPr>
          <w:p w14:paraId="174C9049">
            <w:pPr>
              <w:spacing w:line="360" w:lineRule="auto"/>
              <w:rPr>
                <w:rFonts w:eastAsiaTheme="minorEastAsia"/>
                <w:color w:val="000000" w:themeColor="text1"/>
                <w14:textFill>
                  <w14:solidFill>
                    <w14:schemeClr w14:val="tx1"/>
                  </w14:solidFill>
                </w14:textFill>
              </w:rPr>
            </w:pPr>
          </w:p>
        </w:tc>
        <w:tc>
          <w:tcPr>
            <w:tcW w:w="1403" w:type="dxa"/>
          </w:tcPr>
          <w:p w14:paraId="00E18BA6">
            <w:pPr>
              <w:spacing w:line="360" w:lineRule="auto"/>
              <w:rPr>
                <w:color w:val="000000" w:themeColor="text1"/>
                <w14:textFill>
                  <w14:solidFill>
                    <w14:schemeClr w14:val="tx1"/>
                  </w14:solidFill>
                </w14:textFill>
              </w:rPr>
            </w:pPr>
          </w:p>
        </w:tc>
      </w:tr>
      <w:tr w14:paraId="1DB3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75C18F3">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685" w:type="dxa"/>
          </w:tcPr>
          <w:p w14:paraId="48D5DB8A">
            <w:pPr>
              <w:spacing w:line="360" w:lineRule="auto"/>
              <w:jc w:val="left"/>
              <w:rPr>
                <w:color w:val="000000" w:themeColor="text1"/>
                <w14:textFill>
                  <w14:solidFill>
                    <w14:schemeClr w14:val="tx1"/>
                  </w14:solidFill>
                </w14:textFill>
              </w:rPr>
            </w:pPr>
          </w:p>
        </w:tc>
        <w:tc>
          <w:tcPr>
            <w:tcW w:w="3690" w:type="dxa"/>
          </w:tcPr>
          <w:p w14:paraId="6C6B59DA">
            <w:pPr>
              <w:spacing w:line="360" w:lineRule="auto"/>
              <w:rPr>
                <w:rFonts w:eastAsiaTheme="minorEastAsia"/>
                <w:color w:val="000000" w:themeColor="text1"/>
                <w14:textFill>
                  <w14:solidFill>
                    <w14:schemeClr w14:val="tx1"/>
                  </w14:solidFill>
                </w14:textFill>
              </w:rPr>
            </w:pPr>
          </w:p>
        </w:tc>
        <w:tc>
          <w:tcPr>
            <w:tcW w:w="1403" w:type="dxa"/>
          </w:tcPr>
          <w:p w14:paraId="6C935B18">
            <w:pPr>
              <w:spacing w:line="360" w:lineRule="auto"/>
              <w:rPr>
                <w:color w:val="000000" w:themeColor="text1"/>
                <w14:textFill>
                  <w14:solidFill>
                    <w14:schemeClr w14:val="tx1"/>
                  </w14:solidFill>
                </w14:textFill>
              </w:rPr>
            </w:pPr>
          </w:p>
        </w:tc>
      </w:tr>
      <w:tr w14:paraId="0507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7538B65">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685" w:type="dxa"/>
          </w:tcPr>
          <w:p w14:paraId="065E4D66">
            <w:pPr>
              <w:spacing w:line="360" w:lineRule="auto"/>
              <w:jc w:val="left"/>
              <w:rPr>
                <w:rFonts w:eastAsiaTheme="minorEastAsia"/>
                <w:color w:val="000000" w:themeColor="text1"/>
                <w14:textFill>
                  <w14:solidFill>
                    <w14:schemeClr w14:val="tx1"/>
                  </w14:solidFill>
                </w14:textFill>
              </w:rPr>
            </w:pPr>
          </w:p>
        </w:tc>
        <w:tc>
          <w:tcPr>
            <w:tcW w:w="3690" w:type="dxa"/>
          </w:tcPr>
          <w:p w14:paraId="30962A3F">
            <w:pPr>
              <w:spacing w:line="360" w:lineRule="auto"/>
              <w:rPr>
                <w:rFonts w:eastAsiaTheme="minorEastAsia"/>
                <w:color w:val="000000" w:themeColor="text1"/>
                <w14:textFill>
                  <w14:solidFill>
                    <w14:schemeClr w14:val="tx1"/>
                  </w14:solidFill>
                </w14:textFill>
              </w:rPr>
            </w:pPr>
          </w:p>
        </w:tc>
        <w:tc>
          <w:tcPr>
            <w:tcW w:w="1403" w:type="dxa"/>
          </w:tcPr>
          <w:p w14:paraId="07A46F37">
            <w:pPr>
              <w:spacing w:line="360" w:lineRule="auto"/>
              <w:rPr>
                <w:color w:val="000000" w:themeColor="text1"/>
                <w14:textFill>
                  <w14:solidFill>
                    <w14:schemeClr w14:val="tx1"/>
                  </w14:solidFill>
                </w14:textFill>
              </w:rPr>
            </w:pPr>
          </w:p>
        </w:tc>
      </w:tr>
      <w:tr w14:paraId="3E97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EAEA39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2685" w:type="dxa"/>
          </w:tcPr>
          <w:p w14:paraId="3EBFCDDA">
            <w:pPr>
              <w:spacing w:line="360" w:lineRule="auto"/>
              <w:jc w:val="left"/>
              <w:rPr>
                <w:color w:val="000000" w:themeColor="text1"/>
                <w14:textFill>
                  <w14:solidFill>
                    <w14:schemeClr w14:val="tx1"/>
                  </w14:solidFill>
                </w14:textFill>
              </w:rPr>
            </w:pPr>
          </w:p>
        </w:tc>
        <w:tc>
          <w:tcPr>
            <w:tcW w:w="3690" w:type="dxa"/>
          </w:tcPr>
          <w:p w14:paraId="4B3E3121">
            <w:pPr>
              <w:spacing w:line="360" w:lineRule="auto"/>
              <w:rPr>
                <w:rFonts w:eastAsiaTheme="minorEastAsia"/>
                <w:color w:val="000000" w:themeColor="text1"/>
                <w14:textFill>
                  <w14:solidFill>
                    <w14:schemeClr w14:val="tx1"/>
                  </w14:solidFill>
                </w14:textFill>
              </w:rPr>
            </w:pPr>
          </w:p>
        </w:tc>
        <w:tc>
          <w:tcPr>
            <w:tcW w:w="1403" w:type="dxa"/>
          </w:tcPr>
          <w:p w14:paraId="2D8B2E69">
            <w:pPr>
              <w:spacing w:line="360" w:lineRule="auto"/>
              <w:rPr>
                <w:color w:val="000000" w:themeColor="text1"/>
                <w14:textFill>
                  <w14:solidFill>
                    <w14:schemeClr w14:val="tx1"/>
                  </w14:solidFill>
                </w14:textFill>
              </w:rPr>
            </w:pPr>
          </w:p>
        </w:tc>
      </w:tr>
      <w:tr w14:paraId="5968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A0084C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2685" w:type="dxa"/>
          </w:tcPr>
          <w:p w14:paraId="3951117D">
            <w:pPr>
              <w:spacing w:line="360" w:lineRule="auto"/>
              <w:jc w:val="left"/>
              <w:rPr>
                <w:rFonts w:eastAsiaTheme="minorEastAsia"/>
                <w:color w:val="000000" w:themeColor="text1"/>
                <w14:textFill>
                  <w14:solidFill>
                    <w14:schemeClr w14:val="tx1"/>
                  </w14:solidFill>
                </w14:textFill>
              </w:rPr>
            </w:pPr>
          </w:p>
        </w:tc>
        <w:tc>
          <w:tcPr>
            <w:tcW w:w="3690" w:type="dxa"/>
          </w:tcPr>
          <w:p w14:paraId="321F5534">
            <w:pPr>
              <w:spacing w:line="360" w:lineRule="auto"/>
              <w:rPr>
                <w:rFonts w:eastAsiaTheme="minorEastAsia"/>
                <w:color w:val="000000" w:themeColor="text1"/>
                <w14:textFill>
                  <w14:solidFill>
                    <w14:schemeClr w14:val="tx1"/>
                  </w14:solidFill>
                </w14:textFill>
              </w:rPr>
            </w:pPr>
          </w:p>
        </w:tc>
        <w:tc>
          <w:tcPr>
            <w:tcW w:w="1403" w:type="dxa"/>
          </w:tcPr>
          <w:p w14:paraId="0D3ED6A5">
            <w:pPr>
              <w:spacing w:line="360" w:lineRule="auto"/>
              <w:rPr>
                <w:color w:val="000000" w:themeColor="text1"/>
                <w14:textFill>
                  <w14:solidFill>
                    <w14:schemeClr w14:val="tx1"/>
                  </w14:solidFill>
                </w14:textFill>
              </w:rPr>
            </w:pPr>
          </w:p>
        </w:tc>
      </w:tr>
      <w:tr w14:paraId="0EED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2EE50C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2685" w:type="dxa"/>
          </w:tcPr>
          <w:p w14:paraId="3A554E64">
            <w:pPr>
              <w:spacing w:line="360" w:lineRule="auto"/>
              <w:jc w:val="left"/>
              <w:rPr>
                <w:rFonts w:eastAsiaTheme="minorEastAsia"/>
                <w:color w:val="000000" w:themeColor="text1"/>
                <w14:textFill>
                  <w14:solidFill>
                    <w14:schemeClr w14:val="tx1"/>
                  </w14:solidFill>
                </w14:textFill>
              </w:rPr>
            </w:pPr>
          </w:p>
        </w:tc>
        <w:tc>
          <w:tcPr>
            <w:tcW w:w="3690" w:type="dxa"/>
          </w:tcPr>
          <w:p w14:paraId="5964C050">
            <w:pPr>
              <w:spacing w:line="360" w:lineRule="auto"/>
              <w:rPr>
                <w:rFonts w:eastAsiaTheme="minorEastAsia"/>
                <w:color w:val="000000" w:themeColor="text1"/>
                <w14:textFill>
                  <w14:solidFill>
                    <w14:schemeClr w14:val="tx1"/>
                  </w14:solidFill>
                </w14:textFill>
              </w:rPr>
            </w:pPr>
          </w:p>
        </w:tc>
        <w:tc>
          <w:tcPr>
            <w:tcW w:w="1403" w:type="dxa"/>
          </w:tcPr>
          <w:p w14:paraId="158F0A35">
            <w:pPr>
              <w:spacing w:line="360" w:lineRule="auto"/>
              <w:rPr>
                <w:color w:val="000000" w:themeColor="text1"/>
                <w14:textFill>
                  <w14:solidFill>
                    <w14:schemeClr w14:val="tx1"/>
                  </w14:solidFill>
                </w14:textFill>
              </w:rPr>
            </w:pPr>
          </w:p>
        </w:tc>
      </w:tr>
      <w:tr w14:paraId="67CA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5EC271D">
            <w:pPr>
              <w:spacing w:line="360" w:lineRule="auto"/>
              <w:jc w:val="center"/>
              <w:rPr>
                <w:color w:val="000000" w:themeColor="text1"/>
                <w14:textFill>
                  <w14:solidFill>
                    <w14:schemeClr w14:val="tx1"/>
                  </w14:solidFill>
                </w14:textFill>
              </w:rPr>
            </w:pPr>
          </w:p>
        </w:tc>
        <w:tc>
          <w:tcPr>
            <w:tcW w:w="2685" w:type="dxa"/>
          </w:tcPr>
          <w:p w14:paraId="5B7F85ED">
            <w:pPr>
              <w:spacing w:line="360" w:lineRule="auto"/>
              <w:rPr>
                <w:color w:val="000000" w:themeColor="text1"/>
                <w14:textFill>
                  <w14:solidFill>
                    <w14:schemeClr w14:val="tx1"/>
                  </w14:solidFill>
                </w14:textFill>
              </w:rPr>
            </w:pPr>
          </w:p>
        </w:tc>
        <w:tc>
          <w:tcPr>
            <w:tcW w:w="3690" w:type="dxa"/>
          </w:tcPr>
          <w:p w14:paraId="26C8E663">
            <w:pPr>
              <w:spacing w:line="360" w:lineRule="auto"/>
              <w:rPr>
                <w:color w:val="000000" w:themeColor="text1"/>
                <w14:textFill>
                  <w14:solidFill>
                    <w14:schemeClr w14:val="tx1"/>
                  </w14:solidFill>
                </w14:textFill>
              </w:rPr>
            </w:pPr>
          </w:p>
        </w:tc>
        <w:tc>
          <w:tcPr>
            <w:tcW w:w="1403" w:type="dxa"/>
          </w:tcPr>
          <w:p w14:paraId="4A6BF80B">
            <w:pPr>
              <w:spacing w:line="360" w:lineRule="auto"/>
              <w:rPr>
                <w:color w:val="000000" w:themeColor="text1"/>
                <w14:textFill>
                  <w14:solidFill>
                    <w14:schemeClr w14:val="tx1"/>
                  </w14:solidFill>
                </w14:textFill>
              </w:rPr>
            </w:pPr>
          </w:p>
        </w:tc>
      </w:tr>
      <w:tr w14:paraId="5FAA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55F21A2">
            <w:pPr>
              <w:spacing w:line="360" w:lineRule="auto"/>
              <w:jc w:val="center"/>
              <w:rPr>
                <w:color w:val="000000" w:themeColor="text1"/>
                <w14:textFill>
                  <w14:solidFill>
                    <w14:schemeClr w14:val="tx1"/>
                  </w14:solidFill>
                </w14:textFill>
              </w:rPr>
            </w:pPr>
          </w:p>
        </w:tc>
        <w:tc>
          <w:tcPr>
            <w:tcW w:w="2685" w:type="dxa"/>
          </w:tcPr>
          <w:p w14:paraId="06B6E7D3">
            <w:pPr>
              <w:spacing w:line="360" w:lineRule="auto"/>
              <w:rPr>
                <w:color w:val="000000" w:themeColor="text1"/>
                <w14:textFill>
                  <w14:solidFill>
                    <w14:schemeClr w14:val="tx1"/>
                  </w14:solidFill>
                </w14:textFill>
              </w:rPr>
            </w:pPr>
          </w:p>
        </w:tc>
        <w:tc>
          <w:tcPr>
            <w:tcW w:w="3690" w:type="dxa"/>
          </w:tcPr>
          <w:p w14:paraId="01A1D9A3">
            <w:pPr>
              <w:spacing w:line="360" w:lineRule="auto"/>
              <w:rPr>
                <w:color w:val="000000" w:themeColor="text1"/>
                <w14:textFill>
                  <w14:solidFill>
                    <w14:schemeClr w14:val="tx1"/>
                  </w14:solidFill>
                </w14:textFill>
              </w:rPr>
            </w:pPr>
          </w:p>
        </w:tc>
        <w:tc>
          <w:tcPr>
            <w:tcW w:w="1403" w:type="dxa"/>
          </w:tcPr>
          <w:p w14:paraId="78F91BF2">
            <w:pPr>
              <w:spacing w:line="360" w:lineRule="auto"/>
              <w:rPr>
                <w:color w:val="000000" w:themeColor="text1"/>
                <w14:textFill>
                  <w14:solidFill>
                    <w14:schemeClr w14:val="tx1"/>
                  </w14:solidFill>
                </w14:textFill>
              </w:rPr>
            </w:pPr>
          </w:p>
        </w:tc>
      </w:tr>
    </w:tbl>
    <w:p w14:paraId="441CAC78">
      <w:pPr>
        <w:jc w:val="lef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4E981A05">
      <w:pPr>
        <w:ind w:firstLine="424" w:firstLineChars="177"/>
        <w:rPr>
          <w:rFonts w:ascii="宋体" w:hAnsi="宋体"/>
          <w:color w:val="000000" w:themeColor="text1"/>
          <w:sz w:val="24"/>
          <w14:textFill>
            <w14:solidFill>
              <w14:schemeClr w14:val="tx1"/>
            </w14:solidFill>
          </w14:textFill>
        </w:rPr>
      </w:pPr>
    </w:p>
    <w:p w14:paraId="11E89CA3">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4D7EF4B5">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磋商供应商代表签章或签字：                          </w:t>
      </w:r>
    </w:p>
    <w:p w14:paraId="1FA6FBFA">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        务：                             </w:t>
      </w:r>
    </w:p>
    <w:p w14:paraId="33BA3567">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期：                            </w:t>
      </w:r>
    </w:p>
    <w:p w14:paraId="4545C31C">
      <w:pPr>
        <w:snapToGrid w:val="0"/>
        <w:spacing w:before="156" w:beforeLines="50" w:after="50" w:line="360" w:lineRule="auto"/>
        <w:rPr>
          <w:rFonts w:ascii="宋体" w:hAnsi="宋体"/>
          <w:b/>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562B2902">
      <w:pPr>
        <w:snapToGrid w:val="0"/>
        <w:spacing w:before="156" w:beforeLines="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9</w:t>
      </w:r>
      <w:r>
        <w:rPr>
          <w:rFonts w:hint="eastAsia" w:ascii="宋体" w:hAnsi="宋体"/>
          <w:b/>
          <w:color w:val="000000" w:themeColor="text1"/>
          <w:sz w:val="28"/>
          <w14:textFill>
            <w14:solidFill>
              <w14:schemeClr w14:val="tx1"/>
            </w14:solidFill>
          </w14:textFill>
        </w:rPr>
        <w:t>：</w:t>
      </w:r>
    </w:p>
    <w:p w14:paraId="0D4BE137">
      <w:pPr>
        <w:pStyle w:val="42"/>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14:paraId="710A4EDF">
      <w:pPr>
        <w:pStyle w:val="42"/>
        <w:spacing w:line="360" w:lineRule="auto"/>
        <w:jc w:val="center"/>
        <w:rPr>
          <w:rFonts w:ascii="宋体" w:hAnsi="宋体" w:cs="Tahoma"/>
          <w:color w:val="000000" w:themeColor="text1"/>
          <w:sz w:val="28"/>
          <w:szCs w:val="28"/>
          <w14:textFill>
            <w14:solidFill>
              <w14:schemeClr w14:val="tx1"/>
            </w14:solidFill>
          </w14:textFill>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C9C6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490F4B8B">
            <w:pPr>
              <w:pStyle w:val="42"/>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14:paraId="6CA044AA">
            <w:pPr>
              <w:pStyle w:val="42"/>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14:paraId="14F8769C">
            <w:pPr>
              <w:pStyle w:val="42"/>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56C13F32">
            <w:pPr>
              <w:pStyle w:val="42"/>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证书有效期</w:t>
            </w:r>
          </w:p>
        </w:tc>
      </w:tr>
      <w:tr w14:paraId="7FD2F0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3984FFB0">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Borders>
              <w:top w:val="single" w:color="auto" w:sz="4" w:space="0"/>
            </w:tcBorders>
          </w:tcPr>
          <w:p w14:paraId="082DF09E">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Borders>
              <w:top w:val="single" w:color="auto" w:sz="4" w:space="0"/>
            </w:tcBorders>
          </w:tcPr>
          <w:p w14:paraId="0223EAC2">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14:paraId="4AF253B3">
            <w:pPr>
              <w:pStyle w:val="42"/>
              <w:spacing w:line="360" w:lineRule="auto"/>
              <w:jc w:val="center"/>
              <w:rPr>
                <w:rFonts w:ascii="宋体" w:hAnsi="宋体" w:cs="Tahoma"/>
                <w:color w:val="000000" w:themeColor="text1"/>
                <w:szCs w:val="21"/>
                <w14:textFill>
                  <w14:solidFill>
                    <w14:schemeClr w14:val="tx1"/>
                  </w14:solidFill>
                </w14:textFill>
              </w:rPr>
            </w:pPr>
          </w:p>
        </w:tc>
      </w:tr>
      <w:tr w14:paraId="1B82D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6149C7F">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Pr>
          <w:p w14:paraId="2E762AAD">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Pr>
          <w:p w14:paraId="6F4FCBA4">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14:paraId="43E4F742">
            <w:pPr>
              <w:pStyle w:val="42"/>
              <w:spacing w:line="360" w:lineRule="auto"/>
              <w:jc w:val="center"/>
              <w:rPr>
                <w:rFonts w:ascii="宋体" w:hAnsi="宋体" w:cs="Tahoma"/>
                <w:color w:val="000000" w:themeColor="text1"/>
                <w:szCs w:val="21"/>
                <w14:textFill>
                  <w14:solidFill>
                    <w14:schemeClr w14:val="tx1"/>
                  </w14:solidFill>
                </w14:textFill>
              </w:rPr>
            </w:pPr>
          </w:p>
        </w:tc>
      </w:tr>
      <w:tr w14:paraId="5FC34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4B49BC9">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Pr>
          <w:p w14:paraId="6D54C96A">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Pr>
          <w:p w14:paraId="4D1D8B4C">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14:paraId="4DB1AFE8">
            <w:pPr>
              <w:pStyle w:val="42"/>
              <w:spacing w:line="360" w:lineRule="auto"/>
              <w:jc w:val="center"/>
              <w:rPr>
                <w:rFonts w:ascii="宋体" w:hAnsi="宋体" w:cs="Tahoma"/>
                <w:color w:val="000000" w:themeColor="text1"/>
                <w:szCs w:val="21"/>
                <w14:textFill>
                  <w14:solidFill>
                    <w14:schemeClr w14:val="tx1"/>
                  </w14:solidFill>
                </w14:textFill>
              </w:rPr>
            </w:pPr>
          </w:p>
        </w:tc>
      </w:tr>
      <w:tr w14:paraId="51772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170ED69">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Pr>
          <w:p w14:paraId="4856E2EF">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Pr>
          <w:p w14:paraId="133E709F">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14:paraId="296C5F93">
            <w:pPr>
              <w:pStyle w:val="42"/>
              <w:spacing w:line="360" w:lineRule="auto"/>
              <w:jc w:val="center"/>
              <w:rPr>
                <w:rFonts w:ascii="宋体" w:hAnsi="宋体" w:cs="Tahoma"/>
                <w:color w:val="000000" w:themeColor="text1"/>
                <w:szCs w:val="21"/>
                <w14:textFill>
                  <w14:solidFill>
                    <w14:schemeClr w14:val="tx1"/>
                  </w14:solidFill>
                </w14:textFill>
              </w:rPr>
            </w:pPr>
          </w:p>
        </w:tc>
      </w:tr>
      <w:tr w14:paraId="5F06D9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D3C3BC">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Pr>
          <w:p w14:paraId="62682A67">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Pr>
          <w:p w14:paraId="2D4D44BA">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14:paraId="448D877E">
            <w:pPr>
              <w:pStyle w:val="42"/>
              <w:spacing w:line="360" w:lineRule="auto"/>
              <w:jc w:val="center"/>
              <w:rPr>
                <w:rFonts w:ascii="宋体" w:hAnsi="宋体" w:cs="Tahoma"/>
                <w:color w:val="000000" w:themeColor="text1"/>
                <w:szCs w:val="21"/>
                <w14:textFill>
                  <w14:solidFill>
                    <w14:schemeClr w14:val="tx1"/>
                  </w14:solidFill>
                </w14:textFill>
              </w:rPr>
            </w:pPr>
          </w:p>
        </w:tc>
      </w:tr>
      <w:tr w14:paraId="718CD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4207DF4">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Pr>
          <w:p w14:paraId="568BEA37">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Pr>
          <w:p w14:paraId="14065209">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14:paraId="749A5653">
            <w:pPr>
              <w:pStyle w:val="42"/>
              <w:spacing w:line="360" w:lineRule="auto"/>
              <w:jc w:val="center"/>
              <w:rPr>
                <w:rFonts w:ascii="宋体" w:hAnsi="宋体" w:cs="Tahoma"/>
                <w:color w:val="000000" w:themeColor="text1"/>
                <w:szCs w:val="21"/>
                <w14:textFill>
                  <w14:solidFill>
                    <w14:schemeClr w14:val="tx1"/>
                  </w14:solidFill>
                </w14:textFill>
              </w:rPr>
            </w:pPr>
          </w:p>
        </w:tc>
      </w:tr>
      <w:tr w14:paraId="01E393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BB10BC9">
            <w:pPr>
              <w:pStyle w:val="42"/>
              <w:spacing w:line="360" w:lineRule="auto"/>
              <w:jc w:val="center"/>
              <w:rPr>
                <w:rFonts w:ascii="宋体" w:hAnsi="宋体" w:cs="Tahoma"/>
                <w:color w:val="000000" w:themeColor="text1"/>
                <w:szCs w:val="21"/>
                <w14:textFill>
                  <w14:solidFill>
                    <w14:schemeClr w14:val="tx1"/>
                  </w14:solidFill>
                </w14:textFill>
              </w:rPr>
            </w:pPr>
          </w:p>
        </w:tc>
        <w:tc>
          <w:tcPr>
            <w:tcW w:w="2258" w:type="dxa"/>
            <w:tcBorders>
              <w:bottom w:val="single" w:color="auto" w:sz="4" w:space="0"/>
            </w:tcBorders>
          </w:tcPr>
          <w:p w14:paraId="4DACD4FF">
            <w:pPr>
              <w:pStyle w:val="42"/>
              <w:spacing w:line="360" w:lineRule="auto"/>
              <w:jc w:val="center"/>
              <w:rPr>
                <w:rFonts w:ascii="宋体" w:hAnsi="宋体" w:cs="Tahoma"/>
                <w:color w:val="000000" w:themeColor="text1"/>
                <w:szCs w:val="21"/>
                <w14:textFill>
                  <w14:solidFill>
                    <w14:schemeClr w14:val="tx1"/>
                  </w14:solidFill>
                </w14:textFill>
              </w:rPr>
            </w:pPr>
          </w:p>
        </w:tc>
        <w:tc>
          <w:tcPr>
            <w:tcW w:w="2260" w:type="dxa"/>
            <w:tcBorders>
              <w:bottom w:val="single" w:color="auto" w:sz="4" w:space="0"/>
            </w:tcBorders>
          </w:tcPr>
          <w:p w14:paraId="6886704E">
            <w:pPr>
              <w:pStyle w:val="42"/>
              <w:spacing w:line="360" w:lineRule="auto"/>
              <w:jc w:val="center"/>
              <w:rPr>
                <w:rFonts w:ascii="宋体" w:hAnsi="宋体" w:cs="Tahoma"/>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14:paraId="1E044B82">
            <w:pPr>
              <w:pStyle w:val="42"/>
              <w:spacing w:line="360" w:lineRule="auto"/>
              <w:jc w:val="center"/>
              <w:rPr>
                <w:rFonts w:ascii="宋体" w:hAnsi="宋体" w:cs="Tahoma"/>
                <w:color w:val="000000" w:themeColor="text1"/>
                <w:szCs w:val="21"/>
                <w14:textFill>
                  <w14:solidFill>
                    <w14:schemeClr w14:val="tx1"/>
                  </w14:solidFill>
                </w14:textFill>
              </w:rPr>
            </w:pPr>
          </w:p>
        </w:tc>
      </w:tr>
    </w:tbl>
    <w:p w14:paraId="7F8B4F54">
      <w:pPr>
        <w:pStyle w:val="42"/>
        <w:tabs>
          <w:tab w:val="left" w:pos="1050"/>
        </w:tabs>
        <w:spacing w:line="360" w:lineRule="auto"/>
        <w:rPr>
          <w:rFonts w:ascii="宋体" w:hAnsi="宋体"/>
          <w:color w:val="000000" w:themeColor="text1"/>
          <w:sz w:val="24"/>
          <w14:textFill>
            <w14:solidFill>
              <w14:schemeClr w14:val="tx1"/>
            </w14:solidFill>
          </w14:textFill>
        </w:rPr>
      </w:pPr>
    </w:p>
    <w:p w14:paraId="0AEC2960">
      <w:pPr>
        <w:pStyle w:val="42"/>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7DDA82E3">
      <w:pPr>
        <w:pStyle w:val="4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1.填写磋商供应商获得资质、认证或企业信誉证书。</w:t>
      </w:r>
    </w:p>
    <w:p w14:paraId="34DD7FC0">
      <w:pPr>
        <w:pStyle w:val="4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2.附所列证书原件的扫描件或其他证明材料。</w:t>
      </w:r>
    </w:p>
    <w:p w14:paraId="0CB5BF90">
      <w:pPr>
        <w:pStyle w:val="42"/>
        <w:tabs>
          <w:tab w:val="left" w:pos="1050"/>
        </w:tabs>
        <w:spacing w:line="360" w:lineRule="auto"/>
        <w:ind w:firstLine="424" w:firstLineChars="202"/>
        <w:rPr>
          <w:rFonts w:ascii="宋体" w:hAnsi="宋体"/>
          <w:color w:val="000000" w:themeColor="text1"/>
          <w:szCs w:val="21"/>
          <w14:textFill>
            <w14:solidFill>
              <w14:schemeClr w14:val="tx1"/>
            </w14:solidFill>
          </w14:textFill>
        </w:rPr>
      </w:pPr>
    </w:p>
    <w:p w14:paraId="00F11C49">
      <w:pPr>
        <w:pStyle w:val="42"/>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14:paraId="0E7E4BD1">
      <w:pPr>
        <w:pStyle w:val="42"/>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14:paraId="6B94E28E">
      <w:pPr>
        <w:pStyle w:val="42"/>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14:paraId="5D3C7BAC">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0AC14F5E">
      <w:pPr>
        <w:spacing w:line="360" w:lineRule="auto"/>
        <w:ind w:left="420"/>
        <w:rPr>
          <w:rFonts w:ascii="宋体" w:hAnsi="宋体"/>
          <w:color w:val="000000" w:themeColor="text1"/>
          <w:sz w:val="24"/>
          <w14:textFill>
            <w14:solidFill>
              <w14:schemeClr w14:val="tx1"/>
            </w14:solidFill>
          </w14:textFill>
        </w:rPr>
      </w:pPr>
    </w:p>
    <w:p w14:paraId="4F628ED9">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05A20728">
      <w:pPr>
        <w:spacing w:line="360" w:lineRule="auto"/>
        <w:ind w:firstLine="435"/>
        <w:rPr>
          <w:rFonts w:ascii="宋体" w:hAnsi="宋体"/>
          <w:color w:val="000000" w:themeColor="text1"/>
          <w:sz w:val="24"/>
          <w14:textFill>
            <w14:solidFill>
              <w14:schemeClr w14:val="tx1"/>
            </w14:solidFill>
          </w14:textFill>
        </w:rPr>
      </w:pPr>
    </w:p>
    <w:p w14:paraId="77FDFD00">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7B389830">
      <w:pPr>
        <w:spacing w:line="360" w:lineRule="auto"/>
        <w:rPr>
          <w:rFonts w:ascii="宋体" w:hAnsi="宋体"/>
          <w:color w:val="000000" w:themeColor="text1"/>
          <w:sz w:val="24"/>
          <w14:textFill>
            <w14:solidFill>
              <w14:schemeClr w14:val="tx1"/>
            </w14:solidFill>
          </w14:textFill>
        </w:rPr>
      </w:pPr>
    </w:p>
    <w:p w14:paraId="441294EA">
      <w:pPr>
        <w:pStyle w:val="51"/>
        <w:shd w:val="clear" w:color="auto" w:fill="FFFFFF"/>
        <w:spacing w:before="0" w:beforeAutospacing="0" w:after="0" w:afterAutospacing="0" w:line="360" w:lineRule="auto"/>
        <w:ind w:firstLine="424" w:firstLineChars="177"/>
        <w:rPr>
          <w:rFonts w:ascii="宋体" w:hAnsi="宋体"/>
          <w:b/>
          <w:bCs/>
          <w:color w:val="000000" w:themeColor="text1"/>
          <w:spacing w:val="1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3BFA1A28">
      <w:pPr>
        <w:spacing w:line="360" w:lineRule="auto"/>
        <w:rPr>
          <w:rFonts w:ascii="宋体" w:hAnsi="宋体"/>
          <w:b/>
          <w:color w:val="000000" w:themeColor="text1"/>
          <w:sz w:val="28"/>
          <w14:textFill>
            <w14:solidFill>
              <w14:schemeClr w14:val="tx1"/>
            </w14:solidFill>
          </w14:textFill>
        </w:rPr>
      </w:pPr>
    </w:p>
    <w:p w14:paraId="351A7E76">
      <w:pPr>
        <w:spacing w:line="360" w:lineRule="auto"/>
        <w:rPr>
          <w:rFonts w:ascii="宋体" w:hAnsi="宋体"/>
          <w:b/>
          <w:color w:val="000000" w:themeColor="text1"/>
          <w:sz w:val="28"/>
          <w14:textFill>
            <w14:solidFill>
              <w14:schemeClr w14:val="tx1"/>
            </w14:solidFill>
          </w14:textFill>
        </w:rPr>
      </w:pPr>
    </w:p>
    <w:p w14:paraId="36789549">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r>
        <w:rPr>
          <w:rFonts w:hint="eastAsia" w:ascii="宋体" w:hAnsi="宋体"/>
          <w:b/>
          <w:color w:val="000000" w:themeColor="text1"/>
          <w:sz w:val="28"/>
          <w14:textFill>
            <w14:solidFill>
              <w14:schemeClr w14:val="tx1"/>
            </w14:solidFill>
          </w14:textFill>
        </w:rPr>
        <w:t>:</w:t>
      </w:r>
    </w:p>
    <w:p w14:paraId="49CBFC88">
      <w:pPr>
        <w:pStyle w:val="6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p>
    <w:p w14:paraId="20EA21C1">
      <w:pPr>
        <w:pStyle w:val="60"/>
        <w:spacing w:line="360" w:lineRule="auto"/>
        <w:jc w:val="center"/>
        <w:rPr>
          <w:rFonts w:ascii="宋体" w:hAnsi="宋体"/>
          <w:b/>
          <w:color w:val="000000" w:themeColor="text1"/>
          <w:sz w:val="28"/>
          <w:szCs w:val="28"/>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8ED3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4BB2727">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CBF703F">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3C1D25F">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D072C5E">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B768C39">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AFFE374">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600A2B2">
            <w:pPr>
              <w:pStyle w:val="60"/>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项目单位名称及其联系人电话</w:t>
            </w:r>
          </w:p>
        </w:tc>
      </w:tr>
      <w:tr w14:paraId="328C2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C9963D1">
            <w:pPr>
              <w:pStyle w:val="60"/>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01AAB442">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BF86466">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E5951F5">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83AC047">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1DAF983">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5BF68BF">
            <w:pPr>
              <w:pStyle w:val="60"/>
              <w:spacing w:line="360" w:lineRule="auto"/>
              <w:rPr>
                <w:rFonts w:ascii="宋体" w:hAnsi="宋体" w:cs="Tahoma"/>
                <w:color w:val="000000" w:themeColor="text1"/>
                <w:sz w:val="24"/>
                <w14:textFill>
                  <w14:solidFill>
                    <w14:schemeClr w14:val="tx1"/>
                  </w14:solidFill>
                </w14:textFill>
              </w:rPr>
            </w:pPr>
          </w:p>
        </w:tc>
      </w:tr>
      <w:tr w14:paraId="79E79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C5F5785">
            <w:pPr>
              <w:pStyle w:val="60"/>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1AC80042">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3ABFB4F">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F1A485A">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40EC124">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A22CD72">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86C1DA5">
            <w:pPr>
              <w:pStyle w:val="60"/>
              <w:spacing w:line="360" w:lineRule="auto"/>
              <w:rPr>
                <w:rFonts w:ascii="宋体" w:hAnsi="宋体" w:cs="Tahoma"/>
                <w:color w:val="000000" w:themeColor="text1"/>
                <w:sz w:val="24"/>
                <w14:textFill>
                  <w14:solidFill>
                    <w14:schemeClr w14:val="tx1"/>
                  </w14:solidFill>
                </w14:textFill>
              </w:rPr>
            </w:pPr>
          </w:p>
        </w:tc>
      </w:tr>
      <w:tr w14:paraId="5C4D9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51AFB62">
            <w:pPr>
              <w:pStyle w:val="60"/>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69DDD6B7">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99545D1">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56E4B67">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943DA41">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ED15117">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DCD434A">
            <w:pPr>
              <w:pStyle w:val="60"/>
              <w:spacing w:line="360" w:lineRule="auto"/>
              <w:rPr>
                <w:rFonts w:ascii="宋体" w:hAnsi="宋体" w:cs="Tahoma"/>
                <w:color w:val="000000" w:themeColor="text1"/>
                <w:sz w:val="24"/>
                <w14:textFill>
                  <w14:solidFill>
                    <w14:schemeClr w14:val="tx1"/>
                  </w14:solidFill>
                </w14:textFill>
              </w:rPr>
            </w:pPr>
          </w:p>
        </w:tc>
      </w:tr>
      <w:tr w14:paraId="4BE8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65CB233">
            <w:pPr>
              <w:pStyle w:val="60"/>
              <w:spacing w:line="360" w:lineRule="auto"/>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00D03AC">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9F33D77">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12D133A">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D54F3CF">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399750B">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406064A">
            <w:pPr>
              <w:pStyle w:val="60"/>
              <w:spacing w:line="360" w:lineRule="auto"/>
              <w:rPr>
                <w:rFonts w:ascii="宋体" w:hAnsi="宋体" w:cs="Tahoma"/>
                <w:color w:val="000000" w:themeColor="text1"/>
                <w:sz w:val="24"/>
                <w14:textFill>
                  <w14:solidFill>
                    <w14:schemeClr w14:val="tx1"/>
                  </w14:solidFill>
                </w14:textFill>
              </w:rPr>
            </w:pPr>
          </w:p>
        </w:tc>
      </w:tr>
      <w:tr w14:paraId="18781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727D725">
            <w:pPr>
              <w:pStyle w:val="60"/>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CBFEC2F">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E1B6881">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E26D0E5">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64BF976">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8E9FF43">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D044B67">
            <w:pPr>
              <w:pStyle w:val="60"/>
              <w:spacing w:line="360" w:lineRule="auto"/>
              <w:rPr>
                <w:rFonts w:ascii="宋体" w:hAnsi="宋体" w:cs="Tahoma"/>
                <w:color w:val="000000" w:themeColor="text1"/>
                <w:sz w:val="24"/>
                <w14:textFill>
                  <w14:solidFill>
                    <w14:schemeClr w14:val="tx1"/>
                  </w14:solidFill>
                </w14:textFill>
              </w:rPr>
            </w:pPr>
          </w:p>
        </w:tc>
      </w:tr>
      <w:tr w14:paraId="509A9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1006F9">
            <w:pPr>
              <w:pStyle w:val="60"/>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6455044">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5E66712">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9078AB">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DD897F1">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C239D9C">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96B44A1">
            <w:pPr>
              <w:pStyle w:val="60"/>
              <w:spacing w:line="360" w:lineRule="auto"/>
              <w:rPr>
                <w:rFonts w:ascii="宋体" w:hAnsi="宋体" w:cs="Tahoma"/>
                <w:color w:val="000000" w:themeColor="text1"/>
                <w:sz w:val="24"/>
                <w14:textFill>
                  <w14:solidFill>
                    <w14:schemeClr w14:val="tx1"/>
                  </w14:solidFill>
                </w14:textFill>
              </w:rPr>
            </w:pPr>
          </w:p>
        </w:tc>
      </w:tr>
      <w:tr w14:paraId="408F8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343A7A">
            <w:pPr>
              <w:pStyle w:val="60"/>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C3E7FD8">
            <w:pPr>
              <w:pStyle w:val="60"/>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6F2D659">
            <w:pPr>
              <w:pStyle w:val="60"/>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0070E89">
            <w:pPr>
              <w:pStyle w:val="60"/>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231BCA0">
            <w:pPr>
              <w:pStyle w:val="60"/>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1104CA6">
            <w:pPr>
              <w:pStyle w:val="60"/>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B0C74C5">
            <w:pPr>
              <w:pStyle w:val="60"/>
              <w:spacing w:line="360" w:lineRule="auto"/>
              <w:rPr>
                <w:rFonts w:ascii="宋体" w:hAnsi="宋体" w:cs="Tahoma"/>
                <w:color w:val="000000" w:themeColor="text1"/>
                <w:sz w:val="24"/>
                <w14:textFill>
                  <w14:solidFill>
                    <w14:schemeClr w14:val="tx1"/>
                  </w14:solidFill>
                </w14:textFill>
              </w:rPr>
            </w:pPr>
          </w:p>
        </w:tc>
      </w:tr>
    </w:tbl>
    <w:p w14:paraId="4D013200">
      <w:pPr>
        <w:autoSpaceDE w:val="0"/>
        <w:autoSpaceDN w:val="0"/>
        <w:adjustRightInd w:val="0"/>
        <w:spacing w:before="156" w:beforeLines="50" w:line="360" w:lineRule="auto"/>
        <w:rPr>
          <w:rFonts w:ascii="宋体" w:hAnsi="宋体" w:cs="Tahoma"/>
          <w:b/>
          <w:color w:val="000000" w:themeColor="text1"/>
          <w:szCs w:val="21"/>
          <w14:textFill>
            <w14:solidFill>
              <w14:schemeClr w14:val="tx1"/>
            </w14:solidFill>
          </w14:textFill>
        </w:rPr>
      </w:pPr>
      <w:r>
        <w:rPr>
          <w:rFonts w:hint="eastAsia" w:ascii="宋体" w:hAnsi="宋体" w:cs="Tahoma"/>
          <w:b/>
          <w:color w:val="000000" w:themeColor="text1"/>
          <w:szCs w:val="21"/>
          <w14:textFill>
            <w14:solidFill>
              <w14:schemeClr w14:val="tx1"/>
            </w14:solidFill>
          </w14:textFill>
        </w:rPr>
        <w:t>要求</w:t>
      </w:r>
      <w:r>
        <w:rPr>
          <w:rFonts w:ascii="宋体" w:hAnsi="宋体" w:cs="Tahoma"/>
          <w:b/>
          <w:color w:val="000000" w:themeColor="text1"/>
          <w:szCs w:val="21"/>
          <w14:textFill>
            <w14:solidFill>
              <w14:schemeClr w14:val="tx1"/>
            </w14:solidFill>
          </w14:textFill>
        </w:rPr>
        <w:t>：</w:t>
      </w:r>
    </w:p>
    <w:p w14:paraId="71409C88">
      <w:pPr>
        <w:autoSpaceDE w:val="0"/>
        <w:autoSpaceDN w:val="0"/>
        <w:adjustRightInd w:val="0"/>
        <w:spacing w:before="156" w:beforeLines="50" w:line="360" w:lineRule="auto"/>
        <w:ind w:firstLine="424" w:firstLineChars="202"/>
        <w:rPr>
          <w:rFonts w:ascii="宋体" w:hAnsi="宋体" w:cs="Tahoma"/>
          <w:b/>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1</w:t>
      </w:r>
      <w:r>
        <w:rPr>
          <w:rFonts w:hint="eastAsia" w:ascii="宋体" w:hAnsi="宋体" w:cs="Tahoma"/>
          <w:color w:val="000000" w:themeColor="text1"/>
          <w:szCs w:val="21"/>
          <w14:textFill>
            <w14:solidFill>
              <w14:schemeClr w14:val="tx1"/>
            </w14:solidFill>
          </w14:textFill>
        </w:rPr>
        <w:t>.</w:t>
      </w:r>
      <w:r>
        <w:rPr>
          <w:rFonts w:ascii="宋体" w:hAnsi="宋体" w:cs="Tahoma"/>
          <w:color w:val="000000" w:themeColor="text1"/>
          <w:szCs w:val="21"/>
          <w14:textFill>
            <w14:solidFill>
              <w14:schemeClr w14:val="tx1"/>
            </w14:solidFill>
          </w14:textFill>
        </w:rPr>
        <w:t>业绩证明应提供证明材料</w:t>
      </w:r>
      <w:r>
        <w:rPr>
          <w:rFonts w:hint="eastAsia" w:ascii="宋体" w:hAnsi="宋体" w:cs="Tahoma"/>
          <w:color w:val="000000" w:themeColor="text1"/>
          <w:szCs w:val="21"/>
          <w14:textFill>
            <w14:solidFill>
              <w14:schemeClr w14:val="tx1"/>
            </w14:solidFill>
          </w14:textFill>
        </w:rPr>
        <w:t>原件的扫描件</w:t>
      </w:r>
      <w:r>
        <w:rPr>
          <w:rFonts w:ascii="宋体" w:hAnsi="宋体" w:cs="Tahoma"/>
          <w:color w:val="000000" w:themeColor="text1"/>
          <w:szCs w:val="21"/>
          <w14:textFill>
            <w14:solidFill>
              <w14:schemeClr w14:val="tx1"/>
            </w14:solidFill>
          </w14:textFill>
        </w:rPr>
        <w:t>（合同</w:t>
      </w:r>
      <w:r>
        <w:rPr>
          <w:rFonts w:hint="eastAsia" w:ascii="宋体" w:hAnsi="宋体" w:cs="Tahoma"/>
          <w:color w:val="000000" w:themeColor="text1"/>
          <w:szCs w:val="21"/>
          <w14:textFill>
            <w14:solidFill>
              <w14:schemeClr w14:val="tx1"/>
            </w14:solidFill>
          </w14:textFill>
        </w:rPr>
        <w:t>原件的扫描件可只提供首页、显示</w:t>
      </w:r>
      <w:r>
        <w:rPr>
          <w:rFonts w:ascii="宋体" w:hAnsi="宋体" w:cs="Tahoma"/>
          <w:color w:val="000000" w:themeColor="text1"/>
          <w:szCs w:val="21"/>
          <w14:textFill>
            <w14:solidFill>
              <w14:schemeClr w14:val="tx1"/>
            </w14:solidFill>
          </w14:textFill>
        </w:rPr>
        <w:t>项目特征规模页、</w:t>
      </w:r>
      <w:r>
        <w:rPr>
          <w:rFonts w:hint="eastAsia" w:ascii="宋体" w:hAnsi="宋体" w:cs="Tahoma"/>
          <w:color w:val="000000" w:themeColor="text1"/>
          <w:szCs w:val="21"/>
          <w14:textFill>
            <w14:solidFill>
              <w14:schemeClr w14:val="tx1"/>
            </w14:solidFill>
          </w14:textFill>
        </w:rPr>
        <w:t>含金额页、盖章页并加盖磋商供应商公章</w:t>
      </w:r>
      <w:r>
        <w:rPr>
          <w:rFonts w:ascii="宋体" w:hAnsi="宋体" w:cs="Tahoma"/>
          <w:color w:val="000000" w:themeColor="text1"/>
          <w:szCs w:val="21"/>
          <w14:textFill>
            <w14:solidFill>
              <w14:schemeClr w14:val="tx1"/>
            </w14:solidFill>
          </w14:textFill>
        </w:rPr>
        <w:t>）；</w:t>
      </w:r>
    </w:p>
    <w:p w14:paraId="3CD97854">
      <w:pPr>
        <w:spacing w:line="360" w:lineRule="auto"/>
        <w:ind w:firstLine="424" w:firstLineChars="202"/>
        <w:jc w:val="left"/>
        <w:rPr>
          <w:rFonts w:ascii="宋体" w:hAnsi="宋体" w:cs="Tahoma"/>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2</w:t>
      </w:r>
      <w:r>
        <w:rPr>
          <w:rFonts w:hint="eastAsia" w:ascii="宋体" w:hAnsi="宋体" w:cs="Tahoma"/>
          <w:color w:val="000000" w:themeColor="text1"/>
          <w:szCs w:val="21"/>
          <w14:textFill>
            <w14:solidFill>
              <w14:schemeClr w14:val="tx1"/>
            </w14:solidFill>
          </w14:textFill>
        </w:rPr>
        <w:t>.磋商供应商</w:t>
      </w:r>
      <w:r>
        <w:rPr>
          <w:rFonts w:ascii="宋体" w:hAnsi="宋体" w:cs="Tahoma"/>
          <w:color w:val="000000" w:themeColor="text1"/>
          <w:szCs w:val="21"/>
          <w14:textFill>
            <w14:solidFill>
              <w14:schemeClr w14:val="tx1"/>
            </w14:solidFill>
          </w14:textFill>
        </w:rPr>
        <w:t>可按此表格式复制</w:t>
      </w:r>
      <w:r>
        <w:rPr>
          <w:rFonts w:hint="eastAsia" w:ascii="宋体" w:hAnsi="宋体" w:cs="Tahoma"/>
          <w:color w:val="000000" w:themeColor="text1"/>
          <w:szCs w:val="21"/>
          <w14:textFill>
            <w14:solidFill>
              <w14:schemeClr w14:val="tx1"/>
            </w14:solidFill>
          </w14:textFill>
        </w:rPr>
        <w:t>。</w:t>
      </w:r>
    </w:p>
    <w:p w14:paraId="6E03614B">
      <w:pPr>
        <w:spacing w:line="360" w:lineRule="auto"/>
        <w:rPr>
          <w:rFonts w:ascii="宋体" w:hAnsi="宋体"/>
          <w:color w:val="000000" w:themeColor="text1"/>
          <w:sz w:val="22"/>
          <w:szCs w:val="22"/>
          <w14:textFill>
            <w14:solidFill>
              <w14:schemeClr w14:val="tx1"/>
            </w14:solidFill>
          </w14:textFill>
        </w:rPr>
      </w:pPr>
    </w:p>
    <w:p w14:paraId="299A0556">
      <w:pPr>
        <w:spacing w:line="360" w:lineRule="auto"/>
        <w:rPr>
          <w:rFonts w:ascii="宋体" w:hAnsi="宋体"/>
          <w:color w:val="000000" w:themeColor="text1"/>
          <w:sz w:val="22"/>
          <w:szCs w:val="22"/>
          <w14:textFill>
            <w14:solidFill>
              <w14:schemeClr w14:val="tx1"/>
            </w14:solidFill>
          </w14:textFill>
        </w:rPr>
      </w:pPr>
    </w:p>
    <w:p w14:paraId="3E114717">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231ACC50">
      <w:pPr>
        <w:spacing w:line="360" w:lineRule="auto"/>
        <w:ind w:left="420"/>
        <w:rPr>
          <w:rFonts w:ascii="宋体" w:hAnsi="宋体"/>
          <w:color w:val="000000" w:themeColor="text1"/>
          <w:sz w:val="24"/>
          <w14:textFill>
            <w14:solidFill>
              <w14:schemeClr w14:val="tx1"/>
            </w14:solidFill>
          </w14:textFill>
        </w:rPr>
      </w:pPr>
    </w:p>
    <w:p w14:paraId="2632E9A5">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74D85A3B">
      <w:pPr>
        <w:spacing w:line="360" w:lineRule="auto"/>
        <w:ind w:firstLine="435"/>
        <w:rPr>
          <w:rFonts w:ascii="宋体" w:hAnsi="宋体"/>
          <w:color w:val="000000" w:themeColor="text1"/>
          <w:sz w:val="24"/>
          <w14:textFill>
            <w14:solidFill>
              <w14:schemeClr w14:val="tx1"/>
            </w14:solidFill>
          </w14:textFill>
        </w:rPr>
      </w:pPr>
    </w:p>
    <w:p w14:paraId="783D769C">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172E37D1">
      <w:pPr>
        <w:spacing w:line="360" w:lineRule="auto"/>
        <w:rPr>
          <w:rFonts w:ascii="宋体" w:hAnsi="宋体"/>
          <w:color w:val="000000" w:themeColor="text1"/>
          <w:sz w:val="24"/>
          <w14:textFill>
            <w14:solidFill>
              <w14:schemeClr w14:val="tx1"/>
            </w14:solidFill>
          </w14:textFill>
        </w:rPr>
      </w:pPr>
    </w:p>
    <w:p w14:paraId="1AC2DBA7">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68A1787C">
      <w:pPr>
        <w:jc w:val="center"/>
        <w:rPr>
          <w:rFonts w:ascii="宋体" w:hAnsi="宋体"/>
          <w:snapToGrid w:val="0"/>
          <w:color w:val="000000" w:themeColor="text1"/>
          <w:kern w:val="0"/>
          <w:sz w:val="24"/>
          <w14:textFill>
            <w14:solidFill>
              <w14:schemeClr w14:val="tx1"/>
            </w14:solidFill>
          </w14:textFill>
        </w:rPr>
      </w:pPr>
    </w:p>
    <w:p w14:paraId="03DC527E">
      <w:pPr>
        <w:tabs>
          <w:tab w:val="left" w:pos="2460"/>
        </w:tabs>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r>
        <w:rPr>
          <w:rFonts w:hint="eastAsia" w:ascii="宋体" w:hAnsi="宋体"/>
          <w:b/>
          <w:color w:val="000000" w:themeColor="text1"/>
          <w:sz w:val="28"/>
          <w14:textFill>
            <w14:solidFill>
              <w14:schemeClr w14:val="tx1"/>
            </w14:solidFill>
          </w14:textFill>
        </w:rPr>
        <w:t xml:space="preserve">:  </w:t>
      </w:r>
      <w:r>
        <w:rPr>
          <w:rFonts w:ascii="宋体" w:hAnsi="宋体"/>
          <w:b/>
          <w:color w:val="000000" w:themeColor="text1"/>
          <w:sz w:val="28"/>
          <w14:textFill>
            <w14:solidFill>
              <w14:schemeClr w14:val="tx1"/>
            </w14:solidFill>
          </w14:textFill>
        </w:rPr>
        <w:tab/>
      </w:r>
      <w:r>
        <w:rPr>
          <w:rFonts w:hint="eastAsia" w:ascii="宋体" w:hAnsi="宋体"/>
          <w:b/>
          <w:color w:val="000000" w:themeColor="text1"/>
          <w:sz w:val="30"/>
          <w:szCs w:val="30"/>
          <w14:textFill>
            <w14:solidFill>
              <w14:schemeClr w14:val="tx1"/>
            </w14:solidFill>
          </w14:textFill>
        </w:rPr>
        <w:t xml:space="preserve">                              </w:t>
      </w:r>
    </w:p>
    <w:p w14:paraId="36A5F33C">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14:paraId="6A03FD97">
      <w:pPr>
        <w:spacing w:line="360" w:lineRule="auto"/>
        <w:ind w:left="-2" w:hanging="2"/>
        <w:jc w:val="center"/>
        <w:rPr>
          <w:rFonts w:ascii="宋体" w:hAnsi="宋体"/>
          <w:b/>
          <w:color w:val="000000" w:themeColor="text1"/>
          <w:sz w:val="32"/>
          <w:szCs w:val="32"/>
          <w14:textFill>
            <w14:solidFill>
              <w14:schemeClr w14:val="tx1"/>
            </w14:solidFill>
          </w14:textFill>
        </w:rPr>
      </w:pPr>
    </w:p>
    <w:p w14:paraId="50D0D2FA">
      <w:pPr>
        <w:pStyle w:val="6"/>
        <w:spacing w:line="320" w:lineRule="exact"/>
        <w:rPr>
          <w:rFonts w:ascii="宋体" w:hAnsi="宋体" w:eastAsia="宋体"/>
          <w:b/>
          <w:color w:val="000000" w:themeColor="text1"/>
          <w:sz w:val="24"/>
          <w14:textFill>
            <w14:solidFill>
              <w14:schemeClr w14:val="tx1"/>
            </w14:solidFill>
          </w14:textFill>
        </w:rPr>
      </w:pPr>
    </w:p>
    <w:p w14:paraId="7221E6F2">
      <w:pPr>
        <w:pStyle w:val="6"/>
        <w:spacing w:line="320" w:lineRule="exact"/>
        <w:rPr>
          <w:rFonts w:ascii="宋体" w:hAnsi="宋体" w:eastAsia="宋体"/>
          <w:b/>
          <w:color w:val="000000" w:themeColor="text1"/>
          <w:sz w:val="24"/>
          <w:u w:val="single"/>
          <w14:textFill>
            <w14:solidFill>
              <w14:schemeClr w14:val="tx1"/>
            </w14:solidFill>
          </w14:textFill>
        </w:rPr>
      </w:pPr>
      <w:r>
        <w:rPr>
          <w:rFonts w:ascii="宋体" w:hAnsi="宋体" w:eastAsia="宋体"/>
          <w:b/>
          <w:color w:val="000000" w:themeColor="text1"/>
          <w:sz w:val="24"/>
          <w14:textFill>
            <w14:solidFill>
              <w14:schemeClr w14:val="tx1"/>
            </w14:solidFill>
          </w14:textFill>
        </w:rPr>
        <w:t>项目编号：</w:t>
      </w:r>
      <w:r>
        <w:rPr>
          <w:rFonts w:hint="eastAsia" w:ascii="宋体" w:hAnsi="宋体" w:eastAsia="宋体"/>
          <w:b/>
          <w:color w:val="000000" w:themeColor="text1"/>
          <w:sz w:val="24"/>
          <w:u w:val="single"/>
          <w14:textFill>
            <w14:solidFill>
              <w14:schemeClr w14:val="tx1"/>
            </w14:solidFill>
          </w14:textFill>
        </w:rPr>
        <w:t xml:space="preserve">               </w:t>
      </w:r>
    </w:p>
    <w:p w14:paraId="5ABF86F5">
      <w:pPr>
        <w:pStyle w:val="49"/>
        <w:spacing w:line="360" w:lineRule="auto"/>
        <w:ind w:right="48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DCC52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8075D26">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3FCB39D">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819CF57">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2F9605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195CBAC">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3C98B4B5">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E6210B2">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14:paraId="74E15339">
      <w:pPr>
        <w:spacing w:line="360" w:lineRule="auto"/>
        <w:ind w:left="480"/>
        <w:rPr>
          <w:rFonts w:ascii="宋体" w:hAnsi="宋体"/>
          <w:b/>
          <w:color w:val="000000" w:themeColor="text1"/>
          <w:sz w:val="30"/>
          <w14:textFill>
            <w14:solidFill>
              <w14:schemeClr w14:val="tx1"/>
            </w14:solidFill>
          </w14:textFill>
        </w:rPr>
      </w:pPr>
    </w:p>
    <w:p w14:paraId="37442F7E">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14:paraId="03A00BCB">
      <w:pPr>
        <w:pStyle w:val="5"/>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总报价应当包含本项目采购内容中的所有工作开支。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04E780BF">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2.报价一经涂改，应在涂改处加盖单位公章，或者由法定代表人或全权代表签字或盖章，否则作无效标处理。</w:t>
      </w:r>
    </w:p>
    <w:p w14:paraId="7955FFEE">
      <w:pPr>
        <w:spacing w:line="320" w:lineRule="exact"/>
        <w:ind w:left="420"/>
        <w:rPr>
          <w:rFonts w:ascii="宋体" w:hAnsi="宋体"/>
          <w:color w:val="000000" w:themeColor="text1"/>
          <w:sz w:val="24"/>
          <w14:textFill>
            <w14:solidFill>
              <w14:schemeClr w14:val="tx1"/>
            </w14:solidFill>
          </w14:textFill>
        </w:rPr>
      </w:pPr>
    </w:p>
    <w:p w14:paraId="2C31A94D">
      <w:pPr>
        <w:spacing w:line="320" w:lineRule="exact"/>
        <w:ind w:left="420"/>
        <w:rPr>
          <w:rFonts w:ascii="宋体" w:hAnsi="宋体"/>
          <w:color w:val="000000" w:themeColor="text1"/>
          <w:sz w:val="24"/>
          <w14:textFill>
            <w14:solidFill>
              <w14:schemeClr w14:val="tx1"/>
            </w14:solidFill>
          </w14:textFill>
        </w:rPr>
      </w:pPr>
    </w:p>
    <w:p w14:paraId="6087B84F">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14:paraId="384EAF96">
      <w:pPr>
        <w:spacing w:line="320" w:lineRule="exact"/>
        <w:ind w:left="420"/>
        <w:rPr>
          <w:rFonts w:ascii="宋体" w:hAnsi="宋体"/>
          <w:color w:val="000000" w:themeColor="text1"/>
          <w:sz w:val="24"/>
          <w14:textFill>
            <w14:solidFill>
              <w14:schemeClr w14:val="tx1"/>
            </w14:solidFill>
          </w14:textFill>
        </w:rPr>
      </w:pPr>
    </w:p>
    <w:p w14:paraId="0696D59F">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14:paraId="6B11C3BD">
      <w:pPr>
        <w:spacing w:line="320" w:lineRule="exact"/>
        <w:ind w:firstLine="435"/>
        <w:rPr>
          <w:rFonts w:ascii="宋体" w:hAnsi="宋体"/>
          <w:color w:val="000000" w:themeColor="text1"/>
          <w:sz w:val="24"/>
          <w14:textFill>
            <w14:solidFill>
              <w14:schemeClr w14:val="tx1"/>
            </w14:solidFill>
          </w14:textFill>
        </w:rPr>
      </w:pPr>
    </w:p>
    <w:p w14:paraId="7CCC1EC9">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7AB38251">
      <w:pPr>
        <w:spacing w:line="320" w:lineRule="exact"/>
        <w:ind w:firstLine="435"/>
        <w:rPr>
          <w:rFonts w:ascii="宋体" w:hAnsi="宋体"/>
          <w:color w:val="000000" w:themeColor="text1"/>
          <w:sz w:val="24"/>
          <w14:textFill>
            <w14:solidFill>
              <w14:schemeClr w14:val="tx1"/>
            </w14:solidFill>
          </w14:textFill>
        </w:rPr>
      </w:pPr>
    </w:p>
    <w:p w14:paraId="0658F4DD">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79A40260">
      <w:pPr>
        <w:adjustRightInd w:val="0"/>
        <w:snapToGrid w:val="0"/>
        <w:spacing w:line="360" w:lineRule="auto"/>
        <w:ind w:right="480"/>
        <w:jc w:val="center"/>
        <w:rPr>
          <w:rFonts w:ascii="宋体" w:hAnsi="宋体" w:cs="方正书宋简体"/>
          <w:color w:val="000000" w:themeColor="text1"/>
          <w:kern w:val="0"/>
          <w:sz w:val="24"/>
          <w:lang w:val="zh-CN"/>
          <w14:textFill>
            <w14:solidFill>
              <w14:schemeClr w14:val="tx1"/>
            </w14:solidFill>
          </w14:textFill>
        </w:rPr>
      </w:pPr>
    </w:p>
    <w:p w14:paraId="08E94130">
      <w:pPr>
        <w:spacing w:line="360" w:lineRule="auto"/>
        <w:rPr>
          <w:rFonts w:ascii="宋体" w:hAnsi="宋体"/>
          <w:b/>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18CF923">
      <w:pPr>
        <w:spacing w:line="360" w:lineRule="auto"/>
        <w:ind w:left="-2" w:hanging="2"/>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11</w:t>
      </w:r>
      <w:r>
        <w:rPr>
          <w:rFonts w:hint="eastAsia" w:ascii="宋体" w:hAnsi="宋体"/>
          <w:b/>
          <w:color w:val="000000" w:themeColor="text1"/>
          <w:sz w:val="28"/>
          <w14:textFill>
            <w14:solidFill>
              <w14:schemeClr w14:val="tx1"/>
            </w14:solidFill>
          </w14:textFill>
        </w:rPr>
        <w:t xml:space="preserve">:  </w:t>
      </w:r>
    </w:p>
    <w:p w14:paraId="1663F3FD">
      <w:pPr>
        <w:widowControl/>
        <w:jc w:val="center"/>
        <w:rPr>
          <w:rFonts w:ascii="宋体" w:hAnsi="宋体" w:cs="宋体"/>
          <w:b/>
          <w:color w:val="000000" w:themeColor="text1"/>
          <w:kern w:val="0"/>
          <w:sz w:val="36"/>
          <w:szCs w:val="36"/>
          <w14:textFill>
            <w14:solidFill>
              <w14:schemeClr w14:val="tx1"/>
            </w14:solidFill>
          </w14:textFill>
        </w:rPr>
      </w:pPr>
    </w:p>
    <w:p w14:paraId="21936080">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中小企业声明函</w:t>
      </w:r>
    </w:p>
    <w:p w14:paraId="743DF15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本公司郑重声明，根据《政府采购促进中小企业发展管理办法》（财库﹝2020﹞46 号）的规定，本公司参加</w:t>
      </w:r>
      <w:r>
        <w:rPr>
          <w:rFonts w:hint="eastAsia" w:ascii="宋体" w:hAnsi="宋体" w:cs="宋体"/>
          <w:i/>
          <w:color w:val="000000" w:themeColor="text1"/>
          <w:kern w:val="0"/>
          <w:sz w:val="24"/>
          <w:u w:val="single"/>
          <w14:textFill>
            <w14:solidFill>
              <w14:schemeClr w14:val="tx1"/>
            </w14:solidFill>
          </w14:textFill>
        </w:rPr>
        <w:t>（单位名称）</w:t>
      </w:r>
      <w:r>
        <w:rPr>
          <w:rFonts w:hint="eastAsia" w:ascii="宋体" w:hAnsi="宋体" w:cs="宋体"/>
          <w:color w:val="000000" w:themeColor="text1"/>
          <w:kern w:val="0"/>
          <w:sz w:val="24"/>
          <w14:textFill>
            <w14:solidFill>
              <w14:schemeClr w14:val="tx1"/>
            </w14:solidFill>
          </w14:textFill>
        </w:rPr>
        <w:t>的</w:t>
      </w:r>
      <w:r>
        <w:rPr>
          <w:rFonts w:hint="eastAsia" w:ascii="宋体" w:hAnsi="宋体" w:cs="宋体"/>
          <w:i/>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采购活动，全部为符合政策要求的中小企业（或者：服务全部由符合政策要求的中小企业承接）。相关企业（含联合体中的中小企业、签订分包意向协议的中小企业）的具体情 况如下：</w:t>
      </w:r>
    </w:p>
    <w:p w14:paraId="75B4A6D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宋体" w:hAnsi="宋体" w:cs="宋体"/>
          <w:i/>
          <w:color w:val="000000" w:themeColor="text1"/>
          <w:kern w:val="0"/>
          <w:sz w:val="24"/>
          <w:u w:val="single"/>
          <w14:textFill>
            <w14:solidFill>
              <w14:schemeClr w14:val="tx1"/>
            </w14:solidFill>
          </w14:textFill>
        </w:rPr>
        <w:t xml:space="preserve">（标的名称）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i/>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；承建（承接）企业为</w:t>
      </w:r>
      <w:r>
        <w:rPr>
          <w:rFonts w:hint="eastAsia" w:ascii="宋体" w:hAnsi="宋体" w:cs="宋体"/>
          <w:i/>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人，营业收入为</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i/>
          <w:color w:val="000000" w:themeColor="text1"/>
          <w:kern w:val="0"/>
          <w:sz w:val="24"/>
          <w:u w:val="single"/>
          <w14:textFill>
            <w14:solidFill>
              <w14:schemeClr w14:val="tx1"/>
            </w14:solidFill>
          </w14:textFill>
        </w:rPr>
        <w:t>（中型企业、 小型企业、微型企业）</w:t>
      </w:r>
      <w:r>
        <w:rPr>
          <w:rFonts w:hint="eastAsia" w:ascii="宋体" w:hAnsi="宋体" w:cs="宋体"/>
          <w:color w:val="000000" w:themeColor="text1"/>
          <w:kern w:val="0"/>
          <w:sz w:val="24"/>
          <w14:textFill>
            <w14:solidFill>
              <w14:schemeClr w14:val="tx1"/>
            </w14:solidFill>
          </w14:textFill>
        </w:rPr>
        <w:t xml:space="preserve">； </w:t>
      </w:r>
    </w:p>
    <w:p w14:paraId="5CE2436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1317BAC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以上企业，不属于大企业的分支机构，不存在控股股东为大企业的情形，也不存在与大企业的负责人为同一人的情形。本企业对上述声明内容的真实性负责。如有虚假，将依法承担相应责任。 </w:t>
      </w:r>
    </w:p>
    <w:p w14:paraId="75ABB15A">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注：从业人员、营业收入、资产总额填报上一年度数据，无上一年度数据的新成立企业可不填报。</w:t>
      </w:r>
    </w:p>
    <w:p w14:paraId="4FA1E19C">
      <w:pPr>
        <w:ind w:firstLine="420"/>
        <w:rPr>
          <w:rFonts w:ascii="Times New Roman" w:hAnsi="Times New Roman"/>
          <w:color w:val="000000" w:themeColor="text1"/>
          <w:szCs w:val="20"/>
          <w14:textFill>
            <w14:solidFill>
              <w14:schemeClr w14:val="tx1"/>
            </w14:solidFill>
          </w14:textFill>
        </w:rPr>
      </w:pPr>
    </w:p>
    <w:p w14:paraId="13DDA488">
      <w:pPr>
        <w:widowControl/>
        <w:spacing w:line="360" w:lineRule="auto"/>
        <w:jc w:val="center"/>
        <w:rPr>
          <w:rFonts w:ascii="宋体" w:hAnsi="宋体" w:cs="宋体"/>
          <w:color w:val="000000" w:themeColor="text1"/>
          <w:kern w:val="0"/>
          <w:sz w:val="24"/>
          <w14:textFill>
            <w14:solidFill>
              <w14:schemeClr w14:val="tx1"/>
            </w14:solidFill>
          </w14:textFill>
        </w:rPr>
      </w:pPr>
    </w:p>
    <w:p w14:paraId="074C205F">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企业名称（盖章）： </w:t>
      </w:r>
    </w:p>
    <w:p w14:paraId="2BD02F47">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日 期：</w:t>
      </w:r>
    </w:p>
    <w:p w14:paraId="78BCDF1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14:paraId="1E16BA42">
      <w:pPr>
        <w:pStyle w:val="64"/>
        <w:spacing w:line="360" w:lineRule="auto"/>
        <w:jc w:val="center"/>
        <w:rPr>
          <w:rFonts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残疾人福利性单位声明函</w:t>
      </w:r>
    </w:p>
    <w:p w14:paraId="3329DFB8">
      <w:pPr>
        <w:pStyle w:val="7"/>
        <w:ind w:left="5250"/>
        <w:rPr>
          <w:rFonts w:ascii="宋体" w:hAnsi="宋体" w:eastAsia="宋体" w:cs="宋体"/>
          <w:color w:val="000000" w:themeColor="text1"/>
          <w:sz w:val="24"/>
          <w:szCs w:val="24"/>
          <w:lang w:val="en-GB"/>
          <w14:textFill>
            <w14:solidFill>
              <w14:schemeClr w14:val="tx1"/>
            </w14:solidFill>
          </w14:textFill>
        </w:rPr>
      </w:pPr>
    </w:p>
    <w:p w14:paraId="2268D0D1">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p>
    <w:p w14:paraId="2EA78431">
      <w:pPr>
        <w:spacing w:line="588"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4F25277">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14:paraId="434EC317">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14:paraId="02049885">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企业名称（盖章）： </w:t>
      </w:r>
    </w:p>
    <w:p w14:paraId="720177EA">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日 期：</w:t>
      </w:r>
    </w:p>
    <w:p w14:paraId="7F7E8642">
      <w:pPr>
        <w:pStyle w:val="15"/>
        <w:rPr>
          <w:rFonts w:ascii="宋体" w:hAnsi="宋体" w:cs="宋体"/>
          <w:color w:val="000000" w:themeColor="text1"/>
          <w14:textFill>
            <w14:solidFill>
              <w14:schemeClr w14:val="tx1"/>
            </w14:solidFill>
          </w14:textFill>
        </w:rPr>
      </w:pPr>
    </w:p>
    <w:p w14:paraId="1F9B1ECA">
      <w:pPr>
        <w:rPr>
          <w:rFonts w:ascii="宋体" w:hAnsi="宋体" w:cs="宋体"/>
          <w:color w:val="000000" w:themeColor="text1"/>
          <w14:textFill>
            <w14:solidFill>
              <w14:schemeClr w14:val="tx1"/>
            </w14:solidFill>
          </w14:textFill>
        </w:rPr>
      </w:pPr>
    </w:p>
    <w:p w14:paraId="6C288BFD">
      <w:pPr>
        <w:pStyle w:val="51"/>
        <w:shd w:val="clear" w:color="auto" w:fill="FFFFFF"/>
        <w:spacing w:before="0" w:beforeAutospacing="0" w:after="0" w:afterAutospacing="0" w:line="360" w:lineRule="auto"/>
        <w:ind w:firstLine="424" w:firstLineChars="177"/>
        <w:rPr>
          <w:rFonts w:ascii="宋体" w:hAnsi="宋体" w:cs="宋体"/>
          <w:color w:val="000000" w:themeColor="text1"/>
          <w14:textFill>
            <w14:solidFill>
              <w14:schemeClr w14:val="tx1"/>
            </w14:solidFill>
          </w14:textFill>
        </w:rPr>
      </w:pPr>
    </w:p>
    <w:p w14:paraId="6EC309ED">
      <w:pPr>
        <w:pStyle w:val="16"/>
        <w:ind w:firstLine="21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42F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CCC2">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169C">
    <w:pPr>
      <w:spacing w:line="20" w:lineRule="atLeast"/>
      <w:rPr>
        <w:b/>
        <w:color w:val="808080"/>
        <w:sz w:val="10"/>
        <w:u w:val="single"/>
      </w:rPr>
    </w:pP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73</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1E98918"/>
    <w:multiLevelType w:val="singleLevel"/>
    <w:tmpl w:val="01E98918"/>
    <w:lvl w:ilvl="0" w:tentative="0">
      <w:start w:val="1"/>
      <w:numFmt w:val="decimal"/>
      <w:suff w:val="nothing"/>
      <w:lvlText w:val="%1．"/>
      <w:lvlJc w:val="left"/>
    </w:lvl>
  </w:abstractNum>
  <w:abstractNum w:abstractNumId="2">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785F96"/>
    <w:multiLevelType w:val="singleLevel"/>
    <w:tmpl w:val="5C785F96"/>
    <w:lvl w:ilvl="0" w:tentative="0">
      <w:start w:val="2"/>
      <w:numFmt w:val="decimal"/>
      <w:suff w:val="nothing"/>
      <w:lvlText w:val="（%1）"/>
      <w:lvlJc w:val="left"/>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jRlMDI0ZDhjNDg5YjhmNTdlNjI5ZTE2NjIxNjMifQ=="/>
  </w:docVars>
  <w:rsids>
    <w:rsidRoot w:val="00225CDE"/>
    <w:rsid w:val="00002FCA"/>
    <w:rsid w:val="00003136"/>
    <w:rsid w:val="000068E3"/>
    <w:rsid w:val="00007EDE"/>
    <w:rsid w:val="000113CF"/>
    <w:rsid w:val="00011993"/>
    <w:rsid w:val="00014706"/>
    <w:rsid w:val="00014981"/>
    <w:rsid w:val="00014A3D"/>
    <w:rsid w:val="00015FF4"/>
    <w:rsid w:val="0002114A"/>
    <w:rsid w:val="000238C2"/>
    <w:rsid w:val="000251CD"/>
    <w:rsid w:val="00033334"/>
    <w:rsid w:val="00033E53"/>
    <w:rsid w:val="00034FCB"/>
    <w:rsid w:val="00037264"/>
    <w:rsid w:val="00041FBE"/>
    <w:rsid w:val="00057F44"/>
    <w:rsid w:val="000618F0"/>
    <w:rsid w:val="000643FA"/>
    <w:rsid w:val="00070016"/>
    <w:rsid w:val="0007117D"/>
    <w:rsid w:val="00071E69"/>
    <w:rsid w:val="00075CEE"/>
    <w:rsid w:val="000760F9"/>
    <w:rsid w:val="00076373"/>
    <w:rsid w:val="00077A92"/>
    <w:rsid w:val="00084D51"/>
    <w:rsid w:val="00086D8C"/>
    <w:rsid w:val="00092528"/>
    <w:rsid w:val="00093886"/>
    <w:rsid w:val="0009771D"/>
    <w:rsid w:val="000A1651"/>
    <w:rsid w:val="000A1947"/>
    <w:rsid w:val="000A3E87"/>
    <w:rsid w:val="000A5FE4"/>
    <w:rsid w:val="000A6575"/>
    <w:rsid w:val="000B736F"/>
    <w:rsid w:val="000C0B10"/>
    <w:rsid w:val="000C5B76"/>
    <w:rsid w:val="000C6D68"/>
    <w:rsid w:val="000D4371"/>
    <w:rsid w:val="000D43DA"/>
    <w:rsid w:val="000E308E"/>
    <w:rsid w:val="000E3830"/>
    <w:rsid w:val="000F2A3C"/>
    <w:rsid w:val="000F393B"/>
    <w:rsid w:val="000F7CAB"/>
    <w:rsid w:val="00104099"/>
    <w:rsid w:val="00104291"/>
    <w:rsid w:val="00104C65"/>
    <w:rsid w:val="0010589B"/>
    <w:rsid w:val="00111749"/>
    <w:rsid w:val="00111E1B"/>
    <w:rsid w:val="00112B03"/>
    <w:rsid w:val="00114E4B"/>
    <w:rsid w:val="001163A3"/>
    <w:rsid w:val="00116C9D"/>
    <w:rsid w:val="001224C6"/>
    <w:rsid w:val="00122D50"/>
    <w:rsid w:val="001230AB"/>
    <w:rsid w:val="0012356E"/>
    <w:rsid w:val="0013116D"/>
    <w:rsid w:val="001318A9"/>
    <w:rsid w:val="00131B16"/>
    <w:rsid w:val="001346F0"/>
    <w:rsid w:val="00134E23"/>
    <w:rsid w:val="0013792F"/>
    <w:rsid w:val="00140EC9"/>
    <w:rsid w:val="00142C82"/>
    <w:rsid w:val="001471D3"/>
    <w:rsid w:val="00147C0A"/>
    <w:rsid w:val="001501C0"/>
    <w:rsid w:val="00151661"/>
    <w:rsid w:val="001516AF"/>
    <w:rsid w:val="00151CF7"/>
    <w:rsid w:val="00153F10"/>
    <w:rsid w:val="00156091"/>
    <w:rsid w:val="001574E8"/>
    <w:rsid w:val="00161076"/>
    <w:rsid w:val="0016361A"/>
    <w:rsid w:val="00166951"/>
    <w:rsid w:val="00166D22"/>
    <w:rsid w:val="001707B1"/>
    <w:rsid w:val="00175B4D"/>
    <w:rsid w:val="001771E5"/>
    <w:rsid w:val="001778D7"/>
    <w:rsid w:val="00181F9E"/>
    <w:rsid w:val="001830C2"/>
    <w:rsid w:val="00190B97"/>
    <w:rsid w:val="00191356"/>
    <w:rsid w:val="0019183A"/>
    <w:rsid w:val="00196345"/>
    <w:rsid w:val="00196BAF"/>
    <w:rsid w:val="001A554A"/>
    <w:rsid w:val="001A6152"/>
    <w:rsid w:val="001B1EE3"/>
    <w:rsid w:val="001B22C4"/>
    <w:rsid w:val="001B2AA9"/>
    <w:rsid w:val="001B40C9"/>
    <w:rsid w:val="001D1DB2"/>
    <w:rsid w:val="001D3566"/>
    <w:rsid w:val="001D4467"/>
    <w:rsid w:val="001D53D7"/>
    <w:rsid w:val="001D7F0C"/>
    <w:rsid w:val="001E4207"/>
    <w:rsid w:val="001E66E4"/>
    <w:rsid w:val="001E738B"/>
    <w:rsid w:val="001E7EDC"/>
    <w:rsid w:val="001F00FE"/>
    <w:rsid w:val="0020305B"/>
    <w:rsid w:val="00204B47"/>
    <w:rsid w:val="00205663"/>
    <w:rsid w:val="00206D1D"/>
    <w:rsid w:val="00207A5A"/>
    <w:rsid w:val="0021077C"/>
    <w:rsid w:val="002116C9"/>
    <w:rsid w:val="00212144"/>
    <w:rsid w:val="0021231A"/>
    <w:rsid w:val="00214AF7"/>
    <w:rsid w:val="00216F12"/>
    <w:rsid w:val="00217E6D"/>
    <w:rsid w:val="00225CDE"/>
    <w:rsid w:val="00225EE4"/>
    <w:rsid w:val="002272C6"/>
    <w:rsid w:val="00231A93"/>
    <w:rsid w:val="00234C48"/>
    <w:rsid w:val="00236611"/>
    <w:rsid w:val="002414C8"/>
    <w:rsid w:val="00241EB4"/>
    <w:rsid w:val="00244E07"/>
    <w:rsid w:val="0024561C"/>
    <w:rsid w:val="00246F9E"/>
    <w:rsid w:val="0025079B"/>
    <w:rsid w:val="00252C30"/>
    <w:rsid w:val="00254AC0"/>
    <w:rsid w:val="00255016"/>
    <w:rsid w:val="00256CB0"/>
    <w:rsid w:val="00257A80"/>
    <w:rsid w:val="002600D1"/>
    <w:rsid w:val="00260934"/>
    <w:rsid w:val="0026109B"/>
    <w:rsid w:val="002635F8"/>
    <w:rsid w:val="00263B66"/>
    <w:rsid w:val="00264884"/>
    <w:rsid w:val="00270EB6"/>
    <w:rsid w:val="00271703"/>
    <w:rsid w:val="00273B2A"/>
    <w:rsid w:val="002760D9"/>
    <w:rsid w:val="0027713C"/>
    <w:rsid w:val="00287BAB"/>
    <w:rsid w:val="00291659"/>
    <w:rsid w:val="002947E2"/>
    <w:rsid w:val="00296AEA"/>
    <w:rsid w:val="002A18EC"/>
    <w:rsid w:val="002B08C7"/>
    <w:rsid w:val="002B1B9A"/>
    <w:rsid w:val="002B56C9"/>
    <w:rsid w:val="002C3AF4"/>
    <w:rsid w:val="002C52E5"/>
    <w:rsid w:val="002D0961"/>
    <w:rsid w:val="002D1599"/>
    <w:rsid w:val="002D26EF"/>
    <w:rsid w:val="002D3351"/>
    <w:rsid w:val="002D3C2B"/>
    <w:rsid w:val="002D47DD"/>
    <w:rsid w:val="002D4E9E"/>
    <w:rsid w:val="002E0695"/>
    <w:rsid w:val="002E12F2"/>
    <w:rsid w:val="002E1E8B"/>
    <w:rsid w:val="002E285F"/>
    <w:rsid w:val="002E3A67"/>
    <w:rsid w:val="002E4B72"/>
    <w:rsid w:val="002E665C"/>
    <w:rsid w:val="002F14B6"/>
    <w:rsid w:val="002F2E84"/>
    <w:rsid w:val="002F312F"/>
    <w:rsid w:val="002F34C8"/>
    <w:rsid w:val="002F384A"/>
    <w:rsid w:val="002F52DF"/>
    <w:rsid w:val="002F61FA"/>
    <w:rsid w:val="002F67C7"/>
    <w:rsid w:val="00301FF1"/>
    <w:rsid w:val="00302B3E"/>
    <w:rsid w:val="0030359F"/>
    <w:rsid w:val="0031041F"/>
    <w:rsid w:val="00314627"/>
    <w:rsid w:val="00314F2B"/>
    <w:rsid w:val="00317C2F"/>
    <w:rsid w:val="0032065E"/>
    <w:rsid w:val="003208FB"/>
    <w:rsid w:val="00321186"/>
    <w:rsid w:val="00321974"/>
    <w:rsid w:val="003261EA"/>
    <w:rsid w:val="00330157"/>
    <w:rsid w:val="0033046C"/>
    <w:rsid w:val="00330FCA"/>
    <w:rsid w:val="0033249C"/>
    <w:rsid w:val="0033564A"/>
    <w:rsid w:val="00336F8A"/>
    <w:rsid w:val="003430D2"/>
    <w:rsid w:val="003448C9"/>
    <w:rsid w:val="00347829"/>
    <w:rsid w:val="003505FE"/>
    <w:rsid w:val="0035233F"/>
    <w:rsid w:val="003556D8"/>
    <w:rsid w:val="003625A2"/>
    <w:rsid w:val="003644DD"/>
    <w:rsid w:val="003671A6"/>
    <w:rsid w:val="003672EE"/>
    <w:rsid w:val="003672F7"/>
    <w:rsid w:val="003709B9"/>
    <w:rsid w:val="00372507"/>
    <w:rsid w:val="00372E53"/>
    <w:rsid w:val="00374028"/>
    <w:rsid w:val="00374CB0"/>
    <w:rsid w:val="003769A9"/>
    <w:rsid w:val="00376C70"/>
    <w:rsid w:val="00377352"/>
    <w:rsid w:val="00380683"/>
    <w:rsid w:val="00381C5F"/>
    <w:rsid w:val="00386D57"/>
    <w:rsid w:val="00387546"/>
    <w:rsid w:val="003915F1"/>
    <w:rsid w:val="00397A50"/>
    <w:rsid w:val="003A53DD"/>
    <w:rsid w:val="003A739A"/>
    <w:rsid w:val="003A7970"/>
    <w:rsid w:val="003B04B4"/>
    <w:rsid w:val="003B7536"/>
    <w:rsid w:val="003C1BC4"/>
    <w:rsid w:val="003C6328"/>
    <w:rsid w:val="003C662E"/>
    <w:rsid w:val="003D06E7"/>
    <w:rsid w:val="003D22B7"/>
    <w:rsid w:val="003D3BED"/>
    <w:rsid w:val="003D5AA1"/>
    <w:rsid w:val="003D7521"/>
    <w:rsid w:val="003E1D65"/>
    <w:rsid w:val="003E4624"/>
    <w:rsid w:val="00405E5A"/>
    <w:rsid w:val="004125ED"/>
    <w:rsid w:val="0041416B"/>
    <w:rsid w:val="004147D9"/>
    <w:rsid w:val="00424ECB"/>
    <w:rsid w:val="004250B3"/>
    <w:rsid w:val="004270B4"/>
    <w:rsid w:val="004310DC"/>
    <w:rsid w:val="004370AB"/>
    <w:rsid w:val="0044224A"/>
    <w:rsid w:val="004426F5"/>
    <w:rsid w:val="00450129"/>
    <w:rsid w:val="0045227B"/>
    <w:rsid w:val="00452557"/>
    <w:rsid w:val="004542DD"/>
    <w:rsid w:val="00456F48"/>
    <w:rsid w:val="00457B04"/>
    <w:rsid w:val="00457CE6"/>
    <w:rsid w:val="0046059F"/>
    <w:rsid w:val="00465D93"/>
    <w:rsid w:val="004663F2"/>
    <w:rsid w:val="004677D3"/>
    <w:rsid w:val="00477523"/>
    <w:rsid w:val="00483F08"/>
    <w:rsid w:val="004916BA"/>
    <w:rsid w:val="004921ED"/>
    <w:rsid w:val="004932F9"/>
    <w:rsid w:val="004A025E"/>
    <w:rsid w:val="004A1381"/>
    <w:rsid w:val="004A2C45"/>
    <w:rsid w:val="004A4ACE"/>
    <w:rsid w:val="004B0C7C"/>
    <w:rsid w:val="004B30C4"/>
    <w:rsid w:val="004C537A"/>
    <w:rsid w:val="004C6BF3"/>
    <w:rsid w:val="004C6C06"/>
    <w:rsid w:val="004D0AB5"/>
    <w:rsid w:val="004D23EA"/>
    <w:rsid w:val="004D4442"/>
    <w:rsid w:val="004D4E7A"/>
    <w:rsid w:val="004E1B0E"/>
    <w:rsid w:val="004E2E89"/>
    <w:rsid w:val="004E3290"/>
    <w:rsid w:val="004E6103"/>
    <w:rsid w:val="004E6325"/>
    <w:rsid w:val="004F53F0"/>
    <w:rsid w:val="004F6293"/>
    <w:rsid w:val="004F6578"/>
    <w:rsid w:val="00501A03"/>
    <w:rsid w:val="00501A6D"/>
    <w:rsid w:val="00502A79"/>
    <w:rsid w:val="00505FB3"/>
    <w:rsid w:val="005078C0"/>
    <w:rsid w:val="0051052F"/>
    <w:rsid w:val="00512DC3"/>
    <w:rsid w:val="00514CCC"/>
    <w:rsid w:val="005256DD"/>
    <w:rsid w:val="0052619C"/>
    <w:rsid w:val="00527BD5"/>
    <w:rsid w:val="00530195"/>
    <w:rsid w:val="0053244F"/>
    <w:rsid w:val="005423FB"/>
    <w:rsid w:val="00551E5F"/>
    <w:rsid w:val="00562B0A"/>
    <w:rsid w:val="00563CD5"/>
    <w:rsid w:val="00566B89"/>
    <w:rsid w:val="00567E6E"/>
    <w:rsid w:val="00573BA3"/>
    <w:rsid w:val="00575738"/>
    <w:rsid w:val="0058022E"/>
    <w:rsid w:val="0058067C"/>
    <w:rsid w:val="00583337"/>
    <w:rsid w:val="00583793"/>
    <w:rsid w:val="00583898"/>
    <w:rsid w:val="00596B7C"/>
    <w:rsid w:val="005A3434"/>
    <w:rsid w:val="005A4133"/>
    <w:rsid w:val="005A5FA1"/>
    <w:rsid w:val="005B04A2"/>
    <w:rsid w:val="005B2CB7"/>
    <w:rsid w:val="005B3546"/>
    <w:rsid w:val="005B4F70"/>
    <w:rsid w:val="005B5F8B"/>
    <w:rsid w:val="005B7068"/>
    <w:rsid w:val="005C6F29"/>
    <w:rsid w:val="005D5351"/>
    <w:rsid w:val="005D7BE7"/>
    <w:rsid w:val="005E107B"/>
    <w:rsid w:val="005E440B"/>
    <w:rsid w:val="005E44AE"/>
    <w:rsid w:val="005E488C"/>
    <w:rsid w:val="005E7BDA"/>
    <w:rsid w:val="005F5F0B"/>
    <w:rsid w:val="005F673A"/>
    <w:rsid w:val="005F6A48"/>
    <w:rsid w:val="006060DE"/>
    <w:rsid w:val="00610CE1"/>
    <w:rsid w:val="00612386"/>
    <w:rsid w:val="006139C7"/>
    <w:rsid w:val="00617444"/>
    <w:rsid w:val="006261DB"/>
    <w:rsid w:val="00627192"/>
    <w:rsid w:val="00627531"/>
    <w:rsid w:val="00630380"/>
    <w:rsid w:val="00634A1C"/>
    <w:rsid w:val="006350F0"/>
    <w:rsid w:val="00635D0C"/>
    <w:rsid w:val="00637E20"/>
    <w:rsid w:val="00642C8C"/>
    <w:rsid w:val="006439F3"/>
    <w:rsid w:val="00644F81"/>
    <w:rsid w:val="006453E4"/>
    <w:rsid w:val="00645549"/>
    <w:rsid w:val="00645967"/>
    <w:rsid w:val="00645BD2"/>
    <w:rsid w:val="0064660D"/>
    <w:rsid w:val="006466BD"/>
    <w:rsid w:val="006475F2"/>
    <w:rsid w:val="006525B5"/>
    <w:rsid w:val="006616BF"/>
    <w:rsid w:val="00661F52"/>
    <w:rsid w:val="006624C3"/>
    <w:rsid w:val="00664A3A"/>
    <w:rsid w:val="006707D6"/>
    <w:rsid w:val="006714C1"/>
    <w:rsid w:val="00671A9F"/>
    <w:rsid w:val="006759BA"/>
    <w:rsid w:val="00675B75"/>
    <w:rsid w:val="00680BDB"/>
    <w:rsid w:val="006933A8"/>
    <w:rsid w:val="006946DC"/>
    <w:rsid w:val="00695E5C"/>
    <w:rsid w:val="00697352"/>
    <w:rsid w:val="006A1349"/>
    <w:rsid w:val="006A17F8"/>
    <w:rsid w:val="006A54BE"/>
    <w:rsid w:val="006C24F8"/>
    <w:rsid w:val="006C6130"/>
    <w:rsid w:val="006D14F1"/>
    <w:rsid w:val="006E6485"/>
    <w:rsid w:val="006F1EF4"/>
    <w:rsid w:val="006F1FF3"/>
    <w:rsid w:val="006F2265"/>
    <w:rsid w:val="00700A76"/>
    <w:rsid w:val="007106F0"/>
    <w:rsid w:val="00712B61"/>
    <w:rsid w:val="0071578B"/>
    <w:rsid w:val="0071617E"/>
    <w:rsid w:val="00717067"/>
    <w:rsid w:val="007172C4"/>
    <w:rsid w:val="007175C8"/>
    <w:rsid w:val="00721909"/>
    <w:rsid w:val="00721EC7"/>
    <w:rsid w:val="00730B7E"/>
    <w:rsid w:val="007313D6"/>
    <w:rsid w:val="00732E29"/>
    <w:rsid w:val="00733435"/>
    <w:rsid w:val="0073498A"/>
    <w:rsid w:val="00741407"/>
    <w:rsid w:val="00742509"/>
    <w:rsid w:val="00744A1A"/>
    <w:rsid w:val="00744D37"/>
    <w:rsid w:val="007459E9"/>
    <w:rsid w:val="00746409"/>
    <w:rsid w:val="00753022"/>
    <w:rsid w:val="00753C4C"/>
    <w:rsid w:val="0075462B"/>
    <w:rsid w:val="00755E00"/>
    <w:rsid w:val="007709FC"/>
    <w:rsid w:val="00770B44"/>
    <w:rsid w:val="00771A4A"/>
    <w:rsid w:val="0077324E"/>
    <w:rsid w:val="007822AB"/>
    <w:rsid w:val="00782F73"/>
    <w:rsid w:val="00783E80"/>
    <w:rsid w:val="007870A4"/>
    <w:rsid w:val="00787152"/>
    <w:rsid w:val="0079695C"/>
    <w:rsid w:val="00797397"/>
    <w:rsid w:val="007A4348"/>
    <w:rsid w:val="007A6B99"/>
    <w:rsid w:val="007B1D1F"/>
    <w:rsid w:val="007B363D"/>
    <w:rsid w:val="007B689E"/>
    <w:rsid w:val="007D3652"/>
    <w:rsid w:val="007D54B5"/>
    <w:rsid w:val="007D7293"/>
    <w:rsid w:val="007E2766"/>
    <w:rsid w:val="007E53C3"/>
    <w:rsid w:val="007E6261"/>
    <w:rsid w:val="007F0DCD"/>
    <w:rsid w:val="007F333B"/>
    <w:rsid w:val="007F3F07"/>
    <w:rsid w:val="007F4149"/>
    <w:rsid w:val="007F5652"/>
    <w:rsid w:val="007F7985"/>
    <w:rsid w:val="00802792"/>
    <w:rsid w:val="00804A64"/>
    <w:rsid w:val="00804E94"/>
    <w:rsid w:val="00805C31"/>
    <w:rsid w:val="00805C45"/>
    <w:rsid w:val="00806CEB"/>
    <w:rsid w:val="00812347"/>
    <w:rsid w:val="00814AFC"/>
    <w:rsid w:val="0081595C"/>
    <w:rsid w:val="00821977"/>
    <w:rsid w:val="008224E1"/>
    <w:rsid w:val="00824806"/>
    <w:rsid w:val="00830090"/>
    <w:rsid w:val="008301EC"/>
    <w:rsid w:val="00836474"/>
    <w:rsid w:val="00840672"/>
    <w:rsid w:val="00841922"/>
    <w:rsid w:val="00842103"/>
    <w:rsid w:val="0084380A"/>
    <w:rsid w:val="00846498"/>
    <w:rsid w:val="008509FA"/>
    <w:rsid w:val="00856105"/>
    <w:rsid w:val="00862B90"/>
    <w:rsid w:val="008671B6"/>
    <w:rsid w:val="00871E4E"/>
    <w:rsid w:val="00872732"/>
    <w:rsid w:val="008734A3"/>
    <w:rsid w:val="0087659D"/>
    <w:rsid w:val="00880016"/>
    <w:rsid w:val="008833CA"/>
    <w:rsid w:val="00887312"/>
    <w:rsid w:val="008878C2"/>
    <w:rsid w:val="0089321C"/>
    <w:rsid w:val="0089362A"/>
    <w:rsid w:val="00893875"/>
    <w:rsid w:val="00894544"/>
    <w:rsid w:val="00895956"/>
    <w:rsid w:val="008A4C03"/>
    <w:rsid w:val="008A4D22"/>
    <w:rsid w:val="008A5E57"/>
    <w:rsid w:val="008B35B1"/>
    <w:rsid w:val="008B3853"/>
    <w:rsid w:val="008B7488"/>
    <w:rsid w:val="008B7D5E"/>
    <w:rsid w:val="008C2A6F"/>
    <w:rsid w:val="008C4C29"/>
    <w:rsid w:val="008D13CD"/>
    <w:rsid w:val="008D181F"/>
    <w:rsid w:val="008D4698"/>
    <w:rsid w:val="008D5A5C"/>
    <w:rsid w:val="008D65EE"/>
    <w:rsid w:val="008E148B"/>
    <w:rsid w:val="008F3150"/>
    <w:rsid w:val="008F3A7C"/>
    <w:rsid w:val="008F46E1"/>
    <w:rsid w:val="00900072"/>
    <w:rsid w:val="00900F60"/>
    <w:rsid w:val="009024EF"/>
    <w:rsid w:val="009038F5"/>
    <w:rsid w:val="00907900"/>
    <w:rsid w:val="009079AE"/>
    <w:rsid w:val="00910878"/>
    <w:rsid w:val="00914E27"/>
    <w:rsid w:val="009170B9"/>
    <w:rsid w:val="00917CB4"/>
    <w:rsid w:val="00917D80"/>
    <w:rsid w:val="00923F74"/>
    <w:rsid w:val="00927809"/>
    <w:rsid w:val="009303C2"/>
    <w:rsid w:val="009309B4"/>
    <w:rsid w:val="00930CE8"/>
    <w:rsid w:val="0093416F"/>
    <w:rsid w:val="00934FD8"/>
    <w:rsid w:val="00941B77"/>
    <w:rsid w:val="00943DEF"/>
    <w:rsid w:val="00953824"/>
    <w:rsid w:val="00953CD2"/>
    <w:rsid w:val="00955A0B"/>
    <w:rsid w:val="00957C45"/>
    <w:rsid w:val="00962F7F"/>
    <w:rsid w:val="0096328A"/>
    <w:rsid w:val="0097363B"/>
    <w:rsid w:val="009755FF"/>
    <w:rsid w:val="009763C4"/>
    <w:rsid w:val="00977516"/>
    <w:rsid w:val="009825CD"/>
    <w:rsid w:val="00984B2D"/>
    <w:rsid w:val="00984F88"/>
    <w:rsid w:val="009854D8"/>
    <w:rsid w:val="0098566F"/>
    <w:rsid w:val="00990C56"/>
    <w:rsid w:val="009958B2"/>
    <w:rsid w:val="00995E90"/>
    <w:rsid w:val="009A15BD"/>
    <w:rsid w:val="009A3520"/>
    <w:rsid w:val="009A4312"/>
    <w:rsid w:val="009A5812"/>
    <w:rsid w:val="009A7B77"/>
    <w:rsid w:val="009B6216"/>
    <w:rsid w:val="009B65B9"/>
    <w:rsid w:val="009B6FE1"/>
    <w:rsid w:val="009C19EE"/>
    <w:rsid w:val="009C3BDA"/>
    <w:rsid w:val="009C66B3"/>
    <w:rsid w:val="009C7F30"/>
    <w:rsid w:val="009D5772"/>
    <w:rsid w:val="009D5F20"/>
    <w:rsid w:val="009E265E"/>
    <w:rsid w:val="009E49FD"/>
    <w:rsid w:val="009E4C25"/>
    <w:rsid w:val="009F0D9E"/>
    <w:rsid w:val="009F33DA"/>
    <w:rsid w:val="009F66EB"/>
    <w:rsid w:val="009F7548"/>
    <w:rsid w:val="00A00C21"/>
    <w:rsid w:val="00A0753D"/>
    <w:rsid w:val="00A103B4"/>
    <w:rsid w:val="00A106EC"/>
    <w:rsid w:val="00A1730B"/>
    <w:rsid w:val="00A1732A"/>
    <w:rsid w:val="00A2177C"/>
    <w:rsid w:val="00A256A3"/>
    <w:rsid w:val="00A32591"/>
    <w:rsid w:val="00A3344B"/>
    <w:rsid w:val="00A342E2"/>
    <w:rsid w:val="00A3513F"/>
    <w:rsid w:val="00A360E1"/>
    <w:rsid w:val="00A3713E"/>
    <w:rsid w:val="00A42072"/>
    <w:rsid w:val="00A51F7A"/>
    <w:rsid w:val="00A525F7"/>
    <w:rsid w:val="00A53716"/>
    <w:rsid w:val="00A5441D"/>
    <w:rsid w:val="00A54EA5"/>
    <w:rsid w:val="00A570D7"/>
    <w:rsid w:val="00A649C9"/>
    <w:rsid w:val="00A677F0"/>
    <w:rsid w:val="00A76F60"/>
    <w:rsid w:val="00A835C3"/>
    <w:rsid w:val="00A85A5E"/>
    <w:rsid w:val="00A913AC"/>
    <w:rsid w:val="00A91D0D"/>
    <w:rsid w:val="00A924D4"/>
    <w:rsid w:val="00A93BF9"/>
    <w:rsid w:val="00A946BA"/>
    <w:rsid w:val="00AA7D94"/>
    <w:rsid w:val="00AB3E5C"/>
    <w:rsid w:val="00AC0342"/>
    <w:rsid w:val="00AC3C97"/>
    <w:rsid w:val="00AC4273"/>
    <w:rsid w:val="00AC6351"/>
    <w:rsid w:val="00AD6BE3"/>
    <w:rsid w:val="00AD70EF"/>
    <w:rsid w:val="00AE00E9"/>
    <w:rsid w:val="00AE046F"/>
    <w:rsid w:val="00AE24B1"/>
    <w:rsid w:val="00AE492D"/>
    <w:rsid w:val="00AE57D6"/>
    <w:rsid w:val="00AE76A7"/>
    <w:rsid w:val="00AE7F9B"/>
    <w:rsid w:val="00AF3190"/>
    <w:rsid w:val="00AF3BA8"/>
    <w:rsid w:val="00AF4390"/>
    <w:rsid w:val="00AF49C8"/>
    <w:rsid w:val="00AF7B2C"/>
    <w:rsid w:val="00B00F2F"/>
    <w:rsid w:val="00B010A1"/>
    <w:rsid w:val="00B0183B"/>
    <w:rsid w:val="00B02938"/>
    <w:rsid w:val="00B03A22"/>
    <w:rsid w:val="00B0540B"/>
    <w:rsid w:val="00B07879"/>
    <w:rsid w:val="00B12781"/>
    <w:rsid w:val="00B17A77"/>
    <w:rsid w:val="00B21C95"/>
    <w:rsid w:val="00B242D5"/>
    <w:rsid w:val="00B24809"/>
    <w:rsid w:val="00B25614"/>
    <w:rsid w:val="00B25F6A"/>
    <w:rsid w:val="00B26944"/>
    <w:rsid w:val="00B30032"/>
    <w:rsid w:val="00B301E9"/>
    <w:rsid w:val="00B30F4B"/>
    <w:rsid w:val="00B31023"/>
    <w:rsid w:val="00B3371A"/>
    <w:rsid w:val="00B4167D"/>
    <w:rsid w:val="00B445C7"/>
    <w:rsid w:val="00B47353"/>
    <w:rsid w:val="00B53457"/>
    <w:rsid w:val="00B562B5"/>
    <w:rsid w:val="00B60210"/>
    <w:rsid w:val="00B62DB0"/>
    <w:rsid w:val="00B65F14"/>
    <w:rsid w:val="00B66E6B"/>
    <w:rsid w:val="00B6702B"/>
    <w:rsid w:val="00B71D6C"/>
    <w:rsid w:val="00B71E7B"/>
    <w:rsid w:val="00B725B1"/>
    <w:rsid w:val="00B75202"/>
    <w:rsid w:val="00B81990"/>
    <w:rsid w:val="00B83443"/>
    <w:rsid w:val="00B846C1"/>
    <w:rsid w:val="00B876B8"/>
    <w:rsid w:val="00B949E7"/>
    <w:rsid w:val="00B97537"/>
    <w:rsid w:val="00B97748"/>
    <w:rsid w:val="00BA47A9"/>
    <w:rsid w:val="00BA74E1"/>
    <w:rsid w:val="00BA7F58"/>
    <w:rsid w:val="00BB3223"/>
    <w:rsid w:val="00BB5156"/>
    <w:rsid w:val="00BC0B69"/>
    <w:rsid w:val="00BC64BE"/>
    <w:rsid w:val="00BC7CBA"/>
    <w:rsid w:val="00BD09D8"/>
    <w:rsid w:val="00BD1B28"/>
    <w:rsid w:val="00BD4B21"/>
    <w:rsid w:val="00BE0FA1"/>
    <w:rsid w:val="00BE1AF7"/>
    <w:rsid w:val="00BE2E9A"/>
    <w:rsid w:val="00BE3750"/>
    <w:rsid w:val="00BE40F4"/>
    <w:rsid w:val="00BE6831"/>
    <w:rsid w:val="00BF282A"/>
    <w:rsid w:val="00BF32E5"/>
    <w:rsid w:val="00BF7CD7"/>
    <w:rsid w:val="00BF7DC7"/>
    <w:rsid w:val="00C00B53"/>
    <w:rsid w:val="00C03BAA"/>
    <w:rsid w:val="00C04958"/>
    <w:rsid w:val="00C06BDF"/>
    <w:rsid w:val="00C103B2"/>
    <w:rsid w:val="00C124D0"/>
    <w:rsid w:val="00C149CA"/>
    <w:rsid w:val="00C152E9"/>
    <w:rsid w:val="00C15886"/>
    <w:rsid w:val="00C159A0"/>
    <w:rsid w:val="00C20A8F"/>
    <w:rsid w:val="00C22A36"/>
    <w:rsid w:val="00C23D1E"/>
    <w:rsid w:val="00C2586D"/>
    <w:rsid w:val="00C2789E"/>
    <w:rsid w:val="00C321B2"/>
    <w:rsid w:val="00C409AB"/>
    <w:rsid w:val="00C4711F"/>
    <w:rsid w:val="00C5451B"/>
    <w:rsid w:val="00C552DD"/>
    <w:rsid w:val="00C5673E"/>
    <w:rsid w:val="00C57291"/>
    <w:rsid w:val="00C61009"/>
    <w:rsid w:val="00C62AF2"/>
    <w:rsid w:val="00C63896"/>
    <w:rsid w:val="00C6410B"/>
    <w:rsid w:val="00C64A2E"/>
    <w:rsid w:val="00C65610"/>
    <w:rsid w:val="00C70900"/>
    <w:rsid w:val="00C72C84"/>
    <w:rsid w:val="00C737B9"/>
    <w:rsid w:val="00C77363"/>
    <w:rsid w:val="00C8151E"/>
    <w:rsid w:val="00C822D0"/>
    <w:rsid w:val="00C91468"/>
    <w:rsid w:val="00C923CF"/>
    <w:rsid w:val="00C94876"/>
    <w:rsid w:val="00C95B77"/>
    <w:rsid w:val="00CA3F62"/>
    <w:rsid w:val="00CA494B"/>
    <w:rsid w:val="00CB6812"/>
    <w:rsid w:val="00CC6FC0"/>
    <w:rsid w:val="00CD0CE2"/>
    <w:rsid w:val="00CD1B25"/>
    <w:rsid w:val="00CD20B8"/>
    <w:rsid w:val="00CD6A45"/>
    <w:rsid w:val="00CE29ED"/>
    <w:rsid w:val="00CE2A5B"/>
    <w:rsid w:val="00CE301F"/>
    <w:rsid w:val="00CF2EB6"/>
    <w:rsid w:val="00CF48C5"/>
    <w:rsid w:val="00CF5A31"/>
    <w:rsid w:val="00CF7383"/>
    <w:rsid w:val="00D0002C"/>
    <w:rsid w:val="00D011C5"/>
    <w:rsid w:val="00D0555E"/>
    <w:rsid w:val="00D074D4"/>
    <w:rsid w:val="00D1104A"/>
    <w:rsid w:val="00D12B8A"/>
    <w:rsid w:val="00D233B7"/>
    <w:rsid w:val="00D3454C"/>
    <w:rsid w:val="00D378D3"/>
    <w:rsid w:val="00D40C87"/>
    <w:rsid w:val="00D4244D"/>
    <w:rsid w:val="00D43841"/>
    <w:rsid w:val="00D453D0"/>
    <w:rsid w:val="00D56248"/>
    <w:rsid w:val="00D60CF4"/>
    <w:rsid w:val="00D6181F"/>
    <w:rsid w:val="00D61ECF"/>
    <w:rsid w:val="00D61FB4"/>
    <w:rsid w:val="00D64448"/>
    <w:rsid w:val="00D67704"/>
    <w:rsid w:val="00D71FD4"/>
    <w:rsid w:val="00D74708"/>
    <w:rsid w:val="00D81F57"/>
    <w:rsid w:val="00D83417"/>
    <w:rsid w:val="00D873CA"/>
    <w:rsid w:val="00D92C8A"/>
    <w:rsid w:val="00DA0165"/>
    <w:rsid w:val="00DA027C"/>
    <w:rsid w:val="00DA09ED"/>
    <w:rsid w:val="00DA18A2"/>
    <w:rsid w:val="00DA5346"/>
    <w:rsid w:val="00DA5722"/>
    <w:rsid w:val="00DA5B20"/>
    <w:rsid w:val="00DB38B9"/>
    <w:rsid w:val="00DB7244"/>
    <w:rsid w:val="00DC075A"/>
    <w:rsid w:val="00DC2AA9"/>
    <w:rsid w:val="00DC5836"/>
    <w:rsid w:val="00DD0861"/>
    <w:rsid w:val="00DD3A1A"/>
    <w:rsid w:val="00DD6107"/>
    <w:rsid w:val="00DE5758"/>
    <w:rsid w:val="00DE7AB1"/>
    <w:rsid w:val="00DF100A"/>
    <w:rsid w:val="00DF3B7F"/>
    <w:rsid w:val="00DF4D1E"/>
    <w:rsid w:val="00E0335D"/>
    <w:rsid w:val="00E0364C"/>
    <w:rsid w:val="00E04C3C"/>
    <w:rsid w:val="00E052FD"/>
    <w:rsid w:val="00E12C79"/>
    <w:rsid w:val="00E139C4"/>
    <w:rsid w:val="00E209D9"/>
    <w:rsid w:val="00E22E74"/>
    <w:rsid w:val="00E2391F"/>
    <w:rsid w:val="00E304E7"/>
    <w:rsid w:val="00E3305F"/>
    <w:rsid w:val="00E4200D"/>
    <w:rsid w:val="00E43868"/>
    <w:rsid w:val="00E563CF"/>
    <w:rsid w:val="00E57878"/>
    <w:rsid w:val="00E6388F"/>
    <w:rsid w:val="00E6434D"/>
    <w:rsid w:val="00E65B04"/>
    <w:rsid w:val="00E66F3C"/>
    <w:rsid w:val="00E778C0"/>
    <w:rsid w:val="00E80351"/>
    <w:rsid w:val="00E813E3"/>
    <w:rsid w:val="00E82196"/>
    <w:rsid w:val="00E84069"/>
    <w:rsid w:val="00E86174"/>
    <w:rsid w:val="00E93EC5"/>
    <w:rsid w:val="00E94D42"/>
    <w:rsid w:val="00E9598D"/>
    <w:rsid w:val="00EA057B"/>
    <w:rsid w:val="00EA1E5A"/>
    <w:rsid w:val="00EA3F96"/>
    <w:rsid w:val="00EA7801"/>
    <w:rsid w:val="00EA7DF9"/>
    <w:rsid w:val="00EB0686"/>
    <w:rsid w:val="00EB08CF"/>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123"/>
    <w:rsid w:val="00EF681C"/>
    <w:rsid w:val="00EF7202"/>
    <w:rsid w:val="00EF7678"/>
    <w:rsid w:val="00F03472"/>
    <w:rsid w:val="00F03998"/>
    <w:rsid w:val="00F06D0B"/>
    <w:rsid w:val="00F07551"/>
    <w:rsid w:val="00F11D21"/>
    <w:rsid w:val="00F11F82"/>
    <w:rsid w:val="00F129D0"/>
    <w:rsid w:val="00F13256"/>
    <w:rsid w:val="00F149CB"/>
    <w:rsid w:val="00F154C7"/>
    <w:rsid w:val="00F20EA7"/>
    <w:rsid w:val="00F22724"/>
    <w:rsid w:val="00F2694A"/>
    <w:rsid w:val="00F3086B"/>
    <w:rsid w:val="00F32356"/>
    <w:rsid w:val="00F34EF1"/>
    <w:rsid w:val="00F37745"/>
    <w:rsid w:val="00F47C6D"/>
    <w:rsid w:val="00F5706C"/>
    <w:rsid w:val="00F6139A"/>
    <w:rsid w:val="00F63A42"/>
    <w:rsid w:val="00F63DAA"/>
    <w:rsid w:val="00F63E20"/>
    <w:rsid w:val="00F667AF"/>
    <w:rsid w:val="00F66A2C"/>
    <w:rsid w:val="00F707E6"/>
    <w:rsid w:val="00F72390"/>
    <w:rsid w:val="00F726BF"/>
    <w:rsid w:val="00F742F7"/>
    <w:rsid w:val="00F74D10"/>
    <w:rsid w:val="00F80BF4"/>
    <w:rsid w:val="00F822A6"/>
    <w:rsid w:val="00F83408"/>
    <w:rsid w:val="00F835DD"/>
    <w:rsid w:val="00F85589"/>
    <w:rsid w:val="00F8580F"/>
    <w:rsid w:val="00F87601"/>
    <w:rsid w:val="00F901D3"/>
    <w:rsid w:val="00F90C98"/>
    <w:rsid w:val="00F96AC0"/>
    <w:rsid w:val="00FA0F97"/>
    <w:rsid w:val="00FA1C99"/>
    <w:rsid w:val="00FA2A40"/>
    <w:rsid w:val="00FB0CFD"/>
    <w:rsid w:val="00FB2EE4"/>
    <w:rsid w:val="00FB4140"/>
    <w:rsid w:val="00FB6BC3"/>
    <w:rsid w:val="00FB7FCD"/>
    <w:rsid w:val="00FC1BC1"/>
    <w:rsid w:val="00FC5200"/>
    <w:rsid w:val="00FC75D1"/>
    <w:rsid w:val="00FC7949"/>
    <w:rsid w:val="00FD2949"/>
    <w:rsid w:val="00FD3450"/>
    <w:rsid w:val="00FD723B"/>
    <w:rsid w:val="00FE4399"/>
    <w:rsid w:val="00FE4B5B"/>
    <w:rsid w:val="00FE518E"/>
    <w:rsid w:val="00FE5504"/>
    <w:rsid w:val="00FE65EB"/>
    <w:rsid w:val="01A33E9C"/>
    <w:rsid w:val="031F0BD0"/>
    <w:rsid w:val="04CD731B"/>
    <w:rsid w:val="07CA43AC"/>
    <w:rsid w:val="09681330"/>
    <w:rsid w:val="0A307C97"/>
    <w:rsid w:val="0AD92A42"/>
    <w:rsid w:val="0B6B1123"/>
    <w:rsid w:val="0D353973"/>
    <w:rsid w:val="0DE2468A"/>
    <w:rsid w:val="0E323572"/>
    <w:rsid w:val="0ECD0C9A"/>
    <w:rsid w:val="0F5170E2"/>
    <w:rsid w:val="0F895230"/>
    <w:rsid w:val="10225734"/>
    <w:rsid w:val="11B705A0"/>
    <w:rsid w:val="122F6C04"/>
    <w:rsid w:val="14132920"/>
    <w:rsid w:val="15B60AF1"/>
    <w:rsid w:val="15C77737"/>
    <w:rsid w:val="177F6C83"/>
    <w:rsid w:val="17AE8B7A"/>
    <w:rsid w:val="18B3029F"/>
    <w:rsid w:val="1A093C4A"/>
    <w:rsid w:val="1A1D3847"/>
    <w:rsid w:val="1AB737DE"/>
    <w:rsid w:val="1B3B1CB8"/>
    <w:rsid w:val="1D8F4C7F"/>
    <w:rsid w:val="1DE63703"/>
    <w:rsid w:val="2126054A"/>
    <w:rsid w:val="21302811"/>
    <w:rsid w:val="21B514D9"/>
    <w:rsid w:val="21FF5BAE"/>
    <w:rsid w:val="247F0D69"/>
    <w:rsid w:val="24CC0D68"/>
    <w:rsid w:val="257F739C"/>
    <w:rsid w:val="26684EB3"/>
    <w:rsid w:val="26B07180"/>
    <w:rsid w:val="273E1D47"/>
    <w:rsid w:val="28197E57"/>
    <w:rsid w:val="28945237"/>
    <w:rsid w:val="2A6F6A9F"/>
    <w:rsid w:val="2B48435D"/>
    <w:rsid w:val="2B74142C"/>
    <w:rsid w:val="2BD335AA"/>
    <w:rsid w:val="2C5A3F68"/>
    <w:rsid w:val="2C7442EC"/>
    <w:rsid w:val="2CC7637F"/>
    <w:rsid w:val="2CFF231F"/>
    <w:rsid w:val="2D091D10"/>
    <w:rsid w:val="2DED612C"/>
    <w:rsid w:val="2E9A0FAB"/>
    <w:rsid w:val="2EE330D8"/>
    <w:rsid w:val="310F6B93"/>
    <w:rsid w:val="32CF509C"/>
    <w:rsid w:val="332E2DC3"/>
    <w:rsid w:val="33D90C83"/>
    <w:rsid w:val="33EB4E73"/>
    <w:rsid w:val="35D151C8"/>
    <w:rsid w:val="36413C79"/>
    <w:rsid w:val="36BF1DD2"/>
    <w:rsid w:val="36CE1E68"/>
    <w:rsid w:val="38EE3222"/>
    <w:rsid w:val="38F9005C"/>
    <w:rsid w:val="3902576C"/>
    <w:rsid w:val="39137BCC"/>
    <w:rsid w:val="3A945BA3"/>
    <w:rsid w:val="3A9E08EB"/>
    <w:rsid w:val="3C3B6DA1"/>
    <w:rsid w:val="3CB91A62"/>
    <w:rsid w:val="3DAD103E"/>
    <w:rsid w:val="3EEF87B4"/>
    <w:rsid w:val="3F086869"/>
    <w:rsid w:val="3FAD63A0"/>
    <w:rsid w:val="40217801"/>
    <w:rsid w:val="43E80C33"/>
    <w:rsid w:val="44931544"/>
    <w:rsid w:val="458727AA"/>
    <w:rsid w:val="46BC37F2"/>
    <w:rsid w:val="47A1125B"/>
    <w:rsid w:val="48912B3E"/>
    <w:rsid w:val="49A117C5"/>
    <w:rsid w:val="4AD66569"/>
    <w:rsid w:val="4AF96FA1"/>
    <w:rsid w:val="4D1B4A9D"/>
    <w:rsid w:val="4DD101CC"/>
    <w:rsid w:val="4DF72F6D"/>
    <w:rsid w:val="4E2B34A0"/>
    <w:rsid w:val="4F0B668B"/>
    <w:rsid w:val="524E7AD5"/>
    <w:rsid w:val="525B269A"/>
    <w:rsid w:val="53F3145F"/>
    <w:rsid w:val="54AD6A7C"/>
    <w:rsid w:val="553D7E00"/>
    <w:rsid w:val="55C71E85"/>
    <w:rsid w:val="560A28BD"/>
    <w:rsid w:val="567608C6"/>
    <w:rsid w:val="5677F692"/>
    <w:rsid w:val="56AF6BFF"/>
    <w:rsid w:val="57280BE4"/>
    <w:rsid w:val="5B0C2013"/>
    <w:rsid w:val="5B265EB5"/>
    <w:rsid w:val="5BC562B5"/>
    <w:rsid w:val="5C932D4B"/>
    <w:rsid w:val="5CD01F00"/>
    <w:rsid w:val="5D0132A8"/>
    <w:rsid w:val="5DA52508"/>
    <w:rsid w:val="5DDB48DC"/>
    <w:rsid w:val="5E5218E8"/>
    <w:rsid w:val="5E7171C2"/>
    <w:rsid w:val="5E9641CF"/>
    <w:rsid w:val="5EA3BDC9"/>
    <w:rsid w:val="5F0F6EAA"/>
    <w:rsid w:val="5F682B47"/>
    <w:rsid w:val="5FDC3F39"/>
    <w:rsid w:val="604802FD"/>
    <w:rsid w:val="60EC7228"/>
    <w:rsid w:val="610042FE"/>
    <w:rsid w:val="617D178B"/>
    <w:rsid w:val="6322494F"/>
    <w:rsid w:val="635554EA"/>
    <w:rsid w:val="638044B2"/>
    <w:rsid w:val="63B60CD2"/>
    <w:rsid w:val="65E33EAB"/>
    <w:rsid w:val="66AE605A"/>
    <w:rsid w:val="677F245B"/>
    <w:rsid w:val="6B053E23"/>
    <w:rsid w:val="6B1C7422"/>
    <w:rsid w:val="6BD62996"/>
    <w:rsid w:val="6BE95552"/>
    <w:rsid w:val="6C881A75"/>
    <w:rsid w:val="6D267305"/>
    <w:rsid w:val="6DC347C2"/>
    <w:rsid w:val="6EAC3D4F"/>
    <w:rsid w:val="6EEBC779"/>
    <w:rsid w:val="6FD6D805"/>
    <w:rsid w:val="70BC7D8C"/>
    <w:rsid w:val="71F2536B"/>
    <w:rsid w:val="72DB3FC7"/>
    <w:rsid w:val="73A925A0"/>
    <w:rsid w:val="754E7067"/>
    <w:rsid w:val="76C92E49"/>
    <w:rsid w:val="76DE7E78"/>
    <w:rsid w:val="7707109B"/>
    <w:rsid w:val="78E51593"/>
    <w:rsid w:val="799139C7"/>
    <w:rsid w:val="7A0C4606"/>
    <w:rsid w:val="7B3927AA"/>
    <w:rsid w:val="7BB3231A"/>
    <w:rsid w:val="7BED7A99"/>
    <w:rsid w:val="7C6914E9"/>
    <w:rsid w:val="7C6B2FB3"/>
    <w:rsid w:val="7C731D5F"/>
    <w:rsid w:val="7C82671B"/>
    <w:rsid w:val="7CA207E3"/>
    <w:rsid w:val="7CAB2FF1"/>
    <w:rsid w:val="7D0A3F03"/>
    <w:rsid w:val="7DFCD3E9"/>
    <w:rsid w:val="7E6B29A9"/>
    <w:rsid w:val="7FDC78DE"/>
    <w:rsid w:val="7FFE9B62"/>
    <w:rsid w:val="A57A8278"/>
    <w:rsid w:val="B71E0BC5"/>
    <w:rsid w:val="C67B7EDF"/>
    <w:rsid w:val="DF3D114F"/>
    <w:rsid w:val="DFF51363"/>
    <w:rsid w:val="EEA1D8C3"/>
    <w:rsid w:val="EF5EA6A0"/>
    <w:rsid w:val="EFDAB76F"/>
    <w:rsid w:val="FBF4FB13"/>
    <w:rsid w:val="FFFDE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9">
    <w:name w:val="heading 4"/>
    <w:basedOn w:val="1"/>
    <w:next w:val="1"/>
    <w:qFormat/>
    <w:uiPriority w:val="0"/>
    <w:pPr>
      <w:keepNext/>
      <w:keepLines/>
      <w:spacing w:before="280" w:after="290" w:line="376" w:lineRule="auto"/>
      <w:outlineLvl w:val="3"/>
    </w:pPr>
    <w:rPr>
      <w:rFonts w:ascii="楷体_GB2312" w:hAnsi="楷体_GB2312" w:eastAsia="Cambria Math"/>
      <w:b/>
      <w:bCs/>
      <w:sz w:val="28"/>
      <w:szCs w:val="28"/>
    </w:rPr>
  </w:style>
  <w:style w:type="paragraph" w:styleId="10">
    <w:name w:val="heading 6"/>
    <w:basedOn w:val="1"/>
    <w:next w:val="1"/>
    <w:link w:val="39"/>
    <w:qFormat/>
    <w:uiPriority w:val="0"/>
    <w:pPr>
      <w:keepNext/>
      <w:keepLines/>
      <w:spacing w:before="240" w:after="64" w:line="320" w:lineRule="auto"/>
      <w:outlineLvl w:val="5"/>
    </w:pPr>
    <w:rPr>
      <w:rFonts w:ascii="Calibri Light" w:hAnsi="Calibri Light" w:eastAsia="楷体_GB2312"/>
      <w:b/>
      <w:bCs/>
      <w:sz w:val="24"/>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5">
    <w:name w:val="Normal Indent"/>
    <w:basedOn w:val="1"/>
    <w:next w:val="6"/>
    <w:link w:val="71"/>
    <w:qFormat/>
    <w:uiPriority w:val="0"/>
    <w:pPr>
      <w:ind w:firstLine="420"/>
    </w:pPr>
    <w:rPr>
      <w:szCs w:val="20"/>
    </w:rPr>
  </w:style>
  <w:style w:type="paragraph" w:styleId="6">
    <w:name w:val="Plain Text"/>
    <w:basedOn w:val="1"/>
    <w:next w:val="7"/>
    <w:link w:val="38"/>
    <w:qFormat/>
    <w:uiPriority w:val="0"/>
    <w:rPr>
      <w:rFonts w:ascii="楷体_GB2312" w:hAnsi="Courier New" w:eastAsia="楷体_GB2312"/>
    </w:rPr>
  </w:style>
  <w:style w:type="paragraph" w:styleId="7">
    <w:name w:val="Date"/>
    <w:basedOn w:val="1"/>
    <w:next w:val="1"/>
    <w:qFormat/>
    <w:uiPriority w:val="0"/>
    <w:pPr>
      <w:ind w:left="2500" w:leftChars="2500"/>
    </w:pPr>
    <w:rPr>
      <w:rFonts w:eastAsia="楷体_GB2312"/>
      <w:sz w:val="32"/>
      <w:szCs w:val="20"/>
    </w:rPr>
  </w:style>
  <w:style w:type="paragraph" w:styleId="11">
    <w:name w:val="List Number"/>
    <w:basedOn w:val="1"/>
    <w:qFormat/>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Tahoma" w:hAnsi="Tahoma" w:eastAsia="Cambria Math" w:cs="Tahoma"/>
      <w:sz w:val="20"/>
      <w:szCs w:val="20"/>
    </w:rPr>
  </w:style>
  <w:style w:type="paragraph" w:styleId="13">
    <w:name w:val="annotation text"/>
    <w:basedOn w:val="1"/>
    <w:link w:val="33"/>
    <w:qFormat/>
    <w:uiPriority w:val="0"/>
    <w:pPr>
      <w:jc w:val="left"/>
    </w:pPr>
    <w:rPr>
      <w:lang w:val="zh-CN"/>
    </w:rPr>
  </w:style>
  <w:style w:type="paragraph" w:styleId="14">
    <w:name w:val="Body Text 3"/>
    <w:basedOn w:val="1"/>
    <w:qFormat/>
    <w:uiPriority w:val="0"/>
    <w:pPr>
      <w:spacing w:after="120"/>
    </w:pPr>
    <w:rPr>
      <w:sz w:val="16"/>
      <w:szCs w:val="16"/>
    </w:rPr>
  </w:style>
  <w:style w:type="paragraph" w:styleId="15">
    <w:name w:val="Body Text"/>
    <w:basedOn w:val="1"/>
    <w:next w:val="16"/>
    <w:qFormat/>
    <w:uiPriority w:val="0"/>
    <w:pPr>
      <w:spacing w:after="120"/>
    </w:pPr>
  </w:style>
  <w:style w:type="paragraph" w:styleId="16">
    <w:name w:val="Body Text First Indent"/>
    <w:basedOn w:val="15"/>
    <w:next w:val="17"/>
    <w:qFormat/>
    <w:uiPriority w:val="0"/>
    <w:pPr>
      <w:spacing w:line="440" w:lineRule="exact"/>
      <w:ind w:firstLine="420" w:firstLineChars="100"/>
    </w:pPr>
  </w:style>
  <w:style w:type="paragraph" w:styleId="17">
    <w:name w:val="toc 6"/>
    <w:basedOn w:val="1"/>
    <w:next w:val="1"/>
    <w:unhideWhenUsed/>
    <w:qFormat/>
    <w:uiPriority w:val="39"/>
    <w:pPr>
      <w:ind w:left="2100" w:leftChars="1000"/>
    </w:pPr>
    <w:rPr>
      <w:szCs w:val="22"/>
    </w:rPr>
  </w:style>
  <w:style w:type="paragraph" w:styleId="18">
    <w:name w:val="List 2"/>
    <w:basedOn w:val="1"/>
    <w:qFormat/>
    <w:uiPriority w:val="0"/>
    <w:pPr>
      <w:ind w:left="100" w:leftChars="200" w:hanging="200" w:hangingChars="200"/>
    </w:p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34"/>
    <w:qFormat/>
    <w:uiPriority w:val="0"/>
    <w:rPr>
      <w:sz w:val="18"/>
      <w:szCs w:val="18"/>
      <w:lang w:val="zh-CN"/>
    </w:rPr>
  </w:style>
  <w:style w:type="paragraph" w:styleId="21">
    <w:name w:val="footer"/>
    <w:basedOn w:val="1"/>
    <w:link w:val="35"/>
    <w:qFormat/>
    <w:uiPriority w:val="0"/>
    <w:pPr>
      <w:tabs>
        <w:tab w:val="center" w:pos="4153"/>
        <w:tab w:val="right" w:pos="8306"/>
      </w:tabs>
      <w:snapToGrid w:val="0"/>
      <w:jc w:val="left"/>
    </w:pPr>
    <w:rPr>
      <w:sz w:val="18"/>
      <w:szCs w:val="18"/>
      <w:lang w:val="zh-CN"/>
    </w:rPr>
  </w:style>
  <w:style w:type="paragraph" w:styleId="22">
    <w:name w:val="header"/>
    <w:basedOn w:val="1"/>
    <w:link w:val="37"/>
    <w:qFormat/>
    <w:uiPriority w:val="0"/>
    <w:pPr>
      <w:pBdr>
        <w:bottom w:val="single" w:color="auto" w:sz="6" w:space="1"/>
      </w:pBdr>
      <w:tabs>
        <w:tab w:val="center" w:pos="4153"/>
        <w:tab w:val="right" w:pos="8306"/>
      </w:tabs>
      <w:snapToGrid w:val="0"/>
      <w:jc w:val="center"/>
    </w:pPr>
    <w:rPr>
      <w:sz w:val="18"/>
      <w:szCs w:val="18"/>
      <w:lang w:val="zh-CN"/>
    </w:rPr>
  </w:style>
  <w:style w:type="paragraph" w:styleId="23">
    <w:name w:val="List"/>
    <w:basedOn w:val="1"/>
    <w:qFormat/>
    <w:uiPriority w:val="0"/>
    <w:pPr>
      <w:ind w:left="200" w:hanging="200" w:hangingChars="200"/>
    </w:pPr>
    <w:rPr>
      <w:sz w:val="28"/>
    </w:rPr>
  </w:style>
  <w:style w:type="paragraph" w:styleId="24">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5">
    <w:name w:val="annotation subject"/>
    <w:basedOn w:val="13"/>
    <w:next w:val="13"/>
    <w:link w:val="36"/>
    <w:qFormat/>
    <w:uiPriority w:val="0"/>
    <w:rPr>
      <w:b/>
      <w:bCs/>
    </w:rPr>
  </w:style>
  <w:style w:type="paragraph" w:styleId="26">
    <w:name w:val="Body Text First Indent 2"/>
    <w:basedOn w:val="2"/>
    <w:next w:val="1"/>
    <w:link w:val="68"/>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批注文字 Char"/>
    <w:link w:val="13"/>
    <w:qFormat/>
    <w:uiPriority w:val="0"/>
    <w:rPr>
      <w:kern w:val="2"/>
      <w:sz w:val="21"/>
      <w:szCs w:val="24"/>
    </w:rPr>
  </w:style>
  <w:style w:type="character" w:customStyle="1" w:styleId="34">
    <w:name w:val="批注框文本 Char"/>
    <w:link w:val="20"/>
    <w:qFormat/>
    <w:uiPriority w:val="0"/>
    <w:rPr>
      <w:kern w:val="2"/>
      <w:sz w:val="18"/>
      <w:szCs w:val="18"/>
    </w:rPr>
  </w:style>
  <w:style w:type="character" w:customStyle="1" w:styleId="35">
    <w:name w:val="页脚 Char"/>
    <w:link w:val="21"/>
    <w:qFormat/>
    <w:uiPriority w:val="0"/>
    <w:rPr>
      <w:kern w:val="2"/>
      <w:sz w:val="18"/>
      <w:szCs w:val="18"/>
    </w:rPr>
  </w:style>
  <w:style w:type="character" w:customStyle="1" w:styleId="36">
    <w:name w:val="批注主题 Char"/>
    <w:basedOn w:val="33"/>
    <w:link w:val="25"/>
    <w:qFormat/>
    <w:uiPriority w:val="0"/>
    <w:rPr>
      <w:kern w:val="2"/>
      <w:sz w:val="21"/>
      <w:szCs w:val="24"/>
    </w:rPr>
  </w:style>
  <w:style w:type="character" w:customStyle="1" w:styleId="37">
    <w:name w:val="页眉 Char"/>
    <w:link w:val="22"/>
    <w:qFormat/>
    <w:uiPriority w:val="0"/>
    <w:rPr>
      <w:kern w:val="2"/>
      <w:sz w:val="18"/>
      <w:szCs w:val="18"/>
    </w:rPr>
  </w:style>
  <w:style w:type="character" w:customStyle="1" w:styleId="38">
    <w:name w:val="纯文本 Char"/>
    <w:link w:val="6"/>
    <w:qFormat/>
    <w:uiPriority w:val="0"/>
    <w:rPr>
      <w:rFonts w:ascii="楷体_GB2312" w:hAnsi="Courier New" w:eastAsia="楷体_GB2312"/>
      <w:kern w:val="2"/>
      <w:sz w:val="21"/>
      <w:szCs w:val="24"/>
      <w:lang w:val="en-US" w:eastAsia="zh-CN" w:bidi="ar-SA"/>
    </w:rPr>
  </w:style>
  <w:style w:type="character" w:customStyle="1" w:styleId="39">
    <w:name w:val="标题 6 Char"/>
    <w:link w:val="10"/>
    <w:semiHidden/>
    <w:qFormat/>
    <w:uiPriority w:val="0"/>
    <w:rPr>
      <w:rFonts w:ascii="Calibri Light" w:hAnsi="Calibri Light" w:eastAsia="楷体_GB2312" w:cs="@方正书宋简体"/>
      <w:b/>
      <w:bCs/>
      <w:kern w:val="2"/>
      <w:sz w:val="24"/>
      <w:szCs w:val="24"/>
    </w:rPr>
  </w:style>
  <w:style w:type="paragraph" w:customStyle="1" w:styleId="40">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1">
    <w:name w:val="列出段落1"/>
    <w:basedOn w:val="1"/>
    <w:qFormat/>
    <w:uiPriority w:val="0"/>
    <w:pPr>
      <w:ind w:firstLine="420" w:firstLineChars="200"/>
    </w:pPr>
    <w:rPr>
      <w:kern w:val="0"/>
      <w:szCs w:val="20"/>
    </w:rPr>
  </w:style>
  <w:style w:type="paragraph" w:customStyle="1" w:styleId="4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4">
    <w:name w:val="列出段落2"/>
    <w:basedOn w:val="1"/>
    <w:qFormat/>
    <w:uiPriority w:val="34"/>
    <w:pPr>
      <w:ind w:firstLine="420" w:firstLineChars="200"/>
    </w:pPr>
    <w:rPr>
      <w:rFonts w:eastAsia="楷体_GB2312" w:cs="@方正书宋简体"/>
      <w:szCs w:val="22"/>
    </w:rPr>
  </w:style>
  <w:style w:type="paragraph" w:customStyle="1" w:styleId="4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p0"/>
    <w:basedOn w:val="1"/>
    <w:qFormat/>
    <w:uiPriority w:val="0"/>
    <w:pPr>
      <w:widowControl/>
      <w:spacing w:line="365" w:lineRule="atLeast"/>
      <w:ind w:left="1"/>
    </w:pPr>
    <w:rPr>
      <w:kern w:val="0"/>
      <w:sz w:val="20"/>
      <w:szCs w:val="20"/>
    </w:rPr>
  </w:style>
  <w:style w:type="paragraph" w:customStyle="1" w:styleId="47">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Char"/>
    <w:basedOn w:val="1"/>
    <w:qFormat/>
    <w:uiPriority w:val="0"/>
  </w:style>
  <w:style w:type="paragraph" w:customStyle="1" w:styleId="51">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2">
    <w:name w:val="正文_14"/>
    <w:qFormat/>
    <w:uiPriority w:val="0"/>
    <w:rPr>
      <w:rFonts w:ascii="Calibri" w:hAnsi="Calibri" w:eastAsia="宋体" w:cs="Times New Roman"/>
      <w:sz w:val="21"/>
      <w:lang w:val="en-US" w:eastAsia="zh-CN" w:bidi="ar-SA"/>
    </w:rPr>
  </w:style>
  <w:style w:type="paragraph" w:customStyle="1" w:styleId="5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Char1"/>
    <w:basedOn w:val="1"/>
    <w:qFormat/>
    <w:uiPriority w:val="0"/>
  </w:style>
  <w:style w:type="paragraph" w:customStyle="1" w:styleId="55">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rPr>
      <w:szCs w:val="20"/>
    </w:rPr>
  </w:style>
  <w:style w:type="paragraph" w:customStyle="1" w:styleId="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2">
    <w:name w:val="List Paragraph"/>
    <w:basedOn w:val="1"/>
    <w:qFormat/>
    <w:uiPriority w:val="34"/>
    <w:pPr>
      <w:ind w:firstLine="420" w:firstLineChars="200"/>
    </w:pPr>
  </w:style>
  <w:style w:type="paragraph" w:customStyle="1" w:styleId="6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2 Char"/>
    <w:basedOn w:val="29"/>
    <w:link w:val="4"/>
    <w:semiHidden/>
    <w:qFormat/>
    <w:uiPriority w:val="0"/>
    <w:rPr>
      <w:rFonts w:asciiTheme="majorHAnsi" w:hAnsiTheme="majorHAnsi" w:eastAsiaTheme="majorEastAsia" w:cstheme="majorBidi"/>
      <w:b/>
      <w:bCs/>
      <w:kern w:val="2"/>
      <w:sz w:val="32"/>
      <w:szCs w:val="32"/>
    </w:rPr>
  </w:style>
  <w:style w:type="character" w:customStyle="1" w:styleId="67">
    <w:name w:val="正文文本缩进 Char"/>
    <w:basedOn w:val="29"/>
    <w:link w:val="2"/>
    <w:qFormat/>
    <w:uiPriority w:val="0"/>
    <w:rPr>
      <w:rFonts w:ascii="楷体_GB2312"/>
      <w:color w:val="000000"/>
      <w:sz w:val="24"/>
    </w:rPr>
  </w:style>
  <w:style w:type="character" w:customStyle="1" w:styleId="68">
    <w:name w:val="正文首行缩进 2 Char"/>
    <w:basedOn w:val="67"/>
    <w:link w:val="26"/>
    <w:qFormat/>
    <w:uiPriority w:val="0"/>
    <w:rPr>
      <w:rFonts w:ascii="楷体_GB2312"/>
      <w:color w:val="000000"/>
      <w:kern w:val="2"/>
      <w:sz w:val="21"/>
      <w:szCs w:val="24"/>
    </w:rPr>
  </w:style>
  <w:style w:type="character" w:customStyle="1" w:styleId="69">
    <w:name w:val="标题 1 Char"/>
    <w:basedOn w:val="29"/>
    <w:link w:val="3"/>
    <w:qFormat/>
    <w:uiPriority w:val="0"/>
    <w:rPr>
      <w:b/>
      <w:bCs/>
      <w:kern w:val="44"/>
      <w:sz w:val="44"/>
      <w:szCs w:val="44"/>
    </w:rPr>
  </w:style>
  <w:style w:type="paragraph" w:customStyle="1" w:styleId="70">
    <w:name w:val="纯文本_0_1"/>
    <w:basedOn w:val="1"/>
    <w:qFormat/>
    <w:uiPriority w:val="0"/>
    <w:pPr>
      <w:widowControl/>
      <w:jc w:val="left"/>
    </w:pPr>
    <w:rPr>
      <w:rFonts w:ascii="宋体" w:hAnsi="Courier New" w:eastAsiaTheme="minorEastAsia" w:cstheme="minorBidi"/>
      <w:szCs w:val="21"/>
    </w:rPr>
  </w:style>
  <w:style w:type="character" w:customStyle="1" w:styleId="71">
    <w:name w:val="正文缩进 Char"/>
    <w:link w:val="5"/>
    <w:qFormat/>
    <w:uiPriority w:val="0"/>
    <w:rPr>
      <w:kern w:val="2"/>
      <w:sz w:val="21"/>
    </w:rPr>
  </w:style>
  <w:style w:type="paragraph" w:customStyle="1" w:styleId="72">
    <w:name w:val="表格文字"/>
    <w:basedOn w:val="1"/>
    <w:next w:val="15"/>
    <w:qFormat/>
    <w:uiPriority w:val="99"/>
    <w:pPr>
      <w:adjustRightInd w:val="0"/>
      <w:spacing w:line="420" w:lineRule="atLeast"/>
      <w:jc w:val="left"/>
      <w:textAlignment w:val="baseline"/>
    </w:pPr>
    <w:rPr>
      <w:kern w:val="0"/>
    </w:rPr>
  </w:style>
  <w:style w:type="character" w:customStyle="1" w:styleId="73">
    <w:name w:val="ca-141"/>
    <w:qFormat/>
    <w:uiPriority w:val="0"/>
    <w:rPr>
      <w:rFonts w:hint="eastAsia" w:ascii="宋体" w:hAnsi="宋体" w:eastAsia="宋体"/>
      <w:sz w:val="28"/>
      <w:szCs w:val="28"/>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72</Pages>
  <Words>42284</Words>
  <Characters>44979</Characters>
  <Lines>377</Lines>
  <Paragraphs>106</Paragraphs>
  <TotalTime>24</TotalTime>
  <ScaleCrop>false</ScaleCrop>
  <LinksUpToDate>false</LinksUpToDate>
  <CharactersWithSpaces>50546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2022-06-02T01:19:00Z</dcterms:created>
  <dc:creator>dell</dc:creator>
  <cp:lastModifiedBy>陆喵了个白。</cp:lastModifiedBy>
  <cp:lastPrinted>2024-09-11T11:28:00Z</cp:lastPrinted>
  <dcterms:modified xsi:type="dcterms:W3CDTF">2024-09-14T07:47:42Z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8274637BBB94DED928877A663416DB35_43</vt:lpwstr>
  </property>
</Properties>
</file>