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hAnsi="宋体" w:cs="宋体"/>
          <w:b/>
          <w:color w:val="auto"/>
          <w:kern w:val="0"/>
          <w:sz w:val="52"/>
          <w:szCs w:val="52"/>
          <w:highlight w:val="none"/>
        </w:rPr>
      </w:pPr>
    </w:p>
    <w:p>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1312"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ascii="宋体" w:hAnsi="宋体" w:cs="宋体"/>
          <w:color w:val="auto"/>
          <w:sz w:val="52"/>
          <w:szCs w:val="52"/>
          <w:highlight w:val="none"/>
        </w:rPr>
      </w:pPr>
    </w:p>
    <w:p>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shd w:val="clear"/>
        <w:jc w:val="center"/>
        <w:rPr>
          <w:rFonts w:ascii="宋体" w:hAnsi="宋体" w:cs="宋体"/>
          <w:color w:val="auto"/>
          <w:sz w:val="36"/>
          <w:szCs w:val="36"/>
          <w:highlight w:val="none"/>
        </w:rPr>
      </w:pPr>
    </w:p>
    <w:p>
      <w:pPr>
        <w:shd w:val="clear"/>
        <w:jc w:val="center"/>
        <w:rPr>
          <w:rFonts w:ascii="宋体" w:hAnsi="宋体" w:cs="宋体"/>
          <w:b/>
          <w:color w:val="auto"/>
          <w:sz w:val="72"/>
          <w:szCs w:val="72"/>
          <w:highlight w:val="none"/>
        </w:rPr>
      </w:pPr>
    </w:p>
    <w:p>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pPr>
        <w:shd w:val="clear" w:color="auto"/>
        <w:spacing w:line="360" w:lineRule="auto"/>
        <w:jc w:val="center"/>
        <w:textAlignment w:val="bottom"/>
        <w:rPr>
          <w:rFonts w:ascii="宋体" w:hAnsi="宋体" w:cs="宋体"/>
          <w:color w:val="auto"/>
          <w:sz w:val="28"/>
          <w:szCs w:val="28"/>
          <w:highlight w:val="none"/>
        </w:rPr>
      </w:pPr>
    </w:p>
    <w:p>
      <w:pPr>
        <w:shd w:val="clear" w:color="auto"/>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ZJWS2024-JJ116-1</w:t>
      </w:r>
    </w:p>
    <w:p>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台州学院“全省海岛绿色能源及新材料重点实验室”海水光电制氢和海岛光伏发电设备采购项目（二次）</w:t>
      </w:r>
    </w:p>
    <w:p>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4</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月</w:t>
      </w:r>
    </w:p>
    <w:p>
      <w:pPr>
        <w:shd w:val="clear"/>
        <w:spacing w:line="360" w:lineRule="auto"/>
        <w:ind w:firstLine="480" w:firstLineChars="200"/>
        <w:rPr>
          <w:rFonts w:ascii="宋体" w:hAnsi="宋体" w:cs="宋体"/>
          <w:color w:val="auto"/>
          <w:sz w:val="24"/>
          <w:szCs w:val="32"/>
          <w:highlight w:val="none"/>
        </w:rPr>
      </w:pPr>
    </w:p>
    <w:p>
      <w:pPr>
        <w:pStyle w:val="2"/>
        <w:shd w:val="clear"/>
        <w:rPr>
          <w:rFonts w:ascii="宋体" w:hAnsi="宋体" w:cs="宋体"/>
          <w:color w:val="auto"/>
          <w:highlight w:val="none"/>
        </w:rPr>
      </w:pPr>
    </w:p>
    <w:p>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pPr>
    </w:p>
    <w:p>
      <w:pPr>
        <w:pStyle w:val="30"/>
        <w:shd w:val="clear"/>
        <w:rPr>
          <w:color w:val="auto"/>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pPr>
            <w:shd w:val="clear"/>
            <w:jc w:val="center"/>
            <w:rPr>
              <w:color w:val="auto"/>
              <w:highlight w:val="none"/>
            </w:rPr>
          </w:pPr>
        </w:p>
        <w:p>
          <w:pPr>
            <w:pStyle w:val="31"/>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33</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pPr>
            <w:pStyle w:val="31"/>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rPr>
              <w:color w:val="auto"/>
              <w:highlight w:val="none"/>
            </w:rPr>
          </w:pPr>
        </w:p>
        <w:p>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bookmarkStart w:id="1" w:name="_Toc2009"/>
      <w:bookmarkStart w:id="2" w:name="_Toc1962391020"/>
      <w:r>
        <w:rPr>
          <w:rFonts w:hint="eastAsia" w:ascii="宋体" w:hAnsi="宋体" w:cs="宋体"/>
          <w:b/>
          <w:bCs/>
          <w:color w:val="auto"/>
          <w:sz w:val="36"/>
          <w:szCs w:val="44"/>
          <w:highlight w:val="none"/>
        </w:rPr>
        <w:t>第一章 公开招标采购公告</w:t>
      </w:r>
      <w:bookmarkEnd w:id="0"/>
      <w:bookmarkEnd w:id="1"/>
      <w:bookmarkEnd w:id="2"/>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台州学院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台州学院“全省海岛绿色能源及新材料重点实验室”海水光电制氢和海岛光伏发电设备采购项目（二次）</w:t>
      </w:r>
      <w:r>
        <w:rPr>
          <w:rFonts w:hint="eastAsia" w:ascii="宋体" w:hAnsi="宋体" w:cs="宋体"/>
          <w:color w:val="auto"/>
          <w:sz w:val="24"/>
          <w:szCs w:val="32"/>
          <w:highlight w:val="none"/>
        </w:rPr>
        <w:t>进行公开招标采购，欢迎合格供应商前来投标。</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ZJWS2024-JJ116-1</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个标段，具体内容如下表：</w:t>
      </w:r>
    </w:p>
    <w:tbl>
      <w:tblPr>
        <w:tblStyle w:val="22"/>
        <w:tblW w:w="53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82"/>
        <w:gridCol w:w="2164"/>
        <w:gridCol w:w="963"/>
        <w:gridCol w:w="678"/>
        <w:gridCol w:w="763"/>
        <w:gridCol w:w="1159"/>
        <w:gridCol w:w="147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jc w:val="center"/>
        </w:trPr>
        <w:tc>
          <w:tcPr>
            <w:tcW w:w="479"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1176" w:type="pct"/>
            <w:shd w:val="clear" w:color="auto" w:fill="FFFFFF" w:themeFill="background1"/>
            <w:vAlign w:val="center"/>
          </w:tcPr>
          <w:p>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523" w:type="pct"/>
            <w:shd w:val="clear" w:color="auto" w:fill="FFFFFF" w:themeFill="background1"/>
            <w:vAlign w:val="center"/>
          </w:tcPr>
          <w:p>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w:t>
            </w:r>
            <w:r>
              <w:rPr>
                <w:rFonts w:hint="eastAsia" w:asciiTheme="minorEastAsia" w:hAnsiTheme="minorEastAsia" w:eastAsiaTheme="minorEastAsia"/>
                <w:b/>
                <w:color w:val="auto"/>
                <w:sz w:val="24"/>
                <w:highlight w:val="none"/>
                <w:lang w:val="en-US" w:eastAsia="zh-CN"/>
              </w:rPr>
              <w:t xml:space="preserve"> </w:t>
            </w:r>
            <w:r>
              <w:rPr>
                <w:rFonts w:hint="eastAsia" w:asciiTheme="minorEastAsia" w:hAnsiTheme="minorEastAsia" w:eastAsiaTheme="minorEastAsia"/>
                <w:b/>
                <w:color w:val="auto"/>
                <w:sz w:val="24"/>
                <w:highlight w:val="none"/>
              </w:rPr>
              <w:t>号</w:t>
            </w:r>
          </w:p>
        </w:tc>
        <w:tc>
          <w:tcPr>
            <w:tcW w:w="368"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414"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30"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800" w:type="pct"/>
            <w:shd w:val="clear" w:color="auto" w:fill="FFFFFF" w:themeFill="background1"/>
            <w:vAlign w:val="center"/>
          </w:tcPr>
          <w:p>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605"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79" w:type="pct"/>
            <w:shd w:val="clear" w:color="auto" w:fill="FFFFFF" w:themeFill="background1"/>
            <w:vAlign w:val="center"/>
          </w:tcPr>
          <w:p>
            <w:pPr>
              <w:shd w:val="clear"/>
              <w:tabs>
                <w:tab w:val="left" w:pos="8280"/>
              </w:tabs>
              <w:autoSpaceDE w:val="0"/>
              <w:autoSpaceDN w:val="0"/>
              <w:adjustRightInd w:val="0"/>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w:t>
            </w:r>
          </w:p>
        </w:tc>
        <w:tc>
          <w:tcPr>
            <w:tcW w:w="1176"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lang w:eastAsia="zh-CN"/>
              </w:rPr>
            </w:pPr>
            <w:r>
              <w:rPr>
                <w:rFonts w:hint="eastAsia" w:ascii="宋体" w:hAnsi="宋体" w:cs="宋体"/>
                <w:color w:val="auto"/>
                <w:kern w:val="0"/>
                <w:sz w:val="24"/>
                <w:highlight w:val="none"/>
              </w:rPr>
              <w:t>海岛光伏发电</w:t>
            </w:r>
            <w:r>
              <w:rPr>
                <w:rFonts w:hint="eastAsia" w:ascii="宋体" w:hAnsi="宋体" w:cs="宋体"/>
                <w:color w:val="auto"/>
                <w:kern w:val="0"/>
                <w:sz w:val="24"/>
                <w:highlight w:val="none"/>
                <w:lang w:val="en-US" w:eastAsia="zh-CN"/>
              </w:rPr>
              <w:t>-</w:t>
            </w:r>
            <w:r>
              <w:rPr>
                <w:rFonts w:hint="eastAsia" w:ascii="宋体" w:hAnsi="宋体" w:cs="宋体"/>
                <w:color w:val="auto"/>
                <w:sz w:val="24"/>
                <w:highlight w:val="none"/>
              </w:rPr>
              <w:t>高真空金属有机蒸发镀膜装置设备</w:t>
            </w:r>
          </w:p>
        </w:tc>
        <w:tc>
          <w:tcPr>
            <w:tcW w:w="523" w:type="pct"/>
            <w:shd w:val="clear" w:color="auto" w:fill="FFFFFF" w:themeFill="background1"/>
            <w:vAlign w:val="center"/>
          </w:tcPr>
          <w:p>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详见技术需求</w:t>
            </w:r>
          </w:p>
        </w:tc>
        <w:tc>
          <w:tcPr>
            <w:tcW w:w="368"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14"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630" w:type="pct"/>
            <w:shd w:val="clear" w:color="auto" w:fill="FFFFFF" w:themeFill="background1"/>
            <w:vAlign w:val="center"/>
          </w:tcPr>
          <w:p>
            <w:pPr>
              <w:shd w:val="clea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26</w:t>
            </w:r>
          </w:p>
        </w:tc>
        <w:tc>
          <w:tcPr>
            <w:tcW w:w="800"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0日历天</w:t>
            </w:r>
          </w:p>
        </w:tc>
        <w:tc>
          <w:tcPr>
            <w:tcW w:w="605" w:type="pct"/>
            <w:shd w:val="clear" w:color="auto" w:fill="FFFFFF" w:themeFill="background1"/>
            <w:vAlign w:val="center"/>
          </w:tcPr>
          <w:p>
            <w:pPr>
              <w:shd w:val="clear"/>
              <w:tabs>
                <w:tab w:val="left" w:pos="8280"/>
              </w:tabs>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台州学院椒江校区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79" w:type="pct"/>
            <w:shd w:val="clear" w:color="auto" w:fill="FFFFFF" w:themeFill="background1"/>
            <w:vAlign w:val="center"/>
          </w:tcPr>
          <w:p>
            <w:pPr>
              <w:shd w:val="clea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二</w:t>
            </w:r>
          </w:p>
        </w:tc>
        <w:tc>
          <w:tcPr>
            <w:tcW w:w="1176"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lang w:eastAsia="zh-CN"/>
              </w:rPr>
            </w:pPr>
            <w:r>
              <w:rPr>
                <w:rFonts w:hint="eastAsia" w:ascii="宋体" w:hAnsi="宋体" w:cs="宋体"/>
                <w:color w:val="auto"/>
                <w:kern w:val="0"/>
                <w:sz w:val="24"/>
                <w:highlight w:val="none"/>
              </w:rPr>
              <w:t>海岛光伏发电</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钙钛矿制备防护系统设备</w:t>
            </w:r>
          </w:p>
        </w:tc>
        <w:tc>
          <w:tcPr>
            <w:tcW w:w="523" w:type="pct"/>
            <w:shd w:val="clear" w:color="auto" w:fill="FFFFFF" w:themeFill="background1"/>
            <w:vAlign w:val="center"/>
          </w:tcPr>
          <w:p>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详见技术需求</w:t>
            </w:r>
          </w:p>
        </w:tc>
        <w:tc>
          <w:tcPr>
            <w:tcW w:w="368"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14"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630" w:type="pct"/>
            <w:shd w:val="clear" w:color="auto" w:fill="FFFFFF" w:themeFill="background1"/>
            <w:vAlign w:val="center"/>
          </w:tcPr>
          <w:p>
            <w:pPr>
              <w:shd w:val="clear"/>
              <w:tabs>
                <w:tab w:val="left" w:pos="8280"/>
              </w:tabs>
              <w:autoSpaceDE w:val="0"/>
              <w:autoSpaceDN w:val="0"/>
              <w:adjustRightInd w:val="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9</w:t>
            </w:r>
          </w:p>
        </w:tc>
        <w:tc>
          <w:tcPr>
            <w:tcW w:w="800"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0日历天</w:t>
            </w:r>
          </w:p>
        </w:tc>
        <w:tc>
          <w:tcPr>
            <w:tcW w:w="605" w:type="pct"/>
            <w:shd w:val="clear" w:color="auto" w:fill="FFFFFF" w:themeFill="background1"/>
            <w:vAlign w:val="center"/>
          </w:tcPr>
          <w:p>
            <w:pPr>
              <w:shd w:val="clear"/>
              <w:tabs>
                <w:tab w:val="left" w:pos="8280"/>
              </w:tabs>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台州学院椒江校区</w:t>
            </w:r>
          </w:p>
        </w:tc>
      </w:tr>
    </w:tbl>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pStyle w:val="42"/>
        <w:shd w:val="clear"/>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pPr>
        <w:pStyle w:val="42"/>
        <w:shd w:val="clear"/>
        <w:adjustRightInd w:val="0"/>
        <w:snapToGrid w:val="0"/>
        <w:spacing w:before="0" w:line="360" w:lineRule="auto"/>
        <w:ind w:left="102" w:right="102" w:firstLine="480"/>
        <w:rPr>
          <w:rFonts w:hint="eastAsia" w:ascii="宋体" w:eastAsia="宋体"/>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w:t>
      </w:r>
      <w:r>
        <w:rPr>
          <w:rFonts w:hint="eastAsia" w:ascii="宋体" w:eastAsia="宋体"/>
          <w:color w:val="auto"/>
          <w:sz w:val="24"/>
          <w:szCs w:val="24"/>
          <w:highlight w:val="none"/>
          <w:lang w:eastAsia="zh-CN"/>
        </w:rPr>
        <w:t>重大税收违法失信主体</w:t>
      </w:r>
      <w:r>
        <w:rPr>
          <w:rFonts w:hint="eastAsia" w:ascii="宋体" w:eastAsia="宋体"/>
          <w:color w:val="auto"/>
          <w:sz w:val="24"/>
          <w:szCs w:val="24"/>
          <w:highlight w:val="none"/>
        </w:rPr>
        <w:t>、政府采购严重违法失信行为记录名单；</w:t>
      </w:r>
    </w:p>
    <w:p>
      <w:pPr>
        <w:pStyle w:val="42"/>
        <w:shd w:val="clear"/>
        <w:adjustRightInd w:val="0"/>
        <w:snapToGrid w:val="0"/>
        <w:spacing w:before="0" w:line="360" w:lineRule="auto"/>
        <w:ind w:left="102" w:right="102" w:firstLine="480"/>
        <w:rPr>
          <w:rFonts w:hint="default" w:ascii="宋体" w:eastAsia="宋体"/>
          <w:color w:val="auto"/>
          <w:sz w:val="24"/>
          <w:szCs w:val="24"/>
          <w:highlight w:val="none"/>
          <w:lang w:val="en-US"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三</w:t>
      </w:r>
      <w:r>
        <w:rPr>
          <w:rFonts w:hint="eastAsia" w:ascii="宋体" w:eastAsia="宋体"/>
          <w:color w:val="auto"/>
          <w:sz w:val="24"/>
          <w:szCs w:val="24"/>
          <w:highlight w:val="none"/>
          <w:lang w:eastAsia="zh-CN"/>
        </w:rPr>
        <w:t>）落实政府采购政策需满足的资格要求：</w:t>
      </w:r>
      <w:r>
        <w:rPr>
          <w:rFonts w:hint="eastAsia" w:ascii="宋体" w:eastAsia="宋体"/>
          <w:color w:val="auto"/>
          <w:sz w:val="24"/>
          <w:szCs w:val="24"/>
          <w:highlight w:val="none"/>
          <w:lang w:val="en-US" w:eastAsia="zh-CN"/>
        </w:rPr>
        <w:t xml:space="preserve"> 本项目专门面向中小企业采购（须在资格证明文件里提供《中小企业声明函》）。</w:t>
      </w:r>
    </w:p>
    <w:p>
      <w:pPr>
        <w:pStyle w:val="42"/>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四</w:t>
      </w:r>
      <w:r>
        <w:rPr>
          <w:rFonts w:hint="eastAsia" w:ascii="宋体" w:eastAsia="宋体"/>
          <w:color w:val="auto"/>
          <w:sz w:val="24"/>
          <w:szCs w:val="24"/>
          <w:highlight w:val="none"/>
        </w:rPr>
        <w:t>）</w:t>
      </w:r>
      <w:r>
        <w:rPr>
          <w:rFonts w:hint="eastAsia" w:asciiTheme="minorEastAsia" w:hAnsiTheme="minorEastAsia" w:eastAsiaTheme="minorEastAsia"/>
          <w:color w:val="auto"/>
          <w:sz w:val="24"/>
          <w:highlight w:val="none"/>
        </w:rPr>
        <w:t>本项目供应商特定条件：</w:t>
      </w:r>
    </w:p>
    <w:p>
      <w:pPr>
        <w:shd w:val="clear"/>
        <w:spacing w:line="360" w:lineRule="auto"/>
        <w:ind w:firstLine="480" w:firstLineChars="200"/>
        <w:rPr>
          <w:rFonts w:ascii="宋体" w:hAnsi="宋体" w:cs="宋体"/>
          <w:color w:val="auto"/>
          <w:sz w:val="24"/>
          <w:szCs w:val="32"/>
          <w:highlight w:val="none"/>
        </w:rPr>
      </w:pPr>
      <w:r>
        <w:rPr>
          <w:rFonts w:hint="default" w:ascii="宋体" w:hAnsi="宋体" w:cs="宋体"/>
          <w:color w:val="auto"/>
          <w:sz w:val="24"/>
          <w:szCs w:val="32"/>
          <w:highlight w:val="none"/>
        </w:rPr>
        <w:t>1</w:t>
      </w:r>
      <w:r>
        <w:rPr>
          <w:rFonts w:hint="eastAsia" w:ascii="宋体" w:hAnsi="宋体" w:cs="宋体"/>
          <w:color w:val="auto"/>
          <w:sz w:val="24"/>
          <w:szCs w:val="32"/>
          <w:highlight w:val="none"/>
        </w:rPr>
        <w:t>.本项目不接受联合体投标。</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2024年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28</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ascii="宋体" w:hAnsi="宋体" w:cs="宋体"/>
          <w:color w:val="auto"/>
          <w:sz w:val="24"/>
          <w:highlight w:val="none"/>
          <w:lang w:eastAsia="zh-Hans"/>
        </w:rPr>
        <w:t>椒江区市府大道777号民泰大楼3楼一号开标室A场地</w:t>
      </w:r>
      <w:r>
        <w:rPr>
          <w:rFonts w:hint="eastAsia" w:ascii="宋体" w:hAnsi="宋体" w:cs="宋体"/>
          <w:color w:val="auto"/>
          <w:sz w:val="24"/>
          <w:highlight w:val="none"/>
          <w:lang w:eastAsia="zh-Hans"/>
        </w:rPr>
        <w:t>。</w:t>
      </w:r>
    </w:p>
    <w:p>
      <w:pPr>
        <w:shd w:val="clear"/>
        <w:spacing w:line="360" w:lineRule="auto"/>
        <w:ind w:firstLine="482" w:firstLineChars="200"/>
        <w:outlineLvl w:val="0"/>
        <w:rPr>
          <w:rFonts w:hint="eastAsia" w:ascii="宋体" w:hAnsi="宋体" w:cs="宋体"/>
          <w:b/>
          <w:bCs/>
          <w:color w:val="auto"/>
          <w:sz w:val="24"/>
          <w:szCs w:val="32"/>
          <w:highlight w:val="none"/>
        </w:rPr>
      </w:pPr>
      <w:bookmarkStart w:id="3" w:name="_Toc11247"/>
      <w:bookmarkStart w:id="4" w:name="_Toc24566"/>
      <w:bookmarkStart w:id="5" w:name="_Toc852022514"/>
      <w:r>
        <w:rPr>
          <w:rFonts w:hint="eastAsia" w:ascii="宋体" w:hAnsi="宋体" w:cs="宋体"/>
          <w:b/>
          <w:bCs/>
          <w:color w:val="auto"/>
          <w:sz w:val="24"/>
          <w:szCs w:val="32"/>
          <w:highlight w:val="none"/>
        </w:rPr>
        <w:t>八、相关注意事项：</w:t>
      </w:r>
      <w:bookmarkEnd w:id="3"/>
      <w:bookmarkEnd w:id="4"/>
      <w:bookmarkEnd w:id="5"/>
    </w:p>
    <w:p>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w:t>
      </w:r>
      <w:bookmarkStart w:id="139" w:name="_GoBack"/>
      <w:bookmarkEnd w:id="139"/>
      <w:r>
        <w:rPr>
          <w:rFonts w:hint="eastAsia" w:ascii="宋体" w:hAnsi="宋体" w:cs="宋体"/>
          <w:color w:val="auto"/>
          <w:sz w:val="24"/>
          <w:szCs w:val="32"/>
          <w:highlight w:val="none"/>
        </w:rPr>
        <w:t>进行查询并甄别。</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联系人：梁老师；联系电话：0576-88660897；</w:t>
      </w:r>
    </w:p>
    <w:p>
      <w:pPr>
        <w:shd w:val="clear"/>
        <w:snapToGrid w:val="0"/>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w:t>质疑接收人：</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老师；联系方式：</w:t>
      </w:r>
      <w:r>
        <w:rPr>
          <w:rFonts w:hint="eastAsia" w:ascii="宋体" w:hAnsi="宋体" w:cs="宋体"/>
          <w:color w:val="auto"/>
          <w:sz w:val="24"/>
          <w:highlight w:val="none"/>
        </w:rPr>
        <w:t>0576-88660896；</w:t>
      </w:r>
      <w:r>
        <w:rPr>
          <w:rFonts w:hint="eastAsia" w:ascii="宋体" w:hAnsi="宋体" w:cs="宋体"/>
          <w:color w:val="auto"/>
          <w:spacing w:val="20"/>
          <w:sz w:val="24"/>
          <w:highlight w:val="none"/>
        </w:rPr>
        <w:t xml:space="preserve"> </w:t>
      </w:r>
    </w:p>
    <w:p>
      <w:pPr>
        <w:shd w:val="clea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pPr>
        <w:pStyle w:val="2"/>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pPr>
        <w:pStyle w:val="2"/>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pPr>
        <w:shd w:val="clear"/>
        <w:jc w:val="center"/>
        <w:outlineLvl w:val="1"/>
        <w:rPr>
          <w:color w:val="auto"/>
          <w:sz w:val="32"/>
          <w:szCs w:val="32"/>
          <w:highlight w:val="none"/>
        </w:rPr>
      </w:pPr>
      <w:bookmarkStart w:id="6" w:name="_Toc521434602"/>
      <w:r>
        <w:rPr>
          <w:rFonts w:hint="eastAsia"/>
          <w:color w:val="auto"/>
          <w:sz w:val="32"/>
          <w:szCs w:val="32"/>
          <w:highlight w:val="none"/>
        </w:rPr>
        <w:t>合同履约保函联系方式</w:t>
      </w:r>
      <w:bookmarkEnd w:id="6"/>
    </w:p>
    <w:tbl>
      <w:tblPr>
        <w:tblStyle w:val="23"/>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shd w:val="clear"/>
        <w:ind w:firstLine="3220" w:firstLineChars="1150"/>
        <w:outlineLvl w:val="1"/>
        <w:rPr>
          <w:rFonts w:ascii="宋体" w:hAnsi="宋体" w:cs="宋体"/>
          <w:color w:val="auto"/>
          <w:sz w:val="28"/>
          <w:szCs w:val="28"/>
          <w:highlight w:val="none"/>
        </w:rPr>
      </w:pPr>
      <w:bookmarkStart w:id="7" w:name="_Toc2018076054"/>
      <w:r>
        <w:rPr>
          <w:rFonts w:hint="eastAsia" w:ascii="宋体" w:hAnsi="宋体" w:cs="宋体"/>
          <w:color w:val="auto"/>
          <w:sz w:val="28"/>
          <w:szCs w:val="28"/>
          <w:highlight w:val="none"/>
        </w:rPr>
        <w:t>预付款保函联系方式</w:t>
      </w:r>
      <w:bookmarkEnd w:id="7"/>
    </w:p>
    <w:tbl>
      <w:tblPr>
        <w:tblStyle w:val="23"/>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月</w:t>
      </w:r>
    </w:p>
    <w:p>
      <w:pPr>
        <w:shd w:val="clear"/>
        <w:rPr>
          <w:rFonts w:ascii="宋体" w:hAnsi="宋体" w:cs="宋体"/>
          <w:b/>
          <w:bCs/>
          <w:color w:val="auto"/>
          <w:sz w:val="36"/>
          <w:szCs w:val="44"/>
          <w:highlight w:val="none"/>
        </w:rPr>
      </w:pPr>
      <w:bookmarkStart w:id="8" w:name="_Toc17094"/>
      <w:bookmarkStart w:id="9" w:name="_Toc23118"/>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bookmarkStart w:id="10" w:name="_Toc447518860"/>
      <w:r>
        <w:rPr>
          <w:rFonts w:hint="eastAsia" w:ascii="宋体" w:hAnsi="宋体" w:cs="宋体"/>
          <w:b/>
          <w:bCs/>
          <w:color w:val="auto"/>
          <w:sz w:val="36"/>
          <w:szCs w:val="44"/>
          <w:highlight w:val="none"/>
        </w:rPr>
        <w:t>第二章 投标人须知</w:t>
      </w:r>
      <w:bookmarkEnd w:id="8"/>
      <w:bookmarkEnd w:id="9"/>
      <w:bookmarkEnd w:id="10"/>
    </w:p>
    <w:p>
      <w:pPr>
        <w:shd w:val="clear"/>
        <w:spacing w:line="360" w:lineRule="auto"/>
        <w:jc w:val="center"/>
        <w:outlineLvl w:val="1"/>
        <w:rPr>
          <w:rFonts w:ascii="宋体" w:hAnsi="宋体" w:cs="宋体"/>
          <w:b/>
          <w:bCs/>
          <w:color w:val="auto"/>
          <w:sz w:val="24"/>
          <w:szCs w:val="32"/>
          <w:highlight w:val="none"/>
        </w:rPr>
      </w:pPr>
      <w:bookmarkStart w:id="11" w:name="_Toc17272"/>
      <w:bookmarkStart w:id="12" w:name="_Toc961748226"/>
      <w:r>
        <w:rPr>
          <w:rFonts w:hint="eastAsia" w:ascii="宋体" w:hAnsi="宋体" w:cs="宋体"/>
          <w:b/>
          <w:bCs/>
          <w:color w:val="auto"/>
          <w:sz w:val="24"/>
          <w:szCs w:val="32"/>
          <w:highlight w:val="none"/>
        </w:rPr>
        <w:t>前附表</w:t>
      </w:r>
      <w:bookmarkEnd w:id="11"/>
      <w:bookmarkEnd w:id="12"/>
    </w:p>
    <w:tbl>
      <w:tblPr>
        <w:tblStyle w:val="22"/>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2024年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28</w:t>
            </w:r>
            <w:r>
              <w:rPr>
                <w:rFonts w:hint="eastAsia" w:ascii="宋体" w:hAnsi="宋体" w:cs="宋体"/>
                <w:color w:val="auto"/>
                <w:sz w:val="24"/>
                <w:szCs w:val="32"/>
                <w:highlight w:val="none"/>
                <w:lang w:eastAsia="zh-CN"/>
              </w:rPr>
              <w:t xml:space="preserve">日 上午09:00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2024年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28</w:t>
            </w:r>
            <w:r>
              <w:rPr>
                <w:rFonts w:hint="eastAsia" w:ascii="宋体" w:hAnsi="宋体" w:cs="宋体"/>
                <w:color w:val="auto"/>
                <w:sz w:val="24"/>
                <w:szCs w:val="32"/>
                <w:highlight w:val="none"/>
                <w:lang w:eastAsia="zh-CN"/>
              </w:rPr>
              <w:t xml:space="preserve">日 上午09:00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ascii="宋体" w:hAnsi="宋体" w:cs="宋体"/>
                <w:color w:val="auto"/>
                <w:sz w:val="24"/>
                <w:highlight w:val="none"/>
                <w:lang w:eastAsia="zh-Hans"/>
              </w:rPr>
              <w:t>椒江区市府大道777号民泰大楼3楼一号开标室A场地</w:t>
            </w:r>
            <w:r>
              <w:rPr>
                <w:rFonts w:hint="eastAsia" w:ascii="宋体" w:hAnsi="宋体" w:cs="宋体"/>
                <w:color w:val="auto"/>
                <w:sz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lang w:eastAsia="zh-Hans"/>
              </w:rPr>
              <w:t>详见公开招标需求</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0052"/>
            </w:r>
            <w:r>
              <w:rPr>
                <w:rFonts w:hint="eastAsia"/>
                <w:color w:val="auto"/>
                <w:sz w:val="24"/>
                <w:szCs w:val="24"/>
                <w:highlight w:val="none"/>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是</w:t>
            </w:r>
          </w:p>
          <w:p>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所属行业：</w:t>
            </w:r>
            <w:r>
              <w:rPr>
                <w:rFonts w:hint="eastAsia" w:ascii="Times New Roman" w:hAnsi="Times New Roman" w:eastAsia="宋体" w:cs="Times New Roman"/>
                <w:color w:val="auto"/>
                <w:sz w:val="24"/>
                <w:szCs w:val="24"/>
                <w:highlight w:val="none"/>
                <w:lang w:val="en-US"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pPr>
        <w:shd w:val="clear"/>
        <w:spacing w:line="360" w:lineRule="auto"/>
        <w:outlineLvl w:val="1"/>
        <w:rPr>
          <w:rFonts w:hint="eastAsia" w:ascii="宋体" w:hAnsi="宋体" w:cs="宋体"/>
          <w:b/>
          <w:bCs/>
          <w:color w:val="auto"/>
          <w:sz w:val="24"/>
          <w:szCs w:val="32"/>
          <w:highlight w:val="none"/>
        </w:rPr>
      </w:pPr>
      <w:bookmarkStart w:id="13" w:name="_Toc7832"/>
      <w:bookmarkStart w:id="14" w:name="_Toc2140507060"/>
    </w:p>
    <w:p>
      <w:pPr>
        <w:shd w:val="clear"/>
        <w:spacing w:line="360" w:lineRule="auto"/>
        <w:outlineLvl w:val="1"/>
        <w:rPr>
          <w:rFonts w:hint="eastAsia" w:ascii="宋体" w:hAnsi="宋体" w:cs="宋体"/>
          <w:b/>
          <w:bCs/>
          <w:color w:val="auto"/>
          <w:sz w:val="24"/>
          <w:szCs w:val="32"/>
          <w:highlight w:val="none"/>
        </w:rPr>
      </w:pPr>
    </w:p>
    <w:p>
      <w:pPr>
        <w:shd w:val="clear"/>
        <w:spacing w:line="360" w:lineRule="auto"/>
        <w:outlineLvl w:val="1"/>
        <w:rPr>
          <w:rFonts w:hint="eastAsia" w:ascii="宋体" w:hAnsi="宋体" w:cs="宋体"/>
          <w:b/>
          <w:bCs/>
          <w:color w:val="auto"/>
          <w:sz w:val="24"/>
          <w:szCs w:val="32"/>
          <w:highlight w:val="none"/>
        </w:rPr>
      </w:pPr>
    </w:p>
    <w:p>
      <w:pPr>
        <w:shd w:val="clear"/>
        <w:spacing w:line="360" w:lineRule="auto"/>
        <w:outlineLvl w:val="1"/>
        <w:rPr>
          <w:rFonts w:ascii="宋体" w:hAnsi="宋体" w:cs="宋体"/>
          <w:b/>
          <w:bCs/>
          <w:color w:val="auto"/>
          <w:sz w:val="24"/>
          <w:szCs w:val="32"/>
          <w:highlight w:val="none"/>
        </w:rPr>
      </w:pPr>
      <w:r>
        <w:rPr>
          <w:rFonts w:hint="eastAsia" w:ascii="宋体" w:hAnsi="宋体" w:cs="宋体"/>
          <w:b/>
          <w:bCs/>
          <w:color w:val="auto"/>
          <w:sz w:val="24"/>
          <w:szCs w:val="32"/>
          <w:highlight w:val="none"/>
        </w:rPr>
        <w:t>一、总  则</w:t>
      </w:r>
      <w:bookmarkEnd w:id="13"/>
      <w:bookmarkEnd w:id="14"/>
    </w:p>
    <w:p>
      <w:pPr>
        <w:shd w:val="clear"/>
        <w:spacing w:line="360" w:lineRule="auto"/>
        <w:ind w:firstLine="482" w:firstLineChars="200"/>
        <w:outlineLvl w:val="2"/>
        <w:rPr>
          <w:rFonts w:ascii="宋体" w:hAnsi="宋体" w:cs="宋体"/>
          <w:b/>
          <w:bCs/>
          <w:color w:val="auto"/>
          <w:sz w:val="24"/>
          <w:szCs w:val="32"/>
          <w:highlight w:val="none"/>
        </w:rPr>
      </w:pPr>
      <w:bookmarkStart w:id="15" w:name="_Toc12047"/>
      <w:bookmarkStart w:id="16" w:name="_Toc856102876"/>
      <w:r>
        <w:rPr>
          <w:rFonts w:hint="eastAsia" w:ascii="宋体" w:hAnsi="宋体" w:cs="宋体"/>
          <w:b/>
          <w:bCs/>
          <w:color w:val="auto"/>
          <w:sz w:val="24"/>
          <w:szCs w:val="32"/>
          <w:highlight w:val="none"/>
        </w:rPr>
        <w:t>（一） 适用范围</w:t>
      </w:r>
      <w:bookmarkEnd w:id="15"/>
      <w:bookmarkEnd w:id="16"/>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hd w:val="clear"/>
        <w:spacing w:line="360" w:lineRule="auto"/>
        <w:ind w:firstLine="482" w:firstLineChars="200"/>
        <w:outlineLvl w:val="2"/>
        <w:rPr>
          <w:rFonts w:ascii="宋体" w:hAnsi="宋体" w:cs="宋体"/>
          <w:b/>
          <w:bCs/>
          <w:color w:val="auto"/>
          <w:sz w:val="24"/>
          <w:szCs w:val="32"/>
          <w:highlight w:val="none"/>
        </w:rPr>
      </w:pPr>
      <w:bookmarkStart w:id="17" w:name="_Toc380602032"/>
      <w:bookmarkStart w:id="18" w:name="_Toc10006"/>
      <w:r>
        <w:rPr>
          <w:rFonts w:hint="eastAsia" w:ascii="宋体" w:hAnsi="宋体" w:cs="宋体"/>
          <w:b/>
          <w:bCs/>
          <w:color w:val="auto"/>
          <w:sz w:val="24"/>
          <w:szCs w:val="32"/>
          <w:highlight w:val="none"/>
        </w:rPr>
        <w:t>（二）定义</w:t>
      </w:r>
      <w:bookmarkEnd w:id="17"/>
      <w:bookmarkEnd w:id="18"/>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hd w:val="clear"/>
        <w:spacing w:line="360" w:lineRule="auto"/>
        <w:ind w:firstLine="482" w:firstLineChars="200"/>
        <w:outlineLvl w:val="2"/>
        <w:rPr>
          <w:rFonts w:ascii="宋体" w:hAnsi="宋体" w:cs="宋体"/>
          <w:b/>
          <w:bCs/>
          <w:color w:val="auto"/>
          <w:sz w:val="24"/>
          <w:szCs w:val="32"/>
          <w:highlight w:val="none"/>
        </w:rPr>
      </w:pPr>
      <w:bookmarkStart w:id="19" w:name="_Toc1572051058"/>
      <w:bookmarkStart w:id="20" w:name="_Toc21998"/>
      <w:r>
        <w:rPr>
          <w:rFonts w:hint="eastAsia" w:ascii="宋体" w:hAnsi="宋体" w:cs="宋体"/>
          <w:b/>
          <w:bCs/>
          <w:color w:val="auto"/>
          <w:sz w:val="24"/>
          <w:szCs w:val="32"/>
          <w:highlight w:val="none"/>
        </w:rPr>
        <w:t>（三）投标费用</w:t>
      </w:r>
      <w:bookmarkEnd w:id="19"/>
      <w:bookmarkEnd w:id="20"/>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hd w:val="clear"/>
        <w:spacing w:line="360" w:lineRule="auto"/>
        <w:ind w:firstLine="482" w:firstLineChars="200"/>
        <w:outlineLvl w:val="2"/>
        <w:rPr>
          <w:rFonts w:ascii="宋体" w:hAnsi="宋体" w:cs="宋体"/>
          <w:b/>
          <w:bCs/>
          <w:color w:val="auto"/>
          <w:sz w:val="24"/>
          <w:szCs w:val="32"/>
          <w:highlight w:val="none"/>
        </w:rPr>
      </w:pPr>
      <w:bookmarkStart w:id="21" w:name="_Toc2827"/>
      <w:bookmarkStart w:id="22" w:name="_Toc970822765"/>
      <w:r>
        <w:rPr>
          <w:rFonts w:hint="eastAsia" w:ascii="宋体" w:hAnsi="宋体" w:cs="宋体"/>
          <w:b/>
          <w:bCs/>
          <w:color w:val="auto"/>
          <w:sz w:val="24"/>
          <w:szCs w:val="32"/>
          <w:highlight w:val="none"/>
        </w:rPr>
        <w:t>（四）特别说明</w:t>
      </w:r>
      <w:bookmarkEnd w:id="21"/>
      <w:bookmarkEnd w:id="22"/>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pPr>
        <w:shd w:val="clear"/>
        <w:spacing w:line="360" w:lineRule="auto"/>
        <w:outlineLvl w:val="1"/>
        <w:rPr>
          <w:rFonts w:ascii="宋体" w:hAnsi="宋体" w:cs="宋体"/>
          <w:b/>
          <w:bCs/>
          <w:color w:val="auto"/>
          <w:sz w:val="24"/>
          <w:szCs w:val="32"/>
          <w:highlight w:val="none"/>
        </w:rPr>
      </w:pPr>
      <w:bookmarkStart w:id="23" w:name="_Toc37461449"/>
      <w:bookmarkStart w:id="24" w:name="_Toc21369"/>
      <w:r>
        <w:rPr>
          <w:rFonts w:hint="eastAsia" w:ascii="宋体" w:hAnsi="宋体" w:cs="宋体"/>
          <w:b/>
          <w:bCs/>
          <w:color w:val="auto"/>
          <w:sz w:val="24"/>
          <w:szCs w:val="32"/>
          <w:highlight w:val="none"/>
        </w:rPr>
        <w:t>二、招标文件</w:t>
      </w:r>
      <w:bookmarkEnd w:id="23"/>
      <w:bookmarkEnd w:id="24"/>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outlineLvl w:val="1"/>
        <w:rPr>
          <w:rFonts w:ascii="宋体" w:hAnsi="宋体" w:cs="宋体"/>
          <w:b/>
          <w:bCs/>
          <w:color w:val="auto"/>
          <w:sz w:val="24"/>
          <w:szCs w:val="32"/>
          <w:highlight w:val="none"/>
        </w:rPr>
      </w:pPr>
      <w:bookmarkStart w:id="25" w:name="_Toc31951"/>
      <w:bookmarkStart w:id="26" w:name="_Toc401864772"/>
      <w:r>
        <w:rPr>
          <w:rFonts w:hint="eastAsia" w:ascii="宋体" w:hAnsi="宋体" w:cs="宋体"/>
          <w:b/>
          <w:bCs/>
          <w:color w:val="auto"/>
          <w:sz w:val="24"/>
          <w:szCs w:val="32"/>
          <w:highlight w:val="none"/>
        </w:rPr>
        <w:t>三、投标文件</w:t>
      </w:r>
      <w:bookmarkEnd w:id="25"/>
      <w:bookmarkEnd w:id="26"/>
    </w:p>
    <w:p>
      <w:pPr>
        <w:shd w:val="clear"/>
        <w:spacing w:line="360" w:lineRule="auto"/>
        <w:ind w:firstLine="482" w:firstLineChars="200"/>
        <w:outlineLvl w:val="2"/>
        <w:rPr>
          <w:rFonts w:ascii="宋体" w:hAnsi="宋体" w:cs="宋体"/>
          <w:b/>
          <w:bCs/>
          <w:color w:val="auto"/>
          <w:sz w:val="24"/>
          <w:szCs w:val="32"/>
          <w:highlight w:val="none"/>
        </w:rPr>
      </w:pPr>
      <w:bookmarkStart w:id="27" w:name="_Toc2849"/>
      <w:bookmarkStart w:id="28" w:name="_Toc30515318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7"/>
      <w:bookmarkEnd w:id="28"/>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lang w:eastAsia="zh-CN"/>
        </w:rPr>
        <w:t>）中小企业声明函。</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8"/>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（1）报价文件由开标一览表、报价明细表以及投标人认为其他需要说明的内容组成。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pPr>
        <w:shd w:val="clear"/>
        <w:spacing w:line="360" w:lineRule="auto"/>
        <w:ind w:firstLine="482" w:firstLineChars="200"/>
        <w:outlineLvl w:val="2"/>
        <w:rPr>
          <w:rFonts w:ascii="宋体" w:hAnsi="宋体" w:cs="宋体"/>
          <w:b/>
          <w:bCs/>
          <w:color w:val="auto"/>
          <w:sz w:val="24"/>
          <w:szCs w:val="32"/>
          <w:highlight w:val="none"/>
        </w:rPr>
      </w:pPr>
      <w:bookmarkStart w:id="29" w:name="_Toc19104"/>
      <w:bookmarkStart w:id="30" w:name="_Toc518698487"/>
      <w:r>
        <w:rPr>
          <w:rFonts w:hint="eastAsia" w:ascii="宋体" w:hAnsi="宋体" w:cs="宋体"/>
          <w:b/>
          <w:bCs/>
          <w:color w:val="auto"/>
          <w:sz w:val="24"/>
          <w:szCs w:val="32"/>
          <w:highlight w:val="none"/>
        </w:rPr>
        <w:t>（二）投标文件的制作、封装及递交要求</w:t>
      </w:r>
      <w:bookmarkEnd w:id="29"/>
      <w:bookmarkEnd w:id="30"/>
    </w:p>
    <w:p>
      <w:pPr>
        <w:pStyle w:val="32"/>
        <w:shd w:val="clear"/>
        <w:snapToGrid w:val="0"/>
        <w:spacing w:before="0"/>
        <w:ind w:firstLine="482"/>
        <w:outlineLvl w:val="0"/>
        <w:rPr>
          <w:rFonts w:ascii="宋体" w:hAnsi="宋体" w:cs="宋体"/>
          <w:b/>
          <w:bCs/>
          <w:color w:val="auto"/>
          <w:szCs w:val="24"/>
          <w:highlight w:val="none"/>
          <w:lang w:val="en-GB"/>
        </w:rPr>
      </w:pPr>
      <w:bookmarkStart w:id="31" w:name="_Toc14690"/>
      <w:bookmarkStart w:id="32" w:name="_Toc1129347836"/>
      <w:bookmarkStart w:id="33" w:name="_Toc2878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1"/>
      <w:bookmarkEnd w:id="32"/>
      <w:bookmarkEnd w:id="33"/>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pPr>
        <w:pStyle w:val="32"/>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2"/>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pPr>
        <w:pStyle w:val="32"/>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pPr>
        <w:pStyle w:val="32"/>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pPr>
        <w:pStyle w:val="32"/>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pPr>
        <w:pStyle w:val="32"/>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pPr>
        <w:pStyle w:val="12"/>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pPr>
        <w:shd w:val="clear"/>
        <w:spacing w:line="360" w:lineRule="auto"/>
        <w:ind w:firstLine="482" w:firstLineChars="200"/>
        <w:outlineLvl w:val="2"/>
        <w:rPr>
          <w:rFonts w:ascii="宋体" w:hAnsi="宋体" w:cs="宋体"/>
          <w:b/>
          <w:bCs/>
          <w:color w:val="auto"/>
          <w:sz w:val="24"/>
          <w:szCs w:val="32"/>
          <w:highlight w:val="none"/>
        </w:rPr>
      </w:pPr>
      <w:bookmarkStart w:id="34" w:name="_Toc9979"/>
      <w:bookmarkStart w:id="35" w:name="_Toc1488607466"/>
      <w:r>
        <w:rPr>
          <w:rFonts w:hint="eastAsia" w:ascii="宋体" w:hAnsi="宋体" w:cs="宋体"/>
          <w:b/>
          <w:bCs/>
          <w:color w:val="auto"/>
          <w:sz w:val="24"/>
          <w:szCs w:val="32"/>
          <w:highlight w:val="none"/>
        </w:rPr>
        <w:t>（三）投标文件的有效期</w:t>
      </w:r>
      <w:bookmarkEnd w:id="34"/>
      <w:bookmarkEnd w:id="35"/>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pPr>
        <w:shd w:val="clear"/>
        <w:spacing w:line="360" w:lineRule="auto"/>
        <w:ind w:firstLine="482" w:firstLineChars="200"/>
        <w:outlineLvl w:val="1"/>
        <w:rPr>
          <w:rFonts w:ascii="宋体" w:hAnsi="宋体" w:cs="宋体"/>
          <w:color w:val="auto"/>
          <w:sz w:val="24"/>
          <w:highlight w:val="none"/>
        </w:rPr>
      </w:pPr>
      <w:bookmarkStart w:id="36" w:name="_Toc841193512"/>
      <w:bookmarkStart w:id="37" w:name="_Toc19605"/>
      <w:r>
        <w:rPr>
          <w:rFonts w:hint="eastAsia" w:ascii="宋体" w:hAnsi="宋体" w:cs="宋体"/>
          <w:b/>
          <w:bCs/>
          <w:color w:val="auto"/>
          <w:sz w:val="24"/>
          <w:szCs w:val="32"/>
          <w:highlight w:val="none"/>
        </w:rPr>
        <w:t>四、开标</w:t>
      </w:r>
      <w:bookmarkEnd w:id="36"/>
      <w:bookmarkEnd w:id="37"/>
    </w:p>
    <w:p>
      <w:pPr>
        <w:shd w:val="clear"/>
        <w:spacing w:line="360" w:lineRule="auto"/>
        <w:ind w:firstLine="480" w:firstLineChars="200"/>
        <w:outlineLvl w:val="2"/>
        <w:rPr>
          <w:rFonts w:ascii="宋体" w:hAnsi="宋体" w:cs="宋体"/>
          <w:color w:val="auto"/>
          <w:sz w:val="24"/>
          <w:highlight w:val="none"/>
        </w:rPr>
      </w:pPr>
      <w:bookmarkStart w:id="38" w:name="_Toc31897"/>
      <w:bookmarkStart w:id="39" w:name="_Toc1054507983"/>
      <w:r>
        <w:rPr>
          <w:rFonts w:hint="eastAsia" w:ascii="宋体" w:hAnsi="宋体" w:cs="宋体"/>
          <w:color w:val="auto"/>
          <w:sz w:val="24"/>
          <w:highlight w:val="none"/>
        </w:rPr>
        <w:t>（一）开标事项</w:t>
      </w:r>
      <w:bookmarkEnd w:id="38"/>
      <w:bookmarkEnd w:id="39"/>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outlineLvl w:val="2"/>
        <w:rPr>
          <w:rFonts w:ascii="宋体" w:hAnsi="宋体" w:cs="宋体"/>
          <w:color w:val="auto"/>
          <w:sz w:val="24"/>
          <w:highlight w:val="none"/>
        </w:rPr>
      </w:pPr>
      <w:bookmarkStart w:id="40" w:name="_Toc2080615237"/>
      <w:bookmarkStart w:id="41" w:name="_Toc21701"/>
      <w:r>
        <w:rPr>
          <w:rFonts w:hint="eastAsia" w:ascii="宋体" w:hAnsi="宋体" w:cs="宋体"/>
          <w:color w:val="auto"/>
          <w:sz w:val="24"/>
          <w:highlight w:val="none"/>
        </w:rPr>
        <w:t>（二） 开标程序</w:t>
      </w:r>
      <w:bookmarkEnd w:id="40"/>
      <w:bookmarkEnd w:id="41"/>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spacing w:line="360" w:lineRule="auto"/>
        <w:ind w:firstLine="482" w:firstLineChars="200"/>
        <w:outlineLvl w:val="1"/>
        <w:rPr>
          <w:rFonts w:ascii="宋体" w:hAnsi="宋体" w:cs="宋体"/>
          <w:b/>
          <w:bCs/>
          <w:color w:val="auto"/>
          <w:sz w:val="24"/>
          <w:szCs w:val="32"/>
          <w:highlight w:val="none"/>
        </w:rPr>
      </w:pPr>
      <w:bookmarkStart w:id="42" w:name="_Toc29579"/>
      <w:bookmarkStart w:id="43" w:name="_Toc1424064158"/>
      <w:r>
        <w:rPr>
          <w:rFonts w:hint="eastAsia" w:ascii="宋体" w:hAnsi="宋体" w:cs="宋体"/>
          <w:b/>
          <w:bCs/>
          <w:color w:val="auto"/>
          <w:sz w:val="24"/>
          <w:szCs w:val="32"/>
          <w:highlight w:val="none"/>
        </w:rPr>
        <w:t>五、评标</w:t>
      </w:r>
      <w:bookmarkEnd w:id="42"/>
      <w:bookmarkEnd w:id="43"/>
    </w:p>
    <w:p>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pPr>
        <w:shd w:val="clear"/>
        <w:spacing w:line="360" w:lineRule="auto"/>
        <w:ind w:firstLine="482" w:firstLineChars="200"/>
        <w:outlineLvl w:val="2"/>
        <w:rPr>
          <w:rFonts w:ascii="宋体" w:hAnsi="宋体" w:cs="宋体"/>
          <w:b/>
          <w:bCs/>
          <w:color w:val="auto"/>
          <w:sz w:val="24"/>
          <w:szCs w:val="32"/>
          <w:highlight w:val="none"/>
        </w:rPr>
      </w:pPr>
      <w:bookmarkStart w:id="44" w:name="_Toc541057691"/>
      <w:bookmarkStart w:id="45" w:name="_Toc16776"/>
      <w:r>
        <w:rPr>
          <w:rFonts w:hint="eastAsia" w:ascii="宋体" w:hAnsi="宋体" w:cs="宋体"/>
          <w:b/>
          <w:bCs/>
          <w:color w:val="auto"/>
          <w:sz w:val="24"/>
          <w:szCs w:val="32"/>
          <w:highlight w:val="none"/>
        </w:rPr>
        <w:t>（一）组建评标委员会</w:t>
      </w:r>
      <w:bookmarkEnd w:id="44"/>
      <w:bookmarkEnd w:id="45"/>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hd w:val="clear"/>
        <w:spacing w:line="360" w:lineRule="auto"/>
        <w:ind w:firstLine="482" w:firstLineChars="200"/>
        <w:outlineLvl w:val="2"/>
        <w:rPr>
          <w:rFonts w:ascii="宋体" w:hAnsi="宋体" w:cs="宋体"/>
          <w:b/>
          <w:bCs/>
          <w:color w:val="auto"/>
          <w:sz w:val="24"/>
          <w:szCs w:val="32"/>
          <w:highlight w:val="none"/>
        </w:rPr>
      </w:pPr>
      <w:bookmarkStart w:id="46" w:name="_Toc14351"/>
      <w:bookmarkStart w:id="47" w:name="_Toc1110851239"/>
      <w:r>
        <w:rPr>
          <w:rFonts w:hint="eastAsia" w:ascii="宋体" w:hAnsi="宋体" w:cs="宋体"/>
          <w:b/>
          <w:bCs/>
          <w:color w:val="auto"/>
          <w:sz w:val="24"/>
          <w:szCs w:val="32"/>
          <w:highlight w:val="none"/>
        </w:rPr>
        <w:t>（二）评标程序</w:t>
      </w:r>
      <w:bookmarkEnd w:id="46"/>
      <w:bookmarkEnd w:id="47"/>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pPr>
        <w:shd w:val="clear"/>
        <w:spacing w:line="360" w:lineRule="auto"/>
        <w:ind w:firstLine="482" w:firstLineChars="200"/>
        <w:outlineLvl w:val="2"/>
        <w:rPr>
          <w:rFonts w:ascii="宋体" w:hAnsi="宋体" w:cs="宋体"/>
          <w:b/>
          <w:bCs/>
          <w:color w:val="auto"/>
          <w:sz w:val="24"/>
          <w:szCs w:val="32"/>
          <w:highlight w:val="none"/>
        </w:rPr>
      </w:pPr>
      <w:bookmarkStart w:id="48" w:name="_Toc2001430502"/>
      <w:bookmarkStart w:id="49" w:name="_Toc21685"/>
      <w:r>
        <w:rPr>
          <w:rFonts w:hint="eastAsia" w:ascii="宋体" w:hAnsi="宋体" w:cs="宋体"/>
          <w:b/>
          <w:bCs/>
          <w:color w:val="auto"/>
          <w:sz w:val="24"/>
          <w:szCs w:val="32"/>
          <w:highlight w:val="none"/>
        </w:rPr>
        <w:t>（三）澄清问题的形式</w:t>
      </w:r>
      <w:bookmarkEnd w:id="48"/>
      <w:bookmarkEnd w:id="49"/>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pPr>
        <w:shd w:val="clear"/>
        <w:spacing w:line="360" w:lineRule="auto"/>
        <w:ind w:firstLine="482" w:firstLineChars="200"/>
        <w:outlineLvl w:val="2"/>
        <w:rPr>
          <w:rFonts w:ascii="宋体" w:hAnsi="宋体" w:cs="宋体"/>
          <w:b/>
          <w:bCs/>
          <w:color w:val="auto"/>
          <w:sz w:val="24"/>
          <w:szCs w:val="32"/>
          <w:highlight w:val="none"/>
        </w:rPr>
      </w:pPr>
      <w:bookmarkStart w:id="50" w:name="_Toc22787"/>
      <w:bookmarkStart w:id="51" w:name="_Toc2006084153"/>
      <w:r>
        <w:rPr>
          <w:rFonts w:hint="eastAsia" w:ascii="宋体" w:hAnsi="宋体" w:cs="宋体"/>
          <w:b/>
          <w:bCs/>
          <w:color w:val="auto"/>
          <w:sz w:val="24"/>
          <w:szCs w:val="32"/>
          <w:highlight w:val="none"/>
        </w:rPr>
        <w:t>（四）错误修正</w:t>
      </w:r>
      <w:bookmarkEnd w:id="50"/>
      <w:bookmarkEnd w:id="51"/>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hd w:val="clear"/>
        <w:spacing w:line="360" w:lineRule="auto"/>
        <w:ind w:firstLine="482" w:firstLineChars="200"/>
        <w:outlineLvl w:val="2"/>
        <w:rPr>
          <w:rFonts w:ascii="宋体" w:hAnsi="宋体" w:cs="宋体"/>
          <w:b/>
          <w:bCs/>
          <w:color w:val="auto"/>
          <w:sz w:val="24"/>
          <w:szCs w:val="32"/>
          <w:highlight w:val="none"/>
        </w:rPr>
      </w:pPr>
      <w:bookmarkStart w:id="52" w:name="_Toc27779"/>
      <w:bookmarkStart w:id="53" w:name="_Toc763101571"/>
      <w:r>
        <w:rPr>
          <w:rFonts w:hint="eastAsia" w:ascii="宋体" w:hAnsi="宋体" w:cs="宋体"/>
          <w:b/>
          <w:bCs/>
          <w:color w:val="auto"/>
          <w:sz w:val="24"/>
          <w:szCs w:val="32"/>
          <w:highlight w:val="none"/>
        </w:rPr>
        <w:t>（五）投标人存在下列情况之一的，投标无效</w:t>
      </w:r>
      <w:bookmarkEnd w:id="52"/>
      <w:bookmarkEnd w:id="53"/>
    </w:p>
    <w:p>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w:t>
      </w:r>
      <w:bookmarkStart w:id="54" w:name="_Hlk37146609"/>
      <w:r>
        <w:rPr>
          <w:rFonts w:hint="eastAsia" w:ascii="宋体" w:hAnsi="宋体" w:cs="宋体"/>
          <w:color w:val="auto"/>
          <w:sz w:val="24"/>
          <w:szCs w:val="32"/>
          <w:highlight w:val="none"/>
        </w:rPr>
        <w:t>.标</w:t>
      </w:r>
      <w:r>
        <w:rPr>
          <w:rFonts w:ascii="宋体" w:hAnsi="宋体" w:cs="宋体"/>
          <w:color w:val="auto"/>
          <w:sz w:val="24"/>
          <w:szCs w:val="32"/>
          <w:highlight w:val="none"/>
        </w:rPr>
        <w:t>“</w:t>
      </w:r>
      <w:r>
        <w:rPr>
          <w:rFonts w:hint="eastAsia" w:ascii="宋体" w:hAnsi="宋体"/>
          <w:b/>
          <w:color w:val="auto"/>
          <w:kern w:val="0"/>
          <w:sz w:val="18"/>
          <w:szCs w:val="18"/>
          <w:highlight w:val="none"/>
        </w:rPr>
        <w:t>★</w:t>
      </w:r>
      <w:r>
        <w:rPr>
          <w:rFonts w:ascii="宋体" w:hAnsi="宋体" w:cs="宋体"/>
          <w:color w:val="auto"/>
          <w:sz w:val="24"/>
          <w:szCs w:val="32"/>
          <w:highlight w:val="none"/>
        </w:rPr>
        <w:t>”</w:t>
      </w:r>
      <w:r>
        <w:rPr>
          <w:rFonts w:hint="eastAsia" w:ascii="宋体" w:hAnsi="宋体" w:cs="宋体"/>
          <w:color w:val="auto"/>
          <w:sz w:val="24"/>
          <w:szCs w:val="32"/>
          <w:highlight w:val="none"/>
        </w:rPr>
        <w:t>主要性能参数指标负偏离项（含）</w:t>
      </w:r>
      <w:r>
        <w:rPr>
          <w:rFonts w:ascii="宋体" w:hAnsi="宋体" w:cs="宋体"/>
          <w:color w:val="auto"/>
          <w:sz w:val="24"/>
          <w:szCs w:val="32"/>
          <w:highlight w:val="none"/>
        </w:rPr>
        <w:t>6</w:t>
      </w:r>
      <w:r>
        <w:rPr>
          <w:rFonts w:hint="eastAsia" w:ascii="宋体" w:hAnsi="宋体" w:cs="宋体"/>
          <w:color w:val="auto"/>
          <w:sz w:val="24"/>
          <w:szCs w:val="32"/>
          <w:highlight w:val="none"/>
        </w:rPr>
        <w:t>以上的</w:t>
      </w:r>
      <w:bookmarkEnd w:id="54"/>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9.投标参数未如实填写，完全复制粘贴招标参数的。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10.投标文件提供虚假材料的。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12.不符合法律、法规和招标文件中规定的其他实质性要求的（招标文件</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13.未传输递交电子投标文件的或者未按规定提供相应的备份投标文件，造成项目开评标活动无法进行下去的.</w:t>
      </w:r>
    </w:p>
    <w:p>
      <w:pPr>
        <w:shd w:val="clear"/>
        <w:spacing w:line="360" w:lineRule="auto"/>
        <w:ind w:firstLine="482" w:firstLineChars="200"/>
        <w:outlineLvl w:val="2"/>
        <w:rPr>
          <w:rFonts w:ascii="宋体" w:hAnsi="宋体" w:cs="宋体"/>
          <w:b/>
          <w:bCs/>
          <w:color w:val="auto"/>
          <w:sz w:val="24"/>
          <w:szCs w:val="32"/>
          <w:highlight w:val="none"/>
        </w:rPr>
      </w:pPr>
      <w:bookmarkStart w:id="55" w:name="_Toc675763913"/>
      <w:bookmarkStart w:id="56" w:name="_Toc822"/>
      <w:r>
        <w:rPr>
          <w:rFonts w:hint="eastAsia" w:ascii="宋体" w:hAnsi="宋体" w:cs="宋体"/>
          <w:b/>
          <w:bCs/>
          <w:color w:val="auto"/>
          <w:sz w:val="24"/>
          <w:szCs w:val="32"/>
          <w:highlight w:val="none"/>
        </w:rPr>
        <w:t>（六）有下列情况之一的，本次招标作为废标处理</w:t>
      </w:r>
      <w:bookmarkEnd w:id="55"/>
      <w:bookmarkEnd w:id="5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pPr>
        <w:shd w:val="clear"/>
        <w:spacing w:line="360" w:lineRule="auto"/>
        <w:ind w:firstLine="482" w:firstLineChars="200"/>
        <w:outlineLvl w:val="2"/>
        <w:rPr>
          <w:rFonts w:ascii="宋体" w:hAnsi="宋体" w:cs="宋体"/>
          <w:b/>
          <w:bCs/>
          <w:color w:val="auto"/>
          <w:sz w:val="24"/>
          <w:szCs w:val="32"/>
          <w:highlight w:val="none"/>
        </w:rPr>
      </w:pPr>
      <w:bookmarkStart w:id="57" w:name="_Toc29751"/>
      <w:bookmarkStart w:id="58" w:name="_Toc1670560455"/>
      <w:r>
        <w:rPr>
          <w:rFonts w:hint="eastAsia" w:ascii="宋体" w:hAnsi="宋体" w:cs="宋体"/>
          <w:b/>
          <w:bCs/>
          <w:color w:val="auto"/>
          <w:sz w:val="24"/>
          <w:szCs w:val="32"/>
          <w:highlight w:val="none"/>
        </w:rPr>
        <w:t>（七）评标原则和评标办法</w:t>
      </w:r>
      <w:bookmarkEnd w:id="57"/>
      <w:bookmarkEnd w:id="58"/>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pPr>
        <w:shd w:val="clear"/>
        <w:spacing w:line="360" w:lineRule="auto"/>
        <w:ind w:firstLine="482" w:firstLineChars="200"/>
        <w:outlineLvl w:val="2"/>
        <w:rPr>
          <w:rFonts w:ascii="宋体" w:hAnsi="宋体" w:cs="宋体"/>
          <w:b/>
          <w:bCs/>
          <w:color w:val="auto"/>
          <w:sz w:val="24"/>
          <w:szCs w:val="32"/>
          <w:highlight w:val="none"/>
        </w:rPr>
      </w:pPr>
      <w:bookmarkStart w:id="59" w:name="_Toc18394"/>
      <w:bookmarkStart w:id="60" w:name="_Toc908366307"/>
      <w:r>
        <w:rPr>
          <w:rFonts w:hint="eastAsia" w:ascii="宋体" w:hAnsi="宋体" w:cs="宋体"/>
          <w:b/>
          <w:bCs/>
          <w:color w:val="auto"/>
          <w:sz w:val="24"/>
          <w:szCs w:val="32"/>
          <w:highlight w:val="none"/>
        </w:rPr>
        <w:t>（八）评标过程的监控</w:t>
      </w:r>
      <w:bookmarkEnd w:id="59"/>
      <w:bookmarkEnd w:id="60"/>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ind w:firstLine="482" w:firstLineChars="200"/>
        <w:outlineLvl w:val="1"/>
        <w:rPr>
          <w:rFonts w:ascii="宋体" w:hAnsi="宋体" w:cs="宋体"/>
          <w:b/>
          <w:bCs/>
          <w:color w:val="auto"/>
          <w:sz w:val="24"/>
          <w:szCs w:val="32"/>
          <w:highlight w:val="none"/>
        </w:rPr>
      </w:pPr>
      <w:bookmarkStart w:id="61" w:name="_Toc18224"/>
      <w:bookmarkStart w:id="62" w:name="_Toc451275226"/>
      <w:r>
        <w:rPr>
          <w:rFonts w:hint="eastAsia" w:ascii="宋体" w:hAnsi="宋体" w:cs="宋体"/>
          <w:b/>
          <w:bCs/>
          <w:color w:val="auto"/>
          <w:sz w:val="24"/>
          <w:szCs w:val="32"/>
          <w:highlight w:val="none"/>
        </w:rPr>
        <w:t>六、定标</w:t>
      </w:r>
      <w:bookmarkEnd w:id="61"/>
      <w:bookmarkEnd w:id="62"/>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pStyle w:val="19"/>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费率的39.8%计算，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2"/>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bl>
    <w:p>
      <w:pPr>
        <w:shd w:val="clear"/>
        <w:spacing w:line="360" w:lineRule="auto"/>
        <w:ind w:firstLine="482" w:firstLineChars="200"/>
        <w:outlineLvl w:val="1"/>
        <w:rPr>
          <w:rFonts w:ascii="宋体" w:hAnsi="宋体" w:cs="宋体"/>
          <w:b/>
          <w:bCs/>
          <w:color w:val="auto"/>
          <w:sz w:val="24"/>
          <w:szCs w:val="32"/>
          <w:highlight w:val="none"/>
        </w:rPr>
      </w:pPr>
      <w:bookmarkStart w:id="63" w:name="_Toc20450"/>
      <w:bookmarkStart w:id="64" w:name="_Toc1817965825"/>
      <w:r>
        <w:rPr>
          <w:rFonts w:hint="eastAsia" w:ascii="宋体" w:hAnsi="宋体" w:cs="宋体"/>
          <w:b/>
          <w:bCs/>
          <w:color w:val="auto"/>
          <w:sz w:val="24"/>
          <w:szCs w:val="32"/>
          <w:highlight w:val="none"/>
        </w:rPr>
        <w:t>七、合同签订及公告</w:t>
      </w:r>
      <w:bookmarkEnd w:id="63"/>
      <w:bookmarkEnd w:id="64"/>
    </w:p>
    <w:p>
      <w:pPr>
        <w:shd w:val="clear"/>
        <w:spacing w:line="360" w:lineRule="auto"/>
        <w:ind w:firstLine="482" w:firstLineChars="200"/>
        <w:outlineLvl w:val="2"/>
        <w:rPr>
          <w:rFonts w:ascii="宋体" w:hAnsi="宋体" w:cs="宋体"/>
          <w:b/>
          <w:bCs/>
          <w:color w:val="auto"/>
          <w:sz w:val="24"/>
          <w:szCs w:val="32"/>
          <w:highlight w:val="none"/>
        </w:rPr>
      </w:pPr>
      <w:bookmarkStart w:id="65" w:name="_Toc154291259"/>
      <w:bookmarkStart w:id="66" w:name="_Toc350"/>
      <w:r>
        <w:rPr>
          <w:rFonts w:hint="eastAsia" w:ascii="宋体" w:hAnsi="宋体" w:cs="宋体"/>
          <w:b/>
          <w:bCs/>
          <w:color w:val="auto"/>
          <w:sz w:val="24"/>
          <w:szCs w:val="32"/>
          <w:highlight w:val="none"/>
        </w:rPr>
        <w:t>（一）签订合同</w:t>
      </w:r>
      <w:bookmarkEnd w:id="65"/>
      <w:bookmarkEnd w:id="6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outlineLvl w:val="2"/>
        <w:rPr>
          <w:rFonts w:ascii="宋体" w:hAnsi="宋体" w:cs="宋体"/>
          <w:b/>
          <w:bCs/>
          <w:color w:val="auto"/>
          <w:sz w:val="24"/>
          <w:szCs w:val="32"/>
          <w:highlight w:val="none"/>
        </w:rPr>
      </w:pPr>
      <w:bookmarkStart w:id="67" w:name="_Toc11039"/>
      <w:bookmarkStart w:id="68" w:name="_Toc1160428084"/>
      <w:r>
        <w:rPr>
          <w:rFonts w:hint="eastAsia" w:ascii="宋体" w:hAnsi="宋体" w:cs="宋体"/>
          <w:b/>
          <w:bCs/>
          <w:color w:val="auto"/>
          <w:sz w:val="24"/>
          <w:szCs w:val="32"/>
          <w:highlight w:val="none"/>
        </w:rPr>
        <w:t>（二）合同公告及备案</w:t>
      </w:r>
      <w:bookmarkEnd w:id="67"/>
      <w:bookmarkEnd w:id="68"/>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pPr>
        <w:pStyle w:val="20"/>
        <w:shd w:val="clear"/>
        <w:outlineLvl w:val="9"/>
        <w:rPr>
          <w:color w:val="auto"/>
          <w:highlight w:val="none"/>
          <w:lang w:val="zh-CN"/>
        </w:rPr>
      </w:pPr>
    </w:p>
    <w:p>
      <w:pPr>
        <w:shd w:val="clear"/>
        <w:rPr>
          <w:rFonts w:ascii="宋体" w:hAnsi="宋体" w:cs="宋体"/>
          <w:b/>
          <w:bCs/>
          <w:color w:val="auto"/>
          <w:sz w:val="36"/>
          <w:szCs w:val="44"/>
          <w:highlight w:val="none"/>
        </w:rPr>
      </w:pPr>
      <w:bookmarkStart w:id="69" w:name="_Toc14362"/>
      <w:bookmarkStart w:id="70" w:name="_Toc2015809381"/>
      <w:bookmarkStart w:id="71" w:name="_Toc20587"/>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69"/>
      <w:bookmarkEnd w:id="70"/>
      <w:bookmarkEnd w:id="71"/>
    </w:p>
    <w:p>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pPr>
        <w:widowControl w:val="0"/>
        <w:numPr>
          <w:ilvl w:val="0"/>
          <w:numId w:val="0"/>
        </w:numPr>
        <w:shd w:val="clear"/>
        <w:spacing w:line="360" w:lineRule="auto"/>
        <w:ind w:firstLine="480" w:firstLineChars="200"/>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zh-CN"/>
        </w:rPr>
        <w:t>（五）政府采购政策及优惠：</w:t>
      </w:r>
      <w:r>
        <w:rPr>
          <w:rFonts w:hint="eastAsia" w:ascii="宋体" w:hAnsi="宋体" w:cs="宋体"/>
          <w:color w:val="auto"/>
          <w:sz w:val="24"/>
          <w:szCs w:val="24"/>
          <w:highlight w:val="none"/>
          <w:lang w:val="en-US" w:eastAsia="zh-CN"/>
        </w:rPr>
        <w:t>本项目专门面向中小企业采购，价格评审时，中小微企业的投标价格不做扣除。</w:t>
      </w:r>
    </w:p>
    <w:p>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w:t>
      </w:r>
      <w:r>
        <w:rPr>
          <w:rFonts w:hint="eastAsia" w:ascii="宋体" w:hAnsi="宋体" w:cs="宋体"/>
          <w:color w:val="auto"/>
          <w:sz w:val="24"/>
          <w:highlight w:val="none"/>
          <w:lang w:val="en-US" w:eastAsia="zh-CN"/>
        </w:rPr>
        <w:t>标段一、二的</w:t>
      </w:r>
      <w:r>
        <w:rPr>
          <w:rFonts w:hint="eastAsia" w:ascii="宋体" w:hAnsi="宋体" w:cs="宋体"/>
          <w:color w:val="auto"/>
          <w:sz w:val="24"/>
          <w:highlight w:val="none"/>
          <w:lang w:val="zh-CN"/>
        </w:rPr>
        <w:t>评分具体分值细化条款如下表：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30"/>
        <w:gridCol w:w="5781"/>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418" w:type="pct"/>
            <w:vAlign w:val="center"/>
          </w:tcPr>
          <w:p>
            <w:pPr>
              <w:shd w:val="clear"/>
              <w:adjustRightInd w:val="0"/>
              <w:spacing w:after="100" w:afterAutospacing="1" w:line="360" w:lineRule="auto"/>
              <w:jc w:val="center"/>
              <w:rPr>
                <w:rFonts w:hint="eastAsia" w:ascii="宋体" w:hAnsi="宋体" w:eastAsia="宋体" w:cs="宋体"/>
                <w:b/>
                <w:color w:val="auto"/>
                <w:sz w:val="24"/>
                <w:szCs w:val="24"/>
                <w:highlight w:val="none"/>
              </w:rPr>
            </w:pPr>
            <w:bookmarkStart w:id="72" w:name="_Toc5439"/>
            <w:bookmarkStart w:id="73" w:name="_Toc8522"/>
            <w:r>
              <w:rPr>
                <w:rFonts w:hint="eastAsia" w:ascii="宋体" w:hAnsi="宋体" w:eastAsia="宋体" w:cs="宋体"/>
                <w:b/>
                <w:color w:val="auto"/>
                <w:sz w:val="24"/>
                <w:szCs w:val="24"/>
                <w:highlight w:val="none"/>
              </w:rPr>
              <w:t>序号</w:t>
            </w:r>
          </w:p>
        </w:tc>
        <w:tc>
          <w:tcPr>
            <w:tcW w:w="781" w:type="pct"/>
            <w:vAlign w:val="center"/>
          </w:tcPr>
          <w:p>
            <w:pPr>
              <w:shd w:val="clear"/>
              <w:adjustRightInd w:val="0"/>
              <w:spacing w:after="100" w:afterAutospacing="1"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3394" w:type="pct"/>
            <w:vAlign w:val="center"/>
          </w:tcPr>
          <w:p>
            <w:pPr>
              <w:shd w:val="clear"/>
              <w:adjustRightInd w:val="0"/>
              <w:spacing w:after="100" w:afterAutospacing="1"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405" w:type="pct"/>
            <w:vAlign w:val="center"/>
          </w:tcPr>
          <w:p>
            <w:pPr>
              <w:shd w:val="clear"/>
              <w:adjustRightInd w:val="0"/>
              <w:spacing w:after="100" w:afterAutospacing="1"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18" w:type="pct"/>
            <w:vMerge w:val="restar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技术、商务文件（70分）</w:t>
            </w:r>
          </w:p>
        </w:tc>
        <w:tc>
          <w:tcPr>
            <w:tcW w:w="781" w:type="pct"/>
            <w:vMerge w:val="restar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技术性能（45分）</w:t>
            </w:r>
          </w:p>
        </w:tc>
        <w:tc>
          <w:tcPr>
            <w:tcW w:w="3394" w:type="pct"/>
            <w:vAlign w:val="center"/>
          </w:tcPr>
          <w:p>
            <w:pPr>
              <w:pStyle w:val="2"/>
              <w:shd w:val="clea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专家结合投标产品各项技术参数与招标文件要求的偏离情况综合打分，每1条带★号的技术参数不满足招标需求的扣2分，每1条一般参数不满足招标需求的扣1分，扣完为止。</w:t>
            </w:r>
          </w:p>
          <w:p>
            <w:pPr>
              <w:pStyle w:val="2"/>
              <w:shd w:val="clea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注：标“★”的核心参数需要在投标文件中提供检测报告或产品彩页或官网截图证明，未提供者对应项不得分。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3394" w:type="pct"/>
            <w:vAlign w:val="center"/>
          </w:tcPr>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投标产品技术参数有实质性及功能性优于采购文件要求进行评分，</w:t>
            </w:r>
          </w:p>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标“★”主要性能参数正偏离的，每1条加1分，最多加6分；</w:t>
            </w:r>
          </w:p>
          <w:p>
            <w:pPr>
              <w:pStyle w:val="10"/>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一般性能参数正偏离的，每一条0.5分，最多加4分。</w:t>
            </w:r>
          </w:p>
          <w:p>
            <w:pPr>
              <w:pStyle w:val="10"/>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注：加“★”的核心参数需要在投标文件中提供检测报告或产品彩页或官网截图证明，未提供者对应项不得分。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供货及验收方案   （3分）</w:t>
            </w:r>
          </w:p>
        </w:tc>
        <w:tc>
          <w:tcPr>
            <w:tcW w:w="3394" w:type="pct"/>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根据投标人针对本次采购货物供货、验收方案进行评分：</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（1）供货方案内容齐全，包含了招标需求中的全部内容，对具体的验收方案作出了详细、明确的阐述，且项目方案贴合本项目实际情况的得2.1-3分；</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（2）供货方案内容较齐全，包含了招标需求中的大部分内容，对具体的验收方案作出了详细、明确的阐述，但方案没有针对本项目实际情况的得1.1-2分；</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（3）供货方案内容不够齐全，缺少内容，验收方案阐述不明确的得0.1-1分；</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（4）未提及此项的不得分。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实力信誉（2分）</w:t>
            </w:r>
          </w:p>
        </w:tc>
        <w:tc>
          <w:tcPr>
            <w:tcW w:w="3394" w:type="pct"/>
            <w:vAlign w:val="center"/>
          </w:tcPr>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根据各投标人提供的人员配备情况（根据证书、经验等情况），专家进行评分打分：</w:t>
            </w:r>
          </w:p>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（1）针对本项目情况，人员部署配备完善、整体能力高（包括项目经验、证书等）的得1.4-2分；</w:t>
            </w:r>
          </w:p>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（2）针对本项目情况，人员部署配备一般、整体能力中等（包括项目经验、证书等）的得0.7-1.3分；</w:t>
            </w:r>
          </w:p>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（3）针对本项目情况，人员部署配备较差、整体能力一般（包括项目经验、证书等）的得0-0.6分。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同类产品           销售业绩（2分）</w:t>
            </w:r>
          </w:p>
        </w:tc>
        <w:tc>
          <w:tcPr>
            <w:tcW w:w="3394" w:type="pct"/>
            <w:vAlign w:val="center"/>
          </w:tcPr>
          <w:p>
            <w:pPr>
              <w:shd w:val="clear"/>
              <w:adjustRightInd w:val="0"/>
              <w:spacing w:after="100" w:afterAutospacing="1"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投标人自20</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年1月1日以来同类项目的“合同+用户评价（至少良好）”或“合同+验收报告”，每提供一份有效证明材料得1分，最高得2分。（需提供相关证明材料原件扫描件并加盖电子公章，不提供不得分。）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质保期  （4分）</w:t>
            </w:r>
            <w:r>
              <w:rPr>
                <w:rFonts w:hint="eastAsia" w:ascii="宋体" w:hAnsi="宋体" w:eastAsia="宋体" w:cs="宋体"/>
                <w:b/>
                <w:color w:val="auto"/>
                <w:kern w:val="0"/>
                <w:sz w:val="24"/>
                <w:szCs w:val="24"/>
                <w:highlight w:val="none"/>
              </w:rPr>
              <w:t xml:space="preserve"> </w:t>
            </w:r>
          </w:p>
        </w:tc>
        <w:tc>
          <w:tcPr>
            <w:tcW w:w="3394" w:type="pct"/>
            <w:vAlign w:val="center"/>
          </w:tcPr>
          <w:p>
            <w:pPr>
              <w:shd w:val="clear"/>
              <w:adjustRightInd w:val="0"/>
              <w:spacing w:after="100" w:afterAutospacing="1"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超过招标文件规定的质保期每增加一年得2分，最高得4分。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rPr>
                <w:rFonts w:hint="eastAsia" w:ascii="宋体" w:hAnsi="宋体" w:eastAsia="宋体" w:cs="宋体"/>
                <w:b/>
                <w:color w:val="auto"/>
                <w:kern w:val="0"/>
                <w:sz w:val="24"/>
                <w:szCs w:val="24"/>
                <w:highlight w:val="none"/>
              </w:rPr>
            </w:pPr>
          </w:p>
          <w:p>
            <w:pPr>
              <w:shd w:val="clear"/>
              <w:spacing w:line="360" w:lineRule="auto"/>
              <w:rPr>
                <w:rFonts w:hint="eastAsia" w:ascii="宋体" w:hAnsi="宋体" w:eastAsia="宋体" w:cs="宋体"/>
                <w:b/>
                <w:color w:val="auto"/>
                <w:kern w:val="0"/>
                <w:sz w:val="24"/>
                <w:szCs w:val="24"/>
                <w:highlight w:val="none"/>
              </w:rPr>
            </w:pPr>
          </w:p>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维保方案（3分）</w:t>
            </w:r>
          </w:p>
          <w:p>
            <w:pPr>
              <w:shd w:val="clear"/>
              <w:spacing w:line="360" w:lineRule="auto"/>
              <w:jc w:val="center"/>
              <w:rPr>
                <w:rFonts w:hint="eastAsia" w:ascii="宋体" w:hAnsi="宋体" w:eastAsia="宋体" w:cs="宋体"/>
                <w:b/>
                <w:color w:val="auto"/>
                <w:kern w:val="0"/>
                <w:sz w:val="24"/>
                <w:szCs w:val="24"/>
                <w:highlight w:val="none"/>
              </w:rPr>
            </w:pPr>
          </w:p>
          <w:p>
            <w:pPr>
              <w:shd w:val="clear"/>
              <w:spacing w:line="360" w:lineRule="auto"/>
              <w:rPr>
                <w:rFonts w:hint="eastAsia" w:ascii="宋体" w:hAnsi="宋体" w:eastAsia="宋体" w:cs="宋体"/>
                <w:b/>
                <w:color w:val="auto"/>
                <w:kern w:val="0"/>
                <w:sz w:val="24"/>
                <w:szCs w:val="24"/>
                <w:highlight w:val="none"/>
              </w:rPr>
            </w:pPr>
          </w:p>
        </w:tc>
        <w:tc>
          <w:tcPr>
            <w:tcW w:w="3394" w:type="pct"/>
            <w:vAlign w:val="center"/>
          </w:tcPr>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根据投标人针对本次采购货物的</w:t>
            </w:r>
            <w:r>
              <w:rPr>
                <w:rFonts w:hint="eastAsia" w:ascii="宋体" w:hAnsi="宋体" w:eastAsia="宋体" w:cs="宋体"/>
                <w:color w:val="auto"/>
                <w:sz w:val="24"/>
                <w:szCs w:val="24"/>
                <w:highlight w:val="none"/>
              </w:rPr>
              <w:t>维保方案</w:t>
            </w:r>
            <w:r>
              <w:rPr>
                <w:rFonts w:hint="eastAsia" w:ascii="宋体" w:hAnsi="宋体" w:eastAsia="宋体" w:cs="宋体"/>
                <w:color w:val="auto"/>
                <w:kern w:val="0"/>
                <w:sz w:val="24"/>
                <w:szCs w:val="24"/>
                <w:highlight w:val="none"/>
              </w:rPr>
              <w:t>进行评分：</w:t>
            </w:r>
          </w:p>
          <w:p>
            <w:pPr>
              <w:pStyle w:val="8"/>
              <w:numPr>
                <w:ilvl w:val="0"/>
                <w:numId w:val="3"/>
              </w:numPr>
              <w:shd w:val="clear"/>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维保方案条款措施明确，满足招标需求的为一档得2-3分；</w:t>
            </w:r>
          </w:p>
          <w:p>
            <w:pPr>
              <w:pStyle w:val="8"/>
              <w:numPr>
                <w:ilvl w:val="0"/>
                <w:numId w:val="3"/>
              </w:numPr>
              <w:shd w:val="clear"/>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维保方案条款措施比较明确，基本满足招标需求的为一档1-1.9分；</w:t>
            </w:r>
          </w:p>
          <w:p>
            <w:pPr>
              <w:pStyle w:val="8"/>
              <w:numPr>
                <w:ilvl w:val="0"/>
                <w:numId w:val="3"/>
              </w:numPr>
              <w:shd w:val="clear"/>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维保方案条款措施不够明确，少部分满足招标需求的为一档得0.1-0.9分；                                                  （4）维保方案条款措施满足不了招标需求的不得分。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售后服务网点</w:t>
            </w:r>
          </w:p>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（1分）</w:t>
            </w:r>
          </w:p>
        </w:tc>
        <w:tc>
          <w:tcPr>
            <w:tcW w:w="3394" w:type="pct"/>
            <w:vAlign w:val="center"/>
          </w:tcPr>
          <w:p>
            <w:pPr>
              <w:pStyle w:val="2"/>
              <w:shd w:val="clea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针对本项目有售后服务网点的得1分，无售后服务网点的不得分。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售后维护响应时间（2分）</w:t>
            </w:r>
          </w:p>
        </w:tc>
        <w:tc>
          <w:tcPr>
            <w:tcW w:w="3394" w:type="pct"/>
            <w:vAlign w:val="center"/>
          </w:tcPr>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售后响应服务方案： ①能提供7×24小时的电话响应售后服务； 提供每年365天的专业技术支持服务，随时解答解决采购人问题； ②出现一般性故障，接到维修通知后，在半小时内电话响应，在12小时内到达现场，在6小时内修复。 方案合理符合采购文件要求且以上内容提供承诺函的，满足以上一项得1分，最高得2分。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相关培训（3分）</w:t>
            </w:r>
          </w:p>
        </w:tc>
        <w:tc>
          <w:tcPr>
            <w:tcW w:w="3394" w:type="pct"/>
            <w:vAlign w:val="center"/>
          </w:tcPr>
          <w:p>
            <w:pPr>
              <w:widowControl/>
              <w:shd w:val="clea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投标人提供可行合理的培训方案及培训计划：含培训方式、培训参加人员、培训内容、日程、课程安排等：</w:t>
            </w:r>
          </w:p>
          <w:p>
            <w:pPr>
              <w:shd w:val="clear"/>
              <w:adjustRightInd w:val="0"/>
              <w:spacing w:after="100" w:afterAutospacing="1"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（1）培训方案措施明确、培训人员安排非常周到、培训内容非常丰富、课程安排非常合理的得2.1-3分；</w:t>
            </w:r>
          </w:p>
          <w:p>
            <w:pPr>
              <w:shd w:val="clear"/>
              <w:adjustRightInd w:val="0"/>
              <w:spacing w:after="100" w:afterAutospacing="1"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（2）培训方案措施比较明确、培训人员安排比较周到、培训内容比较丰富、课程安排比较合理的得1.1-2分；</w:t>
            </w:r>
          </w:p>
          <w:p>
            <w:pPr>
              <w:shd w:val="clear"/>
              <w:adjustRightInd w:val="0"/>
              <w:spacing w:after="100" w:afterAutospacing="1"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（3）培训方案措施不够明确、培训人员安排不够周到、培训内容不够丰富、课程安排不够合理的得0.1-1分。                             （4）未提及此项的不得分。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18"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781" w:type="pc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售后服务   优惠措施(5分)</w:t>
            </w:r>
          </w:p>
        </w:tc>
        <w:tc>
          <w:tcPr>
            <w:tcW w:w="3394" w:type="pct"/>
            <w:vAlign w:val="center"/>
          </w:tcPr>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评委对投标文件中是否有超出采购文件的优惠条件进行评价，没有实质性优惠条件得0分；有优惠条件的，每一条加1分，最多得5分。</w:t>
            </w:r>
          </w:p>
        </w:tc>
        <w:tc>
          <w:tcPr>
            <w:tcW w:w="405" w:type="pct"/>
            <w:vAlign w:val="center"/>
          </w:tcPr>
          <w:p>
            <w:pPr>
              <w:shd w:val="clear"/>
              <w:adjustRightInd w:val="0"/>
              <w:spacing w:after="100" w:afterAutospacing="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199" w:type="pct"/>
            <w:gridSpan w:val="2"/>
            <w:vAlign w:val="center"/>
          </w:tcPr>
          <w:p>
            <w:pPr>
              <w:shd w:val="clear"/>
              <w:autoSpaceDE w:val="0"/>
              <w:autoSpaceDN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价格</w:t>
            </w:r>
          </w:p>
          <w:p>
            <w:pPr>
              <w:shd w:val="clear"/>
              <w:autoSpaceDE w:val="0"/>
              <w:autoSpaceDN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30分</w:t>
            </w:r>
          </w:p>
        </w:tc>
        <w:tc>
          <w:tcPr>
            <w:tcW w:w="3394" w:type="pct"/>
            <w:vAlign w:val="center"/>
          </w:tcPr>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投标报价得分采用低价优先法计算（小数点后保留2位），即满足招标文件要求且投标价格最低的投标报价为评标基准价，其报价得满分。其他投标人的投标报价得分按下列公式计算：</w:t>
            </w:r>
          </w:p>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投标报价得分=(评标基准价／投标报价)×30%×100 。</w:t>
            </w:r>
          </w:p>
        </w:tc>
        <w:tc>
          <w:tcPr>
            <w:tcW w:w="405" w:type="pct"/>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r>
    </w:tbl>
    <w:p>
      <w:pPr>
        <w:pStyle w:val="2"/>
        <w:shd w:val="clear"/>
        <w:rPr>
          <w:color w:val="auto"/>
          <w:highlight w:val="none"/>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docGrid w:type="lines" w:linePitch="317" w:charSpace="0"/>
        </w:sectPr>
      </w:pPr>
    </w:p>
    <w:p>
      <w:pPr>
        <w:numPr>
          <w:ilvl w:val="0"/>
          <w:numId w:val="4"/>
        </w:numPr>
        <w:shd w:val="clear"/>
        <w:spacing w:line="360" w:lineRule="auto"/>
        <w:jc w:val="center"/>
        <w:outlineLvl w:val="0"/>
        <w:rPr>
          <w:rFonts w:ascii="宋体" w:hAnsi="宋体" w:cs="宋体"/>
          <w:b/>
          <w:bCs/>
          <w:color w:val="auto"/>
          <w:sz w:val="36"/>
          <w:szCs w:val="44"/>
          <w:highlight w:val="none"/>
        </w:rPr>
      </w:pPr>
      <w:bookmarkStart w:id="74" w:name="_Toc1006251395"/>
      <w:r>
        <w:rPr>
          <w:rFonts w:hint="eastAsia" w:ascii="宋体" w:hAnsi="宋体" w:cs="宋体"/>
          <w:b/>
          <w:bCs/>
          <w:color w:val="auto"/>
          <w:sz w:val="36"/>
          <w:szCs w:val="44"/>
          <w:highlight w:val="none"/>
        </w:rPr>
        <w:t>公开招标需求</w:t>
      </w:r>
      <w:bookmarkEnd w:id="72"/>
      <w:bookmarkEnd w:id="73"/>
      <w:bookmarkEnd w:id="74"/>
    </w:p>
    <w:p>
      <w:pPr>
        <w:shd w:val="clea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bookmarkStart w:id="75" w:name="_Toc518381563"/>
      <w:bookmarkStart w:id="76" w:name="_Toc518311552"/>
      <w:bookmarkStart w:id="77" w:name="_Toc14683560"/>
      <w:bookmarkStart w:id="78" w:name="_Toc202235414"/>
      <w:bookmarkStart w:id="79" w:name="_Toc525627245"/>
      <w:r>
        <w:rPr>
          <w:rFonts w:hint="eastAsia" w:ascii="宋体" w:hAnsi="宋体" w:eastAsia="宋体" w:cs="宋体"/>
          <w:b/>
          <w:color w:val="auto"/>
          <w:sz w:val="24"/>
          <w:szCs w:val="24"/>
          <w:highlight w:val="none"/>
        </w:rPr>
        <w:t>一、招标项目一览表</w:t>
      </w:r>
    </w:p>
    <w:p>
      <w:pPr>
        <w:shd w:val="clea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cs="宋体"/>
          <w:color w:val="auto"/>
          <w:sz w:val="24"/>
          <w:szCs w:val="24"/>
          <w:highlight w:val="none"/>
          <w:u w:val="none"/>
          <w:lang w:val="en-US" w:eastAsia="zh-CN"/>
        </w:rPr>
        <w:t>二</w:t>
      </w:r>
      <w:r>
        <w:rPr>
          <w:rFonts w:hint="eastAsia" w:ascii="宋体" w:hAnsi="宋体" w:eastAsia="宋体" w:cs="宋体"/>
          <w:color w:val="auto"/>
          <w:sz w:val="24"/>
          <w:szCs w:val="24"/>
          <w:highlight w:val="none"/>
        </w:rPr>
        <w:t>个标段，具体内容如下表：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68"/>
        <w:gridCol w:w="2132"/>
        <w:gridCol w:w="948"/>
        <w:gridCol w:w="667"/>
        <w:gridCol w:w="752"/>
        <w:gridCol w:w="1141"/>
        <w:gridCol w:w="1451"/>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79"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1177" w:type="pct"/>
            <w:shd w:val="clear" w:color="auto" w:fill="FFFFFF" w:themeFill="background1"/>
            <w:vAlign w:val="center"/>
          </w:tcPr>
          <w:p>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523" w:type="pct"/>
            <w:shd w:val="clear" w:color="auto" w:fill="FFFFFF" w:themeFill="background1"/>
            <w:vAlign w:val="center"/>
          </w:tcPr>
          <w:p>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w:t>
            </w:r>
            <w:r>
              <w:rPr>
                <w:rFonts w:hint="eastAsia" w:asciiTheme="minorEastAsia" w:hAnsiTheme="minorEastAsia" w:eastAsiaTheme="minorEastAsia"/>
                <w:b/>
                <w:color w:val="auto"/>
                <w:sz w:val="24"/>
                <w:highlight w:val="none"/>
                <w:lang w:val="en-US" w:eastAsia="zh-CN"/>
              </w:rPr>
              <w:t xml:space="preserve"> </w:t>
            </w:r>
            <w:r>
              <w:rPr>
                <w:rFonts w:hint="eastAsia" w:asciiTheme="minorEastAsia" w:hAnsiTheme="minorEastAsia" w:eastAsiaTheme="minorEastAsia"/>
                <w:b/>
                <w:color w:val="auto"/>
                <w:sz w:val="24"/>
                <w:highlight w:val="none"/>
              </w:rPr>
              <w:t>号</w:t>
            </w:r>
          </w:p>
        </w:tc>
        <w:tc>
          <w:tcPr>
            <w:tcW w:w="368"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415"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30"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801" w:type="pct"/>
            <w:shd w:val="clear" w:color="auto" w:fill="FFFFFF" w:themeFill="background1"/>
            <w:vAlign w:val="center"/>
          </w:tcPr>
          <w:p>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605"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3" w:hRule="atLeast"/>
          <w:jc w:val="center"/>
        </w:trPr>
        <w:tc>
          <w:tcPr>
            <w:tcW w:w="479" w:type="pct"/>
            <w:shd w:val="clear" w:color="auto" w:fill="FFFFFF" w:themeFill="background1"/>
            <w:vAlign w:val="center"/>
          </w:tcPr>
          <w:p>
            <w:pPr>
              <w:shd w:val="clear"/>
              <w:tabs>
                <w:tab w:val="left" w:pos="8280"/>
              </w:tabs>
              <w:autoSpaceDE w:val="0"/>
              <w:autoSpaceDN w:val="0"/>
              <w:adjustRightInd w:val="0"/>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w:t>
            </w:r>
          </w:p>
        </w:tc>
        <w:tc>
          <w:tcPr>
            <w:tcW w:w="1177"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lang w:eastAsia="zh-CN"/>
              </w:rPr>
            </w:pPr>
            <w:r>
              <w:rPr>
                <w:rFonts w:hint="eastAsia" w:ascii="宋体" w:hAnsi="宋体" w:cs="宋体"/>
                <w:color w:val="auto"/>
                <w:kern w:val="0"/>
                <w:sz w:val="24"/>
                <w:highlight w:val="none"/>
              </w:rPr>
              <w:t>海岛光伏发电</w:t>
            </w:r>
            <w:r>
              <w:rPr>
                <w:rFonts w:hint="eastAsia" w:ascii="宋体" w:hAnsi="宋体" w:cs="宋体"/>
                <w:color w:val="auto"/>
                <w:kern w:val="0"/>
                <w:sz w:val="24"/>
                <w:highlight w:val="none"/>
                <w:lang w:val="en-US" w:eastAsia="zh-CN"/>
              </w:rPr>
              <w:t>-</w:t>
            </w:r>
            <w:r>
              <w:rPr>
                <w:rFonts w:hint="eastAsia" w:ascii="宋体" w:hAnsi="宋体" w:cs="宋体"/>
                <w:color w:val="auto"/>
                <w:sz w:val="24"/>
                <w:highlight w:val="none"/>
              </w:rPr>
              <w:t>高真空金属有机蒸发镀膜装置设备</w:t>
            </w:r>
          </w:p>
        </w:tc>
        <w:tc>
          <w:tcPr>
            <w:tcW w:w="523" w:type="pct"/>
            <w:shd w:val="clear" w:color="auto" w:fill="FFFFFF" w:themeFill="background1"/>
            <w:vAlign w:val="center"/>
          </w:tcPr>
          <w:p>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详见技术需求</w:t>
            </w:r>
          </w:p>
        </w:tc>
        <w:tc>
          <w:tcPr>
            <w:tcW w:w="368"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15"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630" w:type="pct"/>
            <w:shd w:val="clear" w:color="auto" w:fill="FFFFFF" w:themeFill="background1"/>
            <w:vAlign w:val="center"/>
          </w:tcPr>
          <w:p>
            <w:pPr>
              <w:shd w:val="clear"/>
              <w:tabs>
                <w:tab w:val="left" w:pos="8280"/>
              </w:tabs>
              <w:autoSpaceDE w:val="0"/>
              <w:autoSpaceDN w:val="0"/>
              <w:adjustRightInd w:val="0"/>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w:t>
            </w:r>
          </w:p>
        </w:tc>
        <w:tc>
          <w:tcPr>
            <w:tcW w:w="801"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0日历天</w:t>
            </w:r>
          </w:p>
        </w:tc>
        <w:tc>
          <w:tcPr>
            <w:tcW w:w="605" w:type="pct"/>
            <w:shd w:val="clear" w:color="auto" w:fill="FFFFFF" w:themeFill="background1"/>
            <w:vAlign w:val="center"/>
          </w:tcPr>
          <w:p>
            <w:pPr>
              <w:shd w:val="clear"/>
              <w:tabs>
                <w:tab w:val="left" w:pos="8280"/>
              </w:tabs>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台州学院椒江校区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3" w:hRule="atLeast"/>
          <w:jc w:val="center"/>
        </w:trPr>
        <w:tc>
          <w:tcPr>
            <w:tcW w:w="479" w:type="pct"/>
            <w:shd w:val="clear" w:color="auto" w:fill="FFFFFF" w:themeFill="background1"/>
            <w:vAlign w:val="center"/>
          </w:tcPr>
          <w:p>
            <w:pPr>
              <w:shd w:val="clea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二</w:t>
            </w:r>
          </w:p>
        </w:tc>
        <w:tc>
          <w:tcPr>
            <w:tcW w:w="1177"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lang w:eastAsia="zh-CN"/>
              </w:rPr>
            </w:pPr>
            <w:r>
              <w:rPr>
                <w:rFonts w:hint="eastAsia" w:ascii="宋体" w:hAnsi="宋体" w:cs="宋体"/>
                <w:color w:val="auto"/>
                <w:kern w:val="0"/>
                <w:sz w:val="24"/>
                <w:highlight w:val="none"/>
              </w:rPr>
              <w:t>海岛光伏发电</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钙钛矿制备防护系统设备</w:t>
            </w:r>
          </w:p>
        </w:tc>
        <w:tc>
          <w:tcPr>
            <w:tcW w:w="523" w:type="pct"/>
            <w:shd w:val="clear" w:color="auto" w:fill="FFFFFF" w:themeFill="background1"/>
            <w:vAlign w:val="center"/>
          </w:tcPr>
          <w:p>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详见技术需求</w:t>
            </w:r>
          </w:p>
        </w:tc>
        <w:tc>
          <w:tcPr>
            <w:tcW w:w="368"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15"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套</w:t>
            </w:r>
          </w:p>
        </w:tc>
        <w:tc>
          <w:tcPr>
            <w:tcW w:w="630" w:type="pct"/>
            <w:shd w:val="clear" w:color="auto" w:fill="FFFFFF" w:themeFill="background1"/>
            <w:vAlign w:val="center"/>
          </w:tcPr>
          <w:p>
            <w:pPr>
              <w:shd w:val="clear"/>
              <w:tabs>
                <w:tab w:val="left" w:pos="8280"/>
              </w:tabs>
              <w:autoSpaceDE w:val="0"/>
              <w:autoSpaceDN w:val="0"/>
              <w:adjustRightInd w:val="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9</w:t>
            </w:r>
          </w:p>
        </w:tc>
        <w:tc>
          <w:tcPr>
            <w:tcW w:w="801"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0日历天</w:t>
            </w:r>
          </w:p>
        </w:tc>
        <w:tc>
          <w:tcPr>
            <w:tcW w:w="605" w:type="pct"/>
            <w:shd w:val="clear" w:color="auto" w:fill="FFFFFF" w:themeFill="background1"/>
            <w:vAlign w:val="center"/>
          </w:tcPr>
          <w:p>
            <w:pPr>
              <w:shd w:val="clear"/>
              <w:tabs>
                <w:tab w:val="left" w:pos="8280"/>
              </w:tabs>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台州学院椒江校区</w:t>
            </w:r>
          </w:p>
        </w:tc>
      </w:tr>
    </w:tbl>
    <w:p>
      <w:pPr>
        <w:shd w:val="clea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p>
    <w:p>
      <w:pPr>
        <w:pStyle w:val="12"/>
        <w:shd w:val="clear"/>
        <w:snapToGrid w:val="0"/>
        <w:spacing w:line="360" w:lineRule="auto"/>
        <w:jc w:val="center"/>
        <w:outlineLvl w:val="0"/>
        <w:rPr>
          <w:rFonts w:hint="eastAsia" w:ascii="宋体" w:hAnsi="宋体" w:eastAsia="宋体" w:cs="宋体"/>
          <w:b/>
          <w:color w:val="auto"/>
          <w:sz w:val="24"/>
          <w:szCs w:val="24"/>
          <w:highlight w:val="none"/>
        </w:rPr>
      </w:pPr>
    </w:p>
    <w:p>
      <w:pPr>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hd w:val="clear"/>
        <w:rPr>
          <w:rFonts w:hint="eastAsia" w:ascii="宋体" w:hAnsi="宋体" w:eastAsia="宋体" w:cs="宋体"/>
          <w:b/>
          <w:color w:val="auto"/>
          <w:sz w:val="24"/>
          <w:szCs w:val="24"/>
          <w:highlight w:val="none"/>
        </w:rPr>
      </w:pPr>
    </w:p>
    <w:p>
      <w:pPr>
        <w:pStyle w:val="12"/>
        <w:shd w:val="clear"/>
        <w:snapToGrid w:val="0"/>
        <w:spacing w:line="360" w:lineRule="auto"/>
        <w:jc w:val="center"/>
        <w:outlineLvl w:val="0"/>
        <w:rPr>
          <w:rFonts w:hint="eastAsia" w:hAnsi="宋体"/>
          <w:b/>
          <w:color w:val="auto"/>
          <w:sz w:val="24"/>
          <w:szCs w:val="24"/>
          <w:highlight w:val="none"/>
        </w:rPr>
      </w:pPr>
      <w:r>
        <w:rPr>
          <w:rFonts w:hint="eastAsia" w:hAnsi="宋体"/>
          <w:b/>
          <w:color w:val="auto"/>
          <w:sz w:val="24"/>
          <w:szCs w:val="24"/>
          <w:highlight w:val="none"/>
        </w:rPr>
        <w:t>标段</w:t>
      </w:r>
      <w:r>
        <w:rPr>
          <w:rFonts w:hint="eastAsia" w:hAnsi="宋体"/>
          <w:b/>
          <w:color w:val="auto"/>
          <w:sz w:val="24"/>
          <w:szCs w:val="24"/>
          <w:highlight w:val="none"/>
          <w:lang w:val="en-US" w:eastAsia="zh-CN"/>
        </w:rPr>
        <w:t>一</w:t>
      </w:r>
      <w:r>
        <w:rPr>
          <w:rFonts w:hint="eastAsia" w:hAnsi="宋体"/>
          <w:b/>
          <w:color w:val="auto"/>
          <w:sz w:val="24"/>
          <w:szCs w:val="24"/>
          <w:highlight w:val="none"/>
        </w:rPr>
        <w:t>：海岛光伏发电</w:t>
      </w:r>
      <w:r>
        <w:rPr>
          <w:rFonts w:hint="eastAsia" w:hAnsi="宋体"/>
          <w:b/>
          <w:color w:val="auto"/>
          <w:sz w:val="24"/>
          <w:szCs w:val="24"/>
          <w:highlight w:val="none"/>
          <w:lang w:val="en-US" w:eastAsia="zh-CN"/>
        </w:rPr>
        <w:t>-</w:t>
      </w:r>
      <w:r>
        <w:rPr>
          <w:rFonts w:hint="eastAsia" w:ascii="宋体" w:hAnsi="宋体" w:cs="宋体"/>
          <w:color w:val="auto"/>
          <w:sz w:val="24"/>
          <w:highlight w:val="none"/>
        </w:rPr>
        <w:t>高真空金属有机蒸发镀膜装置设备</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678"/>
        <w:gridCol w:w="1024"/>
        <w:gridCol w:w="681"/>
        <w:gridCol w:w="681"/>
        <w:gridCol w:w="1192"/>
        <w:gridCol w:w="153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62"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926" w:type="pct"/>
            <w:shd w:val="clear" w:color="auto" w:fill="E7E6E6" w:themeFill="background2"/>
            <w:vAlign w:val="center"/>
          </w:tcPr>
          <w:p>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565" w:type="pct"/>
            <w:shd w:val="clear" w:color="auto" w:fill="E7E6E6" w:themeFill="background2"/>
            <w:vAlign w:val="center"/>
          </w:tcPr>
          <w:p>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376"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376"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58"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847" w:type="pct"/>
            <w:shd w:val="clear" w:color="auto" w:fill="E7E6E6" w:themeFill="background2"/>
            <w:vAlign w:val="center"/>
          </w:tcPr>
          <w:p>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787"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62" w:type="pct"/>
            <w:vAlign w:val="center"/>
          </w:tcPr>
          <w:p>
            <w:pPr>
              <w:shd w:val="clear"/>
              <w:tabs>
                <w:tab w:val="left" w:pos="8280"/>
              </w:tabs>
              <w:autoSpaceDE w:val="0"/>
              <w:autoSpaceDN w:val="0"/>
              <w:adjustRightInd w:val="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二</w:t>
            </w:r>
          </w:p>
        </w:tc>
        <w:tc>
          <w:tcPr>
            <w:tcW w:w="1678" w:type="dxa"/>
            <w:vAlign w:val="center"/>
          </w:tcPr>
          <w:p>
            <w:pPr>
              <w:widowControl/>
              <w:shd w:val="clear"/>
              <w:jc w:val="center"/>
              <w:rPr>
                <w:rFonts w:hint="eastAsia" w:eastAsia="宋体" w:asciiTheme="minorEastAsia" w:hAnsiTheme="minorEastAsia"/>
                <w:color w:val="auto"/>
                <w:sz w:val="24"/>
                <w:highlight w:val="none"/>
                <w:lang w:val="en-US" w:eastAsia="zh-CN"/>
              </w:rPr>
            </w:pPr>
            <w:r>
              <w:rPr>
                <w:rFonts w:hint="eastAsia" w:ascii="宋体" w:hAnsi="宋体" w:cs="宋体"/>
                <w:color w:val="auto"/>
                <w:kern w:val="0"/>
                <w:sz w:val="24"/>
                <w:highlight w:val="none"/>
              </w:rPr>
              <w:t>海岛光伏发电</w:t>
            </w:r>
            <w:r>
              <w:rPr>
                <w:rFonts w:hint="eastAsia" w:ascii="宋体" w:hAnsi="宋体" w:cs="宋体"/>
                <w:color w:val="auto"/>
                <w:kern w:val="0"/>
                <w:sz w:val="24"/>
                <w:highlight w:val="none"/>
                <w:lang w:val="en-US" w:eastAsia="zh-CN"/>
              </w:rPr>
              <w:t>-</w:t>
            </w:r>
            <w:r>
              <w:rPr>
                <w:rFonts w:hint="eastAsia" w:ascii="宋体" w:hAnsi="宋体" w:cs="宋体"/>
                <w:color w:val="auto"/>
                <w:sz w:val="24"/>
                <w:highlight w:val="none"/>
              </w:rPr>
              <w:t>高真空金属有机蒸发镀膜装置设备</w:t>
            </w:r>
          </w:p>
        </w:tc>
        <w:tc>
          <w:tcPr>
            <w:tcW w:w="1024" w:type="dxa"/>
            <w:vAlign w:val="center"/>
          </w:tcPr>
          <w:p>
            <w:pPr>
              <w:widowControl/>
              <w:shd w:val="clear"/>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681" w:type="dxa"/>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81" w:type="dxa"/>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1192" w:type="dxa"/>
            <w:vAlign w:val="center"/>
          </w:tcPr>
          <w:p>
            <w:pPr>
              <w:shd w:val="clea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asciiTheme="minorEastAsia" w:hAnsiTheme="minorEastAsia" w:eastAsiaTheme="minorEastAsia"/>
                <w:color w:val="auto"/>
                <w:sz w:val="24"/>
                <w:highlight w:val="none"/>
              </w:rPr>
              <w:t>26</w:t>
            </w:r>
          </w:p>
        </w:tc>
        <w:tc>
          <w:tcPr>
            <w:tcW w:w="1535" w:type="dxa"/>
            <w:vAlign w:val="center"/>
          </w:tcPr>
          <w:p>
            <w:pPr>
              <w:widowControl/>
              <w:shd w:val="clea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0日历天</w:t>
            </w:r>
          </w:p>
        </w:tc>
        <w:tc>
          <w:tcPr>
            <w:tcW w:w="1427" w:type="dxa"/>
            <w:vAlign w:val="center"/>
          </w:tcPr>
          <w:p>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台州学院椒江校区</w:t>
            </w:r>
          </w:p>
        </w:tc>
      </w:tr>
    </w:tbl>
    <w:p>
      <w:pPr>
        <w:pStyle w:val="12"/>
        <w:shd w:val="clear"/>
        <w:snapToGrid w:val="0"/>
        <w:spacing w:line="360" w:lineRule="auto"/>
        <w:jc w:val="center"/>
        <w:outlineLvl w:val="0"/>
        <w:rPr>
          <w:rFonts w:hint="eastAsia" w:ascii="宋体" w:hAnsi="宋体" w:cs="宋体"/>
          <w:color w:val="auto"/>
          <w:kern w:val="0"/>
          <w:sz w:val="24"/>
          <w:highlight w:val="none"/>
        </w:rPr>
      </w:pPr>
    </w:p>
    <w:p>
      <w:pPr>
        <w:pStyle w:val="12"/>
        <w:shd w:val="clear"/>
        <w:snapToGrid w:val="0"/>
        <w:spacing w:line="360" w:lineRule="auto"/>
        <w:jc w:val="center"/>
        <w:outlineLvl w:val="0"/>
        <w:rPr>
          <w:rFonts w:hint="eastAsia" w:hAnsi="宋体" w:eastAsia="宋体"/>
          <w:b/>
          <w:color w:val="auto"/>
          <w:sz w:val="24"/>
          <w:szCs w:val="24"/>
          <w:highlight w:val="none"/>
          <w:lang w:val="en-US" w:eastAsia="zh-CN"/>
        </w:rPr>
      </w:pPr>
      <w:r>
        <w:rPr>
          <w:rFonts w:hint="eastAsia" w:ascii="宋体" w:hAnsi="宋体" w:cs="宋体"/>
          <w:color w:val="auto"/>
          <w:kern w:val="0"/>
          <w:sz w:val="24"/>
          <w:highlight w:val="none"/>
        </w:rPr>
        <w:t>海岛光伏发电</w:t>
      </w:r>
      <w:r>
        <w:rPr>
          <w:rFonts w:hint="eastAsia" w:ascii="宋体" w:hAnsi="宋体" w:cs="宋体"/>
          <w:color w:val="auto"/>
          <w:kern w:val="0"/>
          <w:sz w:val="24"/>
          <w:highlight w:val="none"/>
          <w:lang w:val="en-US" w:eastAsia="zh-CN"/>
        </w:rPr>
        <w:t>-</w:t>
      </w:r>
      <w:r>
        <w:rPr>
          <w:rFonts w:hint="eastAsia" w:ascii="宋体" w:hAnsi="宋体" w:cs="宋体"/>
          <w:color w:val="auto"/>
          <w:sz w:val="24"/>
          <w:highlight w:val="none"/>
        </w:rPr>
        <w:t>高真空金属有机蒸发镀膜装置设备</w:t>
      </w:r>
      <w:r>
        <w:rPr>
          <w:rFonts w:hint="eastAsia" w:ascii="宋体" w:hAnsi="宋体" w:cs="宋体"/>
          <w:color w:val="auto"/>
          <w:kern w:val="0"/>
          <w:sz w:val="24"/>
          <w:highlight w:val="none"/>
          <w:lang w:val="en-US" w:eastAsia="zh-CN"/>
        </w:rPr>
        <w:t>清单</w:t>
      </w:r>
    </w:p>
    <w:tbl>
      <w:tblPr>
        <w:tblStyle w:val="22"/>
        <w:tblW w:w="4998" w:type="pct"/>
        <w:jc w:val="center"/>
        <w:tblLayout w:type="autofit"/>
        <w:tblCellMar>
          <w:top w:w="0" w:type="dxa"/>
          <w:left w:w="108" w:type="dxa"/>
          <w:bottom w:w="0" w:type="dxa"/>
          <w:right w:w="108" w:type="dxa"/>
        </w:tblCellMar>
      </w:tblPr>
      <w:tblGrid>
        <w:gridCol w:w="1046"/>
        <w:gridCol w:w="3430"/>
        <w:gridCol w:w="1742"/>
        <w:gridCol w:w="946"/>
        <w:gridCol w:w="946"/>
        <w:gridCol w:w="946"/>
      </w:tblGrid>
      <w:tr>
        <w:tblPrEx>
          <w:tblCellMar>
            <w:top w:w="0" w:type="dxa"/>
            <w:left w:w="108" w:type="dxa"/>
            <w:bottom w:w="0" w:type="dxa"/>
            <w:right w:w="108" w:type="dxa"/>
          </w:tblCellMar>
        </w:tblPrEx>
        <w:trPr>
          <w:trHeight w:val="805"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93"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96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93"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高真空金属有机蒸发镀膜装置设备</w:t>
            </w:r>
          </w:p>
        </w:tc>
        <w:tc>
          <w:tcPr>
            <w:tcW w:w="961"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套</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w:t>
            </w:r>
          </w:p>
        </w:tc>
      </w:tr>
    </w:tbl>
    <w:p>
      <w:pPr>
        <w:pStyle w:val="2"/>
        <w:shd w:val="clear"/>
        <w:rPr>
          <w:rFonts w:hint="eastAsia"/>
          <w:color w:val="auto"/>
          <w:highlight w:val="none"/>
        </w:rPr>
      </w:pPr>
    </w:p>
    <w:p>
      <w:pPr>
        <w:shd w:val="clear"/>
        <w:snapToGrid w:val="0"/>
        <w:spacing w:before="156" w:beforeLines="50" w:after="156" w:afterLines="50"/>
        <w:outlineLvl w:val="0"/>
        <w:rPr>
          <w:rFonts w:ascii="宋体" w:hAnsi="宋体"/>
          <w:color w:val="auto"/>
          <w:sz w:val="24"/>
          <w:highlight w:val="none"/>
        </w:rPr>
      </w:pPr>
      <w:bookmarkStart w:id="80" w:name="_Toc177870557"/>
      <w:r>
        <w:rPr>
          <w:rFonts w:hint="eastAsia" w:ascii="宋体" w:hAnsi="宋体"/>
          <w:color w:val="auto"/>
          <w:sz w:val="24"/>
          <w:highlight w:val="none"/>
        </w:rPr>
        <w:t>（1）</w:t>
      </w:r>
      <w:r>
        <w:rPr>
          <w:rFonts w:ascii="宋体" w:hAnsi="宋体"/>
          <w:color w:val="auto"/>
          <w:sz w:val="24"/>
          <w:highlight w:val="none"/>
        </w:rPr>
        <w:t>技术需求表</w:t>
      </w:r>
    </w:p>
    <w:bookmarkEnd w:id="80"/>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568"/>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 w:type="pct"/>
            <w:shd w:val="clear" w:color="auto" w:fill="E7E6E6" w:themeFill="background2"/>
            <w:vAlign w:val="center"/>
          </w:tcPr>
          <w:p>
            <w:pPr>
              <w:shd w:val="clear"/>
              <w:snapToGrid w:val="0"/>
              <w:spacing w:before="156" w:beforeLines="50" w:after="156"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序号</w:t>
            </w:r>
          </w:p>
        </w:tc>
        <w:tc>
          <w:tcPr>
            <w:tcW w:w="865" w:type="pct"/>
            <w:shd w:val="clear" w:color="auto" w:fill="E7E6E6" w:themeFill="background2"/>
            <w:vAlign w:val="center"/>
          </w:tcPr>
          <w:p>
            <w:pPr>
              <w:shd w:val="clear"/>
              <w:snapToGrid w:val="0"/>
              <w:spacing w:before="156" w:beforeLines="50" w:after="156"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设备名称</w:t>
            </w:r>
          </w:p>
        </w:tc>
        <w:tc>
          <w:tcPr>
            <w:tcW w:w="3854" w:type="pct"/>
            <w:shd w:val="clear" w:color="auto" w:fill="E7E6E6" w:themeFill="background2"/>
            <w:vAlign w:val="center"/>
          </w:tcPr>
          <w:p>
            <w:pPr>
              <w:shd w:val="clear"/>
              <w:snapToGrid w:val="0"/>
              <w:spacing w:before="156" w:beforeLines="50" w:after="156"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865" w:type="pct"/>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高真空金属有机蒸发镀膜装置设备</w:t>
            </w:r>
          </w:p>
        </w:tc>
        <w:tc>
          <w:tcPr>
            <w:tcW w:w="3854" w:type="pct"/>
            <w:vAlign w:val="center"/>
          </w:tcPr>
          <w:p>
            <w:pPr>
              <w:shd w:val="clear"/>
              <w:autoSpaceDE w:val="0"/>
              <w:autoSpaceDN w:val="0"/>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1．真空腔室</w:t>
            </w:r>
          </w:p>
          <w:p>
            <w:pPr>
              <w:widowControl/>
              <w:shd w:val="clear"/>
              <w:spacing w:line="360" w:lineRule="auto"/>
              <w:ind w:firstLine="240" w:firstLineChars="100"/>
              <w:jc w:val="left"/>
              <w:rPr>
                <w:rFonts w:eastAsiaTheme="minorEastAsia"/>
                <w:color w:val="auto"/>
                <w:sz w:val="24"/>
                <w:highlight w:val="none"/>
              </w:rPr>
            </w:pPr>
            <w:r>
              <w:rPr>
                <w:rFonts w:hint="eastAsia" w:ascii="宋体" w:hAnsi="宋体" w:cs="宋体"/>
                <w:bCs/>
                <w:color w:val="auto"/>
                <w:kern w:val="0"/>
                <w:sz w:val="24"/>
                <w:highlight w:val="none"/>
              </w:rPr>
              <w:t>★</w:t>
            </w:r>
            <w:r>
              <w:rPr>
                <w:rFonts w:hint="eastAsia" w:eastAsiaTheme="minorEastAsia"/>
                <w:color w:val="auto"/>
                <w:sz w:val="24"/>
                <w:highlight w:val="none"/>
              </w:rPr>
              <w:t>1.1、304不锈钢腔室，前门采用双导轨设计，侧滑开门。后门采用手动铰链结构；前后门带玻璃观察窗，含防污挡板，真空室内外表面抛光处理。腔室预留有照明和膜厚仪等设备接口；</w:t>
            </w:r>
          </w:p>
          <w:p>
            <w:pPr>
              <w:widowControl/>
              <w:shd w:val="clear"/>
              <w:spacing w:line="360" w:lineRule="auto"/>
              <w:ind w:firstLine="240" w:firstLineChars="100"/>
              <w:jc w:val="left"/>
              <w:rPr>
                <w:rFonts w:ascii="宋体" w:hAnsi="宋体" w:cs="宋体"/>
                <w:color w:val="auto"/>
                <w:sz w:val="24"/>
                <w:highlight w:val="none"/>
              </w:rPr>
            </w:pPr>
            <w:r>
              <w:rPr>
                <w:rFonts w:hint="eastAsia" w:ascii="宋体" w:hAnsi="宋体" w:cs="宋体"/>
                <w:bCs/>
                <w:color w:val="auto"/>
                <w:kern w:val="0"/>
                <w:sz w:val="24"/>
                <w:highlight w:val="none"/>
              </w:rPr>
              <w:t>★</w:t>
            </w:r>
            <w:r>
              <w:rPr>
                <w:rFonts w:hint="eastAsia" w:ascii="宋体" w:hAnsi="宋体" w:cs="宋体"/>
                <w:color w:val="auto"/>
                <w:sz w:val="24"/>
                <w:highlight w:val="none"/>
              </w:rPr>
              <w:t>1.2、</w:t>
            </w:r>
            <w:r>
              <w:rPr>
                <w:rFonts w:hint="eastAsia" w:ascii="宋体" w:hAnsi="宋体" w:cs="宋体"/>
                <w:color w:val="auto"/>
                <w:kern w:val="0"/>
                <w:sz w:val="24"/>
                <w:highlight w:val="none"/>
                <w:lang w:bidi="ar"/>
              </w:rPr>
              <w:t>尺寸≥ 400×400×H450mm</w:t>
            </w:r>
            <w:r>
              <w:rPr>
                <w:rFonts w:hint="eastAsia" w:ascii="宋体" w:hAnsi="宋体" w:cs="宋体"/>
                <w:color w:val="auto"/>
                <w:sz w:val="24"/>
                <w:highlight w:val="none"/>
              </w:rPr>
              <w:t>；</w:t>
            </w:r>
          </w:p>
          <w:p>
            <w:pPr>
              <w:shd w:val="clear"/>
              <w:autoSpaceDE w:val="0"/>
              <w:autoSpaceDN w:val="0"/>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真空系统</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w:t>
            </w:r>
            <w:r>
              <w:rPr>
                <w:rFonts w:hint="eastAsia" w:eastAsiaTheme="minorEastAsia"/>
                <w:color w:val="auto"/>
                <w:sz w:val="24"/>
                <w:highlight w:val="none"/>
              </w:rPr>
              <w:t>真空泵机组主泵抽速不低于1300L/S，高转速分子泵转速不低于27000转/分，双端支撑轴承，分子泵的稳定性能优异；</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2.2、极限真空</w:t>
            </w:r>
            <w:r>
              <w:rPr>
                <w:rFonts w:hint="eastAsia" w:ascii="宋体" w:hAnsi="宋体" w:cs="宋体"/>
                <w:color w:val="auto"/>
                <w:kern w:val="0"/>
                <w:sz w:val="24"/>
                <w:highlight w:val="none"/>
                <w:lang w:bidi="ar"/>
              </w:rPr>
              <w:t>优于 8.0×10</w:t>
            </w:r>
            <w:r>
              <w:rPr>
                <w:rFonts w:hint="eastAsia" w:ascii="宋体" w:hAnsi="宋体" w:cs="宋体"/>
                <w:color w:val="auto"/>
                <w:kern w:val="0"/>
                <w:sz w:val="24"/>
                <w:highlight w:val="none"/>
                <w:vertAlign w:val="superscript"/>
                <w:lang w:bidi="ar"/>
              </w:rPr>
              <w:t>-6</w:t>
            </w:r>
            <w:r>
              <w:rPr>
                <w:rFonts w:hint="eastAsia" w:ascii="宋体" w:hAnsi="宋体" w:cs="宋体"/>
                <w:color w:val="auto"/>
                <w:kern w:val="0"/>
                <w:sz w:val="24"/>
                <w:highlight w:val="none"/>
                <w:lang w:bidi="ar"/>
              </w:rPr>
              <w:t>Pa</w:t>
            </w:r>
            <w:r>
              <w:rPr>
                <w:rFonts w:hint="eastAsia" w:ascii="宋体" w:hAnsi="宋体" w:cs="宋体"/>
                <w:color w:val="auto"/>
                <w:sz w:val="24"/>
                <w:highlight w:val="none"/>
              </w:rPr>
              <w:t>；漏率：</w:t>
            </w:r>
            <w:r>
              <w:rPr>
                <w:rFonts w:hint="eastAsia" w:ascii="宋体" w:hAnsi="宋体" w:cs="宋体"/>
                <w:color w:val="auto"/>
                <w:kern w:val="0"/>
                <w:sz w:val="24"/>
                <w:highlight w:val="none"/>
                <w:lang w:bidi="ar"/>
              </w:rPr>
              <w:t>优于 1×10</w:t>
            </w:r>
            <w:r>
              <w:rPr>
                <w:rFonts w:hint="eastAsia" w:ascii="宋体" w:hAnsi="宋体" w:cs="宋体"/>
                <w:color w:val="auto"/>
                <w:kern w:val="0"/>
                <w:sz w:val="24"/>
                <w:highlight w:val="none"/>
                <w:vertAlign w:val="superscript"/>
                <w:lang w:bidi="ar"/>
              </w:rPr>
              <w:t>－8</w:t>
            </w:r>
            <w:r>
              <w:rPr>
                <w:rFonts w:hint="eastAsia" w:ascii="宋体" w:hAnsi="宋体" w:cs="宋体"/>
                <w:color w:val="auto"/>
                <w:kern w:val="0"/>
                <w:sz w:val="24"/>
                <w:highlight w:val="none"/>
                <w:lang w:bidi="ar"/>
              </w:rPr>
              <w:t>Pa×L/S</w:t>
            </w:r>
            <w:r>
              <w:rPr>
                <w:rFonts w:hint="eastAsia" w:ascii="宋体" w:hAnsi="宋体" w:cs="宋体"/>
                <w:color w:val="auto"/>
                <w:sz w:val="24"/>
                <w:highlight w:val="none"/>
              </w:rPr>
              <w:t>；关机12小时后，真空度≤5Pa；</w:t>
            </w:r>
          </w:p>
          <w:p>
            <w:pPr>
              <w:shd w:val="clea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2.3、抽速</w:t>
            </w:r>
            <w:r>
              <w:rPr>
                <w:rFonts w:hint="eastAsia" w:ascii="宋体" w:hAnsi="宋体" w:cs="宋体"/>
                <w:color w:val="auto"/>
                <w:sz w:val="24"/>
                <w:highlight w:val="none"/>
              </w:rPr>
              <w:t>抽气时间：大气压到5*10</w:t>
            </w:r>
            <w:r>
              <w:rPr>
                <w:rFonts w:hint="eastAsia" w:ascii="宋体" w:hAnsi="宋体" w:cs="宋体"/>
                <w:color w:val="auto"/>
                <w:sz w:val="24"/>
                <w:highlight w:val="none"/>
                <w:vertAlign w:val="superscript"/>
              </w:rPr>
              <w:t>-4</w:t>
            </w:r>
            <w:r>
              <w:rPr>
                <w:rFonts w:hint="eastAsia" w:ascii="宋体" w:hAnsi="宋体" w:cs="宋体"/>
                <w:color w:val="auto"/>
                <w:sz w:val="24"/>
                <w:highlight w:val="none"/>
              </w:rPr>
              <w:t>Pa小于20min；</w:t>
            </w:r>
          </w:p>
          <w:p>
            <w:pPr>
              <w:shd w:val="clear"/>
              <w:autoSpaceDE w:val="0"/>
              <w:autoSpaceDN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 基片台</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抽屉式结构，</w:t>
            </w:r>
            <w:r>
              <w:rPr>
                <w:rFonts w:hint="eastAsia" w:ascii="宋体" w:hAnsi="宋体" w:cs="宋体"/>
                <w:color w:val="auto"/>
                <w:kern w:val="0"/>
                <w:sz w:val="24"/>
                <w:highlight w:val="none"/>
                <w:lang w:bidi="ar"/>
              </w:rPr>
              <w:t>承载最大小于 150*150 样品，配气动基片大挡板。基片与蒸发源距离可调，可调节最大距离 0～50mm 可调。 样品台旋转：样品片台可旋转，0～30 转／分连续可调。</w:t>
            </w:r>
          </w:p>
          <w:p>
            <w:pPr>
              <w:pStyle w:val="29"/>
              <w:shd w:val="clear"/>
              <w:spacing w:line="360" w:lineRule="auto"/>
              <w:jc w:val="both"/>
              <w:rPr>
                <w:rFonts w:ascii="宋体" w:hAnsi="宋体" w:cs="宋体"/>
                <w:color w:val="auto"/>
                <w:sz w:val="24"/>
                <w:highlight w:val="none"/>
              </w:rPr>
            </w:pPr>
            <w:r>
              <w:rPr>
                <w:rFonts w:hint="eastAsia" w:ascii="宋体" w:hAnsi="宋体" w:cs="宋体"/>
                <w:color w:val="auto"/>
                <w:sz w:val="24"/>
                <w:highlight w:val="none"/>
              </w:rPr>
              <w:t>4.蒸发源及电源</w:t>
            </w:r>
          </w:p>
          <w:p>
            <w:pPr>
              <w:pStyle w:val="29"/>
              <w:shd w:val="clea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4.1、配2组金属蒸发源，金属源采用水冷铜电极+蒸发舟结构；配备高级精度蒸发电源1套，蒸发源电源具有恒流和恒压二种驱动驱动模式，二者可切换。蒸发电源可以通过软件控制，具体二段或以上升温过程控制，一段降温过程控制，也可以手动控制，此外，蒸发电源还可以通过膜厚仪PID（闭环控制），自动调节蒸发速率。带数显。</w:t>
            </w:r>
          </w:p>
          <w:p>
            <w:pPr>
              <w:pStyle w:val="55"/>
              <w:shd w:val="clea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4.2、另配备2组≥700℃有机束源炉蒸发源，蒸发低熔点高分子或小分子材料。配有机蒸发电源2套。</w:t>
            </w:r>
          </w:p>
          <w:p>
            <w:pPr>
              <w:pStyle w:val="55"/>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5.膜厚控制系统</w:t>
            </w:r>
          </w:p>
          <w:p>
            <w:pPr>
              <w:shd w:val="clear"/>
              <w:spacing w:line="360" w:lineRule="auto"/>
              <w:ind w:firstLine="480" w:firstLineChars="200"/>
              <w:jc w:val="left"/>
              <w:rPr>
                <w:rFonts w:ascii="宋体" w:hAnsi="宋体" w:cs="宋体"/>
                <w:color w:val="auto"/>
                <w:sz w:val="24"/>
                <w:highlight w:val="none"/>
              </w:rPr>
            </w:pPr>
            <w:r>
              <w:rPr>
                <w:rFonts w:hint="eastAsia" w:eastAsiaTheme="minorEastAsia"/>
                <w:color w:val="auto"/>
                <w:sz w:val="24"/>
                <w:highlight w:val="none"/>
              </w:rPr>
              <w:t>膜厚仪及探头：配备显示精度0.01A/s膜厚仪一套，分别控制2组蒸发源输出，实现自动控制膜厚速率及终厚，自动镀膜功能。</w:t>
            </w:r>
          </w:p>
          <w:p>
            <w:pPr>
              <w:shd w:val="clear"/>
              <w:autoSpaceDE w:val="0"/>
              <w:autoSpaceDN w:val="0"/>
              <w:spacing w:line="360" w:lineRule="auto"/>
              <w:jc w:val="left"/>
              <w:rPr>
                <w:rFonts w:ascii="宋体" w:hAnsi="宋体" w:cs="宋体"/>
                <w:color w:val="auto"/>
                <w:sz w:val="24"/>
                <w:highlight w:val="none"/>
              </w:rPr>
            </w:pPr>
            <w:r>
              <w:rPr>
                <w:rFonts w:hint="eastAsia" w:ascii="宋体" w:hAnsi="宋体" w:cs="宋体"/>
                <w:bCs/>
                <w:color w:val="auto"/>
                <w:kern w:val="0"/>
                <w:sz w:val="24"/>
                <w:highlight w:val="none"/>
              </w:rPr>
              <w:t>★</w:t>
            </w:r>
            <w:r>
              <w:rPr>
                <w:rFonts w:hint="eastAsia" w:ascii="宋体" w:hAnsi="宋体" w:cs="宋体"/>
                <w:color w:val="auto"/>
                <w:sz w:val="24"/>
                <w:highlight w:val="none"/>
              </w:rPr>
              <w:t>6.控制方式</w:t>
            </w:r>
          </w:p>
          <w:p>
            <w:pPr>
              <w:shd w:val="clea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采用PLC+触摸屏实现一键式全自动控制系统；可输入工艺参数速率及终厚，PID调节自动控制蒸发电源输出等。</w:t>
            </w:r>
          </w:p>
          <w:p>
            <w:pPr>
              <w:pStyle w:val="29"/>
              <w:shd w:val="clear"/>
              <w:spacing w:line="360" w:lineRule="auto"/>
              <w:jc w:val="both"/>
              <w:rPr>
                <w:rFonts w:ascii="宋体" w:hAnsi="宋体" w:cs="宋体"/>
                <w:color w:val="auto"/>
                <w:sz w:val="24"/>
                <w:highlight w:val="none"/>
              </w:rPr>
            </w:pPr>
            <w:r>
              <w:rPr>
                <w:rFonts w:hint="eastAsia" w:ascii="宋体" w:hAnsi="宋体" w:cs="宋体"/>
                <w:color w:val="auto"/>
                <w:sz w:val="24"/>
                <w:highlight w:val="none"/>
              </w:rPr>
              <w:t>7.报警及保护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缺水欠压检测与保护、相序检测与保护、温度检测与保护、真空系统检测与保护。对泵、电极等缺水、过流过压、断路等异常情况进行报警并执行相应保护措施；</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8.细节要求</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8.1、样品台需抽屉式设计，方便取样；</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8.2、蒸发源需分区域设计，源间配有隔板，源上配独立挡板</w:t>
            </w:r>
          </w:p>
          <w:p>
            <w:pPr>
              <w:pStyle w:val="29"/>
              <w:shd w:val="clear"/>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8.3、抽气口需加装过滤网保护分子泵，气路设计避免扬尘；</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9.关键配备及配件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9.1、设备主要部件如：金属及蒸发电源、膜厚仪等均为可靠品牌。以保障设备的整体关键性能指标及耐久性。</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9.2、设备的细节配件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9.2.1电气部分PLC及控制系统、电源等集成到手套箱下方，不占多余空间。</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9.2.2所有挡板等动密封部位均采用磁流体密封以保证真空的长期可靠性。</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9.2.3水路部分采用不锈钢水排分水器，水管采用耐高温尼龙水管。以保障设备的稳定可靠性。</w:t>
            </w:r>
          </w:p>
          <w:p>
            <w:pPr>
              <w:pStyle w:val="55"/>
              <w:shd w:val="clear"/>
              <w:spacing w:line="360" w:lineRule="auto"/>
              <w:rPr>
                <w:rFonts w:ascii="宋体" w:hAnsi="宋体" w:cs="宋体"/>
                <w:color w:val="auto"/>
                <w:sz w:val="24"/>
                <w:szCs w:val="24"/>
                <w:highlight w:val="none"/>
              </w:rPr>
            </w:pPr>
            <w:r>
              <w:rPr>
                <w:rFonts w:hint="eastAsia" w:ascii="宋体" w:hAnsi="宋体" w:cs="宋体"/>
                <w:bCs/>
                <w:color w:val="auto"/>
                <w:kern w:val="0"/>
                <w:sz w:val="24"/>
                <w:szCs w:val="24"/>
                <w:highlight w:val="none"/>
              </w:rPr>
              <w:t>★</w:t>
            </w:r>
            <w:r>
              <w:rPr>
                <w:rFonts w:hint="eastAsia" w:ascii="宋体" w:hAnsi="宋体" w:cs="宋体"/>
                <w:color w:val="auto"/>
                <w:sz w:val="24"/>
                <w:szCs w:val="24"/>
                <w:highlight w:val="none"/>
              </w:rPr>
              <w:t>10.膜厚均匀性参数</w:t>
            </w:r>
          </w:p>
          <w:p>
            <w:pPr>
              <w:pStyle w:val="55"/>
              <w:shd w:val="clea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Ø150mm 圆形基片成膜不均匀性：优于±5%。</w:t>
            </w:r>
          </w:p>
        </w:tc>
      </w:tr>
    </w:tbl>
    <w:p>
      <w:pPr>
        <w:shd w:val="clear"/>
        <w:rPr>
          <w:rFonts w:ascii="宋体" w:hAnsi="宋体"/>
          <w:color w:val="auto"/>
          <w:kern w:val="0"/>
          <w:sz w:val="24"/>
          <w:highlight w:val="none"/>
        </w:rPr>
      </w:pPr>
    </w:p>
    <w:bookmarkEnd w:id="75"/>
    <w:bookmarkEnd w:id="76"/>
    <w:bookmarkEnd w:id="77"/>
    <w:bookmarkEnd w:id="78"/>
    <w:bookmarkEnd w:id="79"/>
    <w:p>
      <w:pPr>
        <w:shd w:val="clear"/>
        <w:spacing w:line="360" w:lineRule="auto"/>
        <w:rPr>
          <w:rFonts w:hint="eastAsia" w:ascii="宋体" w:hAnsi="宋体" w:eastAsia="宋体" w:cs="宋体"/>
          <w:b/>
          <w:color w:val="auto"/>
          <w:sz w:val="24"/>
          <w:szCs w:val="24"/>
          <w:highlight w:val="none"/>
        </w:rPr>
      </w:pPr>
      <w:bookmarkStart w:id="81" w:name="_Toc958534192"/>
      <w:bookmarkStart w:id="82" w:name="_Toc24468"/>
      <w:bookmarkStart w:id="83" w:name="_Toc30339"/>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商务需求</w:t>
      </w:r>
    </w:p>
    <w:tbl>
      <w:tblPr>
        <w:tblStyle w:val="2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6510" w:type="dxa"/>
            <w:tcBorders>
              <w:top w:val="single" w:color="auto" w:sz="4" w:space="0"/>
              <w:left w:val="single" w:color="auto" w:sz="4" w:space="0"/>
              <w:bottom w:val="single" w:color="auto" w:sz="4" w:space="0"/>
              <w:right w:val="single" w:color="auto" w:sz="4" w:space="0"/>
            </w:tcBorders>
            <w:vAlign w:val="center"/>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 xml:space="preserve"> 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售后技术服务要求</w:t>
            </w:r>
          </w:p>
        </w:tc>
        <w:tc>
          <w:tcPr>
            <w:tcW w:w="6510" w:type="dxa"/>
            <w:tcBorders>
              <w:top w:val="single" w:color="auto" w:sz="4" w:space="0"/>
              <w:left w:val="single" w:color="auto" w:sz="4" w:space="0"/>
              <w:bottom w:val="single" w:color="auto" w:sz="4" w:space="0"/>
              <w:right w:val="single" w:color="auto" w:sz="4" w:space="0"/>
            </w:tcBorders>
            <w:vAlign w:val="center"/>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（1）合同生效后，仪器制造商（或代理商）对安装仪器的实验室工作条件应提出具体要求，并在安装前予以确认。</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（2）提供的产品须为原装正品，相关的配套附件质量优良，数量齐全，并在标书中注明可选配件的价格。</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（3）仪器到达用户指定交货地点后，根据用户的时间安排，仪器制造商（或代理商）在接到用户通知后30天内进行安装调试，直至通过验收。</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（4）仪器安装调试合格后，仪器制造商（或代理商）负责对用户技术人员（至少2人）进行免费现场培训，培训内容包括仪器的性能、原理、操作、保养和维护等，培训日程视实际情况另定。</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（5）质保期过后，仪器制造商（或代理商）对仪器提供终身维修服务，能提供广泛、即时、优惠的技术服务，并提供质量上乘、价格合理的各种配件。</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（6）保证供应仪器质保期后3年内所需的备品、备件；须给出详细清单（品名、货号、生产厂家、数量、价格等）。</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（8）仪器制造商（或代理商）终身免费提供应用咨询及技术帮助，质保期内，易损件和外购件根据原厂家质保期和国家质保标准保修，属人为因素酌情收取材料费。质保期外实行有偿服务。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及地点</w:t>
            </w:r>
          </w:p>
        </w:tc>
        <w:tc>
          <w:tcPr>
            <w:tcW w:w="6510" w:type="dxa"/>
            <w:tcBorders>
              <w:top w:val="single" w:color="auto" w:sz="4" w:space="0"/>
              <w:left w:val="single" w:color="auto" w:sz="4" w:space="0"/>
              <w:bottom w:val="single" w:color="auto" w:sz="4" w:space="0"/>
              <w:right w:val="single" w:color="auto" w:sz="4" w:space="0"/>
            </w:tcBorders>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合同签订后</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日历天内交货</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地点：台州学院椒江校区      </w:t>
            </w:r>
          </w:p>
        </w:tc>
      </w:tr>
    </w:tbl>
    <w:p>
      <w:pPr>
        <w:shd w:val="clea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、相关说明</w:t>
      </w:r>
    </w:p>
    <w:p>
      <w:pPr>
        <w:shd w:val="clea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kern w:val="0"/>
          <w:sz w:val="24"/>
          <w:szCs w:val="24"/>
          <w:highlight w:val="none"/>
        </w:rPr>
        <w:t>现场勘察：</w:t>
      </w:r>
      <w:r>
        <w:rPr>
          <w:rFonts w:hint="eastAsia" w:ascii="宋体" w:hAnsi="宋体" w:eastAsia="宋体" w:cs="宋体"/>
          <w:color w:val="auto"/>
          <w:sz w:val="24"/>
          <w:szCs w:val="24"/>
          <w:highlight w:val="none"/>
        </w:rPr>
        <w:t>无</w:t>
      </w:r>
    </w:p>
    <w:p>
      <w:pPr>
        <w:shd w:val="clea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▲所有设备均采用人民币报价。本项目的成交报价应包含</w:t>
      </w:r>
      <w:r>
        <w:rPr>
          <w:rFonts w:hint="eastAsia" w:ascii="宋体" w:hAnsi="宋体" w:eastAsia="宋体" w:cs="宋体"/>
          <w:color w:val="auto"/>
          <w:sz w:val="24"/>
          <w:szCs w:val="24"/>
          <w:highlight w:val="none"/>
        </w:rPr>
        <w:t>货款、标准附件、备品备件、专用工具、包装、运输、装卸、保险、税金、货到就位以及安装、调试、培训、保修等一切税金和费用。</w:t>
      </w:r>
      <w:r>
        <w:rPr>
          <w:rFonts w:hint="eastAsia" w:ascii="宋体" w:hAnsi="宋体" w:eastAsia="宋体" w:cs="宋体"/>
          <w:color w:val="auto"/>
          <w:sz w:val="24"/>
          <w:szCs w:val="24"/>
          <w:highlight w:val="none"/>
        </w:rPr>
        <w:br w:type="page"/>
      </w:r>
    </w:p>
    <w:p>
      <w:pPr>
        <w:pStyle w:val="12"/>
        <w:shd w:val="clear"/>
        <w:snapToGrid w:val="0"/>
        <w:spacing w:line="360" w:lineRule="auto"/>
        <w:jc w:val="center"/>
        <w:outlineLvl w:val="0"/>
        <w:rPr>
          <w:rFonts w:hint="eastAsia" w:hAnsi="宋体"/>
          <w:b/>
          <w:color w:val="auto"/>
          <w:sz w:val="24"/>
          <w:szCs w:val="24"/>
          <w:highlight w:val="none"/>
        </w:rPr>
      </w:pPr>
      <w:r>
        <w:rPr>
          <w:rFonts w:hint="eastAsia" w:hAnsi="宋体"/>
          <w:b/>
          <w:color w:val="auto"/>
          <w:sz w:val="24"/>
          <w:szCs w:val="24"/>
          <w:highlight w:val="none"/>
        </w:rPr>
        <w:t>标段</w:t>
      </w:r>
      <w:r>
        <w:rPr>
          <w:rFonts w:hint="eastAsia" w:hAnsi="宋体"/>
          <w:b/>
          <w:color w:val="auto"/>
          <w:sz w:val="24"/>
          <w:szCs w:val="24"/>
          <w:highlight w:val="none"/>
          <w:lang w:val="en-US" w:eastAsia="zh-CN"/>
        </w:rPr>
        <w:t>二</w:t>
      </w:r>
      <w:r>
        <w:rPr>
          <w:rFonts w:hint="eastAsia" w:hAnsi="宋体"/>
          <w:b/>
          <w:color w:val="auto"/>
          <w:sz w:val="24"/>
          <w:szCs w:val="24"/>
          <w:highlight w:val="none"/>
        </w:rPr>
        <w:t>：海岛光伏发电-钙钛矿制备防护系统设备</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678"/>
        <w:gridCol w:w="1024"/>
        <w:gridCol w:w="681"/>
        <w:gridCol w:w="681"/>
        <w:gridCol w:w="1192"/>
        <w:gridCol w:w="153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62"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926" w:type="pct"/>
            <w:shd w:val="clear" w:color="auto" w:fill="E7E6E6" w:themeFill="background2"/>
            <w:vAlign w:val="center"/>
          </w:tcPr>
          <w:p>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565" w:type="pct"/>
            <w:shd w:val="clear" w:color="auto" w:fill="E7E6E6" w:themeFill="background2"/>
            <w:vAlign w:val="center"/>
          </w:tcPr>
          <w:p>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376"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376"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58"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847" w:type="pct"/>
            <w:shd w:val="clear" w:color="auto" w:fill="E7E6E6" w:themeFill="background2"/>
            <w:vAlign w:val="center"/>
          </w:tcPr>
          <w:p>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787"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62" w:type="pct"/>
            <w:vAlign w:val="center"/>
          </w:tcPr>
          <w:p>
            <w:pPr>
              <w:shd w:val="clear"/>
              <w:tabs>
                <w:tab w:val="left" w:pos="8280"/>
              </w:tabs>
              <w:autoSpaceDE w:val="0"/>
              <w:autoSpaceDN w:val="0"/>
              <w:adjustRightInd w:val="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三</w:t>
            </w:r>
          </w:p>
        </w:tc>
        <w:tc>
          <w:tcPr>
            <w:tcW w:w="1678" w:type="dxa"/>
            <w:vAlign w:val="center"/>
          </w:tcPr>
          <w:p>
            <w:pPr>
              <w:widowControl/>
              <w:shd w:val="clear"/>
              <w:jc w:val="center"/>
              <w:rPr>
                <w:rFonts w:hint="eastAsia" w:eastAsia="宋体" w:asciiTheme="minorEastAsia" w:hAnsiTheme="minorEastAsia"/>
                <w:color w:val="auto"/>
                <w:sz w:val="24"/>
                <w:highlight w:val="none"/>
                <w:lang w:val="en-US" w:eastAsia="zh-CN"/>
              </w:rPr>
            </w:pPr>
            <w:r>
              <w:rPr>
                <w:rFonts w:hint="eastAsia" w:ascii="宋体" w:hAnsi="宋体" w:cs="宋体"/>
                <w:color w:val="auto"/>
                <w:kern w:val="0"/>
                <w:sz w:val="24"/>
                <w:highlight w:val="none"/>
              </w:rPr>
              <w:t>海岛光伏发电</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钙钛矿制备防护系统设备</w:t>
            </w:r>
          </w:p>
        </w:tc>
        <w:tc>
          <w:tcPr>
            <w:tcW w:w="1024" w:type="dxa"/>
            <w:vAlign w:val="center"/>
          </w:tcPr>
          <w:p>
            <w:pPr>
              <w:widowControl/>
              <w:shd w:val="clear"/>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681" w:type="dxa"/>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81" w:type="dxa"/>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1192" w:type="dxa"/>
            <w:vAlign w:val="center"/>
          </w:tcPr>
          <w:p>
            <w:pPr>
              <w:shd w:val="clea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9</w:t>
            </w:r>
          </w:p>
        </w:tc>
        <w:tc>
          <w:tcPr>
            <w:tcW w:w="1535" w:type="dxa"/>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0日历天</w:t>
            </w:r>
          </w:p>
        </w:tc>
        <w:tc>
          <w:tcPr>
            <w:tcW w:w="1427" w:type="dxa"/>
            <w:vAlign w:val="center"/>
          </w:tcPr>
          <w:p>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台州学院椒江校区</w:t>
            </w:r>
          </w:p>
        </w:tc>
      </w:tr>
    </w:tbl>
    <w:p>
      <w:pPr>
        <w:pStyle w:val="12"/>
        <w:shd w:val="clear"/>
        <w:snapToGrid w:val="0"/>
        <w:spacing w:line="360" w:lineRule="auto"/>
        <w:jc w:val="center"/>
        <w:outlineLvl w:val="0"/>
        <w:rPr>
          <w:rFonts w:hint="eastAsia" w:ascii="宋体" w:hAnsi="宋体" w:cs="宋体"/>
          <w:color w:val="auto"/>
          <w:kern w:val="0"/>
          <w:sz w:val="24"/>
          <w:highlight w:val="none"/>
        </w:rPr>
      </w:pPr>
    </w:p>
    <w:p>
      <w:pPr>
        <w:pStyle w:val="12"/>
        <w:shd w:val="clear"/>
        <w:snapToGrid w:val="0"/>
        <w:spacing w:line="360" w:lineRule="auto"/>
        <w:jc w:val="center"/>
        <w:outlineLvl w:val="0"/>
        <w:rPr>
          <w:rFonts w:hint="eastAsia" w:hAnsi="宋体" w:eastAsia="宋体"/>
          <w:b/>
          <w:color w:val="auto"/>
          <w:sz w:val="24"/>
          <w:szCs w:val="24"/>
          <w:highlight w:val="none"/>
          <w:lang w:val="en-US" w:eastAsia="zh-CN"/>
        </w:rPr>
      </w:pPr>
      <w:r>
        <w:rPr>
          <w:rFonts w:hint="eastAsia" w:ascii="宋体" w:hAnsi="宋体" w:cs="宋体"/>
          <w:color w:val="auto"/>
          <w:kern w:val="0"/>
          <w:sz w:val="24"/>
          <w:highlight w:val="none"/>
        </w:rPr>
        <w:t>海岛光伏发电</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钙钛矿制备防护系统设备</w:t>
      </w:r>
      <w:r>
        <w:rPr>
          <w:rFonts w:hint="eastAsia" w:ascii="宋体" w:hAnsi="宋体" w:cs="宋体"/>
          <w:color w:val="auto"/>
          <w:kern w:val="0"/>
          <w:sz w:val="24"/>
          <w:highlight w:val="none"/>
          <w:lang w:val="en-US" w:eastAsia="zh-CN"/>
        </w:rPr>
        <w:t>清单</w:t>
      </w:r>
    </w:p>
    <w:tbl>
      <w:tblPr>
        <w:tblStyle w:val="22"/>
        <w:tblW w:w="4998" w:type="pct"/>
        <w:jc w:val="center"/>
        <w:tblLayout w:type="autofit"/>
        <w:tblCellMar>
          <w:top w:w="0" w:type="dxa"/>
          <w:left w:w="108" w:type="dxa"/>
          <w:bottom w:w="0" w:type="dxa"/>
          <w:right w:w="108" w:type="dxa"/>
        </w:tblCellMar>
      </w:tblPr>
      <w:tblGrid>
        <w:gridCol w:w="1046"/>
        <w:gridCol w:w="3429"/>
        <w:gridCol w:w="1742"/>
        <w:gridCol w:w="946"/>
        <w:gridCol w:w="946"/>
        <w:gridCol w:w="947"/>
      </w:tblGrid>
      <w:tr>
        <w:tblPrEx>
          <w:tblCellMar>
            <w:top w:w="0" w:type="dxa"/>
            <w:left w:w="108" w:type="dxa"/>
            <w:bottom w:w="0" w:type="dxa"/>
            <w:right w:w="108" w:type="dxa"/>
          </w:tblCellMar>
        </w:tblPrEx>
        <w:trPr>
          <w:trHeight w:val="805"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92"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961"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22" w:type="pct"/>
            <w:tcBorders>
              <w:top w:val="single" w:color="000000" w:sz="4" w:space="0"/>
              <w:left w:val="nil"/>
              <w:right w:val="single" w:color="000000" w:sz="4" w:space="0"/>
            </w:tcBorders>
            <w:shd w:val="clear" w:color="auto" w:fill="E7E6E6" w:themeFill="background2"/>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388" w:hRule="atLeast"/>
          <w:jc w:val="center"/>
        </w:trPr>
        <w:tc>
          <w:tcPr>
            <w:tcW w:w="577"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92"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钙钛矿制备防护系统设备</w:t>
            </w:r>
          </w:p>
        </w:tc>
        <w:tc>
          <w:tcPr>
            <w:tcW w:w="961"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套</w:t>
            </w:r>
          </w:p>
        </w:tc>
        <w:tc>
          <w:tcPr>
            <w:tcW w:w="522" w:type="pct"/>
            <w:tcBorders>
              <w:top w:val="single" w:color="auto" w:sz="4" w:space="0"/>
              <w:left w:val="nil"/>
              <w:bottom w:val="single" w:color="000000" w:sz="4" w:space="0"/>
              <w:right w:val="single" w:color="000000" w:sz="4" w:space="0"/>
            </w:tcBorders>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w:t>
            </w:r>
          </w:p>
        </w:tc>
      </w:tr>
    </w:tbl>
    <w:p>
      <w:pPr>
        <w:pStyle w:val="2"/>
        <w:shd w:val="clear"/>
        <w:rPr>
          <w:rFonts w:hint="eastAsia"/>
          <w:color w:val="auto"/>
          <w:highlight w:val="none"/>
        </w:rPr>
      </w:pPr>
    </w:p>
    <w:p>
      <w:pPr>
        <w:numPr>
          <w:ilvl w:val="0"/>
          <w:numId w:val="5"/>
        </w:numPr>
        <w:shd w:val="clear"/>
        <w:snapToGrid w:val="0"/>
        <w:spacing w:before="156" w:beforeLines="50" w:after="156" w:afterLines="50"/>
        <w:outlineLvl w:val="0"/>
        <w:rPr>
          <w:rFonts w:ascii="宋体" w:hAnsi="宋体"/>
          <w:color w:val="auto"/>
          <w:sz w:val="24"/>
          <w:highlight w:val="none"/>
        </w:rPr>
      </w:pPr>
      <w:r>
        <w:rPr>
          <w:rFonts w:ascii="宋体" w:hAnsi="宋体"/>
          <w:color w:val="auto"/>
          <w:sz w:val="24"/>
          <w:highlight w:val="none"/>
        </w:rPr>
        <w:t>技术需求表</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309"/>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shd w:val="clear" w:color="auto" w:fill="E7E6E6" w:themeFill="background2"/>
            <w:vAlign w:val="center"/>
          </w:tcPr>
          <w:p>
            <w:pPr>
              <w:shd w:val="clear"/>
              <w:snapToGrid w:val="0"/>
              <w:spacing w:before="156" w:beforeLines="50" w:after="156"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序号</w:t>
            </w:r>
          </w:p>
        </w:tc>
        <w:tc>
          <w:tcPr>
            <w:tcW w:w="722" w:type="pct"/>
            <w:shd w:val="clear" w:color="auto" w:fill="E7E6E6" w:themeFill="background2"/>
            <w:vAlign w:val="center"/>
          </w:tcPr>
          <w:p>
            <w:pPr>
              <w:shd w:val="clear"/>
              <w:snapToGrid w:val="0"/>
              <w:spacing w:before="156" w:beforeLines="50" w:after="156"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设备名称</w:t>
            </w:r>
          </w:p>
        </w:tc>
        <w:tc>
          <w:tcPr>
            <w:tcW w:w="3826" w:type="pct"/>
            <w:shd w:val="clear" w:color="auto" w:fill="E7E6E6" w:themeFill="background2"/>
            <w:vAlign w:val="center"/>
          </w:tcPr>
          <w:p>
            <w:pPr>
              <w:shd w:val="clear"/>
              <w:snapToGrid w:val="0"/>
              <w:spacing w:before="156" w:beforeLines="50" w:after="156" w:afterLines="50"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722" w:type="pct"/>
            <w:vAlign w:val="center"/>
          </w:tcPr>
          <w:p>
            <w:pPr>
              <w:shd w:val="clear"/>
              <w:snapToGrid w:val="0"/>
              <w:spacing w:before="156" w:after="156" w:line="360" w:lineRule="auto"/>
              <w:jc w:val="center"/>
              <w:outlineLvl w:val="0"/>
              <w:rPr>
                <w:rFonts w:ascii="宋体" w:hAnsi="宋体" w:cs="宋体"/>
                <w:color w:val="auto"/>
                <w:sz w:val="24"/>
                <w:highlight w:val="none"/>
              </w:rPr>
            </w:pPr>
            <w:r>
              <w:rPr>
                <w:rFonts w:hint="eastAsia" w:ascii="宋体" w:hAnsi="宋体" w:cs="宋体"/>
                <w:color w:val="auto"/>
                <w:kern w:val="0"/>
                <w:sz w:val="24"/>
                <w:highlight w:val="none"/>
              </w:rPr>
              <w:t>钙钛矿制备防护系统</w:t>
            </w:r>
          </w:p>
        </w:tc>
        <w:tc>
          <w:tcPr>
            <w:tcW w:w="3826" w:type="pct"/>
            <w:vAlign w:val="center"/>
          </w:tcPr>
          <w:p>
            <w:pPr>
              <w:shd w:val="clea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1.系统需要集成3套箱体：分别是2孔+3孔+4孔箱体，通过T型大小过渡舱连接在一起；</w:t>
            </w:r>
          </w:p>
          <w:p>
            <w:pPr>
              <w:pStyle w:val="2"/>
              <w:shd w:val="clear"/>
              <w:spacing w:line="360" w:lineRule="auto"/>
              <w:ind w:left="0" w:leftChars="0" w:firstLine="0"/>
              <w:rPr>
                <w:rFonts w:ascii="宋体" w:hAnsi="宋体" w:cs="宋体"/>
                <w:bCs/>
                <w:color w:val="auto"/>
                <w:sz w:val="24"/>
                <w:highlight w:val="none"/>
              </w:rPr>
            </w:pPr>
            <w:r>
              <w:rPr>
                <w:rFonts w:hint="eastAsia" w:ascii="宋体" w:hAnsi="宋体" w:cs="宋体"/>
                <w:bCs/>
                <w:color w:val="auto"/>
                <w:kern w:val="0"/>
                <w:sz w:val="24"/>
                <w:highlight w:val="none"/>
              </w:rPr>
              <w:t>★2.</w:t>
            </w:r>
            <w:r>
              <w:rPr>
                <w:rFonts w:hint="eastAsia" w:ascii="宋体" w:hAnsi="宋体" w:cs="宋体"/>
                <w:bCs/>
                <w:color w:val="auto"/>
                <w:sz w:val="24"/>
                <w:highlight w:val="none"/>
              </w:rPr>
              <w:t>水、氧含量＜1ppm；</w:t>
            </w:r>
          </w:p>
          <w:p>
            <w:pPr>
              <w:shd w:val="clear"/>
              <w:spacing w:line="360" w:lineRule="auto"/>
              <w:jc w:val="left"/>
              <w:rPr>
                <w:rFonts w:ascii="宋体" w:hAnsi="宋体" w:cs="宋体"/>
                <w:bCs/>
                <w:color w:val="auto"/>
                <w:sz w:val="24"/>
                <w:highlight w:val="none"/>
              </w:rPr>
            </w:pPr>
            <w:r>
              <w:rPr>
                <w:rFonts w:hint="eastAsia" w:ascii="宋体" w:hAnsi="宋体" w:cs="宋体"/>
                <w:bCs/>
                <w:color w:val="auto"/>
                <w:kern w:val="0"/>
                <w:sz w:val="24"/>
                <w:highlight w:val="none"/>
              </w:rPr>
              <w:t>★3.</w:t>
            </w:r>
            <w:r>
              <w:rPr>
                <w:rFonts w:hint="eastAsia" w:ascii="宋体" w:hAnsi="宋体" w:cs="宋体"/>
                <w:bCs/>
                <w:color w:val="auto"/>
                <w:sz w:val="24"/>
                <w:highlight w:val="none"/>
              </w:rPr>
              <w:t>箱体泄漏率≤0.05vol%/h；</w:t>
            </w:r>
          </w:p>
          <w:p>
            <w:pPr>
              <w:shd w:val="clear"/>
              <w:spacing w:line="360" w:lineRule="auto"/>
              <w:jc w:val="left"/>
              <w:rPr>
                <w:rFonts w:ascii="宋体" w:hAnsi="宋体" w:cs="宋体"/>
                <w:color w:val="auto"/>
                <w:sz w:val="24"/>
                <w:highlight w:val="none"/>
              </w:rPr>
            </w:pPr>
            <w:r>
              <w:rPr>
                <w:rFonts w:hint="eastAsia" w:ascii="宋体" w:hAnsi="宋体" w:cs="宋体"/>
                <w:bCs/>
                <w:color w:val="auto"/>
                <w:kern w:val="0"/>
                <w:sz w:val="24"/>
                <w:highlight w:val="none"/>
              </w:rPr>
              <w:t>4.</w:t>
            </w:r>
            <w:r>
              <w:rPr>
                <w:rFonts w:hint="eastAsia" w:ascii="宋体" w:hAnsi="宋体" w:cs="宋体"/>
                <w:color w:val="auto"/>
                <w:sz w:val="24"/>
                <w:highlight w:val="none"/>
              </w:rPr>
              <w:t>规格：2孔箱体约1200*750*900mm（长×宽×高），3孔箱体约1500*750*900mm（长×宽×高），4孔箱体约2100*750*900mm（长×宽×高），全部箱体采用SUS304不锈钢，厚度3mm；</w:t>
            </w:r>
          </w:p>
          <w:p>
            <w:pPr>
              <w:shd w:val="clea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5. 双净化系统3套： 可再生，且再生过程能自动控制，并具备意外停电自动恢复功能；</w:t>
            </w:r>
          </w:p>
          <w:p>
            <w:pPr>
              <w:shd w:val="clear"/>
              <w:spacing w:line="360" w:lineRule="auto"/>
              <w:ind w:firstLine="240" w:firstLineChars="100"/>
              <w:jc w:val="left"/>
              <w:rPr>
                <w:rFonts w:ascii="宋体" w:hAnsi="宋体" w:cs="宋体"/>
                <w:color w:val="auto"/>
                <w:sz w:val="24"/>
                <w:highlight w:val="none"/>
              </w:rPr>
            </w:pPr>
            <w:r>
              <w:rPr>
                <w:rFonts w:hint="eastAsia" w:ascii="宋体" w:hAnsi="宋体" w:cs="宋体"/>
                <w:bCs/>
                <w:color w:val="auto"/>
                <w:kern w:val="0"/>
                <w:sz w:val="24"/>
                <w:highlight w:val="none"/>
              </w:rPr>
              <w:t>6.</w:t>
            </w:r>
            <w:r>
              <w:rPr>
                <w:rFonts w:hint="eastAsia" w:ascii="宋体" w:hAnsi="宋体" w:cs="宋体"/>
                <w:color w:val="auto"/>
                <w:sz w:val="24"/>
                <w:highlight w:val="none"/>
              </w:rPr>
              <w:t xml:space="preserve"> 手套箱配备3套露点变送器，0～1000ppm，显示精度0.1ppm。</w:t>
            </w:r>
          </w:p>
          <w:p>
            <w:pPr>
              <w:shd w:val="clea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3套氧变送器，0～1000ppm，显示精度0.1ppm，触摸屏显示；</w:t>
            </w:r>
          </w:p>
          <w:p>
            <w:pPr>
              <w:shd w:val="clear"/>
              <w:spacing w:line="360" w:lineRule="auto"/>
              <w:jc w:val="left"/>
              <w:rPr>
                <w:rFonts w:ascii="宋体" w:hAnsi="宋体" w:cs="宋体"/>
                <w:color w:val="auto"/>
                <w:sz w:val="24"/>
                <w:highlight w:val="none"/>
              </w:rPr>
            </w:pPr>
            <w:r>
              <w:rPr>
                <w:rFonts w:hint="eastAsia" w:ascii="宋体" w:hAnsi="宋体" w:cs="宋体"/>
                <w:bCs/>
                <w:color w:val="auto"/>
                <w:kern w:val="0"/>
                <w:sz w:val="24"/>
                <w:highlight w:val="none"/>
              </w:rPr>
              <w:t>★7.</w:t>
            </w:r>
            <w:r>
              <w:rPr>
                <w:rFonts w:hint="eastAsia" w:ascii="宋体" w:hAnsi="宋体" w:cs="宋体"/>
                <w:color w:val="auto"/>
                <w:sz w:val="24"/>
                <w:highlight w:val="none"/>
              </w:rPr>
              <w:t>真空泵，配置油雾过滤器真空泵托盘，排气量≥9.5m³/h；</w:t>
            </w:r>
          </w:p>
          <w:p>
            <w:pPr>
              <w:shd w:val="clea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8.有机溶剂吸附装置：内装有活性炭，容积17L,安装于手套箱管路上；</w:t>
            </w:r>
          </w:p>
          <w:p>
            <w:pPr>
              <w:shd w:val="clea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9、箱体预留镀膜机专用接口，布局要求合理；</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10.设备放置在实验室4楼，无电梯，需供应商负责卸货搬运到实验室。</w:t>
            </w:r>
          </w:p>
        </w:tc>
      </w:tr>
    </w:tbl>
    <w:p>
      <w:pPr>
        <w:pStyle w:val="2"/>
        <w:numPr>
          <w:ilvl w:val="0"/>
          <w:numId w:val="0"/>
        </w:numPr>
        <w:shd w:val="clear"/>
        <w:rPr>
          <w:color w:val="auto"/>
          <w:highlight w:val="none"/>
        </w:rPr>
      </w:pPr>
    </w:p>
    <w:p>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商务需求</w:t>
      </w:r>
    </w:p>
    <w:tbl>
      <w:tblPr>
        <w:tblStyle w:val="2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6510" w:type="dxa"/>
            <w:tcBorders>
              <w:top w:val="single" w:color="auto" w:sz="4" w:space="0"/>
              <w:left w:val="single" w:color="auto" w:sz="4" w:space="0"/>
              <w:bottom w:val="single" w:color="auto" w:sz="4" w:space="0"/>
              <w:right w:val="single" w:color="auto" w:sz="4" w:space="0"/>
            </w:tcBorders>
            <w:vAlign w:val="center"/>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 xml:space="preserve"> 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售后技术服务要求</w:t>
            </w:r>
          </w:p>
        </w:tc>
        <w:tc>
          <w:tcPr>
            <w:tcW w:w="6510" w:type="dxa"/>
            <w:tcBorders>
              <w:top w:val="single" w:color="auto" w:sz="4" w:space="0"/>
              <w:left w:val="single" w:color="auto" w:sz="4" w:space="0"/>
              <w:bottom w:val="single" w:color="auto" w:sz="4" w:space="0"/>
              <w:right w:val="single" w:color="auto" w:sz="4" w:space="0"/>
            </w:tcBorders>
            <w:vAlign w:val="center"/>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（1）合同生效后，仪器制造商（或代理商）对安装仪器的实验室工作条件应提出具体要求，并在安装前予以确认。</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（2）提供的产品须为原装正品，相关的配套附件质量优良，数量齐全，并在标书中注明可选配件的价格。</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（3）仪器到达用户指定交货地点后，根据用户的时间安排，仪器制造商（或代理商）在接到用户通知后30天内进行安装调试，直至通过验收。</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（4）仪器安装调试合格后，仪器制造商（或代理商）负责对用户技术人员（至少2人）进行免费现场培训，培训内容包括仪器的性能、原理、操作、保养和维护等，培训日程视实际情况另定。</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（5）质保期过后，仪器制造商（或代理商）对仪器提供终身维修服务，能提供广泛、即时、优惠的技术服务，并提供质量上乘、价格合理的各种配件。</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（6）保证供应仪器质保期后3年内所需的备品、备件；须给出详细清单（品名、货号、生产厂家、数量、价格等）。</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（8）仪器制造商（或代理商）终身免费提供应用咨询及技术帮助，质保期内，易损件和外购件根据原厂家质保期和国家质保标准保修，属人为因素酌情收取材料费。质保期外实行有偿服务。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及地点</w:t>
            </w:r>
          </w:p>
        </w:tc>
        <w:tc>
          <w:tcPr>
            <w:tcW w:w="6510" w:type="dxa"/>
            <w:tcBorders>
              <w:top w:val="single" w:color="auto" w:sz="4" w:space="0"/>
              <w:left w:val="single" w:color="auto" w:sz="4" w:space="0"/>
              <w:bottom w:val="single" w:color="auto" w:sz="4" w:space="0"/>
              <w:right w:val="single" w:color="auto" w:sz="4" w:space="0"/>
            </w:tcBorders>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合同签订后</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日历天内交货</w:t>
            </w:r>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地点：台州学院椒江校区      </w:t>
            </w:r>
          </w:p>
        </w:tc>
      </w:tr>
    </w:tbl>
    <w:p>
      <w:pPr>
        <w:shd w:val="clea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、相关说明</w:t>
      </w:r>
    </w:p>
    <w:p>
      <w:pPr>
        <w:shd w:val="clea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kern w:val="0"/>
          <w:sz w:val="24"/>
          <w:szCs w:val="24"/>
          <w:highlight w:val="none"/>
        </w:rPr>
        <w:t>现场勘察：</w:t>
      </w:r>
      <w:r>
        <w:rPr>
          <w:rFonts w:hint="eastAsia" w:ascii="宋体" w:hAnsi="宋体" w:eastAsia="宋体" w:cs="宋体"/>
          <w:color w:val="auto"/>
          <w:sz w:val="24"/>
          <w:szCs w:val="24"/>
          <w:highlight w:val="none"/>
        </w:rPr>
        <w:t>无</w:t>
      </w:r>
    </w:p>
    <w:p>
      <w:pPr>
        <w:shd w:val="clea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▲所有设备均采用人民币报价。本项目的成交报价应包含</w:t>
      </w:r>
      <w:r>
        <w:rPr>
          <w:rFonts w:hint="eastAsia" w:ascii="宋体" w:hAnsi="宋体" w:eastAsia="宋体" w:cs="宋体"/>
          <w:color w:val="auto"/>
          <w:sz w:val="24"/>
          <w:szCs w:val="24"/>
          <w:highlight w:val="none"/>
        </w:rPr>
        <w:t>货款、标准附件、备品备件、专用工具、包装、运输、装卸、保险、税金、货到就位以及安装、调试、培训、保修等一切税金和费用。</w:t>
      </w:r>
    </w:p>
    <w:p>
      <w:pPr>
        <w:shd w:val="clear"/>
        <w:rPr>
          <w:rFonts w:ascii="黑体" w:hAnsi="黑体" w:eastAsia="黑体"/>
          <w:b/>
          <w:color w:val="auto"/>
          <w:sz w:val="44"/>
          <w:szCs w:val="44"/>
          <w:highlight w:val="none"/>
        </w:rPr>
      </w:pPr>
    </w:p>
    <w:p>
      <w:pPr>
        <w:shd w:val="clear"/>
        <w:rPr>
          <w:rFonts w:ascii="黑体" w:hAnsi="黑体" w:eastAsia="黑体"/>
          <w:b/>
          <w:color w:val="auto"/>
          <w:sz w:val="44"/>
          <w:szCs w:val="44"/>
          <w:highlight w:val="none"/>
        </w:rPr>
      </w:pPr>
      <w:r>
        <w:rPr>
          <w:rFonts w:hint="eastAsia" w:ascii="黑体" w:hAnsi="黑体" w:eastAsia="黑体"/>
          <w:b/>
          <w:color w:val="auto"/>
          <w:sz w:val="44"/>
          <w:szCs w:val="44"/>
          <w:highlight w:val="none"/>
        </w:rPr>
        <w:br w:type="page"/>
      </w:r>
    </w:p>
    <w:p>
      <w:pPr>
        <w:numPr>
          <w:ilvl w:val="0"/>
          <w:numId w:val="4"/>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81"/>
    </w:p>
    <w:p>
      <w:pPr>
        <w:widowControl/>
        <w:shd w:val="clear"/>
        <w:jc w:val="center"/>
        <w:rPr>
          <w:rFonts w:hint="eastAsia" w:asciiTheme="majorEastAsia" w:hAnsiTheme="majorEastAsia" w:eastAsiaTheme="majorEastAsia" w:cstheme="majorEastAsia"/>
          <w:color w:val="auto"/>
          <w:kern w:val="0"/>
          <w:sz w:val="36"/>
          <w:szCs w:val="36"/>
          <w:highlight w:val="none"/>
          <w:lang w:bidi="ar"/>
        </w:rPr>
      </w:pPr>
    </w:p>
    <w:p>
      <w:pPr>
        <w:shd w:val="clear"/>
        <w:jc w:val="center"/>
        <w:rPr>
          <w:rFonts w:hint="eastAsia" w:asciiTheme="majorEastAsia" w:hAnsiTheme="majorEastAsia" w:eastAsiaTheme="majorEastAsia" w:cstheme="majorEastAsia"/>
          <w:b/>
          <w:color w:val="auto"/>
          <w:kern w:val="0"/>
          <w:sz w:val="36"/>
          <w:szCs w:val="36"/>
          <w:highlight w:val="none"/>
        </w:rPr>
      </w:pPr>
      <w:r>
        <w:rPr>
          <w:rFonts w:hint="eastAsia" w:ascii="宋体" w:hAnsi="宋体" w:cs="宋体"/>
          <w:color w:val="auto"/>
          <w:kern w:val="0"/>
          <w:sz w:val="28"/>
          <w:highlight w:val="none"/>
          <w:lang w:eastAsia="zh-CN"/>
        </w:rPr>
        <w:t>台州学院“全省海岛绿色能源及新材料重点实验室”海水光电制氢和海岛光伏发电设备采购项目（二次）</w:t>
      </w:r>
    </w:p>
    <w:p>
      <w:pPr>
        <w:shd w:val="clear"/>
        <w:rPr>
          <w:rFonts w:hint="eastAsia" w:asciiTheme="majorEastAsia" w:hAnsiTheme="majorEastAsia" w:eastAsiaTheme="majorEastAsia" w:cstheme="majorEastAsia"/>
          <w:b/>
          <w:color w:val="auto"/>
          <w:kern w:val="0"/>
          <w:sz w:val="36"/>
          <w:szCs w:val="36"/>
          <w:highlight w:val="none"/>
        </w:rPr>
      </w:pPr>
    </w:p>
    <w:p>
      <w:pPr>
        <w:shd w:val="clear"/>
        <w:rPr>
          <w:rFonts w:hint="eastAsia" w:asciiTheme="majorEastAsia" w:hAnsiTheme="majorEastAsia" w:eastAsiaTheme="majorEastAsia" w:cstheme="majorEastAsia"/>
          <w:b/>
          <w:color w:val="auto"/>
          <w:kern w:val="0"/>
          <w:sz w:val="36"/>
          <w:szCs w:val="36"/>
          <w:highlight w:val="none"/>
        </w:rPr>
      </w:pPr>
    </w:p>
    <w:p>
      <w:pPr>
        <w:shd w:val="clear"/>
        <w:rPr>
          <w:rFonts w:hint="eastAsia" w:asciiTheme="majorEastAsia" w:hAnsiTheme="majorEastAsia" w:eastAsiaTheme="majorEastAsia" w:cstheme="majorEastAsia"/>
          <w:b/>
          <w:color w:val="auto"/>
          <w:kern w:val="0"/>
          <w:sz w:val="36"/>
          <w:szCs w:val="36"/>
          <w:highlight w:val="none"/>
        </w:rPr>
      </w:pPr>
    </w:p>
    <w:p>
      <w:pPr>
        <w:widowControl/>
        <w:shd w:val="clear"/>
        <w:jc w:val="center"/>
        <w:rPr>
          <w:rFonts w:hint="eastAsia" w:asciiTheme="majorEastAsia" w:hAnsiTheme="majorEastAsia" w:eastAsiaTheme="majorEastAsia" w:cstheme="majorEastAsia"/>
          <w:color w:val="auto"/>
          <w:kern w:val="0"/>
          <w:sz w:val="36"/>
          <w:szCs w:val="36"/>
          <w:highlight w:val="none"/>
          <w:lang w:bidi="ar"/>
        </w:rPr>
      </w:pPr>
      <w:r>
        <w:rPr>
          <w:rFonts w:hint="eastAsia" w:asciiTheme="majorEastAsia" w:hAnsiTheme="majorEastAsia" w:eastAsiaTheme="majorEastAsia" w:cstheme="majorEastAsia"/>
          <w:color w:val="auto"/>
          <w:kern w:val="0"/>
          <w:sz w:val="36"/>
          <w:szCs w:val="36"/>
          <w:highlight w:val="none"/>
          <w:lang w:bidi="ar"/>
        </w:rPr>
        <w:t>货物购买合同</w:t>
      </w:r>
    </w:p>
    <w:p>
      <w:pPr>
        <w:shd w:val="clear"/>
        <w:jc w:val="center"/>
        <w:rPr>
          <w:rFonts w:hint="eastAsia" w:asciiTheme="majorEastAsia" w:hAnsiTheme="majorEastAsia" w:eastAsiaTheme="majorEastAsia" w:cstheme="majorEastAsia"/>
          <w:b/>
          <w:color w:val="auto"/>
          <w:kern w:val="0"/>
          <w:sz w:val="36"/>
          <w:szCs w:val="36"/>
          <w:highlight w:val="none"/>
        </w:rPr>
      </w:pPr>
    </w:p>
    <w:p>
      <w:pPr>
        <w:shd w:val="clear"/>
        <w:rPr>
          <w:rFonts w:hint="eastAsia" w:asciiTheme="majorEastAsia" w:hAnsiTheme="majorEastAsia" w:eastAsiaTheme="majorEastAsia" w:cstheme="majorEastAsia"/>
          <w:b/>
          <w:color w:val="auto"/>
          <w:kern w:val="0"/>
          <w:sz w:val="36"/>
          <w:szCs w:val="36"/>
          <w:highlight w:val="none"/>
        </w:rPr>
      </w:pPr>
    </w:p>
    <w:p>
      <w:pPr>
        <w:shd w:val="clear"/>
        <w:rPr>
          <w:rFonts w:hint="eastAsia" w:asciiTheme="majorEastAsia" w:hAnsiTheme="majorEastAsia" w:eastAsiaTheme="majorEastAsia" w:cstheme="majorEastAsia"/>
          <w:b/>
          <w:color w:val="auto"/>
          <w:kern w:val="0"/>
          <w:sz w:val="36"/>
          <w:szCs w:val="36"/>
          <w:highlight w:val="none"/>
        </w:rPr>
      </w:pPr>
    </w:p>
    <w:p>
      <w:pPr>
        <w:shd w:val="clear"/>
        <w:rPr>
          <w:rFonts w:hint="eastAsia" w:asciiTheme="majorEastAsia" w:hAnsiTheme="majorEastAsia" w:eastAsiaTheme="majorEastAsia" w:cstheme="majorEastAsia"/>
          <w:b/>
          <w:color w:val="auto"/>
          <w:kern w:val="0"/>
          <w:sz w:val="36"/>
          <w:szCs w:val="36"/>
          <w:highlight w:val="none"/>
        </w:rPr>
      </w:pPr>
    </w:p>
    <w:p>
      <w:pPr>
        <w:shd w:val="clear"/>
        <w:rPr>
          <w:rFonts w:hint="eastAsia" w:asciiTheme="majorEastAsia" w:hAnsiTheme="majorEastAsia" w:eastAsiaTheme="majorEastAsia" w:cstheme="majorEastAsia"/>
          <w:b/>
          <w:color w:val="auto"/>
          <w:kern w:val="0"/>
          <w:sz w:val="36"/>
          <w:szCs w:val="36"/>
          <w:highlight w:val="none"/>
        </w:rPr>
      </w:pPr>
    </w:p>
    <w:p>
      <w:pPr>
        <w:shd w:val="clear"/>
        <w:rPr>
          <w:rFonts w:hint="eastAsia" w:asciiTheme="majorEastAsia" w:hAnsiTheme="majorEastAsia" w:eastAsiaTheme="majorEastAsia" w:cstheme="majorEastAsia"/>
          <w:b/>
          <w:color w:val="auto"/>
          <w:kern w:val="0"/>
          <w:sz w:val="36"/>
          <w:szCs w:val="36"/>
          <w:highlight w:val="none"/>
        </w:rPr>
      </w:pPr>
    </w:p>
    <w:p>
      <w:pPr>
        <w:widowControl/>
        <w:shd w:val="clear"/>
        <w:ind w:firstLine="720" w:firstLineChars="200"/>
        <w:jc w:val="left"/>
        <w:rPr>
          <w:rFonts w:hint="eastAsia" w:asciiTheme="majorEastAsia" w:hAnsiTheme="majorEastAsia" w:eastAsiaTheme="majorEastAsia" w:cstheme="majorEastAsia"/>
          <w:color w:val="auto"/>
          <w:sz w:val="36"/>
          <w:szCs w:val="36"/>
          <w:highlight w:val="none"/>
        </w:rPr>
      </w:pPr>
      <w:bookmarkStart w:id="84" w:name="_Hlk136260485"/>
      <w:r>
        <w:rPr>
          <w:rFonts w:hint="eastAsia" w:asciiTheme="majorEastAsia" w:hAnsiTheme="majorEastAsia" w:eastAsiaTheme="majorEastAsia" w:cstheme="majorEastAsia"/>
          <w:color w:val="auto"/>
          <w:kern w:val="0"/>
          <w:sz w:val="36"/>
          <w:szCs w:val="36"/>
          <w:highlight w:val="none"/>
          <w:lang w:bidi="ar"/>
        </w:rPr>
        <w:t>甲方（采购人）：</w:t>
      </w:r>
      <w:r>
        <w:rPr>
          <w:rFonts w:hint="eastAsia" w:asciiTheme="majorEastAsia" w:hAnsiTheme="majorEastAsia" w:eastAsiaTheme="majorEastAsia" w:cstheme="majorEastAsia"/>
          <w:color w:val="auto"/>
          <w:kern w:val="0"/>
          <w:sz w:val="36"/>
          <w:szCs w:val="36"/>
          <w:highlight w:val="none"/>
          <w:u w:val="single"/>
          <w:lang w:bidi="ar"/>
        </w:rPr>
        <w:t xml:space="preserve">         台州学院       </w:t>
      </w:r>
      <w:r>
        <w:rPr>
          <w:rFonts w:hint="eastAsia" w:asciiTheme="majorEastAsia" w:hAnsiTheme="majorEastAsia" w:eastAsiaTheme="majorEastAsia" w:cstheme="majorEastAsia"/>
          <w:color w:val="auto"/>
          <w:kern w:val="0"/>
          <w:sz w:val="36"/>
          <w:szCs w:val="36"/>
          <w:highlight w:val="none"/>
          <w:lang w:bidi="ar"/>
        </w:rPr>
        <w:t xml:space="preserve"> </w:t>
      </w:r>
    </w:p>
    <w:p>
      <w:pPr>
        <w:widowControl/>
        <w:shd w:val="clear"/>
        <w:ind w:firstLine="720" w:firstLineChars="200"/>
        <w:jc w:val="left"/>
        <w:rPr>
          <w:rFonts w:hint="eastAsia" w:asciiTheme="majorEastAsia" w:hAnsiTheme="majorEastAsia" w:eastAsiaTheme="majorEastAsia" w:cstheme="majorEastAsia"/>
          <w:color w:val="auto"/>
          <w:kern w:val="0"/>
          <w:sz w:val="36"/>
          <w:szCs w:val="36"/>
          <w:highlight w:val="none"/>
          <w:u w:val="single"/>
          <w:lang w:bidi="ar"/>
        </w:rPr>
      </w:pPr>
      <w:r>
        <w:rPr>
          <w:rFonts w:hint="eastAsia" w:asciiTheme="majorEastAsia" w:hAnsiTheme="majorEastAsia" w:eastAsiaTheme="majorEastAsia" w:cstheme="majorEastAsia"/>
          <w:color w:val="auto"/>
          <w:kern w:val="0"/>
          <w:sz w:val="36"/>
          <w:szCs w:val="36"/>
          <w:highlight w:val="none"/>
          <w:lang w:bidi="ar"/>
        </w:rPr>
        <w:t>乙方（中标供应商）：</w:t>
      </w:r>
      <w:r>
        <w:rPr>
          <w:rFonts w:hint="eastAsia" w:asciiTheme="majorEastAsia" w:hAnsiTheme="majorEastAsia" w:eastAsiaTheme="majorEastAsia" w:cstheme="majorEastAsia"/>
          <w:color w:val="auto"/>
          <w:kern w:val="0"/>
          <w:sz w:val="36"/>
          <w:szCs w:val="36"/>
          <w:highlight w:val="none"/>
          <w:u w:val="single"/>
          <w:lang w:bidi="ar"/>
        </w:rPr>
        <w:t xml:space="preserve">              </w:t>
      </w:r>
    </w:p>
    <w:p>
      <w:pPr>
        <w:widowControl/>
        <w:shd w:val="clear"/>
        <w:ind w:firstLine="720" w:firstLineChars="200"/>
        <w:jc w:val="left"/>
        <w:rPr>
          <w:rFonts w:hint="eastAsia" w:asciiTheme="majorEastAsia" w:hAnsiTheme="majorEastAsia" w:eastAsiaTheme="majorEastAsia" w:cstheme="majorEastAsia"/>
          <w:color w:val="auto"/>
          <w:kern w:val="0"/>
          <w:sz w:val="36"/>
          <w:szCs w:val="36"/>
          <w:highlight w:val="none"/>
          <w:u w:val="single"/>
          <w:lang w:bidi="ar"/>
        </w:rPr>
      </w:pPr>
    </w:p>
    <w:p>
      <w:pPr>
        <w:widowControl/>
        <w:shd w:val="clear"/>
        <w:ind w:firstLine="720" w:firstLineChars="200"/>
        <w:jc w:val="center"/>
        <w:rPr>
          <w:rFonts w:hint="eastAsia" w:asciiTheme="majorEastAsia" w:hAnsiTheme="majorEastAsia" w:eastAsiaTheme="majorEastAsia" w:cstheme="majorEastAsia"/>
          <w:color w:val="auto"/>
          <w:kern w:val="0"/>
          <w:sz w:val="36"/>
          <w:szCs w:val="36"/>
          <w:highlight w:val="none"/>
        </w:rPr>
        <w:sectPr>
          <w:footerReference r:id="rId6" w:type="default"/>
          <w:pgSz w:w="11906" w:h="16838"/>
          <w:pgMar w:top="1701" w:right="1474" w:bottom="1474" w:left="1588" w:header="851" w:footer="992" w:gutter="0"/>
          <w:pgNumType w:fmt="decimal" w:chapStyle="2"/>
          <w:cols w:space="720" w:num="1"/>
          <w:titlePg/>
          <w:docGrid w:type="lines" w:linePitch="312" w:charSpace="0"/>
        </w:sectPr>
      </w:pPr>
      <w:r>
        <w:rPr>
          <w:rFonts w:hint="eastAsia" w:asciiTheme="majorEastAsia" w:hAnsiTheme="majorEastAsia" w:eastAsiaTheme="majorEastAsia" w:cstheme="majorEastAsia"/>
          <w:color w:val="auto"/>
          <w:kern w:val="0"/>
          <w:sz w:val="36"/>
          <w:szCs w:val="36"/>
          <w:highlight w:val="none"/>
        </w:rPr>
        <w:t>202</w:t>
      </w:r>
      <w:r>
        <w:rPr>
          <w:rFonts w:hint="eastAsia" w:asciiTheme="majorEastAsia" w:hAnsiTheme="majorEastAsia" w:eastAsiaTheme="majorEastAsia" w:cstheme="majorEastAsia"/>
          <w:color w:val="auto"/>
          <w:kern w:val="0"/>
          <w:sz w:val="36"/>
          <w:szCs w:val="36"/>
          <w:highlight w:val="none"/>
          <w:lang w:val="en-US" w:eastAsia="zh-CN"/>
        </w:rPr>
        <w:t>4</w:t>
      </w:r>
      <w:r>
        <w:rPr>
          <w:rFonts w:hint="eastAsia" w:asciiTheme="majorEastAsia" w:hAnsiTheme="majorEastAsia" w:eastAsiaTheme="majorEastAsia" w:cstheme="majorEastAsia"/>
          <w:color w:val="auto"/>
          <w:kern w:val="0"/>
          <w:sz w:val="36"/>
          <w:szCs w:val="36"/>
          <w:highlight w:val="none"/>
        </w:rPr>
        <w:t>年</w:t>
      </w:r>
      <w:bookmarkEnd w:id="84"/>
      <w:r>
        <w:rPr>
          <w:rFonts w:hint="eastAsia" w:asciiTheme="majorEastAsia" w:hAnsiTheme="majorEastAsia" w:eastAsiaTheme="majorEastAsia" w:cstheme="majorEastAsia"/>
          <w:color w:val="auto"/>
          <w:kern w:val="0"/>
          <w:sz w:val="36"/>
          <w:szCs w:val="36"/>
          <w:highlight w:val="none"/>
          <w:lang w:val="en-US" w:eastAsia="zh-CN" w:bidi="ar"/>
        </w:rPr>
        <w:t xml:space="preserve"> </w:t>
      </w:r>
      <w:r>
        <w:rPr>
          <w:rFonts w:hint="eastAsia" w:asciiTheme="majorEastAsia" w:hAnsiTheme="majorEastAsia" w:eastAsiaTheme="majorEastAsia" w:cstheme="majorEastAsia"/>
          <w:color w:val="auto"/>
          <w:kern w:val="0"/>
          <w:sz w:val="36"/>
          <w:szCs w:val="36"/>
          <w:highlight w:val="none"/>
        </w:rPr>
        <w:t>月</w:t>
      </w:r>
    </w:p>
    <w:p>
      <w:pPr>
        <w:widowControl/>
        <w:shd w:val="clear"/>
        <w:spacing w:line="360" w:lineRule="auto"/>
        <w:rPr>
          <w:rFonts w:hint="eastAsia" w:ascii="宋体" w:hAnsi="宋体" w:eastAsia="宋体" w:cs="宋体"/>
          <w:bCs/>
          <w:color w:val="auto"/>
          <w:kern w:val="0"/>
          <w:sz w:val="24"/>
          <w:szCs w:val="24"/>
          <w:highlight w:val="none"/>
        </w:rPr>
      </w:pPr>
      <w:bookmarkStart w:id="85" w:name="_Toc1462963273"/>
      <w:r>
        <w:rPr>
          <w:rFonts w:hint="eastAsia" w:ascii="宋体" w:hAnsi="宋体" w:eastAsia="宋体" w:cs="宋体"/>
          <w:bCs/>
          <w:color w:val="auto"/>
          <w:kern w:val="0"/>
          <w:sz w:val="24"/>
          <w:szCs w:val="24"/>
          <w:highlight w:val="none"/>
        </w:rPr>
        <w:t>项目名称：</w:t>
      </w:r>
      <w:r>
        <w:rPr>
          <w:rFonts w:hint="eastAsia" w:ascii="宋体" w:hAnsi="宋体" w:cs="宋体"/>
          <w:bCs/>
          <w:color w:val="auto"/>
          <w:kern w:val="0"/>
          <w:sz w:val="24"/>
          <w:szCs w:val="24"/>
          <w:highlight w:val="none"/>
          <w:lang w:eastAsia="zh-CN"/>
        </w:rPr>
        <w:t>台州学院“全省海岛绿色能源及新材料重点实验室”海水光电制氢和海岛光伏发电设备采购项目（二次）</w:t>
      </w:r>
    </w:p>
    <w:p>
      <w:pPr>
        <w:shd w:val="clea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项目编号：</w:t>
      </w:r>
      <w:r>
        <w:rPr>
          <w:rFonts w:hint="eastAsia" w:ascii="宋体" w:hAnsi="宋体" w:cs="宋体"/>
          <w:bCs/>
          <w:color w:val="auto"/>
          <w:kern w:val="0"/>
          <w:sz w:val="24"/>
          <w:szCs w:val="24"/>
          <w:highlight w:val="none"/>
          <w:lang w:eastAsia="zh-CN"/>
        </w:rPr>
        <w:t>ZJWS2024-JJ116-1</w:t>
      </w:r>
    </w:p>
    <w:p>
      <w:pPr>
        <w:shd w:val="clea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标段信息：*****</w:t>
      </w:r>
    </w:p>
    <w:p>
      <w:pPr>
        <w:shd w:val="clea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甲方</w:t>
      </w:r>
      <w:r>
        <w:rPr>
          <w:rFonts w:hint="eastAsia" w:ascii="宋体" w:hAnsi="宋体" w:eastAsia="宋体" w:cs="宋体"/>
          <w:bCs/>
          <w:color w:val="auto"/>
          <w:kern w:val="0"/>
          <w:sz w:val="24"/>
          <w:szCs w:val="24"/>
          <w:highlight w:val="none"/>
        </w:rPr>
        <w:t>：（采购人）台州学院</w:t>
      </w:r>
    </w:p>
    <w:p>
      <w:pPr>
        <w:shd w:val="clea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所在地</w:t>
      </w:r>
      <w:r>
        <w:rPr>
          <w:rFonts w:hint="eastAsia" w:ascii="宋体" w:hAnsi="宋体" w:eastAsia="宋体" w:cs="宋体"/>
          <w:bCs/>
          <w:color w:val="auto"/>
          <w:kern w:val="0"/>
          <w:sz w:val="24"/>
          <w:szCs w:val="24"/>
          <w:highlight w:val="none"/>
        </w:rPr>
        <w:t>：浙江台州</w:t>
      </w:r>
    </w:p>
    <w:p>
      <w:pPr>
        <w:shd w:val="clea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乙方：（中标供应商）</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p>
      <w:pPr>
        <w:shd w:val="clear"/>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所在地：</w:t>
      </w:r>
      <w:r>
        <w:rPr>
          <w:rFonts w:hint="eastAsia" w:ascii="宋体" w:hAnsi="宋体" w:eastAsia="宋体" w:cs="宋体"/>
          <w:bCs/>
          <w:color w:val="auto"/>
          <w:kern w:val="0"/>
          <w:sz w:val="24"/>
          <w:szCs w:val="24"/>
          <w:highlight w:val="none"/>
          <w:lang w:val="en-US" w:eastAsia="zh-CN"/>
        </w:rPr>
        <w:t xml:space="preserve"> </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甲、乙双方根据台州学院关于</w:t>
      </w:r>
      <w:r>
        <w:rPr>
          <w:rFonts w:hint="eastAsia" w:ascii="宋体" w:hAnsi="宋体" w:cs="宋体"/>
          <w:color w:val="auto"/>
          <w:kern w:val="0"/>
          <w:sz w:val="24"/>
          <w:szCs w:val="24"/>
          <w:highlight w:val="none"/>
          <w:lang w:eastAsia="zh-CN"/>
        </w:rPr>
        <w:t>台州学院“全省海岛绿色能源及新材料重点实验室”海水光电制氢和海岛光伏发电设备采购项目（二次）</w:t>
      </w:r>
      <w:r>
        <w:rPr>
          <w:rFonts w:hint="eastAsia" w:ascii="宋体" w:hAnsi="宋体" w:eastAsia="宋体" w:cs="宋体"/>
          <w:color w:val="auto"/>
          <w:kern w:val="0"/>
          <w:sz w:val="24"/>
          <w:szCs w:val="24"/>
          <w:highlight w:val="none"/>
        </w:rPr>
        <w:t>公开招标的结果，签署本合同。</w:t>
      </w:r>
    </w:p>
    <w:p>
      <w:pPr>
        <w:pStyle w:val="20"/>
        <w:shd w:val="clear"/>
        <w:spacing w:before="0" w:after="0" w:line="360" w:lineRule="auto"/>
        <w:ind w:firstLine="480" w:firstLineChars="200"/>
        <w:jc w:val="left"/>
        <w:rPr>
          <w:rFonts w:hint="eastAsia" w:ascii="宋体" w:hAnsi="宋体" w:eastAsia="宋体" w:cs="宋体"/>
          <w:strike/>
          <w:color w:val="auto"/>
          <w:kern w:val="0"/>
          <w:sz w:val="24"/>
          <w:szCs w:val="24"/>
          <w:highlight w:val="none"/>
        </w:rPr>
      </w:pPr>
      <w:r>
        <w:rPr>
          <w:rStyle w:val="54"/>
          <w:rFonts w:hint="eastAsia" w:ascii="宋体" w:hAnsi="宋体" w:eastAsia="宋体" w:cs="宋体"/>
          <w:b w:val="0"/>
          <w:bCs w:val="0"/>
          <w:color w:val="auto"/>
          <w:sz w:val="24"/>
          <w:szCs w:val="24"/>
          <w:highlight w:val="none"/>
        </w:rPr>
        <w:t>一、货物内容及合同价格</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pPr>
              <w:shd w:val="clear"/>
              <w:tabs>
                <w:tab w:val="left" w:pos="180"/>
              </w:tabs>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885" w:type="dxa"/>
            <w:noWrap w:val="0"/>
            <w:vAlign w:val="center"/>
          </w:tcPr>
          <w:p>
            <w:pPr>
              <w:shd w:val="clear"/>
              <w:tabs>
                <w:tab w:val="left" w:pos="180"/>
              </w:tabs>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货物名称</w:t>
            </w:r>
          </w:p>
        </w:tc>
        <w:tc>
          <w:tcPr>
            <w:tcW w:w="1623" w:type="dxa"/>
            <w:noWrap w:val="0"/>
            <w:vAlign w:val="center"/>
          </w:tcPr>
          <w:p>
            <w:pPr>
              <w:shd w:val="clear"/>
              <w:tabs>
                <w:tab w:val="left" w:pos="180"/>
              </w:tabs>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品牌、产地</w:t>
            </w:r>
          </w:p>
        </w:tc>
        <w:tc>
          <w:tcPr>
            <w:tcW w:w="1921" w:type="dxa"/>
            <w:noWrap w:val="0"/>
            <w:vAlign w:val="center"/>
          </w:tcPr>
          <w:p>
            <w:pPr>
              <w:shd w:val="clear"/>
              <w:tabs>
                <w:tab w:val="left" w:pos="180"/>
              </w:tabs>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型号规格</w:t>
            </w:r>
          </w:p>
        </w:tc>
        <w:tc>
          <w:tcPr>
            <w:tcW w:w="850" w:type="dxa"/>
            <w:noWrap w:val="0"/>
            <w:vAlign w:val="center"/>
          </w:tcPr>
          <w:p>
            <w:pPr>
              <w:shd w:val="clear"/>
              <w:tabs>
                <w:tab w:val="left" w:pos="180"/>
              </w:tabs>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数量</w:t>
            </w:r>
          </w:p>
        </w:tc>
        <w:tc>
          <w:tcPr>
            <w:tcW w:w="1134" w:type="dxa"/>
            <w:noWrap w:val="0"/>
            <w:vAlign w:val="center"/>
          </w:tcPr>
          <w:p>
            <w:pPr>
              <w:shd w:val="clear"/>
              <w:snapToGri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单价（元）</w:t>
            </w:r>
          </w:p>
        </w:tc>
        <w:tc>
          <w:tcPr>
            <w:tcW w:w="1134" w:type="dxa"/>
            <w:noWrap w:val="0"/>
            <w:vAlign w:val="center"/>
          </w:tcPr>
          <w:p>
            <w:pPr>
              <w:shd w:val="clear"/>
              <w:snapToGri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885"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623"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921"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850"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134"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134" w:type="dxa"/>
            <w:tcBorders>
              <w:bottom w:val="single" w:color="auto" w:sz="4" w:space="0"/>
            </w:tcBorders>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885"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623"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921"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850"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134"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c>
          <w:tcPr>
            <w:tcW w:w="1134" w:type="dxa"/>
            <w:tcBorders>
              <w:bottom w:val="single" w:color="auto" w:sz="4" w:space="0"/>
            </w:tcBorders>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pPr>
              <w:shd w:val="clear"/>
              <w:tabs>
                <w:tab w:val="left" w:pos="180"/>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134" w:type="dxa"/>
            <w:noWrap w:val="0"/>
            <w:vAlign w:val="center"/>
          </w:tcPr>
          <w:p>
            <w:pPr>
              <w:shd w:val="clear"/>
              <w:tabs>
                <w:tab w:val="left" w:pos="180"/>
              </w:tabs>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pPr>
              <w:shd w:val="clear"/>
              <w:tabs>
                <w:tab w:val="left" w:pos="180"/>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合同总价（人民币大写）： </w:t>
            </w:r>
          </w:p>
        </w:tc>
      </w:tr>
    </w:tbl>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注：1.以上货物内容不清楚的详见招标文件或附件清单。</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2.以上合同总价包含货物送达用户并能正常使用所需的一切费用。</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二、技术资料</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1.乙方应按招标文件规定的时间向甲方提供使用货物的有关技术资料。</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三、知识产权</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四、产权担保</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乙方保证所交付的货物的所有权完全属于乙方且无任何抵押、查封等权利瑕疵，否则由乙方承担全部责任。</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五、转包或分包</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1.本合同范围的货物，应由乙方直接供应，不得转让他人供应；</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2.除非得到甲方的书面同意，乙方不得将本合同范围的货物全部或部分分包给他人供应；</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3.如有转让和未经甲方同意的分包行为，甲方有权解除合同，并追究乙方的违约责任。</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六、质保期</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年。</w:t>
      </w:r>
    </w:p>
    <w:p>
      <w:pPr>
        <w:pStyle w:val="20"/>
        <w:shd w:val="clear"/>
        <w:spacing w:before="0"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七、交货时间、交货方式及交货地点</w:t>
      </w:r>
    </w:p>
    <w:p>
      <w:pPr>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1.交货时间：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交货；</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，运费、装卸费由乙方负责；</w:t>
      </w:r>
    </w:p>
    <w:p>
      <w:pPr>
        <w:shd w:val="clea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3.交货地点：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八、货款支付</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否则甲方有权拒绝付款，不视为违约。</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2.当采购数量与实际使用数量不一致时，乙方应根据实际使用量供货，合同的最终结算金额按实际使用量乘以成交单价进行计算。</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3.因进口货物无法办理免税手续的，甲方可以解除该货物的采购合同，并应当及时通知乙方，因此造成的损失由乙方承担。</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九、税费</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十、质量保证及售后服务</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1.乙方应按招标文件规定的货物性能、技术要求、质量标准向甲方提供未经使用的全新原装正品。</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2.乙方提供的货物在质保期内非因人为原因发生故障，乙方应负责免费更换。对达不到技术要求者，根据实际情况，经双方协商，可按以下办法处理：</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⑴更换：由乙方承担所发生的全部费用。</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⑵贬值处理：由甲乙双方合议定价。</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⑶退货处理：乙方应退还甲方支付的合同款，同时应承担该货物的直接费用（运输、保险、检验、货款利息及银行手续费等）。</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上述三种方式如协商不成，甲方有权直接自行选择上述三项处理方式任一项进行处理，乙方不得异议。</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3.质保期内如在使用过程中发生质量问题，乙方在接到甲方通知后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小时内给与答复，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小时内作出响应，</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个工作日内到达甲方现场维修，一般故障应在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小时内修复，重大故障应在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5.乙方终身免费提供应用咨询及技术帮助，质保期内，易损件和外购件根据原厂家质保期和国家质保标准保修，因人为因素出现的故障酌情收取材料费；质保期外实行有偿服务。</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十一、调试和验收</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1.甲方对乙方提交的货物依据招标文件上的技术规格要求和国家有关质量标准进行现场初步验收，外观、说明书符合招标文件技术要求的，给予签收，初步验收不合格的不予签收。</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2.乙方交货前应对产品做出全面检查和对验收文件进行整理，并列出清单，作为甲方收货验收和使用的技术条件依据，检验的结果应随货物交甲方。</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3.乙方对安装仪器的实验室工作条件应提出具体要求，并在安装前予以确认。</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4.货物到达甲方指定交货地点后，根据甲方的时间安排，乙方在接到甲方通知后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5.对技术复杂的货物，甲方可请国家认可的专业检测机构参与初步验收及最终验收，并由其出具质量检测报告。</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6.验收时乙方必须在现场，验收完毕后作出验收结果报告；验收费用由乙方负责。如乙方拒不到场，视为其同意甲方之验收结果并不得异议。</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7.因乙方人员在合同履行过程中造成甲方或其自身人身或财产损害，由乙方承担全部责任。</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十二、货物包装、发运及运输</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1.乙方应在货物发运前对其进行满足运输距离、防潮、防震、防锈和防破损装卸等要求包装，以保证货物安全运达甲方指定地点。</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2.使用说明书、质量检验证明书、随配附件和工具以及清单一并附于货物内。</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3.乙方在货物发运手续办理完毕后24小时内或货到甲方48</w:t>
      </w:r>
      <w:r>
        <w:rPr>
          <w:rFonts w:hint="eastAsia" w:ascii="宋体" w:hAnsi="宋体" w:eastAsia="宋体" w:cs="宋体"/>
          <w:color w:val="auto"/>
          <w:sz w:val="24"/>
          <w:szCs w:val="24"/>
          <w:highlight w:val="none"/>
        </w:rPr>
        <w:t>小时前通知甲方</w:t>
      </w:r>
      <w:r>
        <w:rPr>
          <w:rFonts w:hint="eastAsia" w:ascii="宋体" w:hAnsi="宋体" w:eastAsia="宋体" w:cs="宋体"/>
          <w:color w:val="auto"/>
          <w:kern w:val="0"/>
          <w:sz w:val="24"/>
          <w:szCs w:val="24"/>
          <w:highlight w:val="none"/>
        </w:rPr>
        <w:t>，以准备接货。</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4.货物在交付甲方前发生的风险均由乙方负责。</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5.货物在约定的交付期限内由乙方送达甲方指定的地点，乙方同时需通知甲方货物已送达，并与甲方工作人员办理交接手续，否则视为未交付。</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十三、违约责任</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1.甲方无正当理由拒收货物的，甲方向乙方偿付拒收货款总值的百分之五违约金。</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2.甲方无故逾期验收和办理货款支付手续的,甲方应按逾期付款总额每日万分之五向乙方支付违约金。</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逾期交付货物的，乙方应按逾期交货总额每日千分之六向甲方支付违约金，甲方可直接从待付货款中扣除。乙方逾期超过约定日期10个工作日不能交货的或有其他违约行为的，甲方有权解除合同，预付款返还甲方，并且乙方应向甲方支付合同总价20%的违约金，如造成甲方损失超过违约金的，超出部分由乙方继续承担赔偿责任。</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5.若发生纠纷，由违约方赔偿守约方因纠纷所支付的费用（包括但不限于律师费、差旅费、诉讼费、保全费、鉴定费、评估费等）。</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十四、不可抗力</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1.在合同有效期内，任何一方因不可抗力事件导致不能履行合同，则合同履行期可延长，其延长期与不可抗力影响期相同。</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2.不可抗力事件发生后，应立即通知对方，并寄送有关权威机构出具的证明。</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3.不可抗力事件延续60天以上，双方应通过友好协商，确定是否继续履行合同。</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十五、解决合同纠纷方式</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双方在执行合同中所发生的一切争议，应通过协商解决。如协商不成，依法向甲方所在地人民法院提起诉讼。</w:t>
      </w:r>
    </w:p>
    <w:p>
      <w:pPr>
        <w:pStyle w:val="20"/>
        <w:shd w:val="clear"/>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十六、合同生效及其它</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1.合同经双方法定代表人或授权代表签字并加盖单位公章后生效。</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2.本合同未尽事宜，遵照《民法典》及有关规定执行。</w:t>
      </w:r>
    </w:p>
    <w:p>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3.本合同一式柒份，甲方执伍份、乙方执贰份。本项目未尽事宜以招标文件、投标文件及澄清文件等为准。</w:t>
      </w:r>
    </w:p>
    <w:p>
      <w:pPr>
        <w:widowControl/>
        <w:shd w:val="clear"/>
        <w:spacing w:line="360" w:lineRule="auto"/>
        <w:ind w:firstLine="482" w:firstLineChars="200"/>
        <w:rPr>
          <w:rFonts w:hint="eastAsia" w:ascii="宋体" w:hAnsi="宋体" w:eastAsia="宋体" w:cs="宋体"/>
          <w:b/>
          <w:color w:val="auto"/>
          <w:sz w:val="24"/>
          <w:szCs w:val="24"/>
          <w:highlight w:val="none"/>
        </w:rPr>
      </w:pPr>
    </w:p>
    <w:p>
      <w:pPr>
        <w:widowControl/>
        <w:shd w:val="clear"/>
        <w:spacing w:line="360" w:lineRule="auto"/>
        <w:ind w:firstLine="482" w:firstLineChars="200"/>
        <w:rPr>
          <w:rFonts w:hint="eastAsia" w:ascii="宋体" w:hAnsi="宋体" w:eastAsia="宋体" w:cs="宋体"/>
          <w:b/>
          <w:color w:val="auto"/>
          <w:sz w:val="24"/>
          <w:szCs w:val="24"/>
          <w:highlight w:val="none"/>
        </w:rPr>
      </w:pPr>
    </w:p>
    <w:p>
      <w:pPr>
        <w:shd w:val="clear"/>
        <w:spacing w:line="360" w:lineRule="auto"/>
        <w:ind w:left="5880" w:hanging="5880" w:hanging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甲方（公章）台州学院                  乙方（公章）</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联系电话：0576-88660896               联系电话：</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开户银行：建行台州市分行              开户银行：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0"/>
          <w:sz w:val="24"/>
          <w:szCs w:val="24"/>
          <w:highlight w:val="none"/>
        </w:rPr>
        <w:t>33050166350000000852</w:t>
      </w:r>
      <w:r>
        <w:rPr>
          <w:rFonts w:hint="eastAsia" w:ascii="宋体" w:hAnsi="宋体" w:eastAsia="宋体" w:cs="宋体"/>
          <w:color w:val="auto"/>
          <w:sz w:val="24"/>
          <w:szCs w:val="24"/>
          <w:highlight w:val="none"/>
        </w:rPr>
        <w:t xml:space="preserve">            账号：</w:t>
      </w:r>
    </w:p>
    <w:p>
      <w:pPr>
        <w:shd w:val="clear"/>
        <w:spacing w:line="360" w:lineRule="auto"/>
        <w:ind w:left="3800" w:hanging="3800" w:hangingChars="1900"/>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地址：</w:t>
      </w:r>
      <w:r>
        <w:rPr>
          <w:rFonts w:hint="eastAsia" w:ascii="宋体" w:hAnsi="宋体" w:eastAsia="宋体" w:cs="宋体"/>
          <w:color w:val="auto"/>
          <w:sz w:val="24"/>
          <w:szCs w:val="24"/>
          <w:highlight w:val="none"/>
        </w:rPr>
        <w:t xml:space="preserve">台州市椒江区市府大道1139号      </w:t>
      </w:r>
      <w:r>
        <w:rPr>
          <w:rFonts w:hint="eastAsia" w:ascii="宋体" w:hAnsi="宋体" w:eastAsia="宋体" w:cs="宋体"/>
          <w:color w:val="auto"/>
          <w:spacing w:val="-20"/>
          <w:sz w:val="24"/>
          <w:szCs w:val="24"/>
          <w:highlight w:val="none"/>
        </w:rPr>
        <w:t>地址：</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hd w:val="clear"/>
        <w:spacing w:line="360" w:lineRule="auto"/>
        <w:ind w:firstLine="480" w:firstLineChars="200"/>
        <w:rPr>
          <w:rFonts w:hint="eastAsia" w:ascii="宋体" w:hAnsi="宋体" w:eastAsia="宋体" w:cs="宋体"/>
          <w:color w:val="auto"/>
          <w:sz w:val="24"/>
          <w:szCs w:val="24"/>
          <w:highlight w:val="none"/>
        </w:rPr>
      </w:pPr>
    </w:p>
    <w:p>
      <w:pPr>
        <w:shd w:val="clear"/>
        <w:spacing w:line="360" w:lineRule="auto"/>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签订时间： 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    月    日</w:t>
      </w:r>
    </w:p>
    <w:p>
      <w:pPr>
        <w:shd w:val="clea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bookmarkEnd w:id="82"/>
      <w:bookmarkEnd w:id="83"/>
      <w:bookmarkEnd w:id="85"/>
    </w:p>
    <w:p>
      <w:pPr>
        <w:shd w:val="clear"/>
        <w:outlineLvl w:val="0"/>
        <w:rPr>
          <w:rFonts w:ascii="宋体" w:hAnsi="宋体" w:cs="宋体"/>
          <w:b/>
          <w:color w:val="auto"/>
          <w:kern w:val="0"/>
          <w:sz w:val="28"/>
          <w:szCs w:val="28"/>
          <w:highlight w:val="none"/>
        </w:rPr>
      </w:pPr>
      <w:bookmarkStart w:id="86" w:name="_Toc12913"/>
      <w:bookmarkStart w:id="87" w:name="_Toc1483454808"/>
      <w:bookmarkStart w:id="88" w:name="_Toc30432"/>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86"/>
      <w:bookmarkEnd w:id="87"/>
      <w:bookmarkEnd w:id="88"/>
    </w:p>
    <w:p>
      <w:pPr>
        <w:shd w:val="clear"/>
        <w:spacing w:line="360" w:lineRule="auto"/>
        <w:rPr>
          <w:rFonts w:ascii="宋体" w:hAnsi="宋体" w:cs="宋体"/>
          <w:b/>
          <w:color w:val="auto"/>
          <w:sz w:val="30"/>
          <w:szCs w:val="30"/>
          <w:highlight w:val="none"/>
        </w:rPr>
      </w:pPr>
    </w:p>
    <w:p>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ascii="宋体" w:hAnsi="宋体" w:cs="宋体"/>
          <w:color w:val="auto"/>
          <w:sz w:val="36"/>
          <w:szCs w:val="36"/>
          <w:highlight w:val="none"/>
        </w:rPr>
      </w:pPr>
    </w:p>
    <w:p>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pPr>
        <w:shd w:val="clear"/>
        <w:autoSpaceDE w:val="0"/>
        <w:autoSpaceDN w:val="0"/>
        <w:adjustRightInd w:val="0"/>
        <w:spacing w:line="360" w:lineRule="auto"/>
        <w:rPr>
          <w:rFonts w:ascii="宋体" w:hAnsi="宋体" w:cs="宋体"/>
          <w:color w:val="auto"/>
          <w:sz w:val="36"/>
          <w:szCs w:val="36"/>
          <w:highlight w:val="none"/>
        </w:rPr>
      </w:pP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pPr>
        <w:pStyle w:val="2"/>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p>
    <w:p>
      <w:pPr>
        <w:shd w:val="clear"/>
        <w:ind w:firstLine="560" w:firstLineChars="200"/>
        <w:rPr>
          <w:rFonts w:ascii="宋体" w:hAnsi="宋体" w:cs="宋体"/>
          <w:color w:val="auto"/>
          <w:sz w:val="28"/>
          <w:szCs w:val="36"/>
          <w:highlight w:val="none"/>
        </w:rPr>
      </w:pPr>
      <w:r>
        <w:rPr>
          <w:rFonts w:hint="eastAsia" w:ascii="宋体" w:hAnsi="宋体" w:eastAsia="宋体" w:cs="宋体"/>
          <w:color w:val="auto"/>
          <w:sz w:val="28"/>
          <w:szCs w:val="36"/>
          <w:highlight w:val="none"/>
          <w:lang w:val="en-US" w:eastAsia="zh-CN"/>
        </w:rPr>
        <w:t>7.中小企业声明函。</w:t>
      </w:r>
      <w:r>
        <w:rPr>
          <w:rFonts w:hint="eastAsia" w:ascii="宋体" w:hAnsi="宋体" w:cs="宋体"/>
          <w:color w:val="auto"/>
          <w:sz w:val="28"/>
          <w:szCs w:val="36"/>
          <w:highlight w:val="none"/>
        </w:rPr>
        <w:br w:type="page"/>
      </w:r>
    </w:p>
    <w:p>
      <w:pPr>
        <w:shd w:val="clear"/>
        <w:spacing w:line="360" w:lineRule="auto"/>
        <w:outlineLvl w:val="0"/>
        <w:rPr>
          <w:rFonts w:ascii="宋体" w:hAnsi="宋体" w:cs="宋体"/>
          <w:b/>
          <w:color w:val="auto"/>
          <w:sz w:val="28"/>
          <w:highlight w:val="none"/>
        </w:rPr>
      </w:pPr>
      <w:bookmarkStart w:id="89" w:name="_Toc10699"/>
      <w:bookmarkStart w:id="90" w:name="_Toc139816386"/>
      <w:bookmarkStart w:id="91" w:name="_Toc23824"/>
      <w:r>
        <w:rPr>
          <w:rFonts w:hint="eastAsia" w:ascii="宋体" w:hAnsi="宋体" w:cs="宋体"/>
          <w:b/>
          <w:color w:val="auto"/>
          <w:sz w:val="28"/>
          <w:highlight w:val="none"/>
        </w:rPr>
        <w:t>附件2</w:t>
      </w:r>
      <w:bookmarkEnd w:id="89"/>
      <w:bookmarkEnd w:id="90"/>
      <w:bookmarkEnd w:id="91"/>
    </w:p>
    <w:p>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台州学院“全省海岛绿色能源及新材料重点实验室”海水光电制氢和海岛光伏发电设备采购项目（二次）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ZJWS2024-JJ116-1</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outlineLvl w:val="0"/>
        <w:rPr>
          <w:rFonts w:ascii="宋体" w:hAnsi="宋体" w:cs="宋体"/>
          <w:b/>
          <w:color w:val="auto"/>
          <w:sz w:val="28"/>
          <w:highlight w:val="none"/>
        </w:rPr>
      </w:pPr>
      <w:bookmarkStart w:id="92" w:name="_Toc5973"/>
      <w:bookmarkStart w:id="93" w:name="_Toc1946"/>
      <w:bookmarkStart w:id="94" w:name="_Toc546889684"/>
      <w:r>
        <w:rPr>
          <w:rFonts w:hint="eastAsia" w:ascii="宋体" w:hAnsi="宋体" w:cs="宋体"/>
          <w:b/>
          <w:color w:val="auto"/>
          <w:sz w:val="28"/>
          <w:highlight w:val="none"/>
        </w:rPr>
        <w:t>附件3</w:t>
      </w:r>
      <w:bookmarkEnd w:id="92"/>
      <w:bookmarkEnd w:id="93"/>
      <w:bookmarkEnd w:id="94"/>
    </w:p>
    <w:p>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台州学院“全省海岛绿色能源及新材料重点实验室”海水光电制氢和海岛光伏发电设备采购项目（二次）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hd w:val="clear"/>
        <w:spacing w:line="360" w:lineRule="auto"/>
        <w:rPr>
          <w:rFonts w:ascii="宋体" w:hAnsi="宋体" w:cs="宋体"/>
          <w:b/>
          <w:color w:val="auto"/>
          <w:sz w:val="24"/>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color w:val="auto"/>
          <w:sz w:val="24"/>
          <w:szCs w:val="32"/>
          <w:highlight w:val="none"/>
        </w:rPr>
        <w:t>邮政编码：</w:t>
      </w:r>
      <w:bookmarkStart w:id="95" w:name="_Toc10120"/>
      <w:bookmarkStart w:id="96" w:name="_Toc31224"/>
    </w:p>
    <w:p>
      <w:pPr>
        <w:shd w:val="clear"/>
        <w:tabs>
          <w:tab w:val="left" w:pos="2460"/>
        </w:tabs>
        <w:spacing w:line="360" w:lineRule="auto"/>
        <w:outlineLvl w:val="0"/>
        <w:rPr>
          <w:rFonts w:ascii="宋体" w:hAnsi="宋体" w:cs="宋体"/>
          <w:b/>
          <w:color w:val="auto"/>
          <w:sz w:val="28"/>
          <w:highlight w:val="none"/>
        </w:rPr>
      </w:pPr>
      <w:bookmarkStart w:id="97" w:name="_Toc344909828"/>
      <w:r>
        <w:rPr>
          <w:rFonts w:hint="eastAsia" w:ascii="宋体" w:hAnsi="宋体" w:cs="宋体"/>
          <w:b/>
          <w:color w:val="auto"/>
          <w:sz w:val="28"/>
          <w:highlight w:val="none"/>
        </w:rPr>
        <w:t>附件4</w:t>
      </w:r>
      <w:bookmarkEnd w:id="97"/>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numPr>
          <w:ilvl w:val="0"/>
          <w:numId w:val="6"/>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7"/>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hd w:val="clear"/>
        <w:spacing w:line="360" w:lineRule="auto"/>
        <w:jc w:val="left"/>
        <w:rPr>
          <w:rFonts w:ascii="宋体" w:hAnsi="宋体" w:cs="宋体"/>
          <w:bCs/>
          <w:color w:val="auto"/>
          <w:sz w:val="24"/>
          <w:highlight w:val="none"/>
        </w:rPr>
      </w:pP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shd w:val="clear"/>
        <w:spacing w:line="360" w:lineRule="auto"/>
        <w:outlineLvl w:val="0"/>
        <w:rPr>
          <w:rFonts w:ascii="宋体" w:hAnsi="宋体" w:cs="宋体"/>
          <w:b/>
          <w:bCs/>
          <w:color w:val="auto"/>
          <w:sz w:val="28"/>
          <w:szCs w:val="36"/>
          <w:highlight w:val="none"/>
        </w:rPr>
      </w:pPr>
      <w:bookmarkStart w:id="98" w:name="_Toc841115943"/>
      <w:r>
        <w:rPr>
          <w:rFonts w:hint="eastAsia" w:ascii="宋体" w:hAnsi="宋体" w:cs="宋体"/>
          <w:b/>
          <w:bCs/>
          <w:color w:val="auto"/>
          <w:sz w:val="28"/>
          <w:szCs w:val="36"/>
          <w:highlight w:val="none"/>
        </w:rPr>
        <w:t>附件</w:t>
      </w:r>
      <w:bookmarkEnd w:id="95"/>
      <w:bookmarkEnd w:id="96"/>
      <w:r>
        <w:rPr>
          <w:rFonts w:hint="eastAsia" w:ascii="宋体" w:hAnsi="宋体" w:cs="宋体"/>
          <w:b/>
          <w:bCs/>
          <w:color w:val="auto"/>
          <w:sz w:val="28"/>
          <w:szCs w:val="36"/>
          <w:highlight w:val="none"/>
        </w:rPr>
        <w:t>5</w:t>
      </w:r>
      <w:bookmarkEnd w:id="98"/>
    </w:p>
    <w:p>
      <w:pPr>
        <w:shd w:val="clear"/>
        <w:spacing w:line="360" w:lineRule="auto"/>
        <w:jc w:val="center"/>
        <w:rPr>
          <w:rFonts w:ascii="宋体" w:hAnsi="宋体" w:cs="宋体"/>
          <w:b/>
          <w:bCs/>
          <w:color w:val="auto"/>
          <w:sz w:val="32"/>
          <w:szCs w:val="40"/>
          <w:highlight w:val="none"/>
        </w:rPr>
      </w:pPr>
      <w:bookmarkStart w:id="99" w:name="_Toc495302720"/>
      <w:r>
        <w:rPr>
          <w:rFonts w:hint="eastAsia" w:ascii="宋体" w:hAnsi="宋体" w:cs="宋体"/>
          <w:b/>
          <w:bCs/>
          <w:color w:val="auto"/>
          <w:sz w:val="32"/>
          <w:szCs w:val="40"/>
          <w:highlight w:val="none"/>
        </w:rPr>
        <w:t>财务状况报告</w:t>
      </w:r>
      <w:bookmarkEnd w:id="99"/>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投标人可提供以下一种材料作为本单位财务状态报告：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1.提供经审计的财务报告，包括资产负载表、利润表、现金流量表、所有者权益变动表及其附注复印件；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2.银行出具的资信证明复印件；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32"/>
          <w:szCs w:val="40"/>
          <w:highlight w:val="none"/>
        </w:rPr>
      </w:pPr>
      <w:bookmarkStart w:id="100" w:name="_Toc495302721"/>
      <w:r>
        <w:rPr>
          <w:rFonts w:hint="eastAsia" w:ascii="宋体" w:hAnsi="宋体" w:cs="宋体"/>
          <w:b/>
          <w:bCs/>
          <w:color w:val="auto"/>
          <w:sz w:val="32"/>
          <w:szCs w:val="40"/>
          <w:highlight w:val="none"/>
        </w:rPr>
        <w:br w:type="page"/>
      </w:r>
    </w:p>
    <w:p>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依法缴纳税收和社会保障资金</w:t>
      </w:r>
      <w:bookmarkEnd w:id="100"/>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依法缴纳税收和社会保障资金的相关材料要求：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营业执照属于三证合一的，则不需要提供税务登记证复印件。营业执照属于五证合一的，则不需要提供税务登记证和社会保险登记证复印件。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1.提供投标人税务登记证（国税、地税）和参加本项目采购活动前近三个月内相应税务机关出具的完税证明，包括缴纳增值税、企业所得税等凭据的复印件；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2.提供投标人社会保险登记证和参加政府采购活动前近三个月内缴纳社会保险的凭据（专用收据或社会保险缴纳清单）复印件；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3.依法免税或不需要缴纳社会保障资金的投标人，应提供相应文件证明其依法免税或不需要缴纳社会保障资金的材料复印件；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（3）商务及技术响应表；</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（4）其余内容根据评标办法自拟；</w:t>
      </w: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28"/>
          <w:szCs w:val="36"/>
          <w:highlight w:val="none"/>
          <w:lang w:val="zh-CN"/>
        </w:rPr>
      </w:pPr>
      <w:bookmarkStart w:id="101" w:name="_Toc19677"/>
      <w:bookmarkStart w:id="102" w:name="_Toc21996"/>
      <w:bookmarkStart w:id="103" w:name="_Toc1898289447"/>
      <w:r>
        <w:rPr>
          <w:rFonts w:hint="eastAsia" w:ascii="宋体" w:hAnsi="宋体" w:cs="宋体"/>
          <w:b/>
          <w:bCs/>
          <w:color w:val="auto"/>
          <w:sz w:val="28"/>
          <w:szCs w:val="36"/>
          <w:highlight w:val="none"/>
          <w:lang w:val="zh-CN"/>
        </w:rPr>
        <w:br w:type="page"/>
      </w:r>
    </w:p>
    <w:p>
      <w:pPr>
        <w:shd w:val="clear"/>
        <w:outlineLvl w:val="0"/>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附件</w:t>
      </w:r>
      <w:bookmarkEnd w:id="101"/>
      <w:bookmarkEnd w:id="102"/>
      <w:r>
        <w:rPr>
          <w:rFonts w:hint="eastAsia" w:ascii="宋体" w:hAnsi="宋体" w:cs="宋体"/>
          <w:b/>
          <w:bCs/>
          <w:color w:val="auto"/>
          <w:sz w:val="28"/>
          <w:szCs w:val="36"/>
          <w:highlight w:val="none"/>
        </w:rPr>
        <w:t>6</w:t>
      </w:r>
      <w:bookmarkEnd w:id="103"/>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2"/>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vMerge w:val="continue"/>
            <w:shd w:val="clear" w:color="auto" w:fill="auto"/>
            <w:vAlign w:val="center"/>
          </w:tcPr>
          <w:p>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p>
            <w:pPr>
              <w:shd w:val="clear"/>
              <w:jc w:val="center"/>
              <w:rPr>
                <w:rFonts w:ascii="宋体" w:hAnsi="宋体" w:cs="宋体"/>
                <w:color w:val="auto"/>
                <w:sz w:val="24"/>
                <w:highlight w:val="none"/>
              </w:rPr>
            </w:pPr>
            <w:r>
              <w:rPr>
                <w:rFonts w:hint="eastAsia" w:ascii="宋体" w:hAnsi="宋体" w:cs="宋体"/>
                <w:color w:val="auto"/>
                <w:sz w:val="24"/>
                <w:highlight w:val="none"/>
              </w:rPr>
              <w:t>企</w:t>
            </w:r>
          </w:p>
          <w:p>
            <w:pPr>
              <w:shd w:val="clear"/>
              <w:jc w:val="center"/>
              <w:rPr>
                <w:rFonts w:ascii="宋体" w:hAnsi="宋体" w:cs="宋体"/>
                <w:color w:val="auto"/>
                <w:sz w:val="24"/>
                <w:highlight w:val="none"/>
              </w:rPr>
            </w:pPr>
            <w:r>
              <w:rPr>
                <w:rFonts w:hint="eastAsia" w:ascii="宋体" w:hAnsi="宋体" w:cs="宋体"/>
                <w:color w:val="auto"/>
                <w:sz w:val="24"/>
                <w:highlight w:val="none"/>
              </w:rPr>
              <w:t>业</w:t>
            </w:r>
          </w:p>
          <w:p>
            <w:pPr>
              <w:shd w:val="clear"/>
              <w:jc w:val="center"/>
              <w:rPr>
                <w:rFonts w:ascii="宋体" w:hAnsi="宋体" w:cs="宋体"/>
                <w:color w:val="auto"/>
                <w:sz w:val="24"/>
                <w:highlight w:val="none"/>
              </w:rPr>
            </w:pPr>
            <w:r>
              <w:rPr>
                <w:rFonts w:hint="eastAsia" w:ascii="宋体" w:hAnsi="宋体" w:cs="宋体"/>
                <w:color w:val="auto"/>
                <w:sz w:val="24"/>
                <w:highlight w:val="none"/>
              </w:rPr>
              <w:t>概</w:t>
            </w:r>
          </w:p>
          <w:p>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pPr>
              <w:shd w:val="clear"/>
              <w:jc w:val="center"/>
              <w:rPr>
                <w:rFonts w:ascii="宋体" w:hAnsi="宋体" w:cs="宋体"/>
                <w:color w:val="auto"/>
                <w:sz w:val="24"/>
                <w:highlight w:val="none"/>
              </w:rPr>
            </w:pPr>
          </w:p>
        </w:tc>
        <w:tc>
          <w:tcPr>
            <w:tcW w:w="926"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67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7933" w:type="dxa"/>
            <w:gridSpan w:val="10"/>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p>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pPr>
              <w:shd w:val="clear"/>
              <w:jc w:val="center"/>
              <w:rPr>
                <w:rFonts w:ascii="宋体" w:hAnsi="宋体" w:cs="宋体"/>
                <w:color w:val="auto"/>
                <w:sz w:val="24"/>
                <w:highlight w:val="none"/>
              </w:rPr>
            </w:pPr>
          </w:p>
        </w:tc>
        <w:tc>
          <w:tcPr>
            <w:tcW w:w="1333" w:type="dxa"/>
            <w:gridSpan w:val="3"/>
            <w:shd w:val="clear" w:color="auto" w:fill="auto"/>
            <w:vAlign w:val="center"/>
          </w:tcPr>
          <w:p>
            <w:pPr>
              <w:shd w:val="clear"/>
              <w:jc w:val="center"/>
              <w:rPr>
                <w:rFonts w:ascii="宋体" w:hAnsi="宋体" w:cs="宋体"/>
                <w:color w:val="auto"/>
                <w:sz w:val="24"/>
                <w:highlight w:val="none"/>
              </w:rPr>
            </w:pPr>
          </w:p>
        </w:tc>
        <w:tc>
          <w:tcPr>
            <w:tcW w:w="1077" w:type="dxa"/>
            <w:shd w:val="clear" w:color="auto" w:fill="auto"/>
            <w:vAlign w:val="center"/>
          </w:tcPr>
          <w:p>
            <w:pPr>
              <w:shd w:val="clear"/>
              <w:jc w:val="center"/>
              <w:rPr>
                <w:rFonts w:ascii="宋体" w:hAnsi="宋体" w:cs="宋体"/>
                <w:color w:val="auto"/>
                <w:sz w:val="24"/>
                <w:highlight w:val="none"/>
              </w:rPr>
            </w:pPr>
          </w:p>
        </w:tc>
        <w:tc>
          <w:tcPr>
            <w:tcW w:w="1617" w:type="dxa"/>
            <w:gridSpan w:val="2"/>
            <w:shd w:val="clear" w:color="auto" w:fill="auto"/>
            <w:vAlign w:val="center"/>
          </w:tcPr>
          <w:p>
            <w:pPr>
              <w:shd w:val="clear"/>
              <w:jc w:val="center"/>
              <w:rPr>
                <w:rFonts w:ascii="宋体" w:hAnsi="宋体" w:cs="宋体"/>
                <w:color w:val="auto"/>
                <w:sz w:val="24"/>
                <w:highlight w:val="none"/>
              </w:rPr>
            </w:pPr>
          </w:p>
        </w:tc>
        <w:tc>
          <w:tcPr>
            <w:tcW w:w="2551" w:type="dxa"/>
            <w:gridSpan w:val="2"/>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outlineLvl w:val="0"/>
        <w:rPr>
          <w:rFonts w:ascii="宋体" w:hAnsi="宋体" w:cs="宋体"/>
          <w:color w:val="auto"/>
          <w:sz w:val="24"/>
          <w:highlight w:val="none"/>
        </w:rPr>
      </w:pPr>
      <w:bookmarkStart w:id="104" w:name="_Toc19940"/>
      <w:bookmarkStart w:id="105" w:name="_Toc31215"/>
      <w:bookmarkStart w:id="106" w:name="_Toc1533675897"/>
      <w:r>
        <w:rPr>
          <w:rFonts w:hint="eastAsia" w:ascii="宋体" w:hAnsi="宋体" w:cs="宋体"/>
          <w:b/>
          <w:color w:val="auto"/>
          <w:sz w:val="28"/>
          <w:highlight w:val="none"/>
        </w:rPr>
        <w:t>附件</w:t>
      </w:r>
      <w:bookmarkEnd w:id="104"/>
      <w:bookmarkEnd w:id="105"/>
      <w:r>
        <w:rPr>
          <w:rFonts w:hint="eastAsia" w:ascii="宋体" w:hAnsi="宋体" w:cs="宋体"/>
          <w:b/>
          <w:color w:val="auto"/>
          <w:sz w:val="28"/>
          <w:highlight w:val="none"/>
        </w:rPr>
        <w:t>7</w:t>
      </w:r>
      <w:bookmarkEnd w:id="106"/>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2"/>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3"/>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outlineLvl w:val="0"/>
        <w:rPr>
          <w:rFonts w:ascii="宋体" w:hAnsi="宋体" w:cs="宋体"/>
          <w:b/>
          <w:color w:val="auto"/>
          <w:sz w:val="28"/>
          <w:highlight w:val="none"/>
        </w:rPr>
      </w:pPr>
      <w:bookmarkStart w:id="107" w:name="_Toc15412"/>
      <w:bookmarkStart w:id="108" w:name="_Toc22076"/>
      <w:bookmarkStart w:id="109" w:name="_Toc244585938"/>
      <w:r>
        <w:rPr>
          <w:rFonts w:hint="eastAsia" w:ascii="宋体" w:hAnsi="宋体" w:cs="宋体"/>
          <w:b/>
          <w:color w:val="auto"/>
          <w:sz w:val="28"/>
          <w:highlight w:val="none"/>
        </w:rPr>
        <w:t>附件</w:t>
      </w:r>
      <w:bookmarkEnd w:id="107"/>
      <w:bookmarkEnd w:id="108"/>
      <w:r>
        <w:rPr>
          <w:rFonts w:hint="eastAsia" w:ascii="宋体" w:hAnsi="宋体" w:cs="宋体"/>
          <w:b/>
          <w:color w:val="auto"/>
          <w:sz w:val="28"/>
          <w:highlight w:val="none"/>
        </w:rPr>
        <w:t>8</w:t>
      </w:r>
      <w:bookmarkEnd w:id="109"/>
    </w:p>
    <w:p>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ascii="宋体" w:hAnsi="宋体" w:cs="宋体"/>
                <w:b/>
                <w:bCs/>
                <w:color w:val="auto"/>
                <w:sz w:val="24"/>
                <w:highlight w:val="none"/>
                <w:lang w:val="zh-CN"/>
              </w:rPr>
            </w:pPr>
          </w:p>
        </w:tc>
      </w:tr>
    </w:tbl>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28"/>
          <w:szCs w:val="36"/>
          <w:highlight w:val="none"/>
        </w:rPr>
      </w:pPr>
      <w:bookmarkStart w:id="110" w:name="_Toc9916"/>
      <w:bookmarkStart w:id="111" w:name="_Toc16779"/>
      <w:r>
        <w:rPr>
          <w:rFonts w:hint="eastAsia" w:ascii="宋体" w:hAnsi="宋体" w:cs="宋体"/>
          <w:b/>
          <w:bCs/>
          <w:color w:val="auto"/>
          <w:sz w:val="28"/>
          <w:szCs w:val="36"/>
          <w:highlight w:val="none"/>
          <w:lang w:val="zh-CN"/>
        </w:rPr>
        <w:br w:type="page"/>
      </w:r>
      <w:bookmarkStart w:id="112" w:name="_Toc472159608"/>
      <w:r>
        <w:rPr>
          <w:rFonts w:hint="eastAsia" w:ascii="宋体" w:hAnsi="宋体" w:cs="宋体"/>
          <w:b/>
          <w:bCs/>
          <w:color w:val="auto"/>
          <w:sz w:val="28"/>
          <w:szCs w:val="36"/>
          <w:highlight w:val="none"/>
          <w:lang w:val="zh-CN"/>
        </w:rPr>
        <w:t>附件</w:t>
      </w:r>
      <w:bookmarkEnd w:id="110"/>
      <w:bookmarkEnd w:id="111"/>
      <w:r>
        <w:rPr>
          <w:rFonts w:hint="eastAsia" w:ascii="宋体" w:hAnsi="宋体" w:cs="宋体"/>
          <w:b/>
          <w:bCs/>
          <w:color w:val="auto"/>
          <w:sz w:val="28"/>
          <w:szCs w:val="36"/>
          <w:highlight w:val="none"/>
        </w:rPr>
        <w:t>9</w:t>
      </w:r>
      <w:bookmarkEnd w:id="112"/>
    </w:p>
    <w:p>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2"/>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13" w:name="_Toc5432"/>
      <w:bookmarkStart w:id="114" w:name="_Toc2015"/>
      <w:bookmarkStart w:id="115" w:name="_Toc634455991"/>
      <w:r>
        <w:rPr>
          <w:rFonts w:hint="eastAsia" w:ascii="宋体" w:hAnsi="宋体" w:cs="宋体"/>
          <w:b/>
          <w:bCs/>
          <w:color w:val="auto"/>
          <w:sz w:val="28"/>
          <w:szCs w:val="36"/>
          <w:highlight w:val="none"/>
          <w:lang w:val="zh-CN"/>
        </w:rPr>
        <w:t>附件</w:t>
      </w:r>
      <w:bookmarkEnd w:id="113"/>
      <w:bookmarkEnd w:id="114"/>
      <w:r>
        <w:rPr>
          <w:rFonts w:hint="eastAsia" w:ascii="宋体" w:hAnsi="宋体" w:cs="宋体"/>
          <w:b/>
          <w:bCs/>
          <w:color w:val="auto"/>
          <w:sz w:val="28"/>
          <w:szCs w:val="36"/>
          <w:highlight w:val="none"/>
        </w:rPr>
        <w:t>10</w:t>
      </w:r>
      <w:bookmarkEnd w:id="115"/>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hd w:val="clear"/>
        <w:spacing w:line="360" w:lineRule="auto"/>
        <w:rPr>
          <w:rFonts w:ascii="宋体" w:hAnsi="宋体" w:cs="宋体"/>
          <w:color w:val="auto"/>
          <w:sz w:val="24"/>
          <w:highlight w:val="none"/>
        </w:rPr>
      </w:pPr>
    </w:p>
    <w:tbl>
      <w:tblPr>
        <w:tblStyle w:val="22"/>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16" w:name="_Toc14652"/>
      <w:bookmarkStart w:id="117" w:name="_Toc7243"/>
      <w:bookmarkStart w:id="118" w:name="_Toc1045533382"/>
    </w:p>
    <w:p>
      <w:pPr>
        <w:shd w:val="clear"/>
        <w:spacing w:line="360" w:lineRule="auto"/>
        <w:jc w:val="left"/>
        <w:outlineLvl w:val="0"/>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pPr>
        <w:shd w:val="clear"/>
        <w:spacing w:line="360" w:lineRule="auto"/>
        <w:jc w:val="left"/>
        <w:rPr>
          <w:rFonts w:ascii="宋体" w:hAnsi="宋体" w:cs="宋体"/>
          <w:b/>
          <w:bCs/>
          <w:color w:val="auto"/>
          <w:sz w:val="24"/>
          <w:szCs w:val="32"/>
          <w:highlight w:val="none"/>
          <w:lang w:val="zh-CN"/>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3"/>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3"/>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3"/>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3"/>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shd w:val="clear"/>
        <w:spacing w:line="360" w:lineRule="auto"/>
        <w:jc w:val="left"/>
        <w:outlineLvl w:val="0"/>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bookmarkEnd w:id="116"/>
      <w:bookmarkEnd w:id="117"/>
      <w:bookmarkEnd w:id="118"/>
      <w:r>
        <w:rPr>
          <w:rFonts w:hint="eastAsia" w:ascii="宋体" w:hAnsi="宋体" w:cs="宋体"/>
          <w:b/>
          <w:bCs/>
          <w:color w:val="auto"/>
          <w:sz w:val="28"/>
          <w:szCs w:val="36"/>
          <w:highlight w:val="none"/>
        </w:rPr>
        <w:t>2</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hd w:val="clear"/>
        <w:spacing w:line="360" w:lineRule="auto"/>
        <w:jc w:val="left"/>
        <w:rPr>
          <w:rFonts w:ascii="宋体" w:hAnsi="宋体" w:cs="宋体"/>
          <w:b/>
          <w:bCs/>
          <w:color w:val="auto"/>
          <w:sz w:val="24"/>
          <w:szCs w:val="32"/>
          <w:highlight w:val="none"/>
          <w:lang w:val="zh-CN"/>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3"/>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3"/>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3"/>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3"/>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19" w:name="_Toc4215"/>
      <w:bookmarkStart w:id="120" w:name="_Toc10621"/>
      <w:bookmarkStart w:id="121" w:name="_Toc1568351520"/>
      <w:r>
        <w:rPr>
          <w:rFonts w:hint="eastAsia" w:ascii="宋体" w:hAnsi="宋体" w:cs="宋体"/>
          <w:b/>
          <w:bCs/>
          <w:color w:val="auto"/>
          <w:sz w:val="28"/>
          <w:szCs w:val="36"/>
          <w:highlight w:val="none"/>
          <w:lang w:val="zh-CN"/>
        </w:rPr>
        <w:t>附件1</w:t>
      </w:r>
      <w:bookmarkEnd w:id="119"/>
      <w:bookmarkEnd w:id="120"/>
      <w:bookmarkEnd w:id="121"/>
      <w:r>
        <w:rPr>
          <w:rFonts w:hint="eastAsia" w:ascii="宋体" w:hAnsi="宋体" w:cs="宋体"/>
          <w:b/>
          <w:bCs/>
          <w:color w:val="auto"/>
          <w:sz w:val="28"/>
          <w:szCs w:val="36"/>
          <w:highlight w:val="none"/>
        </w:rPr>
        <w:t>3</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hd w:val="clear"/>
        <w:spacing w:line="360" w:lineRule="auto"/>
        <w:rPr>
          <w:rFonts w:ascii="宋体" w:hAnsi="宋体" w:cs="宋体"/>
          <w:b/>
          <w:bCs/>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22" w:name="_Toc24692"/>
      <w:bookmarkStart w:id="123" w:name="_Toc19429"/>
      <w:bookmarkStart w:id="124" w:name="_Toc1069713362"/>
      <w:r>
        <w:rPr>
          <w:rFonts w:hint="eastAsia" w:ascii="宋体" w:hAnsi="宋体" w:cs="宋体"/>
          <w:b/>
          <w:bCs/>
          <w:color w:val="auto"/>
          <w:sz w:val="28"/>
          <w:szCs w:val="36"/>
          <w:highlight w:val="none"/>
          <w:lang w:val="zh-CN"/>
        </w:rPr>
        <w:t>附件1</w:t>
      </w:r>
      <w:bookmarkEnd w:id="122"/>
      <w:bookmarkEnd w:id="123"/>
      <w:bookmarkEnd w:id="124"/>
      <w:r>
        <w:rPr>
          <w:rFonts w:hint="eastAsia" w:ascii="宋体" w:hAnsi="宋体" w:cs="宋体"/>
          <w:b/>
          <w:bCs/>
          <w:color w:val="auto"/>
          <w:sz w:val="28"/>
          <w:szCs w:val="36"/>
          <w:highlight w:val="none"/>
        </w:rPr>
        <w:t>4</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hd w:val="clear"/>
        <w:spacing w:line="360" w:lineRule="auto"/>
        <w:rPr>
          <w:rFonts w:ascii="宋体" w:hAnsi="宋体" w:cs="宋体"/>
          <w:b/>
          <w:color w:val="auto"/>
          <w:sz w:val="24"/>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bl>
    <w:p>
      <w:pPr>
        <w:shd w:val="clear"/>
        <w:spacing w:line="360" w:lineRule="auto"/>
        <w:rPr>
          <w:rFonts w:ascii="宋体" w:hAnsi="宋体" w:cs="宋体"/>
          <w:b/>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tabs>
          <w:tab w:val="left" w:pos="2460"/>
        </w:tabs>
        <w:spacing w:line="360" w:lineRule="auto"/>
        <w:outlineLvl w:val="0"/>
        <w:rPr>
          <w:rFonts w:ascii="宋体" w:hAnsi="宋体" w:cs="宋体"/>
          <w:b/>
          <w:color w:val="auto"/>
          <w:sz w:val="28"/>
          <w:highlight w:val="none"/>
        </w:rPr>
      </w:pPr>
      <w:bookmarkStart w:id="125" w:name="_Toc9756"/>
      <w:bookmarkStart w:id="126" w:name="_Toc30065"/>
      <w:bookmarkStart w:id="127" w:name="_Toc2086866097"/>
      <w:r>
        <w:rPr>
          <w:rFonts w:hint="eastAsia" w:ascii="宋体" w:hAnsi="宋体" w:cs="宋体"/>
          <w:b/>
          <w:color w:val="auto"/>
          <w:sz w:val="28"/>
          <w:highlight w:val="none"/>
        </w:rPr>
        <w:t>附件1</w:t>
      </w:r>
      <w:bookmarkEnd w:id="125"/>
      <w:bookmarkEnd w:id="126"/>
      <w:bookmarkEnd w:id="127"/>
      <w:r>
        <w:rPr>
          <w:rFonts w:hint="eastAsia" w:ascii="宋体" w:hAnsi="宋体" w:cs="宋体"/>
          <w:b/>
          <w:color w:val="auto"/>
          <w:sz w:val="28"/>
          <w:highlight w:val="none"/>
        </w:rPr>
        <w:t>5</w:t>
      </w:r>
    </w:p>
    <w:p>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hd w:val="clear"/>
        <w:spacing w:line="360" w:lineRule="auto"/>
        <w:rPr>
          <w:rFonts w:ascii="宋体" w:hAnsi="宋体" w:cs="宋体"/>
          <w:b/>
          <w:color w:val="auto"/>
          <w:sz w:val="24"/>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35"/>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35"/>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35"/>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35"/>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35"/>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pPr>
              <w:pStyle w:val="35"/>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hd w:val="clear"/>
              <w:spacing w:line="360" w:lineRule="auto"/>
              <w:jc w:val="left"/>
              <w:rPr>
                <w:rFonts w:ascii="宋体" w:hAnsi="宋体" w:cs="宋体"/>
                <w:bCs/>
                <w:color w:val="auto"/>
                <w:sz w:val="24"/>
                <w:highlight w:val="none"/>
              </w:rPr>
            </w:pPr>
          </w:p>
        </w:tc>
        <w:tc>
          <w:tcPr>
            <w:tcW w:w="2355" w:type="dxa"/>
            <w:vMerge w:val="continue"/>
            <w:vAlign w:val="center"/>
          </w:tcPr>
          <w:p>
            <w:pPr>
              <w:pStyle w:val="35"/>
              <w:widowControl/>
              <w:shd w:val="clear"/>
              <w:spacing w:line="360" w:lineRule="auto"/>
              <w:jc w:val="left"/>
              <w:rPr>
                <w:rFonts w:ascii="宋体" w:hAnsi="宋体" w:cs="宋体"/>
                <w:bCs/>
                <w:color w:val="auto"/>
                <w:sz w:val="24"/>
                <w:highlight w:val="none"/>
              </w:rPr>
            </w:pPr>
          </w:p>
        </w:tc>
        <w:tc>
          <w:tcPr>
            <w:tcW w:w="4061" w:type="dxa"/>
          </w:tcPr>
          <w:p>
            <w:pPr>
              <w:pStyle w:val="35"/>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pPr>
              <w:pStyle w:val="35"/>
              <w:shd w:val="clear"/>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5"/>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35"/>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35"/>
              <w:widowControl/>
              <w:shd w:val="clear"/>
              <w:spacing w:line="360" w:lineRule="auto"/>
              <w:jc w:val="left"/>
              <w:rPr>
                <w:rFonts w:ascii="宋体" w:hAnsi="宋体" w:cs="宋体"/>
                <w:bCs/>
                <w:color w:val="auto"/>
                <w:sz w:val="24"/>
                <w:highlight w:val="none"/>
              </w:rPr>
            </w:pPr>
          </w:p>
          <w:p>
            <w:pPr>
              <w:pStyle w:val="35"/>
              <w:widowControl/>
              <w:shd w:val="clear"/>
              <w:spacing w:line="360" w:lineRule="auto"/>
              <w:jc w:val="left"/>
              <w:rPr>
                <w:rFonts w:ascii="宋体" w:hAnsi="宋体" w:cs="宋体"/>
                <w:bCs/>
                <w:color w:val="auto"/>
                <w:sz w:val="24"/>
                <w:highlight w:val="none"/>
              </w:rPr>
            </w:pPr>
          </w:p>
          <w:p>
            <w:pPr>
              <w:pStyle w:val="35"/>
              <w:shd w:val="clear"/>
              <w:spacing w:line="360" w:lineRule="auto"/>
              <w:rPr>
                <w:rFonts w:ascii="宋体" w:hAnsi="宋体" w:cs="宋体"/>
                <w:bCs/>
                <w:color w:val="auto"/>
                <w:sz w:val="24"/>
                <w:highlight w:val="none"/>
              </w:rPr>
            </w:pPr>
          </w:p>
        </w:tc>
        <w:tc>
          <w:tcPr>
            <w:tcW w:w="1373" w:type="dxa"/>
          </w:tcPr>
          <w:p>
            <w:pPr>
              <w:pStyle w:val="35"/>
              <w:widowControl/>
              <w:shd w:val="clear"/>
              <w:spacing w:line="360" w:lineRule="auto"/>
              <w:jc w:val="left"/>
              <w:rPr>
                <w:rFonts w:ascii="宋体" w:hAnsi="宋体" w:cs="宋体"/>
                <w:bCs/>
                <w:color w:val="auto"/>
                <w:sz w:val="24"/>
                <w:highlight w:val="none"/>
              </w:rPr>
            </w:pPr>
          </w:p>
          <w:p>
            <w:pPr>
              <w:pStyle w:val="35"/>
              <w:widowControl/>
              <w:shd w:val="clear"/>
              <w:spacing w:line="360" w:lineRule="auto"/>
              <w:jc w:val="left"/>
              <w:rPr>
                <w:rFonts w:ascii="宋体" w:hAnsi="宋体" w:cs="宋体"/>
                <w:bCs/>
                <w:color w:val="auto"/>
                <w:sz w:val="24"/>
                <w:highlight w:val="none"/>
              </w:rPr>
            </w:pPr>
          </w:p>
          <w:p>
            <w:pPr>
              <w:pStyle w:val="35"/>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35"/>
              <w:widowControl/>
              <w:shd w:val="clear"/>
              <w:spacing w:line="360" w:lineRule="auto"/>
              <w:jc w:val="left"/>
              <w:rPr>
                <w:rFonts w:ascii="宋体" w:hAnsi="宋体" w:cs="宋体"/>
                <w:bCs/>
                <w:i/>
                <w:color w:val="auto"/>
                <w:sz w:val="24"/>
                <w:highlight w:val="none"/>
              </w:rPr>
            </w:pPr>
          </w:p>
          <w:p>
            <w:pPr>
              <w:pStyle w:val="35"/>
              <w:widowControl/>
              <w:shd w:val="clear"/>
              <w:spacing w:line="360" w:lineRule="auto"/>
              <w:jc w:val="left"/>
              <w:rPr>
                <w:rFonts w:ascii="宋体" w:hAnsi="宋体" w:cs="宋体"/>
                <w:bCs/>
                <w:i/>
                <w:color w:val="auto"/>
                <w:sz w:val="24"/>
                <w:highlight w:val="none"/>
              </w:rPr>
            </w:pPr>
          </w:p>
        </w:tc>
        <w:tc>
          <w:tcPr>
            <w:tcW w:w="1373" w:type="dxa"/>
          </w:tcPr>
          <w:p>
            <w:pPr>
              <w:pStyle w:val="35"/>
              <w:widowControl/>
              <w:shd w:val="clear"/>
              <w:spacing w:line="360" w:lineRule="auto"/>
              <w:jc w:val="left"/>
              <w:rPr>
                <w:rFonts w:ascii="宋体" w:hAnsi="宋体" w:cs="宋体"/>
                <w:bCs/>
                <w:i/>
                <w:color w:val="auto"/>
                <w:sz w:val="24"/>
                <w:highlight w:val="none"/>
              </w:rPr>
            </w:pPr>
          </w:p>
          <w:p>
            <w:pPr>
              <w:pStyle w:val="35"/>
              <w:widowControl/>
              <w:shd w:val="clear"/>
              <w:spacing w:line="360" w:lineRule="auto"/>
              <w:jc w:val="left"/>
              <w:rPr>
                <w:rFonts w:ascii="宋体" w:hAnsi="宋体" w:cs="宋体"/>
                <w:bCs/>
                <w:i/>
                <w:color w:val="auto"/>
                <w:sz w:val="24"/>
                <w:highlight w:val="none"/>
              </w:rPr>
            </w:pPr>
          </w:p>
          <w:p>
            <w:pPr>
              <w:pStyle w:val="35"/>
              <w:widowControl/>
              <w:shd w:val="clear"/>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35"/>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35"/>
              <w:widowControl/>
              <w:shd w:val="clear"/>
              <w:spacing w:line="360" w:lineRule="auto"/>
              <w:jc w:val="left"/>
              <w:rPr>
                <w:rFonts w:ascii="宋体" w:hAnsi="宋体" w:cs="宋体"/>
                <w:bCs/>
                <w:color w:val="auto"/>
                <w:sz w:val="24"/>
                <w:highlight w:val="none"/>
              </w:rPr>
            </w:pPr>
          </w:p>
        </w:tc>
      </w:tr>
    </w:tbl>
    <w:p>
      <w:pPr>
        <w:shd w:val="clear"/>
        <w:spacing w:line="360" w:lineRule="auto"/>
        <w:ind w:left="549" w:hanging="549" w:hangingChars="171"/>
        <w:jc w:val="center"/>
        <w:rPr>
          <w:rFonts w:ascii="宋体" w:hAnsi="宋体" w:cs="宋体"/>
          <w:b/>
          <w:color w:val="auto"/>
          <w:sz w:val="32"/>
          <w:szCs w:val="32"/>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outlineLvl w:val="0"/>
        <w:rPr>
          <w:rFonts w:ascii="宋体" w:hAnsi="宋体" w:cs="宋体"/>
          <w:b/>
          <w:bCs/>
          <w:color w:val="auto"/>
          <w:sz w:val="28"/>
          <w:szCs w:val="36"/>
          <w:highlight w:val="none"/>
        </w:rPr>
      </w:pPr>
      <w:bookmarkStart w:id="128" w:name="_Toc17132"/>
      <w:bookmarkStart w:id="129" w:name="_Toc1255569475"/>
      <w:bookmarkStart w:id="130" w:name="_Toc18363"/>
      <w:r>
        <w:rPr>
          <w:rFonts w:hint="eastAsia" w:ascii="宋体" w:hAnsi="宋体" w:cs="宋体"/>
          <w:b/>
          <w:bCs/>
          <w:color w:val="auto"/>
          <w:sz w:val="28"/>
          <w:szCs w:val="36"/>
          <w:highlight w:val="none"/>
        </w:rPr>
        <w:t>附件16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28"/>
      <w:bookmarkEnd w:id="129"/>
      <w:bookmarkEnd w:id="130"/>
    </w:p>
    <w:p>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jc w:val="center"/>
        <w:rPr>
          <w:rFonts w:ascii="宋体" w:hAnsi="宋体" w:cs="宋体"/>
          <w:b/>
          <w:color w:val="auto"/>
          <w:spacing w:val="40"/>
          <w:sz w:val="84"/>
          <w:szCs w:val="84"/>
          <w:highlight w:val="none"/>
        </w:rPr>
      </w:pP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hd w:val="clear"/>
        <w:jc w:val="center"/>
        <w:rPr>
          <w:rFonts w:ascii="宋体" w:hAnsi="宋体" w:cs="宋体"/>
          <w:color w:val="auto"/>
          <w:sz w:val="36"/>
          <w:szCs w:val="36"/>
          <w:highlight w:val="none"/>
        </w:rPr>
      </w:pPr>
    </w:p>
    <w:p>
      <w:pPr>
        <w:shd w:val="clear"/>
        <w:jc w:val="center"/>
        <w:rPr>
          <w:rFonts w:ascii="宋体" w:hAnsi="宋体" w:cs="宋体"/>
          <w:color w:val="auto"/>
          <w:sz w:val="36"/>
          <w:szCs w:val="36"/>
          <w:highlight w:val="none"/>
        </w:rPr>
      </w:pPr>
    </w:p>
    <w:p>
      <w:pPr>
        <w:shd w:val="clear"/>
        <w:spacing w:line="360" w:lineRule="auto"/>
        <w:ind w:right="532"/>
        <w:jc w:val="center"/>
        <w:rPr>
          <w:rFonts w:ascii="宋体" w:hAnsi="宋体" w:cs="宋体"/>
          <w:color w:val="auto"/>
          <w:sz w:val="36"/>
          <w:szCs w:val="36"/>
          <w:highlight w:val="none"/>
        </w:rPr>
      </w:pP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hd w:val="clear"/>
        <w:spacing w:line="360" w:lineRule="auto"/>
        <w:rPr>
          <w:rFonts w:ascii="宋体" w:hAnsi="宋体" w:cs="宋体"/>
          <w:color w:val="auto"/>
          <w:sz w:val="24"/>
          <w:highlight w:val="none"/>
        </w:rPr>
      </w:pP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1.开标一览表（附件17）；</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2.报价明细表（附件18）；</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8"/>
          <w:highlight w:val="none"/>
        </w:rPr>
      </w:pPr>
      <w:bookmarkStart w:id="131" w:name="_Toc31938"/>
      <w:bookmarkStart w:id="132" w:name="_Toc23246"/>
    </w:p>
    <w:p>
      <w:pPr>
        <w:shd w:val="clear"/>
        <w:spacing w:line="360" w:lineRule="auto"/>
        <w:outlineLvl w:val="0"/>
        <w:rPr>
          <w:rFonts w:ascii="宋体" w:hAnsi="宋体" w:cs="宋体"/>
          <w:b/>
          <w:color w:val="auto"/>
          <w:sz w:val="28"/>
          <w:highlight w:val="none"/>
        </w:rPr>
      </w:pPr>
      <w:bookmarkStart w:id="133" w:name="_Toc1181850903"/>
    </w:p>
    <w:p>
      <w:pPr>
        <w:shd w:val="clear"/>
        <w:spacing w:line="360" w:lineRule="auto"/>
        <w:outlineLvl w:val="0"/>
        <w:rPr>
          <w:rFonts w:ascii="宋体" w:hAnsi="宋体" w:cs="宋体"/>
          <w:b/>
          <w:color w:val="auto"/>
          <w:sz w:val="28"/>
          <w:highlight w:val="none"/>
        </w:rPr>
      </w:pPr>
      <w:r>
        <w:rPr>
          <w:rFonts w:hint="eastAsia" w:ascii="宋体" w:hAnsi="宋体" w:cs="宋体"/>
          <w:b/>
          <w:color w:val="auto"/>
          <w:sz w:val="28"/>
          <w:highlight w:val="none"/>
        </w:rPr>
        <w:t>附件1</w:t>
      </w:r>
      <w:bookmarkEnd w:id="131"/>
      <w:bookmarkEnd w:id="132"/>
      <w:bookmarkEnd w:id="133"/>
      <w:r>
        <w:rPr>
          <w:rFonts w:hint="eastAsia" w:ascii="宋体" w:hAnsi="宋体" w:cs="宋体"/>
          <w:b/>
          <w:color w:val="auto"/>
          <w:sz w:val="28"/>
          <w:highlight w:val="none"/>
        </w:rPr>
        <w:t>7</w:t>
      </w:r>
    </w:p>
    <w:p>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hd w:val="clear"/>
        <w:spacing w:line="360" w:lineRule="auto"/>
        <w:ind w:left="-2" w:hanging="2"/>
        <w:jc w:val="center"/>
        <w:rPr>
          <w:rFonts w:ascii="宋体" w:hAnsi="宋体" w:cs="宋体"/>
          <w:b/>
          <w:color w:val="auto"/>
          <w:sz w:val="32"/>
          <w:szCs w:val="32"/>
          <w:highlight w:val="none"/>
        </w:rPr>
      </w:pPr>
    </w:p>
    <w:p>
      <w:pPr>
        <w:pStyle w:val="12"/>
        <w:shd w:val="clear"/>
        <w:spacing w:line="360" w:lineRule="auto"/>
        <w:rPr>
          <w:rFonts w:hAnsi="宋体" w:cs="宋体"/>
          <w:b/>
          <w:color w:val="auto"/>
          <w:sz w:val="24"/>
          <w:highlight w:val="none"/>
        </w:rPr>
      </w:pPr>
      <w:r>
        <w:rPr>
          <w:rFonts w:hint="eastAsia" w:hAnsi="宋体" w:cs="宋体"/>
          <w:b/>
          <w:color w:val="auto"/>
          <w:sz w:val="24"/>
          <w:highlight w:val="none"/>
        </w:rPr>
        <w:t>项目编号：</w:t>
      </w:r>
    </w:p>
    <w:p>
      <w:pPr>
        <w:pStyle w:val="36"/>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p>
        </w:tc>
      </w:tr>
    </w:tbl>
    <w:p>
      <w:pPr>
        <w:shd w:val="clear"/>
        <w:spacing w:line="360" w:lineRule="auto"/>
        <w:ind w:left="480"/>
        <w:rPr>
          <w:rFonts w:ascii="宋体" w:hAnsi="宋体" w:cs="宋体"/>
          <w:b/>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pPr>
        <w:pStyle w:val="8"/>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pStyle w:val="10"/>
        <w:shd w:val="clear"/>
        <w:rPr>
          <w:rFonts w:ascii="宋体" w:hAnsi="宋体" w:cs="宋体"/>
          <w:color w:val="auto"/>
          <w:szCs w:val="32"/>
          <w:highlight w:val="none"/>
        </w:rPr>
      </w:pPr>
    </w:p>
    <w:p>
      <w:pPr>
        <w:pStyle w:val="17"/>
        <w:shd w:val="clear"/>
        <w:rPr>
          <w:rFonts w:ascii="宋体" w:hAnsi="宋体" w:cs="宋体"/>
          <w:color w:val="auto"/>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outlineLvl w:val="0"/>
        <w:rPr>
          <w:rFonts w:ascii="宋体" w:hAnsi="宋体" w:cs="宋体"/>
          <w:b/>
          <w:color w:val="auto"/>
          <w:sz w:val="28"/>
          <w:highlight w:val="none"/>
        </w:rPr>
      </w:pPr>
      <w:bookmarkStart w:id="134" w:name="_Toc24869"/>
      <w:bookmarkStart w:id="135" w:name="_Toc20462"/>
      <w:bookmarkStart w:id="136" w:name="_Toc1291875618"/>
      <w:r>
        <w:rPr>
          <w:rFonts w:hint="eastAsia" w:ascii="宋体" w:hAnsi="宋体" w:cs="宋体"/>
          <w:b/>
          <w:color w:val="auto"/>
          <w:sz w:val="28"/>
          <w:highlight w:val="none"/>
        </w:rPr>
        <w:t>附件1</w:t>
      </w:r>
      <w:bookmarkEnd w:id="134"/>
      <w:bookmarkEnd w:id="135"/>
      <w:bookmarkEnd w:id="136"/>
      <w:r>
        <w:rPr>
          <w:rFonts w:hint="eastAsia" w:ascii="宋体" w:hAnsi="宋体" w:cs="宋体"/>
          <w:b/>
          <w:color w:val="auto"/>
          <w:sz w:val="28"/>
          <w:highlight w:val="none"/>
        </w:rPr>
        <w:t>8</w:t>
      </w:r>
    </w:p>
    <w:p>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2"/>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pPr>
              <w:shd w:val="clear"/>
              <w:jc w:val="center"/>
              <w:rPr>
                <w:b/>
                <w:color w:val="auto"/>
                <w:sz w:val="24"/>
                <w:highlight w:val="none"/>
              </w:rPr>
            </w:pPr>
            <w:r>
              <w:rPr>
                <w:rFonts w:hint="eastAsia"/>
                <w:b/>
                <w:color w:val="auto"/>
                <w:sz w:val="24"/>
                <w:highlight w:val="none"/>
              </w:rPr>
              <w:t>序号</w:t>
            </w:r>
          </w:p>
        </w:tc>
        <w:tc>
          <w:tcPr>
            <w:tcW w:w="1122" w:type="dxa"/>
            <w:vAlign w:val="center"/>
          </w:tcPr>
          <w:p>
            <w:pPr>
              <w:shd w:val="clear"/>
              <w:jc w:val="center"/>
              <w:rPr>
                <w:b/>
                <w:color w:val="auto"/>
                <w:sz w:val="24"/>
                <w:highlight w:val="none"/>
              </w:rPr>
            </w:pPr>
            <w:r>
              <w:rPr>
                <w:rFonts w:hint="eastAsia"/>
                <w:b/>
                <w:color w:val="auto"/>
                <w:sz w:val="24"/>
                <w:highlight w:val="none"/>
              </w:rPr>
              <w:t>设备名称</w:t>
            </w:r>
          </w:p>
        </w:tc>
        <w:tc>
          <w:tcPr>
            <w:tcW w:w="1345" w:type="dxa"/>
            <w:vAlign w:val="center"/>
          </w:tcPr>
          <w:p>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pPr>
              <w:shd w:val="clear"/>
              <w:jc w:val="center"/>
              <w:rPr>
                <w:b/>
                <w:color w:val="auto"/>
                <w:sz w:val="24"/>
                <w:highlight w:val="none"/>
              </w:rPr>
            </w:pPr>
            <w:r>
              <w:rPr>
                <w:rFonts w:hint="eastAsia"/>
                <w:b/>
                <w:color w:val="auto"/>
                <w:sz w:val="24"/>
                <w:highlight w:val="none"/>
              </w:rPr>
              <w:t>品牌</w:t>
            </w:r>
          </w:p>
          <w:p>
            <w:pPr>
              <w:shd w:val="clear"/>
              <w:jc w:val="center"/>
              <w:rPr>
                <w:b/>
                <w:color w:val="auto"/>
                <w:sz w:val="24"/>
                <w:highlight w:val="none"/>
              </w:rPr>
            </w:pPr>
            <w:r>
              <w:rPr>
                <w:rFonts w:hint="eastAsia"/>
                <w:b/>
                <w:color w:val="auto"/>
                <w:sz w:val="24"/>
                <w:highlight w:val="none"/>
              </w:rPr>
              <w:t>型号</w:t>
            </w:r>
          </w:p>
        </w:tc>
        <w:tc>
          <w:tcPr>
            <w:tcW w:w="732" w:type="dxa"/>
            <w:vAlign w:val="center"/>
          </w:tcPr>
          <w:p>
            <w:pPr>
              <w:shd w:val="clear"/>
              <w:jc w:val="center"/>
              <w:rPr>
                <w:b/>
                <w:color w:val="auto"/>
                <w:sz w:val="24"/>
                <w:highlight w:val="none"/>
              </w:rPr>
            </w:pPr>
            <w:r>
              <w:rPr>
                <w:rFonts w:hint="eastAsia"/>
                <w:b/>
                <w:color w:val="auto"/>
                <w:sz w:val="24"/>
                <w:highlight w:val="none"/>
              </w:rPr>
              <w:t>数量</w:t>
            </w:r>
          </w:p>
        </w:tc>
        <w:tc>
          <w:tcPr>
            <w:tcW w:w="855" w:type="dxa"/>
            <w:vAlign w:val="center"/>
          </w:tcPr>
          <w:p>
            <w:pPr>
              <w:shd w:val="clear"/>
              <w:jc w:val="center"/>
              <w:rPr>
                <w:b/>
                <w:color w:val="auto"/>
                <w:sz w:val="24"/>
                <w:highlight w:val="none"/>
              </w:rPr>
            </w:pPr>
            <w:r>
              <w:rPr>
                <w:rFonts w:hint="eastAsia"/>
                <w:b/>
                <w:color w:val="auto"/>
                <w:sz w:val="24"/>
                <w:highlight w:val="none"/>
              </w:rPr>
              <w:t>单位</w:t>
            </w:r>
          </w:p>
        </w:tc>
        <w:tc>
          <w:tcPr>
            <w:tcW w:w="863" w:type="dxa"/>
            <w:vAlign w:val="center"/>
          </w:tcPr>
          <w:p>
            <w:pPr>
              <w:shd w:val="clear"/>
              <w:jc w:val="center"/>
              <w:rPr>
                <w:b/>
                <w:color w:val="auto"/>
                <w:sz w:val="24"/>
                <w:highlight w:val="none"/>
              </w:rPr>
            </w:pPr>
            <w:r>
              <w:rPr>
                <w:rFonts w:hint="eastAsia"/>
                <w:b/>
                <w:color w:val="auto"/>
                <w:sz w:val="24"/>
                <w:highlight w:val="none"/>
              </w:rPr>
              <w:t>单价</w:t>
            </w:r>
          </w:p>
        </w:tc>
        <w:tc>
          <w:tcPr>
            <w:tcW w:w="805" w:type="dxa"/>
            <w:vAlign w:val="center"/>
          </w:tcPr>
          <w:p>
            <w:pPr>
              <w:shd w:val="clear"/>
              <w:jc w:val="center"/>
              <w:rPr>
                <w:b/>
                <w:color w:val="auto"/>
                <w:sz w:val="24"/>
                <w:highlight w:val="none"/>
              </w:rPr>
            </w:pPr>
            <w:r>
              <w:rPr>
                <w:rFonts w:hint="eastAsia"/>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37" w:name="_Toc78171641"/>
      <w:r>
        <w:rPr>
          <w:rFonts w:hint="eastAsia" w:ascii="宋体" w:hAnsi="宋体" w:cs="宋体"/>
          <w:color w:val="auto"/>
          <w:sz w:val="24"/>
          <w:highlight w:val="none"/>
        </w:rPr>
        <w:t>费用构成明细</w:t>
      </w:r>
      <w:bookmarkEnd w:id="137"/>
      <w:r>
        <w:rPr>
          <w:rFonts w:hint="eastAsia" w:ascii="宋体" w:hAnsi="宋体" w:cs="宋体"/>
          <w:color w:val="auto"/>
          <w:sz w:val="24"/>
          <w:highlight w:val="none"/>
        </w:rPr>
        <w:t>，如有缺项、漏项，视为投标报价中已包含相关费用，采购人无需另外支付任何费用。</w:t>
      </w:r>
    </w:p>
    <w:p>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pPr>
        <w:shd w:val="clear"/>
        <w:spacing w:line="360" w:lineRule="auto"/>
        <w:ind w:firstLine="480" w:firstLineChars="200"/>
        <w:jc w:val="left"/>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rPr>
          <w:rFonts w:ascii="宋体" w:hAnsi="宋体" w:cs="宋体"/>
          <w:bCs/>
          <w:color w:val="auto"/>
          <w:sz w:val="24"/>
          <w:highlight w:val="none"/>
        </w:rPr>
      </w:pPr>
      <w:bookmarkStart w:id="138" w:name="_Toc22876"/>
      <w:r>
        <w:rPr>
          <w:rFonts w:hint="eastAsia" w:ascii="宋体" w:hAnsi="宋体" w:cs="宋体"/>
          <w:b/>
          <w:color w:val="auto"/>
          <w:sz w:val="28"/>
          <w:highlight w:val="none"/>
        </w:rPr>
        <w:br w:type="page"/>
      </w:r>
      <w:bookmarkEnd w:id="138"/>
    </w:p>
    <w:p>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22"/>
        <w:tab w:val="right" w:pos="8844"/>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pPr>
      <w:r>
        <w:rPr>
          <w:rStyle w:val="2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7"/>
      <w:lvlText w:val="%1."/>
      <w:lvlJc w:val="left"/>
      <w:pPr>
        <w:tabs>
          <w:tab w:val="left" w:pos="360"/>
        </w:tabs>
        <w:ind w:left="360" w:hanging="360"/>
      </w:pPr>
    </w:lvl>
  </w:abstractNum>
  <w:abstractNum w:abstractNumId="1">
    <w:nsid w:val="EDBF677E"/>
    <w:multiLevelType w:val="singleLevel"/>
    <w:tmpl w:val="EDBF677E"/>
    <w:lvl w:ilvl="0" w:tentative="0">
      <w:start w:val="1"/>
      <w:numFmt w:val="decimal"/>
      <w:suff w:val="nothing"/>
      <w:lvlText w:val="（%1）"/>
      <w:lvlJc w:val="left"/>
    </w:lvl>
  </w:abstractNum>
  <w:abstractNum w:abstractNumId="2">
    <w:nsid w:val="EFF3F1BF"/>
    <w:multiLevelType w:val="singleLevel"/>
    <w:tmpl w:val="EFF3F1BF"/>
    <w:lvl w:ilvl="0" w:tentative="0">
      <w:start w:val="4"/>
      <w:numFmt w:val="chineseCounting"/>
      <w:suff w:val="space"/>
      <w:lvlText w:val="第%1章"/>
      <w:lvlJc w:val="left"/>
      <w:rPr>
        <w:rFonts w:hint="eastAsia"/>
      </w:rPr>
    </w:lvl>
  </w:abstractNum>
  <w:abstractNum w:abstractNumId="3">
    <w:nsid w:val="FA7D2C85"/>
    <w:multiLevelType w:val="singleLevel"/>
    <w:tmpl w:val="FA7D2C85"/>
    <w:lvl w:ilvl="0" w:tentative="0">
      <w:start w:val="1"/>
      <w:numFmt w:val="decimal"/>
      <w:suff w:val="space"/>
      <w:lvlText w:val="%1."/>
      <w:lvlJc w:val="left"/>
    </w:lvl>
  </w:abstractNum>
  <w:abstractNum w:abstractNumId="4">
    <w:nsid w:val="FFFFFF88"/>
    <w:multiLevelType w:val="singleLevel"/>
    <w:tmpl w:val="FFFFFF88"/>
    <w:lvl w:ilvl="0" w:tentative="0">
      <w:start w:val="1"/>
      <w:numFmt w:val="decimal"/>
      <w:pStyle w:val="45"/>
      <w:lvlText w:val="%1."/>
      <w:lvlJc w:val="left"/>
      <w:pPr>
        <w:widowControl/>
        <w:tabs>
          <w:tab w:val="left" w:pos="360"/>
        </w:tabs>
        <w:ind w:left="360" w:hanging="360"/>
        <w:textAlignment w:val="baseline"/>
      </w:pPr>
    </w:lvl>
  </w:abstractNum>
  <w:abstractNum w:abstractNumId="5">
    <w:nsid w:val="627FE060"/>
    <w:multiLevelType w:val="singleLevel"/>
    <w:tmpl w:val="627FE060"/>
    <w:lvl w:ilvl="0" w:tentative="0">
      <w:start w:val="1"/>
      <w:numFmt w:val="decimal"/>
      <w:suff w:val="nothing"/>
      <w:lvlText w:val="（%1）"/>
      <w:lvlJc w:val="left"/>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NmM3ODFlN2NhMGMyOGJlNWIyYTdiZGZmYWMwZjUifQ=="/>
    <w:docVar w:name="KSO_WPS_MARK_KEY" w:val="8283ec50-d4ce-4313-a288-a0322a04c492"/>
  </w:docVars>
  <w:rsids>
    <w:rsidRoot w:val="577F39BE"/>
    <w:rsid w:val="000262AD"/>
    <w:rsid w:val="00104A66"/>
    <w:rsid w:val="002566CF"/>
    <w:rsid w:val="002B2CA2"/>
    <w:rsid w:val="00445252"/>
    <w:rsid w:val="004E5015"/>
    <w:rsid w:val="00505088"/>
    <w:rsid w:val="005D23B4"/>
    <w:rsid w:val="00654D90"/>
    <w:rsid w:val="007572C4"/>
    <w:rsid w:val="00BC768E"/>
    <w:rsid w:val="00CE1399"/>
    <w:rsid w:val="00D647A0"/>
    <w:rsid w:val="00DF6A9B"/>
    <w:rsid w:val="00EC38DE"/>
    <w:rsid w:val="00EF69C9"/>
    <w:rsid w:val="014E07D2"/>
    <w:rsid w:val="01EB2D5D"/>
    <w:rsid w:val="02E4255E"/>
    <w:rsid w:val="02F57B5C"/>
    <w:rsid w:val="0423404B"/>
    <w:rsid w:val="047E65A1"/>
    <w:rsid w:val="04D201A8"/>
    <w:rsid w:val="04E771EF"/>
    <w:rsid w:val="050F517C"/>
    <w:rsid w:val="054D2E98"/>
    <w:rsid w:val="06AB56C6"/>
    <w:rsid w:val="06CE2FB1"/>
    <w:rsid w:val="06FB62C0"/>
    <w:rsid w:val="070D73B5"/>
    <w:rsid w:val="07E016C9"/>
    <w:rsid w:val="08923E94"/>
    <w:rsid w:val="08B77640"/>
    <w:rsid w:val="08E46F26"/>
    <w:rsid w:val="095E0160"/>
    <w:rsid w:val="09953862"/>
    <w:rsid w:val="09CB3010"/>
    <w:rsid w:val="09DB3168"/>
    <w:rsid w:val="0B0D4EF6"/>
    <w:rsid w:val="0C141441"/>
    <w:rsid w:val="0C1F4E62"/>
    <w:rsid w:val="0CE91166"/>
    <w:rsid w:val="0CEA07DA"/>
    <w:rsid w:val="0CF308DE"/>
    <w:rsid w:val="0D31309F"/>
    <w:rsid w:val="0D58596B"/>
    <w:rsid w:val="0D9B3218"/>
    <w:rsid w:val="0E155C23"/>
    <w:rsid w:val="0E7923CB"/>
    <w:rsid w:val="0E8950DF"/>
    <w:rsid w:val="0E947D89"/>
    <w:rsid w:val="0EAB5DE5"/>
    <w:rsid w:val="0F2D1459"/>
    <w:rsid w:val="0F476BAA"/>
    <w:rsid w:val="10163F96"/>
    <w:rsid w:val="10507547"/>
    <w:rsid w:val="112B125D"/>
    <w:rsid w:val="11904838"/>
    <w:rsid w:val="12402D20"/>
    <w:rsid w:val="13125A5D"/>
    <w:rsid w:val="13A8782C"/>
    <w:rsid w:val="141F4EB6"/>
    <w:rsid w:val="14A53E96"/>
    <w:rsid w:val="14CE60A4"/>
    <w:rsid w:val="1509575D"/>
    <w:rsid w:val="15202377"/>
    <w:rsid w:val="15BD0657"/>
    <w:rsid w:val="16740AF2"/>
    <w:rsid w:val="16E90413"/>
    <w:rsid w:val="16FE5900"/>
    <w:rsid w:val="170F6EDE"/>
    <w:rsid w:val="1713661F"/>
    <w:rsid w:val="17345C06"/>
    <w:rsid w:val="174C2549"/>
    <w:rsid w:val="17542220"/>
    <w:rsid w:val="17CF1D4F"/>
    <w:rsid w:val="180336B3"/>
    <w:rsid w:val="18336304"/>
    <w:rsid w:val="18416AFF"/>
    <w:rsid w:val="18552337"/>
    <w:rsid w:val="1917555D"/>
    <w:rsid w:val="193655C7"/>
    <w:rsid w:val="19DC2F1D"/>
    <w:rsid w:val="1A2A5877"/>
    <w:rsid w:val="1A9237B1"/>
    <w:rsid w:val="1BCA303C"/>
    <w:rsid w:val="1BCC03A2"/>
    <w:rsid w:val="1C037E84"/>
    <w:rsid w:val="1C0E0EA6"/>
    <w:rsid w:val="1C452338"/>
    <w:rsid w:val="1CC76E0B"/>
    <w:rsid w:val="1CDF13B0"/>
    <w:rsid w:val="1D626DE2"/>
    <w:rsid w:val="1D666D95"/>
    <w:rsid w:val="1DEA42F9"/>
    <w:rsid w:val="1E6F69F9"/>
    <w:rsid w:val="1EDF6DFF"/>
    <w:rsid w:val="1F0644D4"/>
    <w:rsid w:val="1F8571F7"/>
    <w:rsid w:val="1F9C0C4F"/>
    <w:rsid w:val="1FA8EA86"/>
    <w:rsid w:val="20D23DD2"/>
    <w:rsid w:val="210C7C53"/>
    <w:rsid w:val="21800F61"/>
    <w:rsid w:val="219901ED"/>
    <w:rsid w:val="22853819"/>
    <w:rsid w:val="22B47437"/>
    <w:rsid w:val="234B66FA"/>
    <w:rsid w:val="23BE13BA"/>
    <w:rsid w:val="23F02362"/>
    <w:rsid w:val="240D3CC3"/>
    <w:rsid w:val="242D5F16"/>
    <w:rsid w:val="24507F01"/>
    <w:rsid w:val="24A24A33"/>
    <w:rsid w:val="24A57F49"/>
    <w:rsid w:val="24BA3961"/>
    <w:rsid w:val="24BC729A"/>
    <w:rsid w:val="24CE5BEE"/>
    <w:rsid w:val="25572239"/>
    <w:rsid w:val="257840F1"/>
    <w:rsid w:val="26247945"/>
    <w:rsid w:val="273B1A0A"/>
    <w:rsid w:val="28C46F44"/>
    <w:rsid w:val="297912D9"/>
    <w:rsid w:val="2AA70DE5"/>
    <w:rsid w:val="2AD64F90"/>
    <w:rsid w:val="2B825C60"/>
    <w:rsid w:val="2BF71CD4"/>
    <w:rsid w:val="2C087994"/>
    <w:rsid w:val="2C725840"/>
    <w:rsid w:val="2CF2270F"/>
    <w:rsid w:val="2D390077"/>
    <w:rsid w:val="2DD21686"/>
    <w:rsid w:val="2E471C3B"/>
    <w:rsid w:val="2ED14854"/>
    <w:rsid w:val="2EF245A2"/>
    <w:rsid w:val="2F6A28D7"/>
    <w:rsid w:val="30275F10"/>
    <w:rsid w:val="30345CAA"/>
    <w:rsid w:val="30CD23D7"/>
    <w:rsid w:val="30EE6588"/>
    <w:rsid w:val="31483AD3"/>
    <w:rsid w:val="318E6A88"/>
    <w:rsid w:val="3215357A"/>
    <w:rsid w:val="321F7C28"/>
    <w:rsid w:val="33250BEC"/>
    <w:rsid w:val="345B262C"/>
    <w:rsid w:val="3491068E"/>
    <w:rsid w:val="34FE6C56"/>
    <w:rsid w:val="356B6FBD"/>
    <w:rsid w:val="35820619"/>
    <w:rsid w:val="387C3F6A"/>
    <w:rsid w:val="3885236D"/>
    <w:rsid w:val="389A16BD"/>
    <w:rsid w:val="38F82CD5"/>
    <w:rsid w:val="39B44705"/>
    <w:rsid w:val="3A3011F6"/>
    <w:rsid w:val="3A99566D"/>
    <w:rsid w:val="3AFE1F63"/>
    <w:rsid w:val="3B69075A"/>
    <w:rsid w:val="3B985F13"/>
    <w:rsid w:val="3BB84E4C"/>
    <w:rsid w:val="3BE04135"/>
    <w:rsid w:val="3C503630"/>
    <w:rsid w:val="3CE6145D"/>
    <w:rsid w:val="3D9D02F8"/>
    <w:rsid w:val="3DEFE3FA"/>
    <w:rsid w:val="3EEA3817"/>
    <w:rsid w:val="3F003653"/>
    <w:rsid w:val="3FAC4683"/>
    <w:rsid w:val="3FE3BA12"/>
    <w:rsid w:val="3FE760A6"/>
    <w:rsid w:val="40587751"/>
    <w:rsid w:val="40F938F8"/>
    <w:rsid w:val="42096E52"/>
    <w:rsid w:val="42A744DE"/>
    <w:rsid w:val="42CB20FB"/>
    <w:rsid w:val="443E02E9"/>
    <w:rsid w:val="44BE0346"/>
    <w:rsid w:val="44E34E2E"/>
    <w:rsid w:val="457B4226"/>
    <w:rsid w:val="458F4F8F"/>
    <w:rsid w:val="469333E2"/>
    <w:rsid w:val="469A5235"/>
    <w:rsid w:val="46BB59DA"/>
    <w:rsid w:val="47A25CE3"/>
    <w:rsid w:val="482B3ABC"/>
    <w:rsid w:val="482C7443"/>
    <w:rsid w:val="48502AE8"/>
    <w:rsid w:val="486E0728"/>
    <w:rsid w:val="49554133"/>
    <w:rsid w:val="4961269A"/>
    <w:rsid w:val="4972249A"/>
    <w:rsid w:val="49994BD3"/>
    <w:rsid w:val="49D5329E"/>
    <w:rsid w:val="49DA721B"/>
    <w:rsid w:val="4A2B43F6"/>
    <w:rsid w:val="4A3B6D2F"/>
    <w:rsid w:val="4A3E237C"/>
    <w:rsid w:val="4B27506C"/>
    <w:rsid w:val="4B71326F"/>
    <w:rsid w:val="4B8D341F"/>
    <w:rsid w:val="4C341657"/>
    <w:rsid w:val="4CC06703"/>
    <w:rsid w:val="4CF1717A"/>
    <w:rsid w:val="4D362277"/>
    <w:rsid w:val="4D3E402A"/>
    <w:rsid w:val="4D900DA5"/>
    <w:rsid w:val="4E1B0998"/>
    <w:rsid w:val="4E1F62F6"/>
    <w:rsid w:val="4EA5602C"/>
    <w:rsid w:val="4ED2031D"/>
    <w:rsid w:val="4F053468"/>
    <w:rsid w:val="4F2E6E63"/>
    <w:rsid w:val="4F9400C4"/>
    <w:rsid w:val="4FED4628"/>
    <w:rsid w:val="506574AF"/>
    <w:rsid w:val="50B906C0"/>
    <w:rsid w:val="50BD31D8"/>
    <w:rsid w:val="51251158"/>
    <w:rsid w:val="518D16BF"/>
    <w:rsid w:val="52040FAB"/>
    <w:rsid w:val="52120376"/>
    <w:rsid w:val="526F62D1"/>
    <w:rsid w:val="529D60B4"/>
    <w:rsid w:val="52A77E4D"/>
    <w:rsid w:val="52C25982"/>
    <w:rsid w:val="52D22B48"/>
    <w:rsid w:val="52E945DF"/>
    <w:rsid w:val="53101170"/>
    <w:rsid w:val="539A5738"/>
    <w:rsid w:val="53A45945"/>
    <w:rsid w:val="54BB7377"/>
    <w:rsid w:val="54EA6F8C"/>
    <w:rsid w:val="550564FD"/>
    <w:rsid w:val="561635B7"/>
    <w:rsid w:val="5618142A"/>
    <w:rsid w:val="57142982"/>
    <w:rsid w:val="57153701"/>
    <w:rsid w:val="576F3D1B"/>
    <w:rsid w:val="577F39BE"/>
    <w:rsid w:val="579041C9"/>
    <w:rsid w:val="58153286"/>
    <w:rsid w:val="58311772"/>
    <w:rsid w:val="5870229A"/>
    <w:rsid w:val="58744FA8"/>
    <w:rsid w:val="58FF07C7"/>
    <w:rsid w:val="59BB133A"/>
    <w:rsid w:val="5A9A6669"/>
    <w:rsid w:val="5ACE5056"/>
    <w:rsid w:val="5CEE7FF6"/>
    <w:rsid w:val="5CFE7579"/>
    <w:rsid w:val="5D8B7F79"/>
    <w:rsid w:val="5D9C7014"/>
    <w:rsid w:val="5E40685E"/>
    <w:rsid w:val="5E7D1D29"/>
    <w:rsid w:val="5EE13F90"/>
    <w:rsid w:val="5F7E496F"/>
    <w:rsid w:val="5FBE4A39"/>
    <w:rsid w:val="5FC353A5"/>
    <w:rsid w:val="5FD536B3"/>
    <w:rsid w:val="5FEC257B"/>
    <w:rsid w:val="6044381A"/>
    <w:rsid w:val="60D26297"/>
    <w:rsid w:val="619217FD"/>
    <w:rsid w:val="626351D7"/>
    <w:rsid w:val="628A39FA"/>
    <w:rsid w:val="62A43769"/>
    <w:rsid w:val="62C0545C"/>
    <w:rsid w:val="62F31AFE"/>
    <w:rsid w:val="6301625D"/>
    <w:rsid w:val="631E1C7A"/>
    <w:rsid w:val="633B0D18"/>
    <w:rsid w:val="633D4B6E"/>
    <w:rsid w:val="63453518"/>
    <w:rsid w:val="63D659EB"/>
    <w:rsid w:val="64056A7F"/>
    <w:rsid w:val="64487C27"/>
    <w:rsid w:val="64CF659A"/>
    <w:rsid w:val="65471CB1"/>
    <w:rsid w:val="656C5B97"/>
    <w:rsid w:val="6623094C"/>
    <w:rsid w:val="66527100"/>
    <w:rsid w:val="66687C27"/>
    <w:rsid w:val="672359FF"/>
    <w:rsid w:val="67312852"/>
    <w:rsid w:val="67443E93"/>
    <w:rsid w:val="67C84E74"/>
    <w:rsid w:val="680C4ABC"/>
    <w:rsid w:val="690F1528"/>
    <w:rsid w:val="69407A67"/>
    <w:rsid w:val="69627F47"/>
    <w:rsid w:val="69654847"/>
    <w:rsid w:val="69A43688"/>
    <w:rsid w:val="6AA840D4"/>
    <w:rsid w:val="6D4B0F4F"/>
    <w:rsid w:val="6DE150DF"/>
    <w:rsid w:val="6E511E4E"/>
    <w:rsid w:val="6E5726B1"/>
    <w:rsid w:val="6E8157A9"/>
    <w:rsid w:val="6FAE5625"/>
    <w:rsid w:val="6FCC1BFB"/>
    <w:rsid w:val="6FFDBE7A"/>
    <w:rsid w:val="70553A48"/>
    <w:rsid w:val="71060379"/>
    <w:rsid w:val="71B00731"/>
    <w:rsid w:val="71FC3D99"/>
    <w:rsid w:val="722717C4"/>
    <w:rsid w:val="72700F9E"/>
    <w:rsid w:val="729B3B13"/>
    <w:rsid w:val="72C31E23"/>
    <w:rsid w:val="734C3630"/>
    <w:rsid w:val="737E6DB7"/>
    <w:rsid w:val="73D20705"/>
    <w:rsid w:val="743E555E"/>
    <w:rsid w:val="74763392"/>
    <w:rsid w:val="74A04134"/>
    <w:rsid w:val="75313507"/>
    <w:rsid w:val="758A1640"/>
    <w:rsid w:val="75CA0CC1"/>
    <w:rsid w:val="7605515A"/>
    <w:rsid w:val="763C7396"/>
    <w:rsid w:val="76966F18"/>
    <w:rsid w:val="7698346A"/>
    <w:rsid w:val="76D31AF0"/>
    <w:rsid w:val="774933D6"/>
    <w:rsid w:val="77702DE3"/>
    <w:rsid w:val="77A44FB4"/>
    <w:rsid w:val="77CA514A"/>
    <w:rsid w:val="780A0551"/>
    <w:rsid w:val="795F78C9"/>
    <w:rsid w:val="798968C0"/>
    <w:rsid w:val="7A0B2638"/>
    <w:rsid w:val="7A232871"/>
    <w:rsid w:val="7AAD5B3F"/>
    <w:rsid w:val="7AD65B35"/>
    <w:rsid w:val="7B41716B"/>
    <w:rsid w:val="7B7A5693"/>
    <w:rsid w:val="7BC95036"/>
    <w:rsid w:val="7BEA18F8"/>
    <w:rsid w:val="7C8B7B63"/>
    <w:rsid w:val="7CF519D5"/>
    <w:rsid w:val="7D39359A"/>
    <w:rsid w:val="7D5316BF"/>
    <w:rsid w:val="7E042183"/>
    <w:rsid w:val="7E5A2860"/>
    <w:rsid w:val="7E8E4C02"/>
    <w:rsid w:val="7EFA53F3"/>
    <w:rsid w:val="7F363F9C"/>
    <w:rsid w:val="7F7B4BAE"/>
    <w:rsid w:val="B7FECC2D"/>
    <w:rsid w:val="BF7B38BF"/>
    <w:rsid w:val="DFEE5D51"/>
    <w:rsid w:val="E5EF8D34"/>
    <w:rsid w:val="ED7ECE6B"/>
    <w:rsid w:val="EFFF3A75"/>
    <w:rsid w:val="F5FE39CD"/>
    <w:rsid w:val="FDFFFC44"/>
    <w:rsid w:val="FF5F377F"/>
    <w:rsid w:val="FFE7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99"/>
    <w:pPr>
      <w:spacing w:after="120"/>
      <w:ind w:left="420" w:leftChars="200"/>
    </w:pPr>
  </w:style>
  <w:style w:type="paragraph" w:styleId="7">
    <w:name w:val="List Number"/>
    <w:basedOn w:val="1"/>
    <w:qFormat/>
    <w:uiPriority w:val="0"/>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99"/>
    <w:pPr>
      <w:spacing w:line="360" w:lineRule="exact"/>
    </w:pPr>
    <w:rPr>
      <w:sz w:val="24"/>
    </w:rPr>
  </w:style>
  <w:style w:type="paragraph" w:styleId="11">
    <w:name w:val="Block Text"/>
    <w:basedOn w:val="1"/>
    <w:next w:val="6"/>
    <w:qFormat/>
    <w:uiPriority w:val="99"/>
    <w:pPr>
      <w:adjustRightInd w:val="0"/>
      <w:spacing w:line="300" w:lineRule="auto"/>
      <w:ind w:left="958" w:right="-120" w:rightChars="-120"/>
      <w:jc w:val="left"/>
    </w:pPr>
    <w:rPr>
      <w:rFonts w:ascii="宋体" w:hAnsi="宋体"/>
      <w:sz w:val="28"/>
    </w:rPr>
  </w:style>
  <w:style w:type="paragraph" w:styleId="12">
    <w:name w:val="Plain Text"/>
    <w:basedOn w:val="1"/>
    <w:qFormat/>
    <w:uiPriority w:val="99"/>
    <w:rPr>
      <w:rFonts w:ascii="宋体" w:hAnsi="Courier New"/>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4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4"/>
    <w:basedOn w:val="1"/>
    <w:next w:val="1"/>
    <w:qFormat/>
    <w:uiPriority w:val="39"/>
    <w:pPr>
      <w:widowControl/>
      <w:ind w:left="600"/>
      <w:jc w:val="left"/>
    </w:pPr>
    <w:rPr>
      <w:kern w:val="0"/>
      <w:sz w:val="18"/>
      <w:szCs w:val="20"/>
    </w:rPr>
  </w:style>
  <w:style w:type="paragraph" w:styleId="18">
    <w:name w:val="footnote text"/>
    <w:basedOn w:val="1"/>
    <w:semiHidden/>
    <w:unhideWhenUsed/>
    <w:qFormat/>
    <w:uiPriority w:val="99"/>
    <w:pPr>
      <w:snapToGrid w:val="0"/>
      <w:jc w:val="left"/>
    </w:pPr>
    <w:rPr>
      <w:sz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kern w:val="0"/>
      <w:sz w:val="32"/>
      <w:szCs w:val="32"/>
    </w:rPr>
  </w:style>
  <w:style w:type="paragraph" w:styleId="21">
    <w:name w:val="Body Text First Indent"/>
    <w:basedOn w:val="10"/>
    <w:next w:val="1"/>
    <w:qFormat/>
    <w:uiPriority w:val="99"/>
    <w:pPr>
      <w:ind w:firstLine="420"/>
    </w:pPr>
    <w:rPr>
      <w:sz w:val="21"/>
      <w:szCs w:val="21"/>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qFormat/>
    <w:uiPriority w:val="0"/>
    <w:rPr>
      <w:i/>
    </w:rPr>
  </w:style>
  <w:style w:type="character" w:styleId="26">
    <w:name w:val="annotation reference"/>
    <w:basedOn w:val="24"/>
    <w:qFormat/>
    <w:uiPriority w:val="0"/>
    <w:rPr>
      <w:sz w:val="21"/>
      <w:szCs w:val="21"/>
    </w:rPr>
  </w:style>
  <w:style w:type="character" w:styleId="27">
    <w:name w:val="footnote reference"/>
    <w:basedOn w:val="24"/>
    <w:semiHidden/>
    <w:unhideWhenUsed/>
    <w:qFormat/>
    <w:uiPriority w:val="99"/>
    <w:rPr>
      <w:vertAlign w:val="superscript"/>
    </w:rPr>
  </w:style>
  <w:style w:type="character" w:customStyle="1" w:styleId="28">
    <w:name w:val="NormalCharacter"/>
    <w:qFormat/>
    <w:uiPriority w:val="0"/>
    <w:rPr>
      <w:rFonts w:ascii="Times New Roman" w:hAnsi="Times New Roman" w:eastAsia="宋体" w:cs="Times New Roman"/>
      <w:kern w:val="2"/>
      <w:sz w:val="21"/>
      <w:szCs w:val="24"/>
      <w:lang w:val="en-US" w:eastAsia="zh-CN" w:bidi="ar-SA"/>
    </w:rPr>
  </w:style>
  <w:style w:type="paragraph" w:customStyle="1" w:styleId="29">
    <w:name w:val="表格文字"/>
    <w:basedOn w:val="1"/>
    <w:qFormat/>
    <w:uiPriority w:val="99"/>
    <w:pPr>
      <w:adjustRightInd w:val="0"/>
      <w:spacing w:line="420" w:lineRule="atLeast"/>
      <w:jc w:val="left"/>
      <w:textAlignment w:val="baseline"/>
    </w:pPr>
    <w:rPr>
      <w:kern w:val="0"/>
    </w:rPr>
  </w:style>
  <w:style w:type="paragraph" w:customStyle="1" w:styleId="30">
    <w:name w:val="NormalIndent"/>
    <w:basedOn w:val="1"/>
    <w:next w:val="1"/>
    <w:qFormat/>
    <w:uiPriority w:val="0"/>
    <w:pPr>
      <w:ind w:firstLine="420"/>
      <w:textAlignment w:val="baseline"/>
    </w:pPr>
    <w:rPr>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正文2"/>
    <w:basedOn w:val="1"/>
    <w:qFormat/>
    <w:uiPriority w:val="0"/>
    <w:pPr>
      <w:spacing w:before="156" w:line="360" w:lineRule="auto"/>
      <w:ind w:firstLine="510" w:firstLineChars="200"/>
    </w:pPr>
    <w:rPr>
      <w:sz w:val="24"/>
      <w:szCs w:val="20"/>
    </w:rPr>
  </w:style>
  <w:style w:type="paragraph" w:customStyle="1" w:styleId="3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2"/>
    <w:basedOn w:val="1"/>
    <w:qFormat/>
    <w:uiPriority w:val="99"/>
    <w:pPr>
      <w:ind w:firstLine="420" w:firstLineChars="200"/>
    </w:pPr>
    <w:rPr>
      <w:sz w:val="24"/>
    </w:rPr>
  </w:style>
  <w:style w:type="paragraph" w:customStyle="1" w:styleId="42">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3">
    <w:name w:val="批注框文本 Char"/>
    <w:basedOn w:val="24"/>
    <w:link w:val="14"/>
    <w:qFormat/>
    <w:uiPriority w:val="0"/>
    <w:rPr>
      <w:rFonts w:ascii="Times New Roman" w:hAnsi="Times New Roman" w:eastAsia="宋体" w:cs="Times New Roman"/>
      <w:kern w:val="2"/>
      <w:sz w:val="18"/>
      <w:szCs w:val="18"/>
    </w:rPr>
  </w:style>
  <w:style w:type="character" w:customStyle="1" w:styleId="44">
    <w:name w:val="UserStyle_29"/>
    <w:qFormat/>
    <w:uiPriority w:val="0"/>
    <w:rPr>
      <w:rFonts w:ascii="宋体" w:hAnsi="宋体" w:eastAsia="宋体"/>
      <w:color w:val="000000"/>
      <w:sz w:val="24"/>
      <w:szCs w:val="24"/>
    </w:rPr>
  </w:style>
  <w:style w:type="paragraph" w:customStyle="1" w:styleId="45">
    <w:name w:val="ListNumber"/>
    <w:basedOn w:val="1"/>
    <w:qFormat/>
    <w:uiPriority w:val="0"/>
    <w:pPr>
      <w:numPr>
        <w:ilvl w:val="0"/>
        <w:numId w:val="2"/>
      </w:numPr>
      <w:ind w:firstLine="0"/>
    </w:pPr>
  </w:style>
  <w:style w:type="paragraph" w:customStyle="1" w:styleId="46">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47">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48">
    <w:name w:val="PlainText"/>
    <w:basedOn w:val="1"/>
    <w:qFormat/>
    <w:uiPriority w:val="0"/>
    <w:pPr>
      <w:textAlignment w:val="baseline"/>
    </w:pPr>
    <w:rPr>
      <w:rFonts w:ascii="宋体" w:hAnsi="Courier New"/>
    </w:rPr>
  </w:style>
  <w:style w:type="paragraph" w:styleId="49">
    <w:name w:val="List Paragraph"/>
    <w:basedOn w:val="1"/>
    <w:qFormat/>
    <w:uiPriority w:val="34"/>
    <w:pPr>
      <w:ind w:firstLine="420" w:firstLineChars="200"/>
    </w:pPr>
  </w:style>
  <w:style w:type="character" w:customStyle="1" w:styleId="50">
    <w:name w:val="标题 1 Char Char"/>
    <w:basedOn w:val="24"/>
    <w:qFormat/>
    <w:uiPriority w:val="99"/>
    <w:rPr>
      <w:rFonts w:eastAsia="宋体" w:cs="Times New Roman"/>
      <w:b/>
      <w:spacing w:val="-2"/>
      <w:sz w:val="24"/>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3">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4">
    <w:name w:val="标题 字符"/>
    <w:link w:val="20"/>
    <w:qFormat/>
    <w:uiPriority w:val="10"/>
    <w:rPr>
      <w:rFonts w:ascii="Cambria" w:hAnsi="Cambria"/>
      <w:b/>
      <w:bCs/>
      <w:kern w:val="0"/>
      <w:sz w:val="32"/>
      <w:szCs w:val="32"/>
    </w:rPr>
  </w:style>
  <w:style w:type="paragraph" w:customStyle="1" w:styleId="55">
    <w:name w:val="正文文本1"/>
    <w:basedOn w:val="1"/>
    <w:qFormat/>
    <w:uiPriority w:val="0"/>
    <w:pPr>
      <w:spacing w:after="120"/>
    </w:pPr>
    <w:rPr>
      <w:rFonts w:ascii="Arial" w:hAnsi="Arial"/>
      <w:color w:val="000000" w:themeColor="text1"/>
      <w:szCs w:val="2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65</Pages>
  <Words>26502</Words>
  <Characters>28497</Characters>
  <Lines>245</Lines>
  <Paragraphs>69</Paragraphs>
  <TotalTime>48</TotalTime>
  <ScaleCrop>false</ScaleCrop>
  <LinksUpToDate>false</LinksUpToDate>
  <CharactersWithSpaces>30208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2021-07-15T06:31:00Z</dcterms:created>
  <dc:creator>潘麒锋</dc:creator>
  <cp:lastModifiedBy>jin</cp:lastModifiedBy>
  <dcterms:modified xsi:type="dcterms:W3CDTF">2024-05-31T01:35:08Z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DFC4C446C09083EE31625866CA918691_43</vt:lpwstr>
  </property>
</Properties>
</file>