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1AC1">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jc w:val="center"/>
        <w:rPr>
          <w:rFonts w:hint="eastAsia" w:ascii="宋体" w:hAnsi="宋体" w:cs="宋体"/>
          <w:b/>
          <w:bCs/>
          <w:color w:val="auto"/>
          <w:kern w:val="0"/>
          <w:sz w:val="32"/>
          <w:szCs w:val="32"/>
          <w:highlight w:val="none"/>
          <w:lang w:val="en-US" w:eastAsia="zh-CN"/>
        </w:rPr>
      </w:pPr>
      <w:r>
        <w:rPr>
          <w:rFonts w:ascii="宋体" w:hAnsi="宋体" w:cs="宋体"/>
          <w:b/>
          <w:bCs/>
          <w:color w:val="auto"/>
          <w:kern w:val="0"/>
          <w:sz w:val="32"/>
          <w:szCs w:val="32"/>
          <w:highlight w:val="none"/>
        </w:rPr>
        <w:t xml:space="preserve"> </w:t>
      </w:r>
      <w:r>
        <w:rPr>
          <w:rFonts w:hint="eastAsia" w:ascii="宋体" w:hAnsi="宋体" w:cs="宋体"/>
          <w:b/>
          <w:bCs/>
          <w:color w:val="auto"/>
          <w:kern w:val="0"/>
          <w:sz w:val="32"/>
          <w:szCs w:val="32"/>
          <w:highlight w:val="none"/>
          <w:lang w:val="en-US" w:eastAsia="zh-CN"/>
        </w:rPr>
        <w:t xml:space="preserve">     </w:t>
      </w:r>
    </w:p>
    <w:p w14:paraId="1C529DE2">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jc w:val="center"/>
        <w:rPr>
          <w:rFonts w:hint="eastAsia" w:ascii="宋体" w:hAnsi="宋体" w:cs="宋体"/>
          <w:b/>
          <w:bCs/>
          <w:color w:val="auto"/>
          <w:kern w:val="0"/>
          <w:sz w:val="32"/>
          <w:szCs w:val="32"/>
          <w:highlight w:val="none"/>
          <w:lang w:val="en-US" w:eastAsia="zh-CN"/>
        </w:rPr>
      </w:pPr>
    </w:p>
    <w:p w14:paraId="76B4F21C">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jc w:val="center"/>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温岭市第一人民医院CDSS+病案首页质控项目</w:t>
      </w:r>
    </w:p>
    <w:p w14:paraId="220481B9">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auto"/>
          <w:kern w:val="0"/>
          <w:sz w:val="32"/>
          <w:szCs w:val="32"/>
          <w:highlight w:val="none"/>
        </w:rPr>
      </w:pPr>
    </w:p>
    <w:p w14:paraId="23FCFFD0">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auto"/>
          <w:kern w:val="0"/>
          <w:sz w:val="32"/>
          <w:szCs w:val="32"/>
          <w:highlight w:val="none"/>
        </w:rPr>
      </w:pPr>
    </w:p>
    <w:p w14:paraId="73EAC92A">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公开招标招标文件（线上电子招投标）</w:t>
      </w:r>
    </w:p>
    <w:p w14:paraId="3B0785C1">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left="540" w:right="924" w:firstLine="355"/>
        <w:jc w:val="center"/>
        <w:rPr>
          <w:rFonts w:hint="eastAsia" w:ascii="宋体" w:hAnsi="宋体" w:cs="宋体"/>
          <w:b/>
          <w:bCs/>
          <w:color w:val="auto"/>
          <w:kern w:val="0"/>
          <w:sz w:val="32"/>
          <w:szCs w:val="32"/>
          <w:highlight w:val="none"/>
        </w:rPr>
      </w:pPr>
    </w:p>
    <w:p w14:paraId="32DC9705">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firstLine="1285" w:firstLineChars="400"/>
        <w:rPr>
          <w:rFonts w:hint="eastAsia" w:ascii="宋体" w:hAnsi="宋体" w:cs="宋体"/>
          <w:b/>
          <w:bCs/>
          <w:color w:val="auto"/>
          <w:kern w:val="0"/>
          <w:sz w:val="32"/>
          <w:szCs w:val="32"/>
          <w:highlight w:val="none"/>
        </w:rPr>
      </w:pPr>
    </w:p>
    <w:p w14:paraId="65711DAC">
      <w:pPr>
        <w:shd w:val="clear" w:color="auto" w:fill="auto"/>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firstLine="643" w:firstLineChars="200"/>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lang w:eastAsia="zh-CN"/>
        </w:rPr>
        <w:t>ZJWS2024-WL14</w:t>
      </w:r>
    </w:p>
    <w:p w14:paraId="6F5C2C2E">
      <w:pPr>
        <w:shd w:val="clear" w:color="auto" w:fill="auto"/>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采购人（章）：温岭市第一人民医院</w:t>
      </w:r>
    </w:p>
    <w:p w14:paraId="1CB30E6E">
      <w:pPr>
        <w:shd w:val="clear" w:color="auto" w:fill="auto"/>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采购代理机构（章）：浙江五石中正工程咨询有限公司</w:t>
      </w:r>
    </w:p>
    <w:p w14:paraId="325743E9">
      <w:pPr>
        <w:shd w:val="clear" w:color="auto" w:fill="auto"/>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备案单位：温岭市财政局政府采购监管科</w:t>
      </w:r>
    </w:p>
    <w:p w14:paraId="1D1B501F">
      <w:pPr>
        <w:shd w:val="clear" w:color="auto" w:fill="auto"/>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cs="宋体"/>
          <w:b/>
          <w:bCs/>
          <w:color w:val="auto"/>
          <w:sz w:val="32"/>
          <w:szCs w:val="32"/>
          <w:highlight w:val="none"/>
        </w:rPr>
      </w:pPr>
    </w:p>
    <w:p w14:paraId="0D6EA9CE">
      <w:pPr>
        <w:shd w:val="clear" w:color="auto" w:fill="auto"/>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cs="宋体"/>
          <w:b/>
          <w:bCs/>
          <w:color w:val="auto"/>
          <w:kern w:val="0"/>
          <w:sz w:val="32"/>
          <w:szCs w:val="32"/>
          <w:highlight w:val="none"/>
        </w:rPr>
      </w:pPr>
      <w:r>
        <w:rPr>
          <w:rFonts w:hint="eastAsia" w:ascii="宋体" w:hAnsi="宋体" w:cs="宋体"/>
          <w:b/>
          <w:bCs/>
          <w:color w:val="auto"/>
          <w:sz w:val="32"/>
          <w:szCs w:val="32"/>
          <w:highlight w:val="none"/>
        </w:rPr>
        <w:t>202</w:t>
      </w:r>
      <w:r>
        <w:rPr>
          <w:rFonts w:hint="eastAsia" w:ascii="宋体" w:hAnsi="宋体" w:cs="宋体"/>
          <w:b/>
          <w:bCs/>
          <w:color w:val="auto"/>
          <w:sz w:val="32"/>
          <w:szCs w:val="32"/>
          <w:highlight w:val="none"/>
          <w:lang w:val="en-US" w:eastAsia="zh-CN"/>
        </w:rPr>
        <w:t>4</w:t>
      </w:r>
      <w:r>
        <w:rPr>
          <w:rFonts w:hint="eastAsia" w:ascii="宋体" w:hAnsi="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11</w:t>
      </w:r>
      <w:r>
        <w:rPr>
          <w:rFonts w:hint="eastAsia" w:ascii="宋体" w:hAnsi="宋体" w:cs="宋体"/>
          <w:b/>
          <w:bCs/>
          <w:color w:val="auto"/>
          <w:kern w:val="0"/>
          <w:sz w:val="32"/>
          <w:szCs w:val="32"/>
          <w:highlight w:val="none"/>
        </w:rPr>
        <w:t>月</w:t>
      </w:r>
    </w:p>
    <w:p w14:paraId="11AFB53D">
      <w:pPr>
        <w:shd w:val="clear" w:color="auto" w:fill="auto"/>
        <w:rPr>
          <w:rFonts w:hint="eastAsia" w:ascii="宋体" w:hAnsi="宋体" w:cs="宋体"/>
          <w:color w:val="auto"/>
          <w:sz w:val="32"/>
          <w:szCs w:val="32"/>
          <w:highlight w:val="none"/>
        </w:rPr>
        <w:sectPr>
          <w:headerReference r:id="rId6" w:type="first"/>
          <w:headerReference r:id="rId4" w:type="default"/>
          <w:headerReference r:id="rId5" w:type="even"/>
          <w:pgSz w:w="11906" w:h="16838"/>
          <w:pgMar w:top="1440" w:right="1800" w:bottom="1440" w:left="1800" w:header="851" w:footer="992" w:gutter="0"/>
          <w:cols w:space="720" w:num="1"/>
          <w:docGrid w:type="lines" w:linePitch="312" w:charSpace="0"/>
        </w:sectPr>
      </w:pPr>
    </w:p>
    <w:p w14:paraId="4298E55E">
      <w:pPr>
        <w:shd w:val="clear" w:color="auto" w:fill="auto"/>
        <w:jc w:val="center"/>
        <w:rPr>
          <w:rFonts w:hint="eastAsia" w:ascii="宋体" w:hAnsi="宋体" w:cs="宋体"/>
          <w:b/>
          <w:bCs/>
          <w:color w:val="auto"/>
          <w:sz w:val="48"/>
          <w:szCs w:val="48"/>
          <w:highlight w:val="none"/>
        </w:rPr>
      </w:pPr>
    </w:p>
    <w:p w14:paraId="245FA6E4">
      <w:pPr>
        <w:shd w:val="clear" w:color="auto" w:fill="auto"/>
        <w:jc w:val="center"/>
        <w:rPr>
          <w:rFonts w:hint="eastAsia" w:ascii="宋体" w:hAnsi="宋体" w:cs="宋体"/>
          <w:b/>
          <w:bCs/>
          <w:color w:val="auto"/>
          <w:sz w:val="48"/>
          <w:szCs w:val="48"/>
          <w:highlight w:val="none"/>
        </w:rPr>
      </w:pPr>
    </w:p>
    <w:p w14:paraId="04A8BCB3">
      <w:pPr>
        <w:shd w:val="clear" w:color="auto" w:fill="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目录</w:t>
      </w:r>
    </w:p>
    <w:p w14:paraId="4381FDB8">
      <w:pPr>
        <w:pStyle w:val="2"/>
        <w:shd w:val="clear" w:color="auto" w:fill="auto"/>
        <w:rPr>
          <w:rFonts w:hint="eastAsia"/>
          <w:color w:val="auto"/>
          <w:highlight w:val="none"/>
        </w:rPr>
      </w:pPr>
    </w:p>
    <w:p w14:paraId="2EB92D10">
      <w:pPr>
        <w:pStyle w:val="56"/>
        <w:shd w:val="clear" w:color="auto" w:fill="auto"/>
        <w:tabs>
          <w:tab w:val="right" w:leader="dot" w:pos="8300"/>
        </w:tabs>
        <w:spacing w:line="480" w:lineRule="auto"/>
        <w:rPr>
          <w:rFonts w:hint="eastAsia"/>
          <w:color w:val="auto"/>
          <w:sz w:val="36"/>
          <w:szCs w:val="36"/>
          <w:highlight w:val="none"/>
        </w:rPr>
      </w:pPr>
    </w:p>
    <w:p w14:paraId="069722DB">
      <w:pPr>
        <w:pStyle w:val="56"/>
        <w:shd w:val="clear" w:color="auto" w:fill="auto"/>
        <w:tabs>
          <w:tab w:val="right" w:leader="dot" w:pos="8300"/>
        </w:tabs>
        <w:spacing w:line="480" w:lineRule="auto"/>
        <w:rPr>
          <w:color w:val="auto"/>
          <w:sz w:val="32"/>
          <w:szCs w:val="32"/>
          <w:highlight w:val="none"/>
        </w:rPr>
      </w:pPr>
      <w:r>
        <w:rPr>
          <w:rFonts w:hint="eastAsia"/>
          <w:color w:val="auto"/>
          <w:sz w:val="36"/>
          <w:szCs w:val="36"/>
          <w:highlight w:val="none"/>
        </w:rPr>
        <w:fldChar w:fldCharType="begin"/>
      </w:r>
      <w:r>
        <w:rPr>
          <w:rFonts w:hint="eastAsia"/>
          <w:color w:val="auto"/>
          <w:sz w:val="36"/>
          <w:szCs w:val="36"/>
          <w:highlight w:val="none"/>
        </w:rPr>
        <w:instrText xml:space="preserve">TOC \o "1-1" \h \u </w:instrText>
      </w:r>
      <w:r>
        <w:rPr>
          <w:rFonts w:hint="eastAsia"/>
          <w:color w:val="auto"/>
          <w:sz w:val="36"/>
          <w:szCs w:val="36"/>
          <w:highlight w:val="none"/>
        </w:rPr>
        <w:fldChar w:fldCharType="separate"/>
      </w:r>
      <w:r>
        <w:rPr>
          <w:rFonts w:hint="eastAsia"/>
          <w:color w:val="auto"/>
          <w:sz w:val="32"/>
          <w:szCs w:val="32"/>
          <w:highlight w:val="none"/>
        </w:rPr>
        <w:fldChar w:fldCharType="begin"/>
      </w:r>
      <w:r>
        <w:rPr>
          <w:rFonts w:hint="eastAsia"/>
          <w:color w:val="auto"/>
          <w:sz w:val="32"/>
          <w:szCs w:val="32"/>
          <w:highlight w:val="none"/>
        </w:rPr>
        <w:instrText xml:space="preserve"> HYPERLINK \l _Toc1693552785 </w:instrText>
      </w:r>
      <w:r>
        <w:rPr>
          <w:rFonts w:hint="eastAsia"/>
          <w:color w:val="auto"/>
          <w:sz w:val="32"/>
          <w:szCs w:val="32"/>
          <w:highlight w:val="none"/>
        </w:rPr>
        <w:fldChar w:fldCharType="separate"/>
      </w:r>
      <w:r>
        <w:rPr>
          <w:rFonts w:hint="eastAsia"/>
          <w:color w:val="auto"/>
          <w:sz w:val="32"/>
          <w:szCs w:val="32"/>
          <w:highlight w:val="none"/>
        </w:rPr>
        <w:t>第一章</w:t>
      </w:r>
      <w:r>
        <w:rPr>
          <w:color w:val="auto"/>
          <w:sz w:val="32"/>
          <w:szCs w:val="32"/>
          <w:highlight w:val="none"/>
        </w:rPr>
        <w:t xml:space="preserve">  </w:t>
      </w:r>
      <w:r>
        <w:rPr>
          <w:rFonts w:hint="eastAsia"/>
          <w:color w:val="auto"/>
          <w:sz w:val="32"/>
          <w:szCs w:val="32"/>
          <w:highlight w:val="none"/>
        </w:rPr>
        <w:t>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_Toc1693552785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hint="eastAsia"/>
          <w:color w:val="auto"/>
          <w:sz w:val="32"/>
          <w:szCs w:val="32"/>
          <w:highlight w:val="none"/>
        </w:rPr>
        <w:fldChar w:fldCharType="end"/>
      </w:r>
    </w:p>
    <w:p w14:paraId="1DCD4090">
      <w:pPr>
        <w:pStyle w:val="56"/>
        <w:shd w:val="clear" w:color="auto" w:fill="auto"/>
        <w:tabs>
          <w:tab w:val="right" w:leader="dot" w:pos="8300"/>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 HYPERLINK \l _Toc950474476 </w:instrText>
      </w:r>
      <w:r>
        <w:rPr>
          <w:rFonts w:hint="eastAsia"/>
          <w:color w:val="auto"/>
          <w:sz w:val="32"/>
          <w:szCs w:val="32"/>
          <w:highlight w:val="none"/>
        </w:rPr>
        <w:fldChar w:fldCharType="separate"/>
      </w:r>
      <w:r>
        <w:rPr>
          <w:rFonts w:hint="eastAsia" w:ascii="宋体" w:hAnsi="宋体" w:cs="宋体"/>
          <w:color w:val="auto"/>
          <w:sz w:val="32"/>
          <w:szCs w:val="32"/>
          <w:highlight w:val="none"/>
        </w:rPr>
        <w:t>第二章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_Toc950474476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hint="eastAsia"/>
          <w:color w:val="auto"/>
          <w:sz w:val="32"/>
          <w:szCs w:val="32"/>
          <w:highlight w:val="none"/>
        </w:rPr>
        <w:fldChar w:fldCharType="end"/>
      </w:r>
    </w:p>
    <w:p w14:paraId="71D2EEF5">
      <w:pPr>
        <w:pStyle w:val="56"/>
        <w:shd w:val="clear" w:color="auto" w:fill="auto"/>
        <w:tabs>
          <w:tab w:val="right" w:leader="dot" w:pos="8300"/>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 HYPERLINK \l _Toc557432954 </w:instrText>
      </w:r>
      <w:r>
        <w:rPr>
          <w:rFonts w:hint="eastAsia"/>
          <w:color w:val="auto"/>
          <w:sz w:val="32"/>
          <w:szCs w:val="32"/>
          <w:highlight w:val="none"/>
        </w:rPr>
        <w:fldChar w:fldCharType="separate"/>
      </w:r>
      <w:r>
        <w:rPr>
          <w:rFonts w:hint="eastAsia" w:ascii="宋体" w:hAnsi="宋体" w:cs="宋体"/>
          <w:bCs/>
          <w:color w:val="auto"/>
          <w:sz w:val="32"/>
          <w:szCs w:val="32"/>
          <w:highlight w:val="none"/>
        </w:rPr>
        <w:t>第三章</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_Toc557432954 \h </w:instrText>
      </w:r>
      <w:r>
        <w:rPr>
          <w:color w:val="auto"/>
          <w:sz w:val="32"/>
          <w:szCs w:val="32"/>
          <w:highlight w:val="none"/>
        </w:rPr>
        <w:fldChar w:fldCharType="separate"/>
      </w:r>
      <w:r>
        <w:rPr>
          <w:color w:val="auto"/>
          <w:sz w:val="32"/>
          <w:szCs w:val="32"/>
          <w:highlight w:val="none"/>
        </w:rPr>
        <w:t>22</w:t>
      </w:r>
      <w:r>
        <w:rPr>
          <w:color w:val="auto"/>
          <w:sz w:val="32"/>
          <w:szCs w:val="32"/>
          <w:highlight w:val="none"/>
        </w:rPr>
        <w:fldChar w:fldCharType="end"/>
      </w:r>
      <w:r>
        <w:rPr>
          <w:rFonts w:hint="eastAsia"/>
          <w:color w:val="auto"/>
          <w:sz w:val="32"/>
          <w:szCs w:val="32"/>
          <w:highlight w:val="none"/>
        </w:rPr>
        <w:fldChar w:fldCharType="end"/>
      </w:r>
    </w:p>
    <w:p w14:paraId="451C1A58">
      <w:pPr>
        <w:pStyle w:val="56"/>
        <w:shd w:val="clear" w:color="auto" w:fill="auto"/>
        <w:tabs>
          <w:tab w:val="right" w:leader="dot" w:pos="8300"/>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 HYPERLINK \l _Toc1737956660 </w:instrText>
      </w:r>
      <w:r>
        <w:rPr>
          <w:rFonts w:hint="eastAsia"/>
          <w:color w:val="auto"/>
          <w:sz w:val="32"/>
          <w:szCs w:val="32"/>
          <w:highlight w:val="none"/>
        </w:rPr>
        <w:fldChar w:fldCharType="separate"/>
      </w:r>
      <w:r>
        <w:rPr>
          <w:rFonts w:hint="eastAsia" w:ascii="宋体" w:hAnsi="宋体" w:cs="宋体"/>
          <w:color w:val="auto"/>
          <w:sz w:val="32"/>
          <w:szCs w:val="32"/>
          <w:highlight w:val="none"/>
        </w:rPr>
        <w:t>第四章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公开招标需求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_Toc1737956660 \h </w:instrText>
      </w:r>
      <w:r>
        <w:rPr>
          <w:color w:val="auto"/>
          <w:sz w:val="32"/>
          <w:szCs w:val="32"/>
          <w:highlight w:val="none"/>
        </w:rPr>
        <w:fldChar w:fldCharType="separate"/>
      </w:r>
      <w:r>
        <w:rPr>
          <w:color w:val="auto"/>
          <w:sz w:val="32"/>
          <w:szCs w:val="32"/>
          <w:highlight w:val="none"/>
        </w:rPr>
        <w:t>25</w:t>
      </w:r>
      <w:r>
        <w:rPr>
          <w:color w:val="auto"/>
          <w:sz w:val="32"/>
          <w:szCs w:val="32"/>
          <w:highlight w:val="none"/>
        </w:rPr>
        <w:fldChar w:fldCharType="end"/>
      </w:r>
      <w:r>
        <w:rPr>
          <w:rFonts w:hint="eastAsia"/>
          <w:color w:val="auto"/>
          <w:sz w:val="32"/>
          <w:szCs w:val="32"/>
          <w:highlight w:val="none"/>
        </w:rPr>
        <w:fldChar w:fldCharType="end"/>
      </w:r>
    </w:p>
    <w:p w14:paraId="73FB3692">
      <w:pPr>
        <w:pStyle w:val="56"/>
        <w:shd w:val="clear" w:color="auto" w:fill="auto"/>
        <w:tabs>
          <w:tab w:val="right" w:leader="dot" w:pos="8300"/>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 HYPERLINK \l _Toc829438283 </w:instrText>
      </w:r>
      <w:r>
        <w:rPr>
          <w:rFonts w:hint="eastAsia"/>
          <w:color w:val="auto"/>
          <w:sz w:val="32"/>
          <w:szCs w:val="32"/>
          <w:highlight w:val="none"/>
        </w:rPr>
        <w:fldChar w:fldCharType="separate"/>
      </w:r>
      <w:r>
        <w:rPr>
          <w:rFonts w:hint="eastAsia" w:ascii="宋体" w:hAnsi="宋体" w:cs="宋体"/>
          <w:color w:val="auto"/>
          <w:sz w:val="32"/>
          <w:szCs w:val="32"/>
          <w:highlight w:val="none"/>
        </w:rPr>
        <w:t>第五章</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政府采购合同主要条款指引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_Toc829438283 \h </w:instrText>
      </w:r>
      <w:r>
        <w:rPr>
          <w:color w:val="auto"/>
          <w:sz w:val="32"/>
          <w:szCs w:val="32"/>
          <w:highlight w:val="none"/>
        </w:rPr>
        <w:fldChar w:fldCharType="separate"/>
      </w:r>
      <w:r>
        <w:rPr>
          <w:color w:val="auto"/>
          <w:sz w:val="32"/>
          <w:szCs w:val="32"/>
          <w:highlight w:val="none"/>
        </w:rPr>
        <w:t>25</w:t>
      </w:r>
      <w:r>
        <w:rPr>
          <w:color w:val="auto"/>
          <w:sz w:val="32"/>
          <w:szCs w:val="32"/>
          <w:highlight w:val="none"/>
        </w:rPr>
        <w:fldChar w:fldCharType="end"/>
      </w:r>
      <w:r>
        <w:rPr>
          <w:rFonts w:hint="eastAsia"/>
          <w:color w:val="auto"/>
          <w:sz w:val="32"/>
          <w:szCs w:val="32"/>
          <w:highlight w:val="none"/>
        </w:rPr>
        <w:fldChar w:fldCharType="end"/>
      </w:r>
    </w:p>
    <w:p w14:paraId="3B32ADD2">
      <w:pPr>
        <w:pStyle w:val="56"/>
        <w:shd w:val="clear" w:color="auto" w:fill="auto"/>
        <w:tabs>
          <w:tab w:val="right" w:leader="dot" w:pos="8300"/>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 HYPERLINK \l _Toc1052869704 </w:instrText>
      </w:r>
      <w:r>
        <w:rPr>
          <w:rFonts w:hint="eastAsia"/>
          <w:color w:val="auto"/>
          <w:sz w:val="32"/>
          <w:szCs w:val="32"/>
          <w:highlight w:val="none"/>
        </w:rPr>
        <w:fldChar w:fldCharType="separate"/>
      </w:r>
      <w:r>
        <w:rPr>
          <w:rFonts w:hint="eastAsia"/>
          <w:color w:val="auto"/>
          <w:sz w:val="32"/>
          <w:szCs w:val="32"/>
          <w:highlight w:val="none"/>
        </w:rPr>
        <w:t>第六章</w:t>
      </w:r>
      <w:r>
        <w:rPr>
          <w:color w:val="auto"/>
          <w:sz w:val="32"/>
          <w:szCs w:val="32"/>
          <w:highlight w:val="none"/>
        </w:rPr>
        <w:t xml:space="preserve">  </w:t>
      </w:r>
      <w:r>
        <w:rPr>
          <w:rFonts w:hint="eastAsia"/>
          <w:color w:val="auto"/>
          <w:sz w:val="32"/>
          <w:szCs w:val="32"/>
          <w:highlight w:val="none"/>
        </w:rPr>
        <w:t>投标文件格式附件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_Toc1052869704 \h </w:instrText>
      </w:r>
      <w:r>
        <w:rPr>
          <w:color w:val="auto"/>
          <w:sz w:val="32"/>
          <w:szCs w:val="32"/>
          <w:highlight w:val="none"/>
        </w:rPr>
        <w:fldChar w:fldCharType="separate"/>
      </w:r>
      <w:r>
        <w:rPr>
          <w:color w:val="auto"/>
          <w:sz w:val="32"/>
          <w:szCs w:val="32"/>
          <w:highlight w:val="none"/>
        </w:rPr>
        <w:t>71</w:t>
      </w:r>
      <w:r>
        <w:rPr>
          <w:color w:val="auto"/>
          <w:sz w:val="32"/>
          <w:szCs w:val="32"/>
          <w:highlight w:val="none"/>
        </w:rPr>
        <w:fldChar w:fldCharType="end"/>
      </w:r>
      <w:r>
        <w:rPr>
          <w:rFonts w:hint="eastAsia"/>
          <w:color w:val="auto"/>
          <w:sz w:val="32"/>
          <w:szCs w:val="32"/>
          <w:highlight w:val="none"/>
        </w:rPr>
        <w:fldChar w:fldCharType="end"/>
      </w:r>
    </w:p>
    <w:p w14:paraId="004EFF0C">
      <w:pPr>
        <w:pStyle w:val="56"/>
        <w:shd w:val="clear" w:color="auto" w:fill="auto"/>
        <w:tabs>
          <w:tab w:val="right" w:leader="dot" w:pos="8300"/>
        </w:tabs>
        <w:rPr>
          <w:color w:val="auto"/>
          <w:highlight w:val="none"/>
        </w:rPr>
      </w:pPr>
    </w:p>
    <w:p w14:paraId="1F850224">
      <w:pPr>
        <w:pStyle w:val="2"/>
        <w:shd w:val="clear" w:color="auto" w:fill="auto"/>
        <w:spacing w:line="480" w:lineRule="auto"/>
        <w:rPr>
          <w:rFonts w:hint="eastAsia"/>
          <w:color w:val="auto"/>
          <w:sz w:val="36"/>
          <w:szCs w:val="36"/>
          <w:highlight w:val="none"/>
        </w:rPr>
      </w:pPr>
      <w:r>
        <w:rPr>
          <w:rFonts w:hint="eastAsia"/>
          <w:color w:val="auto"/>
          <w:szCs w:val="36"/>
          <w:highlight w:val="none"/>
        </w:rPr>
        <w:fldChar w:fldCharType="end"/>
      </w:r>
    </w:p>
    <w:p w14:paraId="1BE2A5CA">
      <w:pPr>
        <w:pStyle w:val="2"/>
        <w:shd w:val="clear" w:color="auto" w:fill="auto"/>
        <w:rPr>
          <w:rFonts w:hint="eastAsia"/>
          <w:color w:val="auto"/>
          <w:highlight w:val="none"/>
        </w:rPr>
      </w:pPr>
    </w:p>
    <w:p w14:paraId="4702545C">
      <w:pPr>
        <w:shd w:val="clear" w:color="auto" w:fill="auto"/>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cs="宋体"/>
          <w:b/>
          <w:bCs/>
          <w:color w:val="auto"/>
          <w:sz w:val="36"/>
          <w:szCs w:val="36"/>
          <w:highlight w:val="none"/>
        </w:rPr>
      </w:pPr>
    </w:p>
    <w:p w14:paraId="32942519">
      <w:pPr>
        <w:pStyle w:val="56"/>
        <w:shd w:val="clear" w:color="auto" w:fill="auto"/>
        <w:tabs>
          <w:tab w:val="right" w:leader="dot" w:pos="8300"/>
        </w:tabs>
        <w:spacing w:line="300" w:lineRule="auto"/>
        <w:ind w:firstLine="400" w:firstLineChars="200"/>
        <w:rPr>
          <w:rFonts w:hint="eastAsia" w:ascii="宋体" w:hAnsi="宋体" w:cs="宋体"/>
          <w:color w:val="auto"/>
          <w:highlight w:val="none"/>
        </w:rPr>
      </w:pPr>
    </w:p>
    <w:p w14:paraId="44B95F99">
      <w:pPr>
        <w:shd w:val="clear" w:color="auto" w:fill="auto"/>
        <w:spacing w:line="360" w:lineRule="auto"/>
        <w:rPr>
          <w:rFonts w:hint="eastAsia" w:ascii="宋体" w:hAnsi="宋体" w:cs="宋体"/>
          <w:color w:val="auto"/>
          <w:highlight w:val="none"/>
        </w:rPr>
      </w:pPr>
    </w:p>
    <w:p w14:paraId="6FF8166F">
      <w:pPr>
        <w:pStyle w:val="2"/>
        <w:shd w:val="clear" w:color="auto" w:fill="auto"/>
        <w:rPr>
          <w:rFonts w:hint="eastAsia" w:ascii="宋体" w:hAnsi="宋体" w:cs="宋体"/>
          <w:color w:val="auto"/>
          <w:highlight w:val="none"/>
        </w:rPr>
        <w:sectPr>
          <w:headerReference r:id="rId7" w:type="default"/>
          <w:footerReference r:id="rId8" w:type="default"/>
          <w:pgSz w:w="11900" w:h="16838"/>
          <w:pgMar w:top="1440" w:right="1800" w:bottom="1440" w:left="1800" w:header="0" w:footer="850" w:gutter="0"/>
          <w:pgNumType w:start="1"/>
          <w:cols w:space="720" w:num="1"/>
          <w:docGrid w:linePitch="360" w:charSpace="0"/>
        </w:sectPr>
      </w:pPr>
    </w:p>
    <w:p w14:paraId="309FDA61">
      <w:pPr>
        <w:pStyle w:val="5"/>
        <w:shd w:val="clear" w:color="auto" w:fill="auto"/>
        <w:rPr>
          <w:rFonts w:hint="eastAsia"/>
          <w:color w:val="auto"/>
          <w:highlight w:val="none"/>
        </w:rPr>
      </w:pPr>
      <w:bookmarkStart w:id="0" w:name="_Toc1693552785"/>
      <w:bookmarkStart w:id="1" w:name="_Toc2725"/>
      <w:bookmarkStart w:id="2" w:name="_Toc12621"/>
      <w:bookmarkStart w:id="3" w:name="_Toc16671"/>
      <w:bookmarkStart w:id="4" w:name="_Toc21658"/>
      <w:bookmarkStart w:id="5" w:name="_Toc21678"/>
      <w:r>
        <w:rPr>
          <w:rFonts w:hint="eastAsia"/>
          <w:color w:val="auto"/>
          <w:highlight w:val="none"/>
        </w:rPr>
        <w:t>第一章</w:t>
      </w:r>
      <w:r>
        <w:rPr>
          <w:color w:val="auto"/>
          <w:highlight w:val="none"/>
        </w:rPr>
        <w:t xml:space="preserve">  </w:t>
      </w:r>
      <w:r>
        <w:rPr>
          <w:rFonts w:hint="eastAsia"/>
          <w:color w:val="auto"/>
          <w:highlight w:val="none"/>
        </w:rPr>
        <w:t>招标公告</w:t>
      </w:r>
      <w:bookmarkEnd w:id="0"/>
      <w:bookmarkEnd w:id="1"/>
      <w:bookmarkEnd w:id="2"/>
      <w:bookmarkEnd w:id="3"/>
      <w:bookmarkEnd w:id="4"/>
      <w:bookmarkEnd w:id="5"/>
    </w:p>
    <w:p w14:paraId="1C083047">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52866099">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温岭市第一人民医院CDSS+病案首页质控项目</w:t>
      </w:r>
      <w:r>
        <w:rPr>
          <w:rFonts w:hint="eastAsia" w:ascii="宋体" w:hAnsi="宋体" w:cs="宋体"/>
          <w:color w:val="auto"/>
          <w:sz w:val="24"/>
          <w:szCs w:val="24"/>
          <w:highlight w:val="none"/>
        </w:rPr>
        <w:t>的潜在投标人应在“政府采购云平台”获取招标文件，并于：</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:00</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14:paraId="4E9BE543">
      <w:pPr>
        <w:pStyle w:val="6"/>
        <w:shd w:val="clear" w:color="auto" w:fill="auto"/>
        <w:spacing w:line="360" w:lineRule="auto"/>
        <w:jc w:val="left"/>
        <w:rPr>
          <w:rFonts w:hint="eastAsia" w:ascii="宋体" w:hAnsi="宋体" w:cs="宋体"/>
          <w:bCs w:val="0"/>
          <w:color w:val="auto"/>
          <w:sz w:val="24"/>
          <w:szCs w:val="24"/>
          <w:highlight w:val="none"/>
        </w:rPr>
      </w:pPr>
      <w:bookmarkStart w:id="6" w:name="_Toc35393621"/>
      <w:bookmarkStart w:id="7" w:name="_Toc20649"/>
      <w:bookmarkStart w:id="8" w:name="_Toc28359002"/>
      <w:bookmarkStart w:id="9" w:name="_Toc28359079"/>
      <w:bookmarkStart w:id="10" w:name="_Toc28684"/>
      <w:bookmarkStart w:id="11" w:name="_Toc2565"/>
      <w:bookmarkStart w:id="12" w:name="_Toc35393790"/>
      <w:bookmarkStart w:id="13" w:name="_Hlk24379207"/>
      <w:r>
        <w:rPr>
          <w:rFonts w:hint="eastAsia" w:ascii="宋体" w:hAnsi="宋体" w:cs="宋体"/>
          <w:bCs w:val="0"/>
          <w:color w:val="auto"/>
          <w:sz w:val="24"/>
          <w:szCs w:val="24"/>
          <w:highlight w:val="none"/>
        </w:rPr>
        <w:t>一、项目基本情况</w:t>
      </w:r>
      <w:bookmarkEnd w:id="6"/>
      <w:bookmarkEnd w:id="7"/>
      <w:bookmarkEnd w:id="8"/>
      <w:bookmarkEnd w:id="9"/>
      <w:bookmarkEnd w:id="10"/>
      <w:bookmarkEnd w:id="11"/>
      <w:bookmarkEnd w:id="12"/>
    </w:p>
    <w:p w14:paraId="2B0506CE">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ZJWS2024-WL14</w:t>
      </w:r>
      <w:r>
        <w:rPr>
          <w:rFonts w:hint="eastAsia" w:ascii="宋体" w:hAnsi="宋体" w:cs="宋体"/>
          <w:color w:val="auto"/>
          <w:sz w:val="24"/>
          <w:szCs w:val="24"/>
          <w:highlight w:val="none"/>
        </w:rPr>
        <w:t>。</w:t>
      </w:r>
    </w:p>
    <w:p w14:paraId="1E118A21">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温岭市第一人民医院CDSS+病案首页质控项目</w:t>
      </w:r>
      <w:r>
        <w:rPr>
          <w:rFonts w:hint="eastAsia" w:ascii="宋体" w:hAnsi="宋体" w:cs="宋体"/>
          <w:color w:val="auto"/>
          <w:sz w:val="24"/>
          <w:szCs w:val="24"/>
          <w:highlight w:val="none"/>
        </w:rPr>
        <w:t>。</w:t>
      </w:r>
    </w:p>
    <w:bookmarkEnd w:id="13"/>
    <w:p w14:paraId="32A4001A">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本项目标段数：一。</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115"/>
        <w:gridCol w:w="2129"/>
        <w:gridCol w:w="2130"/>
      </w:tblGrid>
      <w:tr w14:paraId="7E77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14:paraId="49890BD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标段号</w:t>
            </w:r>
          </w:p>
        </w:tc>
        <w:tc>
          <w:tcPr>
            <w:tcW w:w="1829" w:type="pct"/>
            <w:noWrap w:val="0"/>
            <w:vAlign w:val="top"/>
          </w:tcPr>
          <w:p w14:paraId="65E32CA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采购内容</w:t>
            </w:r>
          </w:p>
        </w:tc>
        <w:tc>
          <w:tcPr>
            <w:tcW w:w="1250" w:type="pct"/>
            <w:noWrap w:val="0"/>
            <w:vAlign w:val="top"/>
          </w:tcPr>
          <w:p w14:paraId="1866084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项目预算（万元）</w:t>
            </w:r>
          </w:p>
        </w:tc>
        <w:tc>
          <w:tcPr>
            <w:tcW w:w="1250" w:type="pct"/>
            <w:noWrap w:val="0"/>
            <w:vAlign w:val="top"/>
          </w:tcPr>
          <w:p w14:paraId="2F0A415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最高限价（万元）</w:t>
            </w:r>
          </w:p>
        </w:tc>
      </w:tr>
      <w:tr w14:paraId="763D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noWrap w:val="0"/>
            <w:vAlign w:val="top"/>
          </w:tcPr>
          <w:p w14:paraId="4E80B4E4">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一</w:t>
            </w:r>
          </w:p>
        </w:tc>
        <w:tc>
          <w:tcPr>
            <w:tcW w:w="1829" w:type="pct"/>
            <w:noWrap w:val="0"/>
            <w:vAlign w:val="top"/>
          </w:tcPr>
          <w:p w14:paraId="51F4E25D">
            <w:pPr>
              <w:keepNext w:val="0"/>
              <w:keepLines w:val="0"/>
              <w:suppressLineNumbers w:val="0"/>
              <w:shd w:val="clear" w:color="auto" w:fill="auto"/>
              <w:spacing w:before="0" w:beforeAutospacing="0" w:after="0" w:afterAutospacing="0"/>
              <w:ind w:left="0" w:right="0"/>
              <w:jc w:val="both"/>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临床决策支持系统CDSS、病案首页质量控制系统</w:t>
            </w:r>
            <w:r>
              <w:rPr>
                <w:rFonts w:hint="default" w:ascii="宋体" w:hAnsi="宋体" w:cs="宋体"/>
                <w:color w:val="auto"/>
                <w:sz w:val="24"/>
                <w:szCs w:val="24"/>
                <w:highlight w:val="none"/>
              </w:rPr>
              <w:t>，</w:t>
            </w:r>
            <w:r>
              <w:rPr>
                <w:rFonts w:hint="eastAsia" w:ascii="宋体" w:hAnsi="宋体" w:cs="宋体"/>
                <w:color w:val="auto"/>
                <w:sz w:val="24"/>
                <w:szCs w:val="24"/>
                <w:highlight w:val="none"/>
              </w:rPr>
              <w:t>详见采购需求</w:t>
            </w:r>
          </w:p>
        </w:tc>
        <w:tc>
          <w:tcPr>
            <w:tcW w:w="1250" w:type="pct"/>
            <w:noWrap w:val="0"/>
            <w:vAlign w:val="center"/>
          </w:tcPr>
          <w:p w14:paraId="6A347A31">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160</w:t>
            </w:r>
          </w:p>
        </w:tc>
        <w:tc>
          <w:tcPr>
            <w:tcW w:w="1250" w:type="pct"/>
            <w:noWrap w:val="0"/>
            <w:vAlign w:val="center"/>
          </w:tcPr>
          <w:p w14:paraId="49B9B0D3">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160</w:t>
            </w:r>
          </w:p>
        </w:tc>
      </w:tr>
    </w:tbl>
    <w:p w14:paraId="6D7138EC">
      <w:pPr>
        <w:pStyle w:val="6"/>
        <w:numPr>
          <w:ilvl w:val="0"/>
          <w:numId w:val="0"/>
        </w:numPr>
        <w:shd w:val="clear" w:color="auto" w:fill="auto"/>
        <w:spacing w:line="360" w:lineRule="auto"/>
        <w:ind w:firstLine="480" w:firstLineChars="200"/>
        <w:jc w:val="left"/>
        <w:rPr>
          <w:rFonts w:hint="eastAsia" w:ascii="宋体" w:hAnsi="宋体" w:cs="宋体"/>
          <w:b w:val="0"/>
          <w:bCs/>
          <w:color w:val="auto"/>
          <w:sz w:val="24"/>
          <w:szCs w:val="24"/>
          <w:highlight w:val="none"/>
        </w:rPr>
      </w:pPr>
      <w:bookmarkStart w:id="14" w:name="_Toc35393622"/>
      <w:bookmarkStart w:id="15" w:name="_Toc32335"/>
      <w:bookmarkStart w:id="16" w:name="_Toc28359003"/>
      <w:bookmarkStart w:id="17" w:name="_Toc12390"/>
      <w:bookmarkStart w:id="18" w:name="_Toc35393791"/>
      <w:bookmarkStart w:id="19" w:name="_Toc28359080"/>
      <w:bookmarkStart w:id="20" w:name="_Toc190"/>
      <w:r>
        <w:rPr>
          <w:rFonts w:hint="eastAsia" w:ascii="宋体" w:hAnsi="宋体" w:cs="宋体"/>
          <w:b w:val="0"/>
          <w:bCs/>
          <w:color w:val="auto"/>
          <w:sz w:val="24"/>
          <w:szCs w:val="24"/>
          <w:highlight w:val="none"/>
          <w:lang w:val="en-US" w:eastAsia="zh-CN"/>
        </w:rPr>
        <w:t>工期：</w:t>
      </w:r>
      <w:r>
        <w:rPr>
          <w:rFonts w:hint="eastAsia" w:ascii="宋体" w:hAnsi="宋体" w:cs="宋体"/>
          <w:b w:val="0"/>
          <w:bCs/>
          <w:color w:val="auto"/>
          <w:sz w:val="24"/>
          <w:szCs w:val="24"/>
          <w:highlight w:val="none"/>
        </w:rPr>
        <w:t>项目建设周期需要在</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个月内完成信息化建设。</w:t>
      </w:r>
    </w:p>
    <w:p w14:paraId="70FDDAE6">
      <w:pPr>
        <w:pStyle w:val="6"/>
        <w:numPr>
          <w:ilvl w:val="0"/>
          <w:numId w:val="2"/>
        </w:numPr>
        <w:shd w:val="clear" w:color="auto" w:fill="auto"/>
        <w:spacing w:line="360" w:lineRule="auto"/>
        <w:jc w:val="left"/>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申请人的资格要求：</w:t>
      </w:r>
      <w:bookmarkEnd w:id="14"/>
      <w:bookmarkEnd w:id="15"/>
      <w:bookmarkEnd w:id="16"/>
      <w:bookmarkEnd w:id="17"/>
      <w:bookmarkEnd w:id="18"/>
      <w:bookmarkEnd w:id="19"/>
      <w:bookmarkEnd w:id="20"/>
    </w:p>
    <w:p w14:paraId="112A2496">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3314DFCD">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33C5F62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025744FA">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7257EE3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43B5E243">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69187001">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2.单位负责人为同一人或者存在直接控股、管理关系的不同供应商，不得同时参加同一合同项下的投标；</w:t>
      </w:r>
    </w:p>
    <w:p w14:paraId="3ADAAFB4">
      <w:pPr>
        <w:shd w:val="clear" w:color="auto" w:fill="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3.为项目提供整体设计、规范编制或者项目管理、监理、检测等服务的供应商，不得参加该项目的投标；</w:t>
      </w:r>
      <w:r>
        <w:rPr>
          <w:rFonts w:hint="eastAsia" w:ascii="宋体" w:hAnsi="宋体" w:cs="宋体"/>
          <w:color w:val="auto"/>
          <w:sz w:val="24"/>
          <w:szCs w:val="24"/>
          <w:highlight w:val="none"/>
          <w:lang w:val="en-US" w:eastAsia="zh-CN"/>
        </w:rPr>
        <w:t xml:space="preserve"> </w:t>
      </w:r>
    </w:p>
    <w:p w14:paraId="54592D48">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4.未被“信用中国”（www.creditchina.gov.cn)、中国政府采购网（www.ccgp.gov.cn）列入失信被执行人、</w:t>
      </w:r>
      <w:r>
        <w:rPr>
          <w:rFonts w:ascii="宋体" w:hAnsi="宋体" w:cs="宋体"/>
          <w:color w:val="auto"/>
          <w:sz w:val="24"/>
          <w:szCs w:val="24"/>
          <w:highlight w:val="none"/>
        </w:rPr>
        <w:t>重大税收违法失信主体</w:t>
      </w:r>
      <w:r>
        <w:rPr>
          <w:rFonts w:hint="eastAsia" w:ascii="宋体" w:hAnsi="宋体" w:cs="宋体"/>
          <w:color w:val="auto"/>
          <w:sz w:val="24"/>
          <w:szCs w:val="24"/>
          <w:highlight w:val="none"/>
        </w:rPr>
        <w:t>、政府采购严重违法失信行为记录名单。</w:t>
      </w:r>
    </w:p>
    <w:p w14:paraId="3DE0D85E">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5.公益一类事业单位不属于政府购买服务的承接主体，不得参与承接政府购买服务；</w:t>
      </w:r>
    </w:p>
    <w:p w14:paraId="085C0413">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zCs w:val="32"/>
          <w:highlight w:val="none"/>
        </w:rPr>
        <w:t>本项目专门面向中小企业采购（须在资格证明文件里提供《中小企业声明函》）；</w:t>
      </w:r>
    </w:p>
    <w:p w14:paraId="39A6094C">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7.本项目不接受联合体投标；</w:t>
      </w:r>
    </w:p>
    <w:p w14:paraId="478776E7">
      <w:pPr>
        <w:pStyle w:val="6"/>
        <w:shd w:val="clear" w:color="auto" w:fill="auto"/>
        <w:spacing w:line="360" w:lineRule="auto"/>
        <w:jc w:val="left"/>
        <w:rPr>
          <w:rFonts w:hint="eastAsia" w:ascii="宋体" w:hAnsi="宋体" w:cs="宋体"/>
          <w:bCs w:val="0"/>
          <w:color w:val="auto"/>
          <w:sz w:val="24"/>
          <w:szCs w:val="24"/>
          <w:highlight w:val="none"/>
        </w:rPr>
      </w:pPr>
      <w:bookmarkStart w:id="21" w:name="_Toc28359081"/>
      <w:bookmarkStart w:id="22" w:name="_Toc35393623"/>
      <w:bookmarkStart w:id="23" w:name="_Toc540"/>
      <w:bookmarkStart w:id="24" w:name="_Toc28359004"/>
      <w:bookmarkStart w:id="25" w:name="_Toc35393792"/>
      <w:bookmarkStart w:id="26" w:name="_Toc1358"/>
      <w:bookmarkStart w:id="27" w:name="_Toc24036"/>
      <w:r>
        <w:rPr>
          <w:rFonts w:hint="eastAsia" w:ascii="宋体" w:hAnsi="宋体" w:cs="宋体"/>
          <w:bCs w:val="0"/>
          <w:color w:val="auto"/>
          <w:sz w:val="24"/>
          <w:szCs w:val="24"/>
          <w:highlight w:val="none"/>
        </w:rPr>
        <w:t>三、获取招标文件</w:t>
      </w:r>
      <w:bookmarkEnd w:id="21"/>
      <w:bookmarkEnd w:id="22"/>
      <w:bookmarkEnd w:id="23"/>
      <w:bookmarkEnd w:id="24"/>
      <w:bookmarkEnd w:id="25"/>
      <w:bookmarkEnd w:id="26"/>
      <w:bookmarkEnd w:id="27"/>
    </w:p>
    <w:p w14:paraId="7360463D">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获取时间：公告发布时间至投标截止时间。</w:t>
      </w:r>
    </w:p>
    <w:p w14:paraId="47F2DC8C">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获取地点：浙江政府采购网本项目公告附件。</w:t>
      </w:r>
    </w:p>
    <w:p w14:paraId="202567D9">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售价：0元。</w:t>
      </w:r>
    </w:p>
    <w:p w14:paraId="2D46BD40">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获取方式：</w:t>
      </w:r>
    </w:p>
    <w:p w14:paraId="4AAFC4CA">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1、尚未注册浙江政府采购网正式供应商的应先进行注册申请，注册流程详见“浙江政府采购网—网上办事指南—供应商注册申请”，注册申请免费。</w:t>
      </w:r>
    </w:p>
    <w:p w14:paraId="560535FC">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2、供应商注册成功后，登录“政采云”平台进入“项目采购”应用模块，点击菜单的“申请获取招标文件”，填写获取招标文件的申请信息。点击“下载招标文件”即可获取招标文件。</w:t>
      </w:r>
    </w:p>
    <w:p w14:paraId="7AF08442">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3、采购公告上附件里的招标文件仅供阅览使用，供应商应当在“政采云”平台注册登记后再获取招标文件，没有通过注册登记而获取招标文件的潜在供应商，对招标文件提起质疑投诉的，不予受理。</w:t>
      </w:r>
    </w:p>
    <w:p w14:paraId="02168DAD">
      <w:pPr>
        <w:shd w:val="clear" w:color="auto" w:fill="auto"/>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4、采购代理机构将拒绝接受非通过以上方式获取招标文件的供应商投标文件。</w:t>
      </w:r>
      <w:bookmarkStart w:id="28" w:name="_Toc28359082"/>
      <w:bookmarkStart w:id="29" w:name="_Toc28359005"/>
      <w:bookmarkStart w:id="30" w:name="_Toc35393793"/>
      <w:bookmarkStart w:id="31" w:name="_Toc35393624"/>
    </w:p>
    <w:p w14:paraId="74FD70BE">
      <w:pPr>
        <w:shd w:val="clear" w:color="auto" w:fill="auto"/>
        <w:spacing w:line="360" w:lineRule="auto"/>
        <w:outlineLvl w:val="1"/>
        <w:rPr>
          <w:rFonts w:hint="eastAsia" w:ascii="宋体" w:hAnsi="宋体" w:cs="宋体"/>
          <w:b/>
          <w:bCs/>
          <w:color w:val="auto"/>
          <w:sz w:val="24"/>
          <w:szCs w:val="24"/>
          <w:highlight w:val="none"/>
        </w:rPr>
      </w:pPr>
      <w:bookmarkStart w:id="32" w:name="_Toc30389"/>
      <w:bookmarkStart w:id="33" w:name="_Toc26458"/>
      <w:bookmarkStart w:id="34" w:name="_Toc8816"/>
      <w:r>
        <w:rPr>
          <w:rFonts w:hint="eastAsia" w:ascii="宋体" w:hAnsi="宋体" w:cs="宋体"/>
          <w:b/>
          <w:bCs/>
          <w:color w:val="auto"/>
          <w:sz w:val="24"/>
          <w:szCs w:val="24"/>
          <w:highlight w:val="none"/>
        </w:rPr>
        <w:t>四、提交投标文件</w:t>
      </w:r>
      <w:bookmarkEnd w:id="28"/>
      <w:bookmarkEnd w:id="29"/>
      <w:r>
        <w:rPr>
          <w:rFonts w:hint="eastAsia" w:ascii="宋体" w:hAnsi="宋体" w:cs="宋体"/>
          <w:b/>
          <w:bCs/>
          <w:color w:val="auto"/>
          <w:sz w:val="24"/>
          <w:szCs w:val="24"/>
          <w:highlight w:val="none"/>
        </w:rPr>
        <w:t>截止时间、开标时间和地点</w:t>
      </w:r>
      <w:bookmarkEnd w:id="30"/>
      <w:bookmarkEnd w:id="31"/>
      <w:bookmarkEnd w:id="32"/>
      <w:bookmarkEnd w:id="33"/>
      <w:bookmarkEnd w:id="34"/>
      <w:bookmarkStart w:id="35" w:name="_Toc28359084"/>
      <w:bookmarkStart w:id="36" w:name="_Toc35393794"/>
      <w:bookmarkStart w:id="37" w:name="_Toc35393625"/>
      <w:bookmarkStart w:id="38" w:name="_Toc28359007"/>
    </w:p>
    <w:p w14:paraId="4D25DD81">
      <w:pPr>
        <w:shd w:val="clear" w:color="auto" w:fill="auto"/>
        <w:tabs>
          <w:tab w:val="left" w:pos="584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1、投标截止时间：202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27</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:00:00。</w:t>
      </w:r>
      <w:r>
        <w:rPr>
          <w:rFonts w:hint="eastAsia" w:ascii="宋体" w:hAnsi="宋体" w:cs="宋体"/>
          <w:color w:val="auto"/>
          <w:sz w:val="24"/>
          <w:szCs w:val="24"/>
          <w:highlight w:val="none"/>
          <w:lang w:eastAsia="zh-CN"/>
        </w:rPr>
        <w:tab/>
      </w:r>
    </w:p>
    <w:p w14:paraId="7B59809B">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2、投标地点：投标人应于投标截止时间之前将电子投标文件上传到“政府采购云平台”。</w:t>
      </w:r>
    </w:p>
    <w:p w14:paraId="73A2A4B5">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3、开标时间：202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27</w:t>
      </w:r>
      <w:r>
        <w:rPr>
          <w:rFonts w:hint="default" w:ascii="宋体" w:hAnsi="宋体" w:cs="宋体"/>
          <w:color w:val="auto"/>
          <w:sz w:val="24"/>
          <w:szCs w:val="24"/>
          <w:highlight w:val="none"/>
          <w:lang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:00:00。</w:t>
      </w:r>
    </w:p>
    <w:p w14:paraId="77F5241A">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4、开标地址：“政府采购云平台”线上开标。</w:t>
      </w:r>
      <w:bookmarkStart w:id="39" w:name="_Toc20184"/>
      <w:bookmarkStart w:id="40" w:name="_Toc32490"/>
      <w:bookmarkStart w:id="41" w:name="_Toc12396"/>
    </w:p>
    <w:p w14:paraId="6C464DA1">
      <w:pPr>
        <w:shd w:val="clear" w:color="auto" w:fill="auto"/>
        <w:spacing w:line="360" w:lineRule="auto"/>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五、公告期限</w:t>
      </w:r>
      <w:bookmarkEnd w:id="35"/>
      <w:bookmarkEnd w:id="36"/>
      <w:bookmarkEnd w:id="37"/>
      <w:bookmarkEnd w:id="38"/>
      <w:bookmarkEnd w:id="39"/>
      <w:bookmarkEnd w:id="40"/>
      <w:bookmarkEnd w:id="41"/>
    </w:p>
    <w:p w14:paraId="1DCFF472">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760AB773">
      <w:pPr>
        <w:pStyle w:val="6"/>
        <w:numPr>
          <w:ilvl w:val="0"/>
          <w:numId w:val="3"/>
        </w:numPr>
        <w:shd w:val="clear" w:color="auto" w:fill="auto"/>
        <w:spacing w:line="360" w:lineRule="auto"/>
        <w:jc w:val="left"/>
        <w:rPr>
          <w:rFonts w:hint="eastAsia" w:ascii="宋体" w:hAnsi="宋体" w:cs="宋体"/>
          <w:bCs w:val="0"/>
          <w:color w:val="auto"/>
          <w:sz w:val="24"/>
          <w:szCs w:val="24"/>
          <w:highlight w:val="none"/>
        </w:rPr>
      </w:pPr>
      <w:bookmarkStart w:id="42" w:name="_Toc1021"/>
      <w:bookmarkStart w:id="43" w:name="_Toc4867"/>
      <w:bookmarkStart w:id="44" w:name="_Toc12200"/>
      <w:bookmarkStart w:id="45" w:name="_Toc35393795"/>
      <w:bookmarkStart w:id="46" w:name="_Toc35393626"/>
      <w:r>
        <w:rPr>
          <w:rFonts w:hint="eastAsia" w:ascii="宋体" w:hAnsi="宋体" w:cs="宋体"/>
          <w:bCs w:val="0"/>
          <w:color w:val="auto"/>
          <w:sz w:val="24"/>
          <w:szCs w:val="24"/>
          <w:highlight w:val="none"/>
        </w:rPr>
        <w:t>其他补充事宜</w:t>
      </w:r>
      <w:bookmarkEnd w:id="42"/>
      <w:bookmarkEnd w:id="43"/>
      <w:bookmarkEnd w:id="44"/>
      <w:bookmarkEnd w:id="45"/>
      <w:bookmarkEnd w:id="46"/>
    </w:p>
    <w:p w14:paraId="5EB56A7C">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（一）在线投标响应（电子投标）说明</w:t>
      </w:r>
    </w:p>
    <w:p w14:paraId="5EB0E668">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3B846443">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4AB60C75">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"http://zfcg.czt.zj.gov.cn/bidClientTemplate/2019-05-27/12945.html" \o "CA驱动和申领流程"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CA驱动和申领流程</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”进行查阅。</w:t>
      </w:r>
    </w:p>
    <w:p w14:paraId="3C165F5B">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color w:val="auto"/>
          <w:sz w:val="24"/>
          <w:szCs w:val="24"/>
          <w:highlight w:val="none"/>
        </w:rPr>
        <w:t>投标供应商应当在投标截止时间前，将生成的“电子加密投标文件”上传递交至“政府采购云平台”。投标截止时间以后上传递交的投标文件将被“政府采购云平台”拒收。</w:t>
      </w:r>
    </w:p>
    <w:p w14:paraId="277BD694">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color w:val="auto"/>
          <w:sz w:val="24"/>
          <w:szCs w:val="24"/>
          <w:highlight w:val="none"/>
        </w:rPr>
        <w:t>投标供应商在“政府采购云平台”完成“电子加密投标文件”的上传递交后，还可以在投标截止时间前递交以介质（U盘）存储的数据电文形式以及纸质形式的“备份投标文件”。采用邮寄方式，邮寄公司统一采用顺丰密封邮寄（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5023FC76">
      <w:pPr>
        <w:shd w:val="clear" w:color="auto" w:fill="auto"/>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71A013BA">
      <w:pPr>
        <w:pStyle w:val="26"/>
        <w:shd w:val="clear" w:color="auto" w:fill="auto"/>
        <w:spacing w:line="360" w:lineRule="auto"/>
        <w:ind w:firstLine="480" w:firstLineChars="200"/>
        <w:jc w:val="both"/>
        <w:rPr>
          <w:rFonts w:hint="eastAsia" w:ascii="宋体" w:hAnsi="宋体" w:cs="宋体"/>
          <w:b w:val="0"/>
          <w:bCs/>
          <w:color w:val="auto"/>
          <w:sz w:val="24"/>
          <w:szCs w:val="24"/>
          <w:highlight w:val="none"/>
        </w:rPr>
      </w:pPr>
      <w:bookmarkStart w:id="47" w:name="_Toc793400157"/>
      <w:bookmarkStart w:id="48" w:name="_Toc26959"/>
      <w:bookmarkStart w:id="49" w:name="_Toc31052"/>
      <w:bookmarkStart w:id="50" w:name="_Toc6812"/>
      <w:bookmarkStart w:id="51" w:name="_Toc18130"/>
      <w:bookmarkStart w:id="52" w:name="_Toc17901"/>
      <w:r>
        <w:rPr>
          <w:rFonts w:hint="eastAsia" w:ascii="宋体" w:hAnsi="宋体" w:cs="宋体"/>
          <w:b w:val="0"/>
          <w:bCs/>
          <w:color w:val="auto"/>
          <w:sz w:val="24"/>
          <w:szCs w:val="24"/>
          <w:highlight w:val="none"/>
        </w:rPr>
        <w:t>（二）本项目不收取投标保证金。</w:t>
      </w:r>
      <w:bookmarkEnd w:id="47"/>
      <w:bookmarkEnd w:id="48"/>
      <w:bookmarkEnd w:id="49"/>
      <w:bookmarkEnd w:id="50"/>
      <w:bookmarkEnd w:id="51"/>
      <w:bookmarkEnd w:id="52"/>
    </w:p>
    <w:p w14:paraId="794867CE">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（三）质疑和投诉：</w:t>
      </w:r>
    </w:p>
    <w:p w14:paraId="50282F3A">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1、本文件公告期限为</w:t>
      </w:r>
      <w:r>
        <w:rPr>
          <w:rFonts w:ascii="宋体" w:hAnsi="宋体" w:cs="宋体"/>
          <w:color w:val="auto"/>
          <w:sz w:val="24"/>
          <w:szCs w:val="24"/>
          <w:highlight w:val="none"/>
        </w:rPr>
        <w:t>5</w:t>
      </w:r>
      <w:r>
        <w:rPr>
          <w:rFonts w:hint="eastAsia" w:ascii="宋体" w:hAnsi="宋体" w:cs="宋体"/>
          <w:color w:val="auto"/>
          <w:sz w:val="24"/>
          <w:szCs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color w:val="auto"/>
          <w:sz w:val="24"/>
          <w:szCs w:val="24"/>
          <w:highlight w:val="none"/>
          <w:lang w:eastAsia="zh-Hans"/>
        </w:rPr>
        <w:t>一次性</w:t>
      </w:r>
      <w:r>
        <w:rPr>
          <w:rFonts w:hint="eastAsia" w:ascii="宋体" w:hAnsi="宋体" w:cs="宋体"/>
          <w:color w:val="auto"/>
          <w:sz w:val="24"/>
          <w:szCs w:val="24"/>
          <w:highlight w:val="none"/>
        </w:rPr>
        <w:t>向采购人和采购代理机构提出质疑。供应商认为采购过程、中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6AFCA2">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2、质疑函范本、投诉书范本请到浙江政府采购网下载专区下载。</w:t>
      </w:r>
    </w:p>
    <w:p w14:paraId="24A58345">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3、书面质疑受理地点：</w:t>
      </w:r>
    </w:p>
    <w:p w14:paraId="4E2D4F7D">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Hans"/>
        </w:rPr>
        <w:t>徐少媚</w:t>
      </w:r>
      <w:r>
        <w:rPr>
          <w:rFonts w:hint="eastAsia" w:ascii="宋体" w:hAnsi="宋体" w:cs="宋体"/>
          <w:color w:val="auto"/>
          <w:sz w:val="24"/>
          <w:szCs w:val="24"/>
          <w:highlight w:val="none"/>
        </w:rPr>
        <w:t>；</w:t>
      </w:r>
    </w:p>
    <w:p w14:paraId="33C23686">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联系电话：057</w:t>
      </w:r>
      <w:r>
        <w:rPr>
          <w:rFonts w:ascii="宋体" w:hAnsi="宋体" w:cs="宋体"/>
          <w:color w:val="auto"/>
          <w:sz w:val="24"/>
          <w:szCs w:val="24"/>
          <w:highlight w:val="none"/>
        </w:rPr>
        <w:t>6-88785265</w:t>
      </w:r>
      <w:r>
        <w:rPr>
          <w:rFonts w:hint="eastAsia" w:ascii="宋体" w:hAnsi="宋体" w:cs="宋体"/>
          <w:color w:val="auto"/>
          <w:sz w:val="24"/>
          <w:szCs w:val="24"/>
          <w:highlight w:val="none"/>
        </w:rPr>
        <w:t>；</w:t>
      </w:r>
    </w:p>
    <w:p w14:paraId="389EC2AB">
      <w:pPr>
        <w:shd w:val="clear" w:color="auto" w:fill="auto"/>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地址：台州市椒江区东环大道576号二楼。</w:t>
      </w:r>
    </w:p>
    <w:p w14:paraId="60EA3B40">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（四）公告发布媒体：</w:t>
      </w:r>
    </w:p>
    <w:p w14:paraId="129C8D75">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浙江政府采购网（</w:t>
      </w:r>
      <w:r>
        <w:rPr>
          <w:rFonts w:hint="eastAsia" w:ascii="宋体" w:hAnsi="宋体" w:cs="宋体"/>
          <w:color w:val="auto"/>
          <w:sz w:val="24"/>
          <w:szCs w:val="24"/>
          <w:highlight w:val="none"/>
          <w:lang w:eastAsia="zh-CN"/>
        </w:rPr>
        <w:t>https://zfcg.czt.zj.gov.cn/</w:t>
      </w:r>
      <w:r>
        <w:rPr>
          <w:rFonts w:hint="eastAsia" w:ascii="宋体" w:hAnsi="宋体" w:cs="宋体"/>
          <w:color w:val="auto"/>
          <w:sz w:val="24"/>
          <w:szCs w:val="24"/>
          <w:highlight w:val="none"/>
        </w:rPr>
        <w:t>）和温岭市公共资源交易中心网（http://www.wl.gov.cn/col/col1402172/index.html）。</w:t>
      </w:r>
    </w:p>
    <w:p w14:paraId="45316A6A">
      <w:pPr>
        <w:pStyle w:val="6"/>
        <w:shd w:val="clear" w:color="auto" w:fill="auto"/>
        <w:spacing w:line="360" w:lineRule="auto"/>
        <w:jc w:val="left"/>
        <w:rPr>
          <w:rFonts w:hint="eastAsia" w:ascii="宋体" w:hAnsi="宋体" w:cs="宋体"/>
          <w:bCs w:val="0"/>
          <w:color w:val="auto"/>
          <w:sz w:val="24"/>
          <w:szCs w:val="24"/>
          <w:highlight w:val="none"/>
        </w:rPr>
      </w:pPr>
      <w:bookmarkStart w:id="53" w:name="_Toc35393627"/>
      <w:bookmarkStart w:id="54" w:name="_Toc35393796"/>
      <w:bookmarkStart w:id="55" w:name="_Toc28359008"/>
      <w:bookmarkStart w:id="56" w:name="_Toc20853"/>
      <w:bookmarkStart w:id="57" w:name="_Toc28359085"/>
      <w:bookmarkStart w:id="58" w:name="_Toc10345"/>
      <w:bookmarkStart w:id="59" w:name="_Toc1523"/>
      <w:r>
        <w:rPr>
          <w:rFonts w:hint="eastAsia" w:ascii="宋体" w:hAnsi="宋体" w:cs="宋体"/>
          <w:bCs w:val="0"/>
          <w:color w:val="auto"/>
          <w:sz w:val="24"/>
          <w:szCs w:val="24"/>
          <w:highlight w:val="none"/>
        </w:rPr>
        <w:t>七、对本次招标提出询问，请按以下方式联系。</w:t>
      </w:r>
      <w:bookmarkEnd w:id="53"/>
      <w:bookmarkEnd w:id="54"/>
      <w:bookmarkEnd w:id="55"/>
      <w:bookmarkEnd w:id="56"/>
      <w:bookmarkEnd w:id="57"/>
      <w:bookmarkEnd w:id="58"/>
      <w:bookmarkEnd w:id="59"/>
    </w:p>
    <w:p w14:paraId="22A02D30">
      <w:pPr>
        <w:shd w:val="clear" w:color="auto" w:fill="auto"/>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（一）采购代理机构：浙江五石中正工程咨询有限公司</w:t>
      </w:r>
    </w:p>
    <w:p w14:paraId="4858AB03">
      <w:pPr>
        <w:pStyle w:val="25"/>
        <w:keepNext w:val="0"/>
        <w:keepLines w:val="0"/>
        <w:widowControl/>
        <w:suppressLineNumbers w:val="0"/>
        <w:ind w:firstLine="810" w:firstLineChars="300"/>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aps w:val="0"/>
          <w:color w:val="auto"/>
          <w:spacing w:val="0"/>
          <w:sz w:val="27"/>
          <w:szCs w:val="27"/>
          <w:highlight w:val="none"/>
        </w:rPr>
        <w:t> </w:t>
      </w:r>
      <w:r>
        <w:rPr>
          <w:rFonts w:hint="eastAsia" w:ascii="宋体" w:hAnsi="宋体" w:eastAsia="宋体" w:cs="宋体"/>
          <w:color w:val="auto"/>
          <w:kern w:val="2"/>
          <w:sz w:val="24"/>
          <w:szCs w:val="24"/>
          <w:highlight w:val="none"/>
          <w:lang w:val="en-US" w:eastAsia="zh-CN" w:bidi="ar-SA"/>
        </w:rPr>
        <w:t>项目联系人（询问）：潘麒锋              </w:t>
      </w:r>
    </w:p>
    <w:p w14:paraId="393A50BD">
      <w:pPr>
        <w:pStyle w:val="25"/>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项目联系方式（询问）：13616507339 </w:t>
      </w:r>
    </w:p>
    <w:p w14:paraId="7730707A">
      <w:pPr>
        <w:pStyle w:val="25"/>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质疑联系人：徐少媚             </w:t>
      </w:r>
    </w:p>
    <w:p w14:paraId="05CBC858">
      <w:pPr>
        <w:pStyle w:val="25"/>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质疑联系方式：0576-88785265</w:t>
      </w:r>
    </w:p>
    <w:p w14:paraId="542409A2">
      <w:pPr>
        <w:pStyle w:val="59"/>
        <w:rPr>
          <w:rFonts w:hint="eastAsia"/>
          <w:color w:val="auto"/>
          <w:highlight w:val="none"/>
        </w:rPr>
      </w:pPr>
    </w:p>
    <w:p w14:paraId="33A8BE32">
      <w:pPr>
        <w:shd w:val="clear" w:color="auto" w:fill="auto"/>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地址：台州市椒江区东环大道576号二楼。</w:t>
      </w:r>
    </w:p>
    <w:p w14:paraId="59E70DE7">
      <w:pPr>
        <w:shd w:val="clear" w:color="auto" w:fill="auto"/>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（二）采购人：温岭市第一人民医院；</w:t>
      </w:r>
    </w:p>
    <w:p w14:paraId="6BC5244D">
      <w:pPr>
        <w:shd w:val="clear" w:color="auto" w:fill="auto"/>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联系人：姜先生；</w:t>
      </w:r>
    </w:p>
    <w:p w14:paraId="1E889BF9">
      <w:pPr>
        <w:shd w:val="clear" w:color="auto" w:fill="auto"/>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联系电话：0576-89668922；</w:t>
      </w:r>
    </w:p>
    <w:p w14:paraId="0055CCB1">
      <w:pPr>
        <w:shd w:val="clear" w:color="auto" w:fill="auto"/>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质疑联系人：姜先生    </w:t>
      </w:r>
    </w:p>
    <w:p w14:paraId="7AE9D2F9">
      <w:pPr>
        <w:shd w:val="clear" w:color="auto" w:fill="auto"/>
        <w:snapToGrid w:val="0"/>
        <w:spacing w:line="360" w:lineRule="auto"/>
        <w:ind w:firstLine="720" w:firstLineChars="300"/>
        <w:rPr>
          <w:rFonts w:hint="eastAsia"/>
          <w:color w:val="auto"/>
          <w:highlight w:val="none"/>
        </w:rPr>
      </w:pPr>
      <w:r>
        <w:rPr>
          <w:rFonts w:hint="eastAsia" w:ascii="宋体" w:hAnsi="宋体" w:eastAsia="宋体" w:cs="宋体"/>
          <w:color w:val="auto"/>
          <w:sz w:val="24"/>
          <w:szCs w:val="24"/>
          <w:highlight w:val="none"/>
        </w:rPr>
        <w:t>质疑联系方式：0576-89668922 </w:t>
      </w:r>
    </w:p>
    <w:p w14:paraId="5B998DAB">
      <w:pPr>
        <w:shd w:val="clear" w:color="auto" w:fill="auto"/>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地址：浙江省温岭市城西街道川安南路333号。</w:t>
      </w:r>
    </w:p>
    <w:p w14:paraId="5D7D751B">
      <w:pPr>
        <w:shd w:val="clear" w:color="auto" w:fill="auto"/>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（三）同级政府采购监督管理部门：温岭市财政局</w:t>
      </w:r>
    </w:p>
    <w:p w14:paraId="633FF0C2">
      <w:pPr>
        <w:shd w:val="clear" w:color="auto" w:fill="auto"/>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联系人：温岭市财政局政府采购监管科；</w:t>
      </w:r>
    </w:p>
    <w:p w14:paraId="58A83DB8">
      <w:pPr>
        <w:shd w:val="clear" w:color="auto" w:fill="auto"/>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监督投诉电话：0576-86086511 ；</w:t>
      </w:r>
    </w:p>
    <w:p w14:paraId="38F5DE04">
      <w:pPr>
        <w:shd w:val="clear" w:color="auto" w:fill="auto"/>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地址：浙江省温岭市太平街道中华路29号。</w:t>
      </w:r>
    </w:p>
    <w:p w14:paraId="23E86681">
      <w:pPr>
        <w:shd w:val="clear" w:color="auto" w:fill="auto"/>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获取热线服务帮助。       </w:t>
      </w:r>
    </w:p>
    <w:p w14:paraId="00EC98C0">
      <w:pPr>
        <w:shd w:val="clear" w:color="auto" w:fill="auto"/>
        <w:snapToGrid w:val="0"/>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CA问题联系电话（人工）：汇信CA 400-888-4636；天谷CA 400-087-8198。</w:t>
      </w:r>
    </w:p>
    <w:p w14:paraId="5437DC0A">
      <w:pPr>
        <w:widowControl/>
        <w:shd w:val="clear" w:color="auto" w:fill="auto"/>
        <w:jc w:val="center"/>
        <w:outlineLvl w:val="0"/>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bookmarkStart w:id="60" w:name="_Toc7567"/>
      <w:bookmarkStart w:id="61" w:name="_Toc114"/>
      <w:bookmarkStart w:id="62" w:name="_Toc950474476"/>
      <w:bookmarkStart w:id="63" w:name="_Toc22801"/>
      <w:bookmarkStart w:id="64" w:name="_Toc2648"/>
      <w:bookmarkStart w:id="65" w:name="_Toc9315"/>
      <w:r>
        <w:rPr>
          <w:rStyle w:val="36"/>
          <w:rFonts w:hint="eastAsia" w:ascii="宋体" w:hAnsi="宋体" w:cs="宋体"/>
          <w:color w:val="auto"/>
          <w:highlight w:val="none"/>
        </w:rPr>
        <w:t>第二章</w:t>
      </w:r>
      <w:r>
        <w:rPr>
          <w:rStyle w:val="36"/>
          <w:rFonts w:ascii="宋体" w:hAnsi="宋体" w:cs="宋体"/>
          <w:color w:val="auto"/>
          <w:highlight w:val="none"/>
        </w:rPr>
        <w:t xml:space="preserve">  </w:t>
      </w:r>
      <w:r>
        <w:rPr>
          <w:rStyle w:val="36"/>
          <w:rFonts w:hint="eastAsia" w:ascii="宋体" w:hAnsi="宋体" w:cs="宋体"/>
          <w:color w:val="auto"/>
          <w:highlight w:val="none"/>
        </w:rPr>
        <w:t>投标人须知</w:t>
      </w:r>
      <w:bookmarkEnd w:id="60"/>
      <w:bookmarkEnd w:id="61"/>
      <w:bookmarkEnd w:id="62"/>
      <w:bookmarkEnd w:id="63"/>
      <w:bookmarkEnd w:id="64"/>
      <w:bookmarkEnd w:id="65"/>
    </w:p>
    <w:p w14:paraId="03C26F8E">
      <w:pPr>
        <w:shd w:val="clear" w:color="auto" w:fill="auto"/>
        <w:spacing w:line="320" w:lineRule="exact"/>
        <w:jc w:val="center"/>
        <w:outlineLvl w:val="1"/>
        <w:rPr>
          <w:rFonts w:hint="eastAsia" w:ascii="宋体" w:hAnsi="宋体" w:cs="宋体"/>
          <w:b/>
          <w:bCs/>
          <w:color w:val="auto"/>
          <w:sz w:val="28"/>
          <w:szCs w:val="28"/>
          <w:highlight w:val="none"/>
        </w:rPr>
      </w:pPr>
      <w:bookmarkStart w:id="66" w:name="_Toc13080"/>
      <w:bookmarkStart w:id="67" w:name="_Toc14772"/>
      <w:bookmarkStart w:id="68" w:name="_Toc20665"/>
      <w:r>
        <w:rPr>
          <w:rFonts w:hint="eastAsia" w:ascii="宋体" w:hAnsi="宋体" w:cs="宋体"/>
          <w:b/>
          <w:bCs/>
          <w:color w:val="auto"/>
          <w:sz w:val="28"/>
          <w:szCs w:val="28"/>
          <w:highlight w:val="none"/>
        </w:rPr>
        <w:t>前附表</w:t>
      </w:r>
      <w:bookmarkEnd w:id="66"/>
      <w:bookmarkEnd w:id="67"/>
      <w:bookmarkEnd w:id="68"/>
    </w:p>
    <w:tbl>
      <w:tblPr>
        <w:tblStyle w:val="27"/>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2"/>
        <w:gridCol w:w="7019"/>
      </w:tblGrid>
      <w:tr w14:paraId="0D02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2" w:type="dxa"/>
            <w:noWrap w:val="0"/>
            <w:vAlign w:val="center"/>
          </w:tcPr>
          <w:p w14:paraId="04ED258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612" w:type="dxa"/>
            <w:noWrap w:val="0"/>
            <w:vAlign w:val="center"/>
          </w:tcPr>
          <w:p w14:paraId="5ADB10A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w:t>
            </w:r>
          </w:p>
        </w:tc>
        <w:tc>
          <w:tcPr>
            <w:tcW w:w="7019" w:type="dxa"/>
            <w:noWrap w:val="0"/>
            <w:vAlign w:val="center"/>
          </w:tcPr>
          <w:p w14:paraId="58CED33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内容</w:t>
            </w:r>
          </w:p>
        </w:tc>
      </w:tr>
      <w:tr w14:paraId="37B3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noWrap w:val="0"/>
            <w:vAlign w:val="center"/>
          </w:tcPr>
          <w:p w14:paraId="750AAF9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612" w:type="dxa"/>
            <w:noWrap w:val="0"/>
            <w:vAlign w:val="center"/>
          </w:tcPr>
          <w:p w14:paraId="22190EB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采购项目</w:t>
            </w:r>
          </w:p>
        </w:tc>
        <w:tc>
          <w:tcPr>
            <w:tcW w:w="7019" w:type="dxa"/>
            <w:noWrap w:val="0"/>
            <w:vAlign w:val="center"/>
          </w:tcPr>
          <w:p w14:paraId="23DA8EB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项目名称：温岭市第一人民医院CDSS+病案首页质控项目。</w:t>
            </w:r>
          </w:p>
          <w:p w14:paraId="38DED186">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项目编号：ZJWS2024-WL14。</w:t>
            </w:r>
          </w:p>
          <w:p w14:paraId="035A3D2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项目内容：临床决策支持系统CDSS、病案首页质量控制系统。</w:t>
            </w:r>
          </w:p>
          <w:p w14:paraId="4D9639B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eastAsia="zh-CN"/>
              </w:rPr>
              <w:t>项目建设周期需要在</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个月内完成信息化建设。</w:t>
            </w:r>
          </w:p>
        </w:tc>
      </w:tr>
      <w:tr w14:paraId="0DA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32" w:type="dxa"/>
            <w:noWrap w:val="0"/>
            <w:vAlign w:val="center"/>
          </w:tcPr>
          <w:p w14:paraId="14C0298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612" w:type="dxa"/>
            <w:noWrap w:val="0"/>
            <w:vAlign w:val="center"/>
          </w:tcPr>
          <w:p w14:paraId="65BE07A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7019" w:type="dxa"/>
            <w:noWrap w:val="0"/>
            <w:vAlign w:val="center"/>
          </w:tcPr>
          <w:p w14:paraId="4370615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公开招标。</w:t>
            </w:r>
          </w:p>
        </w:tc>
      </w:tr>
      <w:tr w14:paraId="45DA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2" w:type="dxa"/>
            <w:noWrap w:val="0"/>
            <w:vAlign w:val="center"/>
          </w:tcPr>
          <w:p w14:paraId="5E4EB2D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612" w:type="dxa"/>
            <w:noWrap w:val="0"/>
            <w:vAlign w:val="center"/>
          </w:tcPr>
          <w:p w14:paraId="5DB1A2D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bCs/>
                <w:color w:val="auto"/>
                <w:sz w:val="24"/>
                <w:highlight w:val="none"/>
              </w:rPr>
              <w:t>投标文件的编制</w:t>
            </w:r>
          </w:p>
        </w:tc>
        <w:tc>
          <w:tcPr>
            <w:tcW w:w="7019" w:type="dxa"/>
            <w:noWrap w:val="0"/>
            <w:vAlign w:val="center"/>
          </w:tcPr>
          <w:p w14:paraId="263FAE8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highlight w:val="none"/>
              </w:rPr>
              <w:t>供应商应先安装“政采云电子交易客户端”，并按照本招标文件和“政府采购云平台”的要求，通过“政采云电子交易客户端”编制并加密投标文件。</w:t>
            </w:r>
          </w:p>
        </w:tc>
      </w:tr>
      <w:tr w14:paraId="2BDC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2" w:type="dxa"/>
            <w:noWrap w:val="0"/>
            <w:vAlign w:val="center"/>
          </w:tcPr>
          <w:p w14:paraId="275D566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612" w:type="dxa"/>
            <w:noWrap w:val="0"/>
            <w:vAlign w:val="center"/>
          </w:tcPr>
          <w:p w14:paraId="2DD75EE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bCs/>
                <w:color w:val="auto"/>
                <w:sz w:val="24"/>
                <w:highlight w:val="none"/>
              </w:rPr>
              <w:t>投标文件的形式和份数</w:t>
            </w:r>
          </w:p>
        </w:tc>
        <w:tc>
          <w:tcPr>
            <w:tcW w:w="7019" w:type="dxa"/>
            <w:noWrap w:val="0"/>
            <w:vAlign w:val="center"/>
          </w:tcPr>
          <w:p w14:paraId="0DB9205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bCs/>
                <w:color w:val="auto"/>
                <w:sz w:val="24"/>
                <w:highlight w:val="none"/>
              </w:rPr>
              <w:t>电子投标文件（包括“电子加密投标文件</w:t>
            </w:r>
            <w:r>
              <w:rPr>
                <w:rFonts w:hint="eastAsia" w:ascii="宋体" w:hAnsi="宋体" w:cs="宋体"/>
                <w:color w:val="auto"/>
                <w:sz w:val="24"/>
                <w:highlight w:val="none"/>
              </w:rPr>
              <w:t>一份</w:t>
            </w:r>
            <w:r>
              <w:rPr>
                <w:rFonts w:hint="eastAsia" w:ascii="宋体" w:hAnsi="宋体" w:cs="宋体"/>
                <w:bCs/>
                <w:color w:val="auto"/>
                <w:sz w:val="24"/>
                <w:highlight w:val="none"/>
              </w:rPr>
              <w:t>”和“备份投标文件</w:t>
            </w:r>
            <w:r>
              <w:rPr>
                <w:rFonts w:hint="eastAsia" w:ascii="宋体" w:hAnsi="宋体" w:cs="宋体"/>
                <w:color w:val="auto"/>
                <w:sz w:val="24"/>
                <w:highlight w:val="none"/>
              </w:rPr>
              <w:t>一份</w:t>
            </w:r>
            <w:r>
              <w:rPr>
                <w:rFonts w:hint="eastAsia" w:ascii="宋体" w:hAnsi="宋体" w:cs="宋体"/>
                <w:bCs/>
                <w:color w:val="auto"/>
                <w:sz w:val="24"/>
                <w:highlight w:val="none"/>
              </w:rPr>
              <w:t>”，在投标文件编制完成后同时生成）；</w:t>
            </w:r>
          </w:p>
          <w:p w14:paraId="549AA57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（1）“电子加密投标文件”是指通过“政采云电子交易客户端”完成投标文件编制后生成并加密的数据电文形式的投标文件（后缀格式为.jmbs）。</w:t>
            </w:r>
          </w:p>
          <w:p w14:paraId="37E18BF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highlight w:val="none"/>
              </w:rPr>
              <w:t>（2）“备份投标文件”是指与“电子加密投标文件”同时生成的数据电文形式的电子文件（备份标书）</w:t>
            </w:r>
            <w:r>
              <w:rPr>
                <w:rFonts w:hint="eastAsia" w:ascii="宋体" w:hAnsi="宋体" w:cs="宋体"/>
                <w:b/>
                <w:color w:val="auto"/>
                <w:sz w:val="24"/>
                <w:highlight w:val="none"/>
              </w:rPr>
              <w:t>。</w:t>
            </w:r>
            <w:r>
              <w:rPr>
                <w:rFonts w:hint="eastAsia" w:ascii="宋体" w:hAnsi="宋体" w:cs="宋体"/>
                <w:b/>
                <w:bCs/>
                <w:color w:val="auto"/>
                <w:sz w:val="24"/>
                <w:highlight w:val="none"/>
              </w:rPr>
              <w:t>其他方式编制的备份投标文件视为无效备份投标文件。备份投标文件（后缀格式为.bfbs）以U盘形式提供。</w:t>
            </w:r>
          </w:p>
        </w:tc>
      </w:tr>
      <w:tr w14:paraId="53BC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noWrap w:val="0"/>
            <w:vAlign w:val="center"/>
          </w:tcPr>
          <w:p w14:paraId="434C08E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612" w:type="dxa"/>
            <w:noWrap w:val="0"/>
            <w:vAlign w:val="center"/>
          </w:tcPr>
          <w:p w14:paraId="13AF4C91">
            <w:pPr>
              <w:keepNext w:val="0"/>
              <w:keepLines w:val="0"/>
              <w:suppressLineNumbers w:val="0"/>
              <w:shd w:val="clear" w:color="auto" w:fill="auto"/>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投标文件的上传和递交</w:t>
            </w:r>
          </w:p>
        </w:tc>
        <w:tc>
          <w:tcPr>
            <w:tcW w:w="7019" w:type="dxa"/>
            <w:noWrap w:val="0"/>
            <w:vAlign w:val="center"/>
          </w:tcPr>
          <w:p w14:paraId="55F65DFC">
            <w:pPr>
              <w:pStyle w:val="60"/>
              <w:keepNext w:val="0"/>
              <w:keepLines w:val="0"/>
              <w:widowControl/>
              <w:suppressLineNumbers w:val="0"/>
              <w:shd w:val="clear" w:color="auto" w:fill="auto"/>
              <w:spacing w:before="0" w:beforeAutospacing="0" w:after="0" w:afterAutospacing="0" w:line="360" w:lineRule="auto"/>
              <w:ind w:left="0" w:right="0"/>
              <w:rPr>
                <w:rFonts w:hint="eastAsia" w:cs="宋体"/>
                <w:b/>
                <w:color w:val="auto"/>
                <w:highlight w:val="none"/>
              </w:rPr>
            </w:pPr>
            <w:r>
              <w:rPr>
                <w:rFonts w:hint="eastAsia" w:cs="宋体"/>
                <w:b/>
                <w:color w:val="auto"/>
                <w:highlight w:val="none"/>
              </w:rPr>
              <w:t>（1）“电子加密投标文件”的上传、递交：</w:t>
            </w:r>
          </w:p>
          <w:p w14:paraId="13A8CE08">
            <w:pPr>
              <w:pStyle w:val="60"/>
              <w:keepNext w:val="0"/>
              <w:keepLines w:val="0"/>
              <w:widowControl/>
              <w:suppressLineNumbers w:val="0"/>
              <w:shd w:val="clear" w:color="auto" w:fill="auto"/>
              <w:spacing w:before="0" w:beforeAutospacing="0" w:after="0" w:afterAutospacing="0" w:line="360" w:lineRule="auto"/>
              <w:ind w:left="0" w:right="0"/>
              <w:rPr>
                <w:rFonts w:hint="eastAsia" w:cs="宋体"/>
                <w:color w:val="auto"/>
                <w:highlight w:val="none"/>
              </w:rPr>
            </w:pPr>
            <w:r>
              <w:rPr>
                <w:rFonts w:hint="eastAsia" w:cs="宋体"/>
                <w:color w:val="auto"/>
                <w:highlight w:val="none"/>
              </w:rPr>
              <w:t>a.投标供应商应在投标截止时间前将“电子加密投标文件”成功上传递交至“政府采购云平台”，否则投标无效。</w:t>
            </w:r>
          </w:p>
          <w:p w14:paraId="5E1D8330">
            <w:pPr>
              <w:pStyle w:val="60"/>
              <w:keepNext w:val="0"/>
              <w:keepLines w:val="0"/>
              <w:widowControl/>
              <w:suppressLineNumbers w:val="0"/>
              <w:shd w:val="clear" w:color="auto" w:fill="auto"/>
              <w:spacing w:before="0" w:beforeAutospacing="0" w:after="0" w:afterAutospacing="0" w:line="360" w:lineRule="auto"/>
              <w:ind w:left="0" w:right="0"/>
              <w:rPr>
                <w:rFonts w:hint="eastAsia" w:cs="宋体"/>
                <w:color w:val="auto"/>
                <w:highlight w:val="none"/>
              </w:rPr>
            </w:pPr>
            <w:r>
              <w:rPr>
                <w:rFonts w:hint="eastAsia" w:cs="宋体"/>
                <w:color w:val="auto"/>
                <w:highlight w:val="none"/>
              </w:rPr>
              <w:t>b.“电子加密投标文件”成功上传递交后，供应商可自行打印投标文件接收回执。</w:t>
            </w:r>
          </w:p>
          <w:p w14:paraId="7170D568">
            <w:pPr>
              <w:pStyle w:val="60"/>
              <w:keepNext w:val="0"/>
              <w:keepLines w:val="0"/>
              <w:widowControl/>
              <w:suppressLineNumbers w:val="0"/>
              <w:shd w:val="clear" w:color="auto" w:fill="auto"/>
              <w:spacing w:before="0" w:beforeAutospacing="0" w:after="0" w:afterAutospacing="0" w:line="360" w:lineRule="auto"/>
              <w:ind w:left="0" w:right="0"/>
              <w:rPr>
                <w:rFonts w:hint="eastAsia" w:cs="宋体"/>
                <w:b/>
                <w:color w:val="auto"/>
                <w:highlight w:val="none"/>
              </w:rPr>
            </w:pPr>
            <w:r>
              <w:rPr>
                <w:rFonts w:hint="eastAsia" w:cs="宋体"/>
                <w:b/>
                <w:color w:val="auto"/>
                <w:highlight w:val="none"/>
              </w:rPr>
              <w:t>（2）“备份投标文件”的密封包装、递交：</w:t>
            </w:r>
          </w:p>
          <w:p w14:paraId="1F2174B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r>
              <w:rPr>
                <w:rFonts w:hint="eastAsia" w:ascii="宋体" w:hAnsi="宋体" w:cs="宋体"/>
                <w:color w:val="auto"/>
                <w:kern w:val="0"/>
                <w:sz w:val="24"/>
                <w:szCs w:val="22"/>
                <w:highlight w:val="none"/>
                <w:lang w:val="zh-CN"/>
              </w:rPr>
              <w:t>a.投标供应商还可以在投标截止时间前以介质（U盘或光盘）存储</w:t>
            </w:r>
            <w:r>
              <w:rPr>
                <w:rFonts w:hint="eastAsia" w:ascii="宋体" w:hAnsi="宋体" w:cs="宋体"/>
                <w:color w:val="auto"/>
                <w:kern w:val="0"/>
                <w:sz w:val="24"/>
                <w:szCs w:val="22"/>
                <w:highlight w:val="none"/>
              </w:rPr>
              <w:t>以及纸质形式</w:t>
            </w:r>
            <w:r>
              <w:rPr>
                <w:rFonts w:hint="eastAsia" w:ascii="宋体" w:hAnsi="宋体" w:cs="宋体"/>
                <w:color w:val="auto"/>
                <w:kern w:val="0"/>
                <w:sz w:val="24"/>
                <w:szCs w:val="22"/>
                <w:highlight w:val="none"/>
                <w:lang w:val="zh-CN"/>
              </w:rPr>
              <w:t>的 “备份投标文件”采用邮寄方式，邮寄公司统一采用顺丰</w:t>
            </w:r>
            <w:r>
              <w:rPr>
                <w:rFonts w:hint="eastAsia" w:ascii="宋体" w:hAnsi="宋体" w:cs="宋体"/>
                <w:color w:val="auto"/>
                <w:kern w:val="0"/>
                <w:sz w:val="24"/>
                <w:szCs w:val="22"/>
                <w:highlight w:val="none"/>
              </w:rPr>
              <w:t>密封邮寄</w:t>
            </w:r>
            <w:r>
              <w:rPr>
                <w:rFonts w:hint="eastAsia" w:ascii="宋体" w:hAnsi="宋体" w:cs="宋体"/>
                <w:color w:val="auto"/>
                <w:kern w:val="0"/>
                <w:sz w:val="24"/>
                <w:szCs w:val="22"/>
                <w:highlight w:val="none"/>
                <w:lang w:val="zh-CN"/>
              </w:rPr>
              <w:t>（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2E7F43E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b.“备份投标文件”应当密封包装，并在包装上标注投标项目名称、投标单位名称并加盖公章。没有密封包装或者逾期邮寄送达至的“备份投标文件”将不予接收。</w:t>
            </w:r>
          </w:p>
          <w:p w14:paraId="47A3A60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BF7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noWrap w:val="0"/>
            <w:vAlign w:val="center"/>
          </w:tcPr>
          <w:p w14:paraId="7099090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612" w:type="dxa"/>
            <w:noWrap w:val="0"/>
            <w:vAlign w:val="center"/>
          </w:tcPr>
          <w:p w14:paraId="6C888DAD">
            <w:pPr>
              <w:keepNext w:val="0"/>
              <w:keepLines w:val="0"/>
              <w:suppressLineNumbers w:val="0"/>
              <w:shd w:val="clear" w:color="auto" w:fill="auto"/>
              <w:spacing w:before="0" w:beforeAutospacing="0" w:after="0" w:afterAutospacing="0" w:line="360" w:lineRule="auto"/>
              <w:ind w:left="0" w:right="0"/>
              <w:rPr>
                <w:rFonts w:hint="eastAsia" w:ascii="宋体" w:hAnsi="宋体" w:cs="宋体"/>
                <w:bCs/>
                <w:color w:val="auto"/>
                <w:sz w:val="24"/>
                <w:highlight w:val="none"/>
              </w:rPr>
            </w:pPr>
            <w:r>
              <w:rPr>
                <w:rFonts w:hint="eastAsia" w:ascii="宋体" w:hAnsi="宋体" w:cs="宋体"/>
                <w:bCs/>
                <w:color w:val="auto"/>
                <w:sz w:val="24"/>
                <w:highlight w:val="none"/>
              </w:rPr>
              <w:t>电子加密投标文件的解密和异常情况处理</w:t>
            </w:r>
          </w:p>
        </w:tc>
        <w:tc>
          <w:tcPr>
            <w:tcW w:w="7019" w:type="dxa"/>
            <w:noWrap w:val="0"/>
            <w:vAlign w:val="center"/>
          </w:tcPr>
          <w:p w14:paraId="3FC339F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（1）开标后，采购组织机构将向各投标供应商发出“电子加密投标文件”的解密通知，各投标供应商代表应当在接到解密通知后</w:t>
            </w:r>
            <w:r>
              <w:rPr>
                <w:rFonts w:hint="eastAsia" w:ascii="宋体" w:hAnsi="宋体" w:cs="宋体"/>
                <w:b/>
                <w:color w:val="auto"/>
                <w:sz w:val="24"/>
                <w:highlight w:val="none"/>
                <w:u w:val="single"/>
              </w:rPr>
              <w:t>30分钟内</w:t>
            </w:r>
            <w:r>
              <w:rPr>
                <w:rFonts w:hint="eastAsia" w:ascii="宋体" w:hAnsi="宋体" w:cs="宋体"/>
                <w:color w:val="auto"/>
                <w:sz w:val="24"/>
                <w:highlight w:val="none"/>
              </w:rPr>
              <w:t>自行完成“电子加密投标文件”的在线解密。</w:t>
            </w:r>
            <w:r>
              <w:rPr>
                <w:rFonts w:hint="eastAsia" w:ascii="宋体" w:hAnsi="宋体" w:cs="宋体"/>
                <w:b/>
                <w:color w:val="auto"/>
                <w:sz w:val="24"/>
                <w:highlight w:val="none"/>
                <w:u w:val="single"/>
              </w:rPr>
              <w:t>解密CA必须是上传并制作电子投标文件CA锁。</w:t>
            </w:r>
          </w:p>
          <w:p w14:paraId="7F784AC0">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r>
              <w:rPr>
                <w:rFonts w:hint="eastAsia" w:ascii="宋体" w:hAns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798A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2" w:type="dxa"/>
            <w:noWrap w:val="0"/>
            <w:vAlign w:val="center"/>
          </w:tcPr>
          <w:p w14:paraId="2D4697E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612" w:type="dxa"/>
            <w:noWrap w:val="0"/>
            <w:vAlign w:val="center"/>
          </w:tcPr>
          <w:p w14:paraId="1BF28E1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019" w:type="dxa"/>
            <w:noWrap w:val="0"/>
            <w:vAlign w:val="center"/>
          </w:tcPr>
          <w:p w14:paraId="6CAF285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自投标截止日起90天。</w:t>
            </w:r>
          </w:p>
        </w:tc>
      </w:tr>
      <w:tr w14:paraId="3F6D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noWrap w:val="0"/>
            <w:vAlign w:val="center"/>
          </w:tcPr>
          <w:p w14:paraId="275B976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612" w:type="dxa"/>
            <w:noWrap w:val="0"/>
            <w:vAlign w:val="center"/>
          </w:tcPr>
          <w:p w14:paraId="52B8589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7019" w:type="dxa"/>
            <w:noWrap w:val="0"/>
            <w:vAlign w:val="center"/>
          </w:tcPr>
          <w:p w14:paraId="33863A63">
            <w:pPr>
              <w:keepNext w:val="0"/>
              <w:keepLines w:val="0"/>
              <w:numPr>
                <w:ilvl w:val="0"/>
                <w:numId w:val="4"/>
              </w:numPr>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本项目投标应以人民币报价；</w:t>
            </w:r>
          </w:p>
          <w:p w14:paraId="2E00530B">
            <w:pPr>
              <w:keepNext w:val="0"/>
              <w:keepLines w:val="0"/>
              <w:numPr>
                <w:ilvl w:val="0"/>
                <w:numId w:val="4"/>
              </w:numPr>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w:t>
            </w:r>
          </w:p>
        </w:tc>
      </w:tr>
      <w:tr w14:paraId="7AA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noWrap w:val="0"/>
            <w:vAlign w:val="center"/>
          </w:tcPr>
          <w:p w14:paraId="002018D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612" w:type="dxa"/>
            <w:noWrap w:val="0"/>
            <w:vAlign w:val="center"/>
          </w:tcPr>
          <w:p w14:paraId="1BBBCA2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7019" w:type="dxa"/>
            <w:noWrap w:val="0"/>
            <w:vAlign w:val="center"/>
          </w:tcPr>
          <w:p w14:paraId="238B770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□组织（详细内容）</w:t>
            </w:r>
          </w:p>
          <w:p w14:paraId="4F7D6AF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■不组织集中踏勘现场，投标人有需要可自行前往。</w:t>
            </w:r>
          </w:p>
        </w:tc>
      </w:tr>
      <w:tr w14:paraId="33FC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noWrap w:val="0"/>
            <w:vAlign w:val="center"/>
          </w:tcPr>
          <w:p w14:paraId="7E78E4F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612" w:type="dxa"/>
            <w:noWrap w:val="0"/>
            <w:vAlign w:val="center"/>
          </w:tcPr>
          <w:p w14:paraId="5AA8F19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样品</w:t>
            </w:r>
          </w:p>
        </w:tc>
        <w:tc>
          <w:tcPr>
            <w:tcW w:w="7019" w:type="dxa"/>
            <w:noWrap w:val="0"/>
            <w:vAlign w:val="center"/>
          </w:tcPr>
          <w:p w14:paraId="315278B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□提供，具体详见招标文件，中标人提供的样品将由采购人保管、封存并作为履约验收的参考</w:t>
            </w:r>
          </w:p>
          <w:p w14:paraId="0A101CE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■不提供</w:t>
            </w:r>
          </w:p>
        </w:tc>
      </w:tr>
      <w:tr w14:paraId="7F16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noWrap w:val="0"/>
            <w:vAlign w:val="center"/>
          </w:tcPr>
          <w:p w14:paraId="7A60A74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612" w:type="dxa"/>
            <w:noWrap w:val="0"/>
            <w:vAlign w:val="center"/>
          </w:tcPr>
          <w:p w14:paraId="27AB2F5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演示</w:t>
            </w:r>
          </w:p>
        </w:tc>
        <w:tc>
          <w:tcPr>
            <w:tcW w:w="7019" w:type="dxa"/>
            <w:noWrap w:val="0"/>
            <w:vAlign w:val="center"/>
          </w:tcPr>
          <w:p w14:paraId="79B420F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要求，提供视频演示的各投标人将需演示的部分自行演示并录制成视频制作在 U 盘中，录制视频时长20分钟以内，录制的视频必须为MP4格式（若视频为其他格式导致评审中不能正常播放的，责任自负），并装入密封袋，在投标截止时间前用密封袋包装好注明项目名称和投标人名称快递到招标代理机构处（台州市椒江区东环大道576号二楼浙江五石中正工程咨询有限公司，金老师，0576-88781913）。</w:t>
            </w:r>
          </w:p>
        </w:tc>
      </w:tr>
      <w:tr w14:paraId="064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2" w:type="dxa"/>
            <w:noWrap w:val="0"/>
            <w:vAlign w:val="center"/>
          </w:tcPr>
          <w:p w14:paraId="089FBF9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612" w:type="dxa"/>
            <w:noWrap w:val="0"/>
            <w:vAlign w:val="center"/>
          </w:tcPr>
          <w:p w14:paraId="5319D95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评标办法</w:t>
            </w:r>
          </w:p>
        </w:tc>
        <w:tc>
          <w:tcPr>
            <w:tcW w:w="7019" w:type="dxa"/>
            <w:noWrap w:val="0"/>
            <w:vAlign w:val="center"/>
          </w:tcPr>
          <w:p w14:paraId="52BD161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■综合评分法</w:t>
            </w:r>
          </w:p>
          <w:p w14:paraId="5366996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□最低评标价法</w:t>
            </w:r>
          </w:p>
        </w:tc>
      </w:tr>
      <w:tr w14:paraId="7DD8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noWrap w:val="0"/>
            <w:vAlign w:val="center"/>
          </w:tcPr>
          <w:p w14:paraId="31FD575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1612" w:type="dxa"/>
            <w:noWrap w:val="0"/>
            <w:vAlign w:val="center"/>
          </w:tcPr>
          <w:p w14:paraId="6ED3E69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是否进口</w:t>
            </w:r>
          </w:p>
        </w:tc>
        <w:tc>
          <w:tcPr>
            <w:tcW w:w="7019" w:type="dxa"/>
            <w:noWrap w:val="0"/>
            <w:vAlign w:val="center"/>
          </w:tcPr>
          <w:p w14:paraId="15E951B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□允许进口</w:t>
            </w:r>
          </w:p>
          <w:p w14:paraId="3271C56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■不允许进口</w:t>
            </w:r>
          </w:p>
        </w:tc>
      </w:tr>
      <w:tr w14:paraId="4A92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22C2B57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1612" w:type="dxa"/>
            <w:noWrap w:val="0"/>
            <w:vAlign w:val="center"/>
          </w:tcPr>
          <w:p w14:paraId="477EC08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节能产品</w:t>
            </w:r>
          </w:p>
        </w:tc>
        <w:tc>
          <w:tcPr>
            <w:tcW w:w="7019" w:type="dxa"/>
            <w:noWrap w:val="0"/>
            <w:vAlign w:val="center"/>
          </w:tcPr>
          <w:p w14:paraId="29BE4C2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□强制采购节能产品</w:t>
            </w:r>
          </w:p>
          <w:p w14:paraId="592F925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□优先采购节能产品</w:t>
            </w:r>
          </w:p>
          <w:p w14:paraId="6A1EAC8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■不适用</w:t>
            </w:r>
          </w:p>
        </w:tc>
      </w:tr>
      <w:tr w14:paraId="6D20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3BD6B9B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1612" w:type="dxa"/>
            <w:noWrap w:val="0"/>
            <w:vAlign w:val="center"/>
          </w:tcPr>
          <w:p w14:paraId="5B82E14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环境标志产品</w:t>
            </w:r>
          </w:p>
        </w:tc>
        <w:tc>
          <w:tcPr>
            <w:tcW w:w="7019" w:type="dxa"/>
            <w:noWrap w:val="0"/>
            <w:vAlign w:val="center"/>
          </w:tcPr>
          <w:p w14:paraId="3C6B35C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□优先采购环境标志产品</w:t>
            </w:r>
          </w:p>
          <w:p w14:paraId="73DA59E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■不适用</w:t>
            </w:r>
          </w:p>
        </w:tc>
      </w:tr>
      <w:tr w14:paraId="1CAE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4DC25DDD">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6</w:t>
            </w:r>
          </w:p>
        </w:tc>
        <w:tc>
          <w:tcPr>
            <w:tcW w:w="1612" w:type="dxa"/>
            <w:noWrap w:val="0"/>
            <w:vAlign w:val="center"/>
          </w:tcPr>
          <w:p w14:paraId="60ED858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合同签订</w:t>
            </w:r>
          </w:p>
        </w:tc>
        <w:tc>
          <w:tcPr>
            <w:tcW w:w="7019" w:type="dxa"/>
            <w:noWrap w:val="0"/>
            <w:vAlign w:val="center"/>
          </w:tcPr>
          <w:p w14:paraId="619B9B5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288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2D730587">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7</w:t>
            </w:r>
          </w:p>
        </w:tc>
        <w:tc>
          <w:tcPr>
            <w:tcW w:w="1612" w:type="dxa"/>
            <w:noWrap w:val="0"/>
            <w:vAlign w:val="center"/>
          </w:tcPr>
          <w:p w14:paraId="2CAF405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供应商注册事项</w:t>
            </w:r>
          </w:p>
        </w:tc>
        <w:tc>
          <w:tcPr>
            <w:tcW w:w="7019" w:type="dxa"/>
            <w:noWrap w:val="0"/>
            <w:vAlign w:val="center"/>
          </w:tcPr>
          <w:p w14:paraId="50E3C261">
            <w:pPr>
              <w:pStyle w:val="17"/>
              <w:keepNext w:val="0"/>
              <w:keepLines w:val="0"/>
              <w:suppressLineNumbers w:val="0"/>
              <w:shd w:val="clear" w:color="auto" w:fill="auto"/>
              <w:spacing w:before="0" w:beforeAutospacing="0" w:after="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根据《浙江省政府采购供应商注册及诚信管理暂行办法》（浙财采监字〔2009〕28号），供应商中标后必须注册成为浙江政府采购网（</w:t>
            </w:r>
            <w:r>
              <w:rPr>
                <w:rFonts w:hint="eastAsia" w:ascii="宋体" w:hAnsi="宋体" w:eastAsia="宋体" w:cs="宋体"/>
                <w:color w:val="auto"/>
                <w:sz w:val="24"/>
                <w:szCs w:val="24"/>
                <w:highlight w:val="none"/>
                <w:lang w:eastAsia="zh-CN"/>
              </w:rPr>
              <w:t>https://zfcg.czt.zj.gov.cn/</w:t>
            </w:r>
            <w:r>
              <w:rPr>
                <w:rFonts w:hint="eastAsia" w:ascii="宋体" w:hAnsi="宋体" w:eastAsia="宋体" w:cs="宋体"/>
                <w:color w:val="auto"/>
                <w:sz w:val="24"/>
                <w:szCs w:val="24"/>
                <w:highlight w:val="none"/>
              </w:rPr>
              <w:t>）的正式供应商，否则可以不与中标人签订合同，如未能按时签订合同，将取消其中标资格。</w:t>
            </w:r>
          </w:p>
        </w:tc>
      </w:tr>
      <w:tr w14:paraId="4F5B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0D40655C">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8</w:t>
            </w:r>
          </w:p>
        </w:tc>
        <w:tc>
          <w:tcPr>
            <w:tcW w:w="1612" w:type="dxa"/>
            <w:noWrap w:val="0"/>
            <w:vAlign w:val="center"/>
          </w:tcPr>
          <w:p w14:paraId="1B3FB84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代理服务费</w:t>
            </w:r>
          </w:p>
        </w:tc>
        <w:tc>
          <w:tcPr>
            <w:tcW w:w="7019" w:type="dxa"/>
            <w:noWrap w:val="0"/>
            <w:vAlign w:val="center"/>
          </w:tcPr>
          <w:p w14:paraId="7A90DBC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招标代理费用按照国家计委计价[2011]534 号文的50%执行，向中标单位收取招标代理费</w:t>
            </w:r>
            <w:r>
              <w:rPr>
                <w:rFonts w:hint="default" w:ascii="宋体" w:hAnsi="宋体" w:cs="宋体"/>
                <w:color w:val="auto"/>
                <w:sz w:val="24"/>
                <w:szCs w:val="24"/>
                <w:highlight w:val="none"/>
                <w:lang w:eastAsia="zh-Hans"/>
              </w:rPr>
              <w:t>。</w:t>
            </w:r>
            <w:r>
              <w:rPr>
                <w:rFonts w:hint="eastAsia" w:ascii="宋体" w:hAnsi="宋体" w:cs="宋体"/>
                <w:color w:val="auto"/>
                <w:sz w:val="24"/>
                <w:szCs w:val="24"/>
                <w:highlight w:val="none"/>
              </w:rPr>
              <w:t>该费用中标方须在中标通知书发出前一次性付清。（户名：浙江五石中正工程咨询有限公司；账号：1202003209900014176；开户银行：中国工商银行杭州市潮王路支行）财务电话：0571-88271625。</w:t>
            </w:r>
          </w:p>
        </w:tc>
      </w:tr>
      <w:tr w14:paraId="0C70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17C70BAB">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default" w:ascii="宋体" w:hAnsi="宋体" w:cs="宋体"/>
                <w:color w:val="auto"/>
                <w:sz w:val="24"/>
                <w:szCs w:val="24"/>
                <w:highlight w:val="none"/>
              </w:rPr>
              <w:t>19</w:t>
            </w:r>
          </w:p>
        </w:tc>
        <w:tc>
          <w:tcPr>
            <w:tcW w:w="1612" w:type="dxa"/>
            <w:noWrap w:val="0"/>
            <w:vAlign w:val="center"/>
          </w:tcPr>
          <w:p w14:paraId="57A3201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现场组织实施</w:t>
            </w:r>
          </w:p>
        </w:tc>
        <w:tc>
          <w:tcPr>
            <w:tcW w:w="7019" w:type="dxa"/>
            <w:noWrap w:val="0"/>
            <w:vAlign w:val="center"/>
          </w:tcPr>
          <w:p w14:paraId="3635CE36">
            <w:pPr>
              <w:pStyle w:val="17"/>
              <w:keepNext w:val="0"/>
              <w:keepLines w:val="0"/>
              <w:suppressLineNumbers w:val="0"/>
              <w:shd w:val="clear" w:color="auto" w:fill="auto"/>
              <w:spacing w:before="0" w:beforeAutospacing="0" w:after="0" w:after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投标文件结束解密后</w:t>
            </w:r>
            <w:r>
              <w:rPr>
                <w:rFonts w:hint="eastAsia" w:ascii="宋体" w:hAnsi="宋体" w:eastAsia="宋体" w:cs="宋体"/>
                <w:color w:val="auto"/>
                <w:sz w:val="24"/>
                <w:szCs w:val="24"/>
                <w:highlight w:val="none"/>
              </w:rPr>
              <w:t>，供应商应当通过邮件形式，将经授权代表签署的《政府采购活动现场确认声明书》（格式见附件最后一页）扫描件发至代理机构</w:t>
            </w:r>
            <w:r>
              <w:rPr>
                <w:rFonts w:hint="eastAsia" w:ascii="宋体" w:hAnsi="宋体" w:eastAsia="宋体" w:cs="宋体"/>
                <w:b/>
                <w:color w:val="auto"/>
                <w:sz w:val="24"/>
                <w:szCs w:val="24"/>
                <w:highlight w:val="none"/>
                <w:u w:val="single"/>
              </w:rPr>
              <w:t>邮箱（zjwstz@163.com）,联系人：潘麒锋，电话：13616507339。</w:t>
            </w:r>
          </w:p>
        </w:tc>
      </w:tr>
      <w:tr w14:paraId="6091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617BE524">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r>
              <w:rPr>
                <w:rFonts w:hint="default" w:ascii="宋体" w:hAnsi="宋体" w:cs="宋体"/>
                <w:color w:val="auto"/>
                <w:sz w:val="24"/>
                <w:szCs w:val="24"/>
                <w:highlight w:val="none"/>
              </w:rPr>
              <w:t>0</w:t>
            </w:r>
          </w:p>
        </w:tc>
        <w:tc>
          <w:tcPr>
            <w:tcW w:w="1612" w:type="dxa"/>
            <w:noWrap w:val="0"/>
            <w:vAlign w:val="center"/>
          </w:tcPr>
          <w:p w14:paraId="43F5FA8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解释权</w:t>
            </w:r>
          </w:p>
        </w:tc>
        <w:tc>
          <w:tcPr>
            <w:tcW w:w="7019" w:type="dxa"/>
            <w:noWrap w:val="0"/>
            <w:vAlign w:val="center"/>
          </w:tcPr>
          <w:p w14:paraId="7F31812E">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本招标文件的解释权属于采购人和采购代理机构。</w:t>
            </w:r>
          </w:p>
        </w:tc>
      </w:tr>
      <w:tr w14:paraId="5A3E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32" w:type="dxa"/>
            <w:noWrap w:val="0"/>
            <w:vAlign w:val="center"/>
          </w:tcPr>
          <w:p w14:paraId="4D882C35">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r>
              <w:rPr>
                <w:rFonts w:hint="default" w:ascii="宋体" w:hAnsi="宋体" w:cs="宋体"/>
                <w:color w:val="auto"/>
                <w:sz w:val="24"/>
                <w:szCs w:val="24"/>
                <w:highlight w:val="none"/>
              </w:rPr>
              <w:t>1</w:t>
            </w:r>
          </w:p>
        </w:tc>
        <w:tc>
          <w:tcPr>
            <w:tcW w:w="1612" w:type="dxa"/>
            <w:noWrap w:val="0"/>
            <w:vAlign w:val="center"/>
          </w:tcPr>
          <w:p w14:paraId="39B674F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其他说明</w:t>
            </w:r>
          </w:p>
        </w:tc>
        <w:tc>
          <w:tcPr>
            <w:tcW w:w="7019" w:type="dxa"/>
            <w:noWrap w:val="0"/>
            <w:vAlign w:val="center"/>
          </w:tcPr>
          <w:p w14:paraId="53AF5B7C">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6549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6768E6E4">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r>
              <w:rPr>
                <w:rFonts w:hint="default" w:ascii="宋体" w:hAnsi="宋体" w:cs="宋体"/>
                <w:color w:val="auto"/>
                <w:sz w:val="24"/>
                <w:szCs w:val="24"/>
                <w:highlight w:val="none"/>
              </w:rPr>
              <w:t>2</w:t>
            </w:r>
          </w:p>
        </w:tc>
        <w:tc>
          <w:tcPr>
            <w:tcW w:w="1612" w:type="dxa"/>
            <w:noWrap w:val="0"/>
            <w:vAlign w:val="center"/>
          </w:tcPr>
          <w:p w14:paraId="04C9F0C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注意事项</w:t>
            </w:r>
          </w:p>
        </w:tc>
        <w:tc>
          <w:tcPr>
            <w:tcW w:w="7019" w:type="dxa"/>
            <w:noWrap w:val="0"/>
            <w:vAlign w:val="center"/>
          </w:tcPr>
          <w:p w14:paraId="2004057E">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投标人应严格按照招标文件及补充文件的规定和要求编制投标文件。在编制投标文件过程中,应严格遵循实事求是、诚信投标的原则,如有偏离,应如实填写响应偏离。</w:t>
            </w:r>
          </w:p>
          <w:p w14:paraId="7AE81EA4">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如果发现本招标文件中存在歧视性不公正条款或违法违规等内容时,请投标人在获取招标文件后,在采购文件的质疑有效期内及时书面提出。</w:t>
            </w:r>
          </w:p>
          <w:p w14:paraId="045B9B68">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采购结果公告期间,投标人不得通过非正当途径获取法律法规规定评标委员会(包括其他相关人员)应当保密的相关内容。</w:t>
            </w:r>
          </w:p>
        </w:tc>
      </w:tr>
      <w:tr w14:paraId="72A8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7DD0E045">
            <w:pPr>
              <w:keepNext w:val="0"/>
              <w:keepLines w:val="0"/>
              <w:suppressLineNumbers w:val="0"/>
              <w:shd w:val="clear" w:color="auto" w:fill="auto"/>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r>
              <w:rPr>
                <w:rFonts w:hint="default" w:ascii="宋体" w:hAnsi="宋体" w:cs="宋体"/>
                <w:color w:val="auto"/>
                <w:sz w:val="24"/>
                <w:szCs w:val="24"/>
                <w:highlight w:val="none"/>
              </w:rPr>
              <w:t>3</w:t>
            </w:r>
          </w:p>
        </w:tc>
        <w:tc>
          <w:tcPr>
            <w:tcW w:w="1612" w:type="dxa"/>
            <w:noWrap w:val="0"/>
            <w:vAlign w:val="center"/>
          </w:tcPr>
          <w:p w14:paraId="4B37BE7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中标单位纸质投标文件</w:t>
            </w:r>
          </w:p>
        </w:tc>
        <w:tc>
          <w:tcPr>
            <w:tcW w:w="7019" w:type="dxa"/>
            <w:noWrap w:val="0"/>
            <w:vAlign w:val="center"/>
          </w:tcPr>
          <w:p w14:paraId="57E43262">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中标单位需要在领取《中标通知书》时提供与电子投标一致的纸质投标文件用于书面存档（至少一式一份），要求采用胶装，不建议采用活页夹等可随时拆换的方式装订。</w:t>
            </w:r>
          </w:p>
        </w:tc>
      </w:tr>
      <w:tr w14:paraId="4E62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noWrap w:val="0"/>
            <w:vAlign w:val="center"/>
          </w:tcPr>
          <w:p w14:paraId="08A8CABC">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612" w:type="dxa"/>
            <w:noWrap w:val="0"/>
            <w:vAlign w:val="center"/>
          </w:tcPr>
          <w:p w14:paraId="243B1845">
            <w:pPr>
              <w:keepNext w:val="0"/>
              <w:keepLines w:val="0"/>
              <w:suppressLineNumbers w:val="0"/>
              <w:shd w:val="clear" w:color="auto" w:fill="auto"/>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履约保证金</w:t>
            </w:r>
          </w:p>
        </w:tc>
        <w:tc>
          <w:tcPr>
            <w:tcW w:w="7019" w:type="dxa"/>
            <w:noWrap w:val="0"/>
            <w:vAlign w:val="center"/>
          </w:tcPr>
          <w:p w14:paraId="2DBAC06B">
            <w:pPr>
              <w:pStyle w:val="17"/>
              <w:keepNext w:val="0"/>
              <w:keepLines w:val="0"/>
              <w:suppressLineNumbers w:val="0"/>
              <w:shd w:val="clear" w:color="auto" w:fill="auto"/>
              <w:spacing w:before="0" w:beforeAutospacing="0" w:after="0" w:after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w:t>
            </w:r>
            <w:r>
              <w:rPr>
                <w:rFonts w:hint="eastAsia" w:ascii="宋体" w:hAnsi="宋体" w:eastAsia="宋体" w:cs="宋体"/>
                <w:color w:val="auto"/>
                <w:sz w:val="24"/>
                <w:szCs w:val="24"/>
                <w:highlight w:val="none"/>
                <w:lang w:val="zh-CN"/>
              </w:rPr>
              <w:t>合同签订后7个工作日</w:t>
            </w:r>
            <w:r>
              <w:rPr>
                <w:rFonts w:hint="eastAsia" w:ascii="宋体" w:hAnsi="宋体" w:eastAsia="宋体" w:cs="宋体"/>
                <w:color w:val="auto"/>
                <w:sz w:val="24"/>
                <w:szCs w:val="24"/>
                <w:highlight w:val="none"/>
              </w:rPr>
              <w:t>内须交纳预算金额的1%作为本项目的履约保证金（可采用网上银行转账、电汇、汇票或银行、保险公司出具的独立保函形式），履约保证金在</w:t>
            </w:r>
            <w:r>
              <w:rPr>
                <w:rFonts w:hint="eastAsia" w:ascii="宋体" w:hAnsi="宋体" w:eastAsia="宋体" w:cs="宋体"/>
                <w:color w:val="auto"/>
                <w:sz w:val="24"/>
                <w:szCs w:val="24"/>
                <w:highlight w:val="none"/>
                <w:lang w:val="zh-CN"/>
              </w:rPr>
              <w:t>所有工作完成并验收合格后</w:t>
            </w:r>
            <w:r>
              <w:rPr>
                <w:rFonts w:hint="eastAsia" w:ascii="宋体" w:hAnsi="宋体" w:eastAsia="宋体" w:cs="宋体"/>
                <w:color w:val="auto"/>
                <w:sz w:val="24"/>
                <w:szCs w:val="24"/>
                <w:highlight w:val="none"/>
              </w:rPr>
              <w:t>7个工作日内无息退还。</w:t>
            </w:r>
          </w:p>
        </w:tc>
      </w:tr>
    </w:tbl>
    <w:p w14:paraId="4F70C4C6">
      <w:pPr>
        <w:pStyle w:val="15"/>
        <w:shd w:val="clear" w:color="auto" w:fill="auto"/>
        <w:snapToGrid w:val="0"/>
        <w:spacing w:before="120" w:after="120" w:line="360" w:lineRule="auto"/>
        <w:rPr>
          <w:rFonts w:hint="eastAsia" w:hAnsi="宋体"/>
          <w:b/>
          <w:bCs/>
          <w:color w:val="auto"/>
          <w:sz w:val="24"/>
          <w:szCs w:val="24"/>
          <w:highlight w:val="none"/>
        </w:rPr>
      </w:pPr>
    </w:p>
    <w:p w14:paraId="3AAAF8E2">
      <w:pPr>
        <w:widowControl/>
        <w:shd w:val="clear" w:color="auto" w:fill="auto"/>
        <w:jc w:val="center"/>
        <w:outlineLvl w:val="1"/>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br w:type="page"/>
      </w:r>
      <w:bookmarkStart w:id="69" w:name="_Toc25437"/>
      <w:bookmarkStart w:id="70" w:name="_Toc12354"/>
      <w:bookmarkStart w:id="71" w:name="_Toc174"/>
      <w:r>
        <w:rPr>
          <w:rFonts w:hint="eastAsia" w:ascii="宋体" w:hAnsi="宋体" w:cs="宋体"/>
          <w:b/>
          <w:bCs/>
          <w:color w:val="auto"/>
          <w:sz w:val="28"/>
          <w:szCs w:val="28"/>
          <w:highlight w:val="none"/>
        </w:rPr>
        <w:t>一、总则</w:t>
      </w:r>
      <w:bookmarkEnd w:id="69"/>
      <w:bookmarkEnd w:id="70"/>
      <w:bookmarkEnd w:id="71"/>
    </w:p>
    <w:p w14:paraId="76E013DD">
      <w:pPr>
        <w:shd w:val="clear" w:color="auto" w:fill="auto"/>
        <w:snapToGrid w:val="0"/>
        <w:spacing w:line="440" w:lineRule="exact"/>
        <w:ind w:firstLine="482" w:firstLineChars="200"/>
        <w:jc w:val="left"/>
        <w:outlineLvl w:val="1"/>
        <w:rPr>
          <w:rFonts w:hint="eastAsia" w:ascii="宋体" w:hAnsi="宋体" w:cs="宋体"/>
          <w:b/>
          <w:bCs/>
          <w:color w:val="auto"/>
          <w:sz w:val="24"/>
          <w:szCs w:val="24"/>
          <w:highlight w:val="none"/>
        </w:rPr>
      </w:pPr>
      <w:bookmarkStart w:id="72" w:name="_Toc20639"/>
      <w:bookmarkStart w:id="73" w:name="_Toc11792"/>
      <w:bookmarkStart w:id="74" w:name="_Toc18085"/>
      <w:r>
        <w:rPr>
          <w:rFonts w:hint="eastAsia" w:ascii="宋体" w:hAnsi="宋体" w:cs="宋体"/>
          <w:b/>
          <w:bCs/>
          <w:color w:val="auto"/>
          <w:sz w:val="24"/>
          <w:szCs w:val="24"/>
          <w:highlight w:val="none"/>
        </w:rPr>
        <w:t>（一）适用范围</w:t>
      </w:r>
      <w:bookmarkEnd w:id="72"/>
      <w:bookmarkEnd w:id="73"/>
      <w:bookmarkEnd w:id="74"/>
    </w:p>
    <w:p w14:paraId="29C3D416">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46AC1F75">
      <w:pPr>
        <w:shd w:val="clear" w:color="auto" w:fill="auto"/>
        <w:snapToGrid w:val="0"/>
        <w:spacing w:line="440" w:lineRule="exact"/>
        <w:ind w:firstLine="482" w:firstLineChars="200"/>
        <w:jc w:val="left"/>
        <w:outlineLvl w:val="1"/>
        <w:rPr>
          <w:rFonts w:hint="eastAsia" w:ascii="宋体" w:hAnsi="宋体" w:cs="宋体"/>
          <w:b/>
          <w:bCs/>
          <w:color w:val="auto"/>
          <w:sz w:val="24"/>
          <w:szCs w:val="24"/>
          <w:highlight w:val="none"/>
        </w:rPr>
      </w:pPr>
      <w:bookmarkStart w:id="75" w:name="_Toc15055"/>
      <w:bookmarkStart w:id="76" w:name="_Toc15750"/>
      <w:bookmarkStart w:id="77" w:name="_Toc10590"/>
      <w:r>
        <w:rPr>
          <w:rFonts w:hint="eastAsia" w:ascii="宋体" w:hAnsi="宋体" w:cs="宋体"/>
          <w:b/>
          <w:bCs/>
          <w:color w:val="auto"/>
          <w:sz w:val="24"/>
          <w:szCs w:val="24"/>
          <w:highlight w:val="none"/>
        </w:rPr>
        <w:t>（二）定义</w:t>
      </w:r>
      <w:bookmarkEnd w:id="75"/>
      <w:bookmarkEnd w:id="76"/>
      <w:bookmarkEnd w:id="77"/>
    </w:p>
    <w:p w14:paraId="2B0F2643">
      <w:pPr>
        <w:pStyle w:val="8"/>
        <w:keepNext w:val="0"/>
        <w:keepLines w:val="0"/>
        <w:shd w:val="clear" w:color="auto" w:fill="auto"/>
        <w:tabs>
          <w:tab w:val="left" w:pos="0"/>
          <w:tab w:val="left" w:pos="851"/>
        </w:tabs>
        <w:autoSpaceDE w:val="0"/>
        <w:autoSpaceDN w:val="0"/>
        <w:adjustRightInd w:val="0"/>
        <w:snapToGrid w:val="0"/>
        <w:spacing w:before="0" w:after="0" w:line="44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1、采购代理机构：是指受采购人委托，在委托的范围内办理政府采购事宜的机构。</w:t>
      </w:r>
    </w:p>
    <w:p w14:paraId="2424ED80">
      <w:pPr>
        <w:shd w:val="clear" w:color="auto" w:fill="auto"/>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2、采购人：是指依法进行政府采购的国家机关、事业单位和团体组织。</w:t>
      </w:r>
    </w:p>
    <w:p w14:paraId="09DD8F59">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3、投标人：是指参加本政府采购项目投标的供应商。</w:t>
      </w:r>
    </w:p>
    <w:p w14:paraId="7EAF9F5B">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4、货物：是指各种形态和种类的物品，包括原材料、燃料、设备、产品等。</w:t>
      </w:r>
    </w:p>
    <w:p w14:paraId="11E4F2B5">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5、服务：是指除货物和工程以外的其他政府采购对象，包括各类专业服务、信息网络开发服务、金融保险服务、运输服务，以及维修与维护服务等。</w:t>
      </w:r>
    </w:p>
    <w:p w14:paraId="1786A6CB">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6、“书面形式”包括信函、传真等。</w:t>
      </w:r>
    </w:p>
    <w:p w14:paraId="1EA65D6E">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7、“▲”系指实质性要求条款。</w:t>
      </w:r>
    </w:p>
    <w:p w14:paraId="042809A4">
      <w:pPr>
        <w:shd w:val="clear" w:color="auto" w:fill="auto"/>
        <w:snapToGrid w:val="0"/>
        <w:spacing w:line="440" w:lineRule="exact"/>
        <w:ind w:firstLine="482" w:firstLineChars="200"/>
        <w:jc w:val="left"/>
        <w:outlineLvl w:val="1"/>
        <w:rPr>
          <w:rFonts w:hint="eastAsia" w:ascii="宋体" w:hAnsi="宋体" w:cs="宋体"/>
          <w:b/>
          <w:bCs/>
          <w:color w:val="auto"/>
          <w:sz w:val="24"/>
          <w:szCs w:val="24"/>
          <w:highlight w:val="none"/>
        </w:rPr>
      </w:pPr>
      <w:bookmarkStart w:id="78" w:name="_Toc7021"/>
      <w:bookmarkStart w:id="79" w:name="_Toc29234"/>
      <w:bookmarkStart w:id="80" w:name="_Toc16875"/>
      <w:r>
        <w:rPr>
          <w:rFonts w:hint="eastAsia" w:ascii="宋体" w:hAnsi="宋体" w:cs="宋体"/>
          <w:b/>
          <w:bCs/>
          <w:color w:val="auto"/>
          <w:sz w:val="24"/>
          <w:szCs w:val="24"/>
          <w:highlight w:val="none"/>
        </w:rPr>
        <w:t>（三）投标费用</w:t>
      </w:r>
      <w:bookmarkEnd w:id="78"/>
      <w:bookmarkEnd w:id="79"/>
      <w:bookmarkEnd w:id="80"/>
    </w:p>
    <w:p w14:paraId="66DBEB6D">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4EE0A088">
      <w:pPr>
        <w:pStyle w:val="15"/>
        <w:shd w:val="clear" w:color="auto" w:fill="auto"/>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（四）特别说明</w:t>
      </w:r>
    </w:p>
    <w:p w14:paraId="11FF2E9B">
      <w:pPr>
        <w:pStyle w:val="15"/>
        <w:shd w:val="clear" w:color="auto" w:fill="auto"/>
        <w:snapToGrid w:val="0"/>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1、投标人投标所使用的资格、信誉、荣誉、业绩与企业认证必须为本法人所拥有。投标人投标所使用的采购项目实施人员必须为本法人员工（指本法人或控股公司正式员工）。</w:t>
      </w:r>
    </w:p>
    <w:p w14:paraId="367CC44A">
      <w:pPr>
        <w:shd w:val="clear" w:color="auto" w:fill="auto"/>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06A64A88">
      <w:pPr>
        <w:pStyle w:val="51"/>
        <w:shd w:val="clear" w:color="auto" w:fill="auto"/>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07EA7CD">
      <w:pPr>
        <w:pStyle w:val="8"/>
        <w:keepNext w:val="0"/>
        <w:keepLines w:val="0"/>
        <w:shd w:val="clear" w:color="auto" w:fill="auto"/>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777DC35B">
      <w:pPr>
        <w:pStyle w:val="8"/>
        <w:keepNext w:val="0"/>
        <w:keepLines w:val="0"/>
        <w:shd w:val="clear" w:color="auto" w:fill="auto"/>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5、投标文件格式中的表格式样可以根据项目差别做适当调整,但应当保持表格样式基本形态不变。</w:t>
      </w:r>
    </w:p>
    <w:p w14:paraId="52C825EE">
      <w:pPr>
        <w:pStyle w:val="8"/>
        <w:keepNext w:val="0"/>
        <w:keepLines w:val="0"/>
        <w:shd w:val="clear" w:color="auto" w:fill="auto"/>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6、本项目不允许分包。</w:t>
      </w:r>
    </w:p>
    <w:p w14:paraId="30BA0E52">
      <w:pPr>
        <w:shd w:val="clear" w:color="auto" w:fill="auto"/>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hint="eastAsia" w:ascii="宋体" w:hAnsi="宋体" w:cs="宋体"/>
          <w:b/>
          <w:bCs/>
          <w:color w:val="auto"/>
          <w:sz w:val="28"/>
          <w:szCs w:val="28"/>
          <w:highlight w:val="none"/>
        </w:rPr>
      </w:pPr>
    </w:p>
    <w:p w14:paraId="07F0397C">
      <w:pPr>
        <w:shd w:val="clear" w:color="auto" w:fill="auto"/>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outlineLvl w:val="1"/>
        <w:rPr>
          <w:rFonts w:hint="eastAsia" w:ascii="宋体" w:hAnsi="宋体" w:cs="宋体"/>
          <w:b/>
          <w:bCs/>
          <w:color w:val="auto"/>
          <w:sz w:val="28"/>
          <w:szCs w:val="28"/>
          <w:highlight w:val="none"/>
        </w:rPr>
      </w:pPr>
      <w:bookmarkStart w:id="81" w:name="_Toc30408"/>
      <w:bookmarkStart w:id="82" w:name="_Toc8321"/>
      <w:bookmarkStart w:id="83" w:name="_Toc29170"/>
      <w:r>
        <w:rPr>
          <w:rFonts w:hint="eastAsia" w:ascii="宋体" w:hAnsi="宋体" w:cs="宋体"/>
          <w:b/>
          <w:bCs/>
          <w:color w:val="auto"/>
          <w:sz w:val="28"/>
          <w:szCs w:val="28"/>
          <w:highlight w:val="none"/>
        </w:rPr>
        <w:t>二、招标文件</w:t>
      </w:r>
      <w:bookmarkEnd w:id="81"/>
      <w:bookmarkEnd w:id="82"/>
      <w:bookmarkEnd w:id="83"/>
    </w:p>
    <w:p w14:paraId="5834D425">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（一）招标文件由招标文件总目录所列内容组成。</w:t>
      </w:r>
    </w:p>
    <w:p w14:paraId="5EE0D756">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（二）招标文件的澄清或修改</w:t>
      </w:r>
    </w:p>
    <w:p w14:paraId="09CABE71">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1B7DBB64">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EAB70FA">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22D63306">
      <w:pPr>
        <w:shd w:val="clear" w:color="auto" w:fill="auto"/>
        <w:tabs>
          <w:tab w:val="left" w:pos="1418"/>
        </w:tabs>
        <w:autoSpaceDE w:val="0"/>
        <w:autoSpaceDN w:val="0"/>
        <w:adjustRightInd w:val="0"/>
        <w:spacing w:line="440" w:lineRule="exact"/>
        <w:ind w:firstLine="562" w:firstLineChars="200"/>
        <w:jc w:val="center"/>
        <w:rPr>
          <w:rFonts w:hint="eastAsia" w:ascii="宋体" w:hAnsi="宋体" w:cs="宋体"/>
          <w:b/>
          <w:bCs/>
          <w:color w:val="auto"/>
          <w:sz w:val="28"/>
          <w:szCs w:val="28"/>
          <w:highlight w:val="none"/>
        </w:rPr>
      </w:pPr>
    </w:p>
    <w:p w14:paraId="40212C4B">
      <w:pPr>
        <w:shd w:val="clear" w:color="auto" w:fill="auto"/>
        <w:tabs>
          <w:tab w:val="left" w:pos="1418"/>
        </w:tabs>
        <w:autoSpaceDE w:val="0"/>
        <w:autoSpaceDN w:val="0"/>
        <w:adjustRightInd w:val="0"/>
        <w:spacing w:line="440" w:lineRule="exact"/>
        <w:jc w:val="center"/>
        <w:outlineLvl w:val="1"/>
        <w:rPr>
          <w:rFonts w:hint="eastAsia" w:ascii="宋体" w:hAnsi="宋体" w:cs="宋体"/>
          <w:b/>
          <w:bCs/>
          <w:color w:val="auto"/>
          <w:sz w:val="28"/>
          <w:szCs w:val="28"/>
          <w:highlight w:val="none"/>
        </w:rPr>
      </w:pPr>
      <w:bookmarkStart w:id="84" w:name="_Toc7256"/>
      <w:bookmarkStart w:id="85" w:name="_Toc30677"/>
      <w:bookmarkStart w:id="86" w:name="_Toc6702"/>
      <w:r>
        <w:rPr>
          <w:rFonts w:hint="eastAsia" w:ascii="宋体" w:hAnsi="宋体" w:cs="宋体"/>
          <w:b/>
          <w:bCs/>
          <w:color w:val="auto"/>
          <w:sz w:val="28"/>
          <w:szCs w:val="28"/>
          <w:highlight w:val="none"/>
        </w:rPr>
        <w:t>三、投标文件</w:t>
      </w:r>
      <w:bookmarkEnd w:id="84"/>
      <w:bookmarkEnd w:id="85"/>
      <w:bookmarkEnd w:id="86"/>
    </w:p>
    <w:p w14:paraId="735246D6">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kern w:val="0"/>
          <w:sz w:val="24"/>
          <w:szCs w:val="24"/>
          <w:highlight w:val="none"/>
        </w:rPr>
        <w:t>投标文件的组成</w:t>
      </w:r>
    </w:p>
    <w:p w14:paraId="7275767B">
      <w:pPr>
        <w:shd w:val="clear" w:color="auto" w:fill="auto"/>
        <w:snapToGrid w:val="0"/>
        <w:spacing w:line="440" w:lineRule="exact"/>
        <w:ind w:firstLine="480" w:firstLineChars="200"/>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投标人获取招标文件后，按照招标文件的要求提供：资格证明文件、商务技术文件和报价文件。</w:t>
      </w:r>
    </w:p>
    <w:p w14:paraId="6EBF4EF4">
      <w:pPr>
        <w:shd w:val="clear" w:color="auto" w:fill="auto"/>
        <w:snapToGrid w:val="0"/>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▲1、资格证明文件的组成：</w:t>
      </w:r>
    </w:p>
    <w:p w14:paraId="4C21A290">
      <w:pPr>
        <w:pStyle w:val="2"/>
        <w:shd w:val="clear" w:color="auto" w:fill="auto"/>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（一）提供以下1-6项证明材料或书面承诺满足《中华人民共和国政府采购法》第二十二条规定</w:t>
      </w:r>
    </w:p>
    <w:p w14:paraId="3581D147">
      <w:pPr>
        <w:pStyle w:val="2"/>
        <w:shd w:val="clear" w:color="auto" w:fill="auto"/>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1.具有独立承担民事责任的能力；</w:t>
      </w:r>
    </w:p>
    <w:p w14:paraId="2740AD43">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2.具有良好的商业信誉和健全的财务会计制度；</w:t>
      </w:r>
    </w:p>
    <w:p w14:paraId="1F35C2FF">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3.具有履行合同所必需的设备和专业技术能力；</w:t>
      </w:r>
    </w:p>
    <w:p w14:paraId="140EA0B8">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4.有依法缴纳税收和社会保障资金的良好记录；</w:t>
      </w:r>
    </w:p>
    <w:p w14:paraId="22F31C8A">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5.参加政府采购活动前三年内，在经营活动中没有重大违法记录；</w:t>
      </w:r>
    </w:p>
    <w:p w14:paraId="5B969665">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6.法律、行政法规规定的其他条件；</w:t>
      </w:r>
    </w:p>
    <w:p w14:paraId="0D874D76">
      <w:pPr>
        <w:shd w:val="clear" w:color="auto" w:fill="auto"/>
        <w:snapToGrid w:val="0"/>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中小企业声明函</w:t>
      </w:r>
    </w:p>
    <w:p w14:paraId="263F54EF">
      <w:pPr>
        <w:shd w:val="clear" w:color="auto" w:fill="auto"/>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2、商务技术文件的组成： </w:t>
      </w:r>
    </w:p>
    <w:p w14:paraId="731A573A">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（1）投标函(格式见第六章);</w:t>
      </w:r>
    </w:p>
    <w:p w14:paraId="75C0C161">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（2）投标声明书(格式见第六章);</w:t>
      </w:r>
    </w:p>
    <w:p w14:paraId="0DD61E84">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（3）法定代表人授权委托书(格式见第六章)；</w:t>
      </w:r>
    </w:p>
    <w:p w14:paraId="799B3793">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（4）投标人基本情况表(格式见第六章)；</w:t>
      </w:r>
    </w:p>
    <w:p w14:paraId="09891067">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（5）技术偏离表(格式见第六章)；</w:t>
      </w:r>
    </w:p>
    <w:p w14:paraId="5E0254C0">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（6）商务偏离表(格式见第六章)；</w:t>
      </w:r>
    </w:p>
    <w:p w14:paraId="34F849B1">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（7）主要技术人员清单一览表(格式见第六章)；</w:t>
      </w:r>
    </w:p>
    <w:p w14:paraId="502B236E">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（8）投标人类似项目实施情况一览表(格式见第六章)；</w:t>
      </w:r>
    </w:p>
    <w:p w14:paraId="5DFB6B3A">
      <w:pPr>
        <w:pStyle w:val="2"/>
        <w:shd w:val="clear" w:color="auto" w:fill="auto"/>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（9）售后服务(格式见第六章)；</w:t>
      </w:r>
    </w:p>
    <w:p w14:paraId="72FEFEC1">
      <w:pPr>
        <w:pStyle w:val="2"/>
        <w:shd w:val="clear" w:color="auto" w:fill="auto"/>
        <w:spacing w:line="360" w:lineRule="auto"/>
        <w:ind w:firstLine="480" w:firstLineChars="200"/>
        <w:rPr>
          <w:rFonts w:hint="eastAsia"/>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10</w:t>
      </w:r>
      <w:r>
        <w:rPr>
          <w:rFonts w:hint="eastAsia" w:ascii="宋体" w:hAnsi="宋体" w:cs="宋体"/>
          <w:color w:val="auto"/>
          <w:highlight w:val="none"/>
          <w:lang w:val="zh-CN"/>
        </w:rPr>
        <w:t>）投标人认为需要说明的其他文件和说明。</w:t>
      </w:r>
    </w:p>
    <w:p w14:paraId="1A951EDB">
      <w:pPr>
        <w:shd w:val="clear" w:color="auto" w:fill="auto"/>
        <w:autoSpaceDE w:val="0"/>
        <w:autoSpaceDN w:val="0"/>
        <w:adjustRightInd w:val="0"/>
        <w:spacing w:line="360" w:lineRule="auto"/>
        <w:ind w:left="426" w:firstLine="65" w:firstLineChars="27"/>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3、报价文件的组成</w:t>
      </w:r>
    </w:p>
    <w:p w14:paraId="74929885">
      <w:pPr>
        <w:pStyle w:val="11"/>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（1）开标一览表（格式见第六章）；</w:t>
      </w:r>
    </w:p>
    <w:p w14:paraId="475663E6">
      <w:pPr>
        <w:pStyle w:val="11"/>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（2）投标报价明细表（格式见第六章）；</w:t>
      </w:r>
    </w:p>
    <w:p w14:paraId="104F6660">
      <w:pPr>
        <w:pStyle w:val="11"/>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w:t>
      </w:r>
    </w:p>
    <w:p w14:paraId="4F807F24">
      <w:pPr>
        <w:shd w:val="clear" w:color="auto" w:fill="auto"/>
        <w:spacing w:line="440" w:lineRule="exact"/>
        <w:ind w:left="482"/>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（二）投标文件的制作、封装及递交要求</w:t>
      </w:r>
    </w:p>
    <w:p w14:paraId="79DDE745">
      <w:pPr>
        <w:shd w:val="clear" w:color="auto" w:fill="auto"/>
        <w:autoSpaceDE w:val="0"/>
        <w:autoSpaceDN w:val="0"/>
        <w:adjustRightIn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1、投标文件的制作要求</w:t>
      </w:r>
    </w:p>
    <w:p w14:paraId="35759F91">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45B60C5C">
      <w:pPr>
        <w:shd w:val="clear" w:color="auto" w:fill="auto"/>
        <w:spacing w:line="360" w:lineRule="auto"/>
        <w:ind w:firstLine="420" w:firstLineChars="175"/>
        <w:rPr>
          <w:rFonts w:hint="eastAsia" w:ascii="宋体" w:hAnsi="宋体" w:cs="宋体"/>
          <w:b/>
          <w:color w:val="auto"/>
          <w:kern w:val="0"/>
          <w:sz w:val="24"/>
          <w:highlight w:val="none"/>
        </w:rPr>
      </w:pPr>
      <w:r>
        <w:rPr>
          <w:rFonts w:hint="eastAsia" w:ascii="宋体" w:hAnsi="宋体" w:cs="宋体"/>
          <w:color w:val="auto"/>
          <w:kern w:val="0"/>
          <w:sz w:val="24"/>
          <w:highlight w:val="none"/>
        </w:rPr>
        <w:t>（2）投标供应商应当按照本章节 “投标文件组成”规定的内容及顺序在“政采云电子交易客户端”编制投标文件。其中《资格证明文件》和《商务技术文件》中不得出现本项目投标报价，如因投标人原因提前泄露投标报价，是投标人的责任。</w:t>
      </w:r>
    </w:p>
    <w:p w14:paraId="146042FC">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（3）投标人应对所提供的全部资料的真实性承担法律责任，</w:t>
      </w:r>
      <w:r>
        <w:rPr>
          <w:rFonts w:hint="eastAsia" w:ascii="宋体" w:hAnsi="宋体" w:cs="宋体"/>
          <w:color w:val="auto"/>
          <w:kern w:val="0"/>
          <w:sz w:val="24"/>
          <w:szCs w:val="24"/>
          <w:highlight w:val="none"/>
          <w:lang w:val="zh-CN"/>
        </w:rPr>
        <w:t>投标文件内容中有要求盖章或签字的地方，必须加盖投标人的公章以及法定代表人或授权代理人的签字或盖章。</w:t>
      </w:r>
    </w:p>
    <w:p w14:paraId="46C25282">
      <w:pPr>
        <w:shd w:val="clear" w:color="auto" w:fill="auto"/>
        <w:spacing w:line="360" w:lineRule="auto"/>
        <w:ind w:firstLine="422" w:firstLineChars="176"/>
        <w:rPr>
          <w:rFonts w:hint="eastAsia" w:ascii="宋体" w:hAnsi="宋体" w:cs="宋体"/>
          <w:color w:val="auto"/>
          <w:kern w:val="0"/>
          <w:sz w:val="24"/>
          <w:szCs w:val="24"/>
          <w:highlight w:val="none"/>
          <w:lang w:val="zh-CN"/>
        </w:rPr>
      </w:pPr>
      <w:r>
        <w:rPr>
          <w:rFonts w:hint="eastAsia" w:ascii="宋体" w:hAnsi="宋体" w:cs="宋体"/>
          <w:color w:val="auto"/>
          <w:kern w:val="0"/>
          <w:sz w:val="24"/>
          <w:highlight w:val="none"/>
        </w:rPr>
        <w:t>（4）电子签章操作指南详见采购公告附件</w:t>
      </w:r>
      <w:r>
        <w:rPr>
          <w:rFonts w:hint="eastAsia" w:ascii="宋体" w:hAnsi="宋体" w:cs="宋体"/>
          <w:color w:val="auto"/>
          <w:sz w:val="24"/>
          <w:highlight w:val="none"/>
        </w:rPr>
        <w:t>《供应商项目采购-电子招投标操作指南》。</w:t>
      </w:r>
      <w:r>
        <w:rPr>
          <w:rFonts w:hint="eastAsia" w:ascii="宋体" w:hAnsi="宋体" w:cs="宋体"/>
          <w:b/>
          <w:color w:val="auto"/>
          <w:kern w:val="0"/>
          <w:sz w:val="24"/>
          <w:szCs w:val="24"/>
          <w:highlight w:val="none"/>
          <w:u w:val="single"/>
          <w:lang w:val="zh-CN"/>
        </w:rPr>
        <w:t>（电子投标文件中涉及的签字部分，可以采用线下签名后，再扫描上传。）</w:t>
      </w:r>
    </w:p>
    <w:p w14:paraId="6A830E17">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（5）投标人应根据“政采云供应商项目采购-电子招投标操作指南”及本招标文件规定编制电子投标文件并进行关联定位，以便评标委员会在评标时，点击评分项，可直接定位到该评分项内容。</w:t>
      </w:r>
    </w:p>
    <w:p w14:paraId="4B605971">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（6）投标文件以及投标人与采购代理机构就有关投标事宜的所有来往函电，均应以中文汉语书写。除签字、盖章、专用名称等特殊情形外，以中文汉语以外的文字表述的投标文件视同未提供。</w:t>
      </w:r>
    </w:p>
    <w:p w14:paraId="5A19DCD4">
      <w:pPr>
        <w:shd w:val="clear" w:color="auto" w:fill="auto"/>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（7）投标计量单位，招标文件已有明确规定的，使用招标文件规定的计量单位；招标文件没有规定的，应采用中华人民共和国法定计量单位（货币单位：人民币元）。</w:t>
      </w:r>
    </w:p>
    <w:p w14:paraId="47458746">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sz w:val="24"/>
          <w:szCs w:val="24"/>
          <w:highlight w:val="none"/>
        </w:rPr>
        <w:t>若投标人不按招标文件的要求提供资格审查材料，其责任由投标人自行承担。</w:t>
      </w:r>
    </w:p>
    <w:p w14:paraId="3DC88EBE">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与本次投标无关的内容请不要制作在内，确保投标文件有针对性、简洁明了。</w:t>
      </w:r>
    </w:p>
    <w:p w14:paraId="3500B33B">
      <w:pPr>
        <w:shd w:val="clear" w:color="auto" w:fill="auto"/>
        <w:spacing w:line="360" w:lineRule="auto"/>
        <w:ind w:firstLine="424" w:firstLineChars="176"/>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2、投标文件的形式和份数</w:t>
      </w:r>
    </w:p>
    <w:p w14:paraId="448EDEDD">
      <w:pPr>
        <w:shd w:val="clear" w:color="auto" w:fill="auto"/>
        <w:spacing w:line="360" w:lineRule="auto"/>
        <w:ind w:firstLine="422" w:firstLineChars="176"/>
        <w:rPr>
          <w:rFonts w:hint="eastAsia" w:ascii="宋体" w:hAnsi="宋体" w:cs="宋体"/>
          <w:color w:val="auto"/>
          <w:sz w:val="24"/>
          <w:highlight w:val="none"/>
        </w:rPr>
      </w:pPr>
      <w:r>
        <w:rPr>
          <w:rFonts w:hint="eastAsia" w:ascii="宋体" w:hAnsi="宋体" w:cs="宋体"/>
          <w:color w:val="auto"/>
          <w:sz w:val="24"/>
          <w:highlight w:val="none"/>
        </w:rPr>
        <w:t>（1）投标文件的形式：见《前附表》；</w:t>
      </w:r>
    </w:p>
    <w:p w14:paraId="4732C09D">
      <w:pPr>
        <w:shd w:val="clear" w:color="auto" w:fill="auto"/>
        <w:spacing w:line="360" w:lineRule="auto"/>
        <w:ind w:firstLine="422" w:firstLineChars="176"/>
        <w:rPr>
          <w:rFonts w:hint="eastAsia" w:ascii="宋体" w:hAnsi="宋体" w:cs="宋体"/>
          <w:color w:val="auto"/>
          <w:sz w:val="24"/>
          <w:highlight w:val="none"/>
        </w:rPr>
      </w:pPr>
      <w:r>
        <w:rPr>
          <w:rFonts w:hint="eastAsia" w:ascii="宋体" w:hAnsi="宋体" w:cs="宋体"/>
          <w:color w:val="auto"/>
          <w:sz w:val="24"/>
          <w:highlight w:val="none"/>
        </w:rPr>
        <w:t>（2）“电子加密投标文件”：“电子加密投标文件”是指通过“政采云电子交易客户端”完成投标文件编制后生成并加密的数据电文形式的投标文件。</w:t>
      </w:r>
    </w:p>
    <w:p w14:paraId="5737FCC0">
      <w:pPr>
        <w:shd w:val="clear" w:color="auto" w:fill="auto"/>
        <w:spacing w:line="360" w:lineRule="auto"/>
        <w:ind w:firstLine="422" w:firstLineChars="176"/>
        <w:rPr>
          <w:rFonts w:hint="eastAsia" w:ascii="宋体" w:hAnsi="宋体" w:cs="宋体"/>
          <w:color w:val="auto"/>
          <w:sz w:val="24"/>
          <w:highlight w:val="none"/>
        </w:rPr>
      </w:pPr>
      <w:r>
        <w:rPr>
          <w:rFonts w:hint="eastAsia" w:ascii="宋体" w:hAnsi="宋体" w:cs="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0AE27C01">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w:t>
      </w:r>
      <w:r>
        <w:rPr>
          <w:rFonts w:hint="eastAsia" w:ascii="宋体" w:hAnsi="宋体" w:cs="宋体"/>
          <w:color w:val="auto"/>
          <w:sz w:val="24"/>
          <w:highlight w:val="none"/>
        </w:rPr>
        <w:t>投标文件的份数：见《前附表》。</w:t>
      </w:r>
    </w:p>
    <w:p w14:paraId="5F46EF2D">
      <w:pPr>
        <w:shd w:val="clear" w:color="auto" w:fill="auto"/>
        <w:autoSpaceDE w:val="0"/>
        <w:autoSpaceDN w:val="0"/>
        <w:adjustRightIn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3、投标文件的递交要求</w:t>
      </w:r>
    </w:p>
    <w:p w14:paraId="6CC13A02">
      <w:pPr>
        <w:shd w:val="clear" w:color="auto" w:fill="auto"/>
        <w:autoSpaceDE w:val="0"/>
        <w:autoSpaceDN w:val="0"/>
        <w:adjustRightIn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（1）投标文件的上传和递交</w:t>
      </w:r>
      <w:r>
        <w:rPr>
          <w:rFonts w:hint="eastAsia" w:ascii="宋体" w:hAnsi="宋体" w:cs="宋体"/>
          <w:color w:val="auto"/>
          <w:sz w:val="24"/>
          <w:highlight w:val="none"/>
        </w:rPr>
        <w:t>见《前附表》。</w:t>
      </w:r>
    </w:p>
    <w:p w14:paraId="53CB805D">
      <w:pPr>
        <w:shd w:val="clear" w:color="auto" w:fill="auto"/>
        <w:autoSpaceDE w:val="0"/>
        <w:autoSpaceDN w:val="0"/>
        <w:adjustRightIn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（2）“电子加密投标文件”解密</w:t>
      </w:r>
      <w:r>
        <w:rPr>
          <w:rFonts w:hint="eastAsia" w:ascii="宋体" w:hAnsi="宋体" w:cs="宋体"/>
          <w:color w:val="auto"/>
          <w:kern w:val="0"/>
          <w:sz w:val="24"/>
          <w:highlight w:val="none"/>
        </w:rPr>
        <w:t>：</w:t>
      </w:r>
      <w:r>
        <w:rPr>
          <w:rFonts w:hint="eastAsia" w:ascii="宋体" w:hAnsi="宋体" w:cs="宋体"/>
          <w:color w:val="auto"/>
          <w:sz w:val="24"/>
          <w:highlight w:val="none"/>
        </w:rPr>
        <w:t>见《前附表》。</w:t>
      </w:r>
    </w:p>
    <w:p w14:paraId="4092C874">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（3）投标文件的补充、修改或撤回</w:t>
      </w:r>
    </w:p>
    <w:p w14:paraId="106B239D">
      <w:pPr>
        <w:shd w:val="clear" w:color="auto" w:fill="auto"/>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rPr>
        <w:t>a、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B0683B3">
      <w:pPr>
        <w:shd w:val="clear" w:color="auto" w:fill="auto"/>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rPr>
        <w:t>b、投标截止时间后，投标供应商不得撤回、修改《投标文件》。</w:t>
      </w:r>
    </w:p>
    <w:p w14:paraId="500B693B">
      <w:pPr>
        <w:shd w:val="clear" w:color="auto" w:fill="auto"/>
        <w:spacing w:line="360" w:lineRule="auto"/>
        <w:ind w:firstLine="426" w:firstLineChars="177"/>
        <w:rPr>
          <w:rFonts w:hint="eastAsia" w:ascii="宋体" w:hAnsi="宋体" w:cs="宋体"/>
          <w:b/>
          <w:color w:val="auto"/>
          <w:sz w:val="24"/>
          <w:szCs w:val="24"/>
          <w:highlight w:val="none"/>
        </w:rPr>
      </w:pPr>
      <w:r>
        <w:rPr>
          <w:rFonts w:hint="eastAsia" w:ascii="宋体" w:hAnsi="宋体" w:cs="宋体"/>
          <w:b/>
          <w:color w:val="auto"/>
          <w:kern w:val="0"/>
          <w:sz w:val="24"/>
          <w:highlight w:val="none"/>
        </w:rPr>
        <w:t>4、</w:t>
      </w:r>
      <w:r>
        <w:rPr>
          <w:rFonts w:hint="eastAsia" w:ascii="宋体" w:hAnsi="宋体" w:cs="宋体"/>
          <w:b/>
          <w:color w:val="auto"/>
          <w:sz w:val="24"/>
          <w:szCs w:val="24"/>
          <w:highlight w:val="none"/>
        </w:rPr>
        <w:t>投标文件的备选方案</w:t>
      </w:r>
    </w:p>
    <w:p w14:paraId="2061A429">
      <w:pPr>
        <w:shd w:val="clear" w:color="auto" w:fill="auto"/>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（1）投标供应商不得递交任何的</w:t>
      </w:r>
      <w:r>
        <w:rPr>
          <w:rFonts w:hint="eastAsia" w:ascii="宋体" w:hAnsi="宋体" w:cs="宋体"/>
          <w:color w:val="auto"/>
          <w:kern w:val="0"/>
          <w:sz w:val="24"/>
          <w:highlight w:val="none"/>
        </w:rPr>
        <w:t>投标备选（替代）方案</w:t>
      </w:r>
      <w:r>
        <w:rPr>
          <w:rFonts w:hint="eastAsia" w:ascii="宋体" w:hAnsi="宋体" w:cs="宋体"/>
          <w:color w:val="auto"/>
          <w:sz w:val="24"/>
          <w:highlight w:val="none"/>
        </w:rPr>
        <w:t>，否则其投标文件将作无效标处理。与“电子加密投标文件”同时生成的“备份投标文件”不是投标备选（替代）方案。</w:t>
      </w:r>
    </w:p>
    <w:p w14:paraId="7751B1F8">
      <w:pPr>
        <w:shd w:val="clear" w:color="auto" w:fill="auto"/>
        <w:tabs>
          <w:tab w:val="left" w:pos="0"/>
        </w:tabs>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（三）投标文件的有效期</w:t>
      </w:r>
    </w:p>
    <w:p w14:paraId="14DB64CC">
      <w:pPr>
        <w:pStyle w:val="10"/>
        <w:numPr>
          <w:ilvl w:val="0"/>
          <w:numId w:val="0"/>
        </w:numPr>
        <w:shd w:val="clear" w:color="auto" w:fill="auto"/>
        <w:tabs>
          <w:tab w:val="left" w:pos="0"/>
        </w:tabs>
        <w:snapToGrid w:val="0"/>
        <w:spacing w:line="440" w:lineRule="exact"/>
        <w:ind w:firstLine="480" w:firstLineChars="200"/>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1、自投标截止日起90天投标文件应保持有效。有效期不足的投标文件将被拒绝。</w:t>
      </w:r>
    </w:p>
    <w:p w14:paraId="56435CEE">
      <w:pPr>
        <w:pStyle w:val="10"/>
        <w:numPr>
          <w:ilvl w:val="0"/>
          <w:numId w:val="0"/>
        </w:numPr>
        <w:shd w:val="clear" w:color="auto" w:fill="auto"/>
        <w:tabs>
          <w:tab w:val="left" w:pos="454"/>
          <w:tab w:val="left" w:pos="720"/>
          <w:tab w:val="left" w:pos="1200"/>
        </w:tabs>
        <w:snapToGrid w:val="0"/>
        <w:spacing w:line="440" w:lineRule="exact"/>
        <w:ind w:left="480"/>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2、在特殊情况下，采购人可与投标人协商延长投标文件的有效期，这种要求和答复均以书面形式进行。</w:t>
      </w:r>
    </w:p>
    <w:p w14:paraId="4F41C7B3">
      <w:pPr>
        <w:shd w:val="clear" w:color="auto" w:fill="auto"/>
        <w:snapToGrid w:val="0"/>
        <w:spacing w:line="440" w:lineRule="exact"/>
        <w:ind w:firstLine="480" w:firstLineChars="200"/>
        <w:jc w:val="left"/>
        <w:outlineLvl w:val="0"/>
        <w:rPr>
          <w:rFonts w:hint="eastAsia" w:ascii="宋体" w:hAnsi="宋体" w:cs="宋体"/>
          <w:b/>
          <w:bCs/>
          <w:color w:val="auto"/>
          <w:sz w:val="24"/>
          <w:szCs w:val="24"/>
          <w:highlight w:val="none"/>
        </w:rPr>
      </w:pPr>
      <w:bookmarkStart w:id="87" w:name="_Toc1093"/>
      <w:bookmarkStart w:id="88" w:name="_Toc22376"/>
      <w:bookmarkStart w:id="89" w:name="_Toc22855"/>
      <w:bookmarkStart w:id="90" w:name="_Toc1641151746"/>
      <w:bookmarkStart w:id="91" w:name="_Toc5285"/>
      <w:bookmarkStart w:id="92" w:name="_Toc18032"/>
      <w:r>
        <w:rPr>
          <w:rFonts w:hint="eastAsia" w:ascii="宋体" w:hAnsi="宋体" w:cs="宋体"/>
          <w:color w:val="auto"/>
          <w:sz w:val="24"/>
          <w:szCs w:val="24"/>
          <w:highlight w:val="none"/>
        </w:rPr>
        <w:t>3、中标人的投标文件自开标之日起至合同履行完毕均应保持有效。</w:t>
      </w:r>
      <w:bookmarkEnd w:id="87"/>
      <w:bookmarkEnd w:id="88"/>
      <w:bookmarkEnd w:id="89"/>
      <w:bookmarkEnd w:id="90"/>
      <w:bookmarkEnd w:id="91"/>
      <w:bookmarkEnd w:id="92"/>
    </w:p>
    <w:p w14:paraId="12789856">
      <w:pPr>
        <w:shd w:val="clear" w:color="auto" w:fill="auto"/>
        <w:snapToGrid w:val="0"/>
        <w:spacing w:line="440" w:lineRule="exact"/>
        <w:jc w:val="center"/>
        <w:rPr>
          <w:rFonts w:hint="eastAsia" w:ascii="宋体" w:hAnsi="宋体" w:cs="宋体"/>
          <w:b/>
          <w:bCs/>
          <w:color w:val="auto"/>
          <w:sz w:val="28"/>
          <w:szCs w:val="28"/>
          <w:highlight w:val="none"/>
        </w:rPr>
      </w:pPr>
    </w:p>
    <w:p w14:paraId="2C68DFF2">
      <w:pPr>
        <w:shd w:val="clear" w:color="auto" w:fill="auto"/>
        <w:snapToGrid w:val="0"/>
        <w:spacing w:line="440" w:lineRule="exact"/>
        <w:jc w:val="center"/>
        <w:rPr>
          <w:rFonts w:hint="eastAsia" w:ascii="宋体" w:hAnsi="宋体" w:cs="宋体"/>
          <w:b/>
          <w:bCs/>
          <w:color w:val="auto"/>
          <w:sz w:val="28"/>
          <w:szCs w:val="28"/>
          <w:highlight w:val="none"/>
        </w:rPr>
      </w:pPr>
    </w:p>
    <w:p w14:paraId="416C3373">
      <w:pPr>
        <w:shd w:val="clear" w:color="auto" w:fill="auto"/>
        <w:snapToGrid w:val="0"/>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四、开标</w:t>
      </w:r>
    </w:p>
    <w:p w14:paraId="61BBB71F">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（一）开标事项</w:t>
      </w:r>
    </w:p>
    <w:p w14:paraId="15E8F69C">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1、 采购组织机构将按照招标文件规定的时间通过“政府采购云平台”组织开标、开启投标文件，所有供应商均应当准时在线参加。</w:t>
      </w:r>
    </w:p>
    <w:p w14:paraId="3545A1FA">
      <w:pPr>
        <w:pStyle w:val="10"/>
        <w:numPr>
          <w:ilvl w:val="0"/>
          <w:numId w:val="0"/>
        </w:numPr>
        <w:shd w:val="clear" w:color="auto" w:fill="auto"/>
        <w:tabs>
          <w:tab w:val="left" w:pos="454"/>
          <w:tab w:val="left" w:pos="720"/>
          <w:tab w:val="left" w:pos="1200"/>
        </w:tabs>
        <w:snapToGrid w:val="0"/>
        <w:spacing w:line="440" w:lineRule="exact"/>
        <w:ind w:left="480"/>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2、开标的准备工作由采购组织机构负责落实；</w:t>
      </w:r>
    </w:p>
    <w:p w14:paraId="663E8F65">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en-GB"/>
        </w:rPr>
      </w:pPr>
      <w:r>
        <w:rPr>
          <w:rFonts w:hint="eastAsia" w:ascii="宋体" w:hAnsi="宋体" w:cs="宋体"/>
          <w:color w:val="auto"/>
          <w:sz w:val="24"/>
          <w:szCs w:val="24"/>
          <w:highlight w:val="none"/>
          <w:lang w:val="en-GB"/>
        </w:rPr>
        <w:t>3、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D2CAA2F">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（二）开标流程（两阶段）</w:t>
      </w:r>
    </w:p>
    <w:p w14:paraId="6A9EA34D">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1、开标第一阶段</w:t>
      </w:r>
    </w:p>
    <w:p w14:paraId="262C5456">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4A169FC">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（2）投标文件解密结束，通过邮件形式发送各投标人组织签署《政府采购活动现场确认声明书》；(详见前附表)</w:t>
      </w:r>
    </w:p>
    <w:p w14:paraId="0BC64DFD">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（3）开启投标文件，进入资格审查；</w:t>
      </w:r>
    </w:p>
    <w:p w14:paraId="4EF339CD">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（4）开启资格审查通过的投标供应商的商务技术文件进入符合性审查、商务技术评审；</w:t>
      </w:r>
    </w:p>
    <w:p w14:paraId="14F9BB3F">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（5）第一阶段开标结束。</w:t>
      </w:r>
    </w:p>
    <w:p w14:paraId="47055BA1">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2CBD8C3">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2、开标第二阶段</w:t>
      </w:r>
    </w:p>
    <w:p w14:paraId="738B19ED">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（1）符合性审查、商务技术评审结束后，举行开标第二阶段会议。首先公布符合性审查、商务技术评审无效供应商名称及理由；公布经商务技术评审后有效投标供应商的名单。</w:t>
      </w:r>
    </w:p>
    <w:p w14:paraId="5B07B194">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（2）开启符合性审查、商务技术评审有效投标供应商的《报价文件》，同时当场制作开标记录表。唱标结束后，由评标委员会对报价的合理性、准确性等进行审查核实。</w:t>
      </w:r>
    </w:p>
    <w:p w14:paraId="484BA4B6">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（3）评审结束后，公布中标（成交）候选供应商名单，及采购人最终确定中标或成交供应商名单的时间和公告方式等。</w:t>
      </w:r>
    </w:p>
    <w:p w14:paraId="263279C1">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特别说明：如遇“政府采购云平台”电子化开标或评审程序调整的，按调整后程序执行。</w:t>
      </w:r>
    </w:p>
    <w:p w14:paraId="34FA7852">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bookmarkStart w:id="93" w:name="_Toc24550037"/>
      <w:bookmarkStart w:id="94" w:name="_Toc33194393"/>
      <w:r>
        <w:rPr>
          <w:rFonts w:hint="eastAsia" w:ascii="宋体" w:hAnsi="宋体" w:cs="宋体"/>
          <w:b/>
          <w:bCs/>
          <w:color w:val="auto"/>
          <w:kern w:val="0"/>
          <w:sz w:val="24"/>
          <w:szCs w:val="24"/>
          <w:highlight w:val="none"/>
        </w:rPr>
        <w:t>（三）投标供应商资格审查</w:t>
      </w:r>
      <w:bookmarkEnd w:id="93"/>
      <w:bookmarkEnd w:id="94"/>
    </w:p>
    <w:p w14:paraId="66E7FE0E">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B2BC15E">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69FCBD60">
      <w:pPr>
        <w:shd w:val="clear" w:color="auto" w:fill="auto"/>
        <w:autoSpaceDE w:val="0"/>
        <w:autoSpaceDN w:val="0"/>
        <w:adjustRightInd w:val="0"/>
        <w:spacing w:line="44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3、单位负责人为同一人或者存在直接控股、管理关系的不同供应商参加同一合同项下的政府采购活动的，相关投标供应商均作资格无效处理。</w:t>
      </w:r>
    </w:p>
    <w:p w14:paraId="627DED0D">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rPr>
      </w:pPr>
    </w:p>
    <w:p w14:paraId="79DEB8E9">
      <w:pPr>
        <w:pStyle w:val="15"/>
        <w:shd w:val="clear" w:color="auto" w:fill="auto"/>
        <w:snapToGrid w:val="0"/>
        <w:spacing w:line="440" w:lineRule="exact"/>
        <w:jc w:val="center"/>
        <w:rPr>
          <w:rFonts w:hint="eastAsia" w:hAnsi="宋体"/>
          <w:b/>
          <w:bCs/>
          <w:color w:val="auto"/>
          <w:sz w:val="28"/>
          <w:szCs w:val="28"/>
          <w:highlight w:val="none"/>
        </w:rPr>
      </w:pPr>
    </w:p>
    <w:p w14:paraId="6AA5FCF2">
      <w:pPr>
        <w:pStyle w:val="15"/>
        <w:shd w:val="clear" w:color="auto" w:fill="auto"/>
        <w:snapToGrid w:val="0"/>
        <w:spacing w:line="440" w:lineRule="exact"/>
        <w:jc w:val="center"/>
        <w:outlineLvl w:val="1"/>
        <w:rPr>
          <w:rFonts w:hint="eastAsia" w:hAnsi="宋体"/>
          <w:b/>
          <w:bCs/>
          <w:color w:val="auto"/>
          <w:sz w:val="28"/>
          <w:szCs w:val="28"/>
          <w:highlight w:val="none"/>
        </w:rPr>
      </w:pPr>
      <w:bookmarkStart w:id="95" w:name="_Toc4688"/>
      <w:bookmarkStart w:id="96" w:name="_Toc4573"/>
      <w:bookmarkStart w:id="97" w:name="_Toc5469"/>
      <w:r>
        <w:rPr>
          <w:rFonts w:hint="eastAsia" w:hAnsi="宋体"/>
          <w:b/>
          <w:bCs/>
          <w:color w:val="auto"/>
          <w:sz w:val="28"/>
          <w:szCs w:val="28"/>
          <w:highlight w:val="none"/>
        </w:rPr>
        <w:t>五、评标</w:t>
      </w:r>
      <w:bookmarkEnd w:id="95"/>
      <w:bookmarkEnd w:id="96"/>
      <w:bookmarkEnd w:id="97"/>
    </w:p>
    <w:p w14:paraId="538CA23B">
      <w:pPr>
        <w:pStyle w:val="15"/>
        <w:shd w:val="clear" w:color="auto" w:fill="auto"/>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（一）组建评标委员会</w:t>
      </w:r>
    </w:p>
    <w:p w14:paraId="735B2C1E">
      <w:pPr>
        <w:pStyle w:val="15"/>
        <w:shd w:val="clear" w:color="auto" w:fill="auto"/>
        <w:snapToGrid w:val="0"/>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评标委员会由采购人依法组建。</w:t>
      </w:r>
    </w:p>
    <w:p w14:paraId="7F81C74D">
      <w:pPr>
        <w:pStyle w:val="15"/>
        <w:shd w:val="clear" w:color="auto" w:fill="auto"/>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（二）评标程序</w:t>
      </w:r>
    </w:p>
    <w:p w14:paraId="4AB30DC2">
      <w:pPr>
        <w:shd w:val="clear" w:color="auto" w:fill="auto"/>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1、资格审查</w:t>
      </w:r>
    </w:p>
    <w:p w14:paraId="3E17E2AF">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公开招标采购项目开标结束后，采购人或者采购代理机构应当依法对投标人的资格进行审查，对审查发现无效的进行必要的询标，结束后公布无效投标的投标人名单、投标无效的原因。</w:t>
      </w:r>
    </w:p>
    <w:p w14:paraId="4E6D63A3">
      <w:pPr>
        <w:pStyle w:val="25"/>
        <w:shd w:val="clear" w:color="auto" w:fill="auto"/>
        <w:spacing w:before="0" w:beforeAutospacing="0" w:after="0" w:afterAutospacing="0" w:line="440" w:lineRule="exact"/>
        <w:ind w:firstLine="482" w:firstLineChars="200"/>
        <w:jc w:val="both"/>
        <w:rPr>
          <w:rFonts w:hint="eastAsia"/>
          <w:b/>
          <w:bCs/>
          <w:color w:val="auto"/>
          <w:highlight w:val="none"/>
        </w:rPr>
      </w:pPr>
      <w:r>
        <w:rPr>
          <w:rFonts w:hint="eastAsia"/>
          <w:b/>
          <w:bCs/>
          <w:color w:val="auto"/>
          <w:highlight w:val="none"/>
        </w:rPr>
        <w:t>2、符合性审查</w:t>
      </w:r>
    </w:p>
    <w:p w14:paraId="06AF834B">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5D54DAD">
      <w:pPr>
        <w:pStyle w:val="25"/>
        <w:shd w:val="clear" w:color="auto" w:fill="auto"/>
        <w:spacing w:before="0" w:beforeAutospacing="0" w:after="0" w:afterAutospacing="0" w:line="440" w:lineRule="exact"/>
        <w:ind w:firstLine="482" w:firstLineChars="200"/>
        <w:jc w:val="both"/>
        <w:rPr>
          <w:rFonts w:hint="eastAsia"/>
          <w:color w:val="auto"/>
          <w:highlight w:val="none"/>
        </w:rPr>
      </w:pPr>
      <w:r>
        <w:rPr>
          <w:rFonts w:hint="eastAsia"/>
          <w:b/>
          <w:bCs/>
          <w:color w:val="auto"/>
          <w:highlight w:val="none"/>
        </w:rPr>
        <w:t>3、综合比较与评价</w:t>
      </w:r>
    </w:p>
    <w:p w14:paraId="189957C5">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（1）对于投标文件中含义不明确、同类问题表述不一致或者有明显文字和计算错误的内容，评标委员会应当以书面形式要求投标人作出必要的澄清、说明或者补正。</w:t>
      </w:r>
    </w:p>
    <w:p w14:paraId="1DCB43DA">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（2）评标委员会应当按照招标文件中规定的评标方法和标准，对符合性审查合格的投标文件进行商务和技术评估，综合比较与评价。</w:t>
      </w:r>
    </w:p>
    <w:p w14:paraId="180E713C">
      <w:pPr>
        <w:shd w:val="clear" w:color="auto" w:fill="auto"/>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（3）评标时，评标委员会各成员应当独立对每个投标人的投标文件进行评价，并汇总每个投标人的得分。</w:t>
      </w:r>
    </w:p>
    <w:p w14:paraId="22282497">
      <w:pPr>
        <w:shd w:val="clear" w:color="auto" w:fill="auto"/>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4、得分确认及评审报告编写</w:t>
      </w:r>
    </w:p>
    <w:p w14:paraId="10B1233E">
      <w:pPr>
        <w:pStyle w:val="15"/>
        <w:shd w:val="clear" w:color="auto" w:fill="auto"/>
        <w:snapToGrid w:val="0"/>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（1）评标委员会对报价文件进行复核，对于系统计算出的价格分及总得分进行确认；</w:t>
      </w:r>
    </w:p>
    <w:p w14:paraId="5B757764">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（2）评标委员会应当按照招标文件中规定的评标方法和标准，对符合性审查合格的投标文件进行商务和技术评估，综合比较与评价。</w:t>
      </w:r>
    </w:p>
    <w:p w14:paraId="58467B6D">
      <w:pPr>
        <w:shd w:val="clear" w:color="auto" w:fill="auto"/>
        <w:snapToGrid w:val="0"/>
        <w:spacing w:line="44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rPr>
        <w:t>评标委员会</w:t>
      </w:r>
      <w:r>
        <w:rPr>
          <w:rFonts w:hint="eastAsia" w:ascii="宋体" w:hAnsi="宋体" w:cs="宋体"/>
          <w:color w:val="auto"/>
          <w:sz w:val="24"/>
          <w:szCs w:val="24"/>
          <w:highlight w:val="none"/>
        </w:rPr>
        <w:t>按评标原则及得分情况编写评审报告。</w:t>
      </w:r>
    </w:p>
    <w:p w14:paraId="00EC2187">
      <w:pPr>
        <w:shd w:val="clear" w:color="auto" w:fill="auto"/>
        <w:snapToGri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5、评价</w:t>
      </w:r>
    </w:p>
    <w:p w14:paraId="74AB59D7">
      <w:pPr>
        <w:shd w:val="clear" w:color="auto" w:fill="auto"/>
        <w:snapToGrid w:val="0"/>
        <w:spacing w:line="440" w:lineRule="exact"/>
        <w:ind w:firstLine="480" w:firstLineChars="200"/>
        <w:rPr>
          <w:rFonts w:hint="eastAsia" w:ascii="宋体" w:hAnsi="宋体" w:cs="宋体"/>
          <w:b/>
          <w:bCs/>
          <w:color w:val="auto"/>
          <w:kern w:val="0"/>
          <w:sz w:val="24"/>
          <w:szCs w:val="24"/>
          <w:highlight w:val="none"/>
        </w:rPr>
      </w:pPr>
      <w:r>
        <w:rPr>
          <w:rFonts w:hint="eastAsia" w:ascii="宋体" w:hAnsi="宋体" w:cs="宋体"/>
          <w:color w:val="auto"/>
          <w:sz w:val="24"/>
          <w:szCs w:val="24"/>
          <w:highlight w:val="none"/>
        </w:rPr>
        <w:t>采购代理机构对评标委员会评审专家进行评价。</w:t>
      </w:r>
    </w:p>
    <w:p w14:paraId="2694EAE1">
      <w:pPr>
        <w:shd w:val="clear" w:color="auto" w:fill="auto"/>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（三）澄清问题的形式</w:t>
      </w:r>
    </w:p>
    <w:p w14:paraId="432C3E7B">
      <w:pPr>
        <w:shd w:val="clear" w:color="auto" w:fill="auto"/>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投标人的澄清、说明或者补正应当采用书面形式，并加盖公章，或者由法定代理人或其授权的代表签字，并不得超出投标文件的范围或者改变投标文件的实质性内容。</w:t>
      </w:r>
    </w:p>
    <w:p w14:paraId="4AD6D6E6">
      <w:pPr>
        <w:pStyle w:val="15"/>
        <w:shd w:val="clear" w:color="auto" w:fill="auto"/>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（四）错误修正</w:t>
      </w:r>
    </w:p>
    <w:p w14:paraId="20C51186">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投标文件报价出现前后不一致的，除招标文件另有规定外，按照下列规定修正：</w:t>
      </w:r>
    </w:p>
    <w:p w14:paraId="28721243">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1、投标文件中开标一览表（报价表）内容与投标文件中相应内容不一致的，以开标一览表（报价表）为准；</w:t>
      </w:r>
    </w:p>
    <w:p w14:paraId="3484C73B">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2、大写金额和小写金额不一致的，以大写金额为准；</w:t>
      </w:r>
    </w:p>
    <w:p w14:paraId="03664D2F">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3、单价金额小数点或者百分比有明显错位的，以开标一览表的总价为准，并修改单价；</w:t>
      </w:r>
    </w:p>
    <w:p w14:paraId="6C2735F0">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4、总价金额与按单价汇总金额不一致的，以单价金额计算结果为准。</w:t>
      </w:r>
    </w:p>
    <w:p w14:paraId="5FFB44DD">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0C18E07C">
      <w:pPr>
        <w:pStyle w:val="25"/>
        <w:shd w:val="clear" w:color="auto" w:fill="auto"/>
        <w:spacing w:before="0" w:beforeAutospacing="0" w:after="0" w:afterAutospacing="0" w:line="440" w:lineRule="exact"/>
        <w:ind w:firstLine="482" w:firstLineChars="200"/>
        <w:jc w:val="both"/>
        <w:rPr>
          <w:rFonts w:hint="eastAsia"/>
          <w:b/>
          <w:bCs/>
          <w:color w:val="auto"/>
          <w:highlight w:val="none"/>
        </w:rPr>
      </w:pPr>
      <w:r>
        <w:rPr>
          <w:rFonts w:hint="eastAsia"/>
          <w:b/>
          <w:bCs/>
          <w:color w:val="auto"/>
          <w:highlight w:val="none"/>
        </w:rPr>
        <w:t>（五）投标人存在下列情况之一的，投标无效</w:t>
      </w:r>
    </w:p>
    <w:p w14:paraId="6755BCE9">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1、未按时上传电子投标文件的；</w:t>
      </w:r>
    </w:p>
    <w:p w14:paraId="5A488A25">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2、未按时解密电子投标文件的且未提供备份投标文件或未按时解密电子投标文件的且提供的备份投标文件无法打开的；</w:t>
      </w:r>
    </w:p>
    <w:p w14:paraId="40B2D2E8">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3、在资格证明文件或商务技术文件中出现投标报价的；</w:t>
      </w:r>
    </w:p>
    <w:p w14:paraId="06DE645C">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4、报价文件中报价的货物跟商务技术文件中的投标货物出现重大偏差的；</w:t>
      </w:r>
    </w:p>
    <w:p w14:paraId="0271448E">
      <w:pPr>
        <w:shd w:val="clear" w:color="auto" w:fill="auto"/>
        <w:adjustRightInd w:val="0"/>
        <w:snapToGrid w:val="0"/>
        <w:spacing w:line="44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5、不具备招标文件中规定的资格要求的；</w:t>
      </w:r>
    </w:p>
    <w:p w14:paraId="08C9220C">
      <w:pPr>
        <w:pStyle w:val="25"/>
        <w:shd w:val="clear" w:color="auto" w:fill="auto"/>
        <w:tabs>
          <w:tab w:val="left" w:pos="7380"/>
        </w:tabs>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6、投标文件含有采购人不能接受的附加条件的；</w:t>
      </w:r>
      <w:r>
        <w:rPr>
          <w:rFonts w:hint="eastAsia"/>
          <w:color w:val="auto"/>
          <w:highlight w:val="none"/>
        </w:rPr>
        <w:tab/>
      </w:r>
    </w:p>
    <w:p w14:paraId="19DEBD93">
      <w:pPr>
        <w:shd w:val="clear" w:color="auto" w:fill="auto"/>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C0967B">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8、报价超过招标文件中规定的预算金额或最高限价；</w:t>
      </w:r>
    </w:p>
    <w:p w14:paraId="5D3BE3AE">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9、主要服务响应或者设备功能响应不满足招标要求的；</w:t>
      </w:r>
    </w:p>
    <w:p w14:paraId="2377AD11">
      <w:pPr>
        <w:pStyle w:val="25"/>
        <w:shd w:val="clear" w:color="auto" w:fill="auto"/>
        <w:adjustRightInd w:val="0"/>
        <w:snapToGrid w:val="0"/>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10、投标文件提供虚假材料的；</w:t>
      </w:r>
    </w:p>
    <w:p w14:paraId="7147CCAD">
      <w:pPr>
        <w:shd w:val="clear" w:color="auto" w:fill="auto"/>
        <w:tabs>
          <w:tab w:val="left" w:pos="1898"/>
        </w:tabs>
        <w:autoSpaceDE w:val="0"/>
        <w:autoSpaceDN w:val="0"/>
        <w:adjustRightInd w:val="0"/>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11、符合中华人民共和国财政部令第87号《政府采购货物和服务招标投标管理办法》第三十七条情形之一的，视为投标人串通投标，其投标无效，并移送采购监管部门：</w:t>
      </w:r>
    </w:p>
    <w:p w14:paraId="06E5C25C">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（1）不同投标人的投标文件由同一单位或者个人编制；</w:t>
      </w:r>
    </w:p>
    <w:p w14:paraId="4C7FAB1B">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（2）不同投标人委托同一单位或者个人办理投标事宜；</w:t>
      </w:r>
    </w:p>
    <w:p w14:paraId="0A4C669C">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（3）不同投标人的投标文件载明的项目管理成员或者联系人员为同一人；</w:t>
      </w:r>
    </w:p>
    <w:p w14:paraId="1905BC7D">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（4）不同投标人的投标文件异常一致或者投标报价呈规律性差异；</w:t>
      </w:r>
    </w:p>
    <w:p w14:paraId="09529828">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（5）不同投标人的投标文件相互混装；</w:t>
      </w:r>
    </w:p>
    <w:p w14:paraId="2728A052">
      <w:pPr>
        <w:shd w:val="clear" w:color="auto" w:fill="auto"/>
        <w:autoSpaceDE w:val="0"/>
        <w:autoSpaceDN w:val="0"/>
        <w:adjustRightIn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12、投标供应商的IP、MAC、设备硬件等信息异常、供应商信息重复的；</w:t>
      </w:r>
    </w:p>
    <w:p w14:paraId="7269C4BA">
      <w:pPr>
        <w:shd w:val="clear" w:color="auto" w:fill="auto"/>
        <w:autoSpaceDE w:val="0"/>
        <w:autoSpaceDN w:val="0"/>
        <w:adjustRightIn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、不符合法律、法规和招标文件中规定的其他实质性要求的（招标文件中打“▲”内容及被拒绝的条款）。</w:t>
      </w:r>
    </w:p>
    <w:p w14:paraId="1E57262D">
      <w:pPr>
        <w:shd w:val="clear" w:color="auto" w:fill="auto"/>
        <w:autoSpaceDE w:val="0"/>
        <w:autoSpaceDN w:val="0"/>
        <w:adjustRightInd w:val="0"/>
        <w:spacing w:line="440" w:lineRule="exact"/>
        <w:ind w:firstLine="482" w:firstLineChars="200"/>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（六）有下列情况之一的，本次招标作为废标处理</w:t>
      </w:r>
    </w:p>
    <w:p w14:paraId="4B7BFB8D">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1、符合专业条件的供应商或者对招标文件作实质响应的供应商不足三家的；</w:t>
      </w:r>
    </w:p>
    <w:p w14:paraId="48E1608C">
      <w:pPr>
        <w:pStyle w:val="25"/>
        <w:shd w:val="clear" w:color="auto" w:fill="auto"/>
        <w:spacing w:before="0" w:beforeAutospacing="0" w:after="0" w:afterAutospacing="0" w:line="440" w:lineRule="exact"/>
        <w:ind w:firstLine="480" w:firstLineChars="200"/>
        <w:jc w:val="both"/>
        <w:rPr>
          <w:rFonts w:hint="eastAsia"/>
          <w:b/>
          <w:bCs/>
          <w:color w:val="auto"/>
          <w:highlight w:val="none"/>
        </w:rPr>
      </w:pPr>
      <w:r>
        <w:rPr>
          <w:rFonts w:hint="eastAsia"/>
          <w:color w:val="auto"/>
          <w:highlight w:val="none"/>
        </w:rPr>
        <w:t>2、出现影响采购公正的违法、违规行为的；</w:t>
      </w:r>
    </w:p>
    <w:p w14:paraId="0AA23135">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3、因重大变故，采购任务取消的；</w:t>
      </w:r>
    </w:p>
    <w:p w14:paraId="74A648FA">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4、法律、法规和招标文件规定的其他导致评标结果无效的。</w:t>
      </w:r>
    </w:p>
    <w:p w14:paraId="0259CEAA">
      <w:pPr>
        <w:shd w:val="clear" w:color="auto" w:fill="auto"/>
        <w:autoSpaceDE w:val="0"/>
        <w:autoSpaceDN w:val="0"/>
        <w:adjustRightInd w:val="0"/>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（七）采购过程中出现以下情形，导致电子交易平台无法正常运行，或者无法保证电子交易的公平、公正和安全时，采购组织机构可中止电子交易活动：</w:t>
      </w:r>
    </w:p>
    <w:p w14:paraId="512BD257">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 xml:space="preserve">（1）电子交易平台发生故障而无法登录访问的； </w:t>
      </w:r>
    </w:p>
    <w:p w14:paraId="6E6F4295">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（2）电子交易平台应用或数据库出现错误，不能进行正常操作的；</w:t>
      </w:r>
    </w:p>
    <w:p w14:paraId="5AE82023">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（3）电子交易平台发现严重安全漏洞，有潜在泄密危险的；</w:t>
      </w:r>
    </w:p>
    <w:p w14:paraId="13EB0E00">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 xml:space="preserve">（4）病毒发作导致不能进行正常操作的； </w:t>
      </w:r>
    </w:p>
    <w:p w14:paraId="5E3727EE">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（5）其他无法保证电子交易的公平、公正和安全的情况。</w:t>
      </w:r>
    </w:p>
    <w:p w14:paraId="22BEB994">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67016FE">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废标后，采购人应当将废标理由通知所有投标人并重新组织招标；或者经主管部门批准，采取其他方式组织采购。</w:t>
      </w:r>
    </w:p>
    <w:p w14:paraId="6C925076">
      <w:pPr>
        <w:pStyle w:val="15"/>
        <w:shd w:val="clear" w:color="auto" w:fill="auto"/>
        <w:tabs>
          <w:tab w:val="left" w:pos="630"/>
        </w:tabs>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（八）评标原则和评标办法</w:t>
      </w:r>
    </w:p>
    <w:p w14:paraId="471FFFA1">
      <w:pPr>
        <w:pStyle w:val="15"/>
        <w:shd w:val="clear" w:color="auto" w:fill="auto"/>
        <w:snapToGrid w:val="0"/>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52DC675">
      <w:pPr>
        <w:pStyle w:val="15"/>
        <w:shd w:val="clear" w:color="auto" w:fill="auto"/>
        <w:snapToGrid w:val="0"/>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961EEBA">
      <w:pPr>
        <w:pStyle w:val="15"/>
        <w:shd w:val="clear" w:color="auto" w:fill="auto"/>
        <w:snapToGrid w:val="0"/>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3、评标办法。具体评标内容及评分标准等详见《第三章：评标方法及评分标准》。</w:t>
      </w:r>
    </w:p>
    <w:p w14:paraId="4B1CA99E">
      <w:pPr>
        <w:pStyle w:val="15"/>
        <w:shd w:val="clear" w:color="auto" w:fill="auto"/>
        <w:snapToGrid w:val="0"/>
        <w:spacing w:line="44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（九）评标过程的监控</w:t>
      </w:r>
    </w:p>
    <w:p w14:paraId="1DC2724C">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本项目评标过程实行全程录音、录像监控，政府采购监管部门视情进行现场监督，投标人在评标过程中所进行的试图影响评标结果的不公正活动，可能导致其投标被拒绝。</w:t>
      </w:r>
    </w:p>
    <w:p w14:paraId="2125310E">
      <w:pPr>
        <w:shd w:val="clear" w:color="auto" w:fill="auto"/>
        <w:snapToGrid w:val="0"/>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六、定标</w:t>
      </w:r>
    </w:p>
    <w:p w14:paraId="08FF18F7">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14:paraId="4A32E4D1">
      <w:pPr>
        <w:shd w:val="clear" w:color="auto" w:fill="auto"/>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发布</w:t>
      </w:r>
      <w:r>
        <w:rPr>
          <w:rFonts w:hint="eastAsia" w:ascii="宋体" w:hAnsi="宋体" w:cs="宋体"/>
          <w:color w:val="auto"/>
          <w:sz w:val="24"/>
          <w:szCs w:val="24"/>
          <w:highlight w:val="none"/>
        </w:rPr>
        <w:t>中标</w:t>
      </w:r>
      <w:r>
        <w:rPr>
          <w:rFonts w:hint="eastAsia" w:ascii="宋体" w:hAnsi="宋体" w:cs="宋体"/>
          <w:color w:val="auto"/>
          <w:kern w:val="0"/>
          <w:sz w:val="24"/>
          <w:szCs w:val="24"/>
          <w:highlight w:val="none"/>
        </w:rPr>
        <w:t>结果公告。采购代理机构应当自中标人确定之日起2个工作日内，在省级以上财政部门指定的媒体及相关网站上公告中标结果。</w:t>
      </w:r>
    </w:p>
    <w:p w14:paraId="0105A504">
      <w:pPr>
        <w:shd w:val="clear" w:color="auto" w:fill="auto"/>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3、发出中标通知书。采购代理机构在发布中标结果的同时，向中标人发出中标通知书。</w:t>
      </w:r>
    </w:p>
    <w:p w14:paraId="32611FFB">
      <w:pPr>
        <w:shd w:val="clear" w:color="auto" w:fill="auto"/>
        <w:spacing w:line="44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七、合同签订及公告</w:t>
      </w:r>
    </w:p>
    <w:p w14:paraId="49F79003">
      <w:pPr>
        <w:shd w:val="clear" w:color="auto" w:fill="auto"/>
        <w:spacing w:line="44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t>（一）签订合同</w:t>
      </w:r>
    </w:p>
    <w:p w14:paraId="62DC33A2">
      <w:pPr>
        <w:pStyle w:val="25"/>
        <w:shd w:val="clear" w:color="auto" w:fill="auto"/>
        <w:spacing w:before="0" w:beforeAutospacing="0" w:after="0" w:afterAutospacing="0" w:line="440" w:lineRule="exact"/>
        <w:ind w:firstLine="600" w:firstLineChars="250"/>
        <w:jc w:val="both"/>
        <w:rPr>
          <w:rFonts w:hint="eastAsia"/>
          <w:color w:val="auto"/>
          <w:highlight w:val="none"/>
        </w:rPr>
      </w:pPr>
      <w:r>
        <w:rPr>
          <w:rFonts w:hint="eastAsia"/>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02BC5EAD">
      <w:pPr>
        <w:pStyle w:val="25"/>
        <w:shd w:val="clear" w:color="auto" w:fill="auto"/>
        <w:spacing w:before="0" w:beforeAutospacing="0" w:after="0" w:afterAutospacing="0" w:line="440" w:lineRule="exact"/>
        <w:ind w:firstLine="600" w:firstLineChars="250"/>
        <w:jc w:val="both"/>
        <w:rPr>
          <w:rFonts w:hint="eastAsia"/>
          <w:color w:val="auto"/>
          <w:highlight w:val="none"/>
        </w:rPr>
      </w:pPr>
      <w:r>
        <w:rPr>
          <w:rFonts w:hint="eastAsia"/>
          <w:color w:val="auto"/>
          <w:highlight w:val="none"/>
        </w:rPr>
        <w:t>2、采购人不得向中标人提出任何不合理的要求作为签订合同的条件。</w:t>
      </w:r>
    </w:p>
    <w:p w14:paraId="1AE586F2">
      <w:pPr>
        <w:pStyle w:val="25"/>
        <w:shd w:val="clear" w:color="auto" w:fill="auto"/>
        <w:spacing w:before="0" w:beforeAutospacing="0" w:after="0" w:afterAutospacing="0" w:line="440" w:lineRule="exact"/>
        <w:ind w:firstLine="600" w:firstLineChars="250"/>
        <w:jc w:val="both"/>
        <w:rPr>
          <w:rFonts w:hint="eastAsia"/>
          <w:color w:val="auto"/>
          <w:highlight w:val="none"/>
        </w:rPr>
      </w:pPr>
      <w:r>
        <w:rPr>
          <w:rFonts w:hint="eastAsia"/>
          <w:color w:val="auto"/>
          <w:highlight w:val="none"/>
        </w:rPr>
        <w:t>3、中标供应商无正当理由拖延、拒签合同的,按《政府采购法》及等有关规定进行处理处罚。</w:t>
      </w:r>
    </w:p>
    <w:p w14:paraId="2DE35928">
      <w:pPr>
        <w:pStyle w:val="25"/>
        <w:shd w:val="clear" w:color="auto" w:fill="auto"/>
        <w:spacing w:before="0" w:beforeAutospacing="0" w:after="0" w:afterAutospacing="0" w:line="440" w:lineRule="exact"/>
        <w:ind w:firstLine="480" w:firstLineChars="200"/>
        <w:jc w:val="both"/>
        <w:rPr>
          <w:rFonts w:hint="eastAsia"/>
          <w:color w:val="auto"/>
          <w:highlight w:val="none"/>
        </w:rPr>
      </w:pPr>
      <w:r>
        <w:rPr>
          <w:rFonts w:hint="eastAsia"/>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F18B288">
      <w:pPr>
        <w:pStyle w:val="25"/>
        <w:shd w:val="clear" w:color="auto" w:fill="auto"/>
        <w:spacing w:before="0" w:beforeAutospacing="0" w:after="0" w:afterAutospacing="0" w:line="440" w:lineRule="exact"/>
        <w:ind w:firstLine="480" w:firstLineChars="200"/>
        <w:rPr>
          <w:rFonts w:hint="eastAsia"/>
          <w:color w:val="auto"/>
          <w:highlight w:val="none"/>
        </w:rPr>
      </w:pPr>
      <w:r>
        <w:rPr>
          <w:rFonts w:hint="eastAsia"/>
          <w:color w:val="auto"/>
          <w:highlight w:val="none"/>
        </w:rPr>
        <w:t>5、询问或者质疑事项可能影响中标结果的，采购人应当暂停签订合同，已经签订合同的，应当中止履行合同（中标结果的质疑期为中标结果公告期限届满之日起七个工作日）。</w:t>
      </w:r>
    </w:p>
    <w:p w14:paraId="5A2D054C">
      <w:pPr>
        <w:pStyle w:val="25"/>
        <w:shd w:val="clear" w:color="auto" w:fill="auto"/>
        <w:spacing w:before="0" w:beforeAutospacing="0" w:after="0" w:afterAutospacing="0" w:line="440" w:lineRule="exact"/>
        <w:ind w:firstLine="424" w:firstLineChars="176"/>
        <w:rPr>
          <w:rFonts w:hint="eastAsia"/>
          <w:b/>
          <w:bCs/>
          <w:color w:val="auto"/>
          <w:highlight w:val="none"/>
        </w:rPr>
      </w:pPr>
      <w:r>
        <w:rPr>
          <w:rFonts w:hint="eastAsia"/>
          <w:b/>
          <w:bCs/>
          <w:color w:val="auto"/>
          <w:highlight w:val="none"/>
        </w:rPr>
        <w:t>（二）合同公告及备案</w:t>
      </w:r>
    </w:p>
    <w:p w14:paraId="6D5F0542">
      <w:pPr>
        <w:pStyle w:val="14"/>
        <w:shd w:val="clear" w:color="auto" w:fill="auto"/>
        <w:spacing w:after="0" w:line="440" w:lineRule="exact"/>
        <w:ind w:left="0" w:lef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1、采购人应当自政府采购合同签订之日起2个工作日内，</w:t>
      </w:r>
      <w:r>
        <w:rPr>
          <w:rFonts w:hint="eastAsia" w:ascii="宋体" w:hAnsi="宋体" w:cs="宋体"/>
          <w:color w:val="auto"/>
          <w:kern w:val="0"/>
          <w:sz w:val="24"/>
          <w:szCs w:val="24"/>
          <w:highlight w:val="none"/>
        </w:rPr>
        <w:t>在省级以上财政部门指定的政府采购信息发布媒体及相关网站上公告</w:t>
      </w:r>
      <w:r>
        <w:rPr>
          <w:rFonts w:hint="eastAsia" w:ascii="宋体" w:hAnsi="宋体" w:cs="宋体"/>
          <w:color w:val="auto"/>
          <w:sz w:val="24"/>
          <w:szCs w:val="24"/>
          <w:highlight w:val="none"/>
        </w:rPr>
        <w:t>。</w:t>
      </w:r>
    </w:p>
    <w:p w14:paraId="4137919B">
      <w:pPr>
        <w:pStyle w:val="14"/>
        <w:shd w:val="clear" w:color="auto" w:fill="auto"/>
        <w:spacing w:after="0" w:line="44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2、采购人应当自政府采购合同签订之日起7个工作日内，将政府采购合同副本报同级人民政府财政部门备案以及采购代理机构存档。</w:t>
      </w:r>
    </w:p>
    <w:p w14:paraId="0D756220">
      <w:pPr>
        <w:widowControl/>
        <w:shd w:val="clear" w:color="auto" w:fill="auto"/>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98" w:name="_Toc557432954"/>
      <w:bookmarkStart w:id="99" w:name="_Toc20297"/>
      <w:bookmarkStart w:id="100" w:name="_Toc4161"/>
      <w:bookmarkStart w:id="101" w:name="_Toc29457"/>
      <w:bookmarkStart w:id="102" w:name="_Toc10143"/>
      <w:bookmarkStart w:id="103" w:name="_Toc21546"/>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bookmarkEnd w:id="98"/>
      <w:bookmarkEnd w:id="99"/>
      <w:bookmarkEnd w:id="100"/>
      <w:bookmarkEnd w:id="101"/>
      <w:bookmarkEnd w:id="102"/>
      <w:bookmarkEnd w:id="103"/>
    </w:p>
    <w:p w14:paraId="1A5161A8">
      <w:pPr>
        <w:shd w:val="clear" w:color="auto" w:fill="auto"/>
        <w:autoSpaceDE w:val="0"/>
        <w:autoSpaceDN w:val="0"/>
        <w:spacing w:line="440" w:lineRule="exact"/>
        <w:ind w:firstLine="480" w:firstLineChars="200"/>
        <w:rPr>
          <w:rFonts w:hint="eastAsia" w:ascii="宋体" w:hAnsi="宋体" w:cs="宋体"/>
          <w:b/>
          <w:bCs/>
          <w:i/>
          <w:iCs/>
          <w:color w:val="auto"/>
          <w:kern w:val="0"/>
          <w:sz w:val="24"/>
          <w:szCs w:val="24"/>
          <w:highlight w:val="none"/>
        </w:rPr>
      </w:pPr>
      <w:r>
        <w:rPr>
          <w:rFonts w:hint="eastAsia" w:ascii="宋体" w:hAnsi="宋体" w:cs="宋体"/>
          <w:color w:val="auto"/>
          <w:kern w:val="0"/>
          <w:sz w:val="24"/>
          <w:szCs w:val="24"/>
          <w:highlight w:val="none"/>
        </w:rPr>
        <w:t>一、采购代理机构将组织评标委员会，对投标人提供的投标文件进行综合评审。</w:t>
      </w:r>
    </w:p>
    <w:p w14:paraId="6BE6D283">
      <w:pPr>
        <w:shd w:val="clear" w:color="auto" w:fill="auto"/>
        <w:autoSpaceDE w:val="0"/>
        <w:autoSpaceDN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二、本次招标项目的评标方法为综合评分法，总计100分，其中商务技术</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0分，报价</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0分</w:t>
      </w:r>
      <w:r>
        <w:rPr>
          <w:rFonts w:hint="eastAsia" w:ascii="宋体" w:hAnsi="宋体" w:cs="宋体"/>
          <w:color w:val="auto"/>
          <w:kern w:val="0"/>
          <w:sz w:val="24"/>
          <w:szCs w:val="24"/>
          <w:highlight w:val="none"/>
        </w:rPr>
        <w:t>。</w:t>
      </w:r>
    </w:p>
    <w:p w14:paraId="37EC6EA9">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（一）商务技术文件中的客观分由评标委员会讨论后统一打分；其余在规定的分值内单独评定打分。具体评分见下表。</w:t>
      </w:r>
    </w:p>
    <w:p w14:paraId="7BE8E76E">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shd w:val="clear" w:color="FFFFFF" w:fill="D9D9D9"/>
          <w:lang w:val="zh-CN"/>
        </w:rPr>
      </w:pPr>
      <w:r>
        <w:rPr>
          <w:rFonts w:hint="eastAsia" w:ascii="宋体" w:hAnsi="宋体" w:cs="宋体"/>
          <w:color w:val="auto"/>
          <w:sz w:val="24"/>
          <w:szCs w:val="24"/>
          <w:highlight w:val="none"/>
          <w:lang w:val="zh-CN"/>
        </w:rPr>
        <w:t>（二）各投标人商务技术文件</w:t>
      </w:r>
      <w:r>
        <w:rPr>
          <w:rFonts w:hint="eastAsia" w:ascii="宋体" w:hAnsi="宋体" w:cs="宋体"/>
          <w:color w:val="auto"/>
          <w:kern w:val="0"/>
          <w:sz w:val="24"/>
          <w:szCs w:val="24"/>
          <w:highlight w:val="none"/>
          <w:lang w:val="zh-CN"/>
        </w:rPr>
        <w:t>得分按照评标委员会成</w:t>
      </w:r>
      <w:r>
        <w:rPr>
          <w:rFonts w:hint="eastAsia" w:ascii="宋体" w:hAnsi="宋体" w:cs="宋体"/>
          <w:color w:val="auto"/>
          <w:sz w:val="24"/>
          <w:szCs w:val="24"/>
          <w:highlight w:val="none"/>
          <w:lang w:val="zh-CN"/>
        </w:rPr>
        <w:t>员的独立评分结果汇总后的算术平均分计算，计算公式为：</w:t>
      </w:r>
    </w:p>
    <w:p w14:paraId="5EFD0BB5">
      <w:pPr>
        <w:shd w:val="clear" w:color="auto" w:fill="auto"/>
        <w:autoSpaceDE w:val="0"/>
        <w:autoSpaceDN w:val="0"/>
        <w:adjustRightInd w:val="0"/>
        <w:spacing w:line="440" w:lineRule="exact"/>
        <w:ind w:firstLine="200"/>
        <w:rPr>
          <w:rFonts w:hint="eastAsia" w:ascii="宋体" w:hAnsi="宋体" w:cs="宋体"/>
          <w:color w:val="auto"/>
          <w:sz w:val="24"/>
          <w:szCs w:val="24"/>
          <w:highlight w:val="none"/>
          <w:shd w:val="clear" w:color="FFFFFF" w:fill="D9D9D9"/>
          <w:lang w:val="zh-CN"/>
        </w:rPr>
      </w:pPr>
      <w:r>
        <w:rPr>
          <w:rFonts w:hint="eastAsia" w:ascii="宋体" w:hAnsi="宋体" w:cs="宋体"/>
          <w:color w:val="auto"/>
          <w:sz w:val="24"/>
          <w:szCs w:val="24"/>
          <w:highlight w:val="none"/>
        </w:rPr>
        <w:t>商务技术文件得分</w:t>
      </w:r>
      <w:r>
        <w:rPr>
          <w:rFonts w:hint="eastAsia" w:ascii="宋体" w:hAnsi="宋体" w:cs="宋体"/>
          <w:color w:val="auto"/>
          <w:sz w:val="24"/>
          <w:szCs w:val="24"/>
          <w:highlight w:val="none"/>
          <w:lang w:val="zh-CN"/>
        </w:rPr>
        <w:t>=评标委员会所有成员评分合计数/评标委员会组成人员数。</w:t>
      </w:r>
    </w:p>
    <w:p w14:paraId="67381EEC">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（三）投标报价得分采用低价优先法计算，即满足招标文件要求且投标价格最低的投标报价为评标基准价，其报价得满分。其他投标人的投标报价得分按下列公式计算：</w:t>
      </w:r>
    </w:p>
    <w:p w14:paraId="43480D6F">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投标报价得分=(评标基准价／投标报价) ×</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0%×100 。</w:t>
      </w:r>
    </w:p>
    <w:p w14:paraId="053BAE45">
      <w:pPr>
        <w:shd w:val="clear" w:color="auto" w:fill="auto"/>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78A367E9">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本项目专门面向中小企业采购，价格评审时，中小微企业的投标价格不做扣除。</w:t>
      </w:r>
    </w:p>
    <w:p w14:paraId="246D4857">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r>
        <w:rPr>
          <w:rFonts w:hint="eastAsia" w:ascii="宋体" w:hAnsi="宋体" w:cs="宋体"/>
          <w:color w:val="auto"/>
          <w:sz w:val="24"/>
          <w:szCs w:val="24"/>
          <w:highlight w:val="none"/>
          <w:lang w:val="zh-CN"/>
        </w:rPr>
        <w:t>。</w:t>
      </w:r>
      <w:bookmarkStart w:id="220" w:name="_GoBack"/>
      <w:bookmarkEnd w:id="220"/>
    </w:p>
    <w:p w14:paraId="766B6511">
      <w:pPr>
        <w:shd w:val="clear" w:color="auto" w:fill="auto"/>
        <w:autoSpaceDE w:val="0"/>
        <w:autoSpaceDN w:val="0"/>
        <w:adjustRightInd w:val="0"/>
        <w:spacing w:line="4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26BFE2C8">
      <w:pPr>
        <w:shd w:val="clear" w:color="auto" w:fill="auto"/>
        <w:autoSpaceDE w:val="0"/>
        <w:autoSpaceDN w:val="0"/>
        <w:adjustRightInd w:val="0"/>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szCs w:val="24"/>
          <w:highlight w:val="none"/>
        </w:rPr>
        <w:t>五、本次评分“</w:t>
      </w:r>
      <w:r>
        <w:rPr>
          <w:rFonts w:hint="eastAsia" w:ascii="宋体" w:hAnsi="宋体" w:cs="宋体"/>
          <w:color w:val="auto"/>
          <w:sz w:val="24"/>
          <w:szCs w:val="24"/>
          <w:highlight w:val="none"/>
          <w:lang w:val="zh-CN"/>
        </w:rPr>
        <w:t>商务技术分（</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分）”</w:t>
      </w:r>
      <w:r>
        <w:rPr>
          <w:rFonts w:hint="eastAsia" w:ascii="宋体" w:hAnsi="宋体" w:cs="宋体"/>
          <w:color w:val="auto"/>
          <w:kern w:val="0"/>
          <w:sz w:val="24"/>
          <w:szCs w:val="24"/>
          <w:highlight w:val="none"/>
        </w:rPr>
        <w:t>具体分值细化条款如下表：</w:t>
      </w:r>
    </w:p>
    <w:tbl>
      <w:tblPr>
        <w:tblStyle w:val="27"/>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928"/>
        <w:gridCol w:w="857"/>
      </w:tblGrid>
      <w:tr w14:paraId="334D0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4ABEBB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068" w:type="pct"/>
            <w:noWrap w:val="0"/>
            <w:vAlign w:val="center"/>
          </w:tcPr>
          <w:p w14:paraId="5BA429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评标细则</w:t>
            </w:r>
          </w:p>
        </w:tc>
        <w:tc>
          <w:tcPr>
            <w:tcW w:w="503" w:type="pct"/>
            <w:noWrap w:val="0"/>
            <w:vAlign w:val="center"/>
          </w:tcPr>
          <w:p w14:paraId="5C45E4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7934A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160DA0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068" w:type="pct"/>
            <w:noWrap w:val="0"/>
            <w:vAlign w:val="center"/>
          </w:tcPr>
          <w:p w14:paraId="79F4FE5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投标人具备病历质量控制、</w:t>
            </w:r>
            <w:r>
              <w:rPr>
                <w:rFonts w:hint="eastAsia" w:ascii="宋体" w:hAnsi="宋体" w:cs="宋体"/>
                <w:color w:val="auto"/>
                <w:sz w:val="24"/>
                <w:szCs w:val="24"/>
                <w:highlight w:val="none"/>
                <w:lang w:val="en-US" w:eastAsia="zh-CN"/>
              </w:rPr>
              <w:t>VTE防治系统、</w:t>
            </w:r>
            <w:r>
              <w:rPr>
                <w:rFonts w:hint="eastAsia" w:ascii="宋体" w:hAnsi="宋体" w:eastAsia="宋体" w:cs="宋体"/>
                <w:color w:val="auto"/>
                <w:sz w:val="24"/>
                <w:szCs w:val="24"/>
                <w:highlight w:val="none"/>
                <w:lang w:val="en-US" w:eastAsia="zh-CN"/>
              </w:rPr>
              <w:t>临床决策引擎、数据治理、医学文本智能分析、医院自建知识库等计算机软件著作权证书，每提供1个得1分，最高</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分，提供证书复印件，否则不得分。</w:t>
            </w:r>
          </w:p>
        </w:tc>
        <w:tc>
          <w:tcPr>
            <w:tcW w:w="503" w:type="pct"/>
            <w:noWrap w:val="0"/>
            <w:vAlign w:val="center"/>
          </w:tcPr>
          <w:p w14:paraId="0DCE7A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47FF4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463E41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068" w:type="pct"/>
            <w:noWrap w:val="0"/>
            <w:vAlign w:val="center"/>
          </w:tcPr>
          <w:p w14:paraId="2E97C376">
            <w:pPr>
              <w:pStyle w:val="21"/>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年至今</w:t>
            </w:r>
            <w:r>
              <w:rPr>
                <w:rFonts w:hint="eastAsia" w:ascii="宋体" w:hAnsi="宋体" w:eastAsia="宋体" w:cs="宋体"/>
                <w:color w:val="auto"/>
                <w:sz w:val="24"/>
                <w:szCs w:val="24"/>
                <w:highlight w:val="none"/>
              </w:rPr>
              <w:t>CDSS</w:t>
            </w:r>
            <w:r>
              <w:rPr>
                <w:rFonts w:hint="eastAsia" w:ascii="宋体" w:hAnsi="宋体" w:eastAsia="宋体" w:cs="宋体"/>
                <w:color w:val="auto"/>
                <w:sz w:val="24"/>
                <w:szCs w:val="24"/>
                <w:highlight w:val="none"/>
                <w:lang w:val="en-US" w:eastAsia="zh-CN"/>
              </w:rPr>
              <w:t>临床</w:t>
            </w:r>
            <w:r>
              <w:rPr>
                <w:rFonts w:hint="eastAsia" w:ascii="宋体" w:hAnsi="宋体" w:eastAsia="宋体" w:cs="宋体"/>
                <w:color w:val="auto"/>
                <w:sz w:val="24"/>
                <w:szCs w:val="24"/>
                <w:highlight w:val="none"/>
                <w:lang w:val="en-US" w:eastAsia="zh-CN" w:bidi="ar-SA"/>
              </w:rPr>
              <w:t>辅助决策产品辅助医院顺利通过电子病历六级评审的，每</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bidi="ar-SA"/>
              </w:rPr>
              <w:t>一个得1分，最多得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bidi="ar-SA"/>
              </w:rPr>
              <w:t>需</w:t>
            </w:r>
            <w:r>
              <w:rPr>
                <w:rFonts w:hint="eastAsia" w:ascii="宋体" w:hAnsi="宋体" w:eastAsia="宋体" w:cs="宋体"/>
                <w:color w:val="auto"/>
                <w:sz w:val="24"/>
                <w:szCs w:val="24"/>
                <w:highlight w:val="none"/>
                <w:lang w:val="en-US" w:eastAsia="zh-CN" w:bidi="ar-SA"/>
              </w:rPr>
              <w:t>提供</w:t>
            </w:r>
            <w:r>
              <w:rPr>
                <w:rFonts w:hint="eastAsia" w:ascii="宋体" w:hAnsi="宋体" w:eastAsia="宋体" w:cs="宋体"/>
                <w:color w:val="auto"/>
                <w:sz w:val="24"/>
                <w:szCs w:val="24"/>
                <w:highlight w:val="none"/>
                <w:lang w:eastAsia="zh-CN" w:bidi="ar-SA"/>
              </w:rPr>
              <w:t>由</w:t>
            </w:r>
            <w:r>
              <w:rPr>
                <w:rFonts w:hint="eastAsia" w:ascii="宋体" w:hAnsi="宋体" w:eastAsia="宋体" w:cs="宋体"/>
                <w:color w:val="auto"/>
                <w:sz w:val="24"/>
                <w:szCs w:val="24"/>
                <w:highlight w:val="none"/>
                <w:lang w:val="en-US" w:eastAsia="zh-CN" w:bidi="ar-SA"/>
              </w:rPr>
              <w:t>医院盖章的相关书面证明</w:t>
            </w:r>
            <w:r>
              <w:rPr>
                <w:rFonts w:hint="eastAsia" w:ascii="宋体" w:hAnsi="宋体" w:eastAsia="宋体" w:cs="宋体"/>
                <w:color w:val="auto"/>
                <w:sz w:val="24"/>
                <w:szCs w:val="24"/>
                <w:highlight w:val="none"/>
                <w:lang w:eastAsia="zh-CN" w:bidi="ar-SA"/>
              </w:rPr>
              <w:t>的</w:t>
            </w:r>
            <w:r>
              <w:rPr>
                <w:rFonts w:hint="eastAsia" w:ascii="宋体" w:hAnsi="宋体" w:eastAsia="宋体" w:cs="宋体"/>
                <w:color w:val="auto"/>
                <w:sz w:val="24"/>
                <w:szCs w:val="24"/>
                <w:highlight w:val="none"/>
                <w:lang w:val="en-US" w:eastAsia="zh-CN" w:bidi="ar-SA"/>
              </w:rPr>
              <w:t>复印件。</w:t>
            </w:r>
            <w:r>
              <w:rPr>
                <w:rFonts w:hint="eastAsia" w:ascii="宋体" w:hAnsi="宋体" w:eastAsia="宋体" w:cs="宋体"/>
                <w:color w:val="auto"/>
                <w:sz w:val="24"/>
                <w:szCs w:val="24"/>
                <w:highlight w:val="none"/>
                <w:lang w:val="en-US" w:eastAsia="zh-CN"/>
              </w:rPr>
              <w:t>）</w:t>
            </w:r>
          </w:p>
        </w:tc>
        <w:tc>
          <w:tcPr>
            <w:tcW w:w="503" w:type="pct"/>
            <w:noWrap w:val="0"/>
            <w:vAlign w:val="center"/>
          </w:tcPr>
          <w:p w14:paraId="1AA2ED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433CE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1C73E1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4068" w:type="pct"/>
            <w:noWrap w:val="0"/>
            <w:vAlign w:val="center"/>
          </w:tcPr>
          <w:p w14:paraId="39D1D0E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2"/>
                <w:sz w:val="24"/>
                <w:szCs w:val="24"/>
                <w:highlight w:val="none"/>
                <w:lang w:val="en-US" w:eastAsia="zh-CN" w:bidi="ar"/>
              </w:rPr>
              <w:t>符合国家信创要求，具备信创适配经验，其相关产品拥有以下证明</w:t>
            </w:r>
            <w:r>
              <w:rPr>
                <w:rFonts w:hint="eastAsia" w:ascii="宋体" w:hAnsi="宋体" w:eastAsia="宋体" w:cs="宋体"/>
                <w:color w:val="auto"/>
                <w:sz w:val="24"/>
                <w:szCs w:val="24"/>
                <w:highlight w:val="none"/>
              </w:rPr>
              <w:t>：1）获得符合信创要求芯片厂家认证不少于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家；2）获得符合信创要求数据库厂家认证不少于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家；3）获得符合信创要求操作系统厂家认证不少于5家；</w:t>
            </w:r>
            <w:r>
              <w:rPr>
                <w:rFonts w:hint="eastAsia" w:ascii="宋体" w:hAnsi="宋体" w:eastAsia="宋体" w:cs="宋体"/>
                <w:color w:val="auto"/>
                <w:sz w:val="24"/>
                <w:szCs w:val="24"/>
                <w:highlight w:val="none"/>
                <w:lang w:val="en-US" w:eastAsia="zh-CN"/>
              </w:rPr>
              <w:t>每满足一条得1分，最高3分，提供认证证书复印件，否则不得分。</w:t>
            </w:r>
          </w:p>
        </w:tc>
        <w:tc>
          <w:tcPr>
            <w:tcW w:w="503" w:type="pct"/>
            <w:noWrap w:val="0"/>
            <w:vAlign w:val="center"/>
          </w:tcPr>
          <w:p w14:paraId="4A609E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r w14:paraId="4FB10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15A3BD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4068" w:type="pct"/>
            <w:noWrap w:val="0"/>
            <w:vAlign w:val="center"/>
          </w:tcPr>
          <w:p w14:paraId="11E4CF1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本项目配备项目经理1名，需具备本科及以上学历，通过CHIETA医疗卫生信息互联互通标准（HL7）认证，项目管理专业人员能力（高级）证书。同时具备以上证书得2分，其余情况不得分。</w:t>
            </w:r>
            <w:r>
              <w:rPr>
                <w:rFonts w:hint="eastAsia" w:ascii="宋体" w:hAnsi="宋体" w:eastAsia="宋体" w:cs="宋体"/>
                <w:color w:val="auto"/>
                <w:sz w:val="24"/>
                <w:szCs w:val="24"/>
                <w:highlight w:val="none"/>
              </w:rPr>
              <w:t>提供证书复印件</w:t>
            </w:r>
            <w:r>
              <w:rPr>
                <w:rFonts w:hint="eastAsia" w:ascii="宋体" w:hAnsi="宋体" w:eastAsia="宋体" w:cs="宋体"/>
                <w:color w:val="auto"/>
                <w:sz w:val="24"/>
                <w:szCs w:val="24"/>
                <w:highlight w:val="none"/>
                <w:lang w:eastAsia="zh-CN"/>
              </w:rPr>
              <w:t>。</w:t>
            </w:r>
          </w:p>
          <w:p w14:paraId="0A926C4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技术负责人1名，需具备研究生及以上学历，同时拥有</w:t>
            </w:r>
            <w:r>
              <w:rPr>
                <w:rFonts w:hint="default"/>
                <w:color w:val="auto"/>
                <w:sz w:val="24"/>
                <w:szCs w:val="24"/>
                <w:highlight w:val="none"/>
              </w:rPr>
              <w:t>系统架构设计师、数据安全管理审计高级证书</w:t>
            </w:r>
            <w:r>
              <w:rPr>
                <w:rFonts w:hint="eastAsia" w:ascii="宋体" w:hAnsi="宋体" w:eastAsia="宋体" w:cs="宋体"/>
                <w:color w:val="auto"/>
                <w:kern w:val="2"/>
                <w:sz w:val="24"/>
                <w:szCs w:val="24"/>
                <w:highlight w:val="none"/>
                <w:lang w:val="en-US" w:eastAsia="zh-CN" w:bidi="ar-SA"/>
              </w:rPr>
              <w:t>。同时具备以上证书得2分，其余情况不得分。</w:t>
            </w:r>
            <w:r>
              <w:rPr>
                <w:rFonts w:hint="eastAsia" w:ascii="宋体" w:hAnsi="宋体" w:eastAsia="宋体" w:cs="宋体"/>
                <w:color w:val="auto"/>
                <w:sz w:val="24"/>
                <w:szCs w:val="24"/>
                <w:highlight w:val="none"/>
                <w:lang w:val="en-US" w:eastAsia="zh-CN"/>
              </w:rPr>
              <w:t>提供学历证书及相关证书复印件</w:t>
            </w:r>
            <w:r>
              <w:rPr>
                <w:rFonts w:hint="eastAsia" w:ascii="宋体" w:hAnsi="宋体" w:eastAsia="宋体" w:cs="宋体"/>
                <w:color w:val="auto"/>
                <w:sz w:val="24"/>
                <w:szCs w:val="24"/>
                <w:highlight w:val="none"/>
                <w:lang w:eastAsia="zh-CN"/>
              </w:rPr>
              <w:t>。</w:t>
            </w:r>
          </w:p>
          <w:p w14:paraId="40BF7BD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提供近</w:t>
            </w:r>
            <w:r>
              <w:rPr>
                <w:rFonts w:hint="eastAsia" w:ascii="宋体" w:hAnsi="宋体" w:eastAsia="宋体" w:cs="宋体"/>
                <w:color w:val="auto"/>
                <w:sz w:val="24"/>
                <w:szCs w:val="24"/>
                <w:highlight w:val="none"/>
                <w:lang w:val="en-US" w:eastAsia="zh-CN"/>
              </w:rPr>
              <w:t>三个月内任意一个月</w:t>
            </w:r>
            <w:r>
              <w:rPr>
                <w:rFonts w:hint="eastAsia" w:ascii="宋体" w:hAnsi="宋体" w:eastAsia="宋体" w:cs="宋体"/>
                <w:color w:val="auto"/>
                <w:kern w:val="2"/>
                <w:sz w:val="24"/>
                <w:szCs w:val="24"/>
                <w:highlight w:val="none"/>
                <w:lang w:val="en-US" w:eastAsia="zh-CN" w:bidi="ar-SA"/>
              </w:rPr>
              <w:t>缴纳的社保证明。</w:t>
            </w:r>
          </w:p>
        </w:tc>
        <w:tc>
          <w:tcPr>
            <w:tcW w:w="503" w:type="pct"/>
            <w:noWrap w:val="0"/>
            <w:vAlign w:val="center"/>
          </w:tcPr>
          <w:p w14:paraId="3EFC66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14:paraId="75BE4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 w:type="pct"/>
            <w:noWrap w:val="0"/>
            <w:vAlign w:val="center"/>
          </w:tcPr>
          <w:p w14:paraId="389F6F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068" w:type="pct"/>
            <w:noWrap w:val="0"/>
            <w:vAlign w:val="center"/>
          </w:tcPr>
          <w:p w14:paraId="46BBCBE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投标人拥有与本项目相关的发明专利证明：数据传输方法、医学规则提取、临床数据稽查、医学实体分类提取、文本中实体关系抽取、病例书切分。每提供1个专利证书复印件得0.5分，最高3分，不提供不得分。</w:t>
            </w:r>
          </w:p>
        </w:tc>
        <w:tc>
          <w:tcPr>
            <w:tcW w:w="503" w:type="pct"/>
            <w:noWrap w:val="0"/>
            <w:vAlign w:val="center"/>
          </w:tcPr>
          <w:p w14:paraId="58F828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4FD8F1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7DC8EE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068" w:type="pct"/>
            <w:noWrap w:val="0"/>
            <w:vAlign w:val="center"/>
          </w:tcPr>
          <w:p w14:paraId="316FB3B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技术功能符合度：对应于采购文件“</w:t>
            </w:r>
            <w:r>
              <w:rPr>
                <w:rFonts w:hint="eastAsia" w:ascii="宋体" w:hAnsi="宋体" w:eastAsia="宋体" w:cs="宋体"/>
                <w:color w:val="auto"/>
                <w:sz w:val="24"/>
                <w:szCs w:val="24"/>
                <w:highlight w:val="none"/>
              </w:rPr>
              <w:t>系统软件功能要求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的符合度，每一条的条款不满足采购文件要求扣2分，扣完为止。</w:t>
            </w:r>
          </w:p>
          <w:p w14:paraId="487D6B96">
            <w:pPr>
              <w:pStyle w:val="21"/>
              <w:keepNext w:val="0"/>
              <w:keepLines w:val="0"/>
              <w:suppressLineNumbers w:val="0"/>
              <w:spacing w:before="0" w:beforeAutospacing="0" w:after="0" w:afterAutospacing="0"/>
              <w:ind w:left="0" w:right="0"/>
              <w:rPr>
                <w:rFonts w:hint="default" w:ascii="Times New Roman" w:hAnsi="Times New Roman" w:cs="Times New Roman"/>
                <w:color w:val="auto"/>
                <w:highlight w:val="none"/>
                <w:lang w:val="en-US" w:eastAsia="zh-CN"/>
              </w:rPr>
            </w:pPr>
            <w:r>
              <w:rPr>
                <w:rFonts w:hint="eastAsia" w:ascii="宋体" w:hAnsi="宋体" w:eastAsia="宋体" w:cs="宋体"/>
                <w:color w:val="auto"/>
                <w:kern w:val="2"/>
                <w:sz w:val="24"/>
                <w:szCs w:val="24"/>
                <w:highlight w:val="none"/>
                <w:lang w:val="en-US" w:eastAsia="zh-CN" w:bidi="ar-SA"/>
              </w:rPr>
              <w:t>带“※”的参数，需提供真实应用系统的功能截图，未提供不得分。</w:t>
            </w:r>
          </w:p>
          <w:p w14:paraId="081B07F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带“</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SA"/>
              </w:rPr>
              <w:t>”的参数，需提供真实应用系统的功能演示</w:t>
            </w:r>
            <w:r>
              <w:rPr>
                <w:rFonts w:hint="eastAsia" w:ascii="宋体" w:hAnsi="宋体" w:eastAsia="宋体" w:cs="宋体"/>
                <w:color w:val="auto"/>
                <w:kern w:val="2"/>
                <w:sz w:val="24"/>
                <w:szCs w:val="24"/>
                <w:highlight w:val="none"/>
                <w:u w:val="none"/>
                <w:lang w:val="en-US" w:eastAsia="zh-CN" w:bidi="ar-SA"/>
              </w:rPr>
              <w:t>视频</w:t>
            </w:r>
            <w:r>
              <w:rPr>
                <w:rFonts w:hint="eastAsia" w:ascii="宋体" w:hAnsi="宋体" w:eastAsia="宋体" w:cs="宋体"/>
                <w:color w:val="auto"/>
                <w:kern w:val="2"/>
                <w:sz w:val="24"/>
                <w:szCs w:val="24"/>
                <w:highlight w:val="none"/>
                <w:lang w:val="en-US" w:eastAsia="zh-CN" w:bidi="ar-SA"/>
              </w:rPr>
              <w:t>，非程序演示如PPT演示等均不得分，演示时长不超过20分钟。</w:t>
            </w:r>
          </w:p>
        </w:tc>
        <w:tc>
          <w:tcPr>
            <w:tcW w:w="503" w:type="pct"/>
            <w:noWrap w:val="0"/>
            <w:vAlign w:val="center"/>
          </w:tcPr>
          <w:p w14:paraId="0D738A3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w:t>
            </w:r>
          </w:p>
        </w:tc>
      </w:tr>
      <w:tr w14:paraId="2A3A1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7201C3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4068" w:type="pct"/>
            <w:noWrap w:val="0"/>
            <w:vAlign w:val="center"/>
          </w:tcPr>
          <w:p w14:paraId="7A32AF2C">
            <w:pPr>
              <w:pStyle w:val="2"/>
              <w:keepNext w:val="0"/>
              <w:keepLines w:val="0"/>
              <w:suppressLineNumbers w:val="0"/>
              <w:spacing w:before="0" w:beforeAutospacing="0" w:after="0" w:afterAutospacing="0" w:line="360" w:lineRule="auto"/>
              <w:ind w:left="0" w:leftChars="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项目实施计划：计划安排内容详细且完善、针对性及可实施性得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分；计划安排内容存在部分瑕疵的得</w:t>
            </w:r>
            <w:r>
              <w:rPr>
                <w:rFonts w:hint="eastAsia" w:ascii="宋体" w:hAnsi="宋体" w:cs="宋体"/>
                <w:color w:val="auto"/>
                <w:kern w:val="2"/>
                <w:sz w:val="24"/>
                <w:szCs w:val="24"/>
                <w:highlight w:val="none"/>
                <w:lang w:val="en-US" w:eastAsia="zh-CN" w:bidi="ar-SA"/>
              </w:rPr>
              <w:t>0.5</w:t>
            </w:r>
            <w:r>
              <w:rPr>
                <w:rFonts w:hint="eastAsia" w:ascii="宋体" w:hAnsi="宋体" w:eastAsia="宋体" w:cs="宋体"/>
                <w:color w:val="auto"/>
                <w:kern w:val="2"/>
                <w:sz w:val="24"/>
                <w:szCs w:val="24"/>
                <w:highlight w:val="none"/>
                <w:lang w:val="en-US" w:eastAsia="zh-CN" w:bidi="ar-SA"/>
              </w:rPr>
              <w:t>分；不提供不得分。</w:t>
            </w:r>
          </w:p>
        </w:tc>
        <w:tc>
          <w:tcPr>
            <w:tcW w:w="503" w:type="pct"/>
            <w:noWrap w:val="0"/>
            <w:vAlign w:val="center"/>
          </w:tcPr>
          <w:p w14:paraId="657FDB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r>
      <w:tr w14:paraId="63DF7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428" w:type="pct"/>
            <w:noWrap w:val="0"/>
            <w:vAlign w:val="center"/>
          </w:tcPr>
          <w:p w14:paraId="0294A2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4068" w:type="pct"/>
            <w:noWrap w:val="0"/>
            <w:vAlign w:val="center"/>
          </w:tcPr>
          <w:p w14:paraId="795E75D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项目需求分析合理、对本项目业务和流程理解清晰、详细的得2分；项目需求分析较合理、对本项目业务和流程较理解的得1分；没有分析的不得分。</w:t>
            </w:r>
          </w:p>
        </w:tc>
        <w:tc>
          <w:tcPr>
            <w:tcW w:w="503" w:type="pct"/>
            <w:noWrap w:val="0"/>
            <w:vAlign w:val="center"/>
          </w:tcPr>
          <w:p w14:paraId="1D95E1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38DF1D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6895F8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4068" w:type="pct"/>
            <w:noWrap w:val="0"/>
            <w:vAlign w:val="center"/>
          </w:tcPr>
          <w:p w14:paraId="512DA15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项目技术解决方案：</w:t>
            </w:r>
            <w:r>
              <w:rPr>
                <w:rFonts w:hint="eastAsia" w:ascii="宋体" w:hAnsi="宋体" w:cs="宋体"/>
                <w:color w:val="auto"/>
                <w:sz w:val="24"/>
                <w:szCs w:val="24"/>
                <w:highlight w:val="none"/>
                <w:lang w:val="en-US" w:eastAsia="zh-CN"/>
              </w:rPr>
              <w:t>技术方案完善、可行以及与甲方HIS服务总线对接方案有</w:t>
            </w:r>
            <w:r>
              <w:rPr>
                <w:rFonts w:hint="eastAsia" w:ascii="宋体" w:hAnsi="宋体" w:eastAsia="宋体" w:cs="宋体"/>
                <w:color w:val="auto"/>
                <w:sz w:val="24"/>
                <w:szCs w:val="24"/>
                <w:highlight w:val="none"/>
                <w:lang w:val="en-US" w:eastAsia="zh-CN"/>
              </w:rPr>
              <w:t>针对性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可实施</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分；方案内容存在部分瑕疵的得1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分；不提供不得分。</w:t>
            </w:r>
          </w:p>
        </w:tc>
        <w:tc>
          <w:tcPr>
            <w:tcW w:w="503" w:type="pct"/>
            <w:noWrap w:val="0"/>
            <w:vAlign w:val="center"/>
          </w:tcPr>
          <w:p w14:paraId="757744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2A7FA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5C4E480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4068" w:type="pct"/>
            <w:noWrap w:val="0"/>
            <w:vAlign w:val="center"/>
          </w:tcPr>
          <w:p w14:paraId="423B642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根据各投标人保证项目进度的方案和措施：方案和措施内容全面完整、科学合理，完全满足项目需求的得1分；未提供不得分。</w:t>
            </w:r>
          </w:p>
        </w:tc>
        <w:tc>
          <w:tcPr>
            <w:tcW w:w="503" w:type="pct"/>
            <w:noWrap w:val="0"/>
            <w:vAlign w:val="center"/>
          </w:tcPr>
          <w:p w14:paraId="45C5A3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16550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noWrap w:val="0"/>
            <w:vAlign w:val="center"/>
          </w:tcPr>
          <w:p w14:paraId="1412B29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4068" w:type="pct"/>
            <w:noWrap w:val="0"/>
            <w:vAlign w:val="center"/>
          </w:tcPr>
          <w:p w14:paraId="075D9C9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售后服务方案：方案全面完整、科学合理，完全满足项目需求的得1分；未提供不得分。</w:t>
            </w:r>
          </w:p>
        </w:tc>
        <w:tc>
          <w:tcPr>
            <w:tcW w:w="503" w:type="pct"/>
            <w:noWrap w:val="0"/>
            <w:vAlign w:val="center"/>
          </w:tcPr>
          <w:p w14:paraId="254999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r>
    </w:tbl>
    <w:p w14:paraId="43B110D7">
      <w:pPr>
        <w:shd w:val="clear" w:color="auto" w:fill="auto"/>
        <w:rPr>
          <w:rFonts w:hint="eastAsia" w:ascii="宋体" w:hAnsi="宋体" w:cs="宋体"/>
          <w:color w:val="auto"/>
          <w:highlight w:val="none"/>
        </w:rPr>
      </w:pPr>
    </w:p>
    <w:p w14:paraId="7AF3E833">
      <w:pPr>
        <w:pStyle w:val="5"/>
        <w:shd w:val="clear" w:color="auto" w:fill="auto"/>
        <w:rPr>
          <w:rFonts w:hint="eastAsia" w:ascii="宋体" w:hAnsi="宋体" w:cs="宋体"/>
          <w:color w:val="auto"/>
          <w:highlight w:val="none"/>
        </w:rPr>
      </w:pPr>
      <w:bookmarkStart w:id="104" w:name="_Toc20276"/>
      <w:bookmarkStart w:id="105" w:name="_Toc5675"/>
      <w:bookmarkStart w:id="106" w:name="_Toc19245"/>
      <w:bookmarkStart w:id="107" w:name="_Toc4320"/>
      <w:r>
        <w:rPr>
          <w:rFonts w:hint="eastAsia" w:ascii="宋体" w:hAnsi="宋体" w:cs="宋体"/>
          <w:color w:val="auto"/>
          <w:highlight w:val="none"/>
        </w:rPr>
        <w:br w:type="page"/>
      </w:r>
      <w:bookmarkStart w:id="108" w:name="_Toc1737956660"/>
      <w:bookmarkStart w:id="109" w:name="_Toc28445"/>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公开招标需求</w:t>
      </w:r>
      <w:bookmarkEnd w:id="104"/>
      <w:bookmarkEnd w:id="105"/>
      <w:bookmarkEnd w:id="106"/>
      <w:bookmarkEnd w:id="107"/>
      <w:bookmarkEnd w:id="108"/>
      <w:bookmarkEnd w:id="109"/>
    </w:p>
    <w:p w14:paraId="2DDB7DC1">
      <w:pPr>
        <w:pStyle w:val="2"/>
        <w:shd w:val="clear" w:color="auto" w:fill="auto"/>
        <w:spacing w:line="360" w:lineRule="auto"/>
        <w:rPr>
          <w:color w:val="auto"/>
          <w:highlight w:val="none"/>
        </w:rPr>
      </w:pPr>
      <w:bookmarkStart w:id="110" w:name="_Toc22245"/>
    </w:p>
    <w:bookmarkEnd w:id="110"/>
    <w:p w14:paraId="06D891F0">
      <w:pPr>
        <w:pStyle w:val="5"/>
        <w:widowControl/>
        <w:numPr>
          <w:ilvl w:val="0"/>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44"/>
          <w:sz w:val="24"/>
          <w:szCs w:val="24"/>
          <w:highlight w:val="none"/>
        </w:rPr>
      </w:pPr>
      <w:bookmarkStart w:id="111" w:name="_Toc829438283"/>
      <w:bookmarkStart w:id="112" w:name="_Toc25271"/>
      <w:bookmarkStart w:id="113" w:name="_Toc16530"/>
      <w:r>
        <w:rPr>
          <w:rFonts w:hint="eastAsia" w:ascii="宋体" w:hAnsi="宋体" w:eastAsia="宋体" w:cs="宋体"/>
          <w:b/>
          <w:bCs/>
          <w:color w:val="auto"/>
          <w:kern w:val="44"/>
          <w:sz w:val="24"/>
          <w:szCs w:val="24"/>
          <w:highlight w:val="none"/>
        </w:rPr>
        <w:t>项目背景及总体要求</w:t>
      </w:r>
    </w:p>
    <w:p w14:paraId="58369480">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项目背景</w:t>
      </w:r>
    </w:p>
    <w:p w14:paraId="7962C664">
      <w:pPr>
        <w:pStyle w:val="25"/>
        <w:keepNext w:val="0"/>
        <w:keepLines w:val="0"/>
        <w:widowControl/>
        <w:suppressLineNumbers w:val="0"/>
        <w:spacing w:before="0" w:beforeLines="0" w:beforeAutospacing="0" w:after="0" w:afterLines="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温岭市第一人民医院自2010年开始建设集成平台等项目，围绕着数字化智慧医院的目标开展建设，截至2022年，医院信息化建设水平已通过电子病历五级、互联互通四级甲等等医院信息化相关测评。</w:t>
      </w:r>
    </w:p>
    <w:p w14:paraId="4370182D">
      <w:pPr>
        <w:pStyle w:val="25"/>
        <w:keepNext w:val="0"/>
        <w:keepLines w:val="0"/>
        <w:widowControl/>
        <w:suppressLineNumbers w:val="0"/>
        <w:spacing w:before="0" w:beforeLines="0" w:beforeAutospacing="0" w:after="0" w:afterLines="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为了进一步落实国家卫健委</w:t>
      </w:r>
      <w:r>
        <w:rPr>
          <w:rFonts w:hint="eastAsia" w:ascii="宋体" w:hAnsi="宋体" w:eastAsia="宋体" w:cs="宋体"/>
          <w:color w:val="auto"/>
          <w:kern w:val="2"/>
          <w:sz w:val="24"/>
          <w:szCs w:val="24"/>
          <w:highlight w:val="none"/>
          <w:shd w:val="clear" w:color="auto" w:fill="FFFFFF"/>
          <w:lang w:val="en-US" w:eastAsia="zh-CN" w:bidi="ar"/>
        </w:rPr>
        <w:t>印发《国务院办公厅关于推动公立医院高质量发展的意见》要求，更好的加强信息系统对临床决策的支持和不断提升医疗服务质量，故而医院以</w:t>
      </w:r>
      <w:r>
        <w:rPr>
          <w:rFonts w:hint="eastAsia" w:ascii="宋体" w:hAnsi="宋体" w:eastAsia="宋体" w:cs="宋体"/>
          <w:color w:val="auto"/>
          <w:kern w:val="2"/>
          <w:sz w:val="24"/>
          <w:szCs w:val="24"/>
          <w:highlight w:val="none"/>
          <w:lang w:val="en-US" w:eastAsia="zh-CN" w:bidi="ar"/>
        </w:rPr>
        <w:t>更高的评级标准来衡量和推进医院信息化建设和实际应用。</w:t>
      </w:r>
    </w:p>
    <w:p w14:paraId="5AA145E2">
      <w:pPr>
        <w:pStyle w:val="25"/>
        <w:keepNext w:val="0"/>
        <w:keepLines w:val="0"/>
        <w:widowControl/>
        <w:suppressLineNumbers w:val="0"/>
        <w:spacing w:before="0" w:beforeLines="0" w:beforeAutospacing="0" w:after="0" w:afterLines="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国家卫建委印发的《全面提升医疗质量行动计划（2023-2025年）》提出，要“强化关键环节和行为管理，提高过程质量”，不仅将“病历内涵质量提升行动”作为五大专项行动之一，还针对病历质量列出了5项效果评估指标。进一步医政司起草了《病历内涵质量提升行动方案（2023-2025年）》，明确了三年目标：到2025年末，二级以上医疗机构形成机制明晰、运行顺畅的院内病案质量管理体系，病历内涵质量明显提升，住院病历病案首页主要诊断编码正确率不低于90%。同时，也将“病案首页主要诊断编码正确率”作为病历质量5项评估指标之一。</w:t>
      </w:r>
    </w:p>
    <w:p w14:paraId="382F5980">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建设原则</w:t>
      </w:r>
    </w:p>
    <w:p w14:paraId="3E1B1C52">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顶层设计、分步实施：</w:t>
      </w:r>
      <w:r>
        <w:rPr>
          <w:rFonts w:hint="eastAsia" w:ascii="宋体" w:hAnsi="宋体" w:eastAsia="宋体" w:cs="宋体"/>
          <w:color w:val="auto"/>
          <w:kern w:val="2"/>
          <w:sz w:val="24"/>
          <w:szCs w:val="24"/>
          <w:highlight w:val="none"/>
          <w:lang w:val="en-US" w:eastAsia="zh-CN" w:bidi="ar"/>
        </w:rPr>
        <w:t>任何一个信息系统的建设都不可能是一蹴而就，数字化智慧医院信息化建设是一个庞大的、复杂的、长期的系统工程，更需要先做一个整体的规划，无论从战略上或从战术上，从硬件上或从软件上都必须先进行整体的调研和规划，才能为后续的建设指明道路和打下基础。同时，医院信息化的建设过程是一个长期的过程，必须分成多个阶段来完成，以保证系统建设的可行性和可控性，因此我们必须在总体规划的指导下，对整个过程进行科学地划分多个实施阶段，逐步完成医院信息化各项工程的建设。</w:t>
      </w:r>
    </w:p>
    <w:p w14:paraId="04949746">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满足需求、适度冗余：</w:t>
      </w:r>
      <w:r>
        <w:rPr>
          <w:rFonts w:hint="eastAsia" w:ascii="宋体" w:hAnsi="宋体" w:eastAsia="宋体" w:cs="宋体"/>
          <w:color w:val="auto"/>
          <w:kern w:val="2"/>
          <w:sz w:val="24"/>
          <w:szCs w:val="24"/>
          <w:highlight w:val="none"/>
          <w:lang w:val="en-US" w:eastAsia="zh-CN" w:bidi="ar"/>
        </w:rPr>
        <w:t>根据国内诸多医院建设情况，结合我院以往信息化建设经验，大型三级医院的数字化智慧医院建设往往需要三到五年左右的时间，因此在进行数字化建设规划时应具有一定的前瞻性，适度超前，软件方面要考虑到今后技术的发展水平和成熟程度，硬件方面要根据医院规模化发展适度超前。</w:t>
      </w:r>
    </w:p>
    <w:p w14:paraId="3559D9F5">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标准先行、安全为本：</w:t>
      </w:r>
      <w:r>
        <w:rPr>
          <w:rFonts w:hint="eastAsia" w:ascii="宋体" w:hAnsi="宋体" w:eastAsia="宋体" w:cs="宋体"/>
          <w:color w:val="auto"/>
          <w:kern w:val="2"/>
          <w:sz w:val="24"/>
          <w:szCs w:val="24"/>
          <w:highlight w:val="none"/>
          <w:lang w:val="en-US" w:eastAsia="zh-CN" w:bidi="ar"/>
        </w:rPr>
        <w:t>在新医改方案发布后，我国卫生信息化在标准建设方面取得了阶段性突破与成果，电子健康档案、电子病历和数据字典等标准和规范相继出台。这些标准规范虽不强制执行，但对于医院信息化建设的方案制定、工程招投标和系统实施具有重要的指导意义。我院信息系统建设应积极向统一的国家规范与标准靠拢，还没有标准的，也要“不等不靠”，积极试点积累经验。只有这样，我院的信息系统才有持续发展的生命力，医疗数据才能达到诊疗信息的整合、无障碍流动及共享利用，最终实现医改提出的“建立实用共享的医药卫生信息系统”的总体目标。</w:t>
      </w:r>
    </w:p>
    <w:p w14:paraId="34356F1E">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智能管理、科学发展：</w:t>
      </w:r>
      <w:r>
        <w:rPr>
          <w:rFonts w:hint="eastAsia" w:ascii="宋体" w:hAnsi="宋体" w:eastAsia="宋体" w:cs="宋体"/>
          <w:color w:val="auto"/>
          <w:kern w:val="2"/>
          <w:sz w:val="24"/>
          <w:szCs w:val="24"/>
          <w:highlight w:val="none"/>
          <w:lang w:val="en-US" w:eastAsia="zh-CN" w:bidi="ar"/>
        </w:rPr>
        <w:t>以智能型信息系统，提升管理可及性。同时注重发展——提升我院信息体系的将来扩展能力的同时，满足与国家、省、市各级卫生平台的资源协同共享能力，实现区域医疗联动和协同发展。</w:t>
      </w:r>
    </w:p>
    <w:p w14:paraId="2A94AEBC">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转变观念、以人为本：</w:t>
      </w:r>
      <w:r>
        <w:rPr>
          <w:rFonts w:hint="eastAsia" w:ascii="宋体" w:hAnsi="宋体" w:eastAsia="宋体" w:cs="宋体"/>
          <w:color w:val="auto"/>
          <w:kern w:val="2"/>
          <w:sz w:val="24"/>
          <w:szCs w:val="24"/>
          <w:highlight w:val="none"/>
          <w:lang w:val="en-US" w:eastAsia="zh-CN" w:bidi="ar"/>
        </w:rPr>
        <w:t>从“面向业务管理”转变为“以人为本”，即在满足患者、临床业务人员、医院管理者等各个层面的要求的基础上，提高工作效率，方便操作。最终，在保障医疗质量和医疗安全的基础之上，实现社会效益和经济效益双丰收，让患者满意，让职工满意。</w:t>
      </w:r>
    </w:p>
    <w:p w14:paraId="08475F31">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系统要求</w:t>
      </w:r>
    </w:p>
    <w:p w14:paraId="0A413C87">
      <w:pPr>
        <w:pStyle w:val="8"/>
        <w:widowControl/>
        <w:numPr>
          <w:ilvl w:val="2"/>
          <w:numId w:val="5"/>
        </w:numPr>
        <w:adjustRightInd w:val="0"/>
        <w:spacing w:before="78" w:beforeLines="25" w:beforeAutospacing="0" w:after="78" w:afterLines="25" w:afterAutospacing="0"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技术要求</w:t>
      </w:r>
    </w:p>
    <w:p w14:paraId="169878A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（1）技术分析</w:t>
      </w:r>
    </w:p>
    <w:p w14:paraId="72796B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系统支持多级缓存策略，实现接口的快速响应、可提供高并发、高可用的服务，系统通过数据加密服务、访问控制等服务，保存业务数据的安全性。</w:t>
      </w:r>
    </w:p>
    <w:p w14:paraId="7705099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（2）数据可靠性</w:t>
      </w:r>
    </w:p>
    <w:p w14:paraId="0AD5ED4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上线后，保证数据库的安全、稳定性，数据库管理员定期备份数据库，采用良好的备份策略，以维持数据的安全性；和保证数据库稳定，顺畅，高效的运行。尽最大的努力减少由于数据丢失或损坏造成的业务系统宕机，须从备份方面做好基本的保障工作。</w:t>
      </w:r>
    </w:p>
    <w:p w14:paraId="5F43BA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用户账户的安全性需要在系统以及运行管理机制上予以保证，对某些关键数据需要采用高可靠的、防篡改的密码加密算法。系统具有抵御外界环境和人为操作失误的能力；有足够的防护措施，防止非法用户侵入。</w:t>
      </w:r>
    </w:p>
    <w:p w14:paraId="6242EDE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（3）易用性</w:t>
      </w:r>
    </w:p>
    <w:p w14:paraId="6222E2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系统的管理、操作界面应友善、易于使用，对使用人员的培训时间保持在较短的时间内。系统应提供系统使用手册或操作视频来帮助用户熟悉系统的使用。</w:t>
      </w:r>
    </w:p>
    <w:p w14:paraId="32FF137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（4）备份及恢复</w:t>
      </w:r>
    </w:p>
    <w:p w14:paraId="5421B4A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系统具备积极有效的备份和恢复机制，保证系统的正常运行。</w:t>
      </w:r>
    </w:p>
    <w:p w14:paraId="16861E0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（5）响应速度快</w:t>
      </w:r>
    </w:p>
    <w:p w14:paraId="5F81A1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高峰期操作系统时无明显等待时间，查询操作进行预处理以加快查询速度。额定用户同时运行时不能出现堵塞现象。各类日报表统计及日常查询响应时间快，日常操作的系统响应时间不得超过15秒。</w:t>
      </w:r>
    </w:p>
    <w:p w14:paraId="6639BF1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（7）项目对接</w:t>
      </w:r>
    </w:p>
    <w:p w14:paraId="2F58AF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系统支持与医院</w:t>
      </w:r>
      <w:r>
        <w:rPr>
          <w:rFonts w:hint="eastAsia" w:ascii="宋体" w:hAnsi="宋体" w:cs="宋体"/>
          <w:color w:val="auto"/>
          <w:kern w:val="2"/>
          <w:sz w:val="24"/>
          <w:szCs w:val="24"/>
          <w:highlight w:val="none"/>
          <w:lang w:val="en-US" w:eastAsia="zh-CN" w:bidi="ar"/>
        </w:rPr>
        <w:t>现有运行的东华医为服务总线标准接口对接，实现</w:t>
      </w:r>
      <w:r>
        <w:rPr>
          <w:rFonts w:hint="eastAsia" w:ascii="宋体" w:hAnsi="宋体" w:eastAsia="宋体" w:cs="宋体"/>
          <w:color w:val="auto"/>
          <w:kern w:val="2"/>
          <w:sz w:val="24"/>
          <w:szCs w:val="24"/>
          <w:highlight w:val="none"/>
          <w:lang w:val="en-US" w:eastAsia="zh-CN" w:bidi="ar"/>
        </w:rPr>
        <w:t>HIS系统、电子病历系统</w:t>
      </w:r>
      <w:r>
        <w:rPr>
          <w:rFonts w:hint="eastAsia" w:ascii="宋体" w:hAnsi="宋体" w:cs="宋体"/>
          <w:color w:val="auto"/>
          <w:kern w:val="2"/>
          <w:sz w:val="24"/>
          <w:szCs w:val="24"/>
          <w:highlight w:val="none"/>
          <w:lang w:val="en-US" w:eastAsia="zh-CN" w:bidi="ar"/>
        </w:rPr>
        <w:t>等系统的数据调用和业务交互</w:t>
      </w:r>
      <w:r>
        <w:rPr>
          <w:rFonts w:hint="eastAsia" w:ascii="宋体" w:hAnsi="宋体" w:eastAsia="宋体" w:cs="宋体"/>
          <w:color w:val="auto"/>
          <w:kern w:val="2"/>
          <w:sz w:val="24"/>
          <w:szCs w:val="24"/>
          <w:highlight w:val="none"/>
          <w:lang w:val="en-US" w:eastAsia="zh-CN" w:bidi="ar"/>
        </w:rPr>
        <w:t>。</w:t>
      </w:r>
    </w:p>
    <w:p w14:paraId="128DDD45">
      <w:pPr>
        <w:pStyle w:val="8"/>
        <w:widowControl/>
        <w:numPr>
          <w:ilvl w:val="2"/>
          <w:numId w:val="5"/>
        </w:numPr>
        <w:adjustRightInd w:val="0"/>
        <w:spacing w:before="78" w:beforeLines="25" w:beforeAutospacing="0" w:after="78" w:afterLines="25" w:afterAutospacing="0"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标准和规范要求</w:t>
      </w:r>
    </w:p>
    <w:p w14:paraId="1734D853">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为了保证系统的开放性，以及集成的实现，系统遵从以下标准和要求：</w:t>
      </w:r>
    </w:p>
    <w:p w14:paraId="57B62481">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国务院办公厅关于加强三级公立医院绩效考核工作的意见卫生</w:t>
      </w:r>
    </w:p>
    <w:p w14:paraId="4347FD8E">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关于进一步推进以电子病历为核心的医疗机构信息化建设工作的通知</w:t>
      </w:r>
    </w:p>
    <w:p w14:paraId="7AFE208B">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电子病历系统应用水平分级评价标准(试行)</w:t>
      </w:r>
    </w:p>
    <w:p w14:paraId="75C15191">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医院信息平台应用功能指引</w:t>
      </w:r>
    </w:p>
    <w:p w14:paraId="01D4CCA4">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医院信息化建设应用技术指引</w:t>
      </w:r>
    </w:p>
    <w:p w14:paraId="155FC0FD">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全国医院信息化建设标准与规范（试行）</w:t>
      </w:r>
    </w:p>
    <w:p w14:paraId="6C353790">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国家卫健委《三级综合医院评审标准实施细则（2011年版）》；</w:t>
      </w:r>
    </w:p>
    <w:p w14:paraId="43352A31">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国家卫健委《医院信息互联互通标准化成熟度测评》；</w:t>
      </w:r>
    </w:p>
    <w:p w14:paraId="1F1A8B61">
      <w:pPr>
        <w:pStyle w:val="25"/>
        <w:keepNext w:val="0"/>
        <w:keepLines w:val="0"/>
        <w:widowControl w:val="0"/>
        <w:numPr>
          <w:ilvl w:val="0"/>
          <w:numId w:val="6"/>
        </w:numPr>
        <w:suppressLineNumbers w:val="0"/>
        <w:adjustRightInd w:val="0"/>
        <w:spacing w:before="100" w:beforeAutospacing="1" w:after="0" w:afterAutospacing="0" w:line="360" w:lineRule="auto"/>
        <w:ind w:left="90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国家卫健委《医院信息系统基本功能规范》；</w:t>
      </w:r>
    </w:p>
    <w:p w14:paraId="1D95F551">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国家卫健委《健康档案基本架构与数据标准》；</w:t>
      </w:r>
    </w:p>
    <w:p w14:paraId="6CF5E06A">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国家卫健委《电子病历基本架构与数据标准》；</w:t>
      </w:r>
    </w:p>
    <w:p w14:paraId="617325A8">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国家卫健委《基于电子病历的医院信息平台建设技术解决方案》；</w:t>
      </w:r>
    </w:p>
    <w:p w14:paraId="1A122560">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《基于电子病历的医院信息平台技术规范》（WS/T447-2014）；</w:t>
      </w:r>
    </w:p>
    <w:p w14:paraId="11B65945">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国家卫健委《医院管理评价指南（试行）》；</w:t>
      </w:r>
    </w:p>
    <w:p w14:paraId="133A5D3C">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国家卫健委《卫生系统电子认证服务体系系列规范》；</w:t>
      </w:r>
    </w:p>
    <w:p w14:paraId="3A0943B3">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国家卫健委《全国医院信息化建设标准与规范（试行）》。</w:t>
      </w:r>
    </w:p>
    <w:p w14:paraId="4115F198">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《2024年国家医疗质量安全改进目标》</w:t>
      </w:r>
    </w:p>
    <w:p w14:paraId="185D564A">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《2023年国家医疗质量安全改进目标》</w:t>
      </w:r>
    </w:p>
    <w:p w14:paraId="3C6A2554">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《2022年国家医疗质量安全改进目标》</w:t>
      </w:r>
    </w:p>
    <w:p w14:paraId="0E693385">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《2021年国家医疗质量安全改进目标》</w:t>
      </w:r>
    </w:p>
    <w:p w14:paraId="4CD81DF2">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《肿瘤患者静脉血栓防治指南2020》</w:t>
      </w:r>
    </w:p>
    <w:p w14:paraId="6C09E03E">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《肿瘤相关静脉血栓栓塞症预防与治疗指南（2019 版）》</w:t>
      </w:r>
    </w:p>
    <w:p w14:paraId="3CE82F26">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《VTE防治质量评价与管理建议》2021试行版</w:t>
      </w:r>
    </w:p>
    <w:p w14:paraId="7696B935">
      <w:pPr>
        <w:pStyle w:val="58"/>
        <w:widowControl/>
        <w:numPr>
          <w:ilvl w:val="0"/>
          <w:numId w:val="7"/>
        </w:numPr>
        <w:spacing w:line="360" w:lineRule="auto"/>
        <w:ind w:left="90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肺血栓栓塞症诊治与预防指南 (2018)</w:t>
      </w:r>
      <w:r>
        <w:rPr>
          <w:rFonts w:hint="eastAsia" w:ascii="宋体" w:hAnsi="宋体" w:eastAsia="宋体" w:cs="宋体"/>
          <w:color w:val="auto"/>
          <w:kern w:val="2"/>
          <w:sz w:val="24"/>
          <w:szCs w:val="24"/>
          <w:highlight w:val="none"/>
          <w:lang w:eastAsia="zh-CN"/>
        </w:rPr>
        <w:t>》</w:t>
      </w:r>
    </w:p>
    <w:p w14:paraId="7F8F9CB1">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6CEB624">
      <w:pPr>
        <w:pStyle w:val="5"/>
        <w:widowControl/>
        <w:numPr>
          <w:ilvl w:val="0"/>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系统软件模块要求</w:t>
      </w:r>
    </w:p>
    <w:tbl>
      <w:tblPr>
        <w:tblStyle w:val="27"/>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3862"/>
        <w:gridCol w:w="1227"/>
        <w:gridCol w:w="1227"/>
      </w:tblGrid>
      <w:tr w14:paraId="6174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tcBorders>
              <w:top w:val="single" w:color="auto" w:sz="4" w:space="0"/>
              <w:left w:val="single" w:color="auto" w:sz="4" w:space="0"/>
              <w:bottom w:val="single" w:color="auto" w:sz="4" w:space="0"/>
              <w:right w:val="single" w:color="auto" w:sz="4" w:space="0"/>
            </w:tcBorders>
            <w:noWrap/>
            <w:vAlign w:val="center"/>
          </w:tcPr>
          <w:p w14:paraId="02F489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系统名称</w:t>
            </w:r>
          </w:p>
        </w:tc>
        <w:tc>
          <w:tcPr>
            <w:tcW w:w="3862" w:type="dxa"/>
            <w:tcBorders>
              <w:top w:val="single" w:color="auto" w:sz="4" w:space="0"/>
              <w:left w:val="single" w:color="auto" w:sz="4" w:space="0"/>
              <w:bottom w:val="single" w:color="auto" w:sz="4" w:space="0"/>
              <w:right w:val="single" w:color="auto" w:sz="4" w:space="0"/>
            </w:tcBorders>
            <w:noWrap/>
            <w:vAlign w:val="center"/>
          </w:tcPr>
          <w:p w14:paraId="0B60422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模块名称</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379CA60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数量</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732B4D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单位</w:t>
            </w:r>
          </w:p>
        </w:tc>
      </w:tr>
      <w:tr w14:paraId="0C31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restart"/>
            <w:tcBorders>
              <w:top w:val="nil"/>
              <w:left w:val="single" w:color="auto" w:sz="4" w:space="0"/>
              <w:right w:val="single" w:color="auto" w:sz="4" w:space="0"/>
            </w:tcBorders>
            <w:noWrap/>
            <w:vAlign w:val="center"/>
          </w:tcPr>
          <w:p w14:paraId="6BBF7D9B">
            <w:pPr>
              <w:pStyle w:val="25"/>
              <w:keepNext w:val="0"/>
              <w:keepLines w:val="0"/>
              <w:widowControl/>
              <w:suppressLineNumbers w:val="0"/>
              <w:spacing w:line="360" w:lineRule="auto"/>
              <w:ind w:left="0" w:leftChars="0" w:right="0"/>
              <w:rPr>
                <w:rFonts w:hint="eastAsia" w:ascii="宋体" w:hAnsi="宋体" w:eastAsia="宋体" w:cs="宋体"/>
                <w:b w:val="0"/>
                <w:bCs w:val="0"/>
                <w:color w:val="auto"/>
                <w:kern w:val="2"/>
                <w:sz w:val="24"/>
                <w:szCs w:val="24"/>
                <w:highlight w:val="none"/>
              </w:rPr>
            </w:pPr>
            <w:bookmarkStart w:id="114" w:name="_Toc25081"/>
            <w:r>
              <w:rPr>
                <w:rFonts w:hint="eastAsia" w:ascii="宋体" w:hAnsi="宋体" w:eastAsia="宋体" w:cs="宋体"/>
                <w:b w:val="0"/>
                <w:bCs w:val="0"/>
                <w:color w:val="auto"/>
                <w:kern w:val="2"/>
                <w:sz w:val="24"/>
                <w:szCs w:val="24"/>
                <w:highlight w:val="none"/>
              </w:rPr>
              <w:t>临床决策支持系统CDSS</w:t>
            </w:r>
            <w:bookmarkEnd w:id="114"/>
          </w:p>
          <w:p w14:paraId="740D0A58">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b w:val="0"/>
                <w:bCs w:val="0"/>
                <w:color w:val="auto"/>
                <w:kern w:val="0"/>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5ADC61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数据管理</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4B67B9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2174C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2FA3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741" w:type="dxa"/>
            <w:vMerge w:val="continue"/>
            <w:tcBorders>
              <w:left w:val="single" w:color="auto" w:sz="4" w:space="0"/>
              <w:right w:val="single" w:color="auto" w:sz="4" w:space="0"/>
            </w:tcBorders>
            <w:noWrap/>
            <w:vAlign w:val="center"/>
          </w:tcPr>
          <w:p w14:paraId="537C261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1DA4BB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知识库</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308819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7502BA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1CF7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left w:val="single" w:color="auto" w:sz="4" w:space="0"/>
              <w:right w:val="single" w:color="auto" w:sz="4" w:space="0"/>
            </w:tcBorders>
            <w:noWrap/>
            <w:vAlign w:val="center"/>
          </w:tcPr>
          <w:p w14:paraId="27522D8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020A0F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医院自建知识库</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27D57DF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1FB0DE1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3650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left w:val="single" w:color="auto" w:sz="4" w:space="0"/>
              <w:right w:val="single" w:color="auto" w:sz="4" w:space="0"/>
            </w:tcBorders>
            <w:noWrap/>
            <w:vAlign w:val="center"/>
          </w:tcPr>
          <w:p w14:paraId="1BB5153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483921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病房医生辅助系统</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7834B8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2B93DC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4752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left w:val="single" w:color="auto" w:sz="4" w:space="0"/>
              <w:right w:val="single" w:color="auto" w:sz="4" w:space="0"/>
            </w:tcBorders>
            <w:noWrap/>
            <w:vAlign w:val="center"/>
          </w:tcPr>
          <w:p w14:paraId="47046D9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4CB528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门诊医生辅助系统</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3CA87AE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0C3C92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657B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Merge w:val="continue"/>
            <w:tcBorders>
              <w:left w:val="single" w:color="auto" w:sz="4" w:space="0"/>
              <w:right w:val="single" w:color="auto" w:sz="4" w:space="0"/>
            </w:tcBorders>
            <w:noWrap/>
            <w:vAlign w:val="center"/>
          </w:tcPr>
          <w:p w14:paraId="7735388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7EAF0A9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CDSS统计平台</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300CCFA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ECAA2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4DB1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left w:val="single" w:color="auto" w:sz="4" w:space="0"/>
              <w:bottom w:val="single" w:color="auto" w:sz="4" w:space="0"/>
              <w:right w:val="single" w:color="auto" w:sz="4" w:space="0"/>
            </w:tcBorders>
            <w:noWrap/>
            <w:vAlign w:val="center"/>
          </w:tcPr>
          <w:p w14:paraId="1DD6B3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bookmarkStart w:id="115" w:name="_Toc26130"/>
          </w:p>
        </w:tc>
        <w:tc>
          <w:tcPr>
            <w:tcW w:w="3862" w:type="dxa"/>
            <w:tcBorders>
              <w:top w:val="single" w:color="auto" w:sz="4" w:space="0"/>
              <w:left w:val="single" w:color="auto" w:sz="4" w:space="0"/>
              <w:bottom w:val="single" w:color="auto" w:sz="4" w:space="0"/>
              <w:right w:val="single" w:color="auto" w:sz="4" w:space="0"/>
            </w:tcBorders>
            <w:noWrap/>
            <w:vAlign w:val="center"/>
          </w:tcPr>
          <w:p w14:paraId="4F598BA2">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VTE智能防治</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C953521">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BD81EC">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套</w:t>
            </w:r>
          </w:p>
        </w:tc>
      </w:tr>
      <w:tr w14:paraId="7670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restart"/>
            <w:tcBorders>
              <w:top w:val="nil"/>
              <w:left w:val="single" w:color="auto" w:sz="4" w:space="0"/>
              <w:bottom w:val="single" w:color="auto" w:sz="4" w:space="0"/>
              <w:right w:val="single" w:color="auto" w:sz="4" w:space="0"/>
            </w:tcBorders>
            <w:noWrap/>
            <w:vAlign w:val="center"/>
          </w:tcPr>
          <w:p w14:paraId="47ABA01F">
            <w:pPr>
              <w:pStyle w:val="25"/>
              <w:keepNext w:val="0"/>
              <w:keepLines w:val="0"/>
              <w:widowControl/>
              <w:suppressLineNumbers w:val="0"/>
              <w:spacing w:line="360" w:lineRule="auto"/>
              <w:ind w:left="0" w:leftChars="0" w:right="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病案首页质量控制系统</w:t>
            </w:r>
            <w:bookmarkEnd w:id="115"/>
          </w:p>
          <w:p w14:paraId="193757CE">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b w:val="0"/>
                <w:bCs w:val="0"/>
                <w:color w:val="auto"/>
                <w:kern w:val="0"/>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0BAC125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病案首页形式质控</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3BDDFC9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731B0E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78C8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6BDCA8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2BBB78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病案首页内涵实时质控</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367822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3B0401F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40CD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670CDE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1F472C5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病案首页360视图浏览</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13F361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149729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1143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08AFAF6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00A0F91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病案事前提醒</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0F9BF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49C355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00BA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3AA4E3C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048FFF3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病案事中质控</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787EAB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230319E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3249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38E5E4B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639AA63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病案事后质控</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464D689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42105E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4DFD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1CD1EC5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0E3A78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病案首页质控规则维护</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09AE4EC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CFA8D4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0A57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4B9CAD8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6A26C9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360维度病案首页数据质量管理和分析</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248728B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7DAE47E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519F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59195C6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641FBA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编码质控</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693EB5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0B3AFC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r w14:paraId="44D1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1" w:type="dxa"/>
            <w:vMerge w:val="continue"/>
            <w:tcBorders>
              <w:top w:val="nil"/>
              <w:left w:val="single" w:color="auto" w:sz="4" w:space="0"/>
              <w:bottom w:val="single" w:color="auto" w:sz="4" w:space="0"/>
              <w:right w:val="single" w:color="auto" w:sz="4" w:space="0"/>
            </w:tcBorders>
            <w:noWrap/>
            <w:vAlign w:val="center"/>
          </w:tcPr>
          <w:p w14:paraId="0E57CF9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862" w:type="dxa"/>
            <w:tcBorders>
              <w:top w:val="single" w:color="auto" w:sz="4" w:space="0"/>
              <w:left w:val="single" w:color="auto" w:sz="4" w:space="0"/>
              <w:bottom w:val="single" w:color="auto" w:sz="4" w:space="0"/>
              <w:right w:val="single" w:color="auto" w:sz="4" w:space="0"/>
            </w:tcBorders>
            <w:noWrap/>
            <w:vAlign w:val="center"/>
          </w:tcPr>
          <w:p w14:paraId="395A384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权限配置</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290304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1227" w:type="dxa"/>
            <w:tcBorders>
              <w:top w:val="single" w:color="auto" w:sz="4" w:space="0"/>
              <w:left w:val="single" w:color="auto" w:sz="4" w:space="0"/>
              <w:bottom w:val="single" w:color="auto" w:sz="4" w:space="0"/>
              <w:right w:val="single" w:color="auto" w:sz="4" w:space="0"/>
            </w:tcBorders>
            <w:noWrap w:val="0"/>
            <w:vAlign w:val="top"/>
          </w:tcPr>
          <w:p w14:paraId="5A7A20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套</w:t>
            </w:r>
          </w:p>
        </w:tc>
      </w:tr>
    </w:tbl>
    <w:p w14:paraId="06A9F6CD">
      <w:pPr>
        <w:pStyle w:val="5"/>
        <w:widowControl/>
        <w:numPr>
          <w:ilvl w:val="0"/>
          <w:numId w:val="5"/>
        </w:numPr>
        <w:adjustRightInd w:val="0"/>
        <w:spacing w:before="78" w:beforeLines="25" w:beforeAutospacing="0" w:after="78" w:afterLines="25" w:afterAutospacing="0" w:line="360" w:lineRule="auto"/>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系统软件功能要求</w:t>
      </w:r>
    </w:p>
    <w:p w14:paraId="3C06423D">
      <w:pPr>
        <w:pStyle w:val="25"/>
        <w:keepNext w:val="0"/>
        <w:keepLines w:val="0"/>
        <w:widowControl w:val="0"/>
        <w:suppressLineNumbers w:val="0"/>
        <w:spacing w:before="100" w:beforeAutospacing="1" w:after="0" w:afterAutospacing="0" w:line="360" w:lineRule="auto"/>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注： 带“</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2"/>
          <w:sz w:val="24"/>
          <w:szCs w:val="24"/>
          <w:highlight w:val="none"/>
          <w:lang w:val="en-US" w:eastAsia="zh-CN" w:bidi="ar"/>
        </w:rPr>
        <w:t>”部分，必须提供真实应用系统的功能演示</w:t>
      </w:r>
      <w:r>
        <w:rPr>
          <w:rFonts w:hint="eastAsia" w:eastAsia="宋体" w:cs="宋体"/>
          <w:b/>
          <w:bCs/>
          <w:color w:val="auto"/>
          <w:kern w:val="2"/>
          <w:sz w:val="24"/>
          <w:szCs w:val="24"/>
          <w:highlight w:val="none"/>
          <w:lang w:val="en-US" w:eastAsia="zh-CN" w:bidi="ar"/>
        </w:rPr>
        <w:t>视频</w:t>
      </w:r>
      <w:r>
        <w:rPr>
          <w:rFonts w:hint="eastAsia" w:ascii="宋体" w:hAnsi="宋体" w:eastAsia="宋体" w:cs="宋体"/>
          <w:b/>
          <w:bCs/>
          <w:color w:val="auto"/>
          <w:kern w:val="2"/>
          <w:sz w:val="24"/>
          <w:szCs w:val="24"/>
          <w:highlight w:val="none"/>
          <w:lang w:val="en-US" w:eastAsia="zh-CN" w:bidi="ar"/>
        </w:rPr>
        <w:t>不接受PPT、原型等演示方式），否则不得分。</w:t>
      </w:r>
    </w:p>
    <w:p w14:paraId="59971D94">
      <w:pPr>
        <w:pStyle w:val="6"/>
        <w:widowControl/>
        <w:numPr>
          <w:ilvl w:val="1"/>
          <w:numId w:val="5"/>
        </w:numPr>
        <w:spacing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临床决策支持系统CDSS</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392"/>
        <w:gridCol w:w="6260"/>
      </w:tblGrid>
      <w:tr w14:paraId="389C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14:paraId="17F5131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系统名称</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1502E89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系统功能</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30DC9F6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功能描述及要求</w:t>
            </w:r>
          </w:p>
        </w:tc>
      </w:tr>
      <w:tr w14:paraId="0251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bottom w:val="single" w:color="auto" w:sz="4" w:space="0"/>
              <w:right w:val="single" w:color="auto" w:sz="4" w:space="0"/>
            </w:tcBorders>
            <w:noWrap w:val="0"/>
            <w:vAlign w:val="center"/>
          </w:tcPr>
          <w:p w14:paraId="7061DCB3">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数据管理</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64B0BD6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前端数据采集</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EADB0D5">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与电子病历、HIS系统进行前端功能接口对接，支持各类主流开发框架及开发语言，对接方式支持：客户端、dll、jssdk等，实现功能实时触发，数据实时采集。</w:t>
            </w:r>
          </w:p>
        </w:tc>
      </w:tr>
      <w:tr w14:paraId="3D03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F3953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6F40696F">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后端数据采集</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BC2E8D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1.提供各数据采集集成方式，原始数据视图接口，集成平台接口，数据中心接口。</w:t>
            </w:r>
          </w:p>
          <w:p w14:paraId="769C3E1C">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2.提供数据采集数据源配置，支持mysql、SQLServer、Oracle、Cache等多种数据库接入；</w:t>
            </w:r>
          </w:p>
          <w:p w14:paraId="0143E0D7">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3.支持ETL方式对采集数据进行转换和抽取；</w:t>
            </w:r>
          </w:p>
          <w:p w14:paraId="121869D2">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4.支持增量数据采集：支持采用定时任务的采集方式增量数据采集与汇集采集临床数据，且不影响业务系统；</w:t>
            </w:r>
          </w:p>
          <w:p w14:paraId="5E19A1D1">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5.支持实时数据的采集：支持使用数据实时采集方式采集数据，对业务系统数据库性能无影响；支持数据集成过程监控与管理。</w:t>
            </w:r>
          </w:p>
          <w:p w14:paraId="50B94E10">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6.支持多种采集任务的时间配置，通过对任务时间的配置，实现定时任务自由配置的效果。</w:t>
            </w:r>
          </w:p>
        </w:tc>
      </w:tr>
      <w:tr w14:paraId="359A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5E973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93EF6BA">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0"/>
                <w:kern w:val="2"/>
                <w:sz w:val="24"/>
                <w:szCs w:val="24"/>
                <w:highlight w:val="none"/>
                <w:lang w:val="en-US" w:eastAsia="zh-CN" w:bidi="ar"/>
              </w:rPr>
              <w:t>数据质量管理</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DD06BE5">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产品效果依赖基础数据质量监控，至少包含以下业务：</w:t>
            </w:r>
          </w:p>
          <w:p w14:paraId="258A4A2E">
            <w:pPr>
              <w:pStyle w:val="25"/>
              <w:keepNext w:val="0"/>
              <w:keepLines w:val="0"/>
              <w:widowControl w:val="0"/>
              <w:numPr>
                <w:ilvl w:val="0"/>
                <w:numId w:val="8"/>
              </w:numPr>
              <w:suppressLineNumbers w:val="0"/>
              <w:kinsoku w:val="0"/>
              <w:overflowPunct w:val="0"/>
              <w:spacing w:before="0" w:beforeAutospacing="0" w:after="0" w:afterAutospacing="0" w:line="360" w:lineRule="auto"/>
              <w:ind w:left="425" w:right="0" w:firstLine="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自动对病房医师、门诊医师、检查科室、检验处理等业务项目自动进行数据质量评分</w:t>
            </w:r>
          </w:p>
          <w:p w14:paraId="08C0E963">
            <w:pPr>
              <w:pStyle w:val="25"/>
              <w:keepNext w:val="0"/>
              <w:keepLines w:val="0"/>
              <w:widowControl w:val="0"/>
              <w:numPr>
                <w:ilvl w:val="0"/>
                <w:numId w:val="8"/>
              </w:numPr>
              <w:suppressLineNumbers w:val="0"/>
              <w:kinsoku w:val="0"/>
              <w:overflowPunct w:val="0"/>
              <w:spacing w:before="0" w:beforeAutospacing="0" w:after="0" w:afterAutospacing="0" w:line="360" w:lineRule="auto"/>
              <w:ind w:left="425" w:right="0" w:firstLine="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针对病房医师，纳入数据质量监控的业务项目至少包含：医嘱处理、检验报告、检验申请、检查报告、检查申请、病历记录。针对检查科室，纳入数据质量监控的业务项目至少包含：申请与预约、检查记录、检查报告。</w:t>
            </w:r>
          </w:p>
          <w:p w14:paraId="5A384E00">
            <w:pPr>
              <w:pStyle w:val="25"/>
              <w:keepNext w:val="0"/>
              <w:keepLines w:val="0"/>
              <w:widowControl w:val="0"/>
              <w:numPr>
                <w:ilvl w:val="0"/>
                <w:numId w:val="8"/>
              </w:numPr>
              <w:suppressLineNumbers w:val="0"/>
              <w:kinsoku w:val="0"/>
              <w:overflowPunct w:val="0"/>
              <w:spacing w:before="0" w:beforeAutospacing="0" w:after="0" w:afterAutospacing="0" w:line="360" w:lineRule="auto"/>
              <w:ind w:left="425" w:right="0" w:firstLine="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对各个业务数据的编码对照率、字段有值率、字段关联率、时间顺序正确率进行自动统计并支持对于缺陷数据下钻至记录明细，记录明细至少包含：角色、业务项目、评价标准、评价项目、未通过记录ID、患者标识。</w:t>
            </w:r>
          </w:p>
          <w:p w14:paraId="0DFD5AB6">
            <w:pPr>
              <w:pStyle w:val="25"/>
              <w:keepNext w:val="0"/>
              <w:keepLines w:val="0"/>
              <w:widowControl w:val="0"/>
              <w:numPr>
                <w:ilvl w:val="0"/>
                <w:numId w:val="8"/>
              </w:numPr>
              <w:suppressLineNumbers w:val="0"/>
              <w:kinsoku w:val="0"/>
              <w:overflowPunct w:val="0"/>
              <w:spacing w:before="0" w:beforeAutospacing="0" w:after="0" w:afterAutospacing="0" w:line="360" w:lineRule="auto"/>
              <w:ind w:left="425" w:right="0" w:firstLine="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可直接查看任意评价项目的sql配置。</w:t>
            </w:r>
          </w:p>
        </w:tc>
      </w:tr>
      <w:tr w14:paraId="5C98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5246A8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3E6023A">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自然语言处理</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0CFABFE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可对各类非结构化医疗文书进行实时后结构化处理，如对于整段文本形式的出院记录可进行实时智能分析，至少包括：</w:t>
            </w:r>
          </w:p>
          <w:p w14:paraId="747CAE3D">
            <w:pPr>
              <w:keepNext w:val="0"/>
              <w:keepLines w:val="0"/>
              <w:widowControl w:val="0"/>
              <w:numPr>
                <w:ilvl w:val="0"/>
                <w:numId w:val="9"/>
              </w:numPr>
              <w:suppressLineNumbers w:val="0"/>
              <w:spacing w:before="0" w:beforeAutospacing="0" w:after="0" w:afterAutospacing="0" w:line="360" w:lineRule="auto"/>
              <w:ind w:left="21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自动分段、分句：自动解析出入院日期、出院日期、入院情况、入院诊断、诊疗经过、出院情况、出院诊断、出院医嘱。并将每段文本中的句子进行自动分段。</w:t>
            </w:r>
          </w:p>
          <w:p w14:paraId="15CF17C0">
            <w:pPr>
              <w:pStyle w:val="25"/>
              <w:keepNext w:val="0"/>
              <w:keepLines w:val="0"/>
              <w:widowControl w:val="0"/>
              <w:numPr>
                <w:ilvl w:val="0"/>
                <w:numId w:val="9"/>
              </w:numPr>
              <w:suppressLineNumbers w:val="0"/>
              <w:kinsoku w:val="0"/>
              <w:overflowPunct w:val="0"/>
              <w:spacing w:before="0" w:beforeAutospacing="0" w:after="0" w:afterAutospacing="0" w:line="360" w:lineRule="auto"/>
              <w:ind w:left="21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自动分词：自动对每句文本中的医学实体进行正确识别。</w:t>
            </w:r>
          </w:p>
        </w:tc>
      </w:tr>
      <w:tr w14:paraId="279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BB7F41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4D579A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后结构化数据服务</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273E050">
            <w:pPr>
              <w:keepNext w:val="0"/>
              <w:keepLines w:val="0"/>
              <w:widowControl w:val="0"/>
              <w:numPr>
                <w:ilvl w:val="0"/>
                <w:numId w:val="10"/>
              </w:numPr>
              <w:suppressLineNumbers w:val="0"/>
              <w:spacing w:before="0" w:beforeAutospacing="0" w:after="0" w:afterAutospacing="0" w:line="360" w:lineRule="auto"/>
              <w:ind w:left="21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实体关联：对于不同实体之间的关系进行正确关联，如：对于肿瘤TNM分期可识别并与临床诊断进行关联。</w:t>
            </w:r>
          </w:p>
          <w:p w14:paraId="2C4A2FE8">
            <w:pPr>
              <w:keepNext w:val="0"/>
              <w:keepLines w:val="0"/>
              <w:widowControl w:val="0"/>
              <w:numPr>
                <w:ilvl w:val="0"/>
                <w:numId w:val="10"/>
              </w:numPr>
              <w:suppressLineNumbers w:val="0"/>
              <w:spacing w:before="0" w:beforeAutospacing="0" w:after="0" w:afterAutospacing="0" w:line="360" w:lineRule="auto"/>
              <w:ind w:left="21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实体抽取：以数据库视图形式展示抽取的实体类型及值。</w:t>
            </w:r>
          </w:p>
          <w:p w14:paraId="0DDF0DB1">
            <w:pPr>
              <w:keepNext w:val="0"/>
              <w:keepLines w:val="0"/>
              <w:widowControl w:val="0"/>
              <w:suppressLineNumbers w:val="0"/>
              <w:spacing w:before="0" w:beforeAutospacing="0" w:after="0" w:afterAutospacing="0" w:line="360" w:lineRule="auto"/>
              <w:ind w:left="21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2"/>
                <w:sz w:val="24"/>
                <w:szCs w:val="24"/>
                <w:highlight w:val="none"/>
                <w:lang w:val="en-US" w:eastAsia="zh-CN" w:bidi="ar"/>
              </w:rPr>
              <w:t>3. API视图：支持以RESTful API接口方式调用自然语言处理引擎并返回相应识别结果。</w:t>
            </w:r>
          </w:p>
        </w:tc>
      </w:tr>
      <w:tr w14:paraId="337B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bottom w:val="single" w:color="auto" w:sz="4" w:space="0"/>
              <w:right w:val="single" w:color="auto" w:sz="4" w:space="0"/>
            </w:tcBorders>
            <w:noWrap w:val="0"/>
            <w:vAlign w:val="center"/>
          </w:tcPr>
          <w:p w14:paraId="0D634D7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知识库</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10705D5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知识库检索</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50E174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支持通过多种方式（关键字、标题首字母）检索知识库内容，涉及疾病知识、检验检查知识、评估表、药品说明书等</w:t>
            </w:r>
            <w:r>
              <w:rPr>
                <w:rFonts w:hint="eastAsia" w:ascii="宋体" w:hAnsi="宋体" w:eastAsia="宋体" w:cs="宋体"/>
                <w:color w:val="auto"/>
                <w:kern w:val="2"/>
                <w:sz w:val="24"/>
                <w:szCs w:val="24"/>
                <w:highlight w:val="none"/>
                <w:lang w:val="en-US" w:eastAsia="zh-CN" w:bidi="ar"/>
              </w:rPr>
              <w:t>知识内容。</w:t>
            </w:r>
          </w:p>
        </w:tc>
      </w:tr>
      <w:tr w14:paraId="054D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15A513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5351CCFF">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疾病详情</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48DD9D8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疾病知识库能够提供3200种疾病的详细知识内容，应包含疾病定义、病因、病理、临床表现、检查、并发症、诊断、鉴别诊断、治疗、预防的详细知识库内容，为医生的继续学习提供了丰富的素材。</w:t>
            </w:r>
          </w:p>
        </w:tc>
      </w:tr>
      <w:tr w14:paraId="6189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FA1F57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5045E3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处置建议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00BAF2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知识库能够提供900余种疾病的处置建议，其中内容应包含：治疗原则、非药物治疗、合并症治疗的三项内容。</w:t>
            </w:r>
          </w:p>
        </w:tc>
      </w:tr>
      <w:tr w14:paraId="0497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E2AECA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1D4A58C">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用药建议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42C652C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知识库能够提供800余种疾病的用药建议，应</w:t>
            </w:r>
            <w:r>
              <w:rPr>
                <w:rFonts w:hint="eastAsia" w:ascii="宋体" w:hAnsi="宋体" w:eastAsia="宋体" w:cs="宋体"/>
                <w:color w:val="auto"/>
                <w:spacing w:val="2"/>
                <w:kern w:val="2"/>
                <w:sz w:val="24"/>
                <w:szCs w:val="24"/>
                <w:highlight w:val="none"/>
                <w:lang w:val="en-US" w:eastAsia="zh-CN" w:bidi="ar"/>
              </w:rPr>
              <w:t>包含</w:t>
            </w:r>
            <w:r>
              <w:rPr>
                <w:rFonts w:hint="eastAsia" w:ascii="宋体" w:hAnsi="宋体" w:eastAsia="宋体" w:cs="宋体"/>
                <w:color w:val="auto"/>
                <w:spacing w:val="0"/>
                <w:kern w:val="2"/>
                <w:sz w:val="24"/>
                <w:szCs w:val="24"/>
                <w:highlight w:val="none"/>
                <w:lang w:val="en-US" w:eastAsia="zh-CN" w:bidi="ar"/>
              </w:rPr>
              <w:t>疾病分型以及不同分型</w:t>
            </w:r>
            <w:r>
              <w:rPr>
                <w:rFonts w:hint="eastAsia" w:ascii="宋体" w:hAnsi="宋体" w:eastAsia="宋体" w:cs="宋体"/>
                <w:color w:val="auto"/>
                <w:spacing w:val="2"/>
                <w:kern w:val="2"/>
                <w:sz w:val="24"/>
                <w:szCs w:val="24"/>
                <w:highlight w:val="none"/>
                <w:lang w:val="en-US" w:eastAsia="zh-CN" w:bidi="ar"/>
              </w:rPr>
              <w:t>详细的药物治疗建议</w:t>
            </w:r>
            <w:r>
              <w:rPr>
                <w:rFonts w:hint="eastAsia" w:ascii="宋体" w:hAnsi="宋体" w:eastAsia="宋体" w:cs="宋体"/>
                <w:color w:val="auto"/>
                <w:kern w:val="2"/>
                <w:sz w:val="24"/>
                <w:szCs w:val="24"/>
                <w:highlight w:val="none"/>
                <w:lang w:val="en-US" w:eastAsia="zh-CN" w:bidi="ar"/>
              </w:rPr>
              <w:t>。</w:t>
            </w:r>
          </w:p>
        </w:tc>
      </w:tr>
      <w:tr w14:paraId="6A8E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767D4B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4D9AB4C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检查建议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0FBDA0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知识库能够提供800余种</w:t>
            </w:r>
            <w:r>
              <w:rPr>
                <w:rFonts w:hint="eastAsia" w:ascii="宋体" w:hAnsi="宋体" w:eastAsia="宋体" w:cs="宋体"/>
                <w:color w:val="auto"/>
                <w:spacing w:val="2"/>
                <w:kern w:val="2"/>
                <w:sz w:val="24"/>
                <w:szCs w:val="24"/>
                <w:highlight w:val="none"/>
                <w:lang w:val="en-US" w:eastAsia="zh-CN" w:bidi="ar"/>
              </w:rPr>
              <w:t>疾病的检查建议，应包含疾病相关的实验室检查、影像学检查、病原学检查的详细知识内容。</w:t>
            </w:r>
          </w:p>
        </w:tc>
      </w:tr>
      <w:tr w14:paraId="6B22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5B671C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6CC4ECB4">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患者指</w:t>
            </w:r>
            <w:r>
              <w:rPr>
                <w:rFonts w:hint="eastAsia" w:ascii="宋体" w:hAnsi="宋体" w:eastAsia="宋体" w:cs="宋体"/>
                <w:color w:val="auto"/>
                <w:kern w:val="2"/>
                <w:sz w:val="24"/>
                <w:szCs w:val="24"/>
                <w:highlight w:val="none"/>
                <w:lang w:val="en-US" w:eastAsia="zh-CN" w:bidi="ar"/>
              </w:rPr>
              <w:t>导</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7DA495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知识库能够提供700余种</w:t>
            </w:r>
            <w:r>
              <w:rPr>
                <w:rFonts w:hint="eastAsia" w:ascii="宋体" w:hAnsi="宋体" w:eastAsia="宋体" w:cs="宋体"/>
                <w:color w:val="auto"/>
                <w:spacing w:val="2"/>
                <w:kern w:val="2"/>
                <w:sz w:val="24"/>
                <w:szCs w:val="24"/>
                <w:highlight w:val="none"/>
                <w:lang w:val="en-US" w:eastAsia="zh-CN" w:bidi="ar"/>
              </w:rPr>
              <w:t>疾病相关的患者出院指导说明。</w:t>
            </w:r>
          </w:p>
        </w:tc>
      </w:tr>
      <w:tr w14:paraId="7C25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DDEE41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5CC3AE53">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诊断依据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436AF63F">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b w:val="0"/>
                <w:bCs w:val="0"/>
                <w:color w:val="auto"/>
                <w:spacing w:val="0"/>
                <w:kern w:val="2"/>
                <w:sz w:val="24"/>
                <w:szCs w:val="24"/>
                <w:highlight w:val="none"/>
                <w:lang w:val="en-US" w:eastAsia="zh-CN" w:bidi="ar"/>
              </w:rPr>
              <w:t>知识库能提供900余种疾病的诊断依据，供医生查看。</w:t>
            </w:r>
          </w:p>
        </w:tc>
      </w:tr>
      <w:tr w14:paraId="51B3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8C112C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6CFC26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检验/检查</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E5F85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知识库能够提供1200多条检验/检查项目说明。检验项目说明涵盖检验项目定义、合理参考范围和临床意义等内容；检查项目说明涵盖检查项目定义、检查适用范围以及影像学结果说明等内容。</w:t>
            </w:r>
          </w:p>
        </w:tc>
      </w:tr>
      <w:tr w14:paraId="4D8F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410809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5C5330C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药品说明书</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5B26A9F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知识库能够提供10000多篇药品说明书。</w:t>
            </w:r>
          </w:p>
        </w:tc>
      </w:tr>
      <w:tr w14:paraId="0113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88B046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F516A4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评估表及医学计算公式</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66E5888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知识库至少能够提供1000张临床常见评估表，支持根据不同勾选项，得出不同的的分值和评估结论。</w:t>
            </w:r>
          </w:p>
          <w:p w14:paraId="3E15A0E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支持评估表打印预览、打印、以PDF格式下载到本地。</w:t>
            </w:r>
          </w:p>
          <w:p w14:paraId="01A9805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支持在同一个界面中查看该患者的所有历史评估记录。支持点击历史评估结论立即调取评估表详情，支持修改评估结果、重新评估、对历史评估记录进行作废处理。</w:t>
            </w:r>
          </w:p>
        </w:tc>
      </w:tr>
      <w:tr w14:paraId="2576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1C38D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6E3AB06A">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0"/>
                <w:kern w:val="2"/>
                <w:sz w:val="24"/>
                <w:szCs w:val="24"/>
                <w:highlight w:val="none"/>
                <w:lang w:val="en-US" w:eastAsia="zh-CN" w:bidi="ar"/>
              </w:rPr>
              <w:t>手术知识库</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3F0912B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（1）知识库提供手术操作相关知识，供医生在电子病历界面同屏查看，例如“移植肾切除术”包含手术编码、适应症、术前准备、手术步骤、术后处理、手术意外的预防与处理等内容。</w:t>
            </w:r>
          </w:p>
          <w:p w14:paraId="68C28B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（2）知识内容标注来源出处。</w:t>
            </w:r>
          </w:p>
        </w:tc>
      </w:tr>
      <w:tr w14:paraId="5D2A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B05F8D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1A0FA8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pacing w:val="0"/>
                <w:kern w:val="2"/>
                <w:sz w:val="24"/>
                <w:szCs w:val="24"/>
                <w:highlight w:val="none"/>
                <w:lang w:val="en-US" w:eastAsia="zh-CN" w:bidi="ar"/>
              </w:rPr>
              <w:t>护理知识库</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4976DD8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spacing w:val="0"/>
                <w:kern w:val="2"/>
                <w:sz w:val="24"/>
                <w:szCs w:val="24"/>
                <w:highlight w:val="none"/>
                <w:lang w:val="en-US" w:eastAsia="zh-CN" w:bidi="ar"/>
              </w:rPr>
              <w:t>护理知识库能够提供护理、治疗相关知识,包含操作前准备、操作程序及方法、适应症、禁忌症、注意事项、患者健康指导、护理措施等，为医护人员继续学习提供丰富的素材。</w:t>
            </w:r>
          </w:p>
        </w:tc>
      </w:tr>
      <w:tr w14:paraId="7C1E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06" w:type="pct"/>
            <w:vMerge w:val="restart"/>
            <w:tcBorders>
              <w:top w:val="nil"/>
              <w:left w:val="single" w:color="auto" w:sz="4" w:space="0"/>
              <w:bottom w:val="single" w:color="auto" w:sz="4" w:space="0"/>
              <w:right w:val="single" w:color="auto" w:sz="4" w:space="0"/>
            </w:tcBorders>
            <w:noWrap w:val="0"/>
            <w:vAlign w:val="center"/>
          </w:tcPr>
          <w:p w14:paraId="40BDCC0B">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医院自建知识库</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11708BA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知识应用</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4A041EA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支持医院自行对知识内容进行配置，提供与His、电子病历等应用系统对接，并支持提醒与警示功能。</w:t>
            </w:r>
          </w:p>
          <w:p w14:paraId="0B0BABF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2"/>
                <w:sz w:val="24"/>
                <w:szCs w:val="24"/>
                <w:highlight w:val="none"/>
                <w:lang w:val="en-US" w:eastAsia="zh-CN" w:bidi="ar"/>
              </w:rPr>
              <w:t>支持决策类知识的维护，可根据医院自身、临床专科的特点对知识库进行补充、完善。</w:t>
            </w:r>
          </w:p>
        </w:tc>
      </w:tr>
      <w:tr w14:paraId="1B8C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4A0E1E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7A35EC3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字典对照</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5F63C56">
            <w:pPr>
              <w:pStyle w:val="13"/>
              <w:widowControl/>
              <w:spacing w:line="360" w:lineRule="auto"/>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对于引入的外部知识库，支持完成外部知识与院内部项目的对照，支持医院字典与院内知识库字典进行对应，至少应包含：药品、检验检查、手术、诊断、药品频率、护理医嘱字典。支持区分医院门诊／急诊、住院字典分别对照。</w:t>
            </w:r>
          </w:p>
        </w:tc>
      </w:tr>
      <w:tr w14:paraId="535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07184C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E3F6829">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知识维护</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254971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支持医院自行知识维护，至少应包含：</w:t>
            </w:r>
          </w:p>
          <w:p w14:paraId="214EEA9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1.支持的知识类型：文献、评估表、疾病详情、患者指导、处置建议、用药建议、检查建议、药品说明书、出院指导、检验检查、护理说明、手术说明等内容的自行维护。</w:t>
            </w:r>
          </w:p>
          <w:p w14:paraId="402CBB4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2.可查看各类知识的日志，支持通过操作用户、操作类型、标题、操作时间等参数筛选日志记录。支持知识更新后进行即刻数据同步。</w:t>
            </w:r>
          </w:p>
          <w:p w14:paraId="7FED93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3.知识编辑：支持关联多个诊断，可标注关键词、文章摘要。可建立多级目录，对正文内容支持图文混合编辑。支持上传图片、PDF文档。支持备注多个知识来源。</w:t>
            </w:r>
          </w:p>
          <w:p w14:paraId="607E957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4.预览：支持对新编辑的知识内容进行效果预览。</w:t>
            </w:r>
          </w:p>
          <w:p w14:paraId="20EDCAA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5.知识管理：支持通过知识标题、关联检索、知识状态、知识来源、创建人、审核人、创建时间、操作时间进行知识检索。</w:t>
            </w:r>
          </w:p>
        </w:tc>
      </w:tr>
      <w:tr w14:paraId="0922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E7E290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B63D64F">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检验合理性规则</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7B51A44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i w:val="0"/>
                <w:caps w:val="0"/>
                <w:color w:val="auto"/>
                <w:spacing w:val="0"/>
                <w:kern w:val="2"/>
                <w:sz w:val="24"/>
                <w:szCs w:val="24"/>
                <w:highlight w:val="none"/>
              </w:rPr>
            </w:pPr>
            <w:r>
              <w:rPr>
                <w:rFonts w:hint="eastAsia" w:ascii="宋体" w:hAnsi="宋体" w:eastAsia="宋体" w:cs="宋体"/>
                <w:i w:val="0"/>
                <w:caps w:val="0"/>
                <w:color w:val="auto"/>
                <w:spacing w:val="0"/>
                <w:kern w:val="2"/>
                <w:sz w:val="24"/>
                <w:szCs w:val="24"/>
                <w:highlight w:val="none"/>
                <w:lang w:val="en-US" w:eastAsia="zh-CN" w:bidi="ar"/>
              </w:rPr>
              <w:t>支持医院维护与患者症状、临床表现、诊断、检查/检验结果、手术、性别、年龄等情况相关的检验合理性规则。</w:t>
            </w:r>
          </w:p>
          <w:p w14:paraId="38EE762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i w:val="0"/>
                <w:caps w:val="0"/>
                <w:color w:val="auto"/>
                <w:spacing w:val="0"/>
                <w:kern w:val="2"/>
                <w:sz w:val="24"/>
                <w:szCs w:val="24"/>
                <w:highlight w:val="none"/>
                <w:lang w:val="en-US" w:eastAsia="zh-CN" w:bidi="ar"/>
              </w:rPr>
              <w:t>并且支持维护同时符合以上多项患者临床诊疗情况下，在开具医嘱时进行合理性提醒的规则。例如：牙龈出血患者，开具粪便隐血试验(OB试验) 时，智能提醒： 牙龈出血患者咽下血液可引起OB试验阳性干扰粪便隐血试验结果判读，相对禁忌。</w:t>
            </w:r>
          </w:p>
        </w:tc>
      </w:tr>
      <w:tr w14:paraId="7928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143A20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A2037EA">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检查合理性规则</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81B5A7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i w:val="0"/>
                <w:caps w:val="0"/>
                <w:color w:val="auto"/>
                <w:spacing w:val="0"/>
                <w:kern w:val="2"/>
                <w:sz w:val="24"/>
                <w:szCs w:val="24"/>
                <w:highlight w:val="none"/>
              </w:rPr>
            </w:pPr>
            <w:r>
              <w:rPr>
                <w:rFonts w:hint="eastAsia" w:ascii="宋体" w:hAnsi="宋体" w:eastAsia="宋体" w:cs="宋体"/>
                <w:i w:val="0"/>
                <w:caps w:val="0"/>
                <w:color w:val="auto"/>
                <w:spacing w:val="0"/>
                <w:kern w:val="2"/>
                <w:sz w:val="24"/>
                <w:szCs w:val="24"/>
                <w:highlight w:val="none"/>
                <w:lang w:val="en-US" w:eastAsia="zh-CN" w:bidi="ar"/>
              </w:rPr>
              <w:t>支持医院维护与患者症状、临床表现、诊断、检查/检验结果、手术、性别、年龄相关的检查合理性规则。</w:t>
            </w:r>
          </w:p>
          <w:p w14:paraId="779769F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i w:val="0"/>
                <w:caps w:val="0"/>
                <w:color w:val="auto"/>
                <w:spacing w:val="0"/>
                <w:kern w:val="2"/>
                <w:sz w:val="24"/>
                <w:szCs w:val="24"/>
                <w:highlight w:val="none"/>
                <w:lang w:val="en-US" w:eastAsia="zh-CN" w:bidi="ar"/>
              </w:rPr>
              <w:t>支持维护同时符合以上多项患者临床诊疗情况下，在开具医嘱时进行合理性提醒的规则。例如：肥厚型梗阻性心肌病患者，开具心电图运动负荷试验时，如患者心率&gt;100次/分，智能提醒：心电图运动负荷试验相对禁忌快速性心律失常者。</w:t>
            </w:r>
          </w:p>
        </w:tc>
      </w:tr>
      <w:tr w14:paraId="52E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074AC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BDBA9EB">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手术合理性规则</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F733CD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0"/>
                <w:kern w:val="2"/>
                <w:sz w:val="24"/>
                <w:szCs w:val="24"/>
                <w:highlight w:val="none"/>
                <w:lang w:val="en-US" w:eastAsia="zh-CN" w:bidi="ar"/>
              </w:rPr>
              <w:t>支持自定义手术合理性规则。可对规则的提醒文案形式、禁忌级别、禁忌年龄区间、禁忌性别进行设置。规则的主要条件、否定条件可进行复杂设置即多条件可以“或”及“且”的形式进行复杂的逻辑设置，并通过规则同步、规则生效功能实时生效。条件的范围需覆盖：症状（如餐后腹痛）、体征（例如体温＞39℃）、诊断（例如胆石症）、检验检查结果（例如血钾＜3.8mmol/L）等。</w:t>
            </w:r>
          </w:p>
        </w:tc>
      </w:tr>
      <w:tr w14:paraId="2753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BE9383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E3C64ED">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b w:val="0"/>
                <w:bCs w:val="0"/>
                <w:color w:val="auto"/>
                <w:spacing w:val="0"/>
                <w:kern w:val="2"/>
                <w:sz w:val="24"/>
                <w:szCs w:val="24"/>
                <w:highlight w:val="none"/>
                <w:lang w:val="en-US" w:eastAsia="zh-CN" w:bidi="ar"/>
              </w:rPr>
              <w:t>用药合理性规则</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201B0F5">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b w:val="0"/>
                <w:bCs w:val="0"/>
                <w:color w:val="auto"/>
                <w:spacing w:val="0"/>
                <w:kern w:val="2"/>
                <w:sz w:val="24"/>
                <w:szCs w:val="24"/>
                <w:highlight w:val="none"/>
                <w:lang w:val="en-US" w:eastAsia="zh-CN" w:bidi="ar"/>
              </w:rPr>
              <w:t>支持医院自定义用药合理性规则。医院可根据医院用药字典，维护与患者症状、临床表现、诊断、检查/检验结果、手术、性别、年龄等相关的用药合理性规则。</w:t>
            </w:r>
          </w:p>
        </w:tc>
      </w:tr>
      <w:tr w14:paraId="60E7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CF63B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397AB70A">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caps w:val="0"/>
                <w:color w:val="auto"/>
                <w:spacing w:val="0"/>
                <w:kern w:val="0"/>
                <w:sz w:val="24"/>
                <w:szCs w:val="24"/>
                <w:highlight w:val="none"/>
                <w:lang w:val="en-US" w:eastAsia="zh-CN" w:bidi="ar"/>
              </w:rPr>
              <w:t>高风险治疗预警</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2F9BA69B">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支持医院自定义高风险治疗(透析、放疗)合理性规则，病房医师在医嘱系统下达治疗医嘱时，可以根据患者病情进行合理性审核，并给出预警提示。</w:t>
            </w:r>
          </w:p>
        </w:tc>
      </w:tr>
      <w:tr w14:paraId="3EF5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D0F0ED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60FA86B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诊断合理性规则</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04DA99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支持维护与患者症状、临床表现、诊断、检查/检验结果、手术、性别、年龄相关的诊断合理性规则。</w:t>
            </w:r>
          </w:p>
        </w:tc>
      </w:tr>
      <w:tr w14:paraId="5A4C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34538F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5788D0C8">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spacing w:val="0"/>
                <w:kern w:val="2"/>
                <w:sz w:val="24"/>
                <w:szCs w:val="24"/>
                <w:highlight w:val="none"/>
                <w:lang w:val="en-US" w:eastAsia="zh-CN" w:bidi="ar"/>
              </w:rPr>
              <w:t>检验预警规则</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3BE0D73">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i w:val="0"/>
                <w:caps w:val="0"/>
                <w:color w:val="auto"/>
                <w:spacing w:val="0"/>
                <w:kern w:val="2"/>
                <w:sz w:val="24"/>
                <w:szCs w:val="24"/>
                <w:highlight w:val="none"/>
                <w:lang w:val="en-US" w:eastAsia="zh-CN" w:bidi="ar"/>
              </w:rPr>
              <w:t>支持医院根据医院（门诊、住院）的检验字典，维护与患者症状、临床表现、诊断、检查/检验结果、手术、性别、年龄，医院科室以及检验项目的检验风险预警规则。并且支持维护同时符合以上多项患者临床诊疗情况下，在满足规则时系统进行检验异常项目风险提醒的规则。</w:t>
            </w:r>
          </w:p>
        </w:tc>
      </w:tr>
      <w:tr w14:paraId="232C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43CCB9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C32C9D3">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b w:val="0"/>
                <w:bCs w:val="0"/>
                <w:color w:val="auto"/>
                <w:spacing w:val="0"/>
                <w:kern w:val="2"/>
                <w:sz w:val="24"/>
                <w:szCs w:val="24"/>
                <w:highlight w:val="none"/>
              </w:rPr>
            </w:pPr>
            <w:r>
              <w:rPr>
                <w:rFonts w:hint="eastAsia" w:ascii="宋体" w:hAnsi="宋体" w:eastAsia="宋体" w:cs="宋体"/>
                <w:i w:val="0"/>
                <w:caps w:val="0"/>
                <w:color w:val="auto"/>
                <w:spacing w:val="0"/>
                <w:kern w:val="0"/>
                <w:sz w:val="24"/>
                <w:szCs w:val="24"/>
                <w:highlight w:val="none"/>
                <w:lang w:val="en-US" w:eastAsia="zh-CN" w:bidi="ar"/>
              </w:rPr>
              <w:t>危急值预警规则</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2E0C57EF">
            <w:pPr>
              <w:keepNext w:val="0"/>
              <w:keepLines w:val="0"/>
              <w:widowControl/>
              <w:suppressLineNumbers w:val="0"/>
              <w:spacing w:before="0" w:beforeAutospacing="0" w:after="0" w:afterAutospacing="0" w:line="360" w:lineRule="auto"/>
              <w:ind w:left="0" w:leftChars="0" w:right="0" w:firstLine="0" w:firstLineChars="0"/>
              <w:jc w:val="left"/>
              <w:textAlignment w:val="center"/>
              <w:rPr>
                <w:rFonts w:hint="eastAsia" w:ascii="宋体" w:hAnsi="宋体" w:eastAsia="宋体" w:cs="宋体"/>
                <w:i w:val="0"/>
                <w:caps w:val="0"/>
                <w:color w:val="auto"/>
                <w:spacing w:val="0"/>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i w:val="0"/>
                <w:caps w:val="0"/>
                <w:color w:val="auto"/>
                <w:spacing w:val="0"/>
                <w:kern w:val="0"/>
                <w:sz w:val="24"/>
                <w:szCs w:val="24"/>
                <w:highlight w:val="none"/>
                <w:lang w:val="en-US" w:eastAsia="zh-CN" w:bidi="ar"/>
              </w:rPr>
              <w:t>支持医院自定义各项检验危急值规则，根据患者的检验结果，自动审核检验值是否符合院内危急值管理规则要求，并将危急值在临床端给出预警提示。</w:t>
            </w:r>
          </w:p>
        </w:tc>
      </w:tr>
      <w:tr w14:paraId="765B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0BDC4B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167F85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规则管理</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7D26DD66">
            <w:pPr>
              <w:pStyle w:val="25"/>
              <w:keepNext w:val="0"/>
              <w:keepLines w:val="0"/>
              <w:widowControl w:val="0"/>
              <w:numPr>
                <w:ilvl w:val="0"/>
                <w:numId w:val="11"/>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支持下线、上线、审核、删除、编辑、新增知识和规则；</w:t>
            </w:r>
          </w:p>
          <w:p w14:paraId="059A7B4B">
            <w:pPr>
              <w:pStyle w:val="25"/>
              <w:keepNext w:val="0"/>
              <w:keepLines w:val="0"/>
              <w:widowControl w:val="0"/>
              <w:numPr>
                <w:ilvl w:val="0"/>
                <w:numId w:val="11"/>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支持医院按照项目分工安排不同的角色，不同的角色对应不同的权限；</w:t>
            </w:r>
          </w:p>
        </w:tc>
      </w:tr>
      <w:tr w14:paraId="0DD3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6AE41C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5897AF24">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国际编码</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778B265">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支持SNOMED CT标准术语库在线查阅，</w:t>
            </w:r>
            <w:r>
              <w:rPr>
                <w:rFonts w:hint="eastAsia" w:ascii="宋体" w:hAnsi="宋体" w:eastAsia="宋体" w:cs="宋体"/>
                <w:color w:val="auto"/>
                <w:spacing w:val="2"/>
                <w:kern w:val="2"/>
                <w:sz w:val="24"/>
                <w:szCs w:val="24"/>
                <w:highlight w:val="none"/>
                <w:lang w:val="en-US" w:eastAsia="zh-CN" w:bidi="ar"/>
              </w:rPr>
              <w:t>便捷浏览中文版19个概念大类，也可以直接检索所需概念、上下级概念和本概念的其他表达方式。</w:t>
            </w:r>
          </w:p>
        </w:tc>
      </w:tr>
      <w:tr w14:paraId="6E48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bottom w:val="single" w:color="auto" w:sz="4" w:space="0"/>
              <w:right w:val="single" w:color="auto" w:sz="4" w:space="0"/>
            </w:tcBorders>
            <w:noWrap w:val="0"/>
            <w:vAlign w:val="center"/>
          </w:tcPr>
          <w:p w14:paraId="5C27F9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病房医生辅助系统</w:t>
            </w:r>
          </w:p>
        </w:tc>
        <w:tc>
          <w:tcPr>
            <w:tcW w:w="817" w:type="pct"/>
            <w:vMerge w:val="restart"/>
            <w:tcBorders>
              <w:top w:val="nil"/>
              <w:left w:val="single" w:color="auto" w:sz="4" w:space="0"/>
              <w:bottom w:val="single" w:color="auto" w:sz="4" w:space="0"/>
              <w:right w:val="single" w:color="auto" w:sz="4" w:space="0"/>
            </w:tcBorders>
            <w:noWrap w:val="0"/>
            <w:vAlign w:val="center"/>
          </w:tcPr>
          <w:p w14:paraId="6F6AD69F">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智能推荐鉴别诊断</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EF618F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支持结合患者的临床表现（主诉、现病史等病历信息以</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spacing w:val="2"/>
                <w:kern w:val="2"/>
                <w:sz w:val="24"/>
                <w:szCs w:val="24"/>
                <w:highlight w:val="none"/>
                <w:lang w:val="en-US" w:eastAsia="zh-CN" w:bidi="ar"/>
              </w:rPr>
              <w:t>及检验值信息），智能判断患者疑</w:t>
            </w:r>
            <w:r>
              <w:rPr>
                <w:rFonts w:hint="eastAsia" w:ascii="宋体" w:hAnsi="宋体" w:eastAsia="宋体" w:cs="宋体"/>
                <w:color w:val="auto"/>
                <w:spacing w:val="0"/>
                <w:kern w:val="2"/>
                <w:sz w:val="24"/>
                <w:szCs w:val="24"/>
                <w:highlight w:val="none"/>
                <w:lang w:val="en-US" w:eastAsia="zh-CN" w:bidi="ar"/>
              </w:rPr>
              <w:t xml:space="preserve"> 似疾病，实时引导医生全面考虑患者病情，避免漏诊、 </w:t>
            </w:r>
            <w:r>
              <w:rPr>
                <w:rFonts w:hint="eastAsia" w:ascii="宋体" w:hAnsi="宋体" w:eastAsia="宋体" w:cs="宋体"/>
                <w:color w:val="auto"/>
                <w:kern w:val="2"/>
                <w:sz w:val="24"/>
                <w:szCs w:val="24"/>
                <w:highlight w:val="none"/>
                <w:lang w:val="en-US" w:eastAsia="zh-CN" w:bidi="ar"/>
              </w:rPr>
              <w:t>误诊。</w:t>
            </w:r>
          </w:p>
        </w:tc>
      </w:tr>
      <w:tr w14:paraId="11F1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F28691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22B540F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336FFC9">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支持医生根据系统推荐的鉴别诊断，直接查阅诊断相关的疾病详情以及与之相关的文献、指南。</w:t>
            </w:r>
          </w:p>
        </w:tc>
      </w:tr>
      <w:tr w14:paraId="573B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9B07D0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9431B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44901DBE">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支持科室，至少包括：</w:t>
            </w:r>
            <w:r>
              <w:rPr>
                <w:rFonts w:hint="eastAsia" w:ascii="宋体" w:hAnsi="宋体" w:eastAsia="宋体" w:cs="宋体"/>
                <w:color w:val="auto"/>
                <w:kern w:val="2"/>
                <w:sz w:val="24"/>
                <w:szCs w:val="24"/>
                <w:highlight w:val="none"/>
                <w:lang w:val="en-US" w:eastAsia="zh-CN" w:bidi="ar"/>
              </w:rPr>
              <w:t>普内科（消化内科、呼吸内科、心内科等等）、普外科（心血管外科、神经外科等等）、骨科、妇科、儿科</w:t>
            </w:r>
            <w:r>
              <w:rPr>
                <w:rFonts w:hint="eastAsia" w:ascii="宋体" w:hAnsi="宋体" w:eastAsia="宋体" w:cs="宋体"/>
                <w:color w:val="auto"/>
                <w:spacing w:val="0"/>
                <w:kern w:val="2"/>
                <w:sz w:val="24"/>
                <w:szCs w:val="24"/>
                <w:highlight w:val="none"/>
                <w:lang w:val="en-US" w:eastAsia="zh-CN" w:bidi="ar"/>
              </w:rPr>
              <w:t>。</w:t>
            </w:r>
          </w:p>
        </w:tc>
      </w:tr>
      <w:tr w14:paraId="49E1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21AD2F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1948846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智能推荐</w:t>
            </w:r>
          </w:p>
          <w:p w14:paraId="77BB036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评估表</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6D4D52F">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根据患者当前病情，系统可实时为医生推荐该患者需要进行评估的评估表，数量不少于1000种，且至少包含以下功能：</w:t>
            </w:r>
          </w:p>
          <w:p w14:paraId="1F5C765A">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医生确定初步诊断时系统能自动推荐相关评估表，医生可直接点击查看评估表详情。例如，当患者初步诊断为急性脑梗时，系统自动推NIHSS卒中量表、卒中静脉溶栓禁忌、mRS量表、TOAST缺血性卒中分型等量表供医生选用。</w:t>
            </w:r>
          </w:p>
          <w:p w14:paraId="32A94D43">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kern w:val="2"/>
                <w:sz w:val="24"/>
                <w:szCs w:val="24"/>
                <w:highlight w:val="none"/>
                <w:lang w:val="en-US" w:eastAsia="zh-CN" w:bidi="ar"/>
              </w:rPr>
              <w:t>根据患者评分情况给出病情严重风险程度建议，并自动累加勾选中的细项分值</w:t>
            </w:r>
          </w:p>
          <w:p w14:paraId="47882E9E">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支持评分结果及分析自动写回患者电子病历中（需要第三方厂商配合）。通过是否点选“结论不回填至病历”可控制回填功能。</w:t>
            </w:r>
          </w:p>
          <w:p w14:paraId="0895A004">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支持以两种方式单独或合并回填评估结论：1.评估表结果说明。2.各细项的评分情况。</w:t>
            </w:r>
          </w:p>
          <w:p w14:paraId="39AE428E">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支持查阅在本系统中评估的历史评估记录。</w:t>
            </w:r>
          </w:p>
          <w:p w14:paraId="5C7B54A3">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支持评估完成的评估表进行在线打印或以PDF格式下载。</w:t>
            </w:r>
          </w:p>
          <w:p w14:paraId="0DFFCB67">
            <w:pPr>
              <w:pStyle w:val="25"/>
              <w:keepNext w:val="0"/>
              <w:keepLines w:val="0"/>
              <w:widowControl w:val="0"/>
              <w:numPr>
                <w:ilvl w:val="0"/>
                <w:numId w:val="12"/>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支持对历史评估表进行作废处理，但需备注作废理由。</w:t>
            </w:r>
          </w:p>
        </w:tc>
      </w:tr>
      <w:tr w14:paraId="31F0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3B81D8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FEAC9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5CABCA59">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医生可以根据病人病情需要，主动搜索相应评估表，并在完成评估时将评估结果写回电子病历中。（需要第三方厂商配合完成接口才可实现）</w:t>
            </w:r>
          </w:p>
        </w:tc>
      </w:tr>
      <w:tr w14:paraId="1434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026B16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212CA9F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智能推荐治疗方案</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FD0EB96">
            <w:pPr>
              <w:pStyle w:val="25"/>
              <w:keepNext w:val="0"/>
              <w:keepLines w:val="0"/>
              <w:widowControl w:val="0"/>
              <w:suppressLineNumbers w:val="0"/>
              <w:kinsoku w:val="0"/>
              <w:overflowPunct w:val="0"/>
              <w:spacing w:before="0" w:beforeAutospacing="0" w:after="0" w:afterAutospacing="0" w:line="360" w:lineRule="auto"/>
              <w:ind w:left="0" w:right="10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4"/>
                <w:szCs w:val="24"/>
                <w:highlight w:val="none"/>
                <w:lang w:val="en-US" w:eastAsia="zh-CN" w:bidi="ar"/>
              </w:rPr>
              <w:t>智能</w:t>
            </w:r>
            <w:r>
              <w:rPr>
                <w:rFonts w:hint="eastAsia" w:ascii="宋体" w:hAnsi="宋体" w:eastAsia="宋体" w:cs="宋体"/>
                <w:color w:val="auto"/>
                <w:spacing w:val="2"/>
                <w:kern w:val="2"/>
                <w:sz w:val="24"/>
                <w:szCs w:val="24"/>
                <w:highlight w:val="none"/>
                <w:lang w:val="en-US" w:eastAsia="zh-CN" w:bidi="ar"/>
              </w:rPr>
              <w:t>推荐治疗方案，根据患者当次诊断，结合现病史、</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spacing w:val="2"/>
                <w:kern w:val="2"/>
                <w:sz w:val="24"/>
                <w:szCs w:val="24"/>
                <w:highlight w:val="none"/>
                <w:lang w:val="en-US" w:eastAsia="zh-CN" w:bidi="ar"/>
              </w:rPr>
              <w:t>既往史、用药史、检验结果、检查结果等情况，为医生智能推荐符合临床路</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径或指南推荐的治疗方案及对应的用药方案。</w:t>
            </w:r>
          </w:p>
          <w:p w14:paraId="17D93C06">
            <w:pPr>
              <w:pStyle w:val="25"/>
              <w:keepNext w:val="0"/>
              <w:keepLines w:val="0"/>
              <w:widowControl w:val="0"/>
              <w:suppressLineNumbers w:val="0"/>
              <w:kinsoku w:val="0"/>
              <w:overflowPunct w:val="0"/>
              <w:spacing w:before="0" w:beforeAutospacing="0" w:after="0" w:afterAutospacing="0" w:line="360" w:lineRule="auto"/>
              <w:ind w:left="0" w:right="10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例如：在入院记录主诉输入“突发左下肢无力伴言语不利2小时”及初步诊断中输入“急性脑梗死”，根据指南推荐的治疗方案顺序为：1.静脉溶栓；2.血管内介入；3.抗凝治疗。当在既往史中补充“患者1月前发生颅内出血”，系统自动取消对静脉溶栓的治疗推荐。</w:t>
            </w:r>
          </w:p>
        </w:tc>
      </w:tr>
      <w:tr w14:paraId="2F5C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9889D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06A82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1B822071">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2"/>
                <w:kern w:val="2"/>
                <w:sz w:val="24"/>
                <w:szCs w:val="24"/>
                <w:highlight w:val="none"/>
                <w:lang w:val="en-US" w:eastAsia="zh-CN" w:bidi="ar"/>
              </w:rPr>
              <w:t>治疗方案推荐应包含：</w:t>
            </w:r>
          </w:p>
          <w:p w14:paraId="03091A45">
            <w:pPr>
              <w:pStyle w:val="25"/>
              <w:keepNext w:val="0"/>
              <w:keepLines w:val="0"/>
              <w:widowControl w:val="0"/>
              <w:numPr>
                <w:ilvl w:val="0"/>
                <w:numId w:val="13"/>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大类方案推荐，如对于急性脑梗死患者应推荐：静脉溶栓、血管内介入、抗凝治疗、降颅压治疗、改善脑循环及脑保护、康复治疗、吞咽障碍评定。</w:t>
            </w:r>
          </w:p>
          <w:p w14:paraId="2EC2A1C6">
            <w:pPr>
              <w:pStyle w:val="25"/>
              <w:keepNext w:val="0"/>
              <w:keepLines w:val="0"/>
              <w:widowControl w:val="0"/>
              <w:numPr>
                <w:ilvl w:val="0"/>
                <w:numId w:val="13"/>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大类方案的应用原则，如对于急性脑梗死患者使用静脉溶栓，系统应提醒：</w:t>
            </w:r>
            <w:r>
              <w:rPr>
                <w:rFonts w:hint="eastAsia" w:ascii="宋体" w:hAnsi="宋体" w:eastAsia="宋体" w:cs="宋体"/>
                <w:color w:val="auto"/>
                <w:kern w:val="2"/>
                <w:sz w:val="24"/>
                <w:szCs w:val="24"/>
                <w:highlight w:val="none"/>
                <w:lang w:val="en-US" w:eastAsia="zh-CN" w:bidi="ar"/>
              </w:rPr>
              <w:t>有效抢救半暗带组织的时间窗为4.5h内(rtPA)或6h内(尿激酶)。</w:t>
            </w:r>
          </w:p>
          <w:p w14:paraId="175B18EB">
            <w:pPr>
              <w:pStyle w:val="25"/>
              <w:keepNext w:val="0"/>
              <w:keepLines w:val="0"/>
              <w:widowControl w:val="0"/>
              <w:numPr>
                <w:ilvl w:val="0"/>
                <w:numId w:val="13"/>
              </w:numPr>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具体方案推荐，包括药品名称+给药方式+剂量：例如对于静脉溶栓药物，系统应至少推荐注射用阿替普酶 静脉注射 0.9mg/kg/次、注射用尿激酶  静脉注射 100万IU-150万IU/次两种具体用药方案。</w:t>
            </w:r>
          </w:p>
        </w:tc>
      </w:tr>
      <w:tr w14:paraId="12E1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37D0C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88CEA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3ECB73F">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检查/检验方案推荐，在医生下达检查/检验申请时，可根据最新指南推荐，为医生推荐适</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宜的多套检查/检验方案，供医生选择。对于危重疾病，如急性脑梗死，推荐的检查方案应包括：紧急检查（凝血功能监测）、确诊检查（头颅CT）、鉴别检查（头颅MRI等）一般检查、合并症检查（超声心动图、动态心电图），并说明各项检查的检查目的。</w:t>
            </w:r>
          </w:p>
        </w:tc>
      </w:tr>
      <w:tr w14:paraId="442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941277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70580A5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2A029811">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检查项写回，根据医院现有的电子病历、HIS系统支持回写的功能，医生根据需要及实际情况选择合适的检查项，智能写回到患者电子病历中。（需要第三方厂商配合）</w:t>
            </w:r>
          </w:p>
        </w:tc>
      </w:tr>
      <w:tr w14:paraId="690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3D51DB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6456DF54">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智能推荐护理评估表</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2DFB2BC5">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系统可根据患者病情，自动推送护理评估表，评估表支持预览、打印，能够根据勾选的评估细项或填写的体征数据自动完成设定的护理评估，生成评估结论</w:t>
            </w:r>
            <w:r>
              <w:rPr>
                <w:rFonts w:hint="eastAsia" w:ascii="宋体" w:hAnsi="宋体" w:eastAsia="宋体" w:cs="宋体"/>
                <w:color w:val="auto"/>
                <w:kern w:val="2"/>
                <w:sz w:val="24"/>
                <w:szCs w:val="24"/>
                <w:highlight w:val="none"/>
                <w:lang w:val="en-US" w:eastAsia="zh-CN" w:bidi="ar"/>
              </w:rPr>
              <w:t>。评估结论可回填至病历文书。</w:t>
            </w:r>
          </w:p>
        </w:tc>
      </w:tr>
      <w:tr w14:paraId="1D38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414F4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BD14F8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智能推荐护理措施</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EAEBAC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根据护理记录（如病人体征等）可自动推送护理处置措施建议</w:t>
            </w:r>
            <w:r>
              <w:rPr>
                <w:rFonts w:hint="eastAsia" w:ascii="宋体" w:hAnsi="宋体" w:eastAsia="宋体" w:cs="宋体"/>
                <w:color w:val="auto"/>
                <w:kern w:val="2"/>
                <w:sz w:val="24"/>
                <w:szCs w:val="24"/>
                <w:highlight w:val="none"/>
                <w:lang w:val="en-US" w:eastAsia="zh-CN" w:bidi="ar"/>
              </w:rPr>
              <w:t>；系统可自动识别危急值，为护理人员推送护理处置策略，通知医生患者当前的危急值；能够根据病人生命体征、评估结果等，智能推荐护理处置建议。</w:t>
            </w:r>
          </w:p>
        </w:tc>
      </w:tr>
      <w:tr w14:paraId="4184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AB62B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3D797AC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检查分析解读</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40FC56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结合患者当次诊断、主诉、病史等病情情况，对患者的检查报告结果进行解读，给出诊断建议</w:t>
            </w:r>
            <w:r>
              <w:rPr>
                <w:rFonts w:hint="eastAsia" w:ascii="宋体" w:hAnsi="宋体" w:eastAsia="宋体" w:cs="宋体"/>
                <w:color w:val="auto"/>
                <w:kern w:val="2"/>
                <w:sz w:val="24"/>
                <w:szCs w:val="24"/>
                <w:highlight w:val="none"/>
                <w:lang w:val="en-US" w:eastAsia="zh-CN" w:bidi="ar"/>
              </w:rPr>
              <w:t>。</w:t>
            </w:r>
          </w:p>
        </w:tc>
      </w:tr>
      <w:tr w14:paraId="6E7A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CC1C51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1FD1E30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5F3EDFB">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对于有多正常参考值的检查项目，医师查阅报告时，能够根据患者年龄、性别、诊断、生理指标等，自动判断检查项目是否异常，并给出参考值范围。</w:t>
            </w:r>
          </w:p>
        </w:tc>
      </w:tr>
      <w:tr w14:paraId="076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B08114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733E3DA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检验分析解读</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49CC8F34">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strike/>
                <w:dstrike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根据患者的检验结果，系统应支持自动判断检验值是否异常及提醒，并进行检验结果解读。</w:t>
            </w:r>
            <w:r>
              <w:rPr>
                <w:rFonts w:hint="eastAsia" w:ascii="宋体" w:hAnsi="宋体" w:eastAsia="宋体" w:cs="宋体"/>
                <w:color w:val="auto"/>
                <w:spacing w:val="2"/>
                <w:kern w:val="2"/>
                <w:sz w:val="24"/>
                <w:szCs w:val="24"/>
                <w:highlight w:val="none"/>
                <w:lang w:val="en-US" w:eastAsia="zh-CN" w:bidi="ar"/>
              </w:rPr>
              <w:t>提示检验结果解读时，提示结果原因，帮助医生快速</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判断校验。</w:t>
            </w:r>
          </w:p>
        </w:tc>
      </w:tr>
      <w:tr w14:paraId="6D95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16C8DC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28F9C8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577243D">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可根据患者药物使用、临床诊断等信息，对检验报告进行综合分析，给与检验科室检查解读提示（需要第三方厂商配合）。</w:t>
            </w:r>
          </w:p>
        </w:tc>
      </w:tr>
      <w:tr w14:paraId="4C8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1C2C42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291D4C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2CB6FBCC">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i w:val="0"/>
                <w:caps w:val="0"/>
                <w:color w:val="auto"/>
                <w:spacing w:val="0"/>
                <w:kern w:val="2"/>
                <w:sz w:val="24"/>
                <w:szCs w:val="24"/>
                <w:highlight w:val="none"/>
                <w:lang w:val="en-US" w:eastAsia="zh-CN" w:bidi="ar"/>
              </w:rPr>
              <w:t>支持按检验报告类型显示当前检验报告中的异常检验值。</w:t>
            </w:r>
          </w:p>
        </w:tc>
      </w:tr>
      <w:tr w14:paraId="050A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AF0F75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top"/>
          </w:tcPr>
          <w:p w14:paraId="1E01620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危急值预警</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ED08CEB">
            <w:pPr>
              <w:keepNext w:val="0"/>
              <w:keepLines w:val="0"/>
              <w:widowControl/>
              <w:suppressLineNumbers w:val="0"/>
              <w:kinsoku w:val="0"/>
              <w:overflowPunct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根据患者的检验结果，自动审核检验值是否落在危急值高值/阳性或低值的范围内，对大于危急值高值或低于危急值低值的检验细项进行标识。</w:t>
            </w:r>
          </w:p>
          <w:p w14:paraId="3E9BB24A">
            <w:pPr>
              <w:keepNext w:val="0"/>
              <w:keepLines w:val="0"/>
              <w:widowControl/>
              <w:suppressLineNumbers w:val="0"/>
              <w:kinsoku w:val="0"/>
              <w:overflowPunct w:val="0"/>
              <w:autoSpaceDE w:val="0"/>
              <w:autoSpaceDN/>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对于危急检验结果，能够主动通知医师、护士，支持危急值详情查看，包括检验报告、检验细项、样本、检验结果、单位、报告时间等信息。</w:t>
            </w:r>
          </w:p>
          <w:p w14:paraId="7EDF76EE">
            <w:pPr>
              <w:keepNext w:val="0"/>
              <w:keepLines w:val="0"/>
              <w:widowControl/>
              <w:suppressLineNumbers w:val="0"/>
              <w:kinsoku w:val="0"/>
              <w:overflowPunct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支持危急值规则出处查看。</w:t>
            </w:r>
          </w:p>
        </w:tc>
      </w:tr>
      <w:tr w14:paraId="1D96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42AD79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5D480CF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术后并发症预警</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AC304D0">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结合患者手术类型、手术时间及术后患者的临床表</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spacing w:val="2"/>
                <w:kern w:val="2"/>
                <w:sz w:val="24"/>
                <w:szCs w:val="24"/>
                <w:highlight w:val="none"/>
                <w:lang w:val="en-US" w:eastAsia="zh-CN" w:bidi="ar"/>
              </w:rPr>
              <w:t>现，检查/检验结果，对术后有可能引起并发症的相关内</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容进行预警提示，避免医生遗漏。</w:t>
            </w:r>
          </w:p>
        </w:tc>
      </w:tr>
      <w:tr w14:paraId="020A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9C2B4F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C3894E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检验</w:t>
            </w:r>
            <w:r>
              <w:rPr>
                <w:rFonts w:hint="eastAsia" w:ascii="宋体" w:hAnsi="宋体" w:eastAsia="宋体" w:cs="宋体"/>
                <w:color w:val="auto"/>
                <w:kern w:val="2"/>
                <w:sz w:val="24"/>
                <w:szCs w:val="24"/>
                <w:highlight w:val="none"/>
                <w:lang w:val="en-US" w:eastAsia="zh-CN" w:bidi="ar"/>
              </w:rPr>
              <w:t>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F3E966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能够针对病人性别、诊断、以往检验申请与结果等情况，在医生开具</w:t>
            </w:r>
            <w:r>
              <w:rPr>
                <w:rFonts w:hint="eastAsia" w:ascii="宋体" w:hAnsi="宋体" w:eastAsia="宋体" w:cs="宋体"/>
                <w:color w:val="auto"/>
                <w:spacing w:val="2"/>
                <w:kern w:val="2"/>
                <w:sz w:val="24"/>
                <w:szCs w:val="24"/>
                <w:highlight w:val="none"/>
                <w:lang w:val="en-US" w:eastAsia="zh-CN" w:bidi="ar"/>
              </w:rPr>
              <w:t>检验</w:t>
            </w:r>
            <w:r>
              <w:rPr>
                <w:rFonts w:hint="eastAsia" w:ascii="宋体" w:hAnsi="宋体" w:eastAsia="宋体" w:cs="宋体"/>
                <w:color w:val="auto"/>
                <w:spacing w:val="0"/>
                <w:kern w:val="2"/>
                <w:sz w:val="24"/>
                <w:szCs w:val="24"/>
                <w:highlight w:val="none"/>
                <w:lang w:val="en-US" w:eastAsia="zh-CN" w:bidi="ar"/>
              </w:rPr>
              <w:t xml:space="preserve">医嘱时，自动审核合理性， </w:t>
            </w:r>
            <w:r>
              <w:rPr>
                <w:rFonts w:hint="eastAsia" w:ascii="宋体" w:hAnsi="宋体" w:eastAsia="宋体" w:cs="宋体"/>
                <w:color w:val="auto"/>
                <w:kern w:val="2"/>
                <w:sz w:val="24"/>
                <w:szCs w:val="24"/>
                <w:highlight w:val="none"/>
                <w:lang w:val="en-US" w:eastAsia="zh-CN" w:bidi="ar"/>
              </w:rPr>
              <w:t>对禁忌和相对禁忌的项目主动进行提示。</w:t>
            </w:r>
          </w:p>
        </w:tc>
      </w:tr>
      <w:tr w14:paraId="66BD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AA198D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1CFE0BA">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检查</w:t>
            </w:r>
            <w:r>
              <w:rPr>
                <w:rFonts w:hint="eastAsia" w:ascii="宋体" w:hAnsi="宋体" w:eastAsia="宋体" w:cs="宋体"/>
                <w:color w:val="auto"/>
                <w:kern w:val="2"/>
                <w:sz w:val="24"/>
                <w:szCs w:val="24"/>
                <w:highlight w:val="none"/>
                <w:lang w:val="en-US" w:eastAsia="zh-CN" w:bidi="ar"/>
              </w:rPr>
              <w:t>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099020C1">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能够针对病人性别、诊断、以往检查结果等情况，在医生</w:t>
            </w:r>
            <w:r>
              <w:rPr>
                <w:rFonts w:hint="eastAsia" w:ascii="宋体" w:hAnsi="宋体" w:eastAsia="宋体" w:cs="宋体"/>
                <w:color w:val="auto"/>
                <w:spacing w:val="0"/>
                <w:kern w:val="2"/>
                <w:sz w:val="24"/>
                <w:szCs w:val="24"/>
                <w:highlight w:val="none"/>
                <w:lang w:val="en-US" w:eastAsia="zh-CN" w:bidi="ar"/>
              </w:rPr>
              <w:t>开具</w:t>
            </w:r>
            <w:r>
              <w:rPr>
                <w:rFonts w:hint="eastAsia" w:ascii="宋体" w:hAnsi="宋体" w:eastAsia="宋体" w:cs="宋体"/>
                <w:color w:val="auto"/>
                <w:spacing w:val="2"/>
                <w:kern w:val="2"/>
                <w:sz w:val="24"/>
                <w:szCs w:val="24"/>
                <w:highlight w:val="none"/>
                <w:lang w:val="en-US" w:eastAsia="zh-CN" w:bidi="ar"/>
              </w:rPr>
              <w:t>检查</w:t>
            </w:r>
            <w:r>
              <w:rPr>
                <w:rFonts w:hint="eastAsia" w:ascii="宋体" w:hAnsi="宋体" w:eastAsia="宋体" w:cs="宋体"/>
                <w:color w:val="auto"/>
                <w:spacing w:val="0"/>
                <w:kern w:val="2"/>
                <w:sz w:val="24"/>
                <w:szCs w:val="24"/>
                <w:highlight w:val="none"/>
                <w:lang w:val="en-US" w:eastAsia="zh-CN" w:bidi="ar"/>
              </w:rPr>
              <w:t xml:space="preserve">医嘱时，自动审核合理性， </w:t>
            </w:r>
            <w:r>
              <w:rPr>
                <w:rFonts w:hint="eastAsia" w:ascii="宋体" w:hAnsi="宋体" w:eastAsia="宋体" w:cs="宋体"/>
                <w:color w:val="auto"/>
                <w:kern w:val="2"/>
                <w:sz w:val="24"/>
                <w:szCs w:val="24"/>
                <w:highlight w:val="none"/>
                <w:lang w:val="en-US" w:eastAsia="zh-CN" w:bidi="ar"/>
              </w:rPr>
              <w:t>对禁忌和相对禁忌的项目主动进行提示。</w:t>
            </w:r>
          </w:p>
        </w:tc>
      </w:tr>
      <w:tr w14:paraId="0221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D5FC0D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2E968C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检查/检验重复性审核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3B4BF8BD">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支持对重复开具的检验／检查项目可以进行审核提示，支持对重复开立的时间限制进行个性化设置。</w:t>
            </w:r>
          </w:p>
        </w:tc>
      </w:tr>
      <w:tr w14:paraId="737A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D354E6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17E596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诊断合理性审核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38F6E4E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支持根据患者情况（性别、年龄</w:t>
            </w:r>
            <w:r>
              <w:rPr>
                <w:rFonts w:hint="eastAsia" w:ascii="宋体" w:hAnsi="宋体" w:eastAsia="宋体" w:cs="宋体"/>
                <w:color w:val="auto"/>
                <w:kern w:val="2"/>
                <w:sz w:val="24"/>
                <w:szCs w:val="24"/>
                <w:highlight w:val="none"/>
                <w:lang w:val="en-US" w:eastAsia="zh-CN" w:bidi="ar"/>
              </w:rPr>
              <w:t>及检查/检验结果等情况</w:t>
            </w:r>
            <w:r>
              <w:rPr>
                <w:rFonts w:hint="eastAsia" w:ascii="宋体" w:hAnsi="宋体" w:eastAsia="宋体" w:cs="宋体"/>
                <w:color w:val="auto"/>
                <w:spacing w:val="2"/>
                <w:kern w:val="2"/>
                <w:sz w:val="24"/>
                <w:szCs w:val="24"/>
                <w:highlight w:val="none"/>
                <w:lang w:val="en-US" w:eastAsia="zh-CN" w:bidi="ar"/>
              </w:rPr>
              <w:t>）审查诊断是否合理，并继续实时提示。</w:t>
            </w:r>
          </w:p>
        </w:tc>
      </w:tr>
      <w:tr w14:paraId="05C2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2962F5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088B30B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用药合理性审核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2B08AB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支持结合患者性别、年龄、过敏史、用药情况、检验检查结果等情况，在医生开立药品医嘱时，自动进行用药合理性审核，对不合理用药、高危用药项目进行提示。</w:t>
            </w:r>
          </w:p>
          <w:p w14:paraId="2C9C55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患者用药一旦触发合理性规则，系统会提示用药合理性规则的制订依据及患者的触发依据。触发依据用来展示患者的用药、症状、临床表现、诊断、检查/检验结果、手术、性别、年龄等信息与规则的匹配情况。</w:t>
            </w:r>
          </w:p>
          <w:p w14:paraId="45ACC763">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p>
        </w:tc>
      </w:tr>
      <w:tr w14:paraId="6920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E6DD5E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008D7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center"/>
          </w:tcPr>
          <w:p w14:paraId="2586C544">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支持从提示信息关联查看不合理药品的药品说明书。</w:t>
            </w:r>
          </w:p>
        </w:tc>
      </w:tr>
      <w:tr w14:paraId="50DB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E4F4B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4418F86F">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spacing w:val="2"/>
                <w:kern w:val="2"/>
                <w:sz w:val="24"/>
                <w:szCs w:val="24"/>
                <w:highlight w:val="none"/>
                <w:lang w:val="en-US" w:eastAsia="zh-CN" w:bidi="ar"/>
              </w:rPr>
              <w:t>高风险治疗合理性审核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9FDDFA8">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支持根据患者性别、年龄、症状、人群等情况，在医生开具高风险治疗（如透析、放射）医嘱时，自动审核合理性，对高风险治疗医嘱进行项目主动提示。</w:t>
            </w:r>
          </w:p>
        </w:tc>
      </w:tr>
      <w:tr w14:paraId="1722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2F3F9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748F344B">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手术/操作合理性审核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2594C1F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根据患者的症状、临床表现、诊断、检查/检验结果</w:t>
            </w:r>
            <w:r>
              <w:rPr>
                <w:rFonts w:hint="eastAsia" w:ascii="宋体" w:hAnsi="宋体" w:eastAsia="宋体" w:cs="宋体"/>
                <w:color w:val="auto"/>
                <w:spacing w:val="0"/>
                <w:kern w:val="2"/>
                <w:sz w:val="24"/>
                <w:szCs w:val="24"/>
                <w:highlight w:val="none"/>
                <w:lang w:val="en-US" w:eastAsia="zh-CN" w:bidi="ar"/>
              </w:rPr>
              <w:t xml:space="preserve"> 等情况，在医生开具手术医嘱/手术申请单时，自动审 </w:t>
            </w:r>
            <w:r>
              <w:rPr>
                <w:rFonts w:hint="eastAsia" w:ascii="宋体" w:hAnsi="宋体" w:eastAsia="宋体" w:cs="宋体"/>
                <w:color w:val="auto"/>
                <w:kern w:val="2"/>
                <w:sz w:val="24"/>
                <w:szCs w:val="24"/>
                <w:highlight w:val="none"/>
                <w:lang w:val="en-US" w:eastAsia="zh-CN" w:bidi="ar"/>
              </w:rPr>
              <w:t>核合理性，对禁忌和相对禁忌的项目主动进行提示。</w:t>
            </w:r>
          </w:p>
        </w:tc>
      </w:tr>
      <w:tr w14:paraId="69D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A0AD31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79C8176F">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spacing w:val="2"/>
                <w:kern w:val="2"/>
                <w:sz w:val="24"/>
                <w:szCs w:val="24"/>
                <w:highlight w:val="none"/>
                <w:lang w:val="en-US" w:eastAsia="zh-CN" w:bidi="ar"/>
              </w:rPr>
              <w:t>用血合理性审核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F4AAE5E">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病房医师在开具输血申请单时，系统自动检查患者体征、基本情况、检验结果、诊断等，根据内置规则进行用血安全检查，出现不符合安全条件时自动给出警示。</w:t>
            </w:r>
          </w:p>
        </w:tc>
      </w:tr>
      <w:tr w14:paraId="6B53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CA706D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32307BFE">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卡控位置配置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0ECAEA76">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支持危急值预警卡控位置配置。可配置检验预警信息在书写病程页面、检验医嘱界面、处方医嘱界面、手术医嘱界面、护理医嘱界面，格式化诊断界面、检验报告单页面进行提醒。</w:t>
            </w:r>
          </w:p>
        </w:tc>
      </w:tr>
      <w:tr w14:paraId="31E2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52677A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9593E1B">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提醒时效配置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20130118">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4"/>
                <w:szCs w:val="24"/>
                <w:highlight w:val="none"/>
                <w:lang w:val="en-US" w:eastAsia="zh-CN" w:bidi="ar"/>
              </w:rPr>
              <w:t>支持检验预警和危急值提醒时效配置，例如可配置危急值提醒在一定时间后消失。时间单位可选择小时、天、周、月。</w:t>
            </w:r>
          </w:p>
        </w:tc>
      </w:tr>
      <w:tr w14:paraId="6404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7F3EB2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493D291A">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合理性提醒强度设置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F081CFE">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2"/>
                <w:kern w:val="2"/>
                <w:sz w:val="24"/>
                <w:szCs w:val="24"/>
                <w:highlight w:val="none"/>
                <w:lang w:val="en-US" w:eastAsia="zh-CN" w:bidi="ar"/>
              </w:rPr>
              <w:t>支持对检验、手术、检查/检查重复性、用血、检查、用药、诊断、处置等医嘱的合理性提醒强度进行三级提醒自定义（强/中/弱）。</w:t>
            </w:r>
          </w:p>
        </w:tc>
      </w:tr>
      <w:tr w14:paraId="1C00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186CDC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FD0CA09">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用户反馈</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1397E28">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kern w:val="0"/>
                <w:sz w:val="24"/>
                <w:szCs w:val="24"/>
                <w:highlight w:val="none"/>
                <w:lang w:val="en-US" w:eastAsia="zh-CN" w:bidi="ar"/>
              </w:rPr>
              <w:t>支持在医生工作站进行用户反馈，医生可按照提建议、提缺陷、我想要等不同情况提交用户反馈。支持文字描述和图片上传，支持默认自动截图当前提醒框并上传。</w:t>
            </w:r>
          </w:p>
        </w:tc>
      </w:tr>
      <w:tr w14:paraId="39B4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bottom w:val="single" w:color="auto" w:sz="4" w:space="0"/>
              <w:right w:val="single" w:color="auto" w:sz="4" w:space="0"/>
            </w:tcBorders>
            <w:noWrap w:val="0"/>
            <w:vAlign w:val="center"/>
          </w:tcPr>
          <w:p w14:paraId="66C8795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门诊医生辅助系统</w:t>
            </w:r>
          </w:p>
        </w:tc>
        <w:tc>
          <w:tcPr>
            <w:tcW w:w="817" w:type="pct"/>
            <w:vMerge w:val="restart"/>
            <w:tcBorders>
              <w:top w:val="nil"/>
              <w:left w:val="single" w:color="auto" w:sz="4" w:space="0"/>
              <w:bottom w:val="single" w:color="auto" w:sz="4" w:space="0"/>
              <w:right w:val="single" w:color="auto" w:sz="4" w:space="0"/>
            </w:tcBorders>
            <w:noWrap w:val="0"/>
            <w:vAlign w:val="center"/>
          </w:tcPr>
          <w:p w14:paraId="1036C5C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智能推荐鉴别诊断</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1405D04">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支持结合患者的临床表现（主诉、现病史等病历信息以</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spacing w:val="2"/>
                <w:kern w:val="2"/>
                <w:sz w:val="24"/>
                <w:szCs w:val="24"/>
                <w:highlight w:val="none"/>
                <w:lang w:val="en-US" w:eastAsia="zh-CN" w:bidi="ar"/>
              </w:rPr>
              <w:t>及检验值信息），智能判断患者疑</w:t>
            </w:r>
            <w:r>
              <w:rPr>
                <w:rFonts w:hint="eastAsia" w:ascii="宋体" w:hAnsi="宋体" w:eastAsia="宋体" w:cs="宋体"/>
                <w:color w:val="auto"/>
                <w:spacing w:val="0"/>
                <w:kern w:val="2"/>
                <w:sz w:val="24"/>
                <w:szCs w:val="24"/>
                <w:highlight w:val="none"/>
                <w:lang w:val="en-US" w:eastAsia="zh-CN" w:bidi="ar"/>
              </w:rPr>
              <w:t xml:space="preserve"> 似疾病，实时引导医生全面考虑患者病情，避免漏诊、 </w:t>
            </w:r>
            <w:r>
              <w:rPr>
                <w:rFonts w:hint="eastAsia" w:ascii="宋体" w:hAnsi="宋体" w:eastAsia="宋体" w:cs="宋体"/>
                <w:color w:val="auto"/>
                <w:kern w:val="2"/>
                <w:sz w:val="24"/>
                <w:szCs w:val="24"/>
                <w:highlight w:val="none"/>
                <w:lang w:val="en-US" w:eastAsia="zh-CN" w:bidi="ar"/>
              </w:rPr>
              <w:t>误诊。</w:t>
            </w:r>
          </w:p>
        </w:tc>
      </w:tr>
      <w:tr w14:paraId="424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9B855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238B4EB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5E1FF960">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支持医生根据系统推荐的鉴别诊断，直接查阅诊断相关的疾病详情介绍以及文献、指南。</w:t>
            </w:r>
          </w:p>
        </w:tc>
      </w:tr>
      <w:tr w14:paraId="3679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C1A185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D97663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67EC3BE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tc>
      </w:tr>
      <w:tr w14:paraId="56AB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F26DF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5B79C1B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智能推荐评估表工具</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CE1CCAE">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根据患者当前病情，系统实时为医生推荐该患者需要进行评估的评估表。</w:t>
            </w:r>
          </w:p>
        </w:tc>
      </w:tr>
      <w:tr w14:paraId="483E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DAF140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7546A63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F00D98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自动累加勾选中的细项分值，根据患者评分情况给出病情严重风险程度建议。</w:t>
            </w:r>
          </w:p>
        </w:tc>
      </w:tr>
      <w:tr w14:paraId="5342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F26FE7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2569F7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2C14A607">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医生进行评估时，可以根据患者生命体征、检验结果项目自动完成对应评估项目的评估。</w:t>
            </w:r>
          </w:p>
        </w:tc>
      </w:tr>
      <w:tr w14:paraId="508C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393052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36782D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4573BB3">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支持在线完成评估，可将评分结果及分析自动写回患者电子病</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历中。</w:t>
            </w:r>
          </w:p>
        </w:tc>
      </w:tr>
      <w:tr w14:paraId="4D6C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049CF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26E3A2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BB97D77">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医生可以根据病人病情需要，主动搜索相应评估表，并在完成评估时将评估结果写回电子病历中。（需要第三方厂商配合完成接口才可实现）</w:t>
            </w:r>
          </w:p>
        </w:tc>
      </w:tr>
      <w:tr w14:paraId="5D34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9EF08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E2181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DC8E815">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支持查阅患者所有在线评估的评估表历史。</w:t>
            </w:r>
          </w:p>
        </w:tc>
      </w:tr>
      <w:tr w14:paraId="466A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4CB205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684C713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4C46CE9">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支持评估完成的评估表进行在线打印。</w:t>
            </w:r>
          </w:p>
        </w:tc>
      </w:tr>
      <w:tr w14:paraId="27A7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5D1C09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354EFBD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智能推荐治疗方案</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793E1CB">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strike/>
                <w:dstrike w:val="0"/>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推荐治疗方案，根据患者当次就诊病情，为医生智能推荐符合临床路</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径或指南要求的治疗方案</w:t>
            </w:r>
          </w:p>
        </w:tc>
      </w:tr>
      <w:tr w14:paraId="7451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CF1BAA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6A1251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078D61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检查/检验方案推荐，根据最新指南推荐，帮助医生推荐适</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宜的多套检查/检验方案，供医生选择。</w:t>
            </w:r>
          </w:p>
        </w:tc>
      </w:tr>
      <w:tr w14:paraId="0DDC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3AFF8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FAF0D2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22104E97">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检查项写回，根据医院现有的电子病历、HIS系统支持回写的功能，医生根据需要及实际情况选择合适的检 查项，智能写回到患者电子病历中。（需要第三方厂商配合完成接口才可实现）</w:t>
            </w:r>
          </w:p>
        </w:tc>
      </w:tr>
      <w:tr w14:paraId="31B7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8A8BE2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DBD9C64">
            <w:pPr>
              <w:pStyle w:val="25"/>
              <w:keepNext w:val="0"/>
              <w:keepLines w:val="0"/>
              <w:widowControl w:val="0"/>
              <w:suppressLineNumbers w:val="0"/>
              <w:kinsoku w:val="0"/>
              <w:overflowPunct w:val="0"/>
              <w:spacing w:before="0" w:beforeAutospacing="0" w:after="0" w:afterAutospacing="0" w:line="360" w:lineRule="auto"/>
              <w:ind w:left="0" w:right="0"/>
              <w:jc w:val="both"/>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智能推荐检验检查</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62B06E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在初诊未确诊时，支持以明确诊断为目的推荐检查、检验项目。支持检查检验项写回，根据医院现有的电子病历、HIS系统支持回写的功能，医生根据需要及实际情况选择合适的检 查项，智能写回到患者电子病历中。（需要第三方厂商配合完成接口才可实现）</w:t>
            </w:r>
          </w:p>
        </w:tc>
      </w:tr>
      <w:tr w14:paraId="1FE2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AF224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4B2319B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检查分析解读</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9E48C9C">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结合患者当次诊断、主诉、病史等病情情况，对患者的检查报告结果进行解读，并推荐诊断。</w:t>
            </w:r>
          </w:p>
        </w:tc>
      </w:tr>
      <w:tr w14:paraId="0BF7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C2BB4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A72B93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1CC9E200">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对于有多正常参考值的检查项目，医师查阅报告时，能够根据患者年龄、性别、诊断、生理指标等，自动判断检查项目是否异常，并给出参考值范围。</w:t>
            </w:r>
          </w:p>
        </w:tc>
      </w:tr>
      <w:tr w14:paraId="2981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AC8929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EB4FBC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检验分析解读</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08924AE">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strike/>
                <w:dstrike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根据患者的检验结果，系统应支持自动判断检验值是否异常及提醒，并进行检验结果解读。</w:t>
            </w:r>
            <w:r>
              <w:rPr>
                <w:rFonts w:hint="eastAsia" w:ascii="宋体" w:hAnsi="宋体" w:eastAsia="宋体" w:cs="宋体"/>
                <w:color w:val="auto"/>
                <w:spacing w:val="2"/>
                <w:kern w:val="2"/>
                <w:sz w:val="24"/>
                <w:szCs w:val="24"/>
                <w:highlight w:val="none"/>
                <w:lang w:val="en-US" w:eastAsia="zh-CN" w:bidi="ar"/>
              </w:rPr>
              <w:t>提示检验结果解读时，提示结果原因，帮助医生快速</w:t>
            </w:r>
            <w:r>
              <w:rPr>
                <w:rFonts w:hint="eastAsia" w:ascii="宋体" w:hAnsi="宋体" w:eastAsia="宋体" w:cs="宋体"/>
                <w:color w:val="auto"/>
                <w:spacing w:val="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判断校验。</w:t>
            </w:r>
          </w:p>
        </w:tc>
      </w:tr>
      <w:tr w14:paraId="4363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5DC55A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BA68B7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检查合理性审核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4A5E2FF4">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能够针对病人性别、诊断、以往检查结果等情况，在医生开具</w:t>
            </w:r>
            <w:r>
              <w:rPr>
                <w:rFonts w:hint="eastAsia" w:ascii="宋体" w:hAnsi="宋体" w:eastAsia="宋体" w:cs="宋体"/>
                <w:color w:val="auto"/>
                <w:spacing w:val="2"/>
                <w:kern w:val="2"/>
                <w:sz w:val="24"/>
                <w:szCs w:val="24"/>
                <w:highlight w:val="none"/>
                <w:lang w:val="en-US" w:eastAsia="zh-CN" w:bidi="ar"/>
              </w:rPr>
              <w:t>检查</w:t>
            </w:r>
            <w:r>
              <w:rPr>
                <w:rFonts w:hint="eastAsia" w:ascii="宋体" w:hAnsi="宋体" w:eastAsia="宋体" w:cs="宋体"/>
                <w:color w:val="auto"/>
                <w:spacing w:val="0"/>
                <w:kern w:val="2"/>
                <w:sz w:val="24"/>
                <w:szCs w:val="24"/>
                <w:highlight w:val="none"/>
                <w:lang w:val="en-US" w:eastAsia="zh-CN" w:bidi="ar"/>
              </w:rPr>
              <w:t xml:space="preserve">医嘱时，自动审核合理性， </w:t>
            </w:r>
            <w:r>
              <w:rPr>
                <w:rFonts w:hint="eastAsia" w:ascii="宋体" w:hAnsi="宋体" w:eastAsia="宋体" w:cs="宋体"/>
                <w:color w:val="auto"/>
                <w:kern w:val="2"/>
                <w:sz w:val="24"/>
                <w:szCs w:val="24"/>
                <w:highlight w:val="none"/>
                <w:lang w:val="en-US" w:eastAsia="zh-CN" w:bidi="ar"/>
              </w:rPr>
              <w:t>对禁忌和相对禁忌的项目主动进行提示。</w:t>
            </w:r>
          </w:p>
        </w:tc>
      </w:tr>
      <w:tr w14:paraId="39E5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F2B622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8507BE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检验合理性审核</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64D90727">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能够针对病人性别、诊断、以往检验申请与结果等情况，在医生开具</w:t>
            </w:r>
            <w:r>
              <w:rPr>
                <w:rFonts w:hint="eastAsia" w:ascii="宋体" w:hAnsi="宋体" w:eastAsia="宋体" w:cs="宋体"/>
                <w:color w:val="auto"/>
                <w:spacing w:val="2"/>
                <w:kern w:val="2"/>
                <w:sz w:val="24"/>
                <w:szCs w:val="24"/>
                <w:highlight w:val="none"/>
                <w:lang w:val="en-US" w:eastAsia="zh-CN" w:bidi="ar"/>
              </w:rPr>
              <w:t>检验</w:t>
            </w:r>
            <w:r>
              <w:rPr>
                <w:rFonts w:hint="eastAsia" w:ascii="宋体" w:hAnsi="宋体" w:eastAsia="宋体" w:cs="宋体"/>
                <w:color w:val="auto"/>
                <w:spacing w:val="0"/>
                <w:kern w:val="2"/>
                <w:sz w:val="24"/>
                <w:szCs w:val="24"/>
                <w:highlight w:val="none"/>
                <w:lang w:val="en-US" w:eastAsia="zh-CN" w:bidi="ar"/>
              </w:rPr>
              <w:t xml:space="preserve">医嘱时，自动审核合理性， </w:t>
            </w:r>
            <w:r>
              <w:rPr>
                <w:rFonts w:hint="eastAsia" w:ascii="宋体" w:hAnsi="宋体" w:eastAsia="宋体" w:cs="宋体"/>
                <w:color w:val="auto"/>
                <w:kern w:val="2"/>
                <w:sz w:val="24"/>
                <w:szCs w:val="24"/>
                <w:highlight w:val="none"/>
                <w:lang w:val="en-US" w:eastAsia="zh-CN" w:bidi="ar"/>
              </w:rPr>
              <w:t>对禁忌和相对禁忌的项目主动进行提示。</w:t>
            </w:r>
          </w:p>
        </w:tc>
      </w:tr>
      <w:tr w14:paraId="7881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CFE36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04CF846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检查/检验重复性审核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6C67F392">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支持对重复开具的检验／检查项目可以进行审核提示。</w:t>
            </w:r>
          </w:p>
        </w:tc>
      </w:tr>
      <w:tr w14:paraId="3D3D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49CA3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9E4B45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bidi="ar"/>
              </w:rPr>
              <w:t>诊断合理性审核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5C7C25DE">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支持根据患者情况（性别、年龄）审查诊断是否合理，并继续实时提示。</w:t>
            </w:r>
          </w:p>
        </w:tc>
      </w:tr>
      <w:tr w14:paraId="22C2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C3A47D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149EE27C">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治疗合理性审核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0EC5CCAB">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spacing w:val="2"/>
                <w:kern w:val="2"/>
                <w:sz w:val="24"/>
                <w:szCs w:val="24"/>
                <w:highlight w:val="none"/>
                <w:lang w:val="en-US" w:eastAsia="zh-CN" w:bidi="ar"/>
              </w:rPr>
              <w:t>支持根据患者性别、年龄、症状、人群等情况，在医生开具治疗医嘱时，自动审核合理性，对禁忌和相对禁忌的项目主动提示。</w:t>
            </w:r>
          </w:p>
        </w:tc>
      </w:tr>
      <w:tr w14:paraId="775F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948C41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2161601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用药合理性审核</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6430CBD1">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支持结合患者性别、年龄、过敏史、用药情况、检验检查结果等情况，在医生开立药品医嘱时，自动进行用药合理性审核，对不合理用药、高危用药项目进行提示。</w:t>
            </w:r>
          </w:p>
        </w:tc>
      </w:tr>
      <w:tr w14:paraId="4400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0A610A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9B02FC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center"/>
          </w:tcPr>
          <w:p w14:paraId="2F472EE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支持从提示信息关联查看不合理药品的药品说明书。</w:t>
            </w:r>
          </w:p>
        </w:tc>
      </w:tr>
      <w:tr w14:paraId="6442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16177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7121C77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智能辅助问诊</w:t>
            </w:r>
          </w:p>
        </w:tc>
        <w:tc>
          <w:tcPr>
            <w:tcW w:w="3676" w:type="pct"/>
            <w:tcBorders>
              <w:top w:val="single" w:color="auto" w:sz="4" w:space="0"/>
              <w:left w:val="single" w:color="auto" w:sz="4" w:space="0"/>
              <w:bottom w:val="single" w:color="auto" w:sz="4" w:space="0"/>
              <w:right w:val="single" w:color="auto" w:sz="4" w:space="0"/>
            </w:tcBorders>
            <w:noWrap w:val="0"/>
            <w:vAlign w:val="center"/>
          </w:tcPr>
          <w:p w14:paraId="77A32EFC">
            <w:pPr>
              <w:pStyle w:val="25"/>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lang w:val="en-US" w:eastAsia="zh-CN" w:bidi="ar"/>
              </w:rPr>
              <w:t>问诊推荐：根据患者的症状、临床表现为医生智能推荐相关问诊路径，协助医生完成患者临床问诊。</w:t>
            </w:r>
          </w:p>
        </w:tc>
      </w:tr>
      <w:tr w14:paraId="7DD9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04F8AF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B3E05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center"/>
          </w:tcPr>
          <w:p w14:paraId="172369B9">
            <w:pPr>
              <w:pStyle w:val="25"/>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pacing w:val="2"/>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2"/>
                <w:kern w:val="0"/>
                <w:sz w:val="24"/>
                <w:szCs w:val="24"/>
                <w:highlight w:val="none"/>
                <w:lang w:val="en-US" w:eastAsia="zh-CN" w:bidi="ar"/>
              </w:rPr>
              <w:t>可视化问诊路径：提供图形可视化问诊路径，从主要症状出发，以流程图的形式将相关问诊要点呈树状串联在一起，医生可直接点击每个问诊要点是否存在（点击“√”或“×”）逐步完善问诊过程，并最终得出最可能的诊断，以及相应的处置措施。</w:t>
            </w:r>
          </w:p>
        </w:tc>
      </w:tr>
      <w:tr w14:paraId="406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D4C675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1C04072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center"/>
          </w:tcPr>
          <w:p w14:paraId="56F71D59">
            <w:pPr>
              <w:pStyle w:val="25"/>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pacing w:val="2"/>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4"/>
                <w:szCs w:val="24"/>
                <w:highlight w:val="none"/>
                <w:lang w:val="en-US" w:eastAsia="zh-CN" w:bidi="ar"/>
              </w:rPr>
              <w:t>危险信号提醒</w:t>
            </w:r>
            <w:r>
              <w:rPr>
                <w:rFonts w:hint="eastAsia" w:ascii="宋体" w:hAnsi="宋体" w:eastAsia="宋体" w:cs="宋体"/>
                <w:color w:val="auto"/>
                <w:spacing w:val="2"/>
                <w:kern w:val="0"/>
                <w:sz w:val="24"/>
                <w:szCs w:val="24"/>
                <w:highlight w:val="none"/>
                <w:lang w:val="en-US" w:eastAsia="zh-CN" w:bidi="ar"/>
              </w:rPr>
              <w:t>，针对该症状需要优先排除/确认的症状、体征，在图形问诊页面的最上方用"危险信号"进行提醒。在问诊路径中，对急症用红色线框以及警示标示进行提醒并提供紧急处理意见。</w:t>
            </w:r>
          </w:p>
        </w:tc>
      </w:tr>
      <w:tr w14:paraId="606D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2AFE2B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5DF05C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center"/>
          </w:tcPr>
          <w:p w14:paraId="60B62EA5">
            <w:pPr>
              <w:pStyle w:val="25"/>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pacing w:val="2"/>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4"/>
                <w:szCs w:val="24"/>
                <w:highlight w:val="none"/>
                <w:lang w:val="en-US" w:eastAsia="zh-CN" w:bidi="ar"/>
              </w:rPr>
              <w:t>路径跳转：从某个症状出发进行图形可视化问诊的过程中，当该症状与其他症状合并存在时，可直接跳转至相关症状的问诊路径。</w:t>
            </w:r>
          </w:p>
        </w:tc>
      </w:tr>
      <w:tr w14:paraId="2E56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8876FD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6CD525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center"/>
          </w:tcPr>
          <w:p w14:paraId="17BCBE3B">
            <w:pPr>
              <w:pStyle w:val="25"/>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0"/>
                <w:sz w:val="24"/>
                <w:szCs w:val="24"/>
                <w:highlight w:val="none"/>
                <w:lang w:val="en-US" w:eastAsia="zh-CN" w:bidi="ar"/>
              </w:rPr>
              <w:t>根据医生问诊结论能够提供相应的处理方案。</w:t>
            </w:r>
          </w:p>
        </w:tc>
      </w:tr>
      <w:tr w14:paraId="26DF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0FCC0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228C8D46">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center"/>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spacing w:val="2"/>
                <w:kern w:val="2"/>
                <w:sz w:val="24"/>
                <w:szCs w:val="24"/>
                <w:highlight w:val="none"/>
                <w:lang w:val="en-US" w:eastAsia="zh-CN" w:bidi="ar"/>
              </w:rPr>
              <w:t>用户反馈</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06E44A20">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b w:val="0"/>
                <w:bCs w:val="0"/>
                <w:color w:val="auto"/>
                <w:spacing w:val="2"/>
                <w:kern w:val="2"/>
                <w:sz w:val="24"/>
                <w:szCs w:val="24"/>
                <w:highlight w:val="none"/>
              </w:rPr>
            </w:pPr>
            <w:r>
              <w:rPr>
                <w:rFonts w:hint="eastAsia" w:ascii="宋体" w:hAnsi="宋体" w:eastAsia="宋体" w:cs="宋体"/>
                <w:b w:val="0"/>
                <w:bCs w:val="0"/>
                <w:color w:val="auto"/>
                <w:kern w:val="0"/>
                <w:sz w:val="24"/>
                <w:szCs w:val="24"/>
                <w:highlight w:val="none"/>
                <w:lang w:val="en-US" w:eastAsia="zh-CN" w:bidi="ar"/>
              </w:rPr>
              <w:t>支持在医生工作站进行用户反馈，医生可按照提建议、提缺陷、我想要等不同情况提交用户反馈。支持文字描述和图片上传，支持默认自动截图当前提醒框并上传。</w:t>
            </w:r>
          </w:p>
        </w:tc>
      </w:tr>
      <w:tr w14:paraId="0679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bottom w:val="single" w:color="auto" w:sz="4" w:space="0"/>
              <w:right w:val="single" w:color="auto" w:sz="4" w:space="0"/>
            </w:tcBorders>
            <w:noWrap w:val="0"/>
            <w:vAlign w:val="center"/>
          </w:tcPr>
          <w:p w14:paraId="341BD84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CDSS统计平台</w:t>
            </w:r>
          </w:p>
        </w:tc>
        <w:tc>
          <w:tcPr>
            <w:tcW w:w="817" w:type="pct"/>
            <w:vMerge w:val="restart"/>
            <w:tcBorders>
              <w:top w:val="nil"/>
              <w:left w:val="single" w:color="auto" w:sz="4" w:space="0"/>
              <w:bottom w:val="single" w:color="auto" w:sz="4" w:space="0"/>
              <w:right w:val="single" w:color="auto" w:sz="4" w:space="0"/>
            </w:tcBorders>
            <w:noWrap w:val="0"/>
            <w:vAlign w:val="center"/>
          </w:tcPr>
          <w:p w14:paraId="321C637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预警总览</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2B53E018">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对科室、医生诊疗过程中产生的诊疗预警情况进行统计分析，支持总预警次数和预警次数时间趋势统计分析；</w:t>
            </w:r>
          </w:p>
        </w:tc>
      </w:tr>
      <w:tr w14:paraId="4D8A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2B7A49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3DE360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1C0E42F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支持检验合理性、检查合理性、手术合理性、药品合理性、诊断合理性、术后并发症、检验检查重复性等不同预警类型的预警次数统计分析，支持下钻到患者明细列表，明细列表可下载；</w:t>
            </w:r>
          </w:p>
        </w:tc>
      </w:tr>
      <w:tr w14:paraId="4E3A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904FDA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B8FD4D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0BFC5B92">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支持不同预警类型预警时间趋势统计分析，可按天、周、月进行展示；</w:t>
            </w:r>
          </w:p>
        </w:tc>
      </w:tr>
      <w:tr w14:paraId="2586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E95F6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7EA8EF9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01274D37">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支持预警科室排名，展示预警科室top10；</w:t>
            </w:r>
          </w:p>
        </w:tc>
      </w:tr>
      <w:tr w14:paraId="0376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A90A3C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7D855D9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3CB8E82">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支持合理性预警-禁忌类型统计分析，如相对禁忌和绝对禁忌；</w:t>
            </w:r>
          </w:p>
        </w:tc>
      </w:tr>
      <w:tr w14:paraId="63B2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EB0A5D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26C39E7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22C22CDB">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支持预警规则排名，展示预警规则top10；</w:t>
            </w:r>
          </w:p>
        </w:tc>
      </w:tr>
      <w:tr w14:paraId="675F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B003E6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FA0CC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03D3AFAF">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支持按照时间、科室、医生、预警类型进行统计范围筛选；</w:t>
            </w:r>
          </w:p>
        </w:tc>
      </w:tr>
      <w:tr w14:paraId="7C29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654155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7BFBC25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智能推荐</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74C38B5F">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支持对系统各模块智能推荐情况进行统计分析。统计指标包括</w:t>
            </w:r>
            <w:r>
              <w:rPr>
                <w:rFonts w:hint="eastAsia" w:ascii="宋体" w:hAnsi="宋体" w:eastAsia="宋体" w:cs="宋体"/>
                <w:color w:val="auto"/>
                <w:kern w:val="2"/>
                <w:sz w:val="24"/>
                <w:szCs w:val="24"/>
                <w:highlight w:val="none"/>
                <w:lang w:val="en-US" w:eastAsia="zh-CN" w:bidi="ar"/>
              </w:rPr>
              <w:t>疑似危重推荐数、常见疑似诊断推荐数、检查解读推荐数、检查检验推荐数、治疗方案推荐数、评估表推荐数、文献推荐数、护理处置推荐数、出院指导推荐数、护理评估表推荐数、推荐用药、回填总数等</w:t>
            </w:r>
          </w:p>
        </w:tc>
      </w:tr>
      <w:tr w14:paraId="7325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007AC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B7E8E0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F171EBB">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支持以上统计指标的环比分析；</w:t>
            </w:r>
          </w:p>
        </w:tc>
      </w:tr>
      <w:tr w14:paraId="265C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1C5FB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C4C719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4B9DB3A2">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
              </w:rPr>
              <w:t>支持智能推荐指标数据下钻和患者明细下载；支持对每个患者提醒条数进一步下钻至推荐内容明细页面，可查看该次提醒对应的常见疑似诊断、鉴别依据，初次触发页面、提醒时间、是否回写等信息。</w:t>
            </w:r>
          </w:p>
        </w:tc>
      </w:tr>
      <w:tr w14:paraId="0F4F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3C39CD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386BAB7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1E1F4937">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
              </w:rPr>
              <w:t>支持对一定时间段内不同推荐项目的变化趋势进行统计分析，以天、周、月进行展示，支持用户根据需求勾选推荐项目调整显示的趋势图</w:t>
            </w:r>
          </w:p>
        </w:tc>
      </w:tr>
      <w:tr w14:paraId="6D9C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772E68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105B58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1EE71E33">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支持智能推荐项目回填率统计分析</w:t>
            </w:r>
          </w:p>
        </w:tc>
      </w:tr>
      <w:tr w14:paraId="0F96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4F17B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014612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11DE598">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支持推荐项目排名，展示推荐内容top10。</w:t>
            </w:r>
          </w:p>
        </w:tc>
      </w:tr>
      <w:tr w14:paraId="7922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E542DC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6EF25D6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用户点击数据</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3C062EDE">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支持对整体点击量、覆盖患者数、覆盖医生数、智能推荐数进行统计分析；</w:t>
            </w:r>
          </w:p>
        </w:tc>
      </w:tr>
      <w:tr w14:paraId="272C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46B6F43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4447EDD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3A51F080">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支持对CDSS点击数和覆盖患者数的时间趋势进行统计分析，按天、周、月进行可视化图表展示；</w:t>
            </w:r>
          </w:p>
        </w:tc>
      </w:tr>
      <w:tr w14:paraId="27E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6769CC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1B41982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CD0CE26">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支持对不同科室点击量进行统计并排名，可视化展示科室点击量top15；</w:t>
            </w:r>
          </w:p>
        </w:tc>
      </w:tr>
      <w:tr w14:paraId="714C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F5342F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58DCF6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6A2E149C">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支持对不同医生点击量进行统计并排名，可视化展示医生点击量top15；</w:t>
            </w:r>
          </w:p>
        </w:tc>
      </w:tr>
      <w:tr w14:paraId="7B74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5B71D07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3DE1E97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热点功能</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09745EAC">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
              </w:rPr>
              <w:t>支持对检验检查、治疗方案、文献、鉴别诊断等不同模块模块使用点击量进行统计分析；点击可下钻使用该功能模块最多的科室排行榜，列表可下载；</w:t>
            </w:r>
          </w:p>
        </w:tc>
      </w:tr>
      <w:tr w14:paraId="03AD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7A5DD11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293EEAA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69B6164D">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
              </w:rPr>
              <w:t>支持对用户搜索知识库情况进行统计分析，可视化展示热点知识库搜索排行榜；点击可下钻搜索列表，列表可下载；</w:t>
            </w:r>
          </w:p>
        </w:tc>
      </w:tr>
      <w:tr w14:paraId="776F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01596ED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231942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24385FC3">
            <w:pPr>
              <w:pStyle w:val="25"/>
              <w:keepNext w:val="0"/>
              <w:keepLines w:val="0"/>
              <w:widowControl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支持对不同科室文献使用情况进行统计分析。</w:t>
            </w:r>
          </w:p>
        </w:tc>
      </w:tr>
      <w:tr w14:paraId="6B38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5EEEA3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nil"/>
              <w:left w:val="single" w:color="auto" w:sz="4" w:space="0"/>
              <w:bottom w:val="single" w:color="auto" w:sz="4" w:space="0"/>
              <w:right w:val="single" w:color="auto" w:sz="4" w:space="0"/>
            </w:tcBorders>
            <w:noWrap w:val="0"/>
            <w:vAlign w:val="center"/>
          </w:tcPr>
          <w:p w14:paraId="474FDBB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历史评估记录</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5D93999D">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对全院历史评估情况进行汇总，可按照患者维度、评估表维度进行评估历史记录查看</w:t>
            </w:r>
          </w:p>
        </w:tc>
      </w:tr>
      <w:tr w14:paraId="192C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1BF144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1EEE3EE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3CD92A0">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支持每次原始评估表详情查看，支持评估依据查看；</w:t>
            </w:r>
          </w:p>
        </w:tc>
      </w:tr>
      <w:tr w14:paraId="27CC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single" w:color="auto" w:sz="4" w:space="0"/>
              <w:right w:val="single" w:color="auto" w:sz="4" w:space="0"/>
            </w:tcBorders>
            <w:noWrap w:val="0"/>
            <w:vAlign w:val="center"/>
          </w:tcPr>
          <w:p w14:paraId="26C3C61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top w:val="nil"/>
              <w:left w:val="single" w:color="auto" w:sz="4" w:space="0"/>
              <w:bottom w:val="single" w:color="auto" w:sz="4" w:space="0"/>
              <w:right w:val="single" w:color="auto" w:sz="4" w:space="0"/>
            </w:tcBorders>
            <w:noWrap w:val="0"/>
            <w:vAlign w:val="center"/>
          </w:tcPr>
          <w:p w14:paraId="75665EA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676" w:type="pct"/>
            <w:tcBorders>
              <w:top w:val="single" w:color="auto" w:sz="4" w:space="0"/>
              <w:left w:val="single" w:color="auto" w:sz="4" w:space="0"/>
              <w:bottom w:val="single" w:color="auto" w:sz="4" w:space="0"/>
              <w:right w:val="single" w:color="auto" w:sz="4" w:space="0"/>
            </w:tcBorders>
            <w:noWrap w:val="0"/>
            <w:vAlign w:val="top"/>
          </w:tcPr>
          <w:p w14:paraId="7C3D76AA">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支持历史评估记录表字体大小调整、打印、下载。</w:t>
            </w:r>
          </w:p>
        </w:tc>
      </w:tr>
      <w:tr w14:paraId="53B3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nil"/>
              <w:left w:val="single" w:color="auto" w:sz="4" w:space="0"/>
              <w:bottom w:val="nil"/>
              <w:right w:val="single" w:color="auto" w:sz="4" w:space="0"/>
            </w:tcBorders>
            <w:noWrap w:val="0"/>
            <w:vAlign w:val="center"/>
          </w:tcPr>
          <w:p w14:paraId="14F16B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noWrap w:val="0"/>
            <w:vAlign w:val="center"/>
          </w:tcPr>
          <w:p w14:paraId="70D152E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反馈管理</w:t>
            </w:r>
          </w:p>
        </w:tc>
        <w:tc>
          <w:tcPr>
            <w:tcW w:w="3676" w:type="pct"/>
            <w:tcBorders>
              <w:top w:val="single" w:color="auto" w:sz="4" w:space="0"/>
              <w:left w:val="single" w:color="auto" w:sz="4" w:space="0"/>
              <w:bottom w:val="single" w:color="auto" w:sz="4" w:space="0"/>
              <w:right w:val="single" w:color="auto" w:sz="4" w:space="0"/>
            </w:tcBorders>
            <w:noWrap w:val="0"/>
            <w:vAlign w:val="top"/>
          </w:tcPr>
          <w:p w14:paraId="19C39312">
            <w:pPr>
              <w:pStyle w:val="25"/>
              <w:keepNext w:val="0"/>
              <w:keepLines w:val="0"/>
              <w:widowControl w:val="0"/>
              <w:suppressLineNumbers w:val="0"/>
              <w:kinsoku w:val="0"/>
              <w:overflowPunct w:val="0"/>
              <w:autoSpaceDE w:val="0"/>
              <w:autoSpaceDN/>
              <w:spacing w:before="0" w:beforeAutospacing="0" w:after="0" w:afterAutospacing="0" w:line="360" w:lineRule="auto"/>
              <w:ind w:left="0" w:right="0"/>
              <w:jc w:val="lef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lang w:val="en-US" w:eastAsia="zh-CN" w:bidi="ar"/>
              </w:rPr>
              <w:t>支持反馈情况统计分析，统计指标包含</w:t>
            </w:r>
            <w:r>
              <w:rPr>
                <w:rFonts w:hint="eastAsia" w:ascii="宋体" w:hAnsi="宋体" w:eastAsia="宋体" w:cs="宋体"/>
                <w:color w:val="auto"/>
                <w:kern w:val="2"/>
                <w:sz w:val="24"/>
                <w:szCs w:val="24"/>
                <w:highlight w:val="none"/>
                <w:lang w:val="en-US" w:eastAsia="zh-CN" w:bidi="ar"/>
              </w:rPr>
              <w:t>反馈总数、回复总数、提缺陷、提建议等指标；</w:t>
            </w:r>
          </w:p>
        </w:tc>
      </w:tr>
      <w:tr w14:paraId="404E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right w:val="single" w:color="auto" w:sz="4" w:space="0"/>
            </w:tcBorders>
            <w:shd w:val="clear" w:color="auto" w:fill="auto"/>
            <w:noWrap w:val="0"/>
            <w:vAlign w:val="center"/>
          </w:tcPr>
          <w:p w14:paraId="293901A7">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spacing w:val="-2"/>
                <w:kern w:val="2"/>
                <w:sz w:val="21"/>
                <w:szCs w:val="21"/>
                <w:highlight w:val="none"/>
                <w:lang w:val="zh-CN" w:eastAsia="zh-CN" w:bidi="zh-CN"/>
              </w:rPr>
            </w:pPr>
            <w:r>
              <w:rPr>
                <w:rFonts w:hint="default" w:ascii="Times New Roman" w:hAnsi="Times New Roman" w:eastAsia="宋体" w:cs="Times New Roman"/>
                <w:color w:val="auto"/>
                <w:spacing w:val="-2"/>
                <w:sz w:val="21"/>
                <w:szCs w:val="21"/>
                <w:highlight w:val="none"/>
              </w:rPr>
              <w:t>VTE风险和出血风险自动化计算评估</w:t>
            </w: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7F9160D5">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spacing w:val="-2"/>
                <w:kern w:val="2"/>
                <w:sz w:val="21"/>
                <w:szCs w:val="21"/>
                <w:highlight w:val="none"/>
                <w:lang w:val="en-US" w:eastAsia="zh-CN" w:bidi="zh-CN"/>
              </w:rPr>
            </w:pPr>
            <w:r>
              <w:rPr>
                <w:rFonts w:hint="default" w:ascii="Times New Roman" w:hAnsi="Times New Roman" w:eastAsia="宋体" w:cs="Times New Roman"/>
                <w:color w:val="auto"/>
                <w:spacing w:val="-2"/>
                <w:sz w:val="21"/>
                <w:szCs w:val="21"/>
                <w:highlight w:val="none"/>
              </w:rPr>
              <w:t>Caprini</w:t>
            </w:r>
            <w:r>
              <w:rPr>
                <w:rFonts w:hint="eastAsia"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2"/>
                <w:sz w:val="21"/>
                <w:szCs w:val="21"/>
                <w:highlight w:val="none"/>
              </w:rPr>
              <w:t>Padua</w:t>
            </w:r>
            <w:r>
              <w:rPr>
                <w:rFonts w:hint="eastAsia" w:ascii="Times New Roman" w:hAnsi="Times New Roman" w:eastAsia="宋体" w:cs="Times New Roman"/>
                <w:color w:val="auto"/>
                <w:spacing w:val="-2"/>
                <w:sz w:val="21"/>
                <w:szCs w:val="21"/>
                <w:highlight w:val="none"/>
              </w:rPr>
              <w:t>初始</w:t>
            </w:r>
            <w:r>
              <w:rPr>
                <w:rFonts w:hint="default" w:ascii="Times New Roman" w:hAnsi="Times New Roman" w:eastAsia="宋体" w:cs="Times New Roman"/>
                <w:color w:val="auto"/>
                <w:spacing w:val="-2"/>
                <w:sz w:val="21"/>
                <w:szCs w:val="21"/>
                <w:highlight w:val="none"/>
              </w:rPr>
              <w:t>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941B143">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患者入院24小时内，系统结合患者全部病史、手术、用药、检查/检验结果等信息，能够自动完成患者的VTE风险评估。并主动、及时提醒医生查看VTE风险评估的结果，且支持医生查看评估依据，快速确认。</w:t>
            </w:r>
          </w:p>
        </w:tc>
      </w:tr>
      <w:tr w14:paraId="7BBD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185952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694F2DF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8C93A25">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系统结合患者全部病史、用药、检查检验结果等信息、智能识别中高危患者特征，主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tc>
      </w:tr>
      <w:tr w14:paraId="116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6EB129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64A84F59">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0B8A91B">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系统自动完成所有住院患者的VTE风险评估，并支持在医生打开电子病历时，主动提醒医生完成对患者VTE风险评估结果的确认，在医务人员快速确认系统自动评估的结果后，提醒自动消失。</w:t>
            </w:r>
          </w:p>
        </w:tc>
      </w:tr>
      <w:tr w14:paraId="3FAF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EEABC0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774E091D">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b/>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VTE动态评估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40A6F11">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可实时根据患者在院情况自动进行VTE风险评估，并主动提醒医务人员对评估结果进行快速确认。保证患者病情变化时，能使用准确的VTE风险评估量表、自动判断风险程度、识别中高危患者，及时完成VTE风险评估，使医生掌握患者VTE风险动态变化。</w:t>
            </w:r>
          </w:p>
        </w:tc>
      </w:tr>
      <w:tr w14:paraId="40B7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C6D7D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61D6DA08">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421F548">
            <w:pPr>
              <w:pStyle w:val="57"/>
              <w:keepNext w:val="0"/>
              <w:keepLines w:val="0"/>
              <w:suppressLineNumbers w:val="0"/>
              <w:kinsoku w:val="0"/>
              <w:overflowPunct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在术前准备阶段，系统自动根据</w:t>
            </w:r>
            <w:r>
              <w:rPr>
                <w:rFonts w:hint="eastAsia" w:ascii="Times New Roman" w:hAnsi="Times New Roman" w:eastAsia="宋体" w:cs="Times New Roman"/>
                <w:color w:val="auto"/>
                <w:sz w:val="21"/>
                <w:szCs w:val="21"/>
                <w:highlight w:val="none"/>
                <w:lang w:val="en-US" w:eastAsia="zh-Hans"/>
              </w:rPr>
              <w:t>手术申请信息</w:t>
            </w:r>
            <w:r>
              <w:rPr>
                <w:rFonts w:hint="default" w:ascii="Times New Roman" w:hAnsi="Times New Roman" w:eastAsia="宋体" w:cs="Times New Roman"/>
                <w:color w:val="auto"/>
                <w:sz w:val="21"/>
                <w:szCs w:val="21"/>
                <w:highlight w:val="none"/>
              </w:rPr>
              <w:t>，自动对患者进行VTE风险评估，主动提醒医务人员对评估结果进行确认，在医务人员快速确认评估结果后，质控提醒自动消失。</w:t>
            </w:r>
          </w:p>
          <w:p w14:paraId="4B6B6856">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系统可主动识别患者</w:t>
            </w:r>
            <w:r>
              <w:rPr>
                <w:rFonts w:hint="eastAsia" w:ascii="Times New Roman" w:hAnsi="Times New Roman" w:eastAsia="宋体" w:cs="Times New Roman"/>
                <w:color w:val="auto"/>
                <w:sz w:val="21"/>
                <w:szCs w:val="21"/>
                <w:highlight w:val="none"/>
                <w:lang w:val="en-US" w:eastAsia="zh-Hans"/>
              </w:rPr>
              <w:t>手术申请医嘱、术前小结文书</w:t>
            </w:r>
            <w:r>
              <w:rPr>
                <w:rFonts w:hint="default" w:ascii="Times New Roman" w:hAnsi="Times New Roman" w:eastAsia="宋体" w:cs="Times New Roman"/>
                <w:color w:val="auto"/>
                <w:sz w:val="21"/>
                <w:szCs w:val="21"/>
                <w:highlight w:val="none"/>
              </w:rPr>
              <w:t>，监测评估是否在手术</w:t>
            </w:r>
            <w:r>
              <w:rPr>
                <w:rFonts w:hint="eastAsia" w:ascii="Times New Roman" w:hAnsi="Times New Roman" w:eastAsia="宋体" w:cs="Times New Roman"/>
                <w:color w:val="auto"/>
                <w:sz w:val="21"/>
                <w:szCs w:val="21"/>
                <w:highlight w:val="none"/>
                <w:lang w:val="en-US" w:eastAsia="zh-Hans"/>
              </w:rPr>
              <w:t>开始前</w:t>
            </w:r>
            <w:r>
              <w:rPr>
                <w:rFonts w:hint="default" w:ascii="Times New Roman" w:hAnsi="Times New Roman" w:eastAsia="宋体" w:cs="Times New Roman"/>
                <w:color w:val="auto"/>
                <w:sz w:val="21"/>
                <w:szCs w:val="21"/>
                <w:highlight w:val="none"/>
              </w:rPr>
              <w:t>24小时内完成。</w:t>
            </w:r>
          </w:p>
        </w:tc>
      </w:tr>
      <w:tr w14:paraId="0554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CFB336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0E0D49B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186C662">
            <w:pPr>
              <w:pStyle w:val="57"/>
              <w:keepNext w:val="0"/>
              <w:keepLines w:val="0"/>
              <w:suppressLineNumbers w:val="0"/>
              <w:kinsoku w:val="0"/>
              <w:overflowPunct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在患者完成相关手术后，系统自动根据患者术后情况，自动对患者进行VTE风险评估，针对VTE风险评估结果有变化的患者，主动提醒医务人员对评估结果进行确认，在医务人员快速确认评估结果后，质控提醒自动消失。</w:t>
            </w:r>
          </w:p>
          <w:p w14:paraId="2C20ADE1">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系统可主动识别患者手术时间，监测评估是否在手术结束后24小时内完成。</w:t>
            </w:r>
          </w:p>
        </w:tc>
      </w:tr>
      <w:tr w14:paraId="3A56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81F77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B4AA38C">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1823363">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在患者完成转科后24小时内，系统应主动提醒转入科室是否及时完成患者VTE动态风险评估结果的确认。</w:t>
            </w:r>
          </w:p>
        </w:tc>
      </w:tr>
      <w:tr w14:paraId="5CEB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3140DF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440440C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768A6D0">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患者在院期间，系统根据患者病情变化、患者全部病史、手术、用药、检查检验结果等信息更新，实时自动评估和监测VTE风险。患者一旦发生变化，系统应即刻主动提示，提醒医生及时采取措施。</w:t>
            </w:r>
          </w:p>
        </w:tc>
      </w:tr>
      <w:tr w14:paraId="3A05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90C8C1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6FFD7B08">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9B7C15E">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患者出院时，系统应主动提醒医生再次进行VTE风险评估结果的确认，避免在患者出院前发生遗漏。</w:t>
            </w:r>
          </w:p>
        </w:tc>
      </w:tr>
      <w:tr w14:paraId="4605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A9917E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4DDC1F9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6D14DD">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0"/>
                <w:sz w:val="21"/>
                <w:szCs w:val="21"/>
                <w:highlight w:val="none"/>
              </w:rPr>
              <w:t>★</w:t>
            </w:r>
            <w:r>
              <w:rPr>
                <w:rFonts w:hint="eastAsia" w:ascii="Times New Roman" w:hAnsi="Times New Roman" w:eastAsia="宋体" w:cs="Times New Roman"/>
                <w:color w:val="auto"/>
                <w:sz w:val="21"/>
                <w:szCs w:val="21"/>
                <w:highlight w:val="none"/>
                <w:lang w:val="en-US" w:eastAsia="zh-CN" w:bidi="ar-SA"/>
              </w:rPr>
              <w:t>动态复评：系统应支持动态复评提醒，VTE高危患者支持每3日自动复评，中</w:t>
            </w:r>
            <w:r>
              <w:rPr>
                <w:rFonts w:hint="default" w:ascii="Times New Roman" w:hAnsi="Times New Roman" w:cs="Times New Roman"/>
                <w:color w:val="auto"/>
                <w:sz w:val="21"/>
                <w:szCs w:val="21"/>
                <w:highlight w:val="none"/>
                <w:lang w:eastAsia="zh-CN" w:bidi="ar-SA"/>
              </w:rPr>
              <w:t>危</w:t>
            </w:r>
            <w:r>
              <w:rPr>
                <w:rFonts w:hint="eastAsia" w:ascii="Times New Roman" w:hAnsi="Times New Roman" w:eastAsia="宋体" w:cs="Times New Roman"/>
                <w:color w:val="auto"/>
                <w:sz w:val="21"/>
                <w:szCs w:val="21"/>
                <w:highlight w:val="none"/>
                <w:lang w:val="en-US" w:eastAsia="zh-CN" w:bidi="ar-SA"/>
              </w:rPr>
              <w:t>患者支持每7日自动复评，低危患者支持每</w:t>
            </w:r>
            <w:r>
              <w:rPr>
                <w:rFonts w:hint="default" w:ascii="Times New Roman" w:hAnsi="Times New Roman" w:eastAsia="宋体" w:cs="Times New Roman"/>
                <w:color w:val="auto"/>
                <w:sz w:val="21"/>
                <w:szCs w:val="21"/>
                <w:highlight w:val="none"/>
                <w:lang w:eastAsia="zh-CN" w:bidi="ar-SA"/>
              </w:rPr>
              <w:t>14</w:t>
            </w:r>
            <w:r>
              <w:rPr>
                <w:rFonts w:hint="eastAsia" w:ascii="Times New Roman" w:hAnsi="Times New Roman" w:eastAsia="宋体" w:cs="Times New Roman"/>
                <w:color w:val="auto"/>
                <w:sz w:val="21"/>
                <w:szCs w:val="21"/>
                <w:highlight w:val="none"/>
                <w:lang w:val="en-US" w:eastAsia="zh-CN" w:bidi="ar-SA"/>
              </w:rPr>
              <w:t>日自动复评</w:t>
            </w:r>
            <w:r>
              <w:rPr>
                <w:rFonts w:hint="default" w:ascii="Times New Roman" w:hAnsi="Times New Roman" w:eastAsia="宋体" w:cs="Times New Roman"/>
                <w:color w:val="auto"/>
                <w:sz w:val="21"/>
                <w:szCs w:val="21"/>
                <w:highlight w:val="none"/>
                <w:lang w:eastAsia="zh-CN" w:bidi="ar-SA"/>
              </w:rPr>
              <w:t>，</w:t>
            </w:r>
            <w:r>
              <w:rPr>
                <w:rFonts w:hint="eastAsia" w:ascii="Times New Roman" w:hAnsi="Times New Roman" w:eastAsia="宋体" w:cs="Times New Roman"/>
                <w:color w:val="auto"/>
                <w:sz w:val="21"/>
                <w:szCs w:val="21"/>
                <w:highlight w:val="none"/>
                <w:lang w:val="en-US" w:eastAsia="zh-CN" w:bidi="ar-SA"/>
              </w:rPr>
              <w:t>并提醒医生及时确认，医生确认后提醒自动消失。</w:t>
            </w:r>
          </w:p>
        </w:tc>
      </w:tr>
      <w:tr w14:paraId="71D3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E94F4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8FED1">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出血风险评估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D878278">
            <w:pPr>
              <w:pStyle w:val="57"/>
              <w:keepNext w:val="0"/>
              <w:keepLines w:val="0"/>
              <w:suppressLineNumbers w:val="0"/>
              <w:kinsoku w:val="0"/>
              <w:overflowPunct w:val="0"/>
              <w:spacing w:before="0" w:beforeAutospacing="0" w:after="0" w:afterAutospacing="0" w:line="360" w:lineRule="auto"/>
              <w:ind w:left="0" w:right="0"/>
              <w:rPr>
                <w:rFonts w:hint="eastAsia" w:ascii="Segoe UI Symbol" w:hAnsi="Segoe UI Symbol" w:eastAsia="宋体" w:cs="Segoe UI Symbol"/>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系统根据</w:t>
            </w:r>
            <w:r>
              <w:rPr>
                <w:rFonts w:hint="default" w:ascii="Times New Roman" w:hAnsi="Times New Roman" w:eastAsia="宋体" w:cs="Times New Roman"/>
                <w:color w:val="auto"/>
                <w:sz w:val="21"/>
                <w:szCs w:val="21"/>
                <w:highlight w:val="none"/>
              </w:rPr>
              <w:t>患者全部病史、用药、检查检验结果等信息，</w:t>
            </w:r>
            <w:r>
              <w:rPr>
                <w:rFonts w:hint="eastAsia" w:ascii="Times New Roman" w:hAnsi="Times New Roman" w:cs="Times New Roman"/>
                <w:color w:val="auto"/>
                <w:sz w:val="21"/>
                <w:szCs w:val="21"/>
                <w:highlight w:val="none"/>
                <w:lang w:val="en-US" w:eastAsia="zh-CN"/>
              </w:rPr>
              <w:t>自动提取</w:t>
            </w:r>
            <w:r>
              <w:rPr>
                <w:rFonts w:hint="default" w:ascii="Times New Roman" w:hAnsi="Times New Roman" w:eastAsia="宋体" w:cs="Times New Roman"/>
                <w:color w:val="auto"/>
                <w:sz w:val="21"/>
                <w:szCs w:val="21"/>
                <w:highlight w:val="none"/>
              </w:rPr>
              <w:t>高危患者特征，自动判断患者的出血风险</w:t>
            </w:r>
            <w:r>
              <w:rPr>
                <w:rFonts w:hint="eastAsia" w:ascii="Times New Roman" w:hAnsi="Times New Roman" w:cs="Times New Roman"/>
                <w:color w:val="auto"/>
                <w:sz w:val="21"/>
                <w:szCs w:val="21"/>
                <w:highlight w:val="none"/>
                <w:lang w:val="en-US" w:eastAsia="zh-CN"/>
              </w:rPr>
              <w:t>并在电子病历或His界面提醒给临床医生</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支持点击查看具体的危险因素，并可一键追溯原始信息来源。当最新评估风险等级高于前次人工评估结果时，系统以</w:t>
            </w:r>
            <w:r>
              <w:rPr>
                <w:rFonts w:hint="default" w:ascii="Times New Roman" w:hAnsi="Times New Roman" w:eastAsia="宋体" w:cs="Times New Roman"/>
                <w:color w:val="auto"/>
                <w:sz w:val="21"/>
                <w:szCs w:val="21"/>
                <w:highlight w:val="none"/>
              </w:rPr>
              <w:t>人机对比</w:t>
            </w:r>
            <w:r>
              <w:rPr>
                <w:rFonts w:hint="eastAsia" w:ascii="Times New Roman" w:hAnsi="Times New Roman" w:cs="Times New Roman"/>
                <w:color w:val="auto"/>
                <w:sz w:val="21"/>
                <w:szCs w:val="21"/>
                <w:highlight w:val="none"/>
                <w:lang w:val="en-US" w:eastAsia="zh-CN"/>
              </w:rPr>
              <w:t>的形式进行主动提醒</w:t>
            </w:r>
            <w:r>
              <w:rPr>
                <w:rFonts w:hint="default" w:ascii="Times New Roman" w:hAnsi="Times New Roman" w:eastAsia="宋体" w:cs="Times New Roman"/>
                <w:color w:val="auto"/>
                <w:sz w:val="21"/>
                <w:szCs w:val="21"/>
                <w:highlight w:val="none"/>
              </w:rPr>
              <w:t>。</w:t>
            </w:r>
          </w:p>
        </w:tc>
      </w:tr>
      <w:tr w14:paraId="471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3A6F6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499C3060">
            <w:pPr>
              <w:pStyle w:val="57"/>
              <w:keepNext w:val="0"/>
              <w:keepLines w:val="0"/>
              <w:suppressLineNumbers w:val="0"/>
              <w:kinsoku w:val="0"/>
              <w:overflowPunct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Wells评分</w:t>
            </w:r>
          </w:p>
          <w:p w14:paraId="366C2DF7">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FE0CD7E">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系统</w:t>
            </w:r>
            <w:r>
              <w:rPr>
                <w:rFonts w:hint="default" w:ascii="Times New Roman" w:hAnsi="Times New Roman" w:eastAsia="宋体" w:cs="Times New Roman"/>
                <w:color w:val="auto"/>
                <w:sz w:val="21"/>
                <w:szCs w:val="21"/>
                <w:highlight w:val="none"/>
              </w:rPr>
              <w:t>结合患者全部病史、手术、用药、检查/检验结果等信息，根据深静脉血栓形成（DVT）临床指征及当前患者特征，系统应自动判断患者是否应进行Wells评估并对符合条件的患者自动评估风险。</w:t>
            </w:r>
          </w:p>
        </w:tc>
      </w:tr>
      <w:tr w14:paraId="3D15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6E2C9C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43361BB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583964F">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根据VTE风险评估结果及Wells评估结果，对适宜的患者在EMR界面提醒医生开立D</w:t>
            </w:r>
            <w:r>
              <w:rPr>
                <w:rFonts w:hint="eastAsia" w:ascii="Times New Roman" w:hAnsi="Times New Roman" w:cs="Times New Roman"/>
                <w:color w:val="auto"/>
                <w:kern w:val="0"/>
                <w:sz w:val="21"/>
                <w:szCs w:val="21"/>
                <w:highlight w:val="none"/>
                <w:lang w:val="en-US" w:eastAsia="zh-CN"/>
              </w:rPr>
              <w:t>-二聚体</w:t>
            </w:r>
            <w:r>
              <w:rPr>
                <w:rFonts w:hint="default" w:ascii="Times New Roman" w:hAnsi="Times New Roman" w:eastAsia="宋体" w:cs="Times New Roman"/>
                <w:color w:val="auto"/>
                <w:kern w:val="0"/>
                <w:sz w:val="21"/>
                <w:szCs w:val="21"/>
                <w:highlight w:val="none"/>
              </w:rPr>
              <w:t>检查医嘱。</w:t>
            </w:r>
          </w:p>
        </w:tc>
      </w:tr>
      <w:tr w14:paraId="4206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DAE27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321B41B8">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F2743CD">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根据VTE风险评估结果及Wells评估结果，对适宜的患者在EMR界面提醒医生开立静脉超声检查医嘱。</w:t>
            </w:r>
          </w:p>
        </w:tc>
      </w:tr>
      <w:tr w14:paraId="1BA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40B18D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31415F24">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56A7640">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支持</w:t>
            </w:r>
            <w:r>
              <w:rPr>
                <w:rFonts w:hint="eastAsia" w:ascii="Times New Roman" w:hAnsi="Times New Roman" w:eastAsia="宋体" w:cs="Times New Roman"/>
                <w:color w:val="auto"/>
                <w:kern w:val="0"/>
                <w:sz w:val="21"/>
                <w:szCs w:val="21"/>
                <w:highlight w:val="none"/>
                <w:lang w:val="en-US" w:eastAsia="zh-CN"/>
              </w:rPr>
              <w:t>评</w:t>
            </w:r>
            <w:r>
              <w:rPr>
                <w:rFonts w:hint="default" w:ascii="Times New Roman" w:hAnsi="Times New Roman" w:eastAsia="宋体" w:cs="Times New Roman"/>
                <w:color w:val="auto"/>
                <w:kern w:val="0"/>
                <w:sz w:val="21"/>
                <w:szCs w:val="21"/>
                <w:highlight w:val="none"/>
              </w:rPr>
              <w:t>估表的</w:t>
            </w:r>
            <w:r>
              <w:rPr>
                <w:rFonts w:hint="eastAsia" w:ascii="Times New Roman" w:hAnsi="Times New Roman" w:cs="Times New Roman"/>
                <w:color w:val="auto"/>
                <w:kern w:val="0"/>
                <w:sz w:val="21"/>
                <w:szCs w:val="21"/>
                <w:highlight w:val="none"/>
                <w:lang w:val="en-US" w:eastAsia="zh-CN"/>
              </w:rPr>
              <w:t>下载，</w:t>
            </w:r>
            <w:r>
              <w:rPr>
                <w:rFonts w:hint="default" w:ascii="Times New Roman" w:hAnsi="Times New Roman" w:eastAsia="宋体" w:cs="Times New Roman"/>
                <w:color w:val="auto"/>
                <w:kern w:val="0"/>
                <w:sz w:val="21"/>
                <w:szCs w:val="21"/>
                <w:highlight w:val="none"/>
              </w:rPr>
              <w:t>打印</w:t>
            </w:r>
            <w:r>
              <w:rPr>
                <w:rFonts w:hint="eastAsia" w:ascii="Times New Roman" w:hAnsi="Times New Roman" w:cs="Times New Roman"/>
                <w:color w:val="auto"/>
                <w:kern w:val="0"/>
                <w:sz w:val="21"/>
                <w:szCs w:val="21"/>
                <w:highlight w:val="none"/>
                <w:lang w:val="en-US" w:eastAsia="zh-CN"/>
              </w:rPr>
              <w:t>以及合并打印等</w:t>
            </w:r>
            <w:r>
              <w:rPr>
                <w:rFonts w:hint="default" w:ascii="Times New Roman" w:hAnsi="Times New Roman" w:eastAsia="宋体" w:cs="Times New Roman"/>
                <w:color w:val="auto"/>
                <w:kern w:val="0"/>
                <w:sz w:val="21"/>
                <w:szCs w:val="21"/>
                <w:highlight w:val="none"/>
              </w:rPr>
              <w:t>，并支持以PDF形式保持在电子病历系统中。</w:t>
            </w:r>
          </w:p>
        </w:tc>
      </w:tr>
      <w:tr w14:paraId="7CEA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408BC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6BF5AF3B">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eastAsia" w:ascii="Times New Roman" w:hAnsi="Times New Roman" w:eastAsia="宋体" w:cs="Times New Roman"/>
                <w:color w:val="auto"/>
                <w:sz w:val="21"/>
                <w:szCs w:val="21"/>
                <w:highlight w:val="none"/>
                <w:lang w:val="en-US" w:eastAsia="zh-CN"/>
              </w:rPr>
              <w:t>PTE筛查</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EDD32EF">
            <w:pPr>
              <w:pStyle w:val="57"/>
              <w:keepNext w:val="0"/>
              <w:keepLines w:val="0"/>
              <w:suppressLineNumbers w:val="0"/>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zh-CN"/>
              </w:rPr>
            </w:pPr>
            <w:r>
              <w:rPr>
                <w:rFonts w:hint="default"/>
                <w:color w:val="auto"/>
                <w:sz w:val="21"/>
                <w:szCs w:val="21"/>
                <w:highlight w:val="none"/>
              </w:rPr>
              <w:t> </w:t>
            </w:r>
            <w:r>
              <w:rPr>
                <w:rFonts w:hint="eastAsia"/>
                <w:color w:val="auto"/>
                <w:sz w:val="21"/>
                <w:szCs w:val="21"/>
                <w:highlight w:val="none"/>
                <w:lang w:val="en-US" w:eastAsia="zh-CN"/>
              </w:rPr>
              <w:t>对于</w:t>
            </w:r>
            <w:r>
              <w:rPr>
                <w:rFonts w:hint="default"/>
                <w:color w:val="auto"/>
                <w:sz w:val="21"/>
                <w:szCs w:val="21"/>
                <w:highlight w:val="none"/>
              </w:rPr>
              <w:t>高度可疑或者确诊急性肺栓塞患者</w:t>
            </w:r>
            <w:r>
              <w:rPr>
                <w:rFonts w:hint="eastAsia"/>
                <w:color w:val="auto"/>
                <w:sz w:val="21"/>
                <w:szCs w:val="21"/>
                <w:highlight w:val="none"/>
                <w:lang w:eastAsia="zh-CN"/>
              </w:rPr>
              <w:t>，</w:t>
            </w:r>
            <w:r>
              <w:rPr>
                <w:rFonts w:hint="default" w:ascii="Times New Roman" w:hAnsi="Times New Roman" w:eastAsia="宋体" w:cs="Times New Roman"/>
                <w:color w:val="auto"/>
                <w:kern w:val="0"/>
                <w:sz w:val="21"/>
                <w:szCs w:val="21"/>
                <w:highlight w:val="none"/>
              </w:rPr>
              <w:t>系统</w:t>
            </w:r>
            <w:r>
              <w:rPr>
                <w:rFonts w:hint="eastAsia" w:ascii="Times New Roman" w:hAnsi="Times New Roman" w:eastAsia="宋体" w:cs="Times New Roman"/>
                <w:color w:val="auto"/>
                <w:kern w:val="0"/>
                <w:sz w:val="21"/>
                <w:szCs w:val="21"/>
                <w:highlight w:val="none"/>
                <w:lang w:val="en-US" w:eastAsia="zh-CN"/>
              </w:rPr>
              <w:t>支持</w:t>
            </w:r>
            <w:r>
              <w:rPr>
                <w:rFonts w:hint="default" w:ascii="Times New Roman" w:hAnsi="Times New Roman" w:eastAsia="宋体" w:cs="Times New Roman"/>
                <w:color w:val="auto"/>
                <w:sz w:val="21"/>
                <w:szCs w:val="21"/>
                <w:highlight w:val="none"/>
              </w:rPr>
              <w:t>结合患者全部病史、手术、用药、检查/检验结果等信息，自动判断患者是否应进行</w:t>
            </w:r>
            <w:r>
              <w:rPr>
                <w:rFonts w:hint="eastAsia" w:ascii="Times New Roman" w:hAnsi="Times New Roman" w:eastAsia="宋体" w:cs="Times New Roman"/>
                <w:color w:val="auto"/>
                <w:sz w:val="21"/>
                <w:szCs w:val="21"/>
                <w:highlight w:val="none"/>
                <w:lang w:val="en-US" w:eastAsia="zh-CN"/>
              </w:rPr>
              <w:t>Wells，</w:t>
            </w:r>
            <w:r>
              <w:rPr>
                <w:rFonts w:hint="default"/>
                <w:color w:val="auto"/>
                <w:sz w:val="21"/>
                <w:szCs w:val="21"/>
                <w:highlight w:val="none"/>
              </w:rPr>
              <w:t>sPESI</w:t>
            </w:r>
            <w:r>
              <w:rPr>
                <w:rFonts w:hint="eastAsia"/>
                <w:color w:val="auto"/>
                <w:sz w:val="21"/>
                <w:szCs w:val="21"/>
                <w:highlight w:val="none"/>
                <w:lang w:val="en-US" w:eastAsia="zh-CN"/>
              </w:rPr>
              <w:t>或者肺血栓栓塞危险分层评估</w:t>
            </w:r>
            <w:r>
              <w:rPr>
                <w:rFonts w:hint="default" w:ascii="Times New Roman" w:hAnsi="Times New Roman" w:eastAsia="宋体" w:cs="Times New Roman"/>
                <w:color w:val="auto"/>
                <w:sz w:val="21"/>
                <w:szCs w:val="21"/>
                <w:highlight w:val="none"/>
              </w:rPr>
              <w:t>并对符合条件的患者自动评估风险</w:t>
            </w:r>
            <w:r>
              <w:rPr>
                <w:rFonts w:hint="eastAsia" w:ascii="Times New Roman" w:hAnsi="Times New Roman" w:eastAsia="宋体" w:cs="Times New Roman"/>
                <w:color w:val="auto"/>
                <w:sz w:val="21"/>
                <w:szCs w:val="21"/>
                <w:highlight w:val="none"/>
                <w:lang w:eastAsia="zh-CN"/>
              </w:rPr>
              <w:t>。</w:t>
            </w:r>
          </w:p>
        </w:tc>
      </w:tr>
      <w:tr w14:paraId="564B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BE1A00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28E8F24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C0BDD5F">
            <w:pPr>
              <w:pStyle w:val="57"/>
              <w:keepNext w:val="0"/>
              <w:keepLines w:val="0"/>
              <w:suppressLineNumbers w:val="0"/>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zh-CN"/>
              </w:rPr>
            </w:pPr>
            <w:r>
              <w:rPr>
                <w:rFonts w:hint="eastAsia"/>
                <w:color w:val="auto"/>
                <w:sz w:val="21"/>
                <w:szCs w:val="21"/>
                <w:highlight w:val="none"/>
                <w:lang w:val="en-US" w:eastAsia="zh-CN"/>
              </w:rPr>
              <w:t>系统应支持根据医生确认的综合评估结果，患者病情特征，检验检查内容等，根据指南个性化分层推送PTE筛查建议，包括D-二聚体检测、CT肺动脉造影，心动图检查等，医生完成筛查后提醒消失。</w:t>
            </w:r>
          </w:p>
        </w:tc>
      </w:tr>
      <w:tr w14:paraId="4EC3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948CE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63265890">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b/>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VTE动态评估结果记录</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FFB501B">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pacing w:val="2"/>
                <w:kern w:val="2"/>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系统</w:t>
            </w:r>
            <w:r>
              <w:rPr>
                <w:rFonts w:hint="default" w:ascii="Times New Roman" w:hAnsi="Times New Roman" w:eastAsia="宋体" w:cs="Times New Roman"/>
                <w:color w:val="auto"/>
                <w:spacing w:val="2"/>
                <w:sz w:val="21"/>
                <w:szCs w:val="21"/>
                <w:highlight w:val="none"/>
              </w:rPr>
              <w:t>支持记录患者在院内动态评估结果</w:t>
            </w:r>
            <w:r>
              <w:rPr>
                <w:rFonts w:hint="eastAsia" w:ascii="Times New Roman" w:hAnsi="Times New Roman" w:cs="Times New Roman"/>
                <w:color w:val="auto"/>
                <w:spacing w:val="2"/>
                <w:sz w:val="21"/>
                <w:szCs w:val="21"/>
                <w:highlight w:val="none"/>
                <w:lang w:val="en-US" w:eastAsia="zh-CN"/>
              </w:rPr>
              <w:t>以及历次医嘱记录</w:t>
            </w:r>
            <w:r>
              <w:rPr>
                <w:rFonts w:hint="default" w:ascii="Times New Roman" w:hAnsi="Times New Roman" w:eastAsia="宋体" w:cs="Times New Roman"/>
                <w:color w:val="auto"/>
                <w:spacing w:val="2"/>
                <w:sz w:val="21"/>
                <w:szCs w:val="21"/>
                <w:highlight w:val="none"/>
              </w:rPr>
              <w:t>，供医务人员分析患者的评估结果变化趋势，帮助针对患者，建立个性化VTE防治方案。</w:t>
            </w:r>
          </w:p>
        </w:tc>
      </w:tr>
      <w:tr w14:paraId="7D06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5B5131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6AEDF93C">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E040F89">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系统自动生成患者在院内VTE风险评估、出血风险评估等所有风险评估结果、评估时间及详细评估项的历史</w:t>
            </w:r>
            <w:r>
              <w:rPr>
                <w:rFonts w:hint="eastAsia" w:ascii="Times New Roman" w:hAnsi="Times New Roman" w:cs="Times New Roman"/>
                <w:color w:val="auto"/>
                <w:sz w:val="21"/>
                <w:szCs w:val="21"/>
                <w:highlight w:val="none"/>
                <w:lang w:val="en-US" w:eastAsia="zh-CN"/>
              </w:rPr>
              <w:t>记录</w:t>
            </w:r>
            <w:r>
              <w:rPr>
                <w:rFonts w:hint="default" w:ascii="Times New Roman" w:hAnsi="Times New Roman" w:eastAsia="宋体" w:cs="Times New Roman"/>
                <w:color w:val="auto"/>
                <w:sz w:val="21"/>
                <w:szCs w:val="21"/>
                <w:highlight w:val="none"/>
              </w:rPr>
              <w:t>，支持医生快速根据患者病情变化对已完成的评估结果进行修改或重新评估。</w:t>
            </w:r>
          </w:p>
        </w:tc>
      </w:tr>
      <w:tr w14:paraId="7D49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02BCFE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21AAE22A">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VTE预防措施</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69FBE99">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当患者VTE风险评分结果为中高危时，系统应主动提醒医生采取VTE的预防措施。</w:t>
            </w:r>
          </w:p>
        </w:tc>
      </w:tr>
      <w:tr w14:paraId="794E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82AE0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0DAABBB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61028FA">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能够实时根据患者在院情况自动判断，对未进行VTE预防措施的VTE风险中高危患者，主动、智能提醒医务人员进行相应的基础预防、物理预防、药物预防、联合预防等措施。可根据医院需要设置为强制功能（强制给予预防措施），防止医生漏开预防措施。</w:t>
            </w:r>
          </w:p>
        </w:tc>
      </w:tr>
      <w:tr w14:paraId="0AA0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593DB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017B0A3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FBFA046">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根据患者VTE和出血风险的结果不同，定义恰当的预防措施，例如：VTE高危、出血低危的患者应采用抗凝药物进行预防</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VTE高危、出血高危的患者应采用物理预防等；</w:t>
            </w:r>
            <w:r>
              <w:rPr>
                <w:rFonts w:hint="default" w:ascii="Times New Roman" w:hAnsi="Times New Roman" w:eastAsia="宋体" w:cs="Times New Roman"/>
                <w:color w:val="auto"/>
                <w:kern w:val="0"/>
                <w:sz w:val="21"/>
                <w:szCs w:val="21"/>
                <w:highlight w:val="none"/>
              </w:rPr>
              <w:t>能够根据患者病情和预防措施的采取情况，自动判断患者是否采用恰当的预防措施，并主动给予医生提醒，保证预防措施执行到位</w:t>
            </w:r>
            <w:r>
              <w:rPr>
                <w:rFonts w:hint="eastAsia" w:ascii="Times New Roman" w:hAnsi="Times New Roman" w:cs="Times New Roman"/>
                <w:color w:val="auto"/>
                <w:kern w:val="0"/>
                <w:sz w:val="21"/>
                <w:szCs w:val="21"/>
                <w:highlight w:val="none"/>
                <w:lang w:eastAsia="zh-CN"/>
              </w:rPr>
              <w:t>。</w:t>
            </w:r>
          </w:p>
        </w:tc>
      </w:tr>
      <w:tr w14:paraId="64F8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29EB05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2C27F2C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4C7B560">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出院时评估为VTE中高危的患者，系统应主动提醒医务人员进行相应出院医嘱</w:t>
            </w:r>
            <w:r>
              <w:rPr>
                <w:rFonts w:hint="eastAsia" w:ascii="Times New Roman" w:hAnsi="Times New Roman" w:cs="Times New Roman"/>
                <w:color w:val="auto"/>
                <w:sz w:val="21"/>
                <w:szCs w:val="21"/>
                <w:highlight w:val="none"/>
                <w:lang w:val="en-US" w:eastAsia="zh-CN"/>
              </w:rPr>
              <w:t>告知</w:t>
            </w:r>
            <w:r>
              <w:rPr>
                <w:rFonts w:hint="default" w:ascii="Times New Roman" w:hAnsi="Times New Roman" w:eastAsia="宋体" w:cs="Times New Roman"/>
                <w:color w:val="auto"/>
                <w:sz w:val="21"/>
                <w:szCs w:val="21"/>
                <w:highlight w:val="none"/>
              </w:rPr>
              <w:t>的情况。</w:t>
            </w:r>
          </w:p>
        </w:tc>
      </w:tr>
      <w:tr w14:paraId="711D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78E3C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A858AC">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0"/>
                <w:sz w:val="21"/>
                <w:szCs w:val="21"/>
                <w:highlight w:val="none"/>
              </w:rPr>
              <w:t>★</w:t>
            </w:r>
            <w:r>
              <w:rPr>
                <w:rFonts w:hint="eastAsia" w:ascii="Segoe UI Symbol" w:hAnsi="Segoe UI Symbol" w:cs="Segoe UI Symbol"/>
                <w:color w:val="auto"/>
                <w:kern w:val="0"/>
                <w:sz w:val="21"/>
                <w:szCs w:val="21"/>
                <w:highlight w:val="none"/>
                <w:lang w:val="en-US" w:eastAsia="zh-CN"/>
              </w:rPr>
              <w:t>漏诊</w:t>
            </w:r>
            <w:r>
              <w:rPr>
                <w:rFonts w:hint="eastAsia" w:ascii="Times New Roman" w:hAnsi="Times New Roman" w:cs="Times New Roman"/>
                <w:color w:val="auto"/>
                <w:sz w:val="21"/>
                <w:szCs w:val="21"/>
                <w:highlight w:val="none"/>
                <w:lang w:val="en-US" w:eastAsia="zh-CN"/>
              </w:rPr>
              <w:t>提醒</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BB93D85">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sz w:val="21"/>
                <w:szCs w:val="21"/>
                <w:highlight w:val="none"/>
              </w:rPr>
              <w:t>系统应</w:t>
            </w:r>
            <w:r>
              <w:rPr>
                <w:rFonts w:hint="default" w:ascii="Times New Roman" w:hAnsi="Times New Roman" w:eastAsia="宋体" w:cs="Times New Roman"/>
                <w:color w:val="auto"/>
                <w:sz w:val="21"/>
                <w:szCs w:val="21"/>
                <w:highlight w:val="none"/>
              </w:rPr>
              <w:t>能够</w:t>
            </w:r>
            <w:r>
              <w:rPr>
                <w:rFonts w:hint="eastAsia" w:ascii="Times New Roman" w:hAnsi="Times New Roman" w:cs="Times New Roman"/>
                <w:color w:val="auto"/>
                <w:sz w:val="21"/>
                <w:szCs w:val="21"/>
                <w:highlight w:val="none"/>
                <w:lang w:val="en-US" w:eastAsia="zh-CN"/>
              </w:rPr>
              <w:t>自动对比</w:t>
            </w:r>
            <w:r>
              <w:rPr>
                <w:rFonts w:hint="default" w:ascii="Times New Roman" w:hAnsi="Times New Roman" w:eastAsia="宋体" w:cs="Times New Roman"/>
                <w:color w:val="auto"/>
                <w:sz w:val="21"/>
                <w:szCs w:val="21"/>
                <w:highlight w:val="none"/>
              </w:rPr>
              <w:t>病历文书</w:t>
            </w:r>
            <w:r>
              <w:rPr>
                <w:rFonts w:hint="eastAsia" w:ascii="Times New Roman" w:hAnsi="Times New Roman" w:cs="Times New Roman"/>
                <w:color w:val="auto"/>
                <w:sz w:val="21"/>
                <w:szCs w:val="21"/>
                <w:highlight w:val="none"/>
                <w:lang w:val="en-US" w:eastAsia="zh-CN"/>
              </w:rPr>
              <w:t>内容</w:t>
            </w:r>
            <w:r>
              <w:rPr>
                <w:rFonts w:hint="default" w:ascii="Times New Roman" w:hAnsi="Times New Roman" w:eastAsia="宋体" w:cs="Times New Roman"/>
                <w:color w:val="auto"/>
                <w:sz w:val="21"/>
                <w:szCs w:val="21"/>
                <w:highlight w:val="none"/>
              </w:rPr>
              <w:t>、检查报告结果</w:t>
            </w:r>
            <w:r>
              <w:rPr>
                <w:rFonts w:hint="eastAsia" w:ascii="Times New Roman" w:hAnsi="Times New Roman" w:cs="Times New Roman"/>
                <w:color w:val="auto"/>
                <w:sz w:val="21"/>
                <w:szCs w:val="21"/>
                <w:highlight w:val="none"/>
                <w:lang w:val="en-US" w:eastAsia="zh-CN"/>
              </w:rPr>
              <w:t>与VTE诊断的一致性，</w:t>
            </w:r>
            <w:r>
              <w:rPr>
                <w:rFonts w:hint="default" w:ascii="Times New Roman" w:hAnsi="Times New Roman" w:eastAsia="宋体" w:cs="Times New Roman"/>
                <w:color w:val="auto"/>
                <w:sz w:val="21"/>
                <w:szCs w:val="21"/>
                <w:highlight w:val="none"/>
              </w:rPr>
              <w:t>对疑似VTE</w:t>
            </w:r>
            <w:r>
              <w:rPr>
                <w:rFonts w:hint="eastAsia" w:ascii="Times New Roman" w:hAnsi="Times New Roman" w:cs="Times New Roman"/>
                <w:color w:val="auto"/>
                <w:sz w:val="21"/>
                <w:szCs w:val="21"/>
                <w:highlight w:val="none"/>
                <w:lang w:val="en-US" w:eastAsia="zh-CN"/>
              </w:rPr>
              <w:t>诊断漏诊的</w:t>
            </w:r>
            <w:r>
              <w:rPr>
                <w:rFonts w:hint="default" w:ascii="Times New Roman" w:hAnsi="Times New Roman" w:eastAsia="宋体" w:cs="Times New Roman"/>
                <w:color w:val="auto"/>
                <w:sz w:val="21"/>
                <w:szCs w:val="21"/>
                <w:highlight w:val="none"/>
              </w:rPr>
              <w:t>患者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系统在电子病历或His页面以浮窗形式</w:t>
            </w:r>
            <w:r>
              <w:rPr>
                <w:rFonts w:hint="default" w:ascii="Times New Roman" w:hAnsi="Times New Roman" w:eastAsia="宋体" w:cs="Times New Roman"/>
                <w:color w:val="auto"/>
                <w:sz w:val="21"/>
                <w:szCs w:val="21"/>
                <w:highlight w:val="none"/>
              </w:rPr>
              <w:t>主动、智能提醒医务人员补充诊断。</w:t>
            </w:r>
          </w:p>
        </w:tc>
      </w:tr>
      <w:tr w14:paraId="4A9F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8BC66C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79F6BB">
            <w:pPr>
              <w:pStyle w:val="57"/>
              <w:keepNext w:val="0"/>
              <w:keepLines w:val="0"/>
              <w:suppressLineNumbers w:val="0"/>
              <w:kinsoku w:val="0"/>
              <w:overflowPunct w:val="0"/>
              <w:spacing w:before="0" w:beforeAutospacing="0" w:after="0" w:afterAutospacing="0" w:line="360" w:lineRule="auto"/>
              <w:ind w:left="0" w:right="0"/>
              <w:jc w:val="center"/>
              <w:rPr>
                <w:rFonts w:hint="eastAsia" w:ascii="Segoe UI Symbol" w:hAnsi="Segoe UI Symbol" w:eastAsia="宋体" w:cs="Segoe UI Symbol"/>
                <w:color w:val="auto"/>
                <w:kern w:val="0"/>
                <w:sz w:val="21"/>
                <w:szCs w:val="21"/>
                <w:highlight w:val="none"/>
                <w:lang w:val="en-US" w:eastAsia="zh-CN" w:bidi="zh-CN"/>
              </w:rPr>
            </w:pPr>
            <w:r>
              <w:rPr>
                <w:rFonts w:hint="eastAsia" w:ascii="Segoe UI Symbol" w:hAnsi="Segoe UI Symbol" w:eastAsia="宋体" w:cs="Segoe UI Symbol"/>
                <w:color w:val="auto"/>
                <w:kern w:val="0"/>
                <w:sz w:val="21"/>
                <w:szCs w:val="21"/>
                <w:highlight w:val="none"/>
                <w:lang w:val="en-US" w:eastAsia="zh-CN"/>
              </w:rPr>
              <w:t>会诊提醒</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E5CE5E5">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eastAsia"/>
                <w:color w:val="auto"/>
                <w:sz w:val="21"/>
                <w:szCs w:val="21"/>
                <w:highlight w:val="none"/>
                <w:lang w:val="en-US" w:eastAsia="zh-CN"/>
              </w:rPr>
              <w:t>对于VTE确诊患者，系统支持多学科会诊智能提醒。</w:t>
            </w:r>
          </w:p>
        </w:tc>
      </w:tr>
      <w:tr w14:paraId="255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84FCB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1F185B53">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禁忌提示</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5F0976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出血高危</w:t>
            </w:r>
            <w:r>
              <w:rPr>
                <w:rFonts w:hint="eastAsia" w:ascii="Times New Roman" w:hAnsi="Times New Roman" w:cs="Times New Roman"/>
                <w:color w:val="auto"/>
                <w:sz w:val="21"/>
                <w:szCs w:val="21"/>
                <w:highlight w:val="none"/>
                <w:lang w:val="en-US" w:eastAsia="zh-CN"/>
              </w:rPr>
              <w:t>提醒</w:t>
            </w:r>
            <w:r>
              <w:rPr>
                <w:rFonts w:hint="default" w:ascii="Times New Roman" w:hAnsi="Times New Roman" w:eastAsia="宋体" w:cs="Times New Roman"/>
                <w:color w:val="auto"/>
                <w:sz w:val="21"/>
                <w:szCs w:val="21"/>
                <w:highlight w:val="none"/>
              </w:rPr>
              <w:t>：对于</w:t>
            </w:r>
            <w:r>
              <w:rPr>
                <w:rFonts w:hint="eastAsia" w:ascii="Times New Roman" w:hAnsi="Times New Roman" w:cs="Times New Roman"/>
                <w:color w:val="auto"/>
                <w:sz w:val="21"/>
                <w:szCs w:val="21"/>
                <w:highlight w:val="none"/>
                <w:lang w:val="en-US" w:eastAsia="zh-CN"/>
              </w:rPr>
              <w:t>有检验异常、</w:t>
            </w:r>
            <w:r>
              <w:rPr>
                <w:rFonts w:hint="default" w:ascii="Times New Roman" w:hAnsi="Times New Roman" w:eastAsia="宋体" w:cs="Times New Roman"/>
                <w:color w:val="auto"/>
                <w:sz w:val="21"/>
                <w:szCs w:val="21"/>
                <w:highlight w:val="none"/>
              </w:rPr>
              <w:t>评估为出血高危的患者，当医生开具抗凝药物时，系统应自动进行出血高危禁忌提醒，</w:t>
            </w:r>
            <w:r>
              <w:rPr>
                <w:rFonts w:hint="eastAsia" w:ascii="Times New Roman" w:hAnsi="Times New Roman" w:cs="Times New Roman"/>
                <w:color w:val="auto"/>
                <w:sz w:val="21"/>
                <w:szCs w:val="21"/>
                <w:highlight w:val="none"/>
                <w:lang w:val="en-US" w:eastAsia="zh-CN"/>
              </w:rPr>
              <w:t>并提示抗凝治疗禁忌的来源，支持查看来源原文。</w:t>
            </w:r>
          </w:p>
        </w:tc>
      </w:tr>
      <w:tr w14:paraId="77B0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F8E2DB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2B0528CB">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DA3F30A">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下肢压力泵：医生开具下肢压力泵医嘱时，系统应自动判断患者是否已完成相应的下肢静脉超声，或</w:t>
            </w:r>
            <w:r>
              <w:rPr>
                <w:rFonts w:hint="eastAsia" w:ascii="Times New Roman" w:hAnsi="Times New Roman" w:cs="Times New Roman"/>
                <w:color w:val="auto"/>
                <w:sz w:val="21"/>
                <w:szCs w:val="21"/>
                <w:highlight w:val="none"/>
                <w:lang w:val="en-US" w:eastAsia="zh-CN"/>
              </w:rPr>
              <w:t>判断</w:t>
            </w:r>
            <w:r>
              <w:rPr>
                <w:rFonts w:hint="default" w:ascii="Times New Roman" w:hAnsi="Times New Roman" w:eastAsia="宋体" w:cs="Times New Roman"/>
                <w:color w:val="auto"/>
                <w:sz w:val="21"/>
                <w:szCs w:val="21"/>
                <w:highlight w:val="none"/>
              </w:rPr>
              <w:t>检查结果中是否体现下肢静脉血栓，主动、实时判断</w:t>
            </w:r>
            <w:r>
              <w:rPr>
                <w:rFonts w:hint="eastAsia" w:ascii="Times New Roman" w:hAnsi="Times New Roman" w:eastAsia="宋体" w:cs="Times New Roman"/>
                <w:color w:val="auto"/>
                <w:sz w:val="21"/>
                <w:szCs w:val="21"/>
                <w:highlight w:val="none"/>
                <w:lang w:val="en-US" w:eastAsia="zh-CN"/>
              </w:rPr>
              <w:t>风险</w:t>
            </w:r>
            <w:r>
              <w:rPr>
                <w:rFonts w:hint="eastAsia" w:ascii="Times New Roman" w:hAnsi="Times New Roman"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rPr>
              <w:t>提醒，避免肺栓塞等严重并发症的发生。</w:t>
            </w:r>
          </w:p>
        </w:tc>
      </w:tr>
      <w:tr w14:paraId="1FD9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93575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57295B9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9AA704A">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cs="Times New Roman"/>
                <w:color w:val="auto"/>
                <w:sz w:val="21"/>
                <w:szCs w:val="21"/>
                <w:highlight w:val="none"/>
                <w:lang w:eastAsia="zh-CN"/>
              </w:rPr>
              <w:t>对于VTE评估中危或高危患者，系统自动提醒评估机械预防禁忌评估表</w:t>
            </w:r>
            <w:r>
              <w:rPr>
                <w:rFonts w:hint="eastAsia" w:ascii="Times New Roman" w:hAnsi="Times New Roman" w:cs="Times New Roman"/>
                <w:color w:val="auto"/>
                <w:sz w:val="21"/>
                <w:szCs w:val="21"/>
                <w:highlight w:val="none"/>
                <w:lang w:eastAsia="zh-CN"/>
              </w:rPr>
              <w:t>。</w:t>
            </w:r>
          </w:p>
        </w:tc>
      </w:tr>
      <w:tr w14:paraId="65E6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B0AB6E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411C445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29B453B">
            <w:pPr>
              <w:pStyle w:val="57"/>
              <w:keepNext w:val="0"/>
              <w:keepLines w:val="0"/>
              <w:numPr>
                <w:ilvl w:val="0"/>
                <w:numId w:val="0"/>
              </w:numPr>
              <w:suppressLineNumbers w:val="0"/>
              <w:tabs>
                <w:tab w:val="left" w:pos="312"/>
              </w:tabs>
              <w:kinsoku w:val="0"/>
              <w:overflowPunct w:val="0"/>
              <w:spacing w:before="0" w:beforeAutospacing="0" w:after="0" w:afterAutospacing="0" w:line="36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机械预防禁忌提醒</w:t>
            </w:r>
          </w:p>
          <w:p w14:paraId="3A44E8CB">
            <w:pPr>
              <w:pStyle w:val="57"/>
              <w:keepNext w:val="0"/>
              <w:keepLines w:val="0"/>
              <w:numPr>
                <w:ilvl w:val="0"/>
                <w:numId w:val="14"/>
              </w:numPr>
              <w:suppressLineNumbers w:val="0"/>
              <w:kinsoku w:val="0"/>
              <w:overflowPunct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对于VTE风险为中高危患者，系统可自动评估是否存在机械预防禁忌，</w:t>
            </w:r>
            <w:r>
              <w:rPr>
                <w:rFonts w:hint="eastAsia" w:ascii="宋体" w:hAnsi="宋体" w:eastAsia="宋体" w:cs="宋体"/>
                <w:color w:val="auto"/>
                <w:sz w:val="21"/>
                <w:szCs w:val="21"/>
                <w:highlight w:val="none"/>
                <w:lang w:val="en-US" w:eastAsia="zh-CN"/>
              </w:rPr>
              <w:t>通过浮窗</w:t>
            </w:r>
            <w:r>
              <w:rPr>
                <w:rFonts w:hint="default" w:ascii="宋体" w:hAnsi="宋体" w:eastAsia="宋体" w:cs="宋体"/>
                <w:color w:val="auto"/>
                <w:sz w:val="21"/>
                <w:szCs w:val="21"/>
                <w:highlight w:val="none"/>
              </w:rPr>
              <w:t>将评估结果推送给医生并支持信息下钻。</w:t>
            </w:r>
          </w:p>
          <w:p w14:paraId="4E47748C">
            <w:pPr>
              <w:pStyle w:val="57"/>
              <w:keepNext w:val="0"/>
              <w:keepLines w:val="0"/>
              <w:numPr>
                <w:ilvl w:val="0"/>
                <w:numId w:val="14"/>
              </w:numPr>
              <w:suppressLineNumbers w:val="0"/>
              <w:kinsoku w:val="0"/>
              <w:overflowPunct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例如医生在日常病程记录中描述患者双下肢重度水肿，系统能立即识别并通过浮窗用红色字体提醒存在机械预防禁忌，医生可点击查看评估明细及原始数据，关键信息标红。</w:t>
            </w:r>
          </w:p>
          <w:p w14:paraId="4A9C10E5">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如医生认为系统识别错误，可点击“识别错误”并补充原因将自己的意见发送给系统，从而使模型不断优化。</w:t>
            </w:r>
          </w:p>
        </w:tc>
      </w:tr>
      <w:tr w14:paraId="315F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EBD28C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D4E9D9">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0"/>
                <w:sz w:val="21"/>
                <w:szCs w:val="21"/>
                <w:highlight w:val="none"/>
              </w:rPr>
              <w:t>★</w:t>
            </w:r>
            <w:r>
              <w:rPr>
                <w:rFonts w:hint="eastAsia" w:ascii="Times New Roman" w:hAnsi="Times New Roman" w:cs="Times New Roman"/>
                <w:color w:val="auto"/>
                <w:sz w:val="21"/>
                <w:szCs w:val="21"/>
                <w:highlight w:val="none"/>
                <w:lang w:val="en-US" w:eastAsia="zh-CN"/>
              </w:rPr>
              <w:t>防治小结</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1AE12E7">
            <w:pPr>
              <w:pStyle w:val="57"/>
              <w:keepNext w:val="0"/>
              <w:keepLines w:val="0"/>
              <w:suppressLineNumbers w:val="0"/>
              <w:kinsoku w:val="0"/>
              <w:overflowPunct w:val="0"/>
              <w:spacing w:before="0" w:beforeAutospacing="0" w:after="0" w:afterAutospacing="0" w:line="360" w:lineRule="auto"/>
              <w:ind w:left="0" w:right="0"/>
              <w:jc w:val="left"/>
              <w:rPr>
                <w:rFonts w:hint="eastAsia" w:ascii="Segoe UI Symbol" w:hAnsi="Segoe UI Symbol" w:eastAsia="宋体" w:cs="Segoe UI Symbol"/>
                <w:color w:val="auto"/>
                <w:kern w:val="2"/>
                <w:sz w:val="21"/>
                <w:szCs w:val="21"/>
                <w:highlight w:val="none"/>
                <w:lang w:val="en-US" w:eastAsia="zh-CN" w:bidi="zh-CN"/>
              </w:rPr>
            </w:pPr>
            <w:r>
              <w:rPr>
                <w:rFonts w:hint="eastAsia" w:ascii="Segoe UI Symbol" w:hAnsi="Segoe UI Symbol" w:cs="Segoe UI Symbol"/>
                <w:color w:val="auto"/>
                <w:sz w:val="21"/>
                <w:szCs w:val="21"/>
                <w:highlight w:val="none"/>
                <w:lang w:val="en-US" w:eastAsia="zh-CN"/>
              </w:rPr>
              <w:t>对于使用Caprini评分、Padua评分、妊娠VTE评估表表单的患者，支持在患者入院24h后、手术后、出院前自动总结</w:t>
            </w:r>
            <w:r>
              <w:rPr>
                <w:rFonts w:hint="default" w:ascii="Segoe UI Symbol" w:hAnsi="Segoe UI Symbol" w:cs="Segoe UI Symbol"/>
                <w:color w:val="auto"/>
                <w:sz w:val="21"/>
                <w:szCs w:val="21"/>
                <w:highlight w:val="none"/>
                <w:lang w:eastAsia="zh-CN"/>
              </w:rPr>
              <w:t>VTE防治情况。总结</w:t>
            </w:r>
            <w:r>
              <w:rPr>
                <w:rFonts w:hint="eastAsia" w:ascii="Segoe UI Symbol" w:hAnsi="Segoe UI Symbol" w:cs="Segoe UI Symbol"/>
                <w:color w:val="auto"/>
                <w:sz w:val="21"/>
                <w:szCs w:val="21"/>
                <w:highlight w:val="none"/>
                <w:lang w:val="en-US" w:eastAsia="zh-CN"/>
              </w:rPr>
              <w:t>当前患者</w:t>
            </w:r>
            <w:r>
              <w:rPr>
                <w:rFonts w:hint="default" w:ascii="Segoe UI Symbol" w:hAnsi="Segoe UI Symbol" w:cs="Segoe UI Symbol"/>
                <w:color w:val="auto"/>
                <w:sz w:val="21"/>
                <w:szCs w:val="21"/>
                <w:highlight w:val="none"/>
                <w:lang w:eastAsia="zh-CN"/>
              </w:rPr>
              <w:t>的诊断、</w:t>
            </w:r>
            <w:r>
              <w:rPr>
                <w:rFonts w:hint="eastAsia" w:ascii="Segoe UI Symbol" w:hAnsi="Segoe UI Symbol" w:cs="Segoe UI Symbol"/>
                <w:color w:val="auto"/>
                <w:sz w:val="21"/>
                <w:szCs w:val="21"/>
                <w:highlight w:val="none"/>
                <w:lang w:val="en-US" w:eastAsia="zh-CN"/>
              </w:rPr>
              <w:t>VTE风险</w:t>
            </w:r>
            <w:r>
              <w:rPr>
                <w:rFonts w:hint="default" w:ascii="Segoe UI Symbol" w:hAnsi="Segoe UI Symbol" w:cs="Segoe UI Symbol"/>
                <w:color w:val="auto"/>
                <w:sz w:val="21"/>
                <w:szCs w:val="21"/>
                <w:highlight w:val="none"/>
                <w:lang w:eastAsia="zh-CN"/>
              </w:rPr>
              <w:t>评估结果、评估时间、评估量表</w:t>
            </w:r>
            <w:r>
              <w:rPr>
                <w:rFonts w:hint="eastAsia" w:ascii="Segoe UI Symbol" w:hAnsi="Segoe UI Symbol" w:cs="Segoe UI Symbol"/>
                <w:color w:val="auto"/>
                <w:sz w:val="21"/>
                <w:szCs w:val="21"/>
                <w:highlight w:val="none"/>
                <w:lang w:val="en-US" w:eastAsia="zh-CN"/>
              </w:rPr>
              <w:t>、</w:t>
            </w:r>
            <w:r>
              <w:rPr>
                <w:rFonts w:hint="default" w:ascii="Segoe UI Symbol" w:hAnsi="Segoe UI Symbol" w:cs="Segoe UI Symbol"/>
                <w:color w:val="auto"/>
                <w:sz w:val="21"/>
                <w:szCs w:val="21"/>
                <w:highlight w:val="none"/>
                <w:lang w:eastAsia="zh-CN"/>
              </w:rPr>
              <w:t>药物</w:t>
            </w:r>
            <w:r>
              <w:rPr>
                <w:rFonts w:hint="eastAsia" w:ascii="Segoe UI Symbol" w:hAnsi="Segoe UI Symbol" w:cs="Segoe UI Symbol"/>
                <w:color w:val="auto"/>
                <w:sz w:val="21"/>
                <w:szCs w:val="21"/>
                <w:highlight w:val="none"/>
                <w:lang w:val="en-US" w:eastAsia="zh-CN"/>
              </w:rPr>
              <w:t>预防措施实施情况</w:t>
            </w:r>
            <w:r>
              <w:rPr>
                <w:rFonts w:hint="default" w:ascii="Segoe UI Symbol" w:hAnsi="Segoe UI Symbol" w:cs="Segoe UI Symbol"/>
                <w:color w:val="auto"/>
                <w:sz w:val="21"/>
                <w:szCs w:val="21"/>
                <w:highlight w:val="none"/>
                <w:lang w:eastAsia="zh-CN"/>
              </w:rPr>
              <w:t>、机械预防措施实施情况</w:t>
            </w:r>
            <w:r>
              <w:rPr>
                <w:rFonts w:hint="eastAsia" w:ascii="Segoe UI Symbol" w:hAnsi="Segoe UI Symbol" w:cs="Segoe UI Symbol"/>
                <w:color w:val="auto"/>
                <w:sz w:val="21"/>
                <w:szCs w:val="21"/>
                <w:highlight w:val="none"/>
                <w:lang w:val="en-US" w:eastAsia="zh-CN"/>
              </w:rPr>
              <w:t>，并支持回写到病程（支持与</w:t>
            </w:r>
            <w:r>
              <w:rPr>
                <w:rFonts w:hint="default" w:ascii="Times New Roman" w:hAnsi="Times New Roman" w:eastAsia="宋体" w:cs="Times New Roman"/>
                <w:color w:val="auto"/>
                <w:sz w:val="21"/>
                <w:szCs w:val="21"/>
                <w:highlight w:val="none"/>
              </w:rPr>
              <w:t>第三方厂商</w:t>
            </w:r>
            <w:r>
              <w:rPr>
                <w:rFonts w:hint="eastAsia" w:ascii="Times New Roman" w:hAnsi="Times New Roman" w:cs="Times New Roman"/>
                <w:color w:val="auto"/>
                <w:sz w:val="21"/>
                <w:szCs w:val="21"/>
                <w:highlight w:val="none"/>
                <w:lang w:val="en-US" w:eastAsia="zh-CN"/>
              </w:rPr>
              <w:t>对接</w:t>
            </w:r>
            <w:r>
              <w:rPr>
                <w:rFonts w:hint="default" w:ascii="Times New Roman" w:hAnsi="Times New Roman" w:eastAsia="宋体" w:cs="Times New Roman"/>
                <w:color w:val="auto"/>
                <w:sz w:val="21"/>
                <w:szCs w:val="21"/>
                <w:highlight w:val="none"/>
              </w:rPr>
              <w:t>）</w:t>
            </w:r>
          </w:p>
        </w:tc>
      </w:tr>
      <w:tr w14:paraId="745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65D916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2AE723D1">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护理端提醒</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EB4DA3C">
            <w:pPr>
              <w:pStyle w:val="57"/>
              <w:keepNext w:val="0"/>
              <w:keepLines w:val="0"/>
              <w:numPr>
                <w:ilvl w:val="0"/>
                <w:numId w:val="0"/>
              </w:numPr>
              <w:suppressLineNumbers w:val="0"/>
              <w:kinsoku w:val="0"/>
              <w:overflowPunct w:val="0"/>
              <w:spacing w:before="0" w:beforeAutospacing="0" w:after="0" w:afterAutospacing="0" w:line="360" w:lineRule="auto"/>
              <w:ind w:left="0" w:leftChars="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检查提醒：系统支持对确诊VTE患者进行VTE相关症状、体征检查的智能提醒，辅助护理人员及时完善相关检查。</w:t>
            </w:r>
          </w:p>
          <w:p w14:paraId="5CE32D5A">
            <w:pPr>
              <w:pStyle w:val="57"/>
              <w:keepNext w:val="0"/>
              <w:keepLines w:val="0"/>
              <w:numPr>
                <w:ilvl w:val="0"/>
                <w:numId w:val="0"/>
              </w:numPr>
              <w:suppressLineNumbers w:val="0"/>
              <w:kinsoku w:val="0"/>
              <w:overflowPunct w:val="0"/>
              <w:spacing w:before="0" w:beforeAutospacing="0" w:after="0" w:afterAutospacing="0" w:line="360" w:lineRule="auto"/>
              <w:ind w:left="0" w:leftChars="0" w:right="0" w:firstLine="0" w:firstLineChars="0"/>
              <w:jc w:val="left"/>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随访提醒：系统支持对确诊VTE患者或者VTE中高危风险患者提醒需进行院后随访</w:t>
            </w:r>
            <w:r>
              <w:rPr>
                <w:rFonts w:hint="eastAsia" w:ascii="Times New Roman" w:hAnsi="Times New Roman" w:cs="Times New Roman"/>
                <w:color w:val="auto"/>
                <w:sz w:val="21"/>
                <w:szCs w:val="21"/>
                <w:highlight w:val="none"/>
                <w:lang w:val="en-US" w:eastAsia="zh-CN"/>
              </w:rPr>
              <w:t>。</w:t>
            </w:r>
          </w:p>
        </w:tc>
      </w:tr>
      <w:tr w14:paraId="4475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B8EC6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0277FAAF">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474BF4C">
            <w:pPr>
              <w:pStyle w:val="57"/>
              <w:keepNext w:val="0"/>
              <w:keepLines w:val="0"/>
              <w:numPr>
                <w:ilvl w:val="0"/>
                <w:numId w:val="0"/>
              </w:numPr>
              <w:suppressLineNumbers w:val="0"/>
              <w:kinsoku w:val="0"/>
              <w:overflowPunct w:val="0"/>
              <w:spacing w:before="0" w:beforeAutospacing="0" w:after="0" w:afterAutospacing="0" w:line="360" w:lineRule="auto"/>
              <w:ind w:left="0" w:leftChars="0" w:right="0" w:firstLine="0" w:firstLineChars="0"/>
              <w:jc w:val="left"/>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VTE预防</w:t>
            </w:r>
            <w:r>
              <w:rPr>
                <w:rFonts w:hint="eastAsia" w:ascii="Times New Roman" w:hAnsi="Times New Roman" w:eastAsia="宋体" w:cs="Times New Roman"/>
                <w:color w:val="auto"/>
                <w:sz w:val="21"/>
                <w:szCs w:val="21"/>
                <w:highlight w:val="none"/>
                <w:lang w:val="en-US" w:eastAsia="zh-CN"/>
              </w:rPr>
              <w:t>宣教提醒：系统支持对确诊VTE患者或者VTE中高危风险患者进行VTE相关预防措施宣教提醒。对VTE风险为中高危的患者，建议进行（机械、药物）预防措施宣教；对VTE风险为低危的患者，进行基本预防和机械预防宣教。</w:t>
            </w:r>
          </w:p>
        </w:tc>
      </w:tr>
      <w:tr w14:paraId="05F6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bottom w:val="nil"/>
              <w:right w:val="single" w:color="auto" w:sz="4" w:space="0"/>
            </w:tcBorders>
            <w:noWrap w:val="0"/>
            <w:vAlign w:val="center"/>
          </w:tcPr>
          <w:p w14:paraId="77C2DD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1805E">
            <w:pPr>
              <w:pStyle w:val="57"/>
              <w:keepNext w:val="0"/>
              <w:keepLines w:val="0"/>
              <w:suppressLineNumbers w:val="0"/>
              <w:kinsoku w:val="0"/>
              <w:overflowPunct w:val="0"/>
              <w:spacing w:before="0" w:beforeAutospacing="0" w:after="0" w:afterAutospacing="0" w:line="360" w:lineRule="auto"/>
              <w:ind w:left="0" w:right="0"/>
              <w:jc w:val="center"/>
              <w:rPr>
                <w:rFonts w:hint="eastAsia" w:ascii="Segoe UI Symbol" w:hAnsi="Segoe UI Symbol" w:eastAsia="宋体" w:cs="Segoe UI Symbol"/>
                <w:color w:val="auto"/>
                <w:kern w:val="0"/>
                <w:sz w:val="21"/>
                <w:szCs w:val="21"/>
                <w:highlight w:val="none"/>
                <w:lang w:val="en-US" w:eastAsia="zh-CN" w:bidi="zh-CN"/>
              </w:rPr>
            </w:pPr>
            <w:r>
              <w:rPr>
                <w:rFonts w:hint="eastAsia" w:ascii="Segoe UI Symbol" w:hAnsi="Segoe UI Symbol" w:eastAsia="宋体" w:cs="Segoe UI Symbol"/>
                <w:color w:val="auto"/>
                <w:kern w:val="0"/>
                <w:sz w:val="21"/>
                <w:szCs w:val="21"/>
                <w:highlight w:val="none"/>
                <w:lang w:val="en-US" w:eastAsia="zh-CN"/>
              </w:rPr>
              <w:t>打印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3D250B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支持在线打印VTE评估表。</w:t>
            </w:r>
          </w:p>
          <w:p w14:paraId="77C75956">
            <w:pPr>
              <w:pStyle w:val="57"/>
              <w:keepNext w:val="0"/>
              <w:keepLines w:val="0"/>
              <w:numPr>
                <w:ilvl w:val="0"/>
                <w:numId w:val="0"/>
              </w:numPr>
              <w:suppressLineNumbers w:val="0"/>
              <w:kinsoku w:val="0"/>
              <w:overflowPunct w:val="0"/>
              <w:spacing w:before="0" w:beforeAutospacing="0" w:after="0" w:afterAutospacing="0" w:line="360" w:lineRule="auto"/>
              <w:ind w:left="0" w:leftChars="0" w:right="0" w:firstLine="0" w:firstLineChars="0"/>
              <w:jc w:val="left"/>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支持同一评估表合并打印，最大化利用纸张</w:t>
            </w:r>
          </w:p>
        </w:tc>
      </w:tr>
      <w:tr w14:paraId="1B67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right w:val="single" w:color="auto" w:sz="4" w:space="0"/>
            </w:tcBorders>
            <w:shd w:val="clear" w:color="auto" w:fill="auto"/>
            <w:noWrap w:val="0"/>
            <w:vAlign w:val="center"/>
          </w:tcPr>
          <w:p w14:paraId="169634BD">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妊娠期及产褥期VTE风险管理</w:t>
            </w: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5338D732">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初始风险评估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F05CDA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患者入院24小时内，系统根据患者病程记录信息自动识别妊娠期及产褥期患者，并基于权威指南RCOG血栓风险评估体系，结合患者全部病史、手术、用药、检查检验结果等信息，自动完成妊娠期及产褥期患者的VTE风险评估。并主动、及时提醒医生查看妊娠期及产褥期患者的VTE风险评估结果，且支持医生查看评估依据，快速确认。</w:t>
            </w:r>
          </w:p>
        </w:tc>
      </w:tr>
      <w:tr w14:paraId="597A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8FA6B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57198C2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B8A4986">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系统结合妊娠期及产褥期患者全部病史、用药、检查检验结果等信息、智能识别中高危患者特征，根据患者妊娠期或产褥期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tc>
      </w:tr>
      <w:tr w14:paraId="7CE3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3E2EC0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3685818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FB9CD1B">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系统自动完成所有住院患者的VTE风险评估，并支持在医生打开电子病历时，主动提醒医生完成对患者VTE风险评估结果的确认，在医务人员快速确认系统自动评估的结果后，提醒自动消失。</w:t>
            </w:r>
          </w:p>
        </w:tc>
      </w:tr>
      <w:tr w14:paraId="21D6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27C5C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117D048A">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动态评估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5908B02">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系统可实时识别妊娠期及产褥期患者，实时根据患者在院情况自动进行VTE风险评估，并主动提醒医务人员对妊娠期及产褥期患者的评估结果进行快速确认。保证患者病情变化时，能使用准确的VTE风险评估量表、自动判断风险程度、识别中高危患者，使医生掌握患者VTE风险动态变化。</w:t>
            </w:r>
          </w:p>
        </w:tc>
      </w:tr>
      <w:tr w14:paraId="7A71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A4E2D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26DC434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044C276">
            <w:pPr>
              <w:keepNext w:val="0"/>
              <w:keepLines w:val="0"/>
              <w:suppressLineNumbers w:val="0"/>
              <w:autoSpaceDE w:val="0"/>
              <w:autoSpaceDN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在患者完成产科相关手术</w:t>
            </w:r>
            <w:r>
              <w:rPr>
                <w:rFonts w:hint="eastAsia" w:ascii="Times New Roman" w:hAnsi="Times New Roman" w:eastAsia="宋体" w:cs="Times New Roman"/>
                <w:color w:val="auto"/>
                <w:sz w:val="21"/>
                <w:szCs w:val="21"/>
                <w:highlight w:val="none"/>
                <w:lang w:val="en-US" w:eastAsia="zh-Hans"/>
              </w:rPr>
              <w:t>或分娩后</w:t>
            </w:r>
            <w:r>
              <w:rPr>
                <w:rFonts w:hint="default" w:ascii="Times New Roman" w:hAnsi="Times New Roman" w:eastAsia="宋体" w:cs="Times New Roman"/>
                <w:color w:val="auto"/>
                <w:sz w:val="21"/>
                <w:szCs w:val="21"/>
                <w:highlight w:val="none"/>
              </w:rPr>
              <w:t>，系统自动根据患者的术后情况，自动对患者进行VTE风险评估，针对VTE风险评估结果有变化的患者，主动提醒医务人员对评估结果进行确认，在医务人员快速确认评估结果后，质控提醒自动消失。</w:t>
            </w:r>
          </w:p>
          <w:p w14:paraId="02EDEF7E">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系统可主动识别患者产科手术时间，监测评估是否在手术结束后24小时内完成。</w:t>
            </w:r>
          </w:p>
        </w:tc>
      </w:tr>
      <w:tr w14:paraId="03DC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2A7284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2E124216">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759D05A">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在患者完成转科后24小时内，系统主动提醒转入科室是否及时完成妊娠期及产褥期患者的VTE动态风险评估结果的确认。</w:t>
            </w:r>
          </w:p>
        </w:tc>
      </w:tr>
      <w:tr w14:paraId="372F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CB2DEF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594BDBC4">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EFC9951">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患者出院时，系统应主动提醒医生再次进行VTE风险评估结果确认，避免在患者出院前发生遗漏。</w:t>
            </w:r>
          </w:p>
        </w:tc>
      </w:tr>
      <w:tr w14:paraId="69F7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F1BB2C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6D84BA05">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出血风险评估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33CE3E9">
            <w:pPr>
              <w:pStyle w:val="57"/>
              <w:keepNext w:val="0"/>
              <w:keepLines w:val="0"/>
              <w:suppressLineNumbers w:val="0"/>
              <w:kinsoku w:val="0"/>
              <w:overflowPunct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鉴于抗凝预防本身潜在的出血并发症，系统实时自动根据患者的住院情况进行出血风险评估，并主动提醒医生对妊娠期及产褥期患者的出血风险评估结果进行查看，快速确认。（可智能推荐适用于妊娠期及产褥期住院患者的出血风险评估表，并自动完成评估）。</w:t>
            </w:r>
          </w:p>
          <w:p w14:paraId="352C3C65">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系统支持对妊娠期及产褥期住院患者的出血风险评估结果进行病历回填。（需要第三方厂商配合完成接口才可实现）</w:t>
            </w:r>
          </w:p>
        </w:tc>
      </w:tr>
      <w:tr w14:paraId="014D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5886B3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27A3E1D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92263A1">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结合患者全部病史、用药、检查检验结果等信息，系统可根据出血高危患者特征，自动判断患者的出血风险情况。支持人机VTE评估对比，根据对比结果进行重点关注。</w:t>
            </w:r>
          </w:p>
        </w:tc>
      </w:tr>
      <w:tr w14:paraId="72DA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3FECE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395BA2E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VTE预防措施</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B8B0A47">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能够实时根据患者产褥期或妊娠期状态自动判断，对产褥期及妊娠期的VTE中危、高危患者推荐恰当、针对性的VTE预防措施，对未进行VTE预防措施的中高危风险患者，主动、智能提醒医务人员进行相应的基础预防、物理预防、药物预防等措施。可根据医院需要设置为强制功能（强制给予预防措施），防止医生漏开预防措施。</w:t>
            </w:r>
          </w:p>
        </w:tc>
      </w:tr>
      <w:tr w14:paraId="2E0B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89AE0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51112E2C">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A9945F5">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根据患者VTE和出血风险的结果不同，定义恰当的预防措施，例如：产前阶段VTE高危、出血低危的患者应采用无妊娠禁忌的低分子肝素等抗凝药物进行预防。能够根据患者病情和预防措施的采取情况，自动判断患者是否采用恰当的预防措施，并主动给予医生提醒，保证预防措施执行到位。</w:t>
            </w:r>
          </w:p>
        </w:tc>
      </w:tr>
      <w:tr w14:paraId="5F37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F31E9C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1EF301">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在院监测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B295CF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支持管理者对在院产褥期及妊娠期患者VTE防治措施执行情况进行监管，提醒医生对未按规范防治的高危患者及时采取补救措施进行防治、避免和减少因未及时防治而导致的VTE发生率及致死率。</w:t>
            </w:r>
          </w:p>
        </w:tc>
      </w:tr>
      <w:tr w14:paraId="3206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BA4F4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AF0001">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指标统计</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835CA30">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医院和科室管理人员可对全院、或按科室对妇产科相关科室患者的VTE防治质控指标的达成情况和VTE实际发生率分析一览、查看相关患者明细，便于回顾追踪患者在院期间的VTE防治情况。至少包括入院评估、术后评估、转科评估、出院评估、出血评估、预防采取情况等至少五项统计指标</w:t>
            </w:r>
            <w:r>
              <w:rPr>
                <w:rFonts w:hint="eastAsia" w:ascii="Times New Roman" w:hAnsi="Times New Roman" w:eastAsia="宋体" w:cs="Times New Roman"/>
                <w:color w:val="auto"/>
                <w:sz w:val="21"/>
                <w:szCs w:val="21"/>
                <w:highlight w:val="none"/>
                <w:lang w:eastAsia="zh-CN"/>
              </w:rPr>
              <w:t>。</w:t>
            </w:r>
          </w:p>
        </w:tc>
      </w:tr>
      <w:tr w14:paraId="3E2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bottom w:val="nil"/>
              <w:right w:val="single" w:color="auto" w:sz="4" w:space="0"/>
            </w:tcBorders>
            <w:noWrap w:val="0"/>
            <w:vAlign w:val="center"/>
          </w:tcPr>
          <w:p w14:paraId="1AEDC78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A478FC">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恰当评估及预防情况监测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2A90005">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自动根据患者妊娠期及产褥期状态、判断患者是否使用针对性的VTE风险评估量表，监测医务人员对患者的恰当VTE、出血风险评估、以及预防情况。例如：产前阶段住院患者，系统自动判断患者是否进行适用于妊娠期患者的VTE风险评估，对于VTE高危、出血低危的患者，系统自动判断患者是否进行了针对性、无妊娠禁忌的抗凝药物预防措施。</w:t>
            </w:r>
          </w:p>
        </w:tc>
      </w:tr>
      <w:tr w14:paraId="3050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shd w:val="clear" w:color="auto" w:fill="auto"/>
            <w:noWrap w:val="0"/>
            <w:vAlign w:val="center"/>
          </w:tcPr>
          <w:p w14:paraId="72E6F92F">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妇科肿瘤VTE风险管理</w:t>
            </w: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7EC1C98A">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初始风险评估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F41D1DC">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患者入院24小时内，系统根据患者病程记录信息自动识别妇科肿瘤患者患者，结合患者全部病史、手术、用药、检查检验结果等信息，</w:t>
            </w:r>
            <w:r>
              <w:rPr>
                <w:rFonts w:hint="eastAsia" w:ascii="Times New Roman" w:hAnsi="Times New Roman" w:cs="Times New Roman"/>
                <w:color w:val="auto"/>
                <w:sz w:val="21"/>
                <w:szCs w:val="21"/>
                <w:highlight w:val="none"/>
                <w:lang w:val="en-US" w:eastAsia="zh-CN"/>
              </w:rPr>
              <w:t>据权威来源的妇科肿瘤VTE评估量表</w:t>
            </w:r>
            <w:r>
              <w:rPr>
                <w:rFonts w:hint="default" w:ascii="Times New Roman" w:hAnsi="Times New Roman" w:eastAsia="宋体" w:cs="Times New Roman"/>
                <w:color w:val="auto"/>
                <w:sz w:val="21"/>
                <w:szCs w:val="21"/>
                <w:highlight w:val="none"/>
              </w:rPr>
              <w:t>自动完成妇科肿瘤患者的VTE风险评估。并主动、及时提醒医生查看妇科肿瘤患者的VTE风险评估结果，且支持医生查看评估依据，快速确认。</w:t>
            </w:r>
          </w:p>
        </w:tc>
      </w:tr>
      <w:tr w14:paraId="1EE0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1BBAAE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08038E43">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EDB319B">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0"/>
                <w:sz w:val="21"/>
                <w:szCs w:val="21"/>
                <w:highlight w:val="none"/>
              </w:rPr>
              <w:t>★</w:t>
            </w:r>
            <w:r>
              <w:rPr>
                <w:rFonts w:hint="default" w:ascii="Times New Roman" w:hAnsi="Times New Roman" w:eastAsia="宋体" w:cs="Times New Roman"/>
                <w:color w:val="auto"/>
                <w:sz w:val="21"/>
                <w:szCs w:val="21"/>
                <w:highlight w:val="none"/>
              </w:rPr>
              <w:t>系统结合患者全部病史、用药、检查检验结果等信息</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根据权威来源的妇科肿瘤VTE评估量表</w:t>
            </w:r>
            <w:r>
              <w:rPr>
                <w:rFonts w:hint="default" w:ascii="Times New Roman" w:hAnsi="Times New Roman" w:eastAsia="宋体" w:cs="Times New Roman"/>
                <w:color w:val="auto"/>
                <w:sz w:val="21"/>
                <w:szCs w:val="21"/>
                <w:highlight w:val="none"/>
              </w:rPr>
              <w:t>智能识别中高危患者特征，根据患者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tc>
      </w:tr>
      <w:tr w14:paraId="6A11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797805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3A0EF98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ED4BE68">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系统自动完成所有住院患者的VTE风险评估，并支持在医生打开电子病历时，主动提醒医生完成对患者VTE风险评估结果的确认，在医务人员快速确认系统自动评估的结果后，提醒自动消失。</w:t>
            </w:r>
          </w:p>
        </w:tc>
      </w:tr>
      <w:tr w14:paraId="66B6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1FFCC2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13C1BF7E">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动态评估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C44D247">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系统可实时识别妇科肿瘤患者，实时根据患者在院情况自动进行VTE风险评估，并主动提醒医务人员对妇科肿瘤患者的评估结果进行快速确认。保证患者病情变化时，能使用准确的VTE风险评估量表、自动判断风险程度、识别中高危患者，使医生掌握患者VTE风险动态变化。</w:t>
            </w:r>
          </w:p>
        </w:tc>
      </w:tr>
      <w:tr w14:paraId="3B03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301DE0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B618878">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068105D">
            <w:pPr>
              <w:keepNext w:val="0"/>
              <w:keepLines w:val="0"/>
              <w:suppressLineNumbers w:val="0"/>
              <w:autoSpaceDE w:val="0"/>
              <w:autoSpaceDN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患者完成妇科肿瘤相关手术后，系统自动根据患者的术后情况，自动对患者进行VTE风险评估，针对VTE风险评估结果有变化的患者，主动提醒医务人员对评估结果进行确认，在医务人员快速确认评估结果后，质控提醒自动消失。</w:t>
            </w:r>
          </w:p>
          <w:p w14:paraId="44673A3E">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系统可主动识别患者妇科肿瘤手术时间，监测评估是否在手术结束后24小时内完成。</w:t>
            </w:r>
          </w:p>
        </w:tc>
      </w:tr>
      <w:tr w14:paraId="1B8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4C9FEA6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56BBE3C">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EDA73F5">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在患者完成转科后24小时内，系统主动提醒转入科室是否及时完成妇科肿瘤患者的VTE动态风险评估结果的确认。</w:t>
            </w:r>
          </w:p>
        </w:tc>
      </w:tr>
      <w:tr w14:paraId="06A3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38010BC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30AD6108">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04F17E8">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患者出院时，系统应主动提醒医生再次进行VTE风险评估结果确认，避免在患者出院前发生遗漏。</w:t>
            </w:r>
          </w:p>
        </w:tc>
      </w:tr>
      <w:tr w14:paraId="0132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046A9A5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270EE437">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出血风险评估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946C26C">
            <w:pPr>
              <w:pStyle w:val="57"/>
              <w:keepNext w:val="0"/>
              <w:keepLines w:val="0"/>
              <w:suppressLineNumbers w:val="0"/>
              <w:kinsoku w:val="0"/>
              <w:overflowPunct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鉴于抗凝预防本身潜在的出血并发症，系统实时自动根据患者的住院情况进行出血风险评估，并主动提醒医生对妇科肿瘤患者的出血风险评估结果进行查看，快速确认。（可智能推荐适用于妇科肿瘤住院患者的出血风险评估表，并自动完成评估）。</w:t>
            </w:r>
          </w:p>
          <w:p w14:paraId="371A81A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系统支持对妇科肿瘤住院患者的出血风险评估结果进行病历回填。（需要第三方厂商配合完成接口才可实现）</w:t>
            </w:r>
          </w:p>
        </w:tc>
      </w:tr>
      <w:tr w14:paraId="4432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0FB866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69CF9DD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242826A">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结合患者全部病史、用药、检查检验结果等信息，系统可根据出血高危患者特征，自动判断患者的出血风险情况。支持人机VTE评估对比，根据对比结果进行重点关注。</w:t>
            </w:r>
          </w:p>
        </w:tc>
      </w:tr>
      <w:tr w14:paraId="6C75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64C7826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20BB3F84">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VTE预防措施</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005E713">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能够实时根据患者是否手术自动判断，对术前、术后的VTE高危患者推荐恰当、针对性的VTE预防措施，并在手术前12小时提醒医生停止医嘱对未进行VTE预防措施的高危风险患者，主动、智能提醒医务人员进行相应的基础预防、物理预防、药物预防等措施。可根据医院需要设置为强制功能（强制给予预防措施），防止医生漏开预防措施。</w:t>
            </w:r>
          </w:p>
        </w:tc>
      </w:tr>
      <w:tr w14:paraId="7E1D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444793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08745CA3">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61D73D1">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根据患者VTE和出血风险的结果不同，定义恰当的预防措施，例如：VTE高危、出血低危的患者应采用抗凝药物进行预防。能够根据患者病情和预防措施的采取情况，自动判断患者是否采用恰当的预防措施，并主动给予医生提醒，保证预防措施执行到位。</w:t>
            </w:r>
          </w:p>
        </w:tc>
      </w:tr>
      <w:tr w14:paraId="4C12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07173F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1ED7260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09A66A0">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当患者VTE风险评分结果为中高危时，系统应主动提醒医生采取VTE的预防措施。</w:t>
            </w:r>
          </w:p>
        </w:tc>
      </w:tr>
      <w:tr w14:paraId="63C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7439F7F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075109">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在院监测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C2FF448">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支持管理者对在院妇科肿瘤患者VTE防治措施执行情况进行监管，提醒医生对未按规范防治的高危患者及时采取补救措施进行防治、避免和减少因未及时防治而导致的VTE发生率及致死率。</w:t>
            </w:r>
          </w:p>
        </w:tc>
      </w:tr>
      <w:tr w14:paraId="28B4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01BDAE6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C85C94">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指标统计</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43E2784">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医院和科室管理人员可对全院、或按科室对妇科、肿瘤科相关科室患者的VTE防治质控指标的达成情况和VTE实际发生率分析一览、查看相关患者明细，便于回顾追踪患者在院期间的VTE防治情况。至少包括入院评估、术后评估、转科评估、出院评估、出血评估、预防采取情况等至少五项统计指标</w:t>
            </w:r>
            <w:r>
              <w:rPr>
                <w:rFonts w:hint="eastAsia" w:ascii="Times New Roman" w:hAnsi="Times New Roman" w:eastAsia="宋体" w:cs="Times New Roman"/>
                <w:color w:val="auto"/>
                <w:sz w:val="21"/>
                <w:szCs w:val="21"/>
                <w:highlight w:val="none"/>
                <w:lang w:eastAsia="zh-CN"/>
              </w:rPr>
              <w:t>。</w:t>
            </w:r>
          </w:p>
        </w:tc>
      </w:tr>
      <w:tr w14:paraId="102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nil"/>
              <w:left w:val="single" w:color="auto" w:sz="4" w:space="0"/>
              <w:bottom w:val="nil"/>
              <w:right w:val="single" w:color="auto" w:sz="4" w:space="0"/>
            </w:tcBorders>
            <w:noWrap w:val="0"/>
            <w:vAlign w:val="center"/>
          </w:tcPr>
          <w:p w14:paraId="33C5349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F69DD0">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恰当评估及预防情况监测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07EEFE7">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自动根据患者状态、判断患者是否使用针对性的VTE风险评估量表，监测医务人员对患者的恰当VTE、出血风险评估、以及预防情况。例如：术前阶段住院患者，系统自动判断患者是否进行适用于妇科肿瘤患者的VTE风险评估，对于VTE高危、出血低危的患者，系统自动判断患者是否进行了针对性、无禁忌的抗凝药物预防措施。</w:t>
            </w:r>
          </w:p>
        </w:tc>
      </w:tr>
      <w:tr w14:paraId="26EE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right w:val="single" w:color="auto" w:sz="4" w:space="0"/>
            </w:tcBorders>
            <w:shd w:val="clear" w:color="auto" w:fill="auto"/>
            <w:noWrap w:val="0"/>
            <w:vAlign w:val="center"/>
          </w:tcPr>
          <w:p w14:paraId="1E3C0DF1">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肿瘤VTE风险管理</w:t>
            </w: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4B2ECF40">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初始风险评估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30434F4">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患者入院24小时内，系统根据患者病程记录信息自动识别肿瘤患者患者，结合患者全部病史、手术、用药、检查检验结果等信息，自动完成肿瘤患者</w:t>
            </w:r>
            <w:r>
              <w:rPr>
                <w:rFonts w:hint="eastAsia" w:ascii="Times New Roman" w:hAnsi="Times New Roman" w:eastAsia="宋体" w:cs="Times New Roman"/>
                <w:color w:val="auto"/>
                <w:sz w:val="21"/>
                <w:szCs w:val="21"/>
                <w:highlight w:val="none"/>
                <w:lang w:eastAsia="zh-Hans"/>
              </w:rPr>
              <w:t>（</w:t>
            </w:r>
            <w:r>
              <w:rPr>
                <w:rFonts w:hint="eastAsia" w:ascii="Times New Roman" w:hAnsi="Times New Roman" w:eastAsia="宋体" w:cs="Times New Roman"/>
                <w:color w:val="auto"/>
                <w:sz w:val="21"/>
                <w:szCs w:val="21"/>
                <w:highlight w:val="none"/>
                <w:lang w:val="en-US" w:eastAsia="zh-Hans"/>
              </w:rPr>
              <w:t>Khorana</w:t>
            </w:r>
            <w:r>
              <w:rPr>
                <w:rFonts w:hint="eastAsia" w:ascii="Times New Roman" w:hAnsi="Times New Roman" w:eastAsia="宋体" w:cs="Times New Roman"/>
                <w:color w:val="auto"/>
                <w:sz w:val="21"/>
                <w:szCs w:val="21"/>
                <w:highlight w:val="none"/>
                <w:lang w:val="en-US" w:eastAsia="zh-CN"/>
              </w:rPr>
              <w:t>、Padua或者Caprini</w:t>
            </w:r>
            <w:r>
              <w:rPr>
                <w:rFonts w:hint="eastAsia" w:ascii="Times New Roman" w:hAnsi="Times New Roman" w:eastAsia="宋体" w:cs="Times New Roman"/>
                <w:color w:val="auto"/>
                <w:sz w:val="21"/>
                <w:szCs w:val="21"/>
                <w:highlight w:val="none"/>
                <w:lang w:val="en-US" w:eastAsia="zh-Hans"/>
              </w:rPr>
              <w:t>）</w:t>
            </w:r>
            <w:r>
              <w:rPr>
                <w:rFonts w:hint="default" w:ascii="Times New Roman" w:hAnsi="Times New Roman" w:eastAsia="宋体" w:cs="Times New Roman"/>
                <w:color w:val="auto"/>
                <w:sz w:val="21"/>
                <w:szCs w:val="21"/>
                <w:highlight w:val="none"/>
              </w:rPr>
              <w:t>的VTE风险评估。并主动、及时提醒医生查看肿瘤患者的VTE风险评估结果，且支持医生查看评估依据，快速确认。</w:t>
            </w:r>
          </w:p>
        </w:tc>
      </w:tr>
      <w:tr w14:paraId="4533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80FC9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767A5AE">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A4D86AF">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系统结合患者全部病史、用药、检查检验结果等信息、智能识别中高危患者特征，根据患者状态，自动判断患者的VTE风险情况（是否为中高危患者）。支持人机VTE评估结果同一界面对比，根据对比结果进行重点关注。若系统评估危险程度高于医生，则应主动对医生进行提醒，帮助医生减少评估中的遗漏，增加评估的客观性和全面性。</w:t>
            </w:r>
          </w:p>
        </w:tc>
      </w:tr>
      <w:tr w14:paraId="55EA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3F5A5A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0719D787">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A4C5D4C">
            <w:pPr>
              <w:pStyle w:val="57"/>
              <w:keepNext w:val="0"/>
              <w:keepLines w:val="0"/>
              <w:suppressLineNumbers w:val="0"/>
              <w:kinsoku w:val="0"/>
              <w:overflowPunct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系统自动完成所有住院</w:t>
            </w:r>
            <w:r>
              <w:rPr>
                <w:rFonts w:hint="eastAsia" w:ascii="Times New Roman" w:hAnsi="Times New Roman" w:cs="Times New Roman"/>
                <w:color w:val="auto"/>
                <w:sz w:val="21"/>
                <w:szCs w:val="21"/>
                <w:highlight w:val="none"/>
                <w:lang w:val="en-US" w:eastAsia="zh-CN"/>
              </w:rPr>
              <w:t>肿瘤</w:t>
            </w:r>
            <w:r>
              <w:rPr>
                <w:rFonts w:hint="default" w:ascii="Times New Roman" w:hAnsi="Times New Roman" w:eastAsia="宋体" w:cs="Times New Roman"/>
                <w:color w:val="auto"/>
                <w:sz w:val="21"/>
                <w:szCs w:val="21"/>
                <w:highlight w:val="none"/>
              </w:rPr>
              <w:t>患者的VTE风险评估，并支持在医生打开电子病历时，主动提醒医生完成对患者VTE风险评估结果的确认，在医务人员快速确认系统自动评估的结果后，提醒自动消失。</w:t>
            </w:r>
          </w:p>
        </w:tc>
      </w:tr>
      <w:tr w14:paraId="1C8C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AC10E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3BC6A3F4">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动态评估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9DC1232">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系统可实时识别肿瘤患者，实时根据患者在院情况自动进行VTE风险评估，并主动提醒医务人员对肿瘤患者的评估结果进行快速确认。保证患者病情变化时，能使用准确的VTE风险评估量表、自动判断风险程度、识别中高危患者，使医生掌握患者VTE风险动态变化。</w:t>
            </w:r>
          </w:p>
        </w:tc>
      </w:tr>
      <w:tr w14:paraId="42EC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020CAB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75277EE4">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5336090">
            <w:pPr>
              <w:keepNext w:val="0"/>
              <w:keepLines w:val="0"/>
              <w:suppressLineNumbers w:val="0"/>
              <w:autoSpaceDE w:val="0"/>
              <w:autoSpaceDN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在患者完成</w:t>
            </w:r>
            <w:r>
              <w:rPr>
                <w:rFonts w:hint="eastAsia" w:ascii="Times New Roman" w:hAnsi="Times New Roman" w:eastAsia="宋体" w:cs="Times New Roman"/>
                <w:color w:val="auto"/>
                <w:sz w:val="21"/>
                <w:szCs w:val="21"/>
                <w:highlight w:val="none"/>
                <w:lang w:val="en-US" w:eastAsia="zh-Hans"/>
              </w:rPr>
              <w:t>开始</w:t>
            </w:r>
            <w:r>
              <w:rPr>
                <w:rFonts w:hint="default" w:ascii="Times New Roman" w:hAnsi="Times New Roman" w:eastAsia="宋体" w:cs="Times New Roman"/>
                <w:color w:val="auto"/>
                <w:sz w:val="21"/>
                <w:szCs w:val="21"/>
                <w:highlight w:val="none"/>
              </w:rPr>
              <w:t>手术</w:t>
            </w:r>
            <w:r>
              <w:rPr>
                <w:rFonts w:hint="eastAsia" w:ascii="Times New Roman" w:hAnsi="Times New Roman" w:eastAsia="宋体" w:cs="Times New Roman"/>
                <w:color w:val="auto"/>
                <w:sz w:val="21"/>
                <w:szCs w:val="21"/>
                <w:highlight w:val="none"/>
                <w:lang w:val="en-US" w:eastAsia="zh-Hans"/>
              </w:rPr>
              <w:t>前</w:t>
            </w:r>
            <w:r>
              <w:rPr>
                <w:rFonts w:hint="default" w:ascii="Times New Roman" w:hAnsi="Times New Roman" w:eastAsia="宋体" w:cs="Times New Roman"/>
                <w:color w:val="auto"/>
                <w:sz w:val="21"/>
                <w:szCs w:val="21"/>
                <w:highlight w:val="none"/>
              </w:rPr>
              <w:t>，系统自动根据患者的</w:t>
            </w:r>
            <w:r>
              <w:rPr>
                <w:rFonts w:hint="eastAsia" w:ascii="Times New Roman" w:hAnsi="Times New Roman" w:eastAsia="宋体" w:cs="Times New Roman"/>
                <w:color w:val="auto"/>
                <w:sz w:val="21"/>
                <w:szCs w:val="21"/>
                <w:highlight w:val="none"/>
                <w:lang w:val="en-US" w:eastAsia="zh-Hans"/>
              </w:rPr>
              <w:t>手术信息，</w:t>
            </w:r>
            <w:r>
              <w:rPr>
                <w:rFonts w:hint="default" w:ascii="Times New Roman" w:hAnsi="Times New Roman" w:eastAsia="宋体" w:cs="Times New Roman"/>
                <w:color w:val="auto"/>
                <w:sz w:val="21"/>
                <w:szCs w:val="21"/>
                <w:highlight w:val="none"/>
              </w:rPr>
              <w:t>自动对患者进行VTE风险评估，主动提醒医务人员对评估结果进行确认，在医务人员快速确认评估结果后，质控提醒自动消失。</w:t>
            </w:r>
          </w:p>
          <w:p w14:paraId="1963B653">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系统可主动识别患者手术</w:t>
            </w:r>
            <w:r>
              <w:rPr>
                <w:rFonts w:hint="eastAsia" w:ascii="Times New Roman" w:hAnsi="Times New Roman" w:eastAsia="宋体" w:cs="Times New Roman"/>
                <w:color w:val="auto"/>
                <w:sz w:val="21"/>
                <w:szCs w:val="21"/>
                <w:highlight w:val="none"/>
                <w:lang w:val="en-US" w:eastAsia="zh-Hans"/>
              </w:rPr>
              <w:t>申请或术前小结</w:t>
            </w:r>
            <w:r>
              <w:rPr>
                <w:rFonts w:hint="default" w:ascii="Times New Roman" w:hAnsi="Times New Roman" w:eastAsia="宋体" w:cs="Times New Roman"/>
                <w:color w:val="auto"/>
                <w:sz w:val="21"/>
                <w:szCs w:val="21"/>
                <w:highlight w:val="none"/>
              </w:rPr>
              <w:t>，监测评估是否在手术</w:t>
            </w:r>
            <w:r>
              <w:rPr>
                <w:rFonts w:hint="eastAsia" w:ascii="Times New Roman" w:hAnsi="Times New Roman" w:eastAsia="宋体" w:cs="Times New Roman"/>
                <w:color w:val="auto"/>
                <w:sz w:val="21"/>
                <w:szCs w:val="21"/>
                <w:highlight w:val="none"/>
                <w:lang w:val="en-US" w:eastAsia="zh-Hans"/>
              </w:rPr>
              <w:t>开始前</w:t>
            </w:r>
            <w:r>
              <w:rPr>
                <w:rFonts w:hint="default" w:ascii="Times New Roman" w:hAnsi="Times New Roman" w:eastAsia="宋体" w:cs="Times New Roman"/>
                <w:color w:val="auto"/>
                <w:sz w:val="21"/>
                <w:szCs w:val="21"/>
                <w:highlight w:val="none"/>
              </w:rPr>
              <w:t>24小时内完成。</w:t>
            </w:r>
          </w:p>
        </w:tc>
      </w:tr>
      <w:tr w14:paraId="7511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B1ED62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780ACD35">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3BA5B5A">
            <w:pPr>
              <w:keepNext w:val="0"/>
              <w:keepLines w:val="0"/>
              <w:suppressLineNumbers w:val="0"/>
              <w:autoSpaceDE w:val="0"/>
              <w:autoSpaceDN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患者完成相关手术后，系统自动根据患者的术后情况，自动对患者进行VTE风险评估，针对VTE风险评估结果有变化的患者，主动提醒医务人员对评估结果进行确认，在医务人员快速确认评估结果后，质控提醒自动消失。</w:t>
            </w:r>
          </w:p>
          <w:p w14:paraId="77DA7117">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系统可主动识别患者手术时间，监测评估是否在手术结束后24小时内完成。</w:t>
            </w:r>
          </w:p>
        </w:tc>
      </w:tr>
      <w:tr w14:paraId="5086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4D3A1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738E61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F79A49">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在患者完成转科后24小时内，系统主动提醒转入科室及时完成肿瘤患者的VTE动态风险评估结果的确认。</w:t>
            </w:r>
          </w:p>
        </w:tc>
      </w:tr>
      <w:tr w14:paraId="4849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5EF0AD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08886021">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30CD178">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患者出院时，系统应主动提醒医生再次进行VTE风险评估结果确认，避免在患者出院前发生遗漏。</w:t>
            </w:r>
          </w:p>
        </w:tc>
      </w:tr>
      <w:tr w14:paraId="12FB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150239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68E463F0">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出血风险评估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75C4FED">
            <w:pPr>
              <w:pStyle w:val="57"/>
              <w:keepNext w:val="0"/>
              <w:keepLines w:val="0"/>
              <w:suppressLineNumbers w:val="0"/>
              <w:kinsoku w:val="0"/>
              <w:overflowPunct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鉴于抗凝预防本身潜在的出血并发症，系统实时自动根据患者的住院情况进行出血风险评估，并主动提醒医生对肿瘤患者的出血风险评估结果进行查看，快速确认。（可智能推荐适用于肿瘤住院患者的出血风险评估表，并自动完成评估）。</w:t>
            </w:r>
          </w:p>
          <w:p w14:paraId="3CF6A5A7">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系统支持对肿瘤住院患者的出血风险评估结果进行病历回填。（需要第三方厂商配合完成接口才可实现）</w:t>
            </w:r>
          </w:p>
        </w:tc>
      </w:tr>
      <w:tr w14:paraId="2C5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F298B8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3962921B">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5019AB3">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结合患者全部病史、用药、检查检验结果等信息，系统可根据出血高危患者特征，自动判断患者的出血风险情况。支持人机VTE评估对比，根据对比结果进行重点关注。</w:t>
            </w:r>
          </w:p>
        </w:tc>
      </w:tr>
      <w:tr w14:paraId="7F70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2A3C05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2FDC5537">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VTE预防措施</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E8C9423">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能够实时根据患者是否手术自动判断，对术前、术后的VTE高危患者推荐恰当、针对性的VTE预防措施</w:t>
            </w:r>
            <w:r>
              <w:rPr>
                <w:rFonts w:hint="eastAsia" w:ascii="Times New Roman" w:hAnsi="Times New Roman" w:eastAsia="宋体" w:cs="Times New Roman"/>
                <w:color w:val="auto"/>
                <w:sz w:val="21"/>
                <w:szCs w:val="21"/>
                <w:highlight w:val="none"/>
                <w:lang w:eastAsia="zh-Hans"/>
              </w:rPr>
              <w:t>。</w:t>
            </w:r>
            <w:r>
              <w:rPr>
                <w:rFonts w:hint="default" w:ascii="Times New Roman" w:hAnsi="Times New Roman" w:eastAsia="宋体" w:cs="Times New Roman"/>
                <w:color w:val="auto"/>
                <w:sz w:val="21"/>
                <w:szCs w:val="21"/>
                <w:highlight w:val="none"/>
              </w:rPr>
              <w:t>对未进行VTE预防措施的高危风险患者，主动、智能提醒医务人员进行相应的基础预防、物理预防、药物预防等措施。可根据医院需要设置为强制功能（强制给予预防措施），防止医生漏开预防措施。</w:t>
            </w:r>
          </w:p>
        </w:tc>
      </w:tr>
      <w:tr w14:paraId="3B8E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3E5658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3FBB4809">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8208D7B">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根据患者VTE和出血风险的结果不同，定义恰当的预防措施，例如：VTE高危、出血低危的患者应采用抗凝药物进行预防。能够根据患者病情和预防措施的采取情况，自动判断患者是否采用恰当的预防措施，并主动给予医生提醒，保证预防措施执行到位。</w:t>
            </w:r>
          </w:p>
        </w:tc>
      </w:tr>
      <w:tr w14:paraId="4580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A0E78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1EE58D82">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844BA4C">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当患者VTE风险评分结果为中高危时，系统应主动提醒医生采取VTE的预防措施。</w:t>
            </w:r>
          </w:p>
        </w:tc>
      </w:tr>
      <w:tr w14:paraId="1DCA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27E7A6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64F837">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Times New Roman" w:hAnsi="Times New Roman" w:eastAsia="宋体" w:cs="Times New Roman"/>
                <w:color w:val="auto"/>
                <w:kern w:val="2"/>
                <w:sz w:val="21"/>
                <w:szCs w:val="21"/>
                <w:highlight w:val="none"/>
                <w:lang w:val="en-US" w:eastAsia="zh-Hans" w:bidi="ar-SA"/>
              </w:rPr>
              <w:t>DVT患者推荐检查治疗</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016A03C">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Hans"/>
              </w:rPr>
              <w:t>支持对于DVT可疑</w:t>
            </w:r>
            <w:r>
              <w:rPr>
                <w:rFonts w:hint="eastAsia" w:ascii="Times New Roman" w:hAnsi="Times New Roman" w:cs="Times New Roman"/>
                <w:color w:val="auto"/>
                <w:sz w:val="21"/>
                <w:szCs w:val="21"/>
                <w:highlight w:val="none"/>
                <w:lang w:val="en-US" w:eastAsia="zh-CN"/>
              </w:rPr>
              <w:t>肿瘤</w:t>
            </w:r>
            <w:r>
              <w:rPr>
                <w:rFonts w:hint="eastAsia" w:ascii="Times New Roman" w:hAnsi="Times New Roman" w:eastAsia="宋体" w:cs="Times New Roman"/>
                <w:color w:val="auto"/>
                <w:sz w:val="21"/>
                <w:szCs w:val="21"/>
                <w:highlight w:val="none"/>
                <w:lang w:val="en-US" w:eastAsia="zh-Hans"/>
              </w:rPr>
              <w:t>患者提醒静脉加压超声检查；对DVT确诊患者，根据患者抗凝禁忌情况的有无，推荐DVT治疗建议和血栓治疗建议。</w:t>
            </w:r>
          </w:p>
        </w:tc>
      </w:tr>
      <w:tr w14:paraId="0B29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22337A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6C404D">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在院监测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9B11EE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支持管理者对在院肿瘤患者VTE防治措施执行情况进行监管，提醒医生对未按规范防治的高危患者及时采取补救措施进行防治、避免和减少因未及时防治而导致的VTE发生率及致死率。</w:t>
            </w:r>
          </w:p>
        </w:tc>
      </w:tr>
      <w:tr w14:paraId="7331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D0D30B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04C1BC">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指标统计</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A0D637D">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医院和科室管理人员可对全院、或按科室对肿瘤科相关科室患者的VTE防治质控指标的达成情况和VTE实际发生率分析一览、查看相关患者明细，便于回顾追踪患者在院期间的VTE防治情况。至少包括入院评估、术后评估、转科评估、出院评估、出血评估、预防采取情况等至少五项统计指标</w:t>
            </w:r>
          </w:p>
        </w:tc>
      </w:tr>
      <w:tr w14:paraId="5C5C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bottom w:val="nil"/>
              <w:right w:val="single" w:color="auto" w:sz="4" w:space="0"/>
            </w:tcBorders>
            <w:noWrap w:val="0"/>
            <w:vAlign w:val="center"/>
          </w:tcPr>
          <w:p w14:paraId="5EC795C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80A90E">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恰当评估及预防情况监测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056F742">
            <w:pPr>
              <w:pStyle w:val="57"/>
              <w:keepNext w:val="0"/>
              <w:keepLines w:val="0"/>
              <w:suppressLineNumbers w:val="0"/>
              <w:kinsoku w:val="0"/>
              <w:overflowPunct w:val="0"/>
              <w:spacing w:before="0" w:beforeAutospacing="0" w:after="0" w:afterAutospacing="0" w:line="360" w:lineRule="auto"/>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系统自动根据患者状态、判断患者是否使用针对性的VTE风险评估量表，监测医务人员对患者的恰当VTE、出血风险评估、以及预防情况。例如：术前阶段住院患者，系统自动判断患者是否进行适用于肿瘤患者的VTE风险评估，对于VTE高危、出血低危的患者，系统自动判断患者是否进行了针对性、无禁忌的抗凝药物预防措施。</w:t>
            </w:r>
          </w:p>
        </w:tc>
      </w:tr>
      <w:tr w14:paraId="32C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right w:val="single" w:color="auto" w:sz="4" w:space="0"/>
            </w:tcBorders>
            <w:shd w:val="clear" w:color="auto" w:fill="auto"/>
            <w:noWrap w:val="0"/>
            <w:vAlign w:val="center"/>
          </w:tcPr>
          <w:p w14:paraId="0497A879">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VTE质控平台</w:t>
            </w: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2D4430">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科室质量管理平台</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18C899B">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质控统计功能在科室质量管理平台中“VTE防治”模块，</w:t>
            </w:r>
            <w:r>
              <w:rPr>
                <w:rFonts w:hint="default" w:ascii="Times New Roman" w:hAnsi="Times New Roman" w:eastAsia="宋体" w:cs="Times New Roman"/>
                <w:color w:val="auto"/>
                <w:spacing w:val="2"/>
                <w:sz w:val="21"/>
                <w:szCs w:val="21"/>
                <w:highlight w:val="none"/>
              </w:rPr>
              <w:t>可查看VTE防治统计数据。能够提供管理部门完整、详细的数据统计分析报表，可以从管理端直观、多维度查看VTE防治效果。</w:t>
            </w:r>
          </w:p>
        </w:tc>
      </w:tr>
      <w:tr w14:paraId="4F06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075281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1692E139">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在院监测</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DDAC7BB">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支持管理者对在院患者VTE防治措施执行情况进行监管，提醒医生对未按规范防治的高危患者及时采取补救措施进行防治、避免和减少因未及时防治而导致的VTE发生率及致死率。</w:t>
            </w:r>
          </w:p>
        </w:tc>
      </w:tr>
      <w:tr w14:paraId="725E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E0DB21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2DA6D84F">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B798383">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sz w:val="21"/>
                <w:szCs w:val="21"/>
                <w:highlight w:val="none"/>
              </w:rPr>
              <w:t>对于未完成某项VTE防治措施的患者，系统可自动标红并提醒尽快完成防治措施；对于已完成某项VTE防治措施的患者，系统可自动查询相关评估结果的详细信息。支持下载患者VTE防治明细表格，进行更多维度的统计分析和临床管理。</w:t>
            </w:r>
          </w:p>
        </w:tc>
      </w:tr>
      <w:tr w14:paraId="54EE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44B10F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09FFBE">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default" w:ascii="Times New Roman" w:hAnsi="Times New Roman" w:eastAsia="宋体" w:cs="Times New Roman"/>
                <w:color w:val="auto"/>
                <w:sz w:val="21"/>
                <w:szCs w:val="21"/>
                <w:highlight w:val="none"/>
              </w:rPr>
              <w:t>指标统计</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33A993B">
            <w:pPr>
              <w:pStyle w:val="57"/>
              <w:keepNext w:val="0"/>
              <w:keepLines w:val="0"/>
              <w:suppressLineNumbers w:val="0"/>
              <w:kinsoku w:val="0"/>
              <w:overflowPunct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医院和科室管理人员可对全院、或按科室对各科室患者的VTE防治质控指标的达成情况和VTE实际发生率分析一览、查看相关患者明细，</w:t>
            </w:r>
            <w:r>
              <w:rPr>
                <w:rFonts w:hint="default" w:ascii="Times New Roman" w:hAnsi="Times New Roman" w:cs="Times New Roman"/>
                <w:color w:val="auto"/>
                <w:sz w:val="21"/>
                <w:szCs w:val="21"/>
                <w:highlight w:val="none"/>
              </w:rPr>
              <w:t>同时支持按年龄、是否手术、是否为院外VTE、是否正在接受抗凝治疗、是否有机械预防禁忌</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是否为日间患者</w:t>
            </w:r>
            <w:r>
              <w:rPr>
                <w:rFonts w:hint="default" w:ascii="Times New Roman" w:hAnsi="Times New Roman" w:cs="Times New Roman"/>
                <w:color w:val="auto"/>
                <w:sz w:val="21"/>
                <w:szCs w:val="21"/>
                <w:highlight w:val="none"/>
              </w:rPr>
              <w:t>等条件查看患者明细</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便于回顾追踪患者在院期间的VTE防治情况。</w:t>
            </w:r>
          </w:p>
          <w:p w14:paraId="1E8E0B2E">
            <w:pPr>
              <w:pStyle w:val="57"/>
              <w:keepNext w:val="0"/>
              <w:keepLines w:val="0"/>
              <w:suppressLineNumbers w:val="0"/>
              <w:kinsoku w:val="0"/>
              <w:overflowPunct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至少包括：</w:t>
            </w:r>
          </w:p>
          <w:p w14:paraId="3630AAB3">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评估指标</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支持按全院/科室/时间等不同维度筛选，统计指标包括</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入院、术后、转科等关键节点的VTE评估情况、不同人群出血评估、Wells评估情况统计，各个指标支持下钻、科室</w:t>
            </w:r>
            <w:r>
              <w:rPr>
                <w:rFonts w:hint="eastAsia" w:ascii="Times New Roman" w:hAnsi="Times New Roman" w:cs="Times New Roman"/>
                <w:color w:val="auto"/>
                <w:sz w:val="21"/>
                <w:szCs w:val="21"/>
                <w:highlight w:val="none"/>
                <w:lang w:val="en-US" w:eastAsia="zh-CN"/>
              </w:rPr>
              <w:t>情况</w:t>
            </w:r>
            <w:r>
              <w:rPr>
                <w:rFonts w:hint="eastAsia" w:ascii="Times New Roman" w:hAnsi="Times New Roman" w:eastAsia="宋体" w:cs="Times New Roman"/>
                <w:color w:val="auto"/>
                <w:sz w:val="21"/>
                <w:szCs w:val="21"/>
                <w:highlight w:val="none"/>
              </w:rPr>
              <w:t>以及趋势图。</w:t>
            </w:r>
          </w:p>
          <w:p w14:paraId="2656B19C">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预防详情指标</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支持按全院/科室/时间等不同维度筛选，统计指标包括机械、药物、基础等不同层面，各个指标支持下钻、科室</w:t>
            </w:r>
            <w:r>
              <w:rPr>
                <w:rFonts w:hint="eastAsia" w:ascii="Times New Roman" w:hAnsi="Times New Roman" w:cs="Times New Roman"/>
                <w:color w:val="auto"/>
                <w:sz w:val="21"/>
                <w:szCs w:val="21"/>
                <w:highlight w:val="none"/>
                <w:lang w:val="en-US" w:eastAsia="zh-CN"/>
              </w:rPr>
              <w:t>情况</w:t>
            </w:r>
            <w:r>
              <w:rPr>
                <w:rFonts w:hint="eastAsia" w:ascii="Times New Roman" w:hAnsi="Times New Roman" w:eastAsia="宋体" w:cs="Times New Roman"/>
                <w:color w:val="auto"/>
                <w:sz w:val="21"/>
                <w:szCs w:val="21"/>
                <w:highlight w:val="none"/>
              </w:rPr>
              <w:t>以及趋势图。</w:t>
            </w:r>
          </w:p>
          <w:p w14:paraId="516E8B40">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诊断指标</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支持按全院/科室/时间等不同维度筛选，统计指标包括D</w:t>
            </w:r>
            <w:r>
              <w:rPr>
                <w:rFonts w:hint="eastAsia" w:ascii="Times New Roman" w:hAnsi="Times New Roman" w:cs="Times New Roman"/>
                <w:color w:val="auto"/>
                <w:sz w:val="21"/>
                <w:szCs w:val="21"/>
                <w:highlight w:val="none"/>
                <w:lang w:val="en-US" w:eastAsia="zh-CN"/>
              </w:rPr>
              <w:t>-二聚体</w:t>
            </w:r>
            <w:r>
              <w:rPr>
                <w:rFonts w:hint="eastAsia" w:ascii="Times New Roman" w:hAnsi="Times New Roman" w:eastAsia="宋体" w:cs="Times New Roman"/>
                <w:color w:val="auto"/>
                <w:sz w:val="21"/>
                <w:szCs w:val="21"/>
                <w:highlight w:val="none"/>
              </w:rPr>
              <w:t>检测率、下肢血管超声率、超声心动图、肺血管CT率等不同层面，各个指标支持下钻、科室</w:t>
            </w:r>
            <w:r>
              <w:rPr>
                <w:rFonts w:hint="eastAsia" w:ascii="Times New Roman" w:hAnsi="Times New Roman" w:cs="Times New Roman"/>
                <w:color w:val="auto"/>
                <w:sz w:val="21"/>
                <w:szCs w:val="21"/>
                <w:highlight w:val="none"/>
                <w:lang w:val="en-US" w:eastAsia="zh-CN"/>
              </w:rPr>
              <w:t>情况</w:t>
            </w:r>
            <w:r>
              <w:rPr>
                <w:rFonts w:hint="eastAsia" w:ascii="Times New Roman" w:hAnsi="Times New Roman" w:eastAsia="宋体" w:cs="Times New Roman"/>
                <w:color w:val="auto"/>
                <w:sz w:val="21"/>
                <w:szCs w:val="21"/>
                <w:highlight w:val="none"/>
              </w:rPr>
              <w:t>以及趋势图。</w:t>
            </w:r>
          </w:p>
          <w:p w14:paraId="130EE621">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治疗指标</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支持按全院/科室/时间等不同维度筛选，统计指标包括VTE患者的抗凝、溶栓等不同层面，各个指标支持下钻、</w:t>
            </w:r>
            <w:r>
              <w:rPr>
                <w:rFonts w:hint="eastAsia" w:ascii="Times New Roman" w:hAnsi="Times New Roman" w:cs="Times New Roman"/>
                <w:color w:val="auto"/>
                <w:sz w:val="21"/>
                <w:szCs w:val="21"/>
                <w:highlight w:val="none"/>
                <w:lang w:val="en-US" w:eastAsia="zh-CN"/>
              </w:rPr>
              <w:t>科室情况</w:t>
            </w:r>
            <w:r>
              <w:rPr>
                <w:rFonts w:hint="eastAsia" w:ascii="Times New Roman" w:hAnsi="Times New Roman" w:eastAsia="宋体" w:cs="Times New Roman"/>
                <w:color w:val="auto"/>
                <w:sz w:val="21"/>
                <w:szCs w:val="21"/>
                <w:highlight w:val="none"/>
              </w:rPr>
              <w:t>以及趋势图。</w:t>
            </w:r>
          </w:p>
          <w:p w14:paraId="68EE2BED">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结局指标</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支持按全院/科室/时间等不同维度筛选，支持院内VTE发生情况的细指标统计，包括VTE,PTE,DVT等相关性和病死率统计，以及资源消耗情况统计，支持趋势图。</w:t>
            </w:r>
          </w:p>
          <w:p w14:paraId="54645A08">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肿瘤相关指标</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支持重症ICU患者VTE评估率，肺癌、结直肠癌、胃癌、乳腺癌、肝癌、食管癌等患者VTE评估率指标统计。每个指标支持计算公式、趋势图以及下钻功能</w:t>
            </w:r>
            <w:r>
              <w:rPr>
                <w:rFonts w:hint="eastAsia" w:ascii="Times New Roman" w:hAnsi="Times New Roman" w:cs="Times New Roman"/>
                <w:color w:val="auto"/>
                <w:sz w:val="21"/>
                <w:szCs w:val="21"/>
                <w:highlight w:val="none"/>
                <w:lang w:eastAsia="zh-CN"/>
              </w:rPr>
              <w:t>。</w:t>
            </w:r>
          </w:p>
          <w:p w14:paraId="2DAE9668">
            <w:pPr>
              <w:pStyle w:val="57"/>
              <w:keepNext w:val="0"/>
              <w:keepLines w:val="0"/>
              <w:suppressLineNumbers w:val="0"/>
              <w:kinsoku w:val="0"/>
              <w:overflowPunct w:val="0"/>
              <w:spacing w:before="0" w:beforeAutospacing="0" w:after="0" w:afterAutospacing="0" w:line="360" w:lineRule="auto"/>
              <w:ind w:left="0" w:right="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7</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支持按手术维度统计患者VTE风险评估及预防情况。</w:t>
            </w:r>
          </w:p>
          <w:p w14:paraId="122311A0">
            <w:pPr>
              <w:pStyle w:val="57"/>
              <w:keepNext w:val="0"/>
              <w:keepLines w:val="0"/>
              <w:suppressLineNumbers w:val="0"/>
              <w:kinsoku w:val="0"/>
              <w:overflowPunct w:val="0"/>
              <w:spacing w:before="0" w:beforeAutospacing="0" w:after="0" w:afterAutospacing="0" w:line="360" w:lineRule="auto"/>
              <w:ind w:left="0" w:right="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8</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支持按月维度汇总VTE风险评估及预防情况。</w:t>
            </w:r>
          </w:p>
          <w:p w14:paraId="399E05DC">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支持按月维度汇总VTE认证上报数据。</w:t>
            </w:r>
          </w:p>
        </w:tc>
      </w:tr>
      <w:tr w14:paraId="1983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bottom w:val="nil"/>
              <w:right w:val="single" w:color="auto" w:sz="4" w:space="0"/>
            </w:tcBorders>
            <w:noWrap w:val="0"/>
            <w:vAlign w:val="center"/>
          </w:tcPr>
          <w:p w14:paraId="6E6D320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B4DEBC">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eastAsia" w:ascii="宋体" w:hAnsi="宋体" w:eastAsia="宋体" w:cs="宋体"/>
                <w:color w:val="auto"/>
                <w:kern w:val="2"/>
                <w:sz w:val="24"/>
                <w:szCs w:val="24"/>
                <w:highlight w:val="none"/>
                <w:lang w:val="en-US" w:eastAsia="zh-CN" w:bidi="ar-SA"/>
              </w:rPr>
              <w:t>※</w:t>
            </w:r>
            <w:r>
              <w:rPr>
                <w:rFonts w:hint="eastAsia" w:ascii="Times New Roman" w:hAnsi="Times New Roman" w:eastAsia="宋体" w:cs="Times New Roman"/>
                <w:color w:val="auto"/>
                <w:sz w:val="21"/>
                <w:szCs w:val="21"/>
                <w:highlight w:val="none"/>
                <w:lang w:val="en-US" w:eastAsia="zh-Hans"/>
              </w:rPr>
              <w:t>随访清单</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DA02AAB">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lang w:val="en-US" w:eastAsia="zh-Hans"/>
              </w:rPr>
            </w:pPr>
            <w:r>
              <w:rPr>
                <w:rFonts w:hint="default" w:ascii="Times New Roman" w:hAnsi="Times New Roman" w:eastAsia="宋体" w:cs="Times New Roman"/>
                <w:color w:val="auto"/>
                <w:sz w:val="21"/>
                <w:szCs w:val="21"/>
                <w:highlight w:val="none"/>
              </w:rPr>
              <w:t>医院和科室管理人员可对全院、或按科室</w:t>
            </w:r>
            <w:r>
              <w:rPr>
                <w:rFonts w:hint="eastAsia" w:ascii="Times New Roman" w:hAnsi="Times New Roman" w:eastAsia="宋体" w:cs="Times New Roman"/>
                <w:color w:val="auto"/>
                <w:sz w:val="21"/>
                <w:szCs w:val="21"/>
                <w:highlight w:val="none"/>
                <w:lang w:val="en-US" w:eastAsia="zh-Hans"/>
              </w:rPr>
              <w:t>查看</w:t>
            </w:r>
            <w:r>
              <w:rPr>
                <w:rFonts w:hint="default" w:ascii="Times New Roman" w:hAnsi="Times New Roman" w:eastAsia="宋体" w:cs="Times New Roman"/>
                <w:color w:val="auto"/>
                <w:sz w:val="21"/>
                <w:szCs w:val="21"/>
                <w:highlight w:val="none"/>
              </w:rPr>
              <w:t>各科室</w:t>
            </w:r>
            <w:r>
              <w:rPr>
                <w:rFonts w:hint="eastAsia" w:ascii="Times New Roman" w:hAnsi="Times New Roman" w:eastAsia="宋体" w:cs="Times New Roman"/>
                <w:color w:val="auto"/>
                <w:sz w:val="21"/>
                <w:szCs w:val="21"/>
                <w:highlight w:val="none"/>
                <w:lang w:val="en-US" w:eastAsia="zh-Hans"/>
              </w:rPr>
              <w:t>患者的</w:t>
            </w:r>
            <w:r>
              <w:rPr>
                <w:rFonts w:hint="default" w:ascii="Times New Roman" w:hAnsi="Times New Roman" w:eastAsia="宋体" w:cs="Times New Roman"/>
                <w:color w:val="auto"/>
                <w:sz w:val="21"/>
                <w:szCs w:val="21"/>
                <w:highlight w:val="none"/>
              </w:rPr>
              <w:t>VTE防治</w:t>
            </w:r>
            <w:r>
              <w:rPr>
                <w:rFonts w:hint="eastAsia" w:ascii="Times New Roman" w:hAnsi="Times New Roman" w:eastAsia="宋体" w:cs="Times New Roman"/>
                <w:color w:val="auto"/>
                <w:sz w:val="21"/>
                <w:szCs w:val="21"/>
                <w:highlight w:val="none"/>
                <w:lang w:val="en-US" w:eastAsia="zh-Hans"/>
              </w:rPr>
              <w:t>情况，根据VTE风险情况、出血风险评估情况筛选随访目标患者。</w:t>
            </w:r>
          </w:p>
          <w:p w14:paraId="57D4A2CA">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Hans"/>
              </w:rPr>
              <w:t>支持查看患者评估情况、出入院诊断、检查情况、预防措施情况等，支持下载患者清单。</w:t>
            </w:r>
          </w:p>
        </w:tc>
      </w:tr>
      <w:tr w14:paraId="177D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nil"/>
              <w:left w:val="single" w:color="auto" w:sz="4" w:space="0"/>
              <w:right w:val="single" w:color="auto" w:sz="4" w:space="0"/>
            </w:tcBorders>
            <w:shd w:val="clear" w:color="auto" w:fill="auto"/>
            <w:noWrap w:val="0"/>
            <w:vAlign w:val="center"/>
          </w:tcPr>
          <w:p w14:paraId="694F7265">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VTE过程质量</w:t>
            </w:r>
            <w:r>
              <w:rPr>
                <w:rFonts w:hint="eastAsia" w:ascii="Times New Roman" w:hAnsi="Times New Roman" w:cs="Times New Roman"/>
                <w:color w:val="auto"/>
                <w:sz w:val="21"/>
                <w:szCs w:val="21"/>
                <w:highlight w:val="none"/>
                <w:lang w:val="en-US" w:eastAsia="zh-CN"/>
              </w:rPr>
              <w:t>配置</w:t>
            </w: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74758C12">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pacing w:val="-2"/>
                <w:sz w:val="21"/>
                <w:szCs w:val="21"/>
                <w:highlight w:val="none"/>
              </w:rPr>
              <w:t>医嘱监控（三级卡控）</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30FB472">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pacing w:val="-2"/>
                <w:kern w:val="2"/>
                <w:sz w:val="21"/>
                <w:szCs w:val="21"/>
                <w:highlight w:val="none"/>
                <w:lang w:val="en-US" w:eastAsia="zh-CN" w:bidi="zh-CN"/>
              </w:rPr>
            </w:pPr>
            <w:r>
              <w:rPr>
                <w:rFonts w:hint="eastAsia" w:ascii="宋体" w:hAnsi="宋体" w:eastAsia="宋体" w:cs="宋体"/>
                <w:color w:val="auto"/>
                <w:kern w:val="0"/>
                <w:sz w:val="21"/>
                <w:szCs w:val="21"/>
                <w:highlight w:val="none"/>
              </w:rPr>
              <w:t>★</w:t>
            </w:r>
            <w:r>
              <w:rPr>
                <w:rFonts w:hint="default" w:ascii="Times New Roman" w:hAnsi="Times New Roman" w:eastAsia="宋体" w:cs="Times New Roman"/>
                <w:color w:val="auto"/>
                <w:spacing w:val="-2"/>
                <w:sz w:val="21"/>
                <w:szCs w:val="21"/>
                <w:highlight w:val="none"/>
              </w:rPr>
              <w:t>结合医院监管需求，支持医院根据自身业务需求设置VTE质控的提醒方式，提醒强度区分三级：1级仅提醒、2级弹出框主动展示提醒医生关注、3级弹出框主动展示提醒（医生开立预防医嘱时，根据患者病情，自动校验预防措施合理性，判断不合理或需完成相关检查、检验结果），以监测医生在患者住院期间病情变化的关键节点采取恰当、及时的预防措施。三级提醒级别支持医院个性化配置到每一条质控要求上，匹配医院不同的管理要求。</w:t>
            </w:r>
          </w:p>
        </w:tc>
      </w:tr>
      <w:tr w14:paraId="58A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2DA8E9E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214D059">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6993D1F">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pacing w:val="-2"/>
                <w:kern w:val="2"/>
                <w:sz w:val="21"/>
                <w:szCs w:val="21"/>
                <w:highlight w:val="none"/>
                <w:lang w:val="en-US" w:eastAsia="zh-CN" w:bidi="zh-CN"/>
              </w:rPr>
            </w:pPr>
            <w:r>
              <w:rPr>
                <w:rFonts w:hint="default" w:ascii="Times New Roman" w:hAnsi="Times New Roman" w:eastAsia="宋体" w:cs="Times New Roman"/>
                <w:color w:val="auto"/>
                <w:spacing w:val="-2"/>
                <w:sz w:val="21"/>
                <w:szCs w:val="21"/>
                <w:highlight w:val="none"/>
              </w:rPr>
              <w:t>当患者VTE评估结果为中/高危时，系统应自动对预防措施的采取情况进行判断。若尚未完成相应的预防医嘱，系统应主动提醒（弹框提醒）医生下达预防处方。</w:t>
            </w:r>
          </w:p>
        </w:tc>
      </w:tr>
      <w:tr w14:paraId="416C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632782C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1B004693">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E9641A1">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pacing w:val="-2"/>
                <w:kern w:val="2"/>
                <w:sz w:val="21"/>
                <w:szCs w:val="21"/>
                <w:highlight w:val="none"/>
                <w:lang w:val="en-US" w:eastAsia="zh-CN" w:bidi="zh-CN"/>
              </w:rPr>
            </w:pPr>
            <w:r>
              <w:rPr>
                <w:rFonts w:hint="default" w:ascii="Times New Roman" w:hAnsi="Times New Roman" w:eastAsia="宋体" w:cs="Times New Roman"/>
                <w:color w:val="auto"/>
                <w:spacing w:val="-2"/>
                <w:sz w:val="21"/>
                <w:szCs w:val="21"/>
                <w:highlight w:val="none"/>
              </w:rPr>
              <w:t>当患者VTE评估结果为中/高危，且出血风险为高危时，若尚未完成物理预防医嘱，系统应主动对医生进行提醒（弹框提醒），在医生提交/保存医嘱时，进行提醒。若医生有其他考虑，需写明原因。</w:t>
            </w:r>
          </w:p>
        </w:tc>
      </w:tr>
      <w:tr w14:paraId="7A83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519F77D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right w:val="single" w:color="auto" w:sz="4" w:space="0"/>
            </w:tcBorders>
            <w:noWrap w:val="0"/>
            <w:vAlign w:val="center"/>
          </w:tcPr>
          <w:p w14:paraId="500AA4F3">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08AB2BB">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pacing w:val="-2"/>
                <w:kern w:val="2"/>
                <w:sz w:val="21"/>
                <w:szCs w:val="21"/>
                <w:highlight w:val="none"/>
                <w:lang w:val="en-US" w:eastAsia="zh-CN" w:bidi="zh-CN"/>
              </w:rPr>
            </w:pPr>
            <w:r>
              <w:rPr>
                <w:rFonts w:hint="default" w:ascii="Times New Roman" w:hAnsi="Times New Roman" w:eastAsia="宋体" w:cs="Times New Roman"/>
                <w:color w:val="auto"/>
                <w:spacing w:val="-2"/>
                <w:sz w:val="21"/>
                <w:szCs w:val="21"/>
                <w:highlight w:val="none"/>
              </w:rPr>
              <w:t>当患者出血风险为高危时，若医生继续下达抗凝药物医嘱时，系统应主动对医生进行强提醒，在医生提交/保存医嘱时，进行提醒。若医生有其他考虑，需写明原因。</w:t>
            </w:r>
          </w:p>
        </w:tc>
      </w:tr>
      <w:tr w14:paraId="049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1570EB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78B3DDB0">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302CEF7">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spacing w:val="-2"/>
                <w:kern w:val="2"/>
                <w:sz w:val="21"/>
                <w:szCs w:val="21"/>
                <w:highlight w:val="none"/>
                <w:lang w:val="en-US" w:eastAsia="zh-CN" w:bidi="zh-CN"/>
              </w:rPr>
            </w:pPr>
            <w:r>
              <w:rPr>
                <w:rFonts w:hint="default" w:ascii="Times New Roman" w:hAnsi="Times New Roman" w:eastAsia="宋体" w:cs="Times New Roman"/>
                <w:color w:val="auto"/>
                <w:spacing w:val="-2"/>
                <w:sz w:val="21"/>
                <w:szCs w:val="21"/>
                <w:highlight w:val="none"/>
              </w:rPr>
              <w:t>当患者VTE评估结果为中/高危，且出血风险为低危时，系统应主动提醒（弹框提醒）医生下达抗凝药物医嘱以预防血栓，若医生有其他顾虑，需写明原因。</w:t>
            </w:r>
          </w:p>
        </w:tc>
      </w:tr>
      <w:tr w14:paraId="7830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right w:val="single" w:color="auto" w:sz="4" w:space="0"/>
            </w:tcBorders>
            <w:noWrap w:val="0"/>
            <w:vAlign w:val="center"/>
          </w:tcPr>
          <w:p w14:paraId="738B10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restart"/>
            <w:tcBorders>
              <w:top w:val="single" w:color="auto" w:sz="4" w:space="0"/>
              <w:left w:val="single" w:color="auto" w:sz="4" w:space="0"/>
              <w:right w:val="single" w:color="auto" w:sz="4" w:space="0"/>
            </w:tcBorders>
            <w:shd w:val="clear" w:color="auto" w:fill="auto"/>
            <w:noWrap w:val="0"/>
            <w:vAlign w:val="center"/>
          </w:tcPr>
          <w:p w14:paraId="189C2A2C">
            <w:pPr>
              <w:pStyle w:val="57"/>
              <w:keepNext w:val="0"/>
              <w:keepLines w:val="0"/>
              <w:suppressLineNumbers w:val="0"/>
              <w:kinsoku w:val="0"/>
              <w:overflowPunct w:val="0"/>
              <w:spacing w:before="0" w:beforeAutospacing="0" w:after="0" w:afterAutospacing="0" w:line="360" w:lineRule="auto"/>
              <w:ind w:left="0" w:right="0"/>
              <w:jc w:val="center"/>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实时可视化数据大屏监控</w:t>
            </w: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149C279">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rPr>
              <w:t>将全院、各个科室的VTE防治情况进行实时可视化大屏监控，进行多维度实时监测院内评测和VTE的风险评估情况、出血风险评估情况、风险评估率走势、预防措施等情况，并自动计算VTE评估率、出血评估率、预防措施实施率等，便于监控患者的VTE实时防治情况。</w:t>
            </w:r>
          </w:p>
        </w:tc>
      </w:tr>
      <w:tr w14:paraId="0595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left w:val="single" w:color="auto" w:sz="4" w:space="0"/>
              <w:bottom w:val="nil"/>
              <w:right w:val="single" w:color="auto" w:sz="4" w:space="0"/>
            </w:tcBorders>
            <w:noWrap w:val="0"/>
            <w:vAlign w:val="center"/>
          </w:tcPr>
          <w:p w14:paraId="5DF863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17" w:type="pct"/>
            <w:vMerge w:val="continue"/>
            <w:tcBorders>
              <w:left w:val="single" w:color="auto" w:sz="4" w:space="0"/>
              <w:bottom w:val="single" w:color="auto" w:sz="4" w:space="0"/>
              <w:right w:val="single" w:color="auto" w:sz="4" w:space="0"/>
            </w:tcBorders>
            <w:noWrap w:val="0"/>
            <w:vAlign w:val="center"/>
          </w:tcPr>
          <w:p w14:paraId="6CBB163D">
            <w:pPr>
              <w:pStyle w:val="25"/>
              <w:keepNext w:val="0"/>
              <w:keepLines w:val="0"/>
              <w:widowControl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
              </w:rPr>
            </w:pPr>
          </w:p>
        </w:tc>
        <w:tc>
          <w:tcPr>
            <w:tcW w:w="367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B3AA967">
            <w:pPr>
              <w:pStyle w:val="57"/>
              <w:keepNext w:val="0"/>
              <w:keepLines w:val="0"/>
              <w:suppressLineNumbers w:val="0"/>
              <w:kinsoku w:val="0"/>
              <w:overflowPunct w:val="0"/>
              <w:spacing w:before="0" w:beforeAutospacing="0" w:after="0" w:afterAutospacing="0" w:line="360" w:lineRule="auto"/>
              <w:ind w:left="0" w:right="0"/>
              <w:rPr>
                <w:rFonts w:hint="eastAsia" w:ascii="Times New Roman" w:hAnsi="Times New Roman" w:eastAsia="宋体" w:cs="Times New Roman"/>
                <w:color w:val="auto"/>
                <w:kern w:val="0"/>
                <w:sz w:val="21"/>
                <w:szCs w:val="21"/>
                <w:highlight w:val="none"/>
                <w:lang w:val="en-US" w:eastAsia="zh-CN" w:bidi="zh-CN"/>
              </w:rPr>
            </w:pPr>
            <w:r>
              <w:rPr>
                <w:rFonts w:hint="default" w:ascii="Times New Roman" w:hAnsi="Times New Roman" w:eastAsia="宋体" w:cs="Times New Roman"/>
                <w:color w:val="auto"/>
                <w:kern w:val="0"/>
                <w:sz w:val="21"/>
                <w:szCs w:val="21"/>
                <w:highlight w:val="none"/>
              </w:rPr>
              <w:t>实时分类展示全院、各个科室患者的VTE防控详细信息，包括：使用的VTE评估表名称、VTE风险等级、出血风险评估情况、VTE中高危患者的详细风险评估结果、出血风险因素、预防药物、药物剂量、物理预防措施、是否确诊DVT/PTE、入院或带入性VTE。</w:t>
            </w:r>
          </w:p>
        </w:tc>
      </w:tr>
    </w:tbl>
    <w:p w14:paraId="62B4F97F">
      <w:pPr>
        <w:pStyle w:val="25"/>
        <w:keepNext w:val="0"/>
        <w:keepLines w:val="0"/>
        <w:widowControl w:val="0"/>
        <w:suppressLineNumbers w:val="0"/>
        <w:spacing w:before="100" w:beforeAutospacing="1" w:after="0" w:afterAutospacing="0" w:line="360" w:lineRule="auto"/>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4E51406B">
      <w:pPr>
        <w:pStyle w:val="6"/>
        <w:widowControl/>
        <w:numPr>
          <w:ilvl w:val="1"/>
          <w:numId w:val="5"/>
        </w:num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病案首页质量控制系统</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87"/>
        <w:gridCol w:w="5796"/>
      </w:tblGrid>
      <w:tr w14:paraId="6DFF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pct"/>
            <w:gridSpan w:val="2"/>
            <w:tcBorders>
              <w:top w:val="single" w:color="auto" w:sz="4" w:space="0"/>
              <w:left w:val="single" w:color="auto" w:sz="4" w:space="0"/>
              <w:bottom w:val="single" w:color="auto" w:sz="4" w:space="0"/>
              <w:right w:val="single" w:color="auto" w:sz="4" w:space="0"/>
            </w:tcBorders>
            <w:noWrap w:val="0"/>
            <w:vAlign w:val="center"/>
          </w:tcPr>
          <w:p w14:paraId="24B0A3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名称</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7A1A6F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功能说明</w:t>
            </w:r>
          </w:p>
        </w:tc>
      </w:tr>
      <w:tr w14:paraId="4331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14:paraId="74ACBF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病案首页形式质控</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CDDE5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病案首页数据完整性</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495C5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满足国卫办医发〔2016〕24号《国家卫生计生委办公厅关于印发住院病案首页数据填写质量规范（暂行）和住院病案首页数据质量管理与控制指标（2016版）的通知》中病案首页数据质量填写规范的要求。</w:t>
            </w:r>
          </w:p>
          <w:p w14:paraId="2C06B143">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可质检首页字段完整性：</w:t>
            </w:r>
          </w:p>
          <w:p w14:paraId="79C2E079">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病案首页病案号完整性质检</w:t>
            </w:r>
          </w:p>
          <w:p w14:paraId="331B374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病案首页籍贯完整性质检</w:t>
            </w:r>
          </w:p>
          <w:p w14:paraId="2ABEAED3">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病案首页民族完整性质检</w:t>
            </w:r>
          </w:p>
          <w:p w14:paraId="073BD65A">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病案首页国籍完整性质检</w:t>
            </w:r>
          </w:p>
          <w:p w14:paraId="6225C29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病案首页身份证号完整性质检</w:t>
            </w:r>
          </w:p>
          <w:p w14:paraId="5E96A7C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病案首页职业完整性质检</w:t>
            </w:r>
          </w:p>
          <w:p w14:paraId="58CC536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病案首页婚姻状况完整性质检</w:t>
            </w:r>
          </w:p>
          <w:p w14:paraId="7250BF44">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病案首页现住址完整性质检</w:t>
            </w:r>
          </w:p>
          <w:p w14:paraId="0FA81714">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病案首页住址电话号码完整性质检</w:t>
            </w:r>
          </w:p>
          <w:p w14:paraId="6CD64150">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病案首页现住址邮编完整性质检</w:t>
            </w:r>
          </w:p>
          <w:p w14:paraId="338B161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病案首页性别完整性质检</w:t>
            </w:r>
          </w:p>
          <w:p w14:paraId="2CF4B107">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病案首页户口地址完整性质检</w:t>
            </w:r>
          </w:p>
          <w:p w14:paraId="554A9377">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病案首页户口地址邮编完整性质检</w:t>
            </w:r>
          </w:p>
          <w:p w14:paraId="38E13043">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病案首页工作单位及地址完整性质检</w:t>
            </w:r>
          </w:p>
          <w:p w14:paraId="6747AC2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病案首页单位电话完整性质检</w:t>
            </w:r>
          </w:p>
          <w:p w14:paraId="6E711962">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病案首页单位邮编完整性质检</w:t>
            </w:r>
          </w:p>
          <w:p w14:paraId="000CA38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病案首页联系人姓名完整性质检</w:t>
            </w:r>
          </w:p>
          <w:p w14:paraId="4DB5EAA0">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病案首页关系完整性质检</w:t>
            </w:r>
          </w:p>
          <w:p w14:paraId="52F534D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病案首页联系人地址完整性质检</w:t>
            </w:r>
          </w:p>
          <w:p w14:paraId="13A06536">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病案首页联系人电话号码完整性质检</w:t>
            </w:r>
          </w:p>
          <w:p w14:paraId="65E9748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病案首页出生日期完整性质检</w:t>
            </w:r>
          </w:p>
          <w:p w14:paraId="3DD2BF7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病案首页年龄完整性质检</w:t>
            </w:r>
          </w:p>
          <w:p w14:paraId="4C03E07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病案首页患者姓名完整性质检</w:t>
            </w:r>
          </w:p>
          <w:p w14:paraId="26002599">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病案首页出生地完整性质检</w:t>
            </w:r>
          </w:p>
          <w:p w14:paraId="2F756483">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病案首页门诊诊断完整性质检</w:t>
            </w:r>
          </w:p>
          <w:p w14:paraId="16E15D59">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病案首页手术及操作名称完整性质检</w:t>
            </w:r>
          </w:p>
          <w:p w14:paraId="2FEE3011">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病案首页血型完整性质检</w:t>
            </w:r>
          </w:p>
          <w:p w14:paraId="7A7FBE99">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病案首页主任（副主任）医师完整性质检</w:t>
            </w:r>
          </w:p>
          <w:p w14:paraId="41E09DE3">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病案首页主治医师完整性质检</w:t>
            </w:r>
          </w:p>
          <w:p w14:paraId="52C622E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病案首页住院医师完整性质检</w:t>
            </w:r>
          </w:p>
          <w:p w14:paraId="1430F2A1">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病案首页质控医师完整性质检</w:t>
            </w:r>
          </w:p>
          <w:p w14:paraId="7EB07727">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病案首页抢救成功次数完整性质检</w:t>
            </w:r>
          </w:p>
          <w:p w14:paraId="471F27D8">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病案首页抢救次数完整性质检</w:t>
            </w:r>
          </w:p>
          <w:p w14:paraId="5C85BC3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病案首页抢救情况完整性质检</w:t>
            </w:r>
          </w:p>
          <w:p w14:paraId="356E0F0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病案首页主要诊断编码完整性质检</w:t>
            </w:r>
          </w:p>
          <w:p w14:paraId="65FC8640">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病案首页损伤、中毒的外部因素完整性质检</w:t>
            </w:r>
          </w:p>
          <w:p w14:paraId="7F581CD7">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病案首页是否有31天内再住院计划完整性质检</w:t>
            </w:r>
          </w:p>
          <w:p w14:paraId="32274F1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病案首页颅脑损伤患者昏迷时间完整性质检</w:t>
            </w:r>
          </w:p>
          <w:p w14:paraId="0C47FC6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病案首页离院方式完整性质检</w:t>
            </w:r>
          </w:p>
          <w:p w14:paraId="6707231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病案首页过敏史完整性质检</w:t>
            </w:r>
          </w:p>
          <w:p w14:paraId="3324D98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病案首页完成及时性质检</w:t>
            </w:r>
          </w:p>
          <w:p w14:paraId="607F5D9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病案首页入院时间完整性质检</w:t>
            </w:r>
          </w:p>
          <w:p w14:paraId="0BC6E8FB">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病案首页入院途径完整性质检</w:t>
            </w:r>
          </w:p>
          <w:p w14:paraId="616839F7">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病案首页入院科室完整性质检</w:t>
            </w:r>
          </w:p>
          <w:p w14:paraId="24E4B78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病案首页手术及操作日期完整性质检</w:t>
            </w:r>
          </w:p>
          <w:p w14:paraId="3908B75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病案首页转科情况完整性质检</w:t>
            </w:r>
          </w:p>
          <w:p w14:paraId="365C9A7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病案首页出院时间完整性质检</w:t>
            </w:r>
          </w:p>
          <w:p w14:paraId="4FE7A0E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病案首页出院科室完整性质检</w:t>
            </w:r>
          </w:p>
          <w:p w14:paraId="24DE5BF1">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病案首页医疗付费方式完整性质检</w:t>
            </w:r>
          </w:p>
          <w:p w14:paraId="6B713E0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病案首页重症监护信息完整性质检</w:t>
            </w:r>
          </w:p>
          <w:p w14:paraId="404BD9E6">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病案首页呼吸机使用时间完整性质检</w:t>
            </w:r>
          </w:p>
          <w:p w14:paraId="2CF3C346">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病案首页新生儿入院体重完整性质检</w:t>
            </w:r>
          </w:p>
          <w:p w14:paraId="2C7C603A">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病案首页新生儿出生体重完整性质检</w:t>
            </w:r>
          </w:p>
        </w:tc>
      </w:tr>
      <w:tr w14:paraId="288A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14:paraId="19F22E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BD891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首页一致性规则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45A996F8">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对首页信息的与其他文书或入院信息的一致性进行校验：</w:t>
            </w:r>
          </w:p>
          <w:p w14:paraId="0736EF21">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病案首页与血型化验的血型一致性质检</w:t>
            </w:r>
          </w:p>
          <w:p w14:paraId="15382AD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病案首页与入院信息的联系人姓名一致性质检</w:t>
            </w:r>
          </w:p>
          <w:p w14:paraId="02BB920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病案首页与入院信息的联系人地址一致性质检</w:t>
            </w:r>
          </w:p>
          <w:p w14:paraId="02E07854">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病案首页与入院信息的联系人电话号码一致性质检</w:t>
            </w:r>
          </w:p>
          <w:p w14:paraId="71C63DF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病案首页与入院信息的籍贯一致性质检</w:t>
            </w:r>
          </w:p>
          <w:p w14:paraId="35724948">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病案首页与入院信息的民族一致性质检</w:t>
            </w:r>
          </w:p>
        </w:tc>
      </w:tr>
      <w:tr w14:paraId="745F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14:paraId="6F4DD5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7F8862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首页合规性规则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716B705B">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病案首页联系人关系合规性质检</w:t>
            </w:r>
          </w:p>
          <w:p w14:paraId="4705C09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病案首页死亡患者尸检合规性质检</w:t>
            </w:r>
          </w:p>
          <w:p w14:paraId="12EFBAB7">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病案首页新生儿出生体重合规性质检</w:t>
            </w:r>
          </w:p>
          <w:p w14:paraId="5597716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病案首页住院天数合规性质检</w:t>
            </w:r>
          </w:p>
          <w:p w14:paraId="0D338F6A">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病案首页新生儿入院体重合规性质检</w:t>
            </w:r>
          </w:p>
          <w:p w14:paraId="2DB9E0A2">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死亡病例病案首页离院方式合规性质检</w:t>
            </w:r>
          </w:p>
          <w:p w14:paraId="14E034E6">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死亡患者病案首页是否出院31天再住院计划合规性质检</w:t>
            </w:r>
          </w:p>
        </w:tc>
      </w:tr>
      <w:tr w14:paraId="1C6D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14:paraId="579099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5C0C507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诊断合规性规则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7A196E2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病案首页贫血未明确分度</w:t>
            </w:r>
          </w:p>
          <w:p w14:paraId="5C26033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病案首页电解质紊乱诊断不明确</w:t>
            </w:r>
          </w:p>
          <w:p w14:paraId="5A88302E">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病案首页心律失常诊断未明确分类</w:t>
            </w:r>
          </w:p>
          <w:p w14:paraId="5DCE7A9C">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病案首页糖尿病诊断未明确分型</w:t>
            </w:r>
          </w:p>
          <w:p w14:paraId="099DB362">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病案首页呼吸衰竭诊断未明确分型、性质</w:t>
            </w:r>
          </w:p>
          <w:p w14:paraId="7715041F">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病案首页高血压诊断未明确分类、分层</w:t>
            </w:r>
          </w:p>
        </w:tc>
      </w:tr>
      <w:tr w14:paraId="5E0F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18AC915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病案首页内涵实时质控</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7868BD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首页合规性规则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08A0B4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对上报数据的合规性进行质量控制，如：</w:t>
            </w:r>
          </w:p>
          <w:p w14:paraId="012DCDA1">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病案首页与血型化验的血型一致性质检</w:t>
            </w:r>
          </w:p>
          <w:p w14:paraId="069821E5">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当首页出院诊断ICD10编码中含有S06（颅内损伤）时，入院前颅脑损伤患者昏迷时间不能为空，不需要填写的应为“-”</w:t>
            </w:r>
          </w:p>
          <w:p w14:paraId="6023AE72">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当首页出院诊断编码中含有S06（颅内损伤）时，入院后颅脑损伤患者昏迷时间不能为空，不需要填写的应为“-”</w:t>
            </w:r>
          </w:p>
          <w:p w14:paraId="4BCEB642">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当首页的手术名称类别为手术时，麻醉方式不应为空</w:t>
            </w:r>
          </w:p>
          <w:p w14:paraId="0B518433">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当首页的手术名称类别为手术时，手术操作切口等级不应为空</w:t>
            </w:r>
          </w:p>
          <w:p w14:paraId="5E4A08C4">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当首页的手术名称类别为手术时，愈合等级不应为空</w:t>
            </w:r>
          </w:p>
          <w:p w14:paraId="4486F7D5">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当首页的手术名称类别为手术或介入时，对应的手术操作级别不应为空</w:t>
            </w:r>
          </w:p>
          <w:p w14:paraId="1ECC0393">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病案首页现住址邮编合规性质检</w:t>
            </w:r>
          </w:p>
          <w:p w14:paraId="6060031E">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病案首页住址电话合规性质检</w:t>
            </w:r>
          </w:p>
          <w:p w14:paraId="42F031CB">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病案首页身份证号合规性质检</w:t>
            </w:r>
          </w:p>
          <w:p w14:paraId="11083564">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病案首页联系人姓名合规性质检</w:t>
            </w:r>
          </w:p>
        </w:tc>
      </w:tr>
      <w:tr w14:paraId="5752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70B441A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7D893E0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首页一致性规则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4CB266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对患者基本信息、诊断、手术等信息相互间矛盾的情况进行质量控制</w:t>
            </w:r>
          </w:p>
          <w:p w14:paraId="7BE6887A">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病案首页入院病情为有的诊断与入院记录的入院诊断不一致（入院时病情不明确的情况除外）。</w:t>
            </w:r>
          </w:p>
          <w:p w14:paraId="098C023A">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病案首页与入院记录过敏药物记录内容不一致</w:t>
            </w:r>
          </w:p>
          <w:p w14:paraId="27B439E4">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出院记录与病案首页记录的出院日期不一致</w:t>
            </w:r>
          </w:p>
          <w:p w14:paraId="68D76BED">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病案首页与入院记录婚姻状态不一致</w:t>
            </w:r>
          </w:p>
        </w:tc>
      </w:tr>
      <w:tr w14:paraId="1B9E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1DB4836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129D75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主诊断选择合理性规则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A340AF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对病案首页主诊断选择的合理性进行质量控制：</w:t>
            </w:r>
          </w:p>
          <w:p w14:paraId="7AB6081D">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产科主诊断应选择产科并发症或伴随疾病</w:t>
            </w:r>
          </w:p>
          <w:p w14:paraId="3D7D6FB7">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选择剖宫产原因作为主诊断</w:t>
            </w:r>
          </w:p>
        </w:tc>
      </w:tr>
      <w:tr w14:paraId="26DC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BBE032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3915AC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其他诊断遗漏规则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44CF7B7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对病案首页其他诊断遗漏的情况进行质控提醒：</w:t>
            </w:r>
          </w:p>
          <w:p w14:paraId="13A4F2E8">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RIS报告中提示的疾病未加入病案首页诊断中</w:t>
            </w:r>
          </w:p>
          <w:p w14:paraId="223F4031">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既往史在病案首页的遗漏</w:t>
            </w:r>
          </w:p>
          <w:p w14:paraId="38291B44">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术后诊断在病案首页的遗漏</w:t>
            </w:r>
          </w:p>
          <w:p w14:paraId="41BB513F">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出院诊断在病案首页的遗漏</w:t>
            </w:r>
          </w:p>
        </w:tc>
      </w:tr>
      <w:tr w14:paraId="0C88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38BCB21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549AA5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其他诊断错误</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D10DE6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入院记录正在治疗的疾病未列入病案首页其他诊断中：</w:t>
            </w:r>
          </w:p>
          <w:p w14:paraId="1EBD0AD3">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医院入院记录特殊字段“正在治疗的疾病及用药”中明确书写的在患疾病未写入病案首页其他诊断中。</w:t>
            </w:r>
          </w:p>
          <w:p w14:paraId="55A64C70">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病案首页肺动脉高压诊断未明确分度</w:t>
            </w:r>
          </w:p>
        </w:tc>
      </w:tr>
      <w:tr w14:paraId="12A3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484A70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C361C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手术操作错误</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0097673A">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本次住院期间的手术不应书写为术后状态的诊断</w:t>
            </w:r>
          </w:p>
        </w:tc>
      </w:tr>
      <w:tr w14:paraId="1005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581BE7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6D23A7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4"/>
                <w:szCs w:val="24"/>
                <w:highlight w:val="none"/>
                <w:lang w:val="en-US" w:eastAsia="zh-CN" w:bidi="ar"/>
              </w:rPr>
              <w:t>手术操作遗漏</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48A3F923">
            <w:pPr>
              <w:keepNext w:val="0"/>
              <w:keepLines w:val="0"/>
              <w:widowControl w:val="0"/>
              <w:numPr>
                <w:ilvl w:val="0"/>
                <w:numId w:val="15"/>
              </w:numPr>
              <w:suppressLineNumbers w:val="0"/>
              <w:spacing w:before="0" w:beforeAutospacing="0" w:after="0" w:afterAutospacing="0" w:line="360" w:lineRule="auto"/>
              <w:ind w:left="425" w:leftChars="0" w:right="0" w:firstLine="0" w:firstLine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手术记录|术后首次病程|术前小结中的手术/操作在病案首页中的遗漏</w:t>
            </w:r>
          </w:p>
          <w:p w14:paraId="6F97097E">
            <w:pPr>
              <w:pStyle w:val="25"/>
              <w:keepNext w:val="0"/>
              <w:keepLines w:val="0"/>
              <w:widowControl w:val="0"/>
              <w:numPr>
                <w:ilvl w:val="0"/>
                <w:numId w:val="15"/>
              </w:numPr>
              <w:suppressLineNumbers w:val="0"/>
              <w:spacing w:before="100" w:beforeAutospacing="1" w:after="120" w:afterAutospacing="0" w:line="360" w:lineRule="auto"/>
              <w:ind w:left="425" w:leftChars="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手术经过中血管操作在病案首页手术/操作中存在遗漏</w:t>
            </w:r>
          </w:p>
        </w:tc>
      </w:tr>
      <w:tr w14:paraId="45A5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tcBorders>
              <w:top w:val="single" w:color="auto" w:sz="4" w:space="0"/>
              <w:left w:val="single" w:color="auto" w:sz="4" w:space="0"/>
              <w:bottom w:val="single" w:color="auto" w:sz="4" w:space="0"/>
              <w:right w:val="single" w:color="auto" w:sz="4" w:space="0"/>
            </w:tcBorders>
            <w:noWrap w:val="0"/>
            <w:vAlign w:val="center"/>
          </w:tcPr>
          <w:p w14:paraId="7B81A7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病案首页360视图浏览</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04ACA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病案及诊疗资料浏览</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0C146D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w:t>
            </w:r>
            <w:r>
              <w:rPr>
                <w:rFonts w:hint="eastAsia" w:ascii="宋体" w:hAnsi="宋体" w:eastAsia="宋体" w:cs="宋体"/>
                <w:color w:val="auto"/>
                <w:kern w:val="0"/>
                <w:sz w:val="24"/>
                <w:szCs w:val="24"/>
                <w:highlight w:val="none"/>
                <w:lang w:val="en-US" w:eastAsia="zh-CN" w:bidi="ar"/>
              </w:rPr>
              <w:t>在质控过程中随时浏览患者本次住院的360维度信息，应包括：患者基本信息、入院记录、出院/死亡记录、病程记录、医嘱、检验检查结果、谈话记录等相关信息。</w:t>
            </w:r>
          </w:p>
        </w:tc>
      </w:tr>
      <w:tr w14:paraId="47C4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712E942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病案事前提醒</w:t>
            </w:r>
          </w:p>
        </w:tc>
        <w:tc>
          <w:tcPr>
            <w:tcW w:w="872" w:type="pct"/>
            <w:vMerge w:val="restart"/>
            <w:tcBorders>
              <w:top w:val="nil"/>
              <w:left w:val="single" w:color="auto" w:sz="4" w:space="0"/>
              <w:bottom w:val="single" w:color="auto" w:sz="4" w:space="0"/>
              <w:right w:val="single" w:color="auto" w:sz="4" w:space="0"/>
            </w:tcBorders>
            <w:noWrap w:val="0"/>
            <w:vAlign w:val="center"/>
          </w:tcPr>
          <w:p w14:paraId="6062D7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编码员实时质控</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4A6D2B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支持病案室端在编码过程中进行实时、智能提示，编码员可根据系统提示内容和建议修改病案首页。</w:t>
            </w:r>
          </w:p>
        </w:tc>
      </w:tr>
      <w:tr w14:paraId="3C61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7D20E6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0699FB1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96BBB5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支持查看人工质控结果，对人工质控的问题进行实时反馈。</w:t>
            </w:r>
          </w:p>
        </w:tc>
      </w:tr>
      <w:tr w14:paraId="4541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8581E6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1F11D3F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8710C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支持查询人工反馈有问题的病案列表，并查看问题。</w:t>
            </w:r>
          </w:p>
        </w:tc>
      </w:tr>
      <w:tr w14:paraId="1A9E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2E117CD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病案事中质控</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4BD129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病案首页查询</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F7C941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支持病案首页按科室、病区、出入院日期、病案号、患者、问题类型、首页得分等条件进行快速查询，可根据数据权限按科室、按病区控制数据查询范围。</w:t>
            </w:r>
          </w:p>
        </w:tc>
      </w:tr>
      <w:tr w14:paraId="0B1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1DE4ACA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restart"/>
            <w:tcBorders>
              <w:top w:val="nil"/>
              <w:left w:val="single" w:color="auto" w:sz="4" w:space="0"/>
              <w:bottom w:val="single" w:color="auto" w:sz="4" w:space="0"/>
              <w:right w:val="single" w:color="auto" w:sz="4" w:space="0"/>
            </w:tcBorders>
            <w:noWrap w:val="0"/>
            <w:vAlign w:val="center"/>
          </w:tcPr>
          <w:p w14:paraId="2B6C8B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质控人员实时质控</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2884F79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支持质控人员快速查询病案、并对系统质控结果进行人工质控。</w:t>
            </w:r>
          </w:p>
        </w:tc>
      </w:tr>
      <w:tr w14:paraId="4F61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58B7D44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3955071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676BE4E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支持人工质控结果实时反馈给编码员。</w:t>
            </w:r>
          </w:p>
        </w:tc>
      </w:tr>
      <w:tr w14:paraId="2D30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43AC05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5B46371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A0DC89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支持对编码员反馈的病案问题快速查询，并对反馈的结果进行再次审核。</w:t>
            </w:r>
          </w:p>
        </w:tc>
      </w:tr>
      <w:tr w14:paraId="1D48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65BD46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2EB77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病案首页自动评分</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50FE186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可基于医院所属省份运首页评分表内容，进行评分表展现。评分表包含：评分项目、评分标准、评分方法、扣分结果、扣分理由。</w:t>
            </w:r>
          </w:p>
        </w:tc>
      </w:tr>
      <w:tr w14:paraId="2CF0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73D42B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病案事后质控</w:t>
            </w:r>
          </w:p>
        </w:tc>
        <w:tc>
          <w:tcPr>
            <w:tcW w:w="872" w:type="pct"/>
            <w:vMerge w:val="restart"/>
            <w:tcBorders>
              <w:top w:val="nil"/>
              <w:left w:val="single" w:color="auto" w:sz="4" w:space="0"/>
              <w:bottom w:val="single" w:color="auto" w:sz="4" w:space="0"/>
              <w:right w:val="single" w:color="auto" w:sz="4" w:space="0"/>
            </w:tcBorders>
            <w:noWrap w:val="0"/>
            <w:vAlign w:val="center"/>
          </w:tcPr>
          <w:p w14:paraId="52F2B5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质控任务管理</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336D2F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支持质控管理人员定期创建质控任务，并指定任务执行人和期望完成日期，然后选择要进行抽查的病案（支持随机选择）完成任务的创建。</w:t>
            </w:r>
          </w:p>
        </w:tc>
      </w:tr>
      <w:tr w14:paraId="1AFD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CC15AB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45E8F93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A7754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支持质控管理人员实时查看质控任务的进展情况，以及质控结果，在任务完成后，可以结束任务。</w:t>
            </w:r>
          </w:p>
        </w:tc>
      </w:tr>
      <w:tr w14:paraId="6DC4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7104D2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5522BD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5811EA6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质控人员接到质控任务后，对任务中的病案进行质量审核。</w:t>
            </w:r>
          </w:p>
        </w:tc>
      </w:tr>
      <w:tr w14:paraId="6D4D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281A5A7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5A6ABF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质控问题快速原文定位</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7D391F2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质控人员在质控过程中可添加系统未质控出的问题，系统质控的问题支持快速原文定位，方便人工对结果进行快速判断。</w:t>
            </w:r>
          </w:p>
        </w:tc>
      </w:tr>
      <w:tr w14:paraId="78AF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6FB83E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病案首页质控规则维护</w:t>
            </w:r>
          </w:p>
        </w:tc>
        <w:tc>
          <w:tcPr>
            <w:tcW w:w="872" w:type="pct"/>
            <w:vMerge w:val="restart"/>
            <w:tcBorders>
              <w:top w:val="nil"/>
              <w:left w:val="single" w:color="auto" w:sz="4" w:space="0"/>
              <w:bottom w:val="single" w:color="auto" w:sz="4" w:space="0"/>
              <w:right w:val="single" w:color="auto" w:sz="4" w:space="0"/>
            </w:tcBorders>
            <w:noWrap w:val="0"/>
            <w:vAlign w:val="center"/>
          </w:tcPr>
          <w:p w14:paraId="181BA2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病案质控规则</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674BD47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支持按规则名称、规则逻辑、规则类型、专科类型、规则分类、规则环节、规则来源等维度进行规则的查询。</w:t>
            </w:r>
          </w:p>
        </w:tc>
      </w:tr>
      <w:tr w14:paraId="2474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026A7B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5E55D7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5C20E2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支持规则的生效状态进行开启/关闭。</w:t>
            </w:r>
          </w:p>
        </w:tc>
      </w:tr>
      <w:tr w14:paraId="5A3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41B2594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33F0B8F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5DFC47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支持规则级别的配置，支持3级配置，3级为最高级别。</w:t>
            </w:r>
          </w:p>
        </w:tc>
      </w:tr>
      <w:tr w14:paraId="2EC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4DD31F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360维度病案首页数据质量管理和分析</w:t>
            </w:r>
          </w:p>
        </w:tc>
        <w:tc>
          <w:tcPr>
            <w:tcW w:w="872" w:type="pct"/>
            <w:vMerge w:val="restart"/>
            <w:tcBorders>
              <w:top w:val="nil"/>
              <w:left w:val="single" w:color="auto" w:sz="4" w:space="0"/>
              <w:bottom w:val="single" w:color="auto" w:sz="4" w:space="0"/>
              <w:right w:val="single" w:color="auto" w:sz="4" w:space="0"/>
            </w:tcBorders>
            <w:noWrap w:val="0"/>
            <w:vAlign w:val="center"/>
          </w:tcPr>
          <w:p w14:paraId="6AB7CA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病案统计分析</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4383E3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系统应支持按一定时间范围、科室等不同维度进行全院病案首页质控情况分析，实时显示出院患者数、入院患者数、使用抗菌药物患者数、手术患者数。</w:t>
            </w:r>
          </w:p>
        </w:tc>
      </w:tr>
      <w:tr w14:paraId="70F7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2F7E012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05E360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E8CEAA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系统应支持全院病案首页问题情况在一定时间段内的多维度数据展示，至少应包括：单项否决问题数、完整性问题数、合规性问题数、一致性问题数、总体问题数、当月环比率、质量问题情况趋势等病历数据内容。</w:t>
            </w:r>
          </w:p>
        </w:tc>
      </w:tr>
      <w:tr w14:paraId="6915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429BF03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579D59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645FDB6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4"/>
                <w:szCs w:val="24"/>
                <w:highlight w:val="none"/>
                <w:lang w:val="en-US" w:eastAsia="zh-CN" w:bidi="ar"/>
              </w:rPr>
              <w:t>系统应支持不同病区科室/医生病案首页问题执行情况进行分析，至少包括：单项否决问题数、完整性问题数、合规性问题数、一致性问题数、总体等数据内容进行走势分析。</w:t>
            </w:r>
          </w:p>
        </w:tc>
      </w:tr>
      <w:tr w14:paraId="2DAD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5599D9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restart"/>
            <w:tcBorders>
              <w:top w:val="nil"/>
              <w:left w:val="single" w:color="auto" w:sz="4" w:space="0"/>
              <w:bottom w:val="single" w:color="auto" w:sz="4" w:space="0"/>
              <w:right w:val="single" w:color="auto" w:sz="4" w:space="0"/>
            </w:tcBorders>
            <w:noWrap w:val="0"/>
            <w:vAlign w:val="center"/>
          </w:tcPr>
          <w:p w14:paraId="4E8628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病案问题分析</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40FBED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按日期范围统计问题数量、问题发生率、问题采纳率。</w:t>
            </w:r>
          </w:p>
        </w:tc>
      </w:tr>
      <w:tr w14:paraId="20EB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47C18AB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1688B2B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62279C9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按日、月、年统计问题的数量、问题发生率、问题采纳率的趋势。</w:t>
            </w:r>
          </w:p>
        </w:tc>
      </w:tr>
      <w:tr w14:paraId="1989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6C245F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39B27DE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08E563F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按质控问题统计科室、医疗组、医生，问题的数量、问题发生率、问题采纳率。</w:t>
            </w:r>
          </w:p>
        </w:tc>
      </w:tr>
      <w:tr w14:paraId="0E55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4576E5C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restart"/>
            <w:tcBorders>
              <w:top w:val="nil"/>
              <w:left w:val="single" w:color="auto" w:sz="4" w:space="0"/>
              <w:bottom w:val="single" w:color="auto" w:sz="4" w:space="0"/>
              <w:right w:val="single" w:color="auto" w:sz="4" w:space="0"/>
            </w:tcBorders>
            <w:noWrap w:val="0"/>
            <w:vAlign w:val="center"/>
          </w:tcPr>
          <w:p w14:paraId="286057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问题追溯</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E7A50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支持统计分析结果下钻到每一份病案。</w:t>
            </w:r>
          </w:p>
        </w:tc>
      </w:tr>
      <w:tr w14:paraId="572A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1A01A8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0088AC6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5641AC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支持对全院病案首页质控情况进行可视化、多维度展示，能够帮助医院质控部门对全面及时掌握医院质控现状，并协助制定合理的质量改进计划。</w:t>
            </w:r>
          </w:p>
        </w:tc>
      </w:tr>
      <w:tr w14:paraId="7630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458B4D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编码质控</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79A336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诊断编码质控</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7387E553">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4"/>
                <w:szCs w:val="24"/>
                <w:highlight w:val="none"/>
                <w:lang w:val="en-US" w:eastAsia="zh-CN" w:bidi="ar"/>
              </w:rPr>
              <w:t>对病案首页的主诊选择错误、诊断漏编、合并编码、编码冲突、以及编码位置错误等编码问题进行质控，支持不低于3000多条编码质量控制规则。</w:t>
            </w:r>
          </w:p>
        </w:tc>
      </w:tr>
      <w:tr w14:paraId="72D5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528B7D0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4430B1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手术编码质控</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790EE0E">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4"/>
                <w:szCs w:val="24"/>
                <w:highlight w:val="none"/>
                <w:lang w:val="en-US" w:eastAsia="zh-CN" w:bidi="ar"/>
              </w:rPr>
              <w:t>系统应涵盖另编码遗漏、另编码疑似遗漏、手术省略编码多编、手术编码冲突以及合并编码等不同手术编码问题进行质控</w:t>
            </w:r>
          </w:p>
        </w:tc>
      </w:tr>
      <w:tr w14:paraId="7AF1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1F5C0FB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3066F2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编码规则管理</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1A7E9250">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支持按规则原文、规则章节、专业类型、提醒类型、规则状态、提醒级别进行规则的查询。</w:t>
            </w:r>
          </w:p>
          <w:p w14:paraId="59D920FC">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支持对规则的生效状态进行开启/关闭。</w:t>
            </w:r>
          </w:p>
          <w:p w14:paraId="51BD698E">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支持规则级别的配置，支持3级配置，3级为最高级别。</w:t>
            </w:r>
          </w:p>
        </w:tc>
      </w:tr>
      <w:tr w14:paraId="5CAF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0FCF595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6E4409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编码统计分析</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5A5FA84D">
            <w:pPr>
              <w:pStyle w:val="25"/>
              <w:keepNext w:val="0"/>
              <w:keepLines w:val="0"/>
              <w:widowControl w:val="0"/>
              <w:suppressLineNumbers w:val="0"/>
              <w:spacing w:before="100" w:beforeAutospacing="1" w:after="12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支持按照出院月份（起止）、病历归档状态、专业类型（至少包含主诊断选择错误、主手术选择错误、性别与疾病逻辑冲突、另编码遗漏等26类）、章节（包含肿瘤、神经系统等46章）自动统计每条质控规则的质控总数、不通过数、不通过率、修正问题数、修正率。支持点击表头排序及下载表单内容。点击规则名称可跳转至该规则的问题趋势图（失败率/修正率），并展示问题管理列表，可按科室、医疗组、主治医生展示问题病历数、失败率（当前值、环比值、环比比率）、修正病历数、问题修正率（当前值、环比值、环比比率）。</w:t>
            </w:r>
          </w:p>
        </w:tc>
      </w:tr>
      <w:tr w14:paraId="0DF1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restart"/>
            <w:tcBorders>
              <w:top w:val="nil"/>
              <w:left w:val="single" w:color="auto" w:sz="4" w:space="0"/>
              <w:bottom w:val="single" w:color="auto" w:sz="4" w:space="0"/>
              <w:right w:val="single" w:color="auto" w:sz="4" w:space="0"/>
            </w:tcBorders>
            <w:noWrap w:val="0"/>
            <w:vAlign w:val="center"/>
          </w:tcPr>
          <w:p w14:paraId="6EAAED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权限配置</w:t>
            </w:r>
          </w:p>
        </w:tc>
        <w:tc>
          <w:tcPr>
            <w:tcW w:w="872" w:type="pct"/>
            <w:vMerge w:val="restart"/>
            <w:tcBorders>
              <w:top w:val="nil"/>
              <w:left w:val="single" w:color="auto" w:sz="4" w:space="0"/>
              <w:bottom w:val="single" w:color="auto" w:sz="4" w:space="0"/>
              <w:right w:val="single" w:color="auto" w:sz="4" w:space="0"/>
            </w:tcBorders>
            <w:noWrap w:val="0"/>
            <w:vAlign w:val="center"/>
          </w:tcPr>
          <w:p w14:paraId="103DDE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用户管理</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6B8398B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系统支持管理员设置不同角色权限，不同权限的角色在使用时功能模块和数据不一致。</w:t>
            </w:r>
          </w:p>
        </w:tc>
      </w:tr>
      <w:tr w14:paraId="7028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444E402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0F4B7C9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09EADE9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系统支持管理员对角色的功能模块权限进行自定义配置管理。</w:t>
            </w:r>
          </w:p>
        </w:tc>
      </w:tr>
      <w:tr w14:paraId="3FB2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6D8608C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vMerge w:val="continue"/>
            <w:tcBorders>
              <w:top w:val="nil"/>
              <w:left w:val="single" w:color="auto" w:sz="4" w:space="0"/>
              <w:bottom w:val="single" w:color="auto" w:sz="4" w:space="0"/>
              <w:right w:val="single" w:color="auto" w:sz="4" w:space="0"/>
            </w:tcBorders>
            <w:noWrap w:val="0"/>
            <w:vAlign w:val="center"/>
          </w:tcPr>
          <w:p w14:paraId="0FD80BA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3402" w:type="pct"/>
            <w:tcBorders>
              <w:top w:val="single" w:color="auto" w:sz="4" w:space="0"/>
              <w:left w:val="single" w:color="auto" w:sz="4" w:space="0"/>
              <w:bottom w:val="single" w:color="auto" w:sz="4" w:space="0"/>
              <w:right w:val="single" w:color="auto" w:sz="4" w:space="0"/>
            </w:tcBorders>
            <w:noWrap w:val="0"/>
            <w:vAlign w:val="center"/>
          </w:tcPr>
          <w:p w14:paraId="73E2EBD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系统支持管理员对角色数据查看权限的范围进行自定义配置管理。</w:t>
            </w:r>
          </w:p>
        </w:tc>
      </w:tr>
      <w:tr w14:paraId="3630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Merge w:val="continue"/>
            <w:tcBorders>
              <w:top w:val="nil"/>
              <w:left w:val="single" w:color="auto" w:sz="4" w:space="0"/>
              <w:bottom w:val="single" w:color="auto" w:sz="4" w:space="0"/>
              <w:right w:val="single" w:color="auto" w:sz="4" w:space="0"/>
            </w:tcBorders>
            <w:noWrap w:val="0"/>
            <w:vAlign w:val="center"/>
          </w:tcPr>
          <w:p w14:paraId="1E1515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72" w:type="pct"/>
            <w:tcBorders>
              <w:top w:val="single" w:color="auto" w:sz="4" w:space="0"/>
              <w:left w:val="single" w:color="auto" w:sz="4" w:space="0"/>
              <w:bottom w:val="single" w:color="auto" w:sz="4" w:space="0"/>
              <w:right w:val="single" w:color="auto" w:sz="4" w:space="0"/>
            </w:tcBorders>
            <w:noWrap w:val="0"/>
            <w:vAlign w:val="center"/>
          </w:tcPr>
          <w:p w14:paraId="5B2317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字典维护</w:t>
            </w:r>
          </w:p>
        </w:tc>
        <w:tc>
          <w:tcPr>
            <w:tcW w:w="3402" w:type="pct"/>
            <w:tcBorders>
              <w:top w:val="single" w:color="auto" w:sz="4" w:space="0"/>
              <w:left w:val="single" w:color="auto" w:sz="4" w:space="0"/>
              <w:bottom w:val="single" w:color="auto" w:sz="4" w:space="0"/>
              <w:right w:val="single" w:color="auto" w:sz="4" w:space="0"/>
            </w:tcBorders>
            <w:noWrap w:val="0"/>
            <w:vAlign w:val="center"/>
          </w:tcPr>
          <w:p w14:paraId="3301AED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质检问题字典维护，按照国家规定配置质检评分表，提供质检问题模板维护功能。</w:t>
            </w:r>
          </w:p>
        </w:tc>
      </w:tr>
    </w:tbl>
    <w:p w14:paraId="515B5DBD">
      <w:pPr>
        <w:pStyle w:val="25"/>
        <w:keepNext w:val="0"/>
        <w:keepLines w:val="0"/>
        <w:widowControl w:val="0"/>
        <w:suppressLineNumbers w:val="0"/>
        <w:spacing w:before="100" w:beforeAutospacing="1" w:after="0" w:afterAutospacing="0" w:line="360" w:lineRule="auto"/>
        <w:ind w:left="0" w:right="0"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4B634B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t>注：投标产品需要满足以下功能需求表，“</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bCs w:val="0"/>
          <w:color w:val="auto"/>
          <w:kern w:val="2"/>
          <w:sz w:val="24"/>
          <w:szCs w:val="24"/>
          <w:highlight w:val="none"/>
          <w:lang w:val="en-US" w:eastAsia="zh-CN" w:bidi="ar"/>
        </w:rPr>
        <w:t>”为重要技术参数，需提供对应系统功能截图。</w:t>
      </w:r>
    </w:p>
    <w:p w14:paraId="03EF2C8A">
      <w:pPr>
        <w:pStyle w:val="8"/>
        <w:numPr>
          <w:ilvl w:val="0"/>
          <w:numId w:val="0"/>
        </w:numPr>
        <w:spacing w:line="360" w:lineRule="auto"/>
        <w:ind w:left="0" w:firstLine="0"/>
        <w:rPr>
          <w:rFonts w:ascii="Times New Roman" w:hAnsi="Times New Roman"/>
          <w:color w:val="auto"/>
          <w:sz w:val="24"/>
          <w:szCs w:val="24"/>
          <w:highlight w:val="none"/>
        </w:rPr>
      </w:pPr>
      <w:r>
        <w:rPr>
          <w:rFonts w:ascii="Times New Roman" w:hAnsi="Times New Roman"/>
          <w:color w:val="auto"/>
          <w:sz w:val="24"/>
          <w:szCs w:val="24"/>
          <w:highlight w:val="none"/>
        </w:rPr>
        <w:t>合理报价澄清说明</w:t>
      </w:r>
    </w:p>
    <w:p w14:paraId="0D046CAF">
      <w:pPr>
        <w:pStyle w:val="63"/>
        <w:snapToGrid w:val="0"/>
        <w:spacing w:line="360" w:lineRule="auto"/>
        <w:ind w:firstLine="420"/>
        <w:rPr>
          <w:rFonts w:hint="eastAsia" w:ascii="Times New Roman" w:hAnsi="Times New Roman"/>
          <w:color w:val="auto"/>
          <w:sz w:val="24"/>
          <w:szCs w:val="24"/>
          <w:highlight w:val="none"/>
        </w:rPr>
      </w:pPr>
      <w:r>
        <w:rPr>
          <w:rFonts w:ascii="Times New Roman" w:hAnsi="Times New Roman"/>
          <w:color w:val="auto"/>
          <w:sz w:val="24"/>
          <w:szCs w:val="24"/>
          <w:highlight w:val="none"/>
        </w:rPr>
        <w:t>评标委员会认为</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的报价明显低于其他通过符合性审查</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的报价，有可能影响产品质量或者不能诚信履约的，应当要求其在30分钟内提供书面说明，必要时提交相关证明材料；</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不能证明其报价合理性的，评标委员会应当将其作为无效投标处理。</w:t>
      </w:r>
    </w:p>
    <w:p w14:paraId="305B2E11">
      <w:pPr>
        <w:pStyle w:val="21"/>
        <w:rPr>
          <w:rFonts w:hint="eastAsia"/>
          <w:color w:val="auto"/>
          <w:highlight w:val="none"/>
        </w:rPr>
      </w:pPr>
    </w:p>
    <w:p w14:paraId="0E22F861">
      <w:pPr>
        <w:pStyle w:val="25"/>
        <w:keepNext w:val="0"/>
        <w:keepLines w:val="0"/>
        <w:widowControl w:val="0"/>
        <w:suppressLineNumbers w:val="0"/>
        <w:spacing w:before="100" w:beforeAutospacing="1" w:after="0" w:afterAutospacing="0" w:line="360" w:lineRule="auto"/>
        <w:ind w:left="0" w:right="0" w:firstLine="0" w:firstLineChars="0"/>
        <w:jc w:val="both"/>
        <w:rPr>
          <w:rFonts w:hint="eastAsia" w:ascii="宋体" w:hAnsi="宋体" w:eastAsia="宋体" w:cs="宋体"/>
          <w:b/>
          <w:bCs/>
          <w:color w:val="auto"/>
          <w:kern w:val="44"/>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b/>
          <w:bCs/>
          <w:color w:val="auto"/>
          <w:kern w:val="44"/>
          <w:sz w:val="24"/>
          <w:szCs w:val="24"/>
          <w:highlight w:val="none"/>
        </w:rPr>
        <w:t>项目实施要求</w:t>
      </w:r>
    </w:p>
    <w:p w14:paraId="1278BF54">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工期要求</w:t>
      </w:r>
    </w:p>
    <w:p w14:paraId="028D7B35">
      <w:pPr>
        <w:pStyle w:val="25"/>
        <w:keepNext w:val="0"/>
        <w:keepLines w:val="0"/>
        <w:widowControl w:val="0"/>
        <w:suppressLineNumbers w:val="0"/>
        <w:adjustRightInd w:val="0"/>
        <w:spacing w:before="78" w:beforeLines="25" w:beforeAutospacing="0" w:after="78" w:afterLines="25"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结合医院对信息化建设的要求和定位，项目建设周期需要在10个月内完成信息化建设。</w:t>
      </w:r>
    </w:p>
    <w:p w14:paraId="2769C2AE">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实施要求</w:t>
      </w:r>
    </w:p>
    <w:p w14:paraId="347C1872">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w:t>
      </w:r>
      <w:r>
        <w:rPr>
          <w:rFonts w:hint="eastAsia" w:ascii="宋体" w:hAnsi="宋体" w:eastAsia="宋体" w:cs="宋体"/>
          <w:b/>
          <w:bCs w:val="0"/>
          <w:color w:val="auto"/>
          <w:kern w:val="2"/>
          <w:sz w:val="24"/>
          <w:szCs w:val="24"/>
          <w:highlight w:val="none"/>
          <w:lang w:val="en-US" w:eastAsia="zh-CN" w:bidi="ar"/>
        </w:rPr>
        <w:tab/>
      </w:r>
      <w:r>
        <w:rPr>
          <w:rFonts w:hint="eastAsia" w:ascii="宋体" w:hAnsi="宋体" w:eastAsia="宋体" w:cs="宋体"/>
          <w:b/>
          <w:bCs w:val="0"/>
          <w:color w:val="auto"/>
          <w:kern w:val="2"/>
          <w:sz w:val="24"/>
          <w:szCs w:val="24"/>
          <w:highlight w:val="none"/>
          <w:lang w:val="en-US" w:eastAsia="zh-CN" w:bidi="ar"/>
        </w:rPr>
        <w:t>项目系统集成实施的进度计划及控制</w:t>
      </w:r>
    </w:p>
    <w:p w14:paraId="5CAFD18F">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项目实施进度要求：要求中标人根据项目建设单位的实际情况，科学合理的制定出实施范围及实施周期。</w:t>
      </w:r>
    </w:p>
    <w:p w14:paraId="6A7B1531">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对项目实施的各个阶段：需求分析阶段、系统配置、上线实施准备阶段、系统培训阶段、系统部署阶段、系统试运行阶段、系统验收阶段等阶度做出详细的计划。</w:t>
      </w:r>
    </w:p>
    <w:p w14:paraId="0BBFBD7A">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对项目实施的进度计划及控制中各阶段中投标人所要做的工作及保障措施做出详细安排。</w:t>
      </w:r>
    </w:p>
    <w:p w14:paraId="0FD8AA28">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w:t>
      </w:r>
      <w:r>
        <w:rPr>
          <w:rFonts w:hint="eastAsia" w:ascii="宋体" w:hAnsi="宋体" w:eastAsia="宋体" w:cs="宋体"/>
          <w:b/>
          <w:bCs w:val="0"/>
          <w:color w:val="auto"/>
          <w:kern w:val="2"/>
          <w:sz w:val="24"/>
          <w:szCs w:val="24"/>
          <w:highlight w:val="none"/>
          <w:lang w:val="en-US" w:eastAsia="zh-CN" w:bidi="ar"/>
        </w:rPr>
        <w:tab/>
      </w:r>
      <w:r>
        <w:rPr>
          <w:rFonts w:hint="eastAsia" w:ascii="宋体" w:hAnsi="宋体" w:eastAsia="宋体" w:cs="宋体"/>
          <w:b/>
          <w:bCs w:val="0"/>
          <w:color w:val="auto"/>
          <w:kern w:val="2"/>
          <w:sz w:val="24"/>
          <w:szCs w:val="24"/>
          <w:highlight w:val="none"/>
          <w:lang w:val="en-US" w:eastAsia="zh-CN" w:bidi="ar"/>
        </w:rPr>
        <w:t>全面的项目质量管理体系</w:t>
      </w:r>
    </w:p>
    <w:p w14:paraId="5DC498AF">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中标人须提出项目实施中的技术设计、系统测试、安装调试和项目售后服务的全过程质量管理及控制提出具体措施，并提出质量保障目标的承诺。</w:t>
      </w:r>
    </w:p>
    <w:p w14:paraId="4E832752">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3）工程实施风险控制体系</w:t>
      </w:r>
    </w:p>
    <w:p w14:paraId="54E8B8FF">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要求中标人对本项目的工程实施进行风险控制。</w:t>
      </w:r>
    </w:p>
    <w:p w14:paraId="77A562DA">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培训要求</w:t>
      </w:r>
    </w:p>
    <w:p w14:paraId="57DF50E8">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人认为培训是保证项目成功的一个重要手段，因此为了保证系统顺利完成，投标人需要准备一份完整的培训计划，对采购人各类人员进行相关的培训，包括现场培训和集中培训等多种方式，培训的内容、次数和方式由采购人提出，采购人仅负责提供培训场地、培训电脑和培训人员的召集，培训环境的搭建、培训文档的准备、培训的实施、培训人员的考核等由投标人负责。</w:t>
      </w:r>
    </w:p>
    <w:p w14:paraId="7812E100">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对与本项目的相关技术，投标人也需要提供必要的手段保证能够将其传授与采购人。与培训相关的费用，投标人应当一并计算在投标报价中。</w:t>
      </w:r>
    </w:p>
    <w:p w14:paraId="2C67D5CF">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一、培训内容</w:t>
      </w:r>
    </w:p>
    <w:p w14:paraId="5738A6FD">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为了让用户单位人员更好地对系统进行管理和维护，试点单位需对相关技术人员和管理专家进行全面的培训，使之在各个层次上掌握应用软件系统的操作、系统配置、运营、故障处理及日常测试维护，从而确保全网能正常安全的运行。</w:t>
      </w:r>
    </w:p>
    <w:p w14:paraId="14402975">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提供下列几个方面的培训：</w:t>
      </w:r>
    </w:p>
    <w:p w14:paraId="6ACBD7D8">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（1）系统软件的用户使用培训，应用软件操作培训；</w:t>
      </w:r>
    </w:p>
    <w:p w14:paraId="35FC16EA">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（2）系统管理培训、甲方技术人员开发维护培训；</w:t>
      </w:r>
    </w:p>
    <w:p w14:paraId="460FFE7D">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（3）应用软件操作疑难问题解答。</w:t>
      </w:r>
    </w:p>
    <w:p w14:paraId="666CDA88">
      <w:pPr>
        <w:pStyle w:val="25"/>
        <w:keepNext w:val="0"/>
        <w:keepLines w:val="0"/>
        <w:widowControl w:val="0"/>
        <w:suppressLineNumbers w:val="0"/>
        <w:adjustRightInd w:val="0"/>
        <w:spacing w:before="100" w:beforeAutospacing="1"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二、培训对象</w:t>
      </w:r>
    </w:p>
    <w:p w14:paraId="4F18AF66">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培训对象包括初级技术人员培训、高级技术人员培训和医护人员操作培训。初级培训可使得系统维护人员能够顺利地完成日常的维护工作，保证系统的正常运行。高级培训应使得高级技术人员对本业务支撑系统的运行机制有着清晰明确的认识，并能够高效及时地解决系统突发运行故障。操作培训可让医护人员熟练使用本系统软件。</w:t>
      </w:r>
    </w:p>
    <w:p w14:paraId="54C2B6CD">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验收要求 </w:t>
      </w:r>
    </w:p>
    <w:p w14:paraId="36DAFD54">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系统安装时，中标人应提供软件的最新版本。</w:t>
      </w:r>
    </w:p>
    <w:p w14:paraId="74764217">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中标人必须在合同规定的时间内，以完工验收申请报告形式书面通知招标人以声明整个系统完毕，招标人确认申请报告的第三个工作日为验收测试开始日。</w:t>
      </w:r>
    </w:p>
    <w:p w14:paraId="36589A76">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bCs/>
          <w:color w:val="auto"/>
          <w:kern w:val="2"/>
          <w:sz w:val="24"/>
          <w:szCs w:val="24"/>
          <w:highlight w:val="none"/>
          <w:lang w:val="en-US" w:eastAsia="zh-CN" w:bidi="ar"/>
        </w:rPr>
        <w:t>招标人、中标人和监理（如有）三方一起对整个系统依据合同要求进行检查测试；对系统的每一部分进行诊断，并对系统进行48小时测试。</w:t>
      </w:r>
    </w:p>
    <w:p w14:paraId="154E88C8">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w:t>
      </w:r>
      <w:r>
        <w:rPr>
          <w:rFonts w:hint="eastAsia" w:ascii="宋体" w:hAnsi="宋体" w:eastAsia="宋体" w:cs="宋体"/>
          <w:bCs/>
          <w:color w:val="auto"/>
          <w:kern w:val="2"/>
          <w:sz w:val="24"/>
          <w:szCs w:val="24"/>
          <w:highlight w:val="none"/>
          <w:lang w:val="en-US" w:eastAsia="zh-CN" w:bidi="ar"/>
        </w:rPr>
        <w:tab/>
      </w:r>
      <w:r>
        <w:rPr>
          <w:rFonts w:hint="eastAsia" w:ascii="宋体" w:hAnsi="宋体" w:eastAsia="宋体" w:cs="宋体"/>
          <w:bCs/>
          <w:color w:val="auto"/>
          <w:kern w:val="2"/>
          <w:sz w:val="24"/>
          <w:szCs w:val="24"/>
          <w:highlight w:val="none"/>
          <w:lang w:val="en-US" w:eastAsia="zh-CN" w:bidi="ar"/>
        </w:rPr>
        <w:t>验收合格后由中标人出具验收报告，招标人、中标人和监理（如有）三方代表签字并加盖公章。</w:t>
      </w:r>
    </w:p>
    <w:p w14:paraId="27038B53">
      <w:pPr>
        <w:pStyle w:val="6"/>
        <w:widowControl/>
        <w:numPr>
          <w:ilvl w:val="1"/>
          <w:numId w:val="5"/>
        </w:numPr>
        <w:adjustRightInd w:val="0"/>
        <w:spacing w:before="78" w:beforeLines="25" w:beforeAutospacing="0" w:after="78" w:afterLines="25" w:afterAutospacing="0"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售后服务要求</w:t>
      </w:r>
    </w:p>
    <w:p w14:paraId="3324601A">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投标人应有良好的服务理念和完善的售后服务体系，能够提供本地技术服务。</w:t>
      </w:r>
    </w:p>
    <w:p w14:paraId="28CDE3AE">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针对本项目，提出完整而切实可行的服务方案。其中，至少应提供7×24小时热线电话、远程网络、现场等服务方式。热线电话和远程网络提供技术咨询和即时服务，1小时内给予明确的响应并解决；现场服务适用于排解重大故障，应在接到医院服务请求后12小时内到达现场解决。</w:t>
      </w:r>
    </w:p>
    <w:p w14:paraId="65117EB1">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质保期：应用软件从项目整体验收通过之日起1年。</w:t>
      </w:r>
    </w:p>
    <w:p w14:paraId="7906FA4C">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color w:val="auto"/>
          <w:highlight w:val="none"/>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ab/>
      </w:r>
      <w:r>
        <w:rPr>
          <w:rFonts w:hint="eastAsia" w:ascii="宋体" w:hAnsi="宋体" w:eastAsia="宋体" w:cs="宋体"/>
          <w:color w:val="auto"/>
          <w:kern w:val="2"/>
          <w:sz w:val="24"/>
          <w:szCs w:val="24"/>
          <w:highlight w:val="none"/>
          <w:lang w:val="en-US" w:eastAsia="zh-CN" w:bidi="ar"/>
        </w:rPr>
        <w:t>质保期过后，投标人应提供系统软件终身维护服务，具体维护费用由医院和中标人通过合同或协议商定，不高于合同价的10%。</w:t>
      </w:r>
    </w:p>
    <w:p w14:paraId="4DFBCE99">
      <w:pPr>
        <w:pStyle w:val="25"/>
        <w:keepNext w:val="0"/>
        <w:keepLines w:val="0"/>
        <w:widowControl w:val="0"/>
        <w:suppressLineNumbers w:val="0"/>
        <w:adjustRightInd w:val="0"/>
        <w:spacing w:before="100" w:beforeAutospacing="1" w:after="0" w:afterAutospacing="0" w:line="360" w:lineRule="auto"/>
        <w:ind w:left="0" w:right="0" w:firstLine="480" w:firstLineChars="200"/>
        <w:jc w:val="both"/>
        <w:rPr>
          <w:rFonts w:hint="default" w:ascii="宋体" w:hAnsi="宋体" w:eastAsia="宋体" w:cs="宋体"/>
          <w:color w:val="auto"/>
          <w:kern w:val="2"/>
          <w:sz w:val="24"/>
          <w:szCs w:val="24"/>
          <w:highlight w:val="none"/>
          <w:lang w:val="en-US"/>
        </w:rPr>
      </w:pPr>
      <w:r>
        <w:rPr>
          <w:rFonts w:hint="eastAsia" w:eastAsia="宋体"/>
          <w:color w:val="auto"/>
          <w:highlight w:val="none"/>
          <w:lang w:val="en-US" w:eastAsia="zh-CN"/>
        </w:rPr>
        <w:t>5）付款方式：合同签订后支付合同总金额40%首付款，项目验收后支付合同总金额50%验收款，质保期1年到期后支付尾款10%。</w:t>
      </w:r>
    </w:p>
    <w:p w14:paraId="58D50C04">
      <w:pPr>
        <w:pStyle w:val="2"/>
        <w:shd w:val="clear" w:color="auto" w:fill="auto"/>
        <w:spacing w:line="360" w:lineRule="auto"/>
        <w:ind w:firstLine="883" w:firstLineChars="200"/>
        <w:jc w:val="both"/>
        <w:outlineLvl w:val="0"/>
        <w:rPr>
          <w:rStyle w:val="36"/>
          <w:rFonts w:hint="eastAsia" w:ascii="宋体" w:hAnsi="宋体" w:cs="宋体"/>
          <w:color w:val="auto"/>
          <w:highlight w:val="none"/>
        </w:rPr>
      </w:pPr>
      <w:r>
        <w:rPr>
          <w:rStyle w:val="36"/>
          <w:rFonts w:hint="eastAsia" w:ascii="宋体" w:hAnsi="宋体" w:cs="宋体"/>
          <w:color w:val="auto"/>
          <w:highlight w:val="none"/>
        </w:rPr>
        <w:br w:type="page"/>
      </w:r>
      <w:r>
        <w:rPr>
          <w:rStyle w:val="36"/>
          <w:rFonts w:hint="eastAsia" w:ascii="宋体" w:hAnsi="宋体" w:cs="宋体"/>
          <w:color w:val="auto"/>
          <w:highlight w:val="none"/>
        </w:rPr>
        <w:t>第五章</w:t>
      </w:r>
      <w:r>
        <w:rPr>
          <w:rStyle w:val="36"/>
          <w:rFonts w:ascii="宋体" w:hAnsi="宋体" w:cs="宋体"/>
          <w:color w:val="auto"/>
          <w:highlight w:val="none"/>
        </w:rPr>
        <w:t xml:space="preserve">  </w:t>
      </w:r>
      <w:r>
        <w:rPr>
          <w:rStyle w:val="36"/>
          <w:rFonts w:hint="eastAsia" w:ascii="宋体" w:hAnsi="宋体" w:cs="宋体"/>
          <w:color w:val="auto"/>
          <w:highlight w:val="none"/>
        </w:rPr>
        <w:t>政府采购合同主要条款指引</w:t>
      </w:r>
      <w:bookmarkEnd w:id="111"/>
      <w:bookmarkEnd w:id="112"/>
      <w:bookmarkEnd w:id="113"/>
    </w:p>
    <w:p w14:paraId="24B9C54E">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根据《中华人民共和国民法典》、《中华人民共和国著作权法》、《中华人民共和国计算机软件保护条例》及其他有关法律法规的规定，为明确双方权利义务关系，就甲方购买乙方有关软件产品一事达成如下协议，并由双方共同恪守。</w:t>
      </w:r>
    </w:p>
    <w:p w14:paraId="22BF331F">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第一条  标的 </w:t>
      </w:r>
    </w:p>
    <w:p w14:paraId="6AE69BC4">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甲方向乙方购买下表列示的软件产品：                               </w:t>
      </w:r>
    </w:p>
    <w:p w14:paraId="71467977">
      <w:pPr>
        <w:shd w:val="clear" w:color="auto" w:fill="auto"/>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highlight w:val="none"/>
        </w:rPr>
        <w:t>单位：元</w:t>
      </w:r>
    </w:p>
    <w:tbl>
      <w:tblPr>
        <w:tblStyle w:val="27"/>
        <w:tblW w:w="85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3783"/>
        <w:gridCol w:w="1620"/>
        <w:gridCol w:w="723"/>
        <w:gridCol w:w="1754"/>
      </w:tblGrid>
      <w:tr w14:paraId="376CE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45" w:type="dxa"/>
            <w:tcBorders>
              <w:right w:val="single" w:color="auto" w:sz="4" w:space="0"/>
            </w:tcBorders>
            <w:noWrap w:val="0"/>
            <w:vAlign w:val="center"/>
          </w:tcPr>
          <w:p w14:paraId="01F8B23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序号</w:t>
            </w:r>
          </w:p>
        </w:tc>
        <w:tc>
          <w:tcPr>
            <w:tcW w:w="3783" w:type="dxa"/>
            <w:tcBorders>
              <w:left w:val="single" w:color="auto" w:sz="4" w:space="0"/>
            </w:tcBorders>
            <w:noWrap w:val="0"/>
            <w:vAlign w:val="center"/>
          </w:tcPr>
          <w:p w14:paraId="7162D3C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产品名称</w:t>
            </w:r>
          </w:p>
        </w:tc>
        <w:tc>
          <w:tcPr>
            <w:tcW w:w="1620" w:type="dxa"/>
            <w:noWrap w:val="0"/>
            <w:vAlign w:val="center"/>
          </w:tcPr>
          <w:p w14:paraId="06F90AD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单价（元）</w:t>
            </w:r>
          </w:p>
        </w:tc>
        <w:tc>
          <w:tcPr>
            <w:tcW w:w="723" w:type="dxa"/>
            <w:noWrap w:val="0"/>
            <w:vAlign w:val="center"/>
          </w:tcPr>
          <w:p w14:paraId="6B5C9DD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数量</w:t>
            </w:r>
          </w:p>
        </w:tc>
        <w:tc>
          <w:tcPr>
            <w:tcW w:w="1754" w:type="dxa"/>
            <w:noWrap w:val="0"/>
            <w:vAlign w:val="center"/>
          </w:tcPr>
          <w:p w14:paraId="2F4AC00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小 计（元）</w:t>
            </w:r>
          </w:p>
        </w:tc>
      </w:tr>
      <w:tr w14:paraId="0A91C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45" w:type="dxa"/>
            <w:tcBorders>
              <w:right w:val="single" w:color="auto" w:sz="4" w:space="0"/>
            </w:tcBorders>
            <w:noWrap w:val="0"/>
            <w:vAlign w:val="center"/>
          </w:tcPr>
          <w:p w14:paraId="32A6E4D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1</w:t>
            </w:r>
          </w:p>
        </w:tc>
        <w:tc>
          <w:tcPr>
            <w:tcW w:w="3783" w:type="dxa"/>
            <w:tcBorders>
              <w:left w:val="single" w:color="auto" w:sz="4" w:space="0"/>
            </w:tcBorders>
            <w:noWrap w:val="0"/>
            <w:vAlign w:val="center"/>
          </w:tcPr>
          <w:p w14:paraId="2480C72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c>
          <w:tcPr>
            <w:tcW w:w="1620" w:type="dxa"/>
            <w:noWrap w:val="0"/>
            <w:vAlign w:val="center"/>
          </w:tcPr>
          <w:p w14:paraId="1563511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c>
          <w:tcPr>
            <w:tcW w:w="723" w:type="dxa"/>
            <w:noWrap w:val="0"/>
            <w:vAlign w:val="center"/>
          </w:tcPr>
          <w:p w14:paraId="0DCCA13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c>
          <w:tcPr>
            <w:tcW w:w="1754" w:type="dxa"/>
            <w:noWrap w:val="0"/>
            <w:vAlign w:val="center"/>
          </w:tcPr>
          <w:p w14:paraId="667AAB0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r>
      <w:tr w14:paraId="11643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645" w:type="dxa"/>
            <w:tcBorders>
              <w:right w:val="single" w:color="auto" w:sz="4" w:space="0"/>
            </w:tcBorders>
            <w:noWrap w:val="0"/>
            <w:vAlign w:val="center"/>
          </w:tcPr>
          <w:p w14:paraId="30E0378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2</w:t>
            </w:r>
          </w:p>
        </w:tc>
        <w:tc>
          <w:tcPr>
            <w:tcW w:w="3783" w:type="dxa"/>
            <w:tcBorders>
              <w:left w:val="single" w:color="auto" w:sz="4" w:space="0"/>
            </w:tcBorders>
            <w:noWrap w:val="0"/>
            <w:vAlign w:val="center"/>
          </w:tcPr>
          <w:p w14:paraId="47D61F1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c>
          <w:tcPr>
            <w:tcW w:w="1620" w:type="dxa"/>
            <w:noWrap w:val="0"/>
            <w:vAlign w:val="center"/>
          </w:tcPr>
          <w:p w14:paraId="6EC05BC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c>
          <w:tcPr>
            <w:tcW w:w="723" w:type="dxa"/>
            <w:noWrap w:val="0"/>
            <w:vAlign w:val="center"/>
          </w:tcPr>
          <w:p w14:paraId="0AFB890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c>
          <w:tcPr>
            <w:tcW w:w="1754" w:type="dxa"/>
            <w:noWrap w:val="0"/>
            <w:vAlign w:val="center"/>
          </w:tcPr>
          <w:p w14:paraId="0F9940C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r>
      <w:tr w14:paraId="7CB1C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771" w:type="dxa"/>
            <w:gridSpan w:val="4"/>
            <w:noWrap w:val="0"/>
            <w:vAlign w:val="center"/>
          </w:tcPr>
          <w:p w14:paraId="56B6762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r>
              <w:rPr>
                <w:rFonts w:hint="eastAsia" w:ascii="宋体" w:hAnsi="宋体" w:cs="宋体"/>
                <w:b/>
                <w:color w:val="auto"/>
                <w:highlight w:val="none"/>
              </w:rPr>
              <w:t>合   计</w:t>
            </w:r>
          </w:p>
        </w:tc>
        <w:tc>
          <w:tcPr>
            <w:tcW w:w="1754" w:type="dxa"/>
            <w:noWrap w:val="0"/>
            <w:vAlign w:val="center"/>
          </w:tcPr>
          <w:p w14:paraId="57B20AA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color w:val="auto"/>
                <w:highlight w:val="none"/>
              </w:rPr>
            </w:pPr>
          </w:p>
        </w:tc>
      </w:tr>
      <w:tr w14:paraId="4B565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25" w:type="dxa"/>
            <w:gridSpan w:val="5"/>
            <w:noWrap w:val="0"/>
            <w:vAlign w:val="center"/>
          </w:tcPr>
          <w:p w14:paraId="4276C56F">
            <w:pPr>
              <w:keepNext w:val="0"/>
              <w:keepLines w:val="0"/>
              <w:suppressLineNumbers w:val="0"/>
              <w:shd w:val="clear" w:color="auto" w:fill="auto"/>
              <w:spacing w:before="0" w:beforeAutospacing="0" w:after="0" w:afterAutospacing="0" w:line="360" w:lineRule="auto"/>
              <w:ind w:left="0" w:right="0"/>
              <w:rPr>
                <w:rFonts w:hint="eastAsia" w:ascii="宋体" w:hAnsi="宋体" w:cs="宋体"/>
                <w:b/>
                <w:color w:val="auto"/>
                <w:highlight w:val="none"/>
                <w:u w:val="single"/>
              </w:rPr>
            </w:pPr>
            <w:r>
              <w:rPr>
                <w:rFonts w:hint="eastAsia" w:ascii="宋体" w:hAnsi="宋体" w:cs="宋体"/>
                <w:b/>
                <w:color w:val="auto"/>
                <w:highlight w:val="none"/>
              </w:rPr>
              <w:t xml:space="preserve">    人民币（大写）:                    </w:t>
            </w:r>
            <w:r>
              <w:rPr>
                <w:rFonts w:hint="eastAsia" w:ascii="宋体" w:hAnsi="宋体" w:cs="宋体"/>
                <w:b/>
                <w:color w:val="auto"/>
                <w:sz w:val="24"/>
                <w:highlight w:val="none"/>
              </w:rPr>
              <w:t xml:space="preserve"> ¥         </w:t>
            </w:r>
            <w:r>
              <w:rPr>
                <w:rFonts w:hint="eastAsia" w:ascii="宋体" w:hAnsi="宋体" w:cs="宋体"/>
                <w:b/>
                <w:color w:val="auto"/>
                <w:highlight w:val="none"/>
              </w:rPr>
              <w:t xml:space="preserve">元     </w:t>
            </w:r>
          </w:p>
        </w:tc>
      </w:tr>
    </w:tbl>
    <w:p w14:paraId="0CF620D1">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第二条 质量标准</w:t>
      </w:r>
    </w:p>
    <w:p w14:paraId="54437902">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乙方保证所提供的软件为正版合法软件，符合国家有关强制标准规定的产品质量，符合政府有关部门的业务功能规范，符合投标响应文件承诺的业务功能。</w:t>
      </w:r>
    </w:p>
    <w:p w14:paraId="178829ED">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第三条 双方的权利与义务</w:t>
      </w:r>
    </w:p>
    <w:p w14:paraId="7C6B214C">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甲方的权利与义务：</w:t>
      </w:r>
    </w:p>
    <w:p w14:paraId="309377B7">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甲方需准备好安装软件的环境，乙方需对甲方准备工作进行协助、指导。</w:t>
      </w:r>
    </w:p>
    <w:p w14:paraId="7F0313AD">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乙方的权利与义务：</w:t>
      </w:r>
    </w:p>
    <w:p w14:paraId="4542ED05">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1、乙方保证提供的软件符合招标文件中的参数；保证严格按照采购方的交货时间和产品质量要求，开通账号，软件操作手册等资料及时送达甲方指定地点，送达过程中所有费用由乙方承担。</w:t>
      </w:r>
    </w:p>
    <w:p w14:paraId="21ECB1C1">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2、乙方保证完成招标文件中的承诺，如免费培训、讲座等。</w:t>
      </w:r>
    </w:p>
    <w:p w14:paraId="00553432">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3、乙方保证在质保期满后提供给甲方的软件产品免费升级；</w:t>
      </w:r>
    </w:p>
    <w:p w14:paraId="05D39F7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4、乙方有义务及时解决甲方反馈的问题。</w:t>
      </w:r>
    </w:p>
    <w:p w14:paraId="7A437658">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第四条 交付的时间与地点</w:t>
      </w:r>
    </w:p>
    <w:p w14:paraId="706F1F3F">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交付时间：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交货</w:t>
      </w:r>
    </w:p>
    <w:p w14:paraId="2A384664">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交付地点：</w:t>
      </w:r>
      <w:r>
        <w:rPr>
          <w:rFonts w:hint="eastAsia" w:ascii="宋体" w:hAnsi="宋体" w:cs="宋体"/>
          <w:color w:val="auto"/>
          <w:sz w:val="24"/>
          <w:highlight w:val="none"/>
          <w:lang w:eastAsia="zh-Hans"/>
        </w:rPr>
        <w:t>甲方</w:t>
      </w:r>
      <w:r>
        <w:rPr>
          <w:rFonts w:hint="eastAsia" w:ascii="宋体" w:hAnsi="宋体" w:cs="宋体"/>
          <w:color w:val="auto"/>
          <w:sz w:val="24"/>
          <w:highlight w:val="none"/>
        </w:rPr>
        <w:t>指定地点</w:t>
      </w:r>
    </w:p>
    <w:p w14:paraId="7C99CE14">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第五条 安装、调试、验收</w:t>
      </w:r>
    </w:p>
    <w:p w14:paraId="3BF73E0B">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第六条 培训</w:t>
      </w:r>
    </w:p>
    <w:p w14:paraId="7C3E2443">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第八条 结算方式及期限</w:t>
      </w:r>
    </w:p>
    <w:p w14:paraId="4AAE20DE">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付款方式：</w:t>
      </w:r>
    </w:p>
    <w:p w14:paraId="592AD852">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第九条 知识产权</w:t>
      </w:r>
    </w:p>
    <w:p w14:paraId="36B57FB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软件的著作权、专利权和商标权等知识产权属乙方所有。乙方应保证所提供的软件或其任何一部分均不会侵犯任何第三方的知识产权。否则，乙方无权要求返还履约保证金；如果任何第三方向甲方提起侵权索赔，乙方应负责与之进行交涉，造成甲方损失的后果均由乙方承担。</w:t>
      </w:r>
    </w:p>
    <w:p w14:paraId="7FB12AF4">
      <w:pPr>
        <w:pStyle w:val="18"/>
        <w:shd w:val="clear" w:color="auto" w:fill="auto"/>
        <w:ind w:firstLine="480"/>
        <w:rPr>
          <w:rFonts w:hint="eastAsia" w:ascii="宋体" w:hAnsi="宋体" w:cs="宋体"/>
          <w:color w:val="auto"/>
          <w:sz w:val="24"/>
          <w:highlight w:val="none"/>
        </w:rPr>
      </w:pPr>
      <w:r>
        <w:rPr>
          <w:rFonts w:hint="eastAsia" w:ascii="宋体" w:hAnsi="宋体" w:cs="宋体"/>
          <w:color w:val="auto"/>
          <w:sz w:val="24"/>
          <w:highlight w:val="none"/>
        </w:rPr>
        <w:t>未经乙方同意，甲方不得私自或通过第三方对本软件进行二次开发，更不得对本软件进行修改或反编译或对加密技术进行破解。否则，甲方承担乙方由此产生的全部损失。</w:t>
      </w:r>
    </w:p>
    <w:p w14:paraId="3AF8566E">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第十条 违约责任</w:t>
      </w:r>
    </w:p>
    <w:p w14:paraId="20AB889B">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若一方违约，应赔偿另一方的直接经济损失。</w:t>
      </w:r>
    </w:p>
    <w:p w14:paraId="7AA00240">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乙方违约处理：</w:t>
      </w:r>
    </w:p>
    <w:p w14:paraId="08ED3495">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逾期交货，每逾期一日，应支付合同总额0.2%的违约金，甲方可直接从待付货款中扣除。乙方逾期超过约定日期30个工作日不能交货的或有其他违约行为的，甲方有权解除本合同，预付款返还甲方，履约保证金不予返还，并且乙方应向甲方支付合同总值20%的违约金，如造成甲方损失超过违约金的，超出部分由乙方继续承担赔偿责任。</w:t>
      </w:r>
    </w:p>
    <w:p w14:paraId="2A4356CF">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乙方不履行合同服务条款，甲方可向乙方专门投诉部门进行投诉，乙方采取相关处理措施，如果乙方15天内没有相应答复，甲方有权对乙方的行为向相关主管部门投诉，在接到甲方投诉后，乙方应立即采取补救措施，给甲方做出满意答复；因乙方不履行合同条款的行为造成甲方的直接经济损失由乙方承担，且乙方无权要求返还履约保证金，并向甲方支付合同总价20%的违约金，如甲方的损失超过违约金的，乙方理应继续承担赔偿责任。</w:t>
      </w:r>
    </w:p>
    <w:p w14:paraId="5AA6477A">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3、在质保期内，由于乙方的原因造成直接经济损失由乙方负责赔偿。由于甲方操作人员失误所造成的直接经济损失由甲方负责。</w:t>
      </w:r>
    </w:p>
    <w:p w14:paraId="60D17EDB">
      <w:pPr>
        <w:pStyle w:val="24"/>
        <w:shd w:val="clear" w:color="auto" w:fill="auto"/>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4、乙方免责条款: 乙方不承担因甲方人员进行不当操作、感染病毒、硬件出现故障导致的数据混乱、丢失责任。乙方不承担因本合同之外的其他软硬件，包括信息系统运行所必需的支撑软件、配套软件出现故障导致的数据混乱、丢失或版权纠纷或其他损失损害的责任。</w:t>
      </w:r>
    </w:p>
    <w:p w14:paraId="6A3E2073">
      <w:pPr>
        <w:pStyle w:val="24"/>
        <w:shd w:val="clear" w:color="auto" w:fill="auto"/>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甲方违约处理：</w:t>
      </w:r>
    </w:p>
    <w:p w14:paraId="411834F3">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1、甲方非因质量问题中途退货，应向乙方偿付合同总额的20%作为违约金。</w:t>
      </w:r>
    </w:p>
    <w:p w14:paraId="239038E5">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2、由于甲方原因导致无法按期验收，每逾期一日，甲方应支付合同总额万分之五的违约金。</w:t>
      </w:r>
    </w:p>
    <w:p w14:paraId="1B9B840D">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第十一条 保密条款</w:t>
      </w:r>
    </w:p>
    <w:p w14:paraId="0755195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1、双方都有责任保守所知晓的对方的商业秘密，不得向第三方泄露，商业秘密的范围包括但不限于技术情报、数据资料及其他商业秘密。</w:t>
      </w:r>
    </w:p>
    <w:p w14:paraId="0503B8F2">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2、甲乙双方在未征得对方同意的情况下，不得向第三方泄露在项目中接触到的需要保密的情报、资料及数据。</w:t>
      </w:r>
    </w:p>
    <w:p w14:paraId="4A6BB446">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3、任何一方未征得对方的同意，不得为其它任何目的而自行使用或允许他人使用在从对方获得的信息（信息包括所有的报告、摘录、纪要、文件、计划、报表、复印件以及对方的业务数据等）。</w:t>
      </w:r>
    </w:p>
    <w:p w14:paraId="710674D6">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4、双方应对参加项目的工作人员严格要求，遵守保密条款。</w:t>
      </w:r>
    </w:p>
    <w:p w14:paraId="577486A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5、本合同有效期内及本合同期满后十年内，双方当事人应对以上保密范围所规定的内容承担保密义务。</w:t>
      </w:r>
    </w:p>
    <w:p w14:paraId="5A4A4A88">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6、任何一方违反此协议，给对方造成损失，须承担赔偿责任。违约方应赔偿守约方因违约方的违约行为而受到的实际损失，赔偿额以合同总金额为限。</w:t>
      </w:r>
    </w:p>
    <w:p w14:paraId="4B0D6372">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7、本条款不因合同变更、修改、解除或终止而失效。</w:t>
      </w:r>
    </w:p>
    <w:p w14:paraId="659DC754">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第十二条 解决合同纠纷方式</w:t>
      </w:r>
    </w:p>
    <w:p w14:paraId="63E633FE">
      <w:pPr>
        <w:pStyle w:val="18"/>
        <w:shd w:val="clear" w:color="auto" w:fill="auto"/>
        <w:ind w:firstLine="480"/>
        <w:rPr>
          <w:rFonts w:hint="eastAsia" w:ascii="宋体" w:hAnsi="宋体" w:cs="宋体"/>
          <w:color w:val="auto"/>
          <w:sz w:val="24"/>
          <w:highlight w:val="none"/>
        </w:rPr>
      </w:pPr>
      <w:r>
        <w:rPr>
          <w:rFonts w:hint="eastAsia" w:ascii="宋体" w:hAnsi="宋体" w:cs="宋体"/>
          <w:color w:val="auto"/>
          <w:sz w:val="24"/>
          <w:highlight w:val="none"/>
        </w:rPr>
        <w:t>如发生与合同条款有关的争执，双方应通过友好协商解决。协商不能解决时，向甲方所在地人民法院提起诉讼。</w:t>
      </w:r>
    </w:p>
    <w:p w14:paraId="3445BADD">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第十三条 不可抗力</w:t>
      </w:r>
    </w:p>
    <w:p w14:paraId="34483144">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的任何一方由于不可抗力的原因不能履行合同时，应在不可抗力事件结束后三天内向对方通报，以减轻可能给对方造成的损失，在取得有关机构的不可抗力证明或双方谅解确认后，允许延期履行或修订合同，并根据情况可部分或全部免于承担违约责任。</w:t>
      </w:r>
    </w:p>
    <w:p w14:paraId="191BE5FC">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第十四条 合同变更</w:t>
      </w:r>
    </w:p>
    <w:p w14:paraId="54E3950A">
      <w:pPr>
        <w:pStyle w:val="14"/>
        <w:shd w:val="clear" w:color="auto" w:fill="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未尽事宜，双方协调解决。合同的变更及修改须经双方同意，以书面的形式变更，并与本合同具有同等效力。</w:t>
      </w:r>
    </w:p>
    <w:p w14:paraId="76A0A211">
      <w:pPr>
        <w:pStyle w:val="26"/>
        <w:shd w:val="clear" w:color="auto" w:fill="auto"/>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第十五条 合同生效</w:t>
      </w:r>
    </w:p>
    <w:p w14:paraId="70F9431E">
      <w:pPr>
        <w:widowControl/>
        <w:shd w:val="clear" w:color="auto" w:fill="auto"/>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lang w:eastAsia="zh-Hans"/>
        </w:rPr>
        <w:t>六</w:t>
      </w:r>
      <w:r>
        <w:rPr>
          <w:rFonts w:hint="eastAsia" w:ascii="宋体" w:hAnsi="宋体"/>
          <w:color w:val="auto"/>
          <w:sz w:val="24"/>
          <w:szCs w:val="24"/>
          <w:highlight w:val="none"/>
        </w:rPr>
        <w:t>份。甲、乙双方各执</w:t>
      </w:r>
      <w:r>
        <w:rPr>
          <w:rFonts w:hint="eastAsia" w:ascii="宋体" w:hAnsi="宋体"/>
          <w:color w:val="auto"/>
          <w:sz w:val="24"/>
          <w:szCs w:val="24"/>
          <w:highlight w:val="none"/>
          <w:lang w:eastAsia="zh-Hans"/>
        </w:rPr>
        <w:t>二</w:t>
      </w:r>
      <w:r>
        <w:rPr>
          <w:rFonts w:hint="eastAsia" w:ascii="宋体" w:hAnsi="宋体"/>
          <w:color w:val="auto"/>
          <w:sz w:val="24"/>
          <w:szCs w:val="24"/>
          <w:highlight w:val="none"/>
        </w:rPr>
        <w:t>份，采购组织机构及同级人民政府财政部门各执一份。本项目未尽事宜以招标文件、投标文件及澄清文件等为准。</w:t>
      </w:r>
    </w:p>
    <w:p w14:paraId="6A466B8C">
      <w:pPr>
        <w:widowControl/>
        <w:shd w:val="clear" w:color="auto" w:fill="auto"/>
        <w:spacing w:line="360" w:lineRule="auto"/>
        <w:rPr>
          <w:rFonts w:ascii="宋体" w:hAnsi="宋体"/>
          <w:color w:val="auto"/>
          <w:kern w:val="0"/>
          <w:sz w:val="24"/>
          <w:szCs w:val="24"/>
          <w:highlight w:val="none"/>
        </w:rPr>
      </w:pPr>
    </w:p>
    <w:p w14:paraId="383E4DDE">
      <w:pPr>
        <w:widowControl/>
        <w:shd w:val="clear" w:color="auto" w:fill="auto"/>
        <w:spacing w:line="360" w:lineRule="auto"/>
        <w:rPr>
          <w:rFonts w:ascii="宋体" w:hAnsi="宋体"/>
          <w:b/>
          <w:color w:val="auto"/>
          <w:sz w:val="24"/>
          <w:szCs w:val="24"/>
          <w:highlight w:val="none"/>
        </w:rPr>
      </w:pPr>
    </w:p>
    <w:p w14:paraId="442E783E">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甲方（公章）                                     乙方（公章）</w:t>
      </w:r>
    </w:p>
    <w:p w14:paraId="22044D55">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                                     法定代表人：</w:t>
      </w:r>
    </w:p>
    <w:p w14:paraId="79C2CA8C">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委托代理人：                                     委托代理人：</w:t>
      </w:r>
    </w:p>
    <w:p w14:paraId="499F341C">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联系电话：                                       联系电话：</w:t>
      </w:r>
    </w:p>
    <w:p w14:paraId="442DA8BB">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开户银行：                                       开户银行：</w:t>
      </w:r>
    </w:p>
    <w:p w14:paraId="4E9EB3C0">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帐号：                                           帐号：</w:t>
      </w:r>
    </w:p>
    <w:p w14:paraId="5A6FFCD7">
      <w:pPr>
        <w:shd w:val="clear" w:color="auto" w:fill="auto"/>
        <w:spacing w:line="360" w:lineRule="auto"/>
        <w:rPr>
          <w:rFonts w:ascii="宋体" w:hAnsi="宋体"/>
          <w:color w:val="auto"/>
          <w:sz w:val="24"/>
          <w:szCs w:val="24"/>
          <w:highlight w:val="none"/>
        </w:rPr>
      </w:pPr>
      <w:r>
        <w:rPr>
          <w:rFonts w:hint="eastAsia" w:ascii="宋体" w:hAnsi="宋体"/>
          <w:color w:val="auto"/>
          <w:sz w:val="24"/>
          <w:szCs w:val="24"/>
          <w:highlight w:val="none"/>
        </w:rPr>
        <w:t>地址及邮编：                                     地址及邮编：</w:t>
      </w:r>
    </w:p>
    <w:p w14:paraId="3CE52E01">
      <w:pPr>
        <w:shd w:val="clear" w:color="auto" w:fill="auto"/>
        <w:spacing w:line="360" w:lineRule="auto"/>
        <w:rPr>
          <w:rFonts w:ascii="宋体" w:hAnsi="宋体"/>
          <w:color w:val="auto"/>
          <w:sz w:val="24"/>
          <w:szCs w:val="24"/>
          <w:highlight w:val="none"/>
        </w:rPr>
      </w:pPr>
    </w:p>
    <w:p w14:paraId="00D826C5">
      <w:pPr>
        <w:shd w:val="clear" w:color="auto" w:fill="auto"/>
        <w:spacing w:line="360" w:lineRule="auto"/>
        <w:ind w:firstLine="4920" w:firstLineChars="2050"/>
        <w:rPr>
          <w:rFonts w:ascii="宋体" w:hAnsi="宋体"/>
          <w:color w:val="auto"/>
          <w:sz w:val="24"/>
          <w:szCs w:val="24"/>
          <w:highlight w:val="none"/>
        </w:rPr>
      </w:pPr>
      <w:r>
        <w:rPr>
          <w:rFonts w:hint="eastAsia" w:ascii="宋体" w:hAnsi="宋体"/>
          <w:color w:val="auto"/>
          <w:sz w:val="24"/>
          <w:szCs w:val="24"/>
          <w:highlight w:val="none"/>
        </w:rPr>
        <w:t>签订时间：    年   月    日</w:t>
      </w:r>
    </w:p>
    <w:p w14:paraId="07159111">
      <w:pPr>
        <w:widowControl/>
        <w:shd w:val="clear" w:color="auto" w:fill="auto"/>
        <w:jc w:val="center"/>
        <w:rPr>
          <w:rFonts w:hint="eastAsia" w:ascii="宋体" w:hAnsi="宋体" w:cs="宋体"/>
          <w:color w:val="auto"/>
          <w:sz w:val="24"/>
          <w:highlight w:val="none"/>
        </w:rPr>
      </w:pPr>
    </w:p>
    <w:p w14:paraId="1320CB71">
      <w:pPr>
        <w:shd w:val="clear" w:color="auto" w:fill="auto"/>
        <w:jc w:val="center"/>
        <w:outlineLvl w:val="0"/>
        <w:rPr>
          <w:rFonts w:hint="eastAsia" w:ascii="宋体" w:hAnsi="宋体" w:cs="宋体"/>
          <w:color w:val="auto"/>
          <w:highlight w:val="none"/>
        </w:rPr>
      </w:pPr>
      <w:r>
        <w:rPr>
          <w:rFonts w:hint="eastAsia" w:ascii="宋体" w:hAnsi="宋体" w:cs="宋体"/>
          <w:b/>
          <w:bCs/>
          <w:color w:val="auto"/>
          <w:sz w:val="36"/>
          <w:szCs w:val="36"/>
          <w:highlight w:val="none"/>
        </w:rPr>
        <w:br w:type="page"/>
      </w:r>
      <w:bookmarkStart w:id="116" w:name="_Toc4374"/>
      <w:bookmarkStart w:id="117" w:name="_Toc1052869704"/>
      <w:bookmarkStart w:id="118" w:name="_Toc20986"/>
      <w:bookmarkStart w:id="119" w:name="_Toc8516"/>
      <w:bookmarkStart w:id="120" w:name="_Toc8966"/>
      <w:bookmarkStart w:id="121" w:name="_Toc6226"/>
      <w:r>
        <w:rPr>
          <w:rStyle w:val="36"/>
          <w:rFonts w:hint="eastAsia"/>
          <w:color w:val="auto"/>
          <w:highlight w:val="none"/>
        </w:rPr>
        <w:t>第六章</w:t>
      </w:r>
      <w:r>
        <w:rPr>
          <w:rStyle w:val="36"/>
          <w:color w:val="auto"/>
          <w:highlight w:val="none"/>
        </w:rPr>
        <w:t xml:space="preserve">  </w:t>
      </w:r>
      <w:r>
        <w:rPr>
          <w:rStyle w:val="36"/>
          <w:rFonts w:hint="eastAsia"/>
          <w:color w:val="auto"/>
          <w:highlight w:val="none"/>
        </w:rPr>
        <w:t>投标文件格式附件</w:t>
      </w:r>
      <w:bookmarkEnd w:id="116"/>
      <w:bookmarkEnd w:id="117"/>
      <w:bookmarkEnd w:id="118"/>
      <w:bookmarkEnd w:id="119"/>
      <w:bookmarkEnd w:id="120"/>
      <w:bookmarkEnd w:id="121"/>
    </w:p>
    <w:p w14:paraId="29FFDC13">
      <w:pPr>
        <w:shd w:val="clear" w:color="auto" w:fill="auto"/>
        <w:outlineLvl w:val="0"/>
        <w:rPr>
          <w:rFonts w:hint="eastAsia" w:ascii="宋体" w:hAnsi="宋体" w:cs="宋体"/>
          <w:color w:val="auto"/>
          <w:sz w:val="30"/>
          <w:szCs w:val="30"/>
          <w:highlight w:val="none"/>
        </w:rPr>
      </w:pPr>
      <w:bookmarkStart w:id="122" w:name="_Toc22393"/>
      <w:bookmarkStart w:id="123" w:name="_Toc21629"/>
      <w:bookmarkStart w:id="124" w:name="_Toc18158"/>
      <w:bookmarkStart w:id="125" w:name="_Toc315863848"/>
      <w:bookmarkStart w:id="126" w:name="_Toc21873"/>
      <w:bookmarkStart w:id="127" w:name="_Toc5105"/>
      <w:r>
        <w:rPr>
          <w:rFonts w:hint="eastAsia" w:ascii="宋体" w:hAnsi="宋体" w:cs="宋体"/>
          <w:b/>
          <w:bCs/>
          <w:color w:val="auto"/>
          <w:kern w:val="0"/>
          <w:sz w:val="28"/>
          <w:szCs w:val="28"/>
          <w:highlight w:val="none"/>
        </w:rPr>
        <w:t>附件1</w:t>
      </w:r>
      <w:bookmarkEnd w:id="122"/>
      <w:r>
        <w:rPr>
          <w:rFonts w:hint="eastAsia" w:ascii="宋体" w:hAnsi="宋体" w:cs="宋体"/>
          <w:b/>
          <w:bCs/>
          <w:color w:val="auto"/>
          <w:kern w:val="0"/>
          <w:sz w:val="28"/>
          <w:szCs w:val="28"/>
          <w:highlight w:val="none"/>
        </w:rPr>
        <w:t>：</w:t>
      </w:r>
      <w:bookmarkEnd w:id="123"/>
      <w:bookmarkEnd w:id="124"/>
      <w:bookmarkEnd w:id="125"/>
      <w:bookmarkEnd w:id="126"/>
      <w:bookmarkEnd w:id="127"/>
    </w:p>
    <w:p w14:paraId="4FB29568">
      <w:pPr>
        <w:shd w:val="clear" w:color="auto" w:fill="auto"/>
        <w:wordWrap w:val="0"/>
        <w:snapToGrid w:val="0"/>
        <w:spacing w:before="120" w:beforeLines="50" w:after="50" w:line="360" w:lineRule="auto"/>
        <w:jc w:val="righ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r>
        <w:rPr>
          <w:rFonts w:hint="eastAsia" w:ascii="宋体" w:hAnsi="宋体" w:cs="宋体"/>
          <w:color w:val="auto"/>
          <w:sz w:val="24"/>
          <w:szCs w:val="24"/>
          <w:highlight w:val="none"/>
        </w:rPr>
        <w:t>正本（或副本）</w:t>
      </w:r>
    </w:p>
    <w:p w14:paraId="3ADFDDF3">
      <w:pPr>
        <w:shd w:val="clear" w:color="auto" w:fill="auto"/>
        <w:spacing w:before="240" w:beforeLines="100" w:line="360" w:lineRule="auto"/>
        <w:ind w:right="-108"/>
        <w:rPr>
          <w:rFonts w:hint="eastAsia" w:ascii="宋体" w:hAnsi="宋体" w:cs="宋体"/>
          <w:color w:val="auto"/>
          <w:sz w:val="36"/>
          <w:szCs w:val="36"/>
          <w:highlight w:val="none"/>
        </w:rPr>
      </w:pPr>
      <w:r>
        <w:rPr>
          <w:rFonts w:hint="eastAsia" w:ascii="宋体" w:hAnsi="宋体" w:cs="宋体"/>
          <w:color w:val="auto"/>
          <w:sz w:val="36"/>
          <w:szCs w:val="36"/>
          <w:highlight w:val="none"/>
        </w:rPr>
        <w:t>项目名称</w:t>
      </w:r>
    </w:p>
    <w:p w14:paraId="2427C3E2">
      <w:pPr>
        <w:shd w:val="clear" w:color="auto" w:fill="auto"/>
        <w:spacing w:before="240" w:beforeLines="100" w:line="360" w:lineRule="auto"/>
        <w:ind w:right="-108"/>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5758A82">
      <w:pPr>
        <w:shd w:val="clear" w:color="auto" w:fill="auto"/>
        <w:autoSpaceDE w:val="0"/>
        <w:autoSpaceDN w:val="0"/>
        <w:adjustRightInd w:val="0"/>
        <w:spacing w:line="360" w:lineRule="auto"/>
        <w:jc w:val="center"/>
        <w:rPr>
          <w:rFonts w:hint="eastAsia" w:ascii="宋体" w:hAnsi="宋体" w:cs="宋体"/>
          <w:color w:val="auto"/>
          <w:sz w:val="72"/>
          <w:szCs w:val="72"/>
          <w:highlight w:val="none"/>
          <w:lang w:val="zh-CN"/>
        </w:rPr>
      </w:pPr>
      <w:r>
        <w:rPr>
          <w:rFonts w:hint="eastAsia" w:ascii="宋体" w:hAnsi="宋体" w:cs="宋体"/>
          <w:color w:val="auto"/>
          <w:sz w:val="72"/>
          <w:szCs w:val="72"/>
          <w:highlight w:val="none"/>
          <w:lang w:val="zh-CN"/>
        </w:rPr>
        <w:t>投</w:t>
      </w:r>
    </w:p>
    <w:p w14:paraId="6022D455">
      <w:pPr>
        <w:shd w:val="clear" w:color="auto" w:fill="auto"/>
        <w:autoSpaceDE w:val="0"/>
        <w:autoSpaceDN w:val="0"/>
        <w:adjustRightInd w:val="0"/>
        <w:spacing w:line="360" w:lineRule="auto"/>
        <w:jc w:val="center"/>
        <w:rPr>
          <w:rFonts w:hint="eastAsia" w:ascii="宋体" w:hAnsi="宋体" w:cs="宋体"/>
          <w:color w:val="auto"/>
          <w:sz w:val="72"/>
          <w:szCs w:val="72"/>
          <w:highlight w:val="none"/>
          <w:lang w:val="zh-CN"/>
        </w:rPr>
      </w:pPr>
      <w:r>
        <w:rPr>
          <w:rFonts w:hint="eastAsia" w:ascii="宋体" w:hAnsi="宋体" w:cs="宋体"/>
          <w:color w:val="auto"/>
          <w:sz w:val="72"/>
          <w:szCs w:val="72"/>
          <w:highlight w:val="none"/>
          <w:lang w:val="zh-CN"/>
        </w:rPr>
        <w:t>标</w:t>
      </w:r>
    </w:p>
    <w:p w14:paraId="74898F2B">
      <w:pPr>
        <w:shd w:val="clear" w:color="auto" w:fill="auto"/>
        <w:autoSpaceDE w:val="0"/>
        <w:autoSpaceDN w:val="0"/>
        <w:adjustRightInd w:val="0"/>
        <w:spacing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lang w:val="zh-CN"/>
        </w:rPr>
        <w:t>文</w:t>
      </w:r>
    </w:p>
    <w:p w14:paraId="6AA23C4C">
      <w:pPr>
        <w:shd w:val="clear" w:color="auto" w:fill="auto"/>
        <w:spacing w:after="100" w:afterAutospacing="1" w:line="360" w:lineRule="auto"/>
        <w:ind w:right="-108"/>
        <w:jc w:val="center"/>
        <w:rPr>
          <w:rFonts w:hint="eastAsia"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14:paraId="57722B7E">
      <w:pPr>
        <w:shd w:val="clear" w:color="auto" w:fill="auto"/>
        <w:spacing w:after="100" w:afterAutospacing="1" w:line="360" w:lineRule="auto"/>
        <w:ind w:right="-108"/>
        <w:jc w:val="center"/>
        <w:rPr>
          <w:rFonts w:hint="eastAsia" w:ascii="宋体" w:hAnsi="宋体" w:cs="宋体"/>
          <w:b/>
          <w:bCs/>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bCs/>
          <w:color w:val="auto"/>
          <w:spacing w:val="40"/>
          <w:sz w:val="28"/>
          <w:szCs w:val="28"/>
          <w:highlight w:val="none"/>
        </w:rPr>
        <w:t>资格证明文件）</w:t>
      </w:r>
    </w:p>
    <w:p w14:paraId="1378386F">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321630BB">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10DB2074">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251A201B">
      <w:pPr>
        <w:shd w:val="clear" w:color="auto" w:fill="auto"/>
        <w:snapToGrid w:val="0"/>
        <w:spacing w:before="50" w:after="50"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36"/>
          <w:szCs w:val="36"/>
          <w:highlight w:val="none"/>
        </w:rPr>
        <w:t>资格证明文件目录</w:t>
      </w:r>
    </w:p>
    <w:p w14:paraId="51C3252B">
      <w:pPr>
        <w:pStyle w:val="2"/>
        <w:shd w:val="clear" w:color="auto" w:fill="auto"/>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（一）提供以下1-6项证明材料或书面承诺满足《中华人民共和国政府采购法》第二十二条规定</w:t>
      </w:r>
    </w:p>
    <w:p w14:paraId="4AE1C0B7">
      <w:pPr>
        <w:pStyle w:val="2"/>
        <w:shd w:val="clear" w:color="auto" w:fill="auto"/>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1.具有独立承担民事责任的能力；</w:t>
      </w:r>
    </w:p>
    <w:p w14:paraId="1BC35063">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2.具有良好的商业信誉和健全的财务会计制度；</w:t>
      </w:r>
    </w:p>
    <w:p w14:paraId="4BC00EB3">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3.具有履行合同所必需的设备和专业技术能力；</w:t>
      </w:r>
    </w:p>
    <w:p w14:paraId="2B1DC84F">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4.有依法缴纳税收和社会保障资金的良好记录；</w:t>
      </w:r>
    </w:p>
    <w:p w14:paraId="57988E75">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5.参加政府采购活动前三年内，在经营活动中没有重大违法记录；</w:t>
      </w:r>
    </w:p>
    <w:p w14:paraId="462E7785">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6.法律、行政法规规定的其他条件；</w:t>
      </w:r>
    </w:p>
    <w:p w14:paraId="55B2BFE2">
      <w:pPr>
        <w:shd w:val="clear" w:color="auto" w:fill="auto"/>
        <w:snapToGrid w:val="0"/>
        <w:spacing w:line="44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中小企业声明函</w:t>
      </w:r>
    </w:p>
    <w:p w14:paraId="3C7B7B78">
      <w:pPr>
        <w:shd w:val="clear" w:color="auto" w:fill="auto"/>
        <w:rPr>
          <w:rFonts w:hint="eastAsia" w:hAnsi="宋体"/>
          <w:color w:val="auto"/>
          <w:sz w:val="24"/>
          <w:szCs w:val="24"/>
          <w:highlight w:val="none"/>
        </w:rPr>
      </w:pPr>
      <w:r>
        <w:rPr>
          <w:rFonts w:hint="eastAsia" w:ascii="宋体" w:hAnsi="宋体" w:cs="宋体"/>
          <w:color w:val="auto"/>
          <w:sz w:val="24"/>
          <w:szCs w:val="24"/>
          <w:highlight w:val="none"/>
        </w:rPr>
        <w:br w:type="page"/>
      </w:r>
      <w:r>
        <w:rPr>
          <w:rFonts w:hint="eastAsia" w:hAnsi="宋体"/>
          <w:color w:val="auto"/>
          <w:sz w:val="24"/>
          <w:szCs w:val="24"/>
          <w:highlight w:val="none"/>
        </w:rPr>
        <w:t>1）具有独立承担民事责任的能力的证明材料；</w:t>
      </w:r>
    </w:p>
    <w:p w14:paraId="11AA805E">
      <w:pPr>
        <w:pStyle w:val="15"/>
        <w:shd w:val="clear" w:color="auto" w:fill="auto"/>
        <w:snapToGrid w:val="0"/>
        <w:spacing w:line="360" w:lineRule="auto"/>
        <w:ind w:firstLine="420"/>
        <w:rPr>
          <w:rFonts w:hint="eastAsia" w:hAnsi="宋体"/>
          <w:color w:val="auto"/>
          <w:sz w:val="24"/>
          <w:szCs w:val="24"/>
          <w:highlight w:val="none"/>
        </w:rPr>
      </w:pPr>
    </w:p>
    <w:p w14:paraId="37270D2E">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出具符合以下情况的证明材料复印件（五选一）：</w:t>
      </w:r>
    </w:p>
    <w:p w14:paraId="1A64DC1C">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A.如供应商是企业（包括合伙企业），提供在工商部门注册的有效“企业法人营业执照”或“营业执照”；</w:t>
      </w:r>
    </w:p>
    <w:p w14:paraId="09FA763E">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B.如供应商是事业单位，提供有效的“事业单位法人证书”；</w:t>
      </w:r>
    </w:p>
    <w:p w14:paraId="2073FB7D">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C.如供应商是非企业专业服务机构的，提供执业许可证等证明文件；</w:t>
      </w:r>
    </w:p>
    <w:p w14:paraId="3BAF4402">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D.如供应商是个体工商户，提供有效的“个体工商户营业执照”；</w:t>
      </w:r>
    </w:p>
    <w:p w14:paraId="5578B820">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E.如供应商是自然人，提供有效的自然人身份证明（居民身份证正反面或公安机关出具的临时居民身份证正反面或港澳台胞证或护照）。</w:t>
      </w:r>
    </w:p>
    <w:p w14:paraId="0F3504A7">
      <w:pPr>
        <w:pStyle w:val="15"/>
        <w:shd w:val="clear" w:color="auto" w:fill="auto"/>
        <w:snapToGrid w:val="0"/>
        <w:ind w:firstLine="420"/>
        <w:rPr>
          <w:rFonts w:hint="eastAsia" w:hAnsi="宋体"/>
          <w:color w:val="auto"/>
          <w:highlight w:val="none"/>
        </w:rPr>
        <w:sectPr>
          <w:pgSz w:w="11900" w:h="16838"/>
          <w:pgMar w:top="1440" w:right="1800" w:bottom="1440" w:left="1800" w:header="0" w:footer="850" w:gutter="0"/>
          <w:cols w:space="720" w:num="1"/>
          <w:docGrid w:linePitch="360" w:charSpace="0"/>
        </w:sectPr>
      </w:pPr>
    </w:p>
    <w:p w14:paraId="318372D7">
      <w:pPr>
        <w:shd w:val="clear" w:color="auto" w:fill="auto"/>
        <w:spacing w:line="360" w:lineRule="auto"/>
        <w:rPr>
          <w:rFonts w:hint="eastAsia" w:ascii="宋体" w:hAnsi="宋体" w:cs="宋体"/>
          <w:color w:val="auto"/>
          <w:kern w:val="0"/>
          <w:sz w:val="24"/>
          <w:szCs w:val="24"/>
          <w:highlight w:val="none"/>
        </w:rPr>
      </w:pPr>
      <w:bookmarkStart w:id="128" w:name="page45"/>
      <w:bookmarkEnd w:id="128"/>
      <w:r>
        <w:rPr>
          <w:rFonts w:hint="eastAsia" w:ascii="宋体" w:hAnsi="宋体" w:cs="宋体"/>
          <w:color w:val="auto"/>
          <w:kern w:val="0"/>
          <w:sz w:val="24"/>
          <w:szCs w:val="24"/>
          <w:highlight w:val="none"/>
        </w:rPr>
        <w:t>2）具有良好的商业信誉和健全的财务会计制度的证明材料；</w:t>
      </w:r>
    </w:p>
    <w:p w14:paraId="498AACA6">
      <w:pPr>
        <w:shd w:val="clear" w:color="auto" w:fill="auto"/>
        <w:spacing w:line="360" w:lineRule="auto"/>
        <w:rPr>
          <w:rFonts w:hint="eastAsia" w:ascii="宋体" w:hAnsi="宋体" w:cs="宋体"/>
          <w:color w:val="auto"/>
          <w:kern w:val="0"/>
          <w:sz w:val="24"/>
          <w:szCs w:val="24"/>
          <w:highlight w:val="none"/>
        </w:rPr>
      </w:pPr>
    </w:p>
    <w:p w14:paraId="35B05940">
      <w:pPr>
        <w:shd w:val="clear" w:color="auto" w:fill="auto"/>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良好的商业信誉：</w:t>
      </w:r>
    </w:p>
    <w:p w14:paraId="6DF07468">
      <w:pPr>
        <w:shd w:val="clear" w:color="auto" w:fill="auto"/>
        <w:spacing w:line="360" w:lineRule="auto"/>
        <w:rPr>
          <w:rFonts w:hint="eastAsia" w:ascii="宋体" w:hAnsi="宋体" w:cs="宋体"/>
          <w:color w:val="auto"/>
          <w:kern w:val="0"/>
          <w:sz w:val="24"/>
          <w:szCs w:val="24"/>
          <w:highlight w:val="none"/>
        </w:rPr>
      </w:pPr>
    </w:p>
    <w:p w14:paraId="17132E54">
      <w:pPr>
        <w:shd w:val="clear" w:color="auto" w:fill="auto"/>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出具投标人参加政府采购活动和使用信用无不良记录书面声明（格式参考）（下表二选一）。</w:t>
      </w:r>
    </w:p>
    <w:p w14:paraId="3790E562">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74930</wp:posOffset>
                </wp:positionV>
                <wp:extent cx="5710555" cy="2409825"/>
                <wp:effectExtent l="4445" t="4445" r="19050" b="5080"/>
                <wp:wrapNone/>
                <wp:docPr id="4" name="文本框 3"/>
                <wp:cNvGraphicFramePr/>
                <a:graphic xmlns:a="http://schemas.openxmlformats.org/drawingml/2006/main">
                  <a:graphicData uri="http://schemas.microsoft.com/office/word/2010/wordprocessingShape">
                    <wps:wsp>
                      <wps:cNvSpPr txBox="1"/>
                      <wps:spPr>
                        <a:xfrm>
                          <a:off x="0" y="0"/>
                          <a:ext cx="5710555" cy="2409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7A0471">
                            <w:pPr>
                              <w:spacing w:line="239" w:lineRule="auto"/>
                              <w:ind w:left="1340"/>
                              <w:rPr>
                                <w:rFonts w:hint="eastAsia" w:ascii="宋体" w:hAnsi="宋体" w:cs="宋体"/>
                              </w:rPr>
                            </w:pPr>
                            <w:r>
                              <w:rPr>
                                <w:rFonts w:hint="eastAsia" w:ascii="宋体" w:hAnsi="宋体" w:cs="宋体"/>
                              </w:rPr>
                              <w:t>投标人参加政府采购活动和使用信用无不良记录书面声明（参考格式）</w:t>
                            </w:r>
                          </w:p>
                          <w:p w14:paraId="09B723AF">
                            <w:pPr>
                              <w:spacing w:line="200" w:lineRule="exact"/>
                              <w:rPr>
                                <w:rFonts w:hint="eastAsia" w:ascii="宋体" w:hAnsi="宋体" w:cs="宋体"/>
                              </w:rPr>
                            </w:pPr>
                          </w:p>
                          <w:p w14:paraId="19EC9095">
                            <w:pPr>
                              <w:spacing w:line="333" w:lineRule="exact"/>
                              <w:rPr>
                                <w:rFonts w:hint="eastAsia" w:ascii="宋体" w:hAnsi="宋体" w:cs="宋体"/>
                              </w:rPr>
                            </w:pPr>
                          </w:p>
                          <w:p w14:paraId="1D3F61E8">
                            <w:pPr>
                              <w:spacing w:line="0" w:lineRule="atLeast"/>
                              <w:ind w:left="420" w:leftChars="200" w:firstLine="210" w:firstLineChars="100"/>
                              <w:jc w:val="left"/>
                              <w:rPr>
                                <w:rFonts w:hint="eastAsia" w:ascii="宋体" w:hAnsi="宋体" w:cs="宋体"/>
                              </w:rPr>
                            </w:pPr>
                            <w:r>
                              <w:rPr>
                                <w:rFonts w:hint="eastAsia" w:ascii="宋体" w:hAnsi="宋体" w:cs="宋体"/>
                              </w:rPr>
                              <w:t>我公司声明，在购买本采购文件后，经查询“信用中国”网（www.creditchina.gov.cn）本公司是</w:t>
                            </w:r>
                            <w:r>
                              <w:rPr>
                                <w:rFonts w:hint="eastAsia" w:ascii="宋体" w:hAnsi="宋体" w:cs="宋体"/>
                                <w:u w:val="single"/>
                              </w:rPr>
                              <w:t xml:space="preserve">   </w:t>
                            </w:r>
                            <w:r>
                              <w:rPr>
                                <w:rFonts w:hint="eastAsia" w:ascii="宋体" w:hAnsi="宋体" w:cs="宋体"/>
                              </w:rPr>
                              <w:t>（未</w:t>
                            </w:r>
                            <w:r>
                              <w:rPr>
                                <w:rFonts w:hint="eastAsia" w:ascii="宋体" w:hAnsi="宋体" w:cs="宋体"/>
                                <w:u w:val="single"/>
                              </w:rPr>
                              <w:t xml:space="preserve">   </w:t>
                            </w:r>
                            <w:r>
                              <w:rPr>
                                <w:rFonts w:hint="eastAsia" w:ascii="宋体" w:hAnsi="宋体" w:cs="宋体"/>
                              </w:rPr>
                              <w:t>）（下划线处，根据查询情况打√）被列入失信被执行人、重大税收违法案件当事人名单、政府采购严重违法失信行为记录名单。</w:t>
                            </w:r>
                          </w:p>
                          <w:p w14:paraId="64224E59">
                            <w:pPr>
                              <w:spacing w:line="200" w:lineRule="exact"/>
                              <w:rPr>
                                <w:rFonts w:hint="eastAsia" w:ascii="宋体" w:hAnsi="宋体" w:cs="宋体"/>
                              </w:rPr>
                            </w:pPr>
                          </w:p>
                          <w:p w14:paraId="38996FA4">
                            <w:pPr>
                              <w:spacing w:line="332" w:lineRule="exact"/>
                              <w:rPr>
                                <w:rFonts w:hint="eastAsia" w:ascii="宋体" w:hAnsi="宋体" w:cs="宋体"/>
                              </w:rPr>
                            </w:pPr>
                          </w:p>
                          <w:p w14:paraId="4AFA8A72">
                            <w:pPr>
                              <w:spacing w:line="239" w:lineRule="auto"/>
                              <w:ind w:left="400"/>
                              <w:rPr>
                                <w:rFonts w:hint="eastAsia" w:ascii="宋体" w:hAnsi="宋体" w:cs="宋体"/>
                              </w:rPr>
                            </w:pPr>
                            <w:r>
                              <w:rPr>
                                <w:rFonts w:hint="eastAsia" w:ascii="宋体" w:hAnsi="宋体" w:cs="宋体"/>
                              </w:rPr>
                              <w:t>投标人全称（盖单位公章）：</w:t>
                            </w:r>
                          </w:p>
                          <w:p w14:paraId="34953FF2">
                            <w:pPr>
                              <w:spacing w:line="202" w:lineRule="exact"/>
                              <w:rPr>
                                <w:rFonts w:hint="eastAsia" w:ascii="宋体" w:hAnsi="宋体" w:cs="宋体"/>
                              </w:rPr>
                            </w:pPr>
                          </w:p>
                          <w:p w14:paraId="76181DE7">
                            <w:pPr>
                              <w:spacing w:line="375" w:lineRule="auto"/>
                              <w:ind w:left="400" w:right="5840"/>
                              <w:rPr>
                                <w:rFonts w:hint="eastAsia" w:ascii="宋体" w:hAnsi="宋体" w:cs="宋体"/>
                              </w:rPr>
                            </w:pPr>
                            <w:r>
                              <w:rPr>
                                <w:rFonts w:hint="eastAsia" w:ascii="宋体" w:hAnsi="宋体" w:cs="宋体"/>
                              </w:rPr>
                              <w:t>投标文件签署人（签字或盖章）：查询日期：</w:t>
                            </w:r>
                          </w:p>
                          <w:p w14:paraId="7B5CBE1B"/>
                        </w:txbxContent>
                      </wps:txbx>
                      <wps:bodyPr wrap="square" upright="1"/>
                    </wps:wsp>
                  </a:graphicData>
                </a:graphic>
              </wp:anchor>
            </w:drawing>
          </mc:Choice>
          <mc:Fallback>
            <w:pict>
              <v:shape id="文本框 3" o:spid="_x0000_s1026" o:spt="202" type="#_x0000_t202" style="position:absolute;left:0pt;margin-left:-0.95pt;margin-top:5.9pt;height:189.75pt;width:449.65pt;z-index:251661312;mso-width-relative:page;mso-height-relative:page;" fillcolor="#FFFFFF" filled="t" stroked="t" coordsize="21600,21600" o:gfxdata="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7BdiHZAAAA&#10;CQEAAA8AAAAAAAAAAQAgAAAAIgAAAGRycy9kb3ducmV2LnhtbFBLAQIUABQAAAAIAIdO4kDLMMnI&#10;HAIAAFMEAAAOAAAAAAAAAAEAIAAAACgBAABkcnMvZTJvRG9jLnhtbFBLBQYAAAAABgAGAFkBAAC2&#10;BQAAAAA=&#10;">
                <v:fill on="t" focussize="0,0"/>
                <v:stroke color="#000000" joinstyle="miter"/>
                <v:imagedata o:title=""/>
                <o:lock v:ext="edit" aspectratio="f"/>
                <v:textbox>
                  <w:txbxContent>
                    <w:p w14:paraId="737A0471">
                      <w:pPr>
                        <w:spacing w:line="239" w:lineRule="auto"/>
                        <w:ind w:left="1340"/>
                        <w:rPr>
                          <w:rFonts w:hint="eastAsia" w:ascii="宋体" w:hAnsi="宋体" w:cs="宋体"/>
                        </w:rPr>
                      </w:pPr>
                      <w:r>
                        <w:rPr>
                          <w:rFonts w:hint="eastAsia" w:ascii="宋体" w:hAnsi="宋体" w:cs="宋体"/>
                        </w:rPr>
                        <w:t>投标人参加政府采购活动和使用信用无不良记录书面声明（参考格式）</w:t>
                      </w:r>
                    </w:p>
                    <w:p w14:paraId="09B723AF">
                      <w:pPr>
                        <w:spacing w:line="200" w:lineRule="exact"/>
                        <w:rPr>
                          <w:rFonts w:hint="eastAsia" w:ascii="宋体" w:hAnsi="宋体" w:cs="宋体"/>
                        </w:rPr>
                      </w:pPr>
                    </w:p>
                    <w:p w14:paraId="19EC9095">
                      <w:pPr>
                        <w:spacing w:line="333" w:lineRule="exact"/>
                        <w:rPr>
                          <w:rFonts w:hint="eastAsia" w:ascii="宋体" w:hAnsi="宋体" w:cs="宋体"/>
                        </w:rPr>
                      </w:pPr>
                    </w:p>
                    <w:p w14:paraId="1D3F61E8">
                      <w:pPr>
                        <w:spacing w:line="0" w:lineRule="atLeast"/>
                        <w:ind w:left="420" w:leftChars="200" w:firstLine="210" w:firstLineChars="100"/>
                        <w:jc w:val="left"/>
                        <w:rPr>
                          <w:rFonts w:hint="eastAsia" w:ascii="宋体" w:hAnsi="宋体" w:cs="宋体"/>
                        </w:rPr>
                      </w:pPr>
                      <w:r>
                        <w:rPr>
                          <w:rFonts w:hint="eastAsia" w:ascii="宋体" w:hAnsi="宋体" w:cs="宋体"/>
                        </w:rPr>
                        <w:t>我公司声明，在购买本采购文件后，经查询“信用中国”网（www.creditchina.gov.cn）本公司是</w:t>
                      </w:r>
                      <w:r>
                        <w:rPr>
                          <w:rFonts w:hint="eastAsia" w:ascii="宋体" w:hAnsi="宋体" w:cs="宋体"/>
                          <w:u w:val="single"/>
                        </w:rPr>
                        <w:t xml:space="preserve">   </w:t>
                      </w:r>
                      <w:r>
                        <w:rPr>
                          <w:rFonts w:hint="eastAsia" w:ascii="宋体" w:hAnsi="宋体" w:cs="宋体"/>
                        </w:rPr>
                        <w:t>（未</w:t>
                      </w:r>
                      <w:r>
                        <w:rPr>
                          <w:rFonts w:hint="eastAsia" w:ascii="宋体" w:hAnsi="宋体" w:cs="宋体"/>
                          <w:u w:val="single"/>
                        </w:rPr>
                        <w:t xml:space="preserve">   </w:t>
                      </w:r>
                      <w:r>
                        <w:rPr>
                          <w:rFonts w:hint="eastAsia" w:ascii="宋体" w:hAnsi="宋体" w:cs="宋体"/>
                        </w:rPr>
                        <w:t>）（下划线处，根据查询情况打√）被列入失信被执行人、重大税收违法案件当事人名单、政府采购严重违法失信行为记录名单。</w:t>
                      </w:r>
                    </w:p>
                    <w:p w14:paraId="64224E59">
                      <w:pPr>
                        <w:spacing w:line="200" w:lineRule="exact"/>
                        <w:rPr>
                          <w:rFonts w:hint="eastAsia" w:ascii="宋体" w:hAnsi="宋体" w:cs="宋体"/>
                        </w:rPr>
                      </w:pPr>
                    </w:p>
                    <w:p w14:paraId="38996FA4">
                      <w:pPr>
                        <w:spacing w:line="332" w:lineRule="exact"/>
                        <w:rPr>
                          <w:rFonts w:hint="eastAsia" w:ascii="宋体" w:hAnsi="宋体" w:cs="宋体"/>
                        </w:rPr>
                      </w:pPr>
                    </w:p>
                    <w:p w14:paraId="4AFA8A72">
                      <w:pPr>
                        <w:spacing w:line="239" w:lineRule="auto"/>
                        <w:ind w:left="400"/>
                        <w:rPr>
                          <w:rFonts w:hint="eastAsia" w:ascii="宋体" w:hAnsi="宋体" w:cs="宋体"/>
                        </w:rPr>
                      </w:pPr>
                      <w:r>
                        <w:rPr>
                          <w:rFonts w:hint="eastAsia" w:ascii="宋体" w:hAnsi="宋体" w:cs="宋体"/>
                        </w:rPr>
                        <w:t>投标人全称（盖单位公章）：</w:t>
                      </w:r>
                    </w:p>
                    <w:p w14:paraId="34953FF2">
                      <w:pPr>
                        <w:spacing w:line="202" w:lineRule="exact"/>
                        <w:rPr>
                          <w:rFonts w:hint="eastAsia" w:ascii="宋体" w:hAnsi="宋体" w:cs="宋体"/>
                        </w:rPr>
                      </w:pPr>
                    </w:p>
                    <w:p w14:paraId="76181DE7">
                      <w:pPr>
                        <w:spacing w:line="375" w:lineRule="auto"/>
                        <w:ind w:left="400" w:right="5840"/>
                        <w:rPr>
                          <w:rFonts w:hint="eastAsia" w:ascii="宋体" w:hAnsi="宋体" w:cs="宋体"/>
                        </w:rPr>
                      </w:pPr>
                      <w:r>
                        <w:rPr>
                          <w:rFonts w:hint="eastAsia" w:ascii="宋体" w:hAnsi="宋体" w:cs="宋体"/>
                        </w:rPr>
                        <w:t>投标文件签署人（签字或盖章）：查询日期：</w:t>
                      </w:r>
                    </w:p>
                    <w:p w14:paraId="7B5CBE1B"/>
                  </w:txbxContent>
                </v:textbox>
              </v:shape>
            </w:pict>
          </mc:Fallback>
        </mc:AlternateContent>
      </w:r>
    </w:p>
    <w:p w14:paraId="562ECE7D">
      <w:pPr>
        <w:shd w:val="clear" w:color="auto" w:fill="auto"/>
        <w:spacing w:line="360" w:lineRule="auto"/>
        <w:rPr>
          <w:rFonts w:hint="eastAsia" w:ascii="宋体" w:hAnsi="宋体" w:cs="宋体"/>
          <w:color w:val="auto"/>
          <w:sz w:val="24"/>
          <w:szCs w:val="24"/>
          <w:highlight w:val="none"/>
        </w:rPr>
      </w:pPr>
    </w:p>
    <w:p w14:paraId="3AAAED1A">
      <w:pPr>
        <w:shd w:val="clear" w:color="auto" w:fill="auto"/>
        <w:spacing w:line="360" w:lineRule="auto"/>
        <w:rPr>
          <w:rFonts w:hint="eastAsia" w:ascii="宋体" w:hAnsi="宋体" w:cs="宋体"/>
          <w:color w:val="auto"/>
          <w:sz w:val="24"/>
          <w:szCs w:val="24"/>
          <w:highlight w:val="none"/>
        </w:rPr>
      </w:pPr>
    </w:p>
    <w:p w14:paraId="5FA60D37">
      <w:pPr>
        <w:shd w:val="clear" w:color="auto" w:fill="auto"/>
        <w:spacing w:line="360" w:lineRule="auto"/>
        <w:ind w:left="420"/>
        <w:rPr>
          <w:rFonts w:hint="eastAsia" w:ascii="宋体" w:hAnsi="宋体" w:cs="宋体"/>
          <w:color w:val="auto"/>
          <w:sz w:val="24"/>
          <w:szCs w:val="24"/>
          <w:highlight w:val="none"/>
        </w:rPr>
      </w:pPr>
    </w:p>
    <w:p w14:paraId="7F5ABC4A">
      <w:pPr>
        <w:shd w:val="clear" w:color="auto" w:fill="auto"/>
        <w:spacing w:line="360" w:lineRule="auto"/>
        <w:ind w:left="420"/>
        <w:rPr>
          <w:rFonts w:hint="eastAsia" w:ascii="宋体" w:hAnsi="宋体" w:cs="宋体"/>
          <w:color w:val="auto"/>
          <w:sz w:val="24"/>
          <w:szCs w:val="24"/>
          <w:highlight w:val="none"/>
        </w:rPr>
      </w:pPr>
    </w:p>
    <w:p w14:paraId="730016BA">
      <w:pPr>
        <w:shd w:val="clear" w:color="auto" w:fill="auto"/>
        <w:spacing w:line="360" w:lineRule="auto"/>
        <w:ind w:left="420"/>
        <w:rPr>
          <w:rFonts w:hint="eastAsia" w:ascii="宋体" w:hAnsi="宋体" w:cs="宋体"/>
          <w:color w:val="auto"/>
          <w:sz w:val="24"/>
          <w:szCs w:val="24"/>
          <w:highlight w:val="none"/>
        </w:rPr>
      </w:pPr>
    </w:p>
    <w:p w14:paraId="07D0161D">
      <w:pPr>
        <w:shd w:val="clear" w:color="auto" w:fill="auto"/>
        <w:spacing w:line="360" w:lineRule="auto"/>
        <w:ind w:left="420"/>
        <w:rPr>
          <w:rFonts w:hint="eastAsia" w:ascii="宋体" w:hAnsi="宋体" w:cs="宋体"/>
          <w:color w:val="auto"/>
          <w:sz w:val="24"/>
          <w:szCs w:val="24"/>
          <w:highlight w:val="none"/>
        </w:rPr>
      </w:pPr>
    </w:p>
    <w:p w14:paraId="49111135">
      <w:pPr>
        <w:shd w:val="clear" w:color="auto" w:fill="auto"/>
        <w:spacing w:line="360" w:lineRule="auto"/>
        <w:ind w:left="420"/>
        <w:rPr>
          <w:rFonts w:hint="eastAsia" w:ascii="宋体" w:hAnsi="宋体" w:cs="宋体"/>
          <w:color w:val="auto"/>
          <w:sz w:val="24"/>
          <w:szCs w:val="24"/>
          <w:highlight w:val="none"/>
        </w:rPr>
      </w:pPr>
    </w:p>
    <w:p w14:paraId="2A5C57C0">
      <w:pPr>
        <w:shd w:val="clear" w:color="auto" w:fill="auto"/>
        <w:spacing w:line="360" w:lineRule="auto"/>
        <w:ind w:left="420"/>
        <w:rPr>
          <w:rFonts w:hint="eastAsia" w:ascii="宋体" w:hAnsi="宋体" w:cs="宋体"/>
          <w:color w:val="auto"/>
          <w:sz w:val="24"/>
          <w:szCs w:val="24"/>
          <w:highlight w:val="none"/>
        </w:rPr>
      </w:pPr>
    </w:p>
    <w:p w14:paraId="4A49D6C9">
      <w:pPr>
        <w:shd w:val="clear" w:color="auto" w:fill="auto"/>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注：需附网页截图</w:t>
      </w:r>
    </w:p>
    <w:p w14:paraId="6C984675">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或</w:t>
      </w:r>
    </w:p>
    <w:p w14:paraId="2D8D633D">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19685</wp:posOffset>
                </wp:positionV>
                <wp:extent cx="5710555" cy="2409825"/>
                <wp:effectExtent l="4445" t="4445" r="19050" b="5080"/>
                <wp:wrapNone/>
                <wp:docPr id="5" name="文本框 4"/>
                <wp:cNvGraphicFramePr/>
                <a:graphic xmlns:a="http://schemas.openxmlformats.org/drawingml/2006/main">
                  <a:graphicData uri="http://schemas.microsoft.com/office/word/2010/wordprocessingShape">
                    <wps:wsp>
                      <wps:cNvSpPr txBox="1"/>
                      <wps:spPr>
                        <a:xfrm>
                          <a:off x="0" y="0"/>
                          <a:ext cx="5710555" cy="2409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E2F4A5">
                            <w:pPr>
                              <w:spacing w:line="239" w:lineRule="auto"/>
                              <w:ind w:left="1340"/>
                              <w:rPr>
                                <w:rFonts w:ascii="宋体" w:hAnsi="宋体"/>
                              </w:rPr>
                            </w:pPr>
                            <w:r>
                              <w:rPr>
                                <w:rFonts w:ascii="宋体" w:hAnsi="宋体"/>
                              </w:rPr>
                              <w:t>投标人参加政府采购活动和使用信用无不良记录书面声明（参考格式）</w:t>
                            </w:r>
                          </w:p>
                          <w:p w14:paraId="12F31B3A">
                            <w:pPr>
                              <w:spacing w:line="200" w:lineRule="exact"/>
                              <w:rPr>
                                <w:rFonts w:eastAsia="Times New Roman"/>
                              </w:rPr>
                            </w:pPr>
                          </w:p>
                          <w:p w14:paraId="36B5616A">
                            <w:pPr>
                              <w:spacing w:line="333" w:lineRule="exact"/>
                              <w:rPr>
                                <w:rFonts w:eastAsia="Times New Roman"/>
                              </w:rPr>
                            </w:pPr>
                          </w:p>
                          <w:p w14:paraId="693B453A">
                            <w:pPr>
                              <w:spacing w:line="0" w:lineRule="atLeast"/>
                              <w:ind w:firstLine="420" w:firstLineChars="200"/>
                              <w:jc w:val="left"/>
                              <w:rPr>
                                <w:rFonts w:ascii="宋体" w:hAnsi="宋体"/>
                              </w:rPr>
                            </w:pPr>
                            <w:r>
                              <w:rPr>
                                <w:rFonts w:ascii="宋体" w:hAnsi="宋体"/>
                              </w:rPr>
                              <w:t>我公司声明，在购买本采购文件后，经查询中国政府采购网（</w:t>
                            </w:r>
                            <w:r>
                              <w:rPr>
                                <w:rFonts w:eastAsia="Times New Roman"/>
                              </w:rPr>
                              <w:t>www.ccgp.gov.cn</w:t>
                            </w:r>
                            <w:r>
                              <w:rPr>
                                <w:rFonts w:ascii="宋体" w:hAnsi="宋体"/>
                              </w:rPr>
                              <w:t>），本公司是（</w:t>
                            </w:r>
                            <w:r>
                              <w:rPr>
                                <w:rFonts w:hint="eastAsia" w:ascii="宋体" w:hAnsi="宋体"/>
                              </w:rPr>
                              <w:t>未</w:t>
                            </w:r>
                            <w:r>
                              <w:rPr>
                                <w:rFonts w:hint="eastAsia" w:ascii="宋体" w:hAnsi="宋体"/>
                                <w:u w:val="single"/>
                              </w:rPr>
                              <w:t xml:space="preserve">   </w:t>
                            </w:r>
                            <w:r>
                              <w:rPr>
                                <w:rFonts w:ascii="宋体" w:hAnsi="宋体"/>
                              </w:rPr>
                              <w:t>）（下划线处，根据查询情况打</w:t>
                            </w:r>
                            <w:r>
                              <w:rPr>
                                <w:rFonts w:eastAsia="Times New Roman"/>
                              </w:rPr>
                              <w:t>√</w:t>
                            </w:r>
                            <w:r>
                              <w:rPr>
                                <w:rFonts w:ascii="宋体" w:hAnsi="宋体"/>
                              </w:rPr>
                              <w:t>）被列入失信被执行人、重大税收违法案件当事人名单、政府采购严重违法失信行为记录名单。</w:t>
                            </w:r>
                          </w:p>
                          <w:p w14:paraId="2EA7645B">
                            <w:pPr>
                              <w:spacing w:line="200" w:lineRule="exact"/>
                              <w:rPr>
                                <w:rFonts w:eastAsia="Times New Roman"/>
                              </w:rPr>
                            </w:pPr>
                          </w:p>
                          <w:p w14:paraId="4242D446">
                            <w:pPr>
                              <w:spacing w:line="332" w:lineRule="exact"/>
                              <w:rPr>
                                <w:rFonts w:eastAsia="Times New Roman"/>
                              </w:rPr>
                            </w:pPr>
                          </w:p>
                          <w:p w14:paraId="0F513E1C">
                            <w:pPr>
                              <w:spacing w:line="239" w:lineRule="auto"/>
                              <w:ind w:left="400"/>
                              <w:rPr>
                                <w:rFonts w:ascii="宋体" w:hAnsi="宋体"/>
                              </w:rPr>
                            </w:pPr>
                            <w:r>
                              <w:rPr>
                                <w:rFonts w:ascii="宋体" w:hAnsi="宋体"/>
                              </w:rPr>
                              <w:t>投标人全称（盖单位公章）：</w:t>
                            </w:r>
                          </w:p>
                          <w:p w14:paraId="35A0363D">
                            <w:pPr>
                              <w:spacing w:line="202" w:lineRule="exact"/>
                              <w:rPr>
                                <w:rFonts w:eastAsia="Times New Roman"/>
                              </w:rPr>
                            </w:pPr>
                          </w:p>
                          <w:p w14:paraId="3BF17B87">
                            <w:pPr>
                              <w:spacing w:line="375" w:lineRule="auto"/>
                              <w:ind w:left="400" w:right="5840"/>
                              <w:jc w:val="left"/>
                              <w:rPr>
                                <w:rFonts w:ascii="宋体" w:hAnsi="宋体"/>
                              </w:rPr>
                            </w:pPr>
                            <w:r>
                              <w:rPr>
                                <w:rFonts w:eastAsia="Times New Roman"/>
                              </w:rPr>
                              <w:t>投标文件签署人（签字或盖章）</w:t>
                            </w:r>
                            <w:r>
                              <w:rPr>
                                <w:rFonts w:ascii="宋体" w:hAnsi="宋体"/>
                              </w:rPr>
                              <w:t>：查询日期：</w:t>
                            </w:r>
                          </w:p>
                          <w:p w14:paraId="1D53A549"/>
                        </w:txbxContent>
                      </wps:txbx>
                      <wps:bodyPr wrap="square" upright="1"/>
                    </wps:wsp>
                  </a:graphicData>
                </a:graphic>
              </wp:anchor>
            </w:drawing>
          </mc:Choice>
          <mc:Fallback>
            <w:pict>
              <v:shape id="文本框 4" o:spid="_x0000_s1026" o:spt="202" type="#_x0000_t202" style="position:absolute;left:0pt;margin-left:-3.6pt;margin-top:1.55pt;height:189.75pt;width:449.65pt;z-index:251662336;mso-width-relative:page;mso-height-relative:page;" fillcolor="#FFFFFF" filled="t" stroked="t" coordsize="21600,21600" o:gfxdata="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sMUR2AAAAAgB&#10;AAAPAAAAAAAAAAEAIAAAACIAAABkcnMvZG93bnJldi54bWxQSwECFAAUAAAACACHTuJA2I48VRsC&#10;AABTBAAADgAAAAAAAAABACAAAAAnAQAAZHJzL2Uyb0RvYy54bWxQSwUGAAAAAAYABgBZAQAAtAUA&#10;AAAA&#10;">
                <v:fill on="t" focussize="0,0"/>
                <v:stroke color="#000000" joinstyle="miter"/>
                <v:imagedata o:title=""/>
                <o:lock v:ext="edit" aspectratio="f"/>
                <v:textbox>
                  <w:txbxContent>
                    <w:p w14:paraId="02E2F4A5">
                      <w:pPr>
                        <w:spacing w:line="239" w:lineRule="auto"/>
                        <w:ind w:left="1340"/>
                        <w:rPr>
                          <w:rFonts w:ascii="宋体" w:hAnsi="宋体"/>
                        </w:rPr>
                      </w:pPr>
                      <w:r>
                        <w:rPr>
                          <w:rFonts w:ascii="宋体" w:hAnsi="宋体"/>
                        </w:rPr>
                        <w:t>投标人参加政府采购活动和使用信用无不良记录书面声明（参考格式）</w:t>
                      </w:r>
                    </w:p>
                    <w:p w14:paraId="12F31B3A">
                      <w:pPr>
                        <w:spacing w:line="200" w:lineRule="exact"/>
                        <w:rPr>
                          <w:rFonts w:eastAsia="Times New Roman"/>
                        </w:rPr>
                      </w:pPr>
                    </w:p>
                    <w:p w14:paraId="36B5616A">
                      <w:pPr>
                        <w:spacing w:line="333" w:lineRule="exact"/>
                        <w:rPr>
                          <w:rFonts w:eastAsia="Times New Roman"/>
                        </w:rPr>
                      </w:pPr>
                    </w:p>
                    <w:p w14:paraId="693B453A">
                      <w:pPr>
                        <w:spacing w:line="0" w:lineRule="atLeast"/>
                        <w:ind w:firstLine="420" w:firstLineChars="200"/>
                        <w:jc w:val="left"/>
                        <w:rPr>
                          <w:rFonts w:ascii="宋体" w:hAnsi="宋体"/>
                        </w:rPr>
                      </w:pPr>
                      <w:r>
                        <w:rPr>
                          <w:rFonts w:ascii="宋体" w:hAnsi="宋体"/>
                        </w:rPr>
                        <w:t>我公司声明，在购买本采购文件后，经查询中国政府采购网（</w:t>
                      </w:r>
                      <w:r>
                        <w:rPr>
                          <w:rFonts w:eastAsia="Times New Roman"/>
                        </w:rPr>
                        <w:t>www.ccgp.gov.cn</w:t>
                      </w:r>
                      <w:r>
                        <w:rPr>
                          <w:rFonts w:ascii="宋体" w:hAnsi="宋体"/>
                        </w:rPr>
                        <w:t>），本公司是（</w:t>
                      </w:r>
                      <w:r>
                        <w:rPr>
                          <w:rFonts w:hint="eastAsia" w:ascii="宋体" w:hAnsi="宋体"/>
                        </w:rPr>
                        <w:t>未</w:t>
                      </w:r>
                      <w:r>
                        <w:rPr>
                          <w:rFonts w:hint="eastAsia" w:ascii="宋体" w:hAnsi="宋体"/>
                          <w:u w:val="single"/>
                        </w:rPr>
                        <w:t xml:space="preserve">   </w:t>
                      </w:r>
                      <w:r>
                        <w:rPr>
                          <w:rFonts w:ascii="宋体" w:hAnsi="宋体"/>
                        </w:rPr>
                        <w:t>）（下划线处，根据查询情况打</w:t>
                      </w:r>
                      <w:r>
                        <w:rPr>
                          <w:rFonts w:eastAsia="Times New Roman"/>
                        </w:rPr>
                        <w:t>√</w:t>
                      </w:r>
                      <w:r>
                        <w:rPr>
                          <w:rFonts w:ascii="宋体" w:hAnsi="宋体"/>
                        </w:rPr>
                        <w:t>）被列入失信被执行人、重大税收违法案件当事人名单、政府采购严重违法失信行为记录名单。</w:t>
                      </w:r>
                    </w:p>
                    <w:p w14:paraId="2EA7645B">
                      <w:pPr>
                        <w:spacing w:line="200" w:lineRule="exact"/>
                        <w:rPr>
                          <w:rFonts w:eastAsia="Times New Roman"/>
                        </w:rPr>
                      </w:pPr>
                    </w:p>
                    <w:p w14:paraId="4242D446">
                      <w:pPr>
                        <w:spacing w:line="332" w:lineRule="exact"/>
                        <w:rPr>
                          <w:rFonts w:eastAsia="Times New Roman"/>
                        </w:rPr>
                      </w:pPr>
                    </w:p>
                    <w:p w14:paraId="0F513E1C">
                      <w:pPr>
                        <w:spacing w:line="239" w:lineRule="auto"/>
                        <w:ind w:left="400"/>
                        <w:rPr>
                          <w:rFonts w:ascii="宋体" w:hAnsi="宋体"/>
                        </w:rPr>
                      </w:pPr>
                      <w:r>
                        <w:rPr>
                          <w:rFonts w:ascii="宋体" w:hAnsi="宋体"/>
                        </w:rPr>
                        <w:t>投标人全称（盖单位公章）：</w:t>
                      </w:r>
                    </w:p>
                    <w:p w14:paraId="35A0363D">
                      <w:pPr>
                        <w:spacing w:line="202" w:lineRule="exact"/>
                        <w:rPr>
                          <w:rFonts w:eastAsia="Times New Roman"/>
                        </w:rPr>
                      </w:pPr>
                    </w:p>
                    <w:p w14:paraId="3BF17B87">
                      <w:pPr>
                        <w:spacing w:line="375" w:lineRule="auto"/>
                        <w:ind w:left="400" w:right="5840"/>
                        <w:jc w:val="left"/>
                        <w:rPr>
                          <w:rFonts w:ascii="宋体" w:hAnsi="宋体"/>
                        </w:rPr>
                      </w:pPr>
                      <w:r>
                        <w:rPr>
                          <w:rFonts w:eastAsia="Times New Roman"/>
                        </w:rPr>
                        <w:t>投标文件签署人（签字或盖章）</w:t>
                      </w:r>
                      <w:r>
                        <w:rPr>
                          <w:rFonts w:ascii="宋体" w:hAnsi="宋体"/>
                        </w:rPr>
                        <w:t>：查询日期：</w:t>
                      </w:r>
                    </w:p>
                    <w:p w14:paraId="1D53A549"/>
                  </w:txbxContent>
                </v:textbox>
              </v:shape>
            </w:pict>
          </mc:Fallback>
        </mc:AlternateContent>
      </w:r>
    </w:p>
    <w:p w14:paraId="006CD8F9">
      <w:pPr>
        <w:shd w:val="clear" w:color="auto" w:fill="auto"/>
        <w:spacing w:line="360" w:lineRule="auto"/>
        <w:rPr>
          <w:rFonts w:hint="eastAsia" w:ascii="宋体" w:hAnsi="宋体" w:cs="宋体"/>
          <w:color w:val="auto"/>
          <w:sz w:val="24"/>
          <w:szCs w:val="24"/>
          <w:highlight w:val="none"/>
        </w:rPr>
      </w:pPr>
    </w:p>
    <w:p w14:paraId="56E9DD87">
      <w:pPr>
        <w:shd w:val="clear" w:color="auto" w:fill="auto"/>
        <w:spacing w:line="360" w:lineRule="auto"/>
        <w:rPr>
          <w:rFonts w:hint="eastAsia" w:ascii="宋体" w:hAnsi="宋体" w:cs="宋体"/>
          <w:color w:val="auto"/>
          <w:sz w:val="24"/>
          <w:szCs w:val="24"/>
          <w:highlight w:val="none"/>
        </w:rPr>
      </w:pPr>
    </w:p>
    <w:p w14:paraId="393B3AC8">
      <w:pPr>
        <w:shd w:val="clear" w:color="auto" w:fill="auto"/>
        <w:spacing w:line="360" w:lineRule="auto"/>
        <w:rPr>
          <w:rFonts w:hint="eastAsia" w:ascii="宋体" w:hAnsi="宋体" w:cs="宋体"/>
          <w:color w:val="auto"/>
          <w:sz w:val="24"/>
          <w:szCs w:val="24"/>
          <w:highlight w:val="none"/>
        </w:rPr>
      </w:pPr>
    </w:p>
    <w:p w14:paraId="76D04F20">
      <w:pPr>
        <w:shd w:val="clear" w:color="auto" w:fill="auto"/>
        <w:spacing w:line="360" w:lineRule="auto"/>
        <w:rPr>
          <w:rFonts w:hint="eastAsia" w:ascii="宋体" w:hAnsi="宋体" w:cs="宋体"/>
          <w:color w:val="auto"/>
          <w:sz w:val="24"/>
          <w:szCs w:val="24"/>
          <w:highlight w:val="none"/>
        </w:rPr>
      </w:pPr>
    </w:p>
    <w:p w14:paraId="2B8A7C2B">
      <w:pPr>
        <w:shd w:val="clear" w:color="auto" w:fill="auto"/>
        <w:spacing w:line="360" w:lineRule="auto"/>
        <w:rPr>
          <w:rFonts w:hint="eastAsia" w:ascii="宋体" w:hAnsi="宋体" w:cs="宋体"/>
          <w:color w:val="auto"/>
          <w:sz w:val="24"/>
          <w:szCs w:val="24"/>
          <w:highlight w:val="none"/>
        </w:rPr>
      </w:pPr>
    </w:p>
    <w:p w14:paraId="23D7F8E4">
      <w:pPr>
        <w:shd w:val="clear" w:color="auto" w:fill="auto"/>
        <w:spacing w:line="360" w:lineRule="auto"/>
        <w:rPr>
          <w:rFonts w:hint="eastAsia" w:ascii="宋体" w:hAnsi="宋体" w:cs="宋体"/>
          <w:color w:val="auto"/>
          <w:sz w:val="24"/>
          <w:szCs w:val="24"/>
          <w:highlight w:val="none"/>
        </w:rPr>
      </w:pPr>
    </w:p>
    <w:p w14:paraId="2889C051">
      <w:pPr>
        <w:shd w:val="clear" w:color="auto" w:fill="auto"/>
        <w:spacing w:line="360" w:lineRule="auto"/>
        <w:rPr>
          <w:rFonts w:hint="eastAsia" w:ascii="宋体" w:hAnsi="宋体" w:cs="宋体"/>
          <w:color w:val="auto"/>
          <w:sz w:val="24"/>
          <w:szCs w:val="24"/>
          <w:highlight w:val="none"/>
        </w:rPr>
      </w:pPr>
    </w:p>
    <w:p w14:paraId="6A933AC4">
      <w:pPr>
        <w:shd w:val="clear" w:color="auto" w:fill="auto"/>
        <w:spacing w:line="360" w:lineRule="auto"/>
        <w:rPr>
          <w:rFonts w:hint="eastAsia" w:ascii="宋体" w:hAnsi="宋体" w:cs="宋体"/>
          <w:color w:val="auto"/>
          <w:sz w:val="24"/>
          <w:szCs w:val="24"/>
          <w:highlight w:val="none"/>
        </w:rPr>
      </w:pPr>
    </w:p>
    <w:p w14:paraId="602C323F">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注：需附网页截图</w:t>
      </w:r>
    </w:p>
    <w:p w14:paraId="12135A10">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至本项目投标截止时间止未列入失信被执行人、重大税收违法案件当事人名单、政府采购严重违法失信行为记录名单。（代理机构以开标当日网页查询记录为准）</w:t>
      </w:r>
    </w:p>
    <w:p w14:paraId="4D692315">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对列入失信被执行人、重大税收违法案件当事人名单、政府采购严重违法失信行为记录名单的供应商，其投标将作无效标处理。</w:t>
      </w:r>
    </w:p>
    <w:p w14:paraId="08CE8AE5">
      <w:pPr>
        <w:shd w:val="clear" w:color="auto" w:fill="auto"/>
        <w:spacing w:line="360" w:lineRule="auto"/>
        <w:rPr>
          <w:rFonts w:hint="eastAsia" w:ascii="宋体" w:hAnsi="宋体" w:cs="宋体"/>
          <w:color w:val="auto"/>
          <w:highlight w:val="none"/>
        </w:rPr>
      </w:pPr>
    </w:p>
    <w:p w14:paraId="3377ECC0">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健全的财务会计制度：</w:t>
      </w:r>
    </w:p>
    <w:p w14:paraId="34EF5E68">
      <w:pPr>
        <w:shd w:val="clear" w:color="auto" w:fill="auto"/>
        <w:spacing w:line="360" w:lineRule="auto"/>
        <w:rPr>
          <w:rFonts w:hint="eastAsia" w:ascii="宋体" w:hAnsi="宋体" w:cs="宋体"/>
          <w:color w:val="auto"/>
          <w:sz w:val="24"/>
          <w:szCs w:val="24"/>
          <w:highlight w:val="none"/>
        </w:rPr>
      </w:pPr>
    </w:p>
    <w:p w14:paraId="7CCCAEE6">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出具符合以下情况的证明材料复印件（三选一）：</w:t>
      </w:r>
    </w:p>
    <w:p w14:paraId="31D94DD4">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A.供应商是法人的，应提供最近一个年度经审计的财务报告，包括资产负债表、利润表、现金流量表(执行《小企业会计准则》的提供资产负债表和利润表两张基本报表），未经审计的，提供资产负债表、利润表或损益表。</w:t>
      </w:r>
    </w:p>
    <w:p w14:paraId="5DFA8641">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B.其他组织和自然人如没有经审计的财务报告的，可以提供资产负债表、利润表、现金流量表。</w:t>
      </w:r>
    </w:p>
    <w:p w14:paraId="79E6621E">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C.新成立不足一年的公司须出具情况说明。</w:t>
      </w:r>
    </w:p>
    <w:p w14:paraId="57D0D74E">
      <w:pPr>
        <w:shd w:val="clear" w:color="auto" w:fill="auto"/>
        <w:spacing w:line="0" w:lineRule="atLeast"/>
        <w:rPr>
          <w:rFonts w:hint="eastAsia" w:ascii="宋体" w:hAnsi="宋体" w:cs="宋体"/>
          <w:color w:val="auto"/>
          <w:highlight w:val="none"/>
        </w:rPr>
      </w:pPr>
    </w:p>
    <w:p w14:paraId="075C9227">
      <w:pPr>
        <w:shd w:val="clear" w:color="auto" w:fill="auto"/>
        <w:spacing w:line="0" w:lineRule="atLeast"/>
        <w:rPr>
          <w:rFonts w:hint="eastAsia" w:ascii="宋体" w:hAnsi="宋体" w:cs="宋体"/>
          <w:color w:val="auto"/>
          <w:highlight w:val="none"/>
        </w:rPr>
      </w:pPr>
    </w:p>
    <w:p w14:paraId="60D89426">
      <w:pPr>
        <w:shd w:val="clear" w:color="auto" w:fill="auto"/>
        <w:spacing w:line="0" w:lineRule="atLeast"/>
        <w:rPr>
          <w:rFonts w:hint="eastAsia" w:ascii="宋体" w:hAnsi="宋体" w:cs="宋体"/>
          <w:color w:val="auto"/>
          <w:highlight w:val="none"/>
        </w:rPr>
      </w:pPr>
    </w:p>
    <w:p w14:paraId="7415E02F">
      <w:pPr>
        <w:shd w:val="clear" w:color="auto" w:fill="auto"/>
        <w:spacing w:line="0" w:lineRule="atLeast"/>
        <w:rPr>
          <w:rFonts w:hint="eastAsia" w:ascii="宋体" w:hAnsi="宋体" w:cs="宋体"/>
          <w:color w:val="auto"/>
          <w:highlight w:val="none"/>
        </w:rPr>
      </w:pPr>
    </w:p>
    <w:p w14:paraId="4B3B2E1C">
      <w:pPr>
        <w:shd w:val="clear" w:color="auto" w:fill="auto"/>
        <w:spacing w:line="0" w:lineRule="atLeast"/>
        <w:rPr>
          <w:rFonts w:hint="eastAsia" w:ascii="宋体" w:hAnsi="宋体" w:cs="宋体"/>
          <w:color w:val="auto"/>
          <w:highlight w:val="none"/>
        </w:rPr>
      </w:pPr>
    </w:p>
    <w:p w14:paraId="34F96664">
      <w:pPr>
        <w:shd w:val="clear" w:color="auto" w:fill="auto"/>
        <w:spacing w:line="0" w:lineRule="atLeast"/>
        <w:rPr>
          <w:rFonts w:hint="eastAsia" w:ascii="宋体" w:hAnsi="宋体" w:cs="宋体"/>
          <w:color w:val="auto"/>
          <w:highlight w:val="none"/>
        </w:rPr>
      </w:pPr>
    </w:p>
    <w:p w14:paraId="6322DAF7">
      <w:pPr>
        <w:shd w:val="clear" w:color="auto" w:fill="auto"/>
        <w:spacing w:line="0" w:lineRule="atLeast"/>
        <w:rPr>
          <w:rFonts w:hint="eastAsia" w:ascii="宋体" w:hAnsi="宋体" w:cs="宋体"/>
          <w:color w:val="auto"/>
          <w:highlight w:val="none"/>
        </w:rPr>
      </w:pPr>
    </w:p>
    <w:p w14:paraId="5E1225E5">
      <w:pPr>
        <w:shd w:val="clear" w:color="auto" w:fill="auto"/>
        <w:spacing w:line="0" w:lineRule="atLeast"/>
        <w:rPr>
          <w:rFonts w:hint="eastAsia" w:ascii="宋体" w:hAnsi="宋体" w:cs="宋体"/>
          <w:color w:val="auto"/>
          <w:highlight w:val="none"/>
        </w:rPr>
      </w:pPr>
    </w:p>
    <w:p w14:paraId="72FC54B7">
      <w:pPr>
        <w:shd w:val="clear" w:color="auto" w:fill="auto"/>
        <w:spacing w:line="0" w:lineRule="atLeast"/>
        <w:rPr>
          <w:rFonts w:hint="eastAsia" w:ascii="宋体" w:hAnsi="宋体" w:cs="宋体"/>
          <w:color w:val="auto"/>
          <w:highlight w:val="none"/>
        </w:rPr>
      </w:pPr>
    </w:p>
    <w:p w14:paraId="14618AA0">
      <w:pPr>
        <w:shd w:val="clear" w:color="auto" w:fill="auto"/>
        <w:spacing w:line="0" w:lineRule="atLeast"/>
        <w:rPr>
          <w:rFonts w:hint="eastAsia" w:ascii="宋体" w:hAnsi="宋体" w:cs="宋体"/>
          <w:color w:val="auto"/>
          <w:highlight w:val="none"/>
        </w:rPr>
      </w:pPr>
    </w:p>
    <w:p w14:paraId="37D153FC">
      <w:pPr>
        <w:shd w:val="clear" w:color="auto" w:fill="auto"/>
        <w:spacing w:line="0" w:lineRule="atLeast"/>
        <w:rPr>
          <w:rFonts w:hint="eastAsia" w:ascii="宋体" w:hAnsi="宋体" w:cs="宋体"/>
          <w:color w:val="auto"/>
          <w:highlight w:val="none"/>
        </w:rPr>
      </w:pPr>
    </w:p>
    <w:p w14:paraId="04F5B85B">
      <w:pPr>
        <w:shd w:val="clear" w:color="auto" w:fill="auto"/>
        <w:spacing w:line="0" w:lineRule="atLeast"/>
        <w:rPr>
          <w:rFonts w:hint="eastAsia" w:ascii="宋体" w:hAnsi="宋体" w:cs="宋体"/>
          <w:color w:val="auto"/>
          <w:highlight w:val="none"/>
        </w:rPr>
      </w:pPr>
    </w:p>
    <w:p w14:paraId="78F4D343">
      <w:pPr>
        <w:shd w:val="clear" w:color="auto" w:fill="auto"/>
        <w:spacing w:line="0" w:lineRule="atLeast"/>
        <w:rPr>
          <w:rFonts w:hint="eastAsia" w:ascii="宋体" w:hAnsi="宋体" w:cs="宋体"/>
          <w:color w:val="auto"/>
          <w:highlight w:val="none"/>
        </w:rPr>
      </w:pPr>
    </w:p>
    <w:p w14:paraId="2ED97961">
      <w:pPr>
        <w:shd w:val="clear" w:color="auto" w:fill="auto"/>
        <w:spacing w:line="0" w:lineRule="atLeast"/>
        <w:rPr>
          <w:rFonts w:hint="eastAsia" w:ascii="宋体" w:hAnsi="宋体" w:cs="宋体"/>
          <w:color w:val="auto"/>
          <w:highlight w:val="none"/>
        </w:rPr>
      </w:pPr>
    </w:p>
    <w:p w14:paraId="7EDF80C7">
      <w:pPr>
        <w:shd w:val="clear" w:color="auto" w:fill="auto"/>
        <w:spacing w:line="0" w:lineRule="atLeast"/>
        <w:rPr>
          <w:rFonts w:hint="eastAsia" w:ascii="宋体" w:hAnsi="宋体" w:cs="宋体"/>
          <w:color w:val="auto"/>
          <w:highlight w:val="none"/>
        </w:rPr>
      </w:pPr>
    </w:p>
    <w:p w14:paraId="1329F9D8">
      <w:pPr>
        <w:shd w:val="clear" w:color="auto" w:fill="auto"/>
        <w:spacing w:line="0" w:lineRule="atLeast"/>
        <w:rPr>
          <w:rFonts w:hint="eastAsia" w:ascii="宋体" w:hAnsi="宋体" w:cs="宋体"/>
          <w:color w:val="auto"/>
          <w:highlight w:val="none"/>
        </w:rPr>
      </w:pPr>
    </w:p>
    <w:p w14:paraId="1FA28FAF">
      <w:pPr>
        <w:shd w:val="clear" w:color="auto" w:fill="auto"/>
        <w:spacing w:line="0" w:lineRule="atLeast"/>
        <w:rPr>
          <w:rFonts w:hint="eastAsia" w:ascii="宋体" w:hAnsi="宋体" w:cs="宋体"/>
          <w:color w:val="auto"/>
          <w:highlight w:val="none"/>
        </w:rPr>
      </w:pPr>
    </w:p>
    <w:p w14:paraId="722A723F">
      <w:pPr>
        <w:shd w:val="clear" w:color="auto" w:fill="auto"/>
        <w:spacing w:line="0" w:lineRule="atLeast"/>
        <w:rPr>
          <w:rFonts w:hint="eastAsia" w:ascii="宋体" w:hAnsi="宋体" w:cs="宋体"/>
          <w:color w:val="auto"/>
          <w:highlight w:val="none"/>
        </w:rPr>
      </w:pPr>
    </w:p>
    <w:p w14:paraId="3CDB7891">
      <w:pPr>
        <w:shd w:val="clear" w:color="auto" w:fill="auto"/>
        <w:spacing w:line="0" w:lineRule="atLeast"/>
        <w:rPr>
          <w:rFonts w:hint="eastAsia" w:ascii="宋体" w:hAnsi="宋体" w:cs="宋体"/>
          <w:color w:val="auto"/>
          <w:highlight w:val="none"/>
        </w:rPr>
      </w:pPr>
    </w:p>
    <w:p w14:paraId="2706355F">
      <w:pPr>
        <w:shd w:val="clear" w:color="auto" w:fill="auto"/>
        <w:spacing w:line="0" w:lineRule="atLeast"/>
        <w:rPr>
          <w:rFonts w:hint="eastAsia" w:ascii="宋体" w:hAnsi="宋体" w:cs="宋体"/>
          <w:color w:val="auto"/>
          <w:highlight w:val="none"/>
        </w:rPr>
      </w:pPr>
    </w:p>
    <w:p w14:paraId="0C36DD7F">
      <w:pPr>
        <w:shd w:val="clear" w:color="auto" w:fill="auto"/>
        <w:spacing w:line="0" w:lineRule="atLeast"/>
        <w:rPr>
          <w:rFonts w:hint="eastAsia" w:ascii="宋体" w:hAnsi="宋体" w:cs="宋体"/>
          <w:color w:val="auto"/>
          <w:highlight w:val="none"/>
        </w:rPr>
      </w:pPr>
    </w:p>
    <w:p w14:paraId="6E0AF648">
      <w:pPr>
        <w:shd w:val="clear" w:color="auto" w:fill="auto"/>
        <w:spacing w:line="0" w:lineRule="atLeast"/>
        <w:rPr>
          <w:rFonts w:hint="eastAsia" w:ascii="宋体" w:hAnsi="宋体" w:cs="宋体"/>
          <w:color w:val="auto"/>
          <w:highlight w:val="none"/>
        </w:rPr>
        <w:sectPr>
          <w:pgSz w:w="11900" w:h="16838"/>
          <w:pgMar w:top="1440" w:right="1800" w:bottom="1440" w:left="1800" w:header="0" w:footer="283" w:gutter="0"/>
          <w:cols w:space="720" w:num="1"/>
          <w:docGrid w:linePitch="360" w:charSpace="0"/>
        </w:sectPr>
      </w:pPr>
    </w:p>
    <w:p w14:paraId="4DFA82E4">
      <w:pPr>
        <w:shd w:val="clear" w:color="auto" w:fill="auto"/>
        <w:spacing w:line="360" w:lineRule="auto"/>
        <w:rPr>
          <w:rFonts w:hint="eastAsia" w:ascii="宋体" w:hAnsi="宋体" w:cs="宋体"/>
          <w:color w:val="auto"/>
          <w:sz w:val="24"/>
          <w:szCs w:val="24"/>
          <w:highlight w:val="none"/>
        </w:rPr>
      </w:pPr>
      <w:bookmarkStart w:id="129" w:name="page46"/>
      <w:bookmarkEnd w:id="129"/>
      <w:bookmarkStart w:id="130" w:name="page47"/>
      <w:bookmarkEnd w:id="130"/>
      <w:r>
        <w:rPr>
          <w:rFonts w:hint="eastAsia" w:ascii="宋体" w:hAnsi="宋体" w:cs="宋体"/>
          <w:color w:val="auto"/>
          <w:sz w:val="24"/>
          <w:szCs w:val="24"/>
          <w:highlight w:val="none"/>
        </w:rPr>
        <w:t>3）具有履行合同所必需的设备和专业技术能力的证明材料；</w:t>
      </w:r>
    </w:p>
    <w:p w14:paraId="4CB0EC63">
      <w:pPr>
        <w:shd w:val="clear" w:color="auto" w:fill="auto"/>
        <w:spacing w:line="360" w:lineRule="auto"/>
        <w:rPr>
          <w:rFonts w:hint="eastAsia" w:ascii="宋体" w:hAnsi="宋体" w:cs="宋体"/>
          <w:color w:val="auto"/>
          <w:sz w:val="24"/>
          <w:szCs w:val="24"/>
          <w:highlight w:val="none"/>
        </w:rPr>
      </w:pPr>
    </w:p>
    <w:p w14:paraId="0F85F0E2">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出具具有履行合同所必需的设备和专业技术能力的《承诺函》；（内容根据项目情况由投标人自定）</w:t>
      </w:r>
    </w:p>
    <w:p w14:paraId="01BD551B">
      <w:pPr>
        <w:shd w:val="clear" w:color="auto" w:fill="auto"/>
        <w:spacing w:line="360" w:lineRule="auto"/>
        <w:rPr>
          <w:rFonts w:hint="eastAsia" w:ascii="宋体" w:hAnsi="宋体" w:cs="宋体"/>
          <w:color w:val="auto"/>
          <w:sz w:val="24"/>
          <w:szCs w:val="24"/>
          <w:highlight w:val="none"/>
        </w:rPr>
      </w:pPr>
    </w:p>
    <w:p w14:paraId="6985564F">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特别说明：法律和国务院行政法规规定或授权有关部门规定供应商或产品进入市场须先行取得相关认证或许可的，投标人须在投标文件中提供相关的认证或许可证明材料。</w:t>
      </w:r>
    </w:p>
    <w:p w14:paraId="0C747D7A">
      <w:pPr>
        <w:shd w:val="clear" w:color="auto" w:fill="auto"/>
        <w:spacing w:line="239" w:lineRule="auto"/>
        <w:rPr>
          <w:rFonts w:hint="eastAsia" w:ascii="宋体" w:hAnsi="宋体" w:cs="宋体"/>
          <w:color w:val="auto"/>
          <w:sz w:val="24"/>
          <w:szCs w:val="24"/>
          <w:highlight w:val="none"/>
        </w:rPr>
        <w:sectPr>
          <w:pgSz w:w="11900" w:h="16838"/>
          <w:pgMar w:top="1440" w:right="1800" w:bottom="1440" w:left="1800" w:header="0" w:footer="283" w:gutter="0"/>
          <w:cols w:space="720" w:num="1"/>
          <w:docGrid w:linePitch="360" w:charSpace="0"/>
        </w:sectPr>
      </w:pPr>
    </w:p>
    <w:p w14:paraId="7E069296">
      <w:pPr>
        <w:pStyle w:val="15"/>
        <w:shd w:val="clear" w:color="auto" w:fill="auto"/>
        <w:snapToGrid w:val="0"/>
        <w:spacing w:line="360" w:lineRule="auto"/>
        <w:rPr>
          <w:rFonts w:hint="eastAsia" w:hAnsi="宋体"/>
          <w:color w:val="auto"/>
          <w:sz w:val="24"/>
          <w:szCs w:val="24"/>
          <w:highlight w:val="none"/>
        </w:rPr>
      </w:pPr>
      <w:bookmarkStart w:id="131" w:name="page48"/>
      <w:bookmarkEnd w:id="131"/>
      <w:r>
        <w:rPr>
          <w:rFonts w:hint="eastAsia" w:hAnsi="宋体"/>
          <w:color w:val="auto"/>
          <w:sz w:val="24"/>
          <w:szCs w:val="24"/>
          <w:highlight w:val="none"/>
        </w:rPr>
        <w:t>4）有依法缴纳税收和社会保障资金的良好记录的证明材料；</w:t>
      </w:r>
    </w:p>
    <w:p w14:paraId="72C7213A">
      <w:pPr>
        <w:pStyle w:val="15"/>
        <w:shd w:val="clear" w:color="auto" w:fill="auto"/>
        <w:snapToGrid w:val="0"/>
        <w:spacing w:line="360" w:lineRule="auto"/>
        <w:ind w:firstLine="420"/>
        <w:rPr>
          <w:rFonts w:hint="eastAsia" w:hAnsi="宋体"/>
          <w:color w:val="auto"/>
          <w:sz w:val="24"/>
          <w:szCs w:val="24"/>
          <w:highlight w:val="none"/>
        </w:rPr>
      </w:pPr>
    </w:p>
    <w:p w14:paraId="0630B06A">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须同时出具满足以下要求的证明材料复印件：</w:t>
      </w:r>
    </w:p>
    <w:p w14:paraId="03A8E925">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A.供应商须提供由税务部门出具的最近三个月内缴纳增值税、营业税和企业所得税的纳税证明。</w:t>
      </w:r>
    </w:p>
    <w:p w14:paraId="7F9EC716">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B.供应商须提供最近三个月内缴纳社会保险的凭据（缴税付款凭证或社会保险缴纳证明）。</w:t>
      </w:r>
    </w:p>
    <w:p w14:paraId="39F83D67">
      <w:pPr>
        <w:pStyle w:val="15"/>
        <w:shd w:val="clear" w:color="auto" w:fill="auto"/>
        <w:snapToGrid w:val="0"/>
        <w:spacing w:line="360" w:lineRule="auto"/>
        <w:ind w:firstLine="420"/>
        <w:rPr>
          <w:rFonts w:hint="eastAsia" w:hAnsi="宋体"/>
          <w:color w:val="auto"/>
          <w:sz w:val="24"/>
          <w:szCs w:val="24"/>
          <w:highlight w:val="none"/>
        </w:rPr>
      </w:pPr>
      <w:r>
        <w:rPr>
          <w:rFonts w:hint="eastAsia" w:hAnsi="宋体"/>
          <w:color w:val="auto"/>
          <w:sz w:val="24"/>
          <w:szCs w:val="24"/>
          <w:highlight w:val="none"/>
        </w:rPr>
        <w:t>依法免税或不需要缴纳社会保障资金的供应商，应提供相应文件证明其依法免税或不需要缴纳社会保障资金。</w:t>
      </w:r>
    </w:p>
    <w:p w14:paraId="48A9BD25">
      <w:pPr>
        <w:shd w:val="clear" w:color="auto" w:fill="auto"/>
        <w:spacing w:line="239" w:lineRule="auto"/>
        <w:rPr>
          <w:rFonts w:hint="eastAsia" w:ascii="宋体" w:hAnsi="宋体" w:cs="宋体"/>
          <w:color w:val="auto"/>
          <w:highlight w:val="none"/>
        </w:rPr>
        <w:sectPr>
          <w:pgSz w:w="11900" w:h="16838"/>
          <w:pgMar w:top="1440" w:right="1800" w:bottom="1440" w:left="1800" w:header="0" w:footer="283" w:gutter="0"/>
          <w:cols w:space="720" w:num="1"/>
          <w:docGrid w:linePitch="360" w:charSpace="0"/>
        </w:sectPr>
      </w:pPr>
      <w:r>
        <w:rPr>
          <w:rFonts w:hint="eastAsia" w:ascii="宋体" w:hAnsi="宋体" w:cs="宋体"/>
          <w:color w:val="auto"/>
          <w:highlight w:val="none"/>
        </w:rPr>
        <w:drawing>
          <wp:anchor distT="0" distB="0" distL="114300" distR="114300" simplePos="0" relativeHeight="251659264" behindDoc="1" locked="0" layoutInCell="0" allowOverlap="1">
            <wp:simplePos x="0" y="0"/>
            <wp:positionH relativeFrom="column">
              <wp:posOffset>-3175</wp:posOffset>
            </wp:positionH>
            <wp:positionV relativeFrom="paragraph">
              <wp:posOffset>7745730</wp:posOffset>
            </wp:positionV>
            <wp:extent cx="5832475" cy="6350"/>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4"/>
                    <a:stretch>
                      <a:fillRect/>
                    </a:stretch>
                  </pic:blipFill>
                  <pic:spPr>
                    <a:xfrm>
                      <a:off x="0" y="0"/>
                      <a:ext cx="5832475" cy="6350"/>
                    </a:xfrm>
                    <a:prstGeom prst="rect">
                      <a:avLst/>
                    </a:prstGeom>
                    <a:noFill/>
                    <a:ln>
                      <a:noFill/>
                    </a:ln>
                  </pic:spPr>
                </pic:pic>
              </a:graphicData>
            </a:graphic>
          </wp:anchor>
        </w:drawing>
      </w:r>
    </w:p>
    <w:p w14:paraId="12FFD095">
      <w:pPr>
        <w:shd w:val="clear" w:color="auto" w:fill="auto"/>
        <w:spacing w:line="200" w:lineRule="exact"/>
        <w:rPr>
          <w:rFonts w:hint="eastAsia" w:ascii="宋体" w:hAnsi="宋体" w:cs="宋体"/>
          <w:color w:val="auto"/>
          <w:highlight w:val="none"/>
        </w:rPr>
      </w:pPr>
    </w:p>
    <w:p w14:paraId="5817E094">
      <w:pPr>
        <w:shd w:val="clear" w:color="auto" w:fill="auto"/>
        <w:spacing w:line="0" w:lineRule="atLeast"/>
        <w:rPr>
          <w:rFonts w:hint="eastAsia" w:ascii="宋体" w:hAnsi="宋体" w:cs="宋体"/>
          <w:color w:val="auto"/>
          <w:sz w:val="24"/>
          <w:szCs w:val="24"/>
          <w:highlight w:val="none"/>
        </w:rPr>
      </w:pPr>
      <w:bookmarkStart w:id="132" w:name="page49"/>
      <w:bookmarkEnd w:id="132"/>
      <w:r>
        <w:rPr>
          <w:rFonts w:hint="eastAsia" w:ascii="宋体" w:hAnsi="宋体" w:cs="宋体"/>
          <w:color w:val="auto"/>
          <w:sz w:val="24"/>
          <w:szCs w:val="24"/>
          <w:highlight w:val="none"/>
        </w:rPr>
        <w:t>5）参加政府采购活动前三年内，在经营活动中没有重大违法记录的证明材料；</w:t>
      </w:r>
    </w:p>
    <w:p w14:paraId="6E702BAB">
      <w:pPr>
        <w:shd w:val="clear" w:color="auto" w:fill="auto"/>
        <w:spacing w:line="151" w:lineRule="exact"/>
        <w:rPr>
          <w:rFonts w:hint="eastAsia" w:ascii="宋体" w:hAnsi="宋体" w:cs="宋体"/>
          <w:color w:val="auto"/>
          <w:sz w:val="24"/>
          <w:szCs w:val="24"/>
          <w:highlight w:val="none"/>
        </w:rPr>
      </w:pPr>
    </w:p>
    <w:p w14:paraId="5472F687">
      <w:pPr>
        <w:shd w:val="clear" w:color="auto" w:fill="auto"/>
        <w:spacing w:line="239" w:lineRule="auto"/>
        <w:rPr>
          <w:rFonts w:hint="eastAsia" w:ascii="宋体" w:hAnsi="宋体" w:cs="宋体"/>
          <w:color w:val="auto"/>
          <w:sz w:val="24"/>
          <w:szCs w:val="24"/>
          <w:highlight w:val="none"/>
        </w:rPr>
      </w:pPr>
    </w:p>
    <w:p w14:paraId="498F24F6">
      <w:pPr>
        <w:shd w:val="clear" w:color="auto" w:fill="auto"/>
        <w:spacing w:line="239"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出具投标人近三年在经营活动中没有重大违法记录的书面声明（格式参考）。</w:t>
      </w:r>
    </w:p>
    <w:p w14:paraId="2DDC8514">
      <w:pPr>
        <w:shd w:val="clear" w:color="auto" w:fill="auto"/>
        <w:spacing w:line="2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drawing>
          <wp:anchor distT="0" distB="0" distL="114300" distR="114300" simplePos="0" relativeHeight="251660288" behindDoc="1" locked="0" layoutInCell="0" allowOverlap="1">
            <wp:simplePos x="0" y="0"/>
            <wp:positionH relativeFrom="column">
              <wp:posOffset>-74930</wp:posOffset>
            </wp:positionH>
            <wp:positionV relativeFrom="paragraph">
              <wp:posOffset>113665</wp:posOffset>
            </wp:positionV>
            <wp:extent cx="5690870" cy="4617085"/>
            <wp:effectExtent l="0" t="0" r="5080" b="12065"/>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5"/>
                    <a:stretch>
                      <a:fillRect/>
                    </a:stretch>
                  </pic:blipFill>
                  <pic:spPr>
                    <a:xfrm>
                      <a:off x="0" y="0"/>
                      <a:ext cx="5690870" cy="4617085"/>
                    </a:xfrm>
                    <a:prstGeom prst="rect">
                      <a:avLst/>
                    </a:prstGeom>
                    <a:noFill/>
                    <a:ln>
                      <a:noFill/>
                    </a:ln>
                  </pic:spPr>
                </pic:pic>
              </a:graphicData>
            </a:graphic>
          </wp:anchor>
        </w:drawing>
      </w:r>
    </w:p>
    <w:p w14:paraId="3E719312">
      <w:pPr>
        <w:shd w:val="clear" w:color="auto" w:fill="auto"/>
        <w:spacing w:line="341" w:lineRule="exact"/>
        <w:rPr>
          <w:rFonts w:hint="eastAsia" w:ascii="宋体" w:hAnsi="宋体" w:cs="宋体"/>
          <w:color w:val="auto"/>
          <w:sz w:val="24"/>
          <w:szCs w:val="24"/>
          <w:highlight w:val="none"/>
        </w:rPr>
      </w:pPr>
    </w:p>
    <w:p w14:paraId="56F6391E">
      <w:pPr>
        <w:shd w:val="clear" w:color="auto" w:fill="auto"/>
        <w:spacing w:line="239"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投标人近三年在经营活动中没有重大违法记录的书面声明（格式参考）；</w:t>
      </w:r>
    </w:p>
    <w:p w14:paraId="328578B1">
      <w:pPr>
        <w:shd w:val="clear" w:color="auto" w:fill="auto"/>
        <w:spacing w:line="200" w:lineRule="exact"/>
        <w:rPr>
          <w:rFonts w:hint="eastAsia" w:ascii="宋体" w:hAnsi="宋体" w:cs="宋体"/>
          <w:color w:val="auto"/>
          <w:sz w:val="24"/>
          <w:szCs w:val="24"/>
          <w:highlight w:val="none"/>
        </w:rPr>
      </w:pPr>
    </w:p>
    <w:p w14:paraId="22E94A19">
      <w:pPr>
        <w:shd w:val="clear" w:color="auto" w:fill="auto"/>
        <w:spacing w:line="200" w:lineRule="exact"/>
        <w:rPr>
          <w:rFonts w:hint="eastAsia" w:ascii="宋体" w:hAnsi="宋体" w:cs="宋体"/>
          <w:color w:val="auto"/>
          <w:sz w:val="24"/>
          <w:szCs w:val="24"/>
          <w:highlight w:val="none"/>
        </w:rPr>
      </w:pPr>
    </w:p>
    <w:p w14:paraId="5077E01F">
      <w:pPr>
        <w:shd w:val="clear" w:color="auto" w:fill="auto"/>
        <w:spacing w:line="346" w:lineRule="exact"/>
        <w:rPr>
          <w:rFonts w:hint="eastAsia" w:ascii="宋体" w:hAnsi="宋体" w:cs="宋体"/>
          <w:color w:val="auto"/>
          <w:sz w:val="24"/>
          <w:szCs w:val="24"/>
          <w:highlight w:val="none"/>
        </w:rPr>
      </w:pPr>
    </w:p>
    <w:p w14:paraId="218D2932">
      <w:pPr>
        <w:shd w:val="clear" w:color="auto" w:fill="auto"/>
        <w:spacing w:line="239" w:lineRule="auto"/>
        <w:ind w:left="4100"/>
        <w:rPr>
          <w:rFonts w:hint="eastAsia" w:ascii="宋体" w:hAnsi="宋体" w:cs="宋体"/>
          <w:b/>
          <w:color w:val="auto"/>
          <w:sz w:val="24"/>
          <w:szCs w:val="24"/>
          <w:highlight w:val="none"/>
        </w:rPr>
      </w:pPr>
      <w:r>
        <w:rPr>
          <w:rFonts w:hint="eastAsia" w:ascii="宋体" w:hAnsi="宋体" w:cs="宋体"/>
          <w:b/>
          <w:color w:val="auto"/>
          <w:sz w:val="24"/>
          <w:szCs w:val="24"/>
          <w:highlight w:val="none"/>
        </w:rPr>
        <w:t>承诺函</w:t>
      </w:r>
    </w:p>
    <w:p w14:paraId="66478297">
      <w:pPr>
        <w:shd w:val="clear" w:color="auto" w:fill="auto"/>
        <w:spacing w:line="264" w:lineRule="exact"/>
        <w:rPr>
          <w:rFonts w:hint="eastAsia" w:ascii="宋体" w:hAnsi="宋体" w:cs="宋体"/>
          <w:color w:val="auto"/>
          <w:sz w:val="24"/>
          <w:szCs w:val="24"/>
          <w:highlight w:val="none"/>
        </w:rPr>
      </w:pPr>
    </w:p>
    <w:p w14:paraId="65CBAB09">
      <w:pPr>
        <w:shd w:val="clear" w:color="auto" w:fill="auto"/>
        <w:spacing w:line="239"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（采购人）：</w:t>
      </w:r>
    </w:p>
    <w:p w14:paraId="2266640C">
      <w:pPr>
        <w:shd w:val="clear" w:color="auto" w:fill="auto"/>
        <w:spacing w:line="183" w:lineRule="exact"/>
        <w:rPr>
          <w:rFonts w:hint="eastAsia" w:ascii="宋体" w:hAnsi="宋体" w:cs="宋体"/>
          <w:color w:val="auto"/>
          <w:sz w:val="24"/>
          <w:szCs w:val="24"/>
          <w:highlight w:val="none"/>
        </w:rPr>
      </w:pPr>
    </w:p>
    <w:p w14:paraId="59FAA876">
      <w:pPr>
        <w:shd w:val="clear" w:color="auto" w:fill="auto"/>
        <w:spacing w:line="0" w:lineRule="atLeas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（供应商）</w:t>
      </w:r>
      <w:r>
        <w:rPr>
          <w:rFonts w:hint="eastAsia" w:ascii="宋体" w:hAnsi="宋体" w:cs="宋体"/>
          <w:color w:val="auto"/>
          <w:sz w:val="24"/>
          <w:szCs w:val="24"/>
          <w:highlight w:val="none"/>
        </w:rPr>
        <w:t>在参加政府采购活动前三年内，具有良好的商业信誉，依法缴纳税收和社会保障</w:t>
      </w:r>
    </w:p>
    <w:p w14:paraId="3BA5CCD1">
      <w:pPr>
        <w:shd w:val="clear" w:color="auto" w:fill="auto"/>
        <w:spacing w:line="180" w:lineRule="exact"/>
        <w:rPr>
          <w:rFonts w:hint="eastAsia" w:ascii="宋体" w:hAnsi="宋体" w:cs="宋体"/>
          <w:color w:val="auto"/>
          <w:sz w:val="24"/>
          <w:szCs w:val="24"/>
          <w:highlight w:val="none"/>
        </w:rPr>
      </w:pPr>
    </w:p>
    <w:p w14:paraId="585C17F3">
      <w:pPr>
        <w:shd w:val="clear" w:color="auto" w:fill="auto"/>
        <w:spacing w:line="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资金，未被列入失信被执行人名单、重大税收违法案件当事人名单、政府采购严重违法失信行为记录</w:t>
      </w:r>
    </w:p>
    <w:p w14:paraId="4048D78C">
      <w:pPr>
        <w:shd w:val="clear" w:color="auto" w:fill="auto"/>
        <w:spacing w:line="180" w:lineRule="exact"/>
        <w:rPr>
          <w:rFonts w:hint="eastAsia" w:ascii="宋体" w:hAnsi="宋体" w:cs="宋体"/>
          <w:color w:val="auto"/>
          <w:sz w:val="24"/>
          <w:szCs w:val="24"/>
          <w:highlight w:val="none"/>
        </w:rPr>
      </w:pPr>
    </w:p>
    <w:p w14:paraId="264F2D8D">
      <w:pPr>
        <w:shd w:val="clear" w:color="auto" w:fill="auto"/>
        <w:spacing w:line="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名单，在经营活动中没有重大违法记录（没有因违法经营受到刑事处罚，没有被责令停产停业、被吊</w:t>
      </w:r>
    </w:p>
    <w:p w14:paraId="3017D87F">
      <w:pPr>
        <w:shd w:val="clear" w:color="auto" w:fill="auto"/>
        <w:spacing w:line="180" w:lineRule="exact"/>
        <w:rPr>
          <w:rFonts w:hint="eastAsia" w:ascii="宋体" w:hAnsi="宋体" w:cs="宋体"/>
          <w:color w:val="auto"/>
          <w:sz w:val="24"/>
          <w:szCs w:val="24"/>
          <w:highlight w:val="none"/>
        </w:rPr>
      </w:pPr>
    </w:p>
    <w:p w14:paraId="11029B94">
      <w:pPr>
        <w:shd w:val="clear" w:color="auto" w:fill="auto"/>
        <w:spacing w:line="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销许可证或者执照、被处以较大数额罚款等行政处罚，没有因违法经营被禁止参加政府采购活动的期</w:t>
      </w:r>
    </w:p>
    <w:p w14:paraId="6AC49365">
      <w:pPr>
        <w:shd w:val="clear" w:color="auto" w:fill="auto"/>
        <w:spacing w:line="172" w:lineRule="exact"/>
        <w:rPr>
          <w:rFonts w:hint="eastAsia" w:ascii="宋体" w:hAnsi="宋体" w:cs="宋体"/>
          <w:color w:val="auto"/>
          <w:sz w:val="24"/>
          <w:szCs w:val="24"/>
          <w:highlight w:val="none"/>
        </w:rPr>
      </w:pPr>
    </w:p>
    <w:p w14:paraId="35A08E1C">
      <w:pPr>
        <w:shd w:val="clear" w:color="auto" w:fill="auto"/>
        <w:spacing w:line="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限未满情形）。如有虚假，采购人可取消我方任何资格（投标/中标/签订合同），我方对此无任何异</w:t>
      </w:r>
    </w:p>
    <w:p w14:paraId="3C94EA36">
      <w:pPr>
        <w:shd w:val="clear" w:color="auto" w:fill="auto"/>
        <w:spacing w:line="151" w:lineRule="exact"/>
        <w:rPr>
          <w:rFonts w:hint="eastAsia" w:ascii="宋体" w:hAnsi="宋体" w:cs="宋体"/>
          <w:color w:val="auto"/>
          <w:sz w:val="24"/>
          <w:szCs w:val="24"/>
          <w:highlight w:val="none"/>
        </w:rPr>
      </w:pPr>
    </w:p>
    <w:p w14:paraId="1958CA0D">
      <w:pPr>
        <w:shd w:val="clear" w:color="auto" w:fill="auto"/>
        <w:spacing w:line="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议。</w:t>
      </w:r>
    </w:p>
    <w:p w14:paraId="21441FC0">
      <w:pPr>
        <w:shd w:val="clear" w:color="auto" w:fill="auto"/>
        <w:spacing w:line="168" w:lineRule="exact"/>
        <w:rPr>
          <w:rFonts w:hint="eastAsia" w:ascii="宋体" w:hAnsi="宋体" w:cs="宋体"/>
          <w:color w:val="auto"/>
          <w:sz w:val="24"/>
          <w:szCs w:val="24"/>
          <w:highlight w:val="none"/>
        </w:rPr>
      </w:pPr>
    </w:p>
    <w:p w14:paraId="7CCF832F">
      <w:pPr>
        <w:shd w:val="clear" w:color="auto" w:fill="auto"/>
        <w:spacing w:line="239"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7CF01BA6">
      <w:pPr>
        <w:shd w:val="clear" w:color="auto" w:fill="auto"/>
        <w:spacing w:line="200" w:lineRule="exact"/>
        <w:rPr>
          <w:rFonts w:hint="eastAsia" w:ascii="宋体" w:hAnsi="宋体" w:cs="宋体"/>
          <w:color w:val="auto"/>
          <w:sz w:val="24"/>
          <w:szCs w:val="24"/>
          <w:highlight w:val="none"/>
        </w:rPr>
      </w:pPr>
    </w:p>
    <w:p w14:paraId="21FA45AA">
      <w:pPr>
        <w:shd w:val="clear" w:color="auto" w:fill="auto"/>
        <w:spacing w:line="332" w:lineRule="exact"/>
        <w:rPr>
          <w:rFonts w:hint="eastAsia" w:ascii="宋体" w:hAnsi="宋体" w:cs="宋体"/>
          <w:color w:val="auto"/>
          <w:sz w:val="24"/>
          <w:szCs w:val="24"/>
          <w:highlight w:val="none"/>
        </w:rPr>
      </w:pPr>
    </w:p>
    <w:p w14:paraId="2BAB0F47">
      <w:pPr>
        <w:pStyle w:val="49"/>
        <w:shd w:val="clear" w:color="auto" w:fill="auto"/>
        <w:spacing w:line="360" w:lineRule="auto"/>
        <w:ind w:firstLine="480"/>
        <w:jc w:val="center"/>
        <w:rPr>
          <w:rFonts w:hAnsi="宋体" w:cs="宋体"/>
          <w:color w:val="auto"/>
          <w:sz w:val="24"/>
          <w:szCs w:val="24"/>
          <w:highlight w:val="none"/>
        </w:rPr>
      </w:pPr>
      <w:r>
        <w:rPr>
          <w:rFonts w:hAnsi="宋体" w:cs="宋体"/>
          <w:color w:val="auto"/>
          <w:sz w:val="24"/>
          <w:szCs w:val="24"/>
          <w:highlight w:val="none"/>
        </w:rPr>
        <w:t>投标人：（公章）</w:t>
      </w:r>
    </w:p>
    <w:p w14:paraId="2E9C5D82">
      <w:pPr>
        <w:pStyle w:val="49"/>
        <w:shd w:val="clear" w:color="auto" w:fill="auto"/>
        <w:spacing w:line="360" w:lineRule="auto"/>
        <w:ind w:firstLine="480"/>
        <w:jc w:val="center"/>
        <w:rPr>
          <w:rFonts w:hAnsi="宋体" w:cs="宋体"/>
          <w:color w:val="auto"/>
          <w:sz w:val="24"/>
          <w:szCs w:val="24"/>
          <w:highlight w:val="none"/>
        </w:rPr>
      </w:pPr>
      <w:r>
        <w:rPr>
          <w:rFonts w:hAnsi="宋体" w:cs="宋体"/>
          <w:color w:val="auto"/>
          <w:sz w:val="24"/>
          <w:szCs w:val="24"/>
          <w:highlight w:val="none"/>
        </w:rPr>
        <w:t xml:space="preserve">                    法定代表人或被授权人：（签字或盖章）</w:t>
      </w:r>
    </w:p>
    <w:p w14:paraId="4308EC6A">
      <w:pPr>
        <w:shd w:val="clear" w:color="auto" w:fill="auto"/>
        <w:spacing w:line="360" w:lineRule="auto"/>
        <w:jc w:val="left"/>
        <w:outlineLvl w:val="0"/>
        <w:rPr>
          <w:rFonts w:hAnsi="宋体" w:cs="宋体"/>
          <w:color w:val="auto"/>
          <w:sz w:val="24"/>
          <w:szCs w:val="24"/>
          <w:highlight w:val="none"/>
        </w:rPr>
      </w:pPr>
      <w:r>
        <w:rPr>
          <w:rFonts w:hAnsi="宋体" w:cs="宋体"/>
          <w:color w:val="auto"/>
          <w:sz w:val="24"/>
          <w:szCs w:val="24"/>
          <w:highlight w:val="none"/>
        </w:rPr>
        <w:t xml:space="preserve">                 年   月   日</w:t>
      </w:r>
      <w:bookmarkStart w:id="133" w:name="_Toc1643974717"/>
    </w:p>
    <w:p w14:paraId="500ECBE3">
      <w:pPr>
        <w:shd w:val="clear" w:color="auto" w:fill="auto"/>
        <w:spacing w:line="360" w:lineRule="auto"/>
        <w:jc w:val="left"/>
        <w:outlineLvl w:val="0"/>
        <w:rPr>
          <w:rFonts w:hAnsi="宋体" w:cs="宋体"/>
          <w:color w:val="auto"/>
          <w:sz w:val="24"/>
          <w:szCs w:val="24"/>
          <w:highlight w:val="none"/>
        </w:rPr>
      </w:pPr>
    </w:p>
    <w:p w14:paraId="666D9C59">
      <w:pPr>
        <w:shd w:val="clear" w:color="auto" w:fill="auto"/>
        <w:spacing w:line="360" w:lineRule="auto"/>
        <w:jc w:val="left"/>
        <w:outlineLvl w:val="0"/>
        <w:rPr>
          <w:rFonts w:hAnsi="宋体" w:cs="宋体"/>
          <w:color w:val="auto"/>
          <w:sz w:val="24"/>
          <w:szCs w:val="24"/>
          <w:highlight w:val="none"/>
        </w:rPr>
      </w:pPr>
    </w:p>
    <w:p w14:paraId="2075C6DE">
      <w:pPr>
        <w:shd w:val="clear" w:color="auto" w:fill="auto"/>
        <w:spacing w:line="360" w:lineRule="auto"/>
        <w:jc w:val="left"/>
        <w:outlineLvl w:val="0"/>
        <w:rPr>
          <w:rFonts w:hAnsi="宋体" w:cs="宋体"/>
          <w:color w:val="auto"/>
          <w:sz w:val="24"/>
          <w:szCs w:val="24"/>
          <w:highlight w:val="none"/>
        </w:rPr>
      </w:pPr>
    </w:p>
    <w:p w14:paraId="7FC33E8D">
      <w:pPr>
        <w:shd w:val="clear" w:color="auto" w:fill="auto"/>
        <w:spacing w:line="360" w:lineRule="auto"/>
        <w:jc w:val="left"/>
        <w:outlineLvl w:val="0"/>
        <w:rPr>
          <w:rFonts w:hAnsi="宋体" w:cs="宋体"/>
          <w:color w:val="auto"/>
          <w:sz w:val="24"/>
          <w:szCs w:val="24"/>
          <w:highlight w:val="none"/>
        </w:rPr>
      </w:pPr>
    </w:p>
    <w:p w14:paraId="2059AF38">
      <w:pPr>
        <w:shd w:val="clear" w:color="auto" w:fill="auto"/>
        <w:spacing w:line="360" w:lineRule="auto"/>
        <w:jc w:val="left"/>
        <w:outlineLvl w:val="0"/>
        <w:rPr>
          <w:rFonts w:hAnsi="宋体" w:cs="宋体"/>
          <w:color w:val="auto"/>
          <w:sz w:val="24"/>
          <w:szCs w:val="24"/>
          <w:highlight w:val="none"/>
        </w:rPr>
      </w:pPr>
    </w:p>
    <w:p w14:paraId="2DF2FFEC">
      <w:pPr>
        <w:shd w:val="clear" w:color="auto" w:fill="auto"/>
        <w:spacing w:line="360" w:lineRule="auto"/>
        <w:jc w:val="left"/>
        <w:outlineLvl w:val="0"/>
        <w:rPr>
          <w:rFonts w:hAnsi="宋体" w:cs="宋体"/>
          <w:color w:val="auto"/>
          <w:sz w:val="24"/>
          <w:szCs w:val="24"/>
          <w:highlight w:val="none"/>
        </w:rPr>
      </w:pPr>
    </w:p>
    <w:p w14:paraId="559D446D">
      <w:pPr>
        <w:shd w:val="clear" w:color="auto" w:fill="auto"/>
        <w:spacing w:line="360" w:lineRule="auto"/>
        <w:jc w:val="left"/>
        <w:outlineLvl w:val="0"/>
        <w:rPr>
          <w:rFonts w:hAnsi="宋体" w:cs="宋体"/>
          <w:color w:val="auto"/>
          <w:sz w:val="24"/>
          <w:szCs w:val="24"/>
          <w:highlight w:val="none"/>
        </w:rPr>
      </w:pPr>
    </w:p>
    <w:p w14:paraId="28459D35">
      <w:pPr>
        <w:shd w:val="clear" w:color="auto" w:fill="auto"/>
        <w:spacing w:line="360" w:lineRule="auto"/>
        <w:jc w:val="left"/>
        <w:outlineLvl w:val="0"/>
        <w:rPr>
          <w:rFonts w:hAnsi="宋体" w:cs="宋体"/>
          <w:color w:val="auto"/>
          <w:sz w:val="24"/>
          <w:szCs w:val="24"/>
          <w:highlight w:val="none"/>
        </w:rPr>
      </w:pPr>
    </w:p>
    <w:bookmarkEnd w:id="133"/>
    <w:p w14:paraId="01641256">
      <w:pPr>
        <w:shd w:val="clear" w:color="auto" w:fill="auto"/>
        <w:spacing w:line="360" w:lineRule="auto"/>
        <w:jc w:val="left"/>
        <w:outlineLvl w:val="0"/>
        <w:rPr>
          <w:rFonts w:hint="eastAsia" w:ascii="宋体" w:hAnsi="宋体"/>
          <w:bCs/>
          <w:color w:val="auto"/>
          <w:sz w:val="24"/>
          <w:szCs w:val="24"/>
          <w:highlight w:val="none"/>
        </w:rPr>
      </w:pPr>
    </w:p>
    <w:p w14:paraId="7228F3D4">
      <w:pPr>
        <w:shd w:val="clear" w:color="auto" w:fill="auto"/>
        <w:spacing w:line="360" w:lineRule="auto"/>
        <w:jc w:val="left"/>
        <w:rPr>
          <w:rFonts w:hint="eastAsia" w:ascii="宋体" w:hAnsi="宋体"/>
          <w:bCs/>
          <w:color w:val="auto"/>
          <w:sz w:val="24"/>
          <w:szCs w:val="24"/>
          <w:highlight w:val="none"/>
        </w:rPr>
      </w:pPr>
    </w:p>
    <w:p w14:paraId="103DF45C">
      <w:pPr>
        <w:widowControl/>
        <w:shd w:val="clear" w:color="auto" w:fill="auto"/>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bidi="ar"/>
        </w:rPr>
        <w:t>中小企业声明函（</w:t>
      </w:r>
      <w:r>
        <w:rPr>
          <w:rFonts w:hint="eastAsia" w:ascii="宋体" w:hAnsi="宋体" w:cs="宋体"/>
          <w:b/>
          <w:bCs/>
          <w:color w:val="auto"/>
          <w:kern w:val="0"/>
          <w:sz w:val="24"/>
          <w:szCs w:val="24"/>
          <w:highlight w:val="none"/>
          <w:lang w:val="en-US" w:eastAsia="zh-CN" w:bidi="ar"/>
        </w:rPr>
        <w:t>货物</w:t>
      </w:r>
      <w:r>
        <w:rPr>
          <w:rFonts w:hint="eastAsia" w:ascii="宋体" w:hAnsi="宋体" w:cs="宋体"/>
          <w:b/>
          <w:bCs/>
          <w:color w:val="auto"/>
          <w:kern w:val="0"/>
          <w:sz w:val="24"/>
          <w:szCs w:val="24"/>
          <w:highlight w:val="none"/>
          <w:lang w:bidi="ar"/>
        </w:rPr>
        <w:t>）</w:t>
      </w:r>
    </w:p>
    <w:p w14:paraId="286C62E4">
      <w:pPr>
        <w:shd w:val="clear" w:color="auto" w:fill="auto"/>
        <w:ind w:firstLine="480" w:firstLineChars="200"/>
        <w:rPr>
          <w:rFonts w:hint="eastAsia" w:ascii="宋体" w:hAnsi="宋体" w:cs="宋体"/>
          <w:color w:val="auto"/>
          <w:kern w:val="0"/>
          <w:sz w:val="24"/>
          <w:szCs w:val="24"/>
          <w:highlight w:val="none"/>
          <w:lang w:bidi="ar"/>
        </w:rPr>
      </w:pPr>
    </w:p>
    <w:p w14:paraId="50C12A3D">
      <w:pP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本公司郑重声明，根据《政府采购促进中小企业发展管理办法》（财库﹝2020﹞46 号）的规定，本公司参加</w:t>
      </w:r>
      <w:r>
        <w:rPr>
          <w:rFonts w:hint="eastAsia" w:ascii="宋体" w:hAnsi="宋体"/>
          <w:bCs/>
          <w:color w:val="auto"/>
          <w:sz w:val="24"/>
          <w:szCs w:val="24"/>
          <w:highlight w:val="none"/>
          <w:u w:val="single"/>
        </w:rPr>
        <w:t>（单位名称）</w:t>
      </w:r>
      <w:r>
        <w:rPr>
          <w:rFonts w:hint="eastAsia" w:ascii="宋体" w:hAnsi="宋体"/>
          <w:bCs/>
          <w:color w:val="auto"/>
          <w:sz w:val="24"/>
          <w:szCs w:val="24"/>
          <w:highlight w:val="none"/>
        </w:rPr>
        <w:t>的</w:t>
      </w:r>
      <w:r>
        <w:rPr>
          <w:rFonts w:hint="eastAsia" w:ascii="宋体" w:hAnsi="宋体"/>
          <w:bCs/>
          <w:color w:val="auto"/>
          <w:sz w:val="24"/>
          <w:szCs w:val="24"/>
          <w:highlight w:val="none"/>
          <w:u w:val="single"/>
        </w:rPr>
        <w:t>（项目名称）</w:t>
      </w:r>
      <w:r>
        <w:rPr>
          <w:rFonts w:hint="eastAsia" w:ascii="宋体" w:hAnsi="宋体"/>
          <w:bCs/>
          <w:color w:val="auto"/>
          <w:sz w:val="24"/>
          <w:szCs w:val="24"/>
          <w:highlight w:val="none"/>
        </w:rPr>
        <w:t xml:space="preserve">采购活动，提供的货物全部由符合政策要求的中小企业制造。相关企业的具体情况如下： </w:t>
      </w:r>
    </w:p>
    <w:p w14:paraId="31B21CA9">
      <w:pP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CDSS+病案首页</w:t>
      </w:r>
      <w:r>
        <w:rPr>
          <w:rFonts w:hint="eastAsia" w:ascii="宋体" w:hAnsi="宋体"/>
          <w:bCs/>
          <w:color w:val="auto"/>
          <w:sz w:val="24"/>
          <w:szCs w:val="24"/>
          <w:highlight w:val="none"/>
          <w:lang w:eastAsia="zh-CN"/>
        </w:rPr>
        <w:t>质控</w:t>
      </w:r>
      <w:r>
        <w:rPr>
          <w:rFonts w:hint="eastAsia" w:ascii="宋体" w:hAnsi="宋体"/>
          <w:bCs/>
          <w:color w:val="auto"/>
          <w:sz w:val="24"/>
          <w:szCs w:val="24"/>
          <w:highlight w:val="none"/>
        </w:rPr>
        <w:t>，属于；制造商为软件和信息技术服务业，从业人员</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人，营业收入为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万元，资产总额为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w:t>
      </w:r>
      <w:r>
        <w:rPr>
          <w:rStyle w:val="32"/>
          <w:rFonts w:hint="eastAsia" w:ascii="宋体" w:hAnsi="宋体"/>
          <w:bCs/>
          <w:color w:val="auto"/>
          <w:sz w:val="24"/>
          <w:szCs w:val="24"/>
          <w:highlight w:val="none"/>
        </w:rPr>
        <w:footnoteReference w:id="0"/>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（中型企业、小型企业、微型企业）</w:t>
      </w:r>
      <w:r>
        <w:rPr>
          <w:rFonts w:hint="eastAsia" w:ascii="宋体" w:hAnsi="宋体"/>
          <w:bCs/>
          <w:color w:val="auto"/>
          <w:sz w:val="24"/>
          <w:szCs w:val="24"/>
          <w:highlight w:val="none"/>
        </w:rPr>
        <w:t>；</w:t>
      </w:r>
    </w:p>
    <w:p w14:paraId="5554B5A9">
      <w:pP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u w:val="single"/>
        </w:rPr>
        <w:t>（标的名称）</w:t>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w:t>
      </w:r>
      <w:r>
        <w:rPr>
          <w:rFonts w:hint="eastAsia" w:ascii="宋体" w:hAnsi="宋体"/>
          <w:bCs/>
          <w:color w:val="auto"/>
          <w:sz w:val="24"/>
          <w:szCs w:val="24"/>
          <w:highlight w:val="none"/>
          <w:u w:val="single"/>
          <w:lang w:val="en-US" w:eastAsia="zh-CN"/>
        </w:rPr>
        <w:t>其他未列明行业</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；制造商为</w:t>
      </w:r>
      <w:r>
        <w:rPr>
          <w:rFonts w:hint="eastAsia" w:ascii="宋体" w:hAnsi="宋体"/>
          <w:bCs/>
          <w:color w:val="auto"/>
          <w:sz w:val="24"/>
          <w:szCs w:val="24"/>
          <w:highlight w:val="none"/>
          <w:u w:val="single"/>
        </w:rPr>
        <w:t>（企业名称）</w:t>
      </w:r>
      <w:r>
        <w:rPr>
          <w:rFonts w:hint="eastAsia" w:ascii="宋体" w:hAnsi="宋体"/>
          <w:bCs/>
          <w:color w:val="auto"/>
          <w:sz w:val="24"/>
          <w:szCs w:val="24"/>
          <w:highlight w:val="none"/>
        </w:rPr>
        <w:t>，从业人员</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人，营业收入为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万元，资产总额为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万元，属于</w:t>
      </w:r>
      <w:r>
        <w:rPr>
          <w:rFonts w:hint="eastAsia" w:ascii="宋体" w:hAnsi="宋体"/>
          <w:bCs/>
          <w:color w:val="auto"/>
          <w:sz w:val="24"/>
          <w:szCs w:val="24"/>
          <w:highlight w:val="none"/>
          <w:u w:val="single"/>
        </w:rPr>
        <w:t>（中型企业、小型企业、微型企业）</w:t>
      </w:r>
      <w:r>
        <w:rPr>
          <w:rFonts w:hint="eastAsia" w:ascii="宋体" w:hAnsi="宋体"/>
          <w:bCs/>
          <w:color w:val="auto"/>
          <w:sz w:val="24"/>
          <w:szCs w:val="24"/>
          <w:highlight w:val="none"/>
        </w:rPr>
        <w:t>；</w:t>
      </w:r>
    </w:p>
    <w:p w14:paraId="0A55AC51">
      <w:pP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w:t>
      </w:r>
    </w:p>
    <w:p w14:paraId="0C5788F5">
      <w:pP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以上企业，不属于大企业的分支机构，不存在控股股东为大企业的情形，也不存在与大企业的负责人为同一人的情形。</w:t>
      </w:r>
    </w:p>
    <w:p w14:paraId="0A9426DB">
      <w:pP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本企业对上述声明内容的真实性负责。如有虚假，将依法承担相应责任。 </w:t>
      </w:r>
    </w:p>
    <w:p w14:paraId="00411B22">
      <w:pPr>
        <w:spacing w:line="360" w:lineRule="auto"/>
        <w:jc w:val="left"/>
        <w:rPr>
          <w:rFonts w:hint="eastAsia" w:ascii="宋体" w:hAnsi="宋体"/>
          <w:bCs/>
          <w:color w:val="auto"/>
          <w:sz w:val="24"/>
          <w:szCs w:val="24"/>
          <w:highlight w:val="none"/>
        </w:rPr>
      </w:pPr>
    </w:p>
    <w:p w14:paraId="2150BF6C">
      <w:pPr>
        <w:spacing w:line="360" w:lineRule="auto"/>
        <w:ind w:firstLine="4800" w:firstLineChars="2000"/>
        <w:jc w:val="left"/>
        <w:rPr>
          <w:rFonts w:hint="eastAsia" w:ascii="宋体" w:hAnsi="宋体"/>
          <w:bCs/>
          <w:color w:val="auto"/>
          <w:sz w:val="24"/>
          <w:szCs w:val="24"/>
          <w:highlight w:val="none"/>
        </w:rPr>
      </w:pPr>
      <w:r>
        <w:rPr>
          <w:rFonts w:hint="eastAsia" w:ascii="宋体" w:hAnsi="宋体"/>
          <w:bCs/>
          <w:color w:val="auto"/>
          <w:sz w:val="24"/>
          <w:szCs w:val="24"/>
          <w:highlight w:val="none"/>
        </w:rPr>
        <w:t>企业名称（盖章）：</w:t>
      </w:r>
    </w:p>
    <w:p w14:paraId="411F0929">
      <w:pPr>
        <w:spacing w:line="360" w:lineRule="auto"/>
        <w:ind w:firstLine="4800" w:firstLineChars="2000"/>
        <w:jc w:val="left"/>
        <w:rPr>
          <w:rFonts w:hint="eastAsia" w:ascii="宋体" w:hAnsi="宋体"/>
          <w:bCs/>
          <w:color w:val="auto"/>
          <w:sz w:val="24"/>
          <w:szCs w:val="24"/>
          <w:highlight w:val="none"/>
        </w:rPr>
      </w:pPr>
      <w:r>
        <w:rPr>
          <w:rFonts w:hint="eastAsia" w:ascii="宋体" w:hAnsi="宋体"/>
          <w:bCs/>
          <w:color w:val="auto"/>
          <w:sz w:val="24"/>
          <w:szCs w:val="24"/>
          <w:highlight w:val="none"/>
        </w:rPr>
        <w:t>日    期：</w:t>
      </w:r>
    </w:p>
    <w:p w14:paraId="5FE63CA1">
      <w:pPr>
        <w:rPr>
          <w:color w:val="auto"/>
          <w:highlight w:val="none"/>
        </w:rPr>
      </w:pPr>
    </w:p>
    <w:p w14:paraId="4D1B0ADE">
      <w:pPr>
        <w:shd w:val="clear" w:color="auto" w:fill="auto"/>
        <w:spacing w:line="360" w:lineRule="auto"/>
        <w:ind w:firstLine="480" w:firstLineChars="200"/>
        <w:jc w:val="left"/>
        <w:rPr>
          <w:rFonts w:hint="eastAsia" w:ascii="宋体" w:hAnsi="宋体" w:cs="宋体"/>
          <w:bCs/>
          <w:color w:val="auto"/>
          <w:sz w:val="24"/>
          <w:szCs w:val="24"/>
          <w:highlight w:val="none"/>
        </w:rPr>
      </w:pPr>
    </w:p>
    <w:p w14:paraId="12C769B1">
      <w:pPr>
        <w:shd w:val="clear" w:color="auto" w:fill="auto"/>
        <w:spacing w:line="360" w:lineRule="auto"/>
        <w:ind w:firstLine="480" w:firstLineChars="200"/>
        <w:jc w:val="left"/>
        <w:rPr>
          <w:rFonts w:hint="eastAsia" w:ascii="宋体" w:hAnsi="宋体" w:cs="宋体"/>
          <w:bCs/>
          <w:color w:val="auto"/>
          <w:sz w:val="24"/>
          <w:szCs w:val="24"/>
          <w:highlight w:val="none"/>
        </w:rPr>
      </w:pPr>
    </w:p>
    <w:p w14:paraId="286E043F">
      <w:pPr>
        <w:shd w:val="clear" w:color="auto" w:fill="auto"/>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注：供应商提供声明函内容不实的，属于提供虚假材料谋取中标、成交，依照《中华人民共和国政府采购法》等国家有关规定追究相应责任。</w:t>
      </w:r>
    </w:p>
    <w:p w14:paraId="079F2FC1">
      <w:pPr>
        <w:pStyle w:val="49"/>
        <w:shd w:val="clear" w:color="auto" w:fill="auto"/>
        <w:spacing w:line="360" w:lineRule="auto"/>
        <w:ind w:firstLine="480"/>
        <w:jc w:val="center"/>
        <w:rPr>
          <w:rFonts w:hAnsi="宋体" w:cs="宋体"/>
          <w:color w:val="auto"/>
          <w:highlight w:val="none"/>
        </w:rPr>
        <w:sectPr>
          <w:headerReference r:id="rId9" w:type="default"/>
          <w:footerReference r:id="rId10" w:type="default"/>
          <w:footerReference r:id="rId11" w:type="even"/>
          <w:pgSz w:w="11906" w:h="16838"/>
          <w:pgMar w:top="1440" w:right="1800" w:bottom="1440" w:left="1800" w:header="567" w:footer="454" w:gutter="0"/>
          <w:cols w:space="720" w:num="1"/>
          <w:docGrid w:linePitch="286" w:charSpace="0"/>
        </w:sectPr>
      </w:pPr>
      <w:r>
        <w:rPr>
          <w:rFonts w:hAnsi="宋体" w:cs="宋体"/>
          <w:b/>
          <w:bCs/>
          <w:color w:val="auto"/>
          <w:sz w:val="28"/>
          <w:szCs w:val="28"/>
          <w:highlight w:val="none"/>
        </w:rPr>
        <w:br w:type="page"/>
      </w:r>
    </w:p>
    <w:p w14:paraId="32A1D08D">
      <w:pPr>
        <w:widowControl/>
        <w:shd w:val="clear" w:color="auto" w:fill="auto"/>
        <w:jc w:val="left"/>
        <w:outlineLvl w:val="0"/>
        <w:rPr>
          <w:rFonts w:hint="eastAsia" w:ascii="宋体" w:hAnsi="宋体" w:cs="宋体"/>
          <w:b/>
          <w:bCs/>
          <w:color w:val="auto"/>
          <w:sz w:val="30"/>
          <w:szCs w:val="30"/>
          <w:highlight w:val="none"/>
        </w:rPr>
      </w:pPr>
      <w:bookmarkStart w:id="134" w:name="_Toc144117952"/>
      <w:bookmarkStart w:id="135" w:name="_Toc31453"/>
      <w:bookmarkStart w:id="136" w:name="_Toc15090"/>
      <w:bookmarkStart w:id="137" w:name="_Toc31099"/>
      <w:bookmarkStart w:id="138" w:name="_Toc8242"/>
      <w:bookmarkStart w:id="139" w:name="_Toc24192"/>
      <w:r>
        <w:rPr>
          <w:rFonts w:hint="eastAsia" w:ascii="宋体" w:hAnsi="宋体" w:cs="宋体"/>
          <w:b/>
          <w:bCs/>
          <w:color w:val="auto"/>
          <w:sz w:val="28"/>
          <w:szCs w:val="28"/>
          <w:highlight w:val="none"/>
        </w:rPr>
        <w:t>附件2：</w:t>
      </w:r>
      <w:bookmarkEnd w:id="134"/>
      <w:bookmarkEnd w:id="135"/>
      <w:bookmarkEnd w:id="136"/>
      <w:bookmarkEnd w:id="137"/>
      <w:bookmarkEnd w:id="138"/>
      <w:bookmarkEnd w:id="139"/>
    </w:p>
    <w:p w14:paraId="4A587856">
      <w:pPr>
        <w:shd w:val="clear" w:color="auto" w:fill="auto"/>
        <w:wordWrap w:val="0"/>
        <w:snapToGrid w:val="0"/>
        <w:spacing w:before="159" w:beforeLines="50" w:after="50" w:line="360" w:lineRule="auto"/>
        <w:jc w:val="right"/>
        <w:rPr>
          <w:rFonts w:hint="eastAsia" w:ascii="宋体" w:hAnsi="宋体" w:cs="宋体"/>
          <w:color w:val="auto"/>
          <w:sz w:val="30"/>
          <w:szCs w:val="30"/>
          <w:highlight w:val="none"/>
        </w:rPr>
      </w:pPr>
      <w:r>
        <w:rPr>
          <w:rFonts w:hint="eastAsia" w:ascii="宋体" w:hAnsi="宋体" w:cs="宋体"/>
          <w:color w:val="auto"/>
          <w:sz w:val="24"/>
          <w:szCs w:val="24"/>
          <w:highlight w:val="none"/>
        </w:rPr>
        <w:t>正本（或副本）</w:t>
      </w:r>
    </w:p>
    <w:p w14:paraId="0CAF0FCE">
      <w:pPr>
        <w:shd w:val="clear" w:color="auto" w:fill="auto"/>
        <w:spacing w:before="319" w:beforeLines="100" w:line="360" w:lineRule="auto"/>
        <w:ind w:right="-108"/>
        <w:rPr>
          <w:rFonts w:hint="eastAsia" w:ascii="宋体" w:hAnsi="宋体" w:cs="宋体"/>
          <w:color w:val="auto"/>
          <w:sz w:val="36"/>
          <w:szCs w:val="36"/>
          <w:highlight w:val="none"/>
        </w:rPr>
      </w:pPr>
      <w:r>
        <w:rPr>
          <w:rFonts w:hint="eastAsia" w:ascii="宋体" w:hAnsi="宋体" w:cs="宋体"/>
          <w:color w:val="auto"/>
          <w:sz w:val="36"/>
          <w:szCs w:val="36"/>
          <w:highlight w:val="none"/>
        </w:rPr>
        <w:t>项目名称</w:t>
      </w:r>
    </w:p>
    <w:p w14:paraId="71AA73FC">
      <w:pPr>
        <w:shd w:val="clear" w:color="auto" w:fill="auto"/>
        <w:spacing w:before="319" w:beforeLines="100" w:line="360" w:lineRule="auto"/>
        <w:ind w:right="-108"/>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5F5A6C4">
      <w:pPr>
        <w:shd w:val="clear" w:color="auto" w:fill="auto"/>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41DD875">
      <w:pPr>
        <w:shd w:val="clear" w:color="auto" w:fill="auto"/>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1749F33">
      <w:pPr>
        <w:shd w:val="clear" w:color="auto" w:fill="auto"/>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071E7AC3">
      <w:pPr>
        <w:shd w:val="clear" w:color="auto" w:fill="auto"/>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425EA28">
      <w:pPr>
        <w:shd w:val="clear" w:color="auto" w:fill="auto"/>
        <w:spacing w:after="100" w:afterAutospacing="1" w:line="360" w:lineRule="auto"/>
        <w:ind w:right="-108"/>
        <w:jc w:val="center"/>
        <w:rPr>
          <w:rFonts w:hint="eastAsia" w:ascii="宋体" w:hAnsi="宋体" w:cs="宋体"/>
          <w:b/>
          <w:bCs/>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color w:val="auto"/>
          <w:sz w:val="24"/>
          <w:szCs w:val="24"/>
          <w:highlight w:val="none"/>
          <w:lang w:val="zh-CN"/>
        </w:rPr>
        <w:t>商务技术文件</w:t>
      </w:r>
      <w:r>
        <w:rPr>
          <w:rFonts w:hint="eastAsia" w:ascii="宋体" w:hAnsi="宋体" w:cs="宋体"/>
          <w:b/>
          <w:bCs/>
          <w:color w:val="auto"/>
          <w:spacing w:val="40"/>
          <w:sz w:val="28"/>
          <w:szCs w:val="28"/>
          <w:highlight w:val="none"/>
        </w:rPr>
        <w:t>）</w:t>
      </w:r>
    </w:p>
    <w:p w14:paraId="4B109E34">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133B2F49">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605A9F8E">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A52613">
      <w:pPr>
        <w:shd w:val="clear" w:color="auto" w:fill="auto"/>
        <w:snapToGrid w:val="0"/>
        <w:spacing w:before="50" w:after="50" w:line="360" w:lineRule="auto"/>
        <w:jc w:val="center"/>
        <w:rPr>
          <w:rFonts w:hint="eastAsia" w:ascii="宋体" w:hAnsi="宋体" w:cs="宋体"/>
          <w:b/>
          <w:bCs/>
          <w:color w:val="auto"/>
          <w:sz w:val="32"/>
          <w:szCs w:val="32"/>
          <w:highlight w:val="none"/>
          <w:lang w:val="zh-CN"/>
        </w:rPr>
      </w:pPr>
    </w:p>
    <w:p w14:paraId="36E1219F">
      <w:pPr>
        <w:shd w:val="clear" w:color="auto" w:fill="auto"/>
        <w:snapToGrid w:val="0"/>
        <w:spacing w:before="50" w:after="50" w:line="360" w:lineRule="auto"/>
        <w:jc w:val="center"/>
        <w:rPr>
          <w:rFonts w:hint="eastAsia" w:ascii="宋体" w:hAnsi="宋体" w:cs="宋体"/>
          <w:b/>
          <w:bCs/>
          <w:color w:val="auto"/>
          <w:sz w:val="32"/>
          <w:szCs w:val="32"/>
          <w:highlight w:val="none"/>
          <w:lang w:val="zh-CN"/>
        </w:rPr>
      </w:pPr>
    </w:p>
    <w:p w14:paraId="2E7C4E8B">
      <w:pPr>
        <w:shd w:val="clear" w:color="auto" w:fill="auto"/>
        <w:snapToGrid w:val="0"/>
        <w:spacing w:before="50" w:after="50" w:line="360" w:lineRule="auto"/>
        <w:jc w:val="center"/>
        <w:rPr>
          <w:rFonts w:hint="eastAsia" w:ascii="宋体" w:hAnsi="宋体" w:cs="宋体"/>
          <w:b/>
          <w:bCs/>
          <w:color w:val="auto"/>
          <w:sz w:val="28"/>
          <w:szCs w:val="28"/>
          <w:highlight w:val="none"/>
        </w:rPr>
      </w:pPr>
      <w:r>
        <w:rPr>
          <w:rFonts w:hint="eastAsia" w:ascii="宋体" w:hAnsi="宋体" w:cs="宋体"/>
          <w:b/>
          <w:bCs/>
          <w:color w:val="auto"/>
          <w:sz w:val="32"/>
          <w:szCs w:val="32"/>
          <w:highlight w:val="none"/>
          <w:lang w:val="zh-CN"/>
        </w:rPr>
        <w:br w:type="page"/>
      </w:r>
      <w:r>
        <w:rPr>
          <w:rFonts w:hint="eastAsia" w:ascii="宋体" w:hAnsi="宋体" w:cs="宋体"/>
          <w:b/>
          <w:bCs/>
          <w:color w:val="auto"/>
          <w:sz w:val="32"/>
          <w:szCs w:val="32"/>
          <w:highlight w:val="none"/>
          <w:lang w:val="zh-CN"/>
        </w:rPr>
        <w:t>商务技术文件</w:t>
      </w:r>
      <w:r>
        <w:rPr>
          <w:rFonts w:hint="eastAsia" w:ascii="宋体" w:hAnsi="宋体" w:cs="宋体"/>
          <w:b/>
          <w:bCs/>
          <w:color w:val="auto"/>
          <w:sz w:val="32"/>
          <w:szCs w:val="32"/>
          <w:highlight w:val="none"/>
        </w:rPr>
        <w:t>目录</w:t>
      </w:r>
    </w:p>
    <w:p w14:paraId="3721C72A">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（1）投标函(格式见第六章);</w:t>
      </w:r>
    </w:p>
    <w:p w14:paraId="6FC6B8A3">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（2）投标声明书(格式见第六章);</w:t>
      </w:r>
    </w:p>
    <w:p w14:paraId="2A198C60">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（3）法定代表人授权委托书(格式见第六章)；</w:t>
      </w:r>
    </w:p>
    <w:p w14:paraId="09C6C35A">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（4）投标人基本情况表(格式见第六章)；</w:t>
      </w:r>
    </w:p>
    <w:p w14:paraId="494AE539">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（5）技术偏离表(格式见第六章)；</w:t>
      </w:r>
    </w:p>
    <w:p w14:paraId="5057CF34">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（6）商务偏离表(格式见第六章)；</w:t>
      </w:r>
    </w:p>
    <w:p w14:paraId="4C4B09B0">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（7）主要技术人员清单一览表(格式见第六章)；</w:t>
      </w:r>
    </w:p>
    <w:p w14:paraId="77A45878">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（8）投标人类似项目实施情况一览表(格式见第六章)；</w:t>
      </w:r>
    </w:p>
    <w:p w14:paraId="3DB8D0FA">
      <w:pPr>
        <w:pStyle w:val="2"/>
        <w:shd w:val="clear" w:color="auto" w:fill="auto"/>
        <w:spacing w:line="360" w:lineRule="auto"/>
        <w:rPr>
          <w:rFonts w:hint="eastAsia" w:ascii="宋体" w:hAnsi="宋体" w:cs="宋体"/>
          <w:color w:val="auto"/>
          <w:highlight w:val="none"/>
        </w:rPr>
      </w:pPr>
      <w:r>
        <w:rPr>
          <w:rFonts w:hint="eastAsia" w:ascii="宋体" w:hAnsi="宋体" w:cs="宋体"/>
          <w:color w:val="auto"/>
          <w:highlight w:val="none"/>
        </w:rPr>
        <w:t>（9）售后服务(格式见第六章)；</w:t>
      </w:r>
    </w:p>
    <w:p w14:paraId="1E948BDF">
      <w:pPr>
        <w:pStyle w:val="2"/>
        <w:shd w:val="clear" w:color="auto" w:fill="auto"/>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10</w:t>
      </w:r>
      <w:r>
        <w:rPr>
          <w:rFonts w:hint="eastAsia" w:ascii="宋体" w:hAnsi="宋体" w:cs="宋体"/>
          <w:color w:val="auto"/>
          <w:highlight w:val="none"/>
          <w:lang w:val="zh-CN"/>
        </w:rPr>
        <w:t>）投标人认为需要说明的其他文件和说明。</w:t>
      </w:r>
    </w:p>
    <w:p w14:paraId="126C6494">
      <w:pPr>
        <w:widowControl/>
        <w:shd w:val="clear" w:color="auto" w:fill="auto"/>
        <w:jc w:val="left"/>
        <w:outlineLvl w:val="0"/>
        <w:rPr>
          <w:rFonts w:hint="eastAsia" w:ascii="宋体" w:hAnsi="宋体" w:cs="宋体"/>
          <w:b/>
          <w:bCs/>
          <w:color w:val="auto"/>
          <w:sz w:val="30"/>
          <w:szCs w:val="30"/>
          <w:highlight w:val="none"/>
        </w:rPr>
      </w:pPr>
      <w:r>
        <w:rPr>
          <w:rFonts w:hint="eastAsia" w:ascii="宋体" w:hAnsi="宋体" w:cs="宋体"/>
          <w:color w:val="auto"/>
          <w:position w:val="2"/>
          <w:highlight w:val="none"/>
        </w:rPr>
        <w:br w:type="page"/>
      </w:r>
      <w:bookmarkStart w:id="140" w:name="_Toc22911"/>
      <w:bookmarkStart w:id="141" w:name="_Toc22329"/>
      <w:bookmarkStart w:id="142" w:name="_Toc17312"/>
      <w:bookmarkStart w:id="143" w:name="_Toc1976349095"/>
      <w:bookmarkStart w:id="144" w:name="_Toc13717"/>
      <w:bookmarkStart w:id="145" w:name="_Toc17737"/>
      <w:r>
        <w:rPr>
          <w:rFonts w:hint="eastAsia" w:ascii="宋体" w:hAnsi="宋体" w:cs="宋体"/>
          <w:b/>
          <w:bCs/>
          <w:color w:val="auto"/>
          <w:sz w:val="28"/>
          <w:szCs w:val="28"/>
          <w:highlight w:val="none"/>
        </w:rPr>
        <w:t>附件3：</w:t>
      </w:r>
      <w:bookmarkEnd w:id="140"/>
      <w:bookmarkEnd w:id="141"/>
      <w:bookmarkEnd w:id="142"/>
      <w:bookmarkEnd w:id="143"/>
      <w:bookmarkEnd w:id="144"/>
      <w:bookmarkEnd w:id="145"/>
    </w:p>
    <w:p w14:paraId="04CE7550">
      <w:pPr>
        <w:shd w:val="clear" w:color="auto" w:fill="auto"/>
        <w:snapToGrid w:val="0"/>
        <w:spacing w:before="159" w:beforeLines="50" w:after="50" w:line="360" w:lineRule="auto"/>
        <w:jc w:val="center"/>
        <w:rPr>
          <w:rFonts w:hint="eastAsia" w:ascii="宋体" w:hAnsi="宋体" w:cs="宋体"/>
          <w:b/>
          <w:color w:val="auto"/>
          <w:sz w:val="30"/>
          <w:szCs w:val="30"/>
          <w:highlight w:val="none"/>
        </w:rPr>
      </w:pPr>
      <w:r>
        <w:rPr>
          <w:rFonts w:hint="eastAsia" w:ascii="宋体" w:hAnsi="宋体" w:cs="宋体"/>
          <w:color w:val="auto"/>
          <w:kern w:val="0"/>
          <w:sz w:val="30"/>
          <w:szCs w:val="30"/>
          <w:highlight w:val="none"/>
          <w:lang w:val="zh-CN"/>
        </w:rPr>
        <w:t>投标函</w:t>
      </w:r>
    </w:p>
    <w:p w14:paraId="66B75AAD">
      <w:pPr>
        <w:shd w:val="clear" w:color="auto" w:fill="auto"/>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致：浙江五石中正工程咨询有限公司 ：</w:t>
      </w:r>
    </w:p>
    <w:p w14:paraId="2416ABAB">
      <w:pPr>
        <w:shd w:val="clear" w:color="auto" w:fill="auto"/>
        <w:snapToGrid w:val="0"/>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根据贵方（项目名称       ）采购项目的招标公告（项目编号：），（投标人名称）在线提交资格证明文件、商务技术文件、报价文件。</w:t>
      </w:r>
    </w:p>
    <w:p w14:paraId="7DC934C7">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据此函，签字代表宣布同意如下：</w:t>
      </w:r>
    </w:p>
    <w:p w14:paraId="69ED0030">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已详细审查全部“招标文件”，包括修改、澄清文件（如有的话）以及全部参考资料和有关附件，已经了解我方对于招标文件、采购过程、采购结果有依法进行询问、质疑、投诉的权利及相关渠道和要求。</w:t>
      </w:r>
    </w:p>
    <w:p w14:paraId="6E7FF35D">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2.投标人在投标之前已经与贵方进行了充分的沟通，完全理解并接受招标文件的各项规定和要求，对招标文件的合理性、合法性不再有异议。</w:t>
      </w:r>
    </w:p>
    <w:p w14:paraId="1194717C">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3.本投标有效期自开标日起</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w:t>
      </w:r>
    </w:p>
    <w:p w14:paraId="28C8FA98">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4.如中标，本投标文件至本项目合同履行完毕止均保持有效，本投标人将按“招标文件”及政府采购法律、法规的规定履行合同责任和义务。</w:t>
      </w:r>
    </w:p>
    <w:p w14:paraId="33D2B870">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5.如中标，我公司将自中标公告发布之日起5个工作日内按招标文件规定的标准（金额）一次性向采购代理机构支付代理服务费。</w:t>
      </w:r>
    </w:p>
    <w:p w14:paraId="6453EF23">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6.投标人同意按照贵方要求提供与投标有关的一切数据或资料。</w:t>
      </w:r>
    </w:p>
    <w:p w14:paraId="6A6053C5">
      <w:pPr>
        <w:shd w:val="clear" w:color="auto" w:fill="auto"/>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7.与本投标有关的一切正式往来信函请寄：</w:t>
      </w:r>
    </w:p>
    <w:p w14:paraId="3511FE86">
      <w:pPr>
        <w:shd w:val="clear" w:color="auto" w:fill="auto"/>
        <w:snapToGrid w:val="0"/>
        <w:spacing w:line="360" w:lineRule="auto"/>
        <w:ind w:firstLine="480" w:firstLineChars="200"/>
        <w:rPr>
          <w:rFonts w:hint="eastAsia" w:ascii="宋体" w:hAnsi="宋体" w:cs="宋体"/>
          <w:color w:val="auto"/>
          <w:sz w:val="24"/>
          <w:szCs w:val="24"/>
          <w:highlight w:val="none"/>
        </w:rPr>
      </w:pPr>
    </w:p>
    <w:p w14:paraId="7CCBAE2C">
      <w:pPr>
        <w:shd w:val="clear" w:color="auto" w:fill="auto"/>
        <w:snapToGrid w:val="0"/>
        <w:spacing w:line="360" w:lineRule="auto"/>
        <w:rPr>
          <w:rFonts w:hint="eastAsia" w:ascii="宋体" w:hAnsi="宋体" w:cs="宋体"/>
          <w:color w:val="auto"/>
          <w:sz w:val="24"/>
          <w:szCs w:val="24"/>
          <w:highlight w:val="none"/>
        </w:rPr>
      </w:pPr>
    </w:p>
    <w:p w14:paraId="3F9C8040">
      <w:pPr>
        <w:shd w:val="clear" w:color="auto" w:fill="auto"/>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地址：__________</w:t>
      </w:r>
      <w:r>
        <w:rPr>
          <w:rFonts w:hint="eastAsia" w:ascii="宋体" w:hAnsi="宋体" w:cs="宋体"/>
          <w:color w:val="auto"/>
          <w:sz w:val="24"/>
          <w:szCs w:val="24"/>
          <w:highlight w:val="none"/>
          <w:u w:val="single"/>
        </w:rPr>
        <w:t xml:space="preserve">        _</w:t>
      </w:r>
      <w:r>
        <w:rPr>
          <w:rFonts w:hint="eastAsia" w:ascii="宋体" w:hAnsi="宋体" w:cs="宋体"/>
          <w:color w:val="auto"/>
          <w:sz w:val="24"/>
          <w:szCs w:val="24"/>
          <w:highlight w:val="none"/>
        </w:rPr>
        <w:t xml:space="preserve">____        邮编：__________   </w:t>
      </w:r>
    </w:p>
    <w:p w14:paraId="2F0A79C2">
      <w:pPr>
        <w:shd w:val="clear" w:color="auto" w:fill="auto"/>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联系人：电话：______________</w:t>
      </w:r>
    </w:p>
    <w:p w14:paraId="103345B6">
      <w:pPr>
        <w:shd w:val="clear" w:color="auto" w:fill="auto"/>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投标人名称:__________</w:t>
      </w:r>
      <w:r>
        <w:rPr>
          <w:rFonts w:hint="eastAsia" w:ascii="宋体" w:hAnsi="宋体" w:cs="宋体"/>
          <w:color w:val="auto"/>
          <w:sz w:val="24"/>
          <w:szCs w:val="24"/>
          <w:highlight w:val="none"/>
          <w:u w:val="single"/>
        </w:rPr>
        <w:t>（盖章）</w:t>
      </w:r>
      <w:r>
        <w:rPr>
          <w:rFonts w:hint="eastAsia" w:ascii="宋体" w:hAnsi="宋体" w:cs="宋体"/>
          <w:color w:val="auto"/>
          <w:sz w:val="24"/>
          <w:szCs w:val="24"/>
          <w:highlight w:val="none"/>
        </w:rPr>
        <w:t>_________</w:t>
      </w:r>
    </w:p>
    <w:p w14:paraId="1851A6E8">
      <w:pPr>
        <w:shd w:val="clear" w:color="auto" w:fill="auto"/>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银行账号：</w:t>
      </w:r>
    </w:p>
    <w:p w14:paraId="063C7257">
      <w:pPr>
        <w:pStyle w:val="2"/>
        <w:shd w:val="clear" w:color="auto" w:fill="auto"/>
        <w:spacing w:line="360" w:lineRule="auto"/>
        <w:rPr>
          <w:rFonts w:hint="eastAsia" w:ascii="宋体" w:hAnsi="宋体" w:cs="宋体"/>
          <w:color w:val="auto"/>
          <w:position w:val="2"/>
          <w:highlight w:val="none"/>
        </w:rPr>
      </w:pPr>
    </w:p>
    <w:p w14:paraId="632267F0">
      <w:pPr>
        <w:pStyle w:val="2"/>
        <w:shd w:val="clear" w:color="auto" w:fill="auto"/>
        <w:spacing w:line="360" w:lineRule="auto"/>
        <w:rPr>
          <w:rFonts w:hint="eastAsia" w:ascii="宋体" w:hAnsi="宋体" w:cs="宋体"/>
          <w:b/>
          <w:bCs/>
          <w:color w:val="auto"/>
          <w:sz w:val="28"/>
          <w:szCs w:val="28"/>
          <w:highlight w:val="none"/>
        </w:rPr>
      </w:pPr>
    </w:p>
    <w:p w14:paraId="2E9C725B">
      <w:pPr>
        <w:pStyle w:val="2"/>
        <w:shd w:val="clear" w:color="auto" w:fill="auto"/>
        <w:spacing w:line="360" w:lineRule="auto"/>
        <w:rPr>
          <w:rFonts w:hint="eastAsia" w:ascii="宋体" w:hAnsi="宋体" w:cs="宋体"/>
          <w:b/>
          <w:bCs/>
          <w:color w:val="auto"/>
          <w:sz w:val="28"/>
          <w:szCs w:val="28"/>
          <w:highlight w:val="none"/>
        </w:rPr>
      </w:pPr>
    </w:p>
    <w:p w14:paraId="59AEB3FE">
      <w:pPr>
        <w:pStyle w:val="2"/>
        <w:shd w:val="clear" w:color="auto" w:fill="auto"/>
        <w:spacing w:line="360" w:lineRule="auto"/>
        <w:rPr>
          <w:rFonts w:hint="eastAsia" w:ascii="宋体" w:hAnsi="宋体" w:cs="宋体"/>
          <w:b/>
          <w:bCs/>
          <w:color w:val="auto"/>
          <w:sz w:val="28"/>
          <w:szCs w:val="28"/>
          <w:highlight w:val="none"/>
        </w:rPr>
      </w:pPr>
    </w:p>
    <w:p w14:paraId="32343A23">
      <w:pPr>
        <w:pStyle w:val="2"/>
        <w:shd w:val="clear" w:color="auto" w:fill="auto"/>
        <w:spacing w:line="360" w:lineRule="auto"/>
        <w:outlineLvl w:val="0"/>
        <w:rPr>
          <w:rFonts w:hint="eastAsia" w:ascii="宋体" w:hAnsi="宋体" w:cs="宋体"/>
          <w:b/>
          <w:bCs/>
          <w:color w:val="auto"/>
          <w:sz w:val="28"/>
          <w:szCs w:val="28"/>
          <w:highlight w:val="none"/>
        </w:rPr>
      </w:pPr>
      <w:bookmarkStart w:id="146" w:name="_Toc25247"/>
      <w:bookmarkStart w:id="147" w:name="_Toc1191957219"/>
      <w:bookmarkStart w:id="148" w:name="_Toc1717"/>
      <w:bookmarkStart w:id="149" w:name="_Toc29257"/>
      <w:bookmarkStart w:id="150" w:name="_Toc10091"/>
      <w:bookmarkStart w:id="151" w:name="_Toc6522"/>
      <w:r>
        <w:rPr>
          <w:rFonts w:hint="eastAsia" w:ascii="宋体" w:hAnsi="宋体" w:cs="宋体"/>
          <w:b/>
          <w:bCs/>
          <w:color w:val="auto"/>
          <w:sz w:val="28"/>
          <w:szCs w:val="28"/>
          <w:highlight w:val="none"/>
        </w:rPr>
        <w:t>附件4：</w:t>
      </w:r>
    </w:p>
    <w:p w14:paraId="4F97517C">
      <w:pPr>
        <w:shd w:val="clear" w:color="auto" w:fill="auto"/>
        <w:adjustRightInd w:val="0"/>
        <w:snapToGrid w:val="0"/>
        <w:spacing w:line="440" w:lineRule="exact"/>
        <w:ind w:firstLine="643" w:firstLineChars="200"/>
        <w:jc w:val="center"/>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投标声明书</w:t>
      </w:r>
    </w:p>
    <w:p w14:paraId="36F5E04A">
      <w:pPr>
        <w:shd w:val="clear" w:color="auto" w:fill="auto"/>
        <w:snapToGrid w:val="0"/>
        <w:spacing w:line="44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u w:val="single"/>
        </w:rPr>
        <w:t>浙江五石中正工程咨询有限公司</w:t>
      </w:r>
      <w:r>
        <w:rPr>
          <w:rFonts w:hint="eastAsia" w:asciiTheme="minorEastAsia" w:hAnsiTheme="minorEastAsia" w:eastAsiaTheme="minorEastAsia" w:cstheme="minorEastAsia"/>
          <w:color w:val="auto"/>
          <w:kern w:val="0"/>
          <w:sz w:val="24"/>
          <w:szCs w:val="24"/>
          <w:highlight w:val="none"/>
        </w:rPr>
        <w:t>：</w:t>
      </w:r>
    </w:p>
    <w:p w14:paraId="0D1BD92E">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（投标人名称）系中华人民共和国合法企业，（经营地址）。</w:t>
      </w:r>
    </w:p>
    <w:p w14:paraId="1FCF48E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我（</w:t>
      </w:r>
      <w:r>
        <w:rPr>
          <w:rFonts w:hint="eastAsia" w:asciiTheme="minorEastAsia" w:hAnsiTheme="minorEastAsia" w:eastAsiaTheme="minorEastAsia" w:cstheme="minorEastAsia"/>
          <w:color w:val="auto"/>
          <w:spacing w:val="-6"/>
          <w:kern w:val="0"/>
          <w:sz w:val="24"/>
          <w:szCs w:val="24"/>
          <w:highlight w:val="none"/>
          <w:u w:val="single"/>
        </w:rPr>
        <w:t xml:space="preserve"> 姓名 </w:t>
      </w:r>
      <w:r>
        <w:rPr>
          <w:rFonts w:hint="eastAsia" w:asciiTheme="minorEastAsia" w:hAnsiTheme="minorEastAsia" w:eastAsiaTheme="minorEastAsia" w:cstheme="minorEastAsia"/>
          <w:color w:val="auto"/>
          <w:spacing w:val="-6"/>
          <w:kern w:val="0"/>
          <w:sz w:val="24"/>
          <w:szCs w:val="24"/>
          <w:highlight w:val="none"/>
        </w:rPr>
        <w:t>）系（</w:t>
      </w:r>
      <w:r>
        <w:rPr>
          <w:rFonts w:hint="eastAsia" w:asciiTheme="minorEastAsia" w:hAnsiTheme="minorEastAsia" w:eastAsiaTheme="minorEastAsia" w:cstheme="minorEastAsia"/>
          <w:color w:val="auto"/>
          <w:spacing w:val="-6"/>
          <w:kern w:val="0"/>
          <w:sz w:val="24"/>
          <w:szCs w:val="24"/>
          <w:highlight w:val="none"/>
          <w:u w:val="single"/>
        </w:rPr>
        <w:t xml:space="preserve"> 投标人名称 </w:t>
      </w:r>
      <w:r>
        <w:rPr>
          <w:rFonts w:hint="eastAsia" w:asciiTheme="minorEastAsia" w:hAnsiTheme="minorEastAsia" w:eastAsiaTheme="minorEastAsia" w:cstheme="minorEastAsia"/>
          <w:color w:val="auto"/>
          <w:spacing w:val="-6"/>
          <w:kern w:val="0"/>
          <w:sz w:val="24"/>
          <w:szCs w:val="24"/>
          <w:highlight w:val="none"/>
        </w:rPr>
        <w:t>）的法定代表人，我公司自愿参加贵方组织的（</w:t>
      </w:r>
      <w:r>
        <w:rPr>
          <w:rFonts w:hint="eastAsia" w:asciiTheme="minorEastAsia" w:hAnsiTheme="minorEastAsia" w:eastAsiaTheme="minorEastAsia" w:cstheme="minorEastAsia"/>
          <w:color w:val="auto"/>
          <w:spacing w:val="-6"/>
          <w:kern w:val="0"/>
          <w:sz w:val="24"/>
          <w:szCs w:val="24"/>
          <w:highlight w:val="none"/>
          <w:u w:val="single"/>
        </w:rPr>
        <w:t>招标项目名称</w:t>
      </w:r>
      <w:r>
        <w:rPr>
          <w:rFonts w:hint="eastAsia" w:asciiTheme="minorEastAsia" w:hAnsiTheme="minorEastAsia" w:eastAsiaTheme="minorEastAsia" w:cstheme="minorEastAsia"/>
          <w:color w:val="auto"/>
          <w:spacing w:val="-6"/>
          <w:kern w:val="0"/>
          <w:sz w:val="24"/>
          <w:szCs w:val="24"/>
          <w:highlight w:val="none"/>
        </w:rPr>
        <w:t>）（编号为）的投标，为此，我公司就本次投标有关事项郑重声明如下：</w:t>
      </w:r>
    </w:p>
    <w:p w14:paraId="38AA672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b/>
          <w:bCs/>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1</w:t>
      </w:r>
      <w:r>
        <w:rPr>
          <w:rFonts w:hint="eastAsia" w:asciiTheme="minorEastAsia" w:hAnsiTheme="minorEastAsia" w:eastAsiaTheme="minorEastAsia" w:cstheme="minorEastAsia"/>
          <w:color w:val="auto"/>
          <w:spacing w:val="-6"/>
          <w:kern w:val="0"/>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我公司声明截止投标时间</w:t>
      </w:r>
      <w:r>
        <w:rPr>
          <w:rFonts w:hint="eastAsia" w:asciiTheme="minorEastAsia" w:hAnsiTheme="minorEastAsia" w:eastAsiaTheme="minorEastAsia" w:cstheme="minorEastAsia"/>
          <w:color w:val="auto"/>
          <w:spacing w:val="-6"/>
          <w:sz w:val="24"/>
          <w:szCs w:val="24"/>
          <w:highlight w:val="none"/>
          <w:lang w:eastAsia="zh-CN"/>
        </w:rPr>
        <w:t>前</w:t>
      </w:r>
      <w:r>
        <w:rPr>
          <w:rFonts w:hint="eastAsia" w:asciiTheme="minorEastAsia" w:hAnsiTheme="minorEastAsia" w:eastAsiaTheme="minorEastAsia" w:cstheme="minorEastAsia"/>
          <w:color w:val="auto"/>
          <w:spacing w:val="-6"/>
          <w:sz w:val="24"/>
          <w:szCs w:val="24"/>
          <w:highlight w:val="none"/>
        </w:rPr>
        <w:t>三年</w:t>
      </w:r>
      <w:r>
        <w:rPr>
          <w:rFonts w:hint="eastAsia" w:asciiTheme="minorEastAsia" w:hAnsiTheme="minorEastAsia" w:eastAsiaTheme="minorEastAsia" w:cstheme="minorEastAsia"/>
          <w:color w:val="auto"/>
          <w:spacing w:val="-6"/>
          <w:sz w:val="24"/>
          <w:szCs w:val="24"/>
          <w:highlight w:val="none"/>
          <w:lang w:eastAsia="zh-CN"/>
        </w:rPr>
        <w:t>内</w:t>
      </w:r>
      <w:r>
        <w:rPr>
          <w:rFonts w:hint="eastAsia"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lang w:eastAsia="zh-CN"/>
        </w:rPr>
        <w:t>在经营活动中没有</w:t>
      </w:r>
      <w:r>
        <w:rPr>
          <w:rFonts w:hint="eastAsia" w:asciiTheme="minorEastAsia" w:hAnsiTheme="minorEastAsia" w:eastAsiaTheme="minorEastAsia" w:cstheme="minorEastAsia"/>
          <w:color w:val="auto"/>
          <w:spacing w:val="-6"/>
          <w:sz w:val="24"/>
          <w:szCs w:val="24"/>
          <w:highlight w:val="none"/>
        </w:rPr>
        <w:t>重大违法记录（重大违法记录是指供应商因违法经营受到刑事处罚或者责令停产停业、吊销许可证或者执照、较大数额罚款等行政处罚）。</w:t>
      </w:r>
    </w:p>
    <w:p w14:paraId="64E75FFF">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2</w:t>
      </w:r>
      <w:r>
        <w:rPr>
          <w:rFonts w:hint="eastAsia" w:asciiTheme="minorEastAsia" w:hAnsiTheme="minorEastAsia" w:eastAsiaTheme="minorEastAsia" w:cstheme="minorEastAsia"/>
          <w:color w:val="auto"/>
          <w:spacing w:val="-6"/>
          <w:kern w:val="0"/>
          <w:sz w:val="24"/>
          <w:szCs w:val="24"/>
          <w:highlight w:val="none"/>
          <w:lang w:val="en-US" w:eastAsia="zh-CN"/>
        </w:rPr>
        <w:t xml:space="preserve">. </w:t>
      </w:r>
      <w:r>
        <w:rPr>
          <w:rFonts w:hint="eastAsia" w:asciiTheme="minorEastAsia" w:hAnsiTheme="minorEastAsia" w:eastAsiaTheme="minorEastAsia" w:cstheme="minorEastAsia"/>
          <w:color w:val="auto"/>
          <w:spacing w:val="-6"/>
          <w:kern w:val="0"/>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5CAC1A4">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3</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我</w:t>
      </w:r>
      <w:r>
        <w:rPr>
          <w:rFonts w:hint="eastAsia" w:asciiTheme="minorEastAsia" w:hAnsiTheme="minorEastAsia" w:eastAsiaTheme="minorEastAsia" w:cstheme="minorEastAsia"/>
          <w:color w:val="auto"/>
          <w:spacing w:val="-6"/>
          <w:kern w:val="0"/>
          <w:sz w:val="24"/>
          <w:szCs w:val="24"/>
          <w:highlight w:val="none"/>
          <w:lang w:val="zh-CN"/>
        </w:rPr>
        <w:t>公司</w:t>
      </w:r>
      <w:r>
        <w:rPr>
          <w:rFonts w:hint="eastAsia" w:asciiTheme="minorEastAsia" w:hAnsiTheme="minorEastAsia" w:eastAsiaTheme="minorEastAsia" w:cstheme="minorEastAsia"/>
          <w:color w:val="auto"/>
          <w:spacing w:val="-6"/>
          <w:sz w:val="24"/>
          <w:szCs w:val="24"/>
          <w:highlight w:val="none"/>
        </w:rPr>
        <w:t>不是采购人的附属机构；在获知本项目采购信息后，与采购人聘请的为此项目提供咨询服务的公司及其附属机构没有任何联系。</w:t>
      </w:r>
    </w:p>
    <w:p w14:paraId="695FF165">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kern w:val="0"/>
          <w:sz w:val="24"/>
          <w:szCs w:val="24"/>
          <w:highlight w:val="none"/>
          <w:lang w:val="af-ZA"/>
        </w:rPr>
      </w:pPr>
      <w:r>
        <w:rPr>
          <w:rFonts w:hint="eastAsia" w:asciiTheme="minorEastAsia" w:hAnsiTheme="minorEastAsia" w:eastAsiaTheme="minorEastAsia" w:cstheme="minorEastAsia"/>
          <w:color w:val="auto"/>
          <w:spacing w:val="-6"/>
          <w:sz w:val="24"/>
          <w:szCs w:val="24"/>
          <w:highlight w:val="none"/>
        </w:rPr>
        <w:t>4</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kern w:val="0"/>
          <w:sz w:val="24"/>
          <w:szCs w:val="24"/>
          <w:highlight w:val="none"/>
        </w:rPr>
        <w:t>我</w:t>
      </w:r>
      <w:r>
        <w:rPr>
          <w:rFonts w:hint="eastAsia" w:asciiTheme="minorEastAsia" w:hAnsiTheme="minorEastAsia" w:eastAsiaTheme="minorEastAsia" w:cstheme="minorEastAsia"/>
          <w:color w:val="auto"/>
          <w:spacing w:val="-6"/>
          <w:kern w:val="0"/>
          <w:sz w:val="24"/>
          <w:szCs w:val="24"/>
          <w:highlight w:val="none"/>
          <w:lang w:val="zh-CN"/>
        </w:rPr>
        <w:t>公司</w:t>
      </w:r>
      <w:r>
        <w:rPr>
          <w:rFonts w:hint="eastAsia" w:asciiTheme="minorEastAsia" w:hAnsiTheme="minorEastAsia" w:eastAsiaTheme="minorEastAsia" w:cstheme="minorEastAsia"/>
          <w:color w:val="auto"/>
          <w:spacing w:val="-6"/>
          <w:kern w:val="0"/>
          <w:sz w:val="24"/>
          <w:szCs w:val="24"/>
          <w:highlight w:val="none"/>
        </w:rPr>
        <w:t>保证，</w:t>
      </w:r>
      <w:r>
        <w:rPr>
          <w:rFonts w:hint="eastAsia" w:asciiTheme="minorEastAsia" w:hAnsiTheme="minorEastAsia" w:eastAsiaTheme="minorEastAsia" w:cstheme="minorEastAsia"/>
          <w:color w:val="auto"/>
          <w:spacing w:val="-6"/>
          <w:kern w:val="0"/>
          <w:sz w:val="24"/>
          <w:szCs w:val="24"/>
          <w:highlight w:val="none"/>
          <w:lang w:val="af-ZA"/>
        </w:rPr>
        <w:t>采购人在中华人民共和国境内使用</w:t>
      </w:r>
      <w:r>
        <w:rPr>
          <w:rFonts w:hint="eastAsia" w:asciiTheme="minorEastAsia" w:hAnsiTheme="minorEastAsia" w:eastAsiaTheme="minorEastAsia" w:cstheme="minorEastAsia"/>
          <w:color w:val="auto"/>
          <w:spacing w:val="-6"/>
          <w:kern w:val="0"/>
          <w:sz w:val="24"/>
          <w:szCs w:val="24"/>
          <w:highlight w:val="none"/>
        </w:rPr>
        <w:t>我</w:t>
      </w:r>
      <w:r>
        <w:rPr>
          <w:rFonts w:hint="eastAsia" w:asciiTheme="minorEastAsia" w:hAnsiTheme="minorEastAsia" w:eastAsiaTheme="minorEastAsia" w:cstheme="minorEastAsia"/>
          <w:color w:val="auto"/>
          <w:spacing w:val="-6"/>
          <w:kern w:val="0"/>
          <w:sz w:val="24"/>
          <w:szCs w:val="24"/>
          <w:highlight w:val="none"/>
          <w:lang w:val="zh-CN"/>
        </w:rPr>
        <w:t>公司</w:t>
      </w:r>
      <w:r>
        <w:rPr>
          <w:rFonts w:hint="eastAsia" w:asciiTheme="minorEastAsia" w:hAnsiTheme="minorEastAsia" w:eastAsiaTheme="minorEastAsia" w:cstheme="minorEastAsia"/>
          <w:color w:val="auto"/>
          <w:spacing w:val="-6"/>
          <w:kern w:val="0"/>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5F5B29">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kern w:val="0"/>
          <w:sz w:val="24"/>
          <w:szCs w:val="24"/>
          <w:highlight w:val="none"/>
          <w:lang w:val="af-ZA"/>
        </w:rPr>
        <w:t>5</w:t>
      </w:r>
      <w:r>
        <w:rPr>
          <w:rFonts w:hint="eastAsia" w:asciiTheme="minorEastAsia" w:hAnsiTheme="minorEastAsia" w:eastAsiaTheme="minorEastAsia" w:cstheme="minorEastAsia"/>
          <w:color w:val="auto"/>
          <w:spacing w:val="-6"/>
          <w:kern w:val="0"/>
          <w:sz w:val="24"/>
          <w:szCs w:val="24"/>
          <w:highlight w:val="none"/>
          <w:lang w:val="en-US" w:eastAsia="zh-CN"/>
        </w:rPr>
        <w:t xml:space="preserve">. </w:t>
      </w:r>
      <w:r>
        <w:rPr>
          <w:rFonts w:hint="eastAsia" w:asciiTheme="minorEastAsia" w:hAnsiTheme="minorEastAsia" w:eastAsiaTheme="minorEastAsia" w:cstheme="minorEastAsia"/>
          <w:color w:val="auto"/>
          <w:spacing w:val="-6"/>
          <w:kern w:val="0"/>
          <w:sz w:val="24"/>
          <w:szCs w:val="24"/>
          <w:highlight w:val="none"/>
          <w:lang w:val="af-ZA"/>
        </w:rPr>
        <w:t>我</w:t>
      </w:r>
      <w:r>
        <w:rPr>
          <w:rFonts w:hint="eastAsia" w:asciiTheme="minorEastAsia" w:hAnsiTheme="minorEastAsia" w:eastAsiaTheme="minorEastAsia" w:cstheme="minorEastAsia"/>
          <w:color w:val="auto"/>
          <w:spacing w:val="-6"/>
          <w:kern w:val="0"/>
          <w:sz w:val="24"/>
          <w:szCs w:val="24"/>
          <w:highlight w:val="none"/>
          <w:lang w:val="zh-CN"/>
        </w:rPr>
        <w:t>公司</w:t>
      </w:r>
      <w:r>
        <w:rPr>
          <w:rFonts w:hint="eastAsia" w:asciiTheme="minorEastAsia" w:hAnsiTheme="minorEastAsia" w:eastAsiaTheme="minorEastAsia" w:cstheme="minorEastAsia"/>
          <w:color w:val="auto"/>
          <w:spacing w:val="-6"/>
          <w:kern w:val="0"/>
          <w:sz w:val="24"/>
          <w:szCs w:val="24"/>
          <w:highlight w:val="none"/>
          <w:lang w:val="af-ZA"/>
        </w:rPr>
        <w:t>严格履行采购合同，不降低合同约定的产品质量和服务，不擅自变更、中止、终止合同，或拒绝履行合同义务；</w:t>
      </w:r>
    </w:p>
    <w:p w14:paraId="51452399">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rPr>
        <w:t>6</w:t>
      </w:r>
      <w:r>
        <w:rPr>
          <w:rFonts w:hint="eastAsia" w:asciiTheme="minorEastAsia" w:hAnsiTheme="minorEastAsia" w:eastAsiaTheme="minorEastAsia" w:cstheme="minorEastAsia"/>
          <w:color w:val="auto"/>
          <w:spacing w:val="-6"/>
          <w:sz w:val="24"/>
          <w:szCs w:val="24"/>
          <w:highlight w:val="none"/>
          <w:lang w:val="en-US" w:eastAsia="zh-CN"/>
        </w:rPr>
        <w:t>. 我公司承诺（若代理服务费由中标单位支付）：如在本项目中标，我公司在中标公告发布之日起5个工作日内按采购文件约定支付代理服务费。</w:t>
      </w:r>
    </w:p>
    <w:p w14:paraId="76FFDC00">
      <w:pPr>
        <w:keepNext w:val="0"/>
        <w:keepLines w:val="0"/>
        <w:pageBreakBefore w:val="0"/>
        <w:widowControl w:val="0"/>
        <w:kinsoku/>
        <w:wordWrap/>
        <w:overflowPunct/>
        <w:topLinePunct w:val="0"/>
        <w:autoSpaceDE/>
        <w:autoSpaceDN/>
        <w:bidi w:val="0"/>
        <w:adjustRightInd/>
        <w:snapToGrid w:val="0"/>
        <w:spacing w:line="480" w:lineRule="exact"/>
        <w:ind w:firstLine="456"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 xml:space="preserve">7. </w:t>
      </w:r>
      <w:r>
        <w:rPr>
          <w:rFonts w:hint="eastAsia" w:asciiTheme="minorEastAsia" w:hAnsiTheme="minorEastAsia" w:eastAsiaTheme="minorEastAsia" w:cstheme="minorEastAsia"/>
          <w:color w:val="auto"/>
          <w:spacing w:val="-6"/>
          <w:sz w:val="24"/>
          <w:szCs w:val="24"/>
          <w:highlight w:val="none"/>
        </w:rPr>
        <w:t>以上事项如有虚假或隐瞒，我</w:t>
      </w:r>
      <w:r>
        <w:rPr>
          <w:rFonts w:hint="eastAsia" w:asciiTheme="minorEastAsia" w:hAnsiTheme="minorEastAsia" w:eastAsiaTheme="minorEastAsia" w:cstheme="minorEastAsia"/>
          <w:color w:val="auto"/>
          <w:spacing w:val="-6"/>
          <w:kern w:val="0"/>
          <w:sz w:val="24"/>
          <w:szCs w:val="24"/>
          <w:highlight w:val="none"/>
          <w:lang w:val="zh-CN"/>
        </w:rPr>
        <w:t>公司</w:t>
      </w:r>
      <w:r>
        <w:rPr>
          <w:rFonts w:hint="eastAsia" w:asciiTheme="minorEastAsia" w:hAnsiTheme="minorEastAsia" w:eastAsiaTheme="minorEastAsia" w:cstheme="minorEastAsia"/>
          <w:color w:val="auto"/>
          <w:spacing w:val="-6"/>
          <w:sz w:val="24"/>
          <w:szCs w:val="24"/>
          <w:highlight w:val="none"/>
        </w:rPr>
        <w:t>愿意承担一切后果，并不再寻求任何旨在减轻或免除法律责任的辩解。</w:t>
      </w:r>
    </w:p>
    <w:p w14:paraId="40942EEB">
      <w:pPr>
        <w:adjustRightInd w:val="0"/>
        <w:snapToGrid w:val="0"/>
        <w:spacing w:line="440" w:lineRule="exact"/>
        <w:rPr>
          <w:rFonts w:hint="eastAsia" w:asciiTheme="minorEastAsia" w:hAnsiTheme="minorEastAsia" w:eastAsiaTheme="minorEastAsia" w:cstheme="minorEastAsia"/>
          <w:color w:val="auto"/>
          <w:kern w:val="0"/>
          <w:sz w:val="24"/>
          <w:szCs w:val="24"/>
          <w:highlight w:val="none"/>
        </w:rPr>
      </w:pPr>
    </w:p>
    <w:p w14:paraId="70F69A1D">
      <w:pPr>
        <w:adjustRightInd w:val="0"/>
        <w:snapToGrid w:val="0"/>
        <w:spacing w:line="440" w:lineRule="exact"/>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                                        投标人名称(</w:t>
      </w:r>
      <w:r>
        <w:rPr>
          <w:rFonts w:hint="eastAsia" w:asciiTheme="minorEastAsia" w:hAnsiTheme="minorEastAsia" w:eastAsiaTheme="minorEastAsia" w:cstheme="minorEastAsia"/>
          <w:color w:val="auto"/>
          <w:kern w:val="0"/>
          <w:sz w:val="24"/>
          <w:szCs w:val="24"/>
          <w:highlight w:val="none"/>
          <w:lang w:val="en-US" w:eastAsia="zh-CN"/>
        </w:rPr>
        <w:t>盖</w:t>
      </w:r>
      <w:r>
        <w:rPr>
          <w:rFonts w:hint="eastAsia" w:asciiTheme="minorEastAsia" w:hAnsiTheme="minorEastAsia" w:eastAsiaTheme="minorEastAsia" w:cstheme="minorEastAsia"/>
          <w:color w:val="auto"/>
          <w:kern w:val="0"/>
          <w:sz w:val="24"/>
          <w:szCs w:val="24"/>
          <w:highlight w:val="none"/>
          <w:lang w:val="zh-CN"/>
        </w:rPr>
        <w:t>公章)：</w:t>
      </w:r>
    </w:p>
    <w:p w14:paraId="002F18AD">
      <w:pPr>
        <w:adjustRightInd w:val="0"/>
        <w:snapToGrid w:val="0"/>
        <w:spacing w:line="440" w:lineRule="exact"/>
        <w:ind w:firstLine="480" w:firstLineChars="200"/>
        <w:rPr>
          <w:rFonts w:hint="eastAsia" w:ascii="宋体" w:hAnsi="宋体" w:eastAsia="宋体" w:cs="宋体"/>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 xml:space="preserve">                              法定代表</w:t>
      </w:r>
      <w:r>
        <w:rPr>
          <w:rFonts w:hint="eastAsia" w:ascii="宋体" w:hAnsi="宋体" w:eastAsia="宋体" w:cs="宋体"/>
          <w:color w:val="auto"/>
          <w:kern w:val="0"/>
          <w:sz w:val="24"/>
          <w:szCs w:val="24"/>
          <w:highlight w:val="none"/>
          <w:lang w:val="zh-CN"/>
        </w:rPr>
        <w:t>人或授权委托人(签字</w:t>
      </w:r>
      <w:r>
        <w:rPr>
          <w:rFonts w:hint="eastAsia" w:ascii="宋体" w:hAnsi="宋体" w:eastAsia="宋体" w:cs="宋体"/>
          <w:color w:val="auto"/>
          <w:kern w:val="0"/>
          <w:sz w:val="24"/>
          <w:szCs w:val="24"/>
          <w:highlight w:val="none"/>
          <w:lang w:val="en-US" w:eastAsia="zh-CN"/>
        </w:rPr>
        <w:t>或盖章</w:t>
      </w:r>
      <w:r>
        <w:rPr>
          <w:rFonts w:hint="eastAsia" w:ascii="宋体" w:hAnsi="宋体" w:eastAsia="宋体" w:cs="宋体"/>
          <w:color w:val="auto"/>
          <w:kern w:val="0"/>
          <w:sz w:val="24"/>
          <w:szCs w:val="24"/>
          <w:highlight w:val="none"/>
          <w:lang w:val="zh-CN"/>
        </w:rPr>
        <w:t>)：</w:t>
      </w:r>
    </w:p>
    <w:p w14:paraId="0B8D491C">
      <w:pPr>
        <w:shd w:val="clear" w:color="auto" w:fill="auto"/>
        <w:adjustRightInd w:val="0"/>
        <w:snapToGrid w:val="0"/>
        <w:spacing w:line="360" w:lineRule="auto"/>
        <w:ind w:right="480"/>
        <w:outlineLvl w:val="0"/>
        <w:rPr>
          <w:rFonts w:hint="eastAsia" w:ascii="宋体" w:hAnsi="宋体" w:cs="宋体"/>
          <w:b/>
          <w:bCs/>
          <w:color w:val="auto"/>
          <w:sz w:val="28"/>
          <w:szCs w:val="28"/>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日期：</w:t>
      </w:r>
    </w:p>
    <w:p w14:paraId="36A1D5E9">
      <w:pPr>
        <w:shd w:val="clear" w:color="auto" w:fill="auto"/>
        <w:adjustRightInd w:val="0"/>
        <w:snapToGrid w:val="0"/>
        <w:spacing w:line="360" w:lineRule="auto"/>
        <w:ind w:right="480"/>
        <w:outlineLvl w:val="0"/>
        <w:rPr>
          <w:rFonts w:hint="eastAsia" w:ascii="宋体" w:hAnsi="宋体" w:cs="宋体"/>
          <w:b/>
          <w:bCs/>
          <w:color w:val="auto"/>
          <w:sz w:val="30"/>
          <w:szCs w:val="30"/>
          <w:highlight w:val="none"/>
        </w:rPr>
      </w:pPr>
      <w:r>
        <w:rPr>
          <w:rFonts w:hint="eastAsia" w:ascii="宋体" w:hAnsi="宋体" w:cs="宋体"/>
          <w:b/>
          <w:bCs/>
          <w:color w:val="auto"/>
          <w:sz w:val="28"/>
          <w:szCs w:val="28"/>
          <w:highlight w:val="none"/>
        </w:rPr>
        <w:t>附件5</w:t>
      </w:r>
      <w:bookmarkEnd w:id="146"/>
      <w:r>
        <w:rPr>
          <w:rFonts w:hint="eastAsia" w:ascii="宋体" w:hAnsi="宋体" w:cs="宋体"/>
          <w:b/>
          <w:bCs/>
          <w:color w:val="auto"/>
          <w:sz w:val="28"/>
          <w:szCs w:val="28"/>
          <w:highlight w:val="none"/>
        </w:rPr>
        <w:t>：</w:t>
      </w:r>
      <w:bookmarkEnd w:id="147"/>
      <w:bookmarkEnd w:id="148"/>
      <w:bookmarkEnd w:id="149"/>
      <w:bookmarkEnd w:id="150"/>
      <w:bookmarkEnd w:id="151"/>
    </w:p>
    <w:p w14:paraId="7AFCCABF">
      <w:pPr>
        <w:shd w:val="clear" w:color="auto" w:fill="auto"/>
        <w:spacing w:line="360" w:lineRule="auto"/>
        <w:ind w:firstLine="643" w:firstLineChars="200"/>
        <w:jc w:val="center"/>
        <w:rPr>
          <w:rFonts w:hint="eastAsia"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法定代表人授权委托书</w:t>
      </w:r>
    </w:p>
    <w:p w14:paraId="504CD9F9">
      <w:pPr>
        <w:shd w:val="clear" w:color="auto" w:fill="auto"/>
        <w:spacing w:line="360" w:lineRule="auto"/>
        <w:ind w:firstLine="420" w:firstLineChars="200"/>
        <w:rPr>
          <w:rFonts w:hint="eastAsia" w:ascii="宋体" w:hAnsi="宋体" w:cs="宋体"/>
          <w:color w:val="auto"/>
          <w:highlight w:val="none"/>
        </w:rPr>
      </w:pPr>
    </w:p>
    <w:p w14:paraId="12F70C04">
      <w:pPr>
        <w:shd w:val="clear" w:color="auto" w:fill="auto"/>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浙江五石中正工程咨询有限公司：</w:t>
      </w:r>
    </w:p>
    <w:p w14:paraId="0851F09C">
      <w:pPr>
        <w:shd w:val="clear" w:color="auto" w:fill="auto"/>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我单位全权委托</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rPr>
        <w:t>作为我单位合法代理人，参加</w:t>
      </w:r>
      <w:r>
        <w:rPr>
          <w:rFonts w:hint="eastAsia" w:ascii="宋体" w:hAnsi="宋体" w:cs="宋体"/>
          <w:color w:val="auto"/>
          <w:kern w:val="0"/>
          <w:sz w:val="24"/>
          <w:szCs w:val="24"/>
          <w:highlight w:val="none"/>
          <w:u w:val="single"/>
        </w:rPr>
        <w:t>（填写政府采购项目名称及编号）</w:t>
      </w:r>
      <w:r>
        <w:rPr>
          <w:rFonts w:hint="eastAsia" w:ascii="宋体" w:hAnsi="宋体" w:cs="宋体"/>
          <w:color w:val="auto"/>
          <w:kern w:val="0"/>
          <w:sz w:val="24"/>
          <w:szCs w:val="24"/>
          <w:highlight w:val="none"/>
        </w:rPr>
        <w:t>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0148B1C7">
      <w:pPr>
        <w:shd w:val="clear" w:color="auto" w:fill="auto"/>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特此委托</w:t>
      </w:r>
    </w:p>
    <w:p w14:paraId="60D84090">
      <w:pPr>
        <w:widowControl/>
        <w:shd w:val="clear" w:color="auto" w:fill="auto"/>
        <w:spacing w:line="360" w:lineRule="auto"/>
        <w:ind w:firstLine="480" w:firstLineChars="200"/>
        <w:rPr>
          <w:rFonts w:hint="eastAsia" w:ascii="宋体" w:hAnsi="宋体" w:cs="宋体"/>
          <w:color w:val="auto"/>
          <w:kern w:val="0"/>
          <w:sz w:val="24"/>
          <w:szCs w:val="24"/>
          <w:highlight w:val="none"/>
        </w:rPr>
      </w:pPr>
    </w:p>
    <w:p w14:paraId="5CBA515F">
      <w:pPr>
        <w:widowControl/>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代理人姓名（签字）：　　　　　日期：　　年　　月　　日</w:t>
      </w:r>
    </w:p>
    <w:p w14:paraId="04B410CF">
      <w:pPr>
        <w:widowControl/>
        <w:shd w:val="clear" w:color="auto" w:fill="auto"/>
        <w:spacing w:line="360" w:lineRule="auto"/>
        <w:ind w:firstLine="480" w:firstLineChars="200"/>
        <w:rPr>
          <w:rFonts w:hint="eastAsia" w:ascii="宋体" w:hAnsi="宋体" w:cs="宋体"/>
          <w:color w:val="auto"/>
          <w:kern w:val="0"/>
          <w:sz w:val="24"/>
          <w:szCs w:val="24"/>
          <w:highlight w:val="none"/>
        </w:rPr>
      </w:pPr>
    </w:p>
    <w:p w14:paraId="4B8E4993">
      <w:pPr>
        <w:widowControl/>
        <w:shd w:val="clear" w:color="auto" w:fill="auto"/>
        <w:spacing w:line="360" w:lineRule="auto"/>
        <w:ind w:firstLine="480" w:firstLineChars="200"/>
        <w:rPr>
          <w:rFonts w:hint="eastAsia" w:ascii="宋体" w:hAnsi="宋体" w:cs="宋体"/>
          <w:color w:val="auto"/>
          <w:kern w:val="0"/>
          <w:sz w:val="24"/>
          <w:szCs w:val="24"/>
          <w:highlight w:val="none"/>
        </w:rPr>
      </w:pPr>
    </w:p>
    <w:p w14:paraId="782A7973">
      <w:pPr>
        <w:widowControl/>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　　　　　日期：　　年　　月　　日</w:t>
      </w:r>
    </w:p>
    <w:p w14:paraId="017E6134">
      <w:pPr>
        <w:widowControl/>
        <w:shd w:val="clear" w:color="auto" w:fill="auto"/>
        <w:spacing w:line="360" w:lineRule="auto"/>
        <w:ind w:firstLine="480" w:firstLineChars="200"/>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（委托单位加盖公章）</w:t>
      </w:r>
    </w:p>
    <w:p w14:paraId="074BD982">
      <w:pPr>
        <w:shd w:val="clear" w:color="auto" w:fill="auto"/>
        <w:spacing w:line="360" w:lineRule="auto"/>
        <w:ind w:firstLine="480" w:firstLineChars="200"/>
        <w:jc w:val="left"/>
        <w:rPr>
          <w:rFonts w:hint="eastAsia" w:ascii="宋体" w:hAnsi="宋体" w:cs="宋体"/>
          <w:color w:val="auto"/>
          <w:kern w:val="0"/>
          <w:sz w:val="24"/>
          <w:szCs w:val="24"/>
          <w:highlight w:val="none"/>
        </w:rPr>
      </w:pPr>
    </w:p>
    <w:p w14:paraId="685E19CA">
      <w:pPr>
        <w:shd w:val="clear" w:color="auto" w:fill="auto"/>
        <w:spacing w:line="360" w:lineRule="auto"/>
        <w:ind w:firstLine="480" w:firstLineChars="200"/>
        <w:jc w:val="left"/>
        <w:rPr>
          <w:rFonts w:hint="eastAsia" w:ascii="宋体" w:hAnsi="宋体" w:cs="宋体"/>
          <w:color w:val="auto"/>
          <w:kern w:val="0"/>
          <w:sz w:val="24"/>
          <w:szCs w:val="24"/>
          <w:highlight w:val="none"/>
        </w:rPr>
      </w:pPr>
    </w:p>
    <w:p w14:paraId="47228D0D">
      <w:pPr>
        <w:shd w:val="clear" w:color="auto" w:fill="auto"/>
        <w:spacing w:line="360" w:lineRule="auto"/>
        <w:ind w:firstLine="480" w:firstLineChars="200"/>
        <w:jc w:val="left"/>
        <w:outlineLvl w:val="0"/>
        <w:rPr>
          <w:rFonts w:hint="eastAsia" w:ascii="宋体" w:hAnsi="宋体" w:cs="宋体"/>
          <w:color w:val="auto"/>
          <w:kern w:val="0"/>
          <w:sz w:val="24"/>
          <w:szCs w:val="24"/>
          <w:highlight w:val="none"/>
        </w:rPr>
      </w:pPr>
      <w:bookmarkStart w:id="152" w:name="_Toc2999"/>
      <w:bookmarkStart w:id="153" w:name="_Toc7789"/>
      <w:bookmarkStart w:id="154" w:name="_Toc12585"/>
      <w:bookmarkStart w:id="155" w:name="_Toc23500"/>
      <w:bookmarkStart w:id="156" w:name="_Toc1497520517"/>
      <w:r>
        <w:rPr>
          <w:rFonts w:hint="eastAsia" w:ascii="宋体" w:hAnsi="宋体" w:cs="宋体"/>
          <w:color w:val="auto"/>
          <w:kern w:val="0"/>
          <w:sz w:val="24"/>
          <w:szCs w:val="24"/>
          <w:highlight w:val="none"/>
        </w:rPr>
        <w:t>附：1、代理人身份证复印件（本人签名、日期，单位加盖公章）</w:t>
      </w:r>
      <w:bookmarkEnd w:id="152"/>
      <w:bookmarkEnd w:id="153"/>
      <w:bookmarkEnd w:id="154"/>
      <w:bookmarkEnd w:id="155"/>
      <w:bookmarkEnd w:id="156"/>
    </w:p>
    <w:p w14:paraId="5AF8B44B">
      <w:pPr>
        <w:shd w:val="clear" w:color="auto" w:fill="auto"/>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2、法定代表人身份证复印件（本人签名、日期，单位加盖公章）</w:t>
      </w:r>
    </w:p>
    <w:p w14:paraId="46F2CDBA">
      <w:pPr>
        <w:pStyle w:val="2"/>
        <w:shd w:val="clear" w:color="auto" w:fill="auto"/>
        <w:rPr>
          <w:rFonts w:hint="eastAsia" w:ascii="宋体" w:hAnsi="宋体" w:cs="宋体"/>
          <w:color w:val="auto"/>
          <w:highlight w:val="none"/>
          <w:lang w:val="zh-CN"/>
        </w:rPr>
      </w:pPr>
    </w:p>
    <w:p w14:paraId="2DFBA9B2">
      <w:pPr>
        <w:pStyle w:val="2"/>
        <w:shd w:val="clear" w:color="auto" w:fill="auto"/>
        <w:rPr>
          <w:rFonts w:hint="eastAsia" w:ascii="宋体" w:hAnsi="宋体" w:cs="宋体"/>
          <w:color w:val="auto"/>
          <w:highlight w:val="none"/>
          <w:lang w:val="zh-CN"/>
        </w:rPr>
      </w:pPr>
    </w:p>
    <w:p w14:paraId="150BA34F">
      <w:pPr>
        <w:pStyle w:val="2"/>
        <w:shd w:val="clear" w:color="auto" w:fill="auto"/>
        <w:rPr>
          <w:rFonts w:hint="eastAsia" w:ascii="宋体" w:hAnsi="宋体" w:cs="宋体"/>
          <w:color w:val="auto"/>
          <w:highlight w:val="none"/>
          <w:lang w:val="zh-CN"/>
        </w:rPr>
      </w:pPr>
    </w:p>
    <w:p w14:paraId="2D9F6EA4">
      <w:pPr>
        <w:pStyle w:val="2"/>
        <w:shd w:val="clear" w:color="auto" w:fill="auto"/>
        <w:rPr>
          <w:rFonts w:hint="eastAsia" w:ascii="宋体" w:hAnsi="宋体" w:cs="宋体"/>
          <w:color w:val="auto"/>
          <w:highlight w:val="none"/>
          <w:lang w:val="zh-CN"/>
        </w:rPr>
      </w:pPr>
    </w:p>
    <w:p w14:paraId="7E086D86">
      <w:pPr>
        <w:pStyle w:val="2"/>
        <w:shd w:val="clear" w:color="auto" w:fill="auto"/>
        <w:rPr>
          <w:rFonts w:hint="eastAsia" w:ascii="宋体" w:hAnsi="宋体" w:cs="宋体"/>
          <w:color w:val="auto"/>
          <w:highlight w:val="none"/>
          <w:lang w:val="zh-CN"/>
        </w:rPr>
      </w:pPr>
    </w:p>
    <w:p w14:paraId="2B0C7F2C">
      <w:pPr>
        <w:pStyle w:val="2"/>
        <w:shd w:val="clear" w:color="auto" w:fill="auto"/>
        <w:rPr>
          <w:rFonts w:hint="eastAsia" w:ascii="宋体" w:hAnsi="宋体" w:cs="宋体"/>
          <w:color w:val="auto"/>
          <w:highlight w:val="none"/>
          <w:lang w:val="zh-CN"/>
        </w:rPr>
      </w:pPr>
    </w:p>
    <w:p w14:paraId="31FDB2B6">
      <w:pPr>
        <w:pStyle w:val="2"/>
        <w:shd w:val="clear" w:color="auto" w:fill="auto"/>
        <w:rPr>
          <w:rFonts w:hint="eastAsia" w:ascii="宋体" w:hAnsi="宋体" w:cs="宋体"/>
          <w:color w:val="auto"/>
          <w:highlight w:val="none"/>
          <w:lang w:val="zh-CN"/>
        </w:rPr>
      </w:pPr>
    </w:p>
    <w:p w14:paraId="6B187B68">
      <w:pPr>
        <w:pStyle w:val="46"/>
        <w:shd w:val="clear" w:color="auto" w:fill="auto"/>
        <w:spacing w:before="0" w:beforeAutospacing="0" w:after="0" w:afterAutospacing="0" w:line="360" w:lineRule="auto"/>
        <w:rPr>
          <w:rFonts w:hint="eastAsia"/>
          <w:b/>
          <w:bCs/>
          <w:color w:val="auto"/>
          <w:sz w:val="28"/>
          <w:szCs w:val="28"/>
          <w:highlight w:val="none"/>
        </w:rPr>
      </w:pPr>
    </w:p>
    <w:p w14:paraId="1F43165E">
      <w:pPr>
        <w:pStyle w:val="46"/>
        <w:shd w:val="clear" w:color="auto" w:fill="auto"/>
        <w:spacing w:before="0" w:beforeAutospacing="0" w:after="0" w:afterAutospacing="0" w:line="360" w:lineRule="auto"/>
        <w:rPr>
          <w:rFonts w:hint="eastAsia"/>
          <w:b/>
          <w:bCs/>
          <w:color w:val="auto"/>
          <w:sz w:val="28"/>
          <w:szCs w:val="28"/>
          <w:highlight w:val="none"/>
        </w:rPr>
      </w:pPr>
    </w:p>
    <w:p w14:paraId="07484215">
      <w:pPr>
        <w:pStyle w:val="46"/>
        <w:shd w:val="clear" w:color="auto" w:fill="auto"/>
        <w:spacing w:before="0" w:beforeAutospacing="0" w:after="0" w:afterAutospacing="0" w:line="360" w:lineRule="auto"/>
        <w:outlineLvl w:val="0"/>
        <w:rPr>
          <w:rFonts w:hint="eastAsia"/>
          <w:b/>
          <w:bCs/>
          <w:color w:val="auto"/>
          <w:sz w:val="28"/>
          <w:szCs w:val="28"/>
          <w:highlight w:val="none"/>
        </w:rPr>
      </w:pPr>
      <w:bookmarkStart w:id="157" w:name="_Toc16493"/>
      <w:bookmarkStart w:id="158" w:name="_Toc318986379"/>
      <w:bookmarkStart w:id="159" w:name="_Toc22710"/>
      <w:bookmarkStart w:id="160" w:name="_Toc11342"/>
      <w:bookmarkStart w:id="161" w:name="_Toc5236"/>
      <w:bookmarkStart w:id="162" w:name="_Toc25944"/>
      <w:r>
        <w:rPr>
          <w:rFonts w:hint="eastAsia"/>
          <w:b/>
          <w:bCs/>
          <w:color w:val="auto"/>
          <w:sz w:val="28"/>
          <w:szCs w:val="28"/>
          <w:highlight w:val="none"/>
        </w:rPr>
        <w:t>附件</w:t>
      </w:r>
      <w:bookmarkEnd w:id="157"/>
      <w:r>
        <w:rPr>
          <w:rFonts w:hint="eastAsia"/>
          <w:b/>
          <w:bCs/>
          <w:color w:val="auto"/>
          <w:sz w:val="28"/>
          <w:szCs w:val="28"/>
          <w:highlight w:val="none"/>
        </w:rPr>
        <w:t>6：</w:t>
      </w:r>
      <w:bookmarkEnd w:id="158"/>
      <w:bookmarkEnd w:id="159"/>
      <w:bookmarkEnd w:id="160"/>
      <w:bookmarkEnd w:id="161"/>
      <w:bookmarkEnd w:id="162"/>
    </w:p>
    <w:p w14:paraId="15E012B6">
      <w:pPr>
        <w:pStyle w:val="46"/>
        <w:shd w:val="clear" w:color="auto" w:fill="auto"/>
        <w:spacing w:before="0" w:beforeAutospacing="0" w:after="0" w:afterAutospacing="0" w:line="360" w:lineRule="auto"/>
        <w:jc w:val="center"/>
        <w:rPr>
          <w:rFonts w:hint="eastAsia"/>
          <w:b/>
          <w:bCs/>
          <w:color w:val="auto"/>
          <w:spacing w:val="21"/>
          <w:sz w:val="32"/>
          <w:szCs w:val="32"/>
          <w:highlight w:val="none"/>
        </w:rPr>
      </w:pPr>
      <w:r>
        <w:rPr>
          <w:rFonts w:hint="eastAsia"/>
          <w:b/>
          <w:bCs/>
          <w:color w:val="auto"/>
          <w:sz w:val="32"/>
          <w:szCs w:val="32"/>
          <w:highlight w:val="none"/>
        </w:rPr>
        <w:t>投标</w:t>
      </w:r>
      <w:r>
        <w:rPr>
          <w:rFonts w:hint="eastAsia"/>
          <w:b/>
          <w:bCs/>
          <w:color w:val="auto"/>
          <w:spacing w:val="21"/>
          <w:sz w:val="32"/>
          <w:szCs w:val="32"/>
          <w:highlight w:val="none"/>
        </w:rPr>
        <w:t>人基本情况表</w:t>
      </w:r>
    </w:p>
    <w:tbl>
      <w:tblPr>
        <w:tblStyle w:val="27"/>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24"/>
        <w:gridCol w:w="759"/>
        <w:gridCol w:w="400"/>
        <w:gridCol w:w="783"/>
        <w:gridCol w:w="85"/>
        <w:gridCol w:w="1363"/>
        <w:gridCol w:w="375"/>
        <w:gridCol w:w="928"/>
        <w:gridCol w:w="408"/>
        <w:gridCol w:w="1244"/>
        <w:gridCol w:w="958"/>
      </w:tblGrid>
      <w:tr w14:paraId="4CED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7" w:type="dxa"/>
            <w:noWrap w:val="0"/>
            <w:vAlign w:val="top"/>
          </w:tcPr>
          <w:p w14:paraId="58164A8E">
            <w:pPr>
              <w:pStyle w:val="46"/>
              <w:keepNext w:val="0"/>
              <w:keepLines w:val="0"/>
              <w:suppressLineNumbers w:val="0"/>
              <w:shd w:val="clear" w:color="auto" w:fill="auto"/>
              <w:spacing w:line="360" w:lineRule="auto"/>
              <w:ind w:left="0" w:right="0"/>
              <w:rPr>
                <w:rFonts w:hint="eastAsia"/>
                <w:color w:val="auto"/>
                <w:highlight w:val="none"/>
              </w:rPr>
            </w:pPr>
            <w:r>
              <w:rPr>
                <w:rFonts w:hint="eastAsia"/>
                <w:color w:val="auto"/>
                <w:spacing w:val="27"/>
                <w:highlight w:val="none"/>
              </w:rPr>
              <w:t>企业名称</w:t>
            </w:r>
          </w:p>
        </w:tc>
        <w:tc>
          <w:tcPr>
            <w:tcW w:w="4489" w:type="dxa"/>
            <w:gridSpan w:val="7"/>
            <w:noWrap w:val="0"/>
            <w:vAlign w:val="top"/>
          </w:tcPr>
          <w:p w14:paraId="02ED2CF8">
            <w:pPr>
              <w:pStyle w:val="46"/>
              <w:keepNext w:val="0"/>
              <w:keepLines w:val="0"/>
              <w:suppressLineNumbers w:val="0"/>
              <w:shd w:val="clear" w:color="auto" w:fill="auto"/>
              <w:spacing w:line="360" w:lineRule="auto"/>
              <w:ind w:left="0" w:right="0"/>
              <w:rPr>
                <w:rFonts w:hint="eastAsia"/>
                <w:color w:val="auto"/>
                <w:highlight w:val="none"/>
              </w:rPr>
            </w:pPr>
          </w:p>
        </w:tc>
        <w:tc>
          <w:tcPr>
            <w:tcW w:w="1336" w:type="dxa"/>
            <w:gridSpan w:val="2"/>
            <w:noWrap w:val="0"/>
            <w:vAlign w:val="top"/>
          </w:tcPr>
          <w:p w14:paraId="11FE7ED6">
            <w:pPr>
              <w:pStyle w:val="46"/>
              <w:keepNext w:val="0"/>
              <w:keepLines w:val="0"/>
              <w:suppressLineNumbers w:val="0"/>
              <w:shd w:val="clear" w:color="auto" w:fill="auto"/>
              <w:spacing w:line="360" w:lineRule="auto"/>
              <w:ind w:left="0" w:right="0"/>
              <w:rPr>
                <w:rFonts w:hint="eastAsia"/>
                <w:color w:val="auto"/>
                <w:highlight w:val="none"/>
              </w:rPr>
            </w:pPr>
            <w:r>
              <w:rPr>
                <w:rFonts w:hint="eastAsia"/>
                <w:color w:val="auto"/>
                <w:spacing w:val="16"/>
                <w:highlight w:val="none"/>
              </w:rPr>
              <w:t>法人代表</w:t>
            </w:r>
          </w:p>
        </w:tc>
        <w:tc>
          <w:tcPr>
            <w:tcW w:w="2201" w:type="dxa"/>
            <w:gridSpan w:val="2"/>
            <w:noWrap w:val="0"/>
            <w:vAlign w:val="top"/>
          </w:tcPr>
          <w:p w14:paraId="4FA4B7B7">
            <w:pPr>
              <w:pStyle w:val="46"/>
              <w:keepNext w:val="0"/>
              <w:keepLines w:val="0"/>
              <w:suppressLineNumbers w:val="0"/>
              <w:shd w:val="clear" w:color="auto" w:fill="auto"/>
              <w:spacing w:line="360" w:lineRule="auto"/>
              <w:ind w:left="0" w:right="0"/>
              <w:rPr>
                <w:rFonts w:hint="eastAsia"/>
                <w:color w:val="auto"/>
                <w:highlight w:val="none"/>
              </w:rPr>
            </w:pPr>
          </w:p>
        </w:tc>
      </w:tr>
      <w:tr w14:paraId="2C14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77" w:type="dxa"/>
            <w:noWrap w:val="0"/>
            <w:vAlign w:val="top"/>
          </w:tcPr>
          <w:p w14:paraId="275E1C18">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27"/>
                <w:highlight w:val="none"/>
              </w:rPr>
              <w:t>地址</w:t>
            </w:r>
          </w:p>
        </w:tc>
        <w:tc>
          <w:tcPr>
            <w:tcW w:w="4489" w:type="dxa"/>
            <w:gridSpan w:val="7"/>
            <w:noWrap w:val="0"/>
            <w:vAlign w:val="top"/>
          </w:tcPr>
          <w:p w14:paraId="6F664F35">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336" w:type="dxa"/>
            <w:gridSpan w:val="2"/>
            <w:noWrap w:val="0"/>
            <w:vAlign w:val="top"/>
          </w:tcPr>
          <w:p w14:paraId="6EE7882E">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16"/>
                <w:highlight w:val="none"/>
              </w:rPr>
              <w:t>企业性质</w:t>
            </w:r>
          </w:p>
        </w:tc>
        <w:tc>
          <w:tcPr>
            <w:tcW w:w="2201" w:type="dxa"/>
            <w:gridSpan w:val="2"/>
            <w:noWrap w:val="0"/>
            <w:vAlign w:val="top"/>
          </w:tcPr>
          <w:p w14:paraId="0E7C5EF0">
            <w:pPr>
              <w:pStyle w:val="46"/>
              <w:keepNext w:val="0"/>
              <w:keepLines w:val="0"/>
              <w:suppressLineNumbers w:val="0"/>
              <w:shd w:val="clear" w:color="auto" w:fill="auto"/>
              <w:spacing w:line="360" w:lineRule="auto"/>
              <w:ind w:left="0" w:right="0"/>
              <w:rPr>
                <w:rFonts w:hint="eastAsia"/>
                <w:color w:val="auto"/>
                <w:spacing w:val="16"/>
                <w:highlight w:val="none"/>
              </w:rPr>
            </w:pPr>
          </w:p>
        </w:tc>
      </w:tr>
      <w:tr w14:paraId="3717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77" w:type="dxa"/>
            <w:noWrap w:val="0"/>
            <w:vAlign w:val="top"/>
          </w:tcPr>
          <w:p w14:paraId="0796FCF4">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27"/>
                <w:highlight w:val="none"/>
              </w:rPr>
              <w:t>股东姓名</w:t>
            </w:r>
          </w:p>
        </w:tc>
        <w:tc>
          <w:tcPr>
            <w:tcW w:w="724" w:type="dxa"/>
            <w:noWrap w:val="0"/>
            <w:vAlign w:val="top"/>
          </w:tcPr>
          <w:p w14:paraId="26AA6316">
            <w:pPr>
              <w:pStyle w:val="46"/>
              <w:keepNext w:val="0"/>
              <w:keepLines w:val="0"/>
              <w:suppressLineNumbers w:val="0"/>
              <w:shd w:val="clear" w:color="auto" w:fill="auto"/>
              <w:spacing w:before="0" w:beforeAutospacing="0" w:after="0" w:afterAutospacing="0" w:line="360" w:lineRule="auto"/>
              <w:ind w:left="0" w:right="0"/>
              <w:rPr>
                <w:rFonts w:hint="eastAsia"/>
                <w:color w:val="auto"/>
                <w:spacing w:val="16"/>
                <w:highlight w:val="none"/>
              </w:rPr>
            </w:pPr>
          </w:p>
        </w:tc>
        <w:tc>
          <w:tcPr>
            <w:tcW w:w="1159" w:type="dxa"/>
            <w:gridSpan w:val="2"/>
            <w:noWrap w:val="0"/>
            <w:vAlign w:val="top"/>
          </w:tcPr>
          <w:p w14:paraId="66FFD6DE">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16"/>
                <w:highlight w:val="none"/>
              </w:rPr>
              <w:t>股权结构（%）</w:t>
            </w:r>
          </w:p>
        </w:tc>
        <w:tc>
          <w:tcPr>
            <w:tcW w:w="2606" w:type="dxa"/>
            <w:gridSpan w:val="4"/>
            <w:noWrap w:val="0"/>
            <w:vAlign w:val="top"/>
          </w:tcPr>
          <w:p w14:paraId="0CA7D242">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auto"/>
                <w:spacing w:val="16"/>
                <w:kern w:val="0"/>
                <w:sz w:val="24"/>
                <w:szCs w:val="24"/>
                <w:highlight w:val="none"/>
              </w:rPr>
            </w:pPr>
          </w:p>
          <w:p w14:paraId="26AE30CF">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336" w:type="dxa"/>
            <w:gridSpan w:val="2"/>
            <w:noWrap w:val="0"/>
            <w:vAlign w:val="top"/>
          </w:tcPr>
          <w:p w14:paraId="4AE95A40">
            <w:pPr>
              <w:pStyle w:val="46"/>
              <w:keepNext w:val="0"/>
              <w:keepLines w:val="0"/>
              <w:suppressLineNumbers w:val="0"/>
              <w:shd w:val="clear" w:color="auto" w:fill="auto"/>
              <w:spacing w:line="360" w:lineRule="auto"/>
              <w:ind w:left="107" w:right="0"/>
              <w:rPr>
                <w:rFonts w:hint="eastAsia"/>
                <w:color w:val="auto"/>
                <w:spacing w:val="16"/>
                <w:highlight w:val="none"/>
              </w:rPr>
            </w:pPr>
            <w:r>
              <w:rPr>
                <w:rFonts w:hint="eastAsia"/>
                <w:color w:val="auto"/>
                <w:spacing w:val="16"/>
                <w:highlight w:val="none"/>
              </w:rPr>
              <w:t>股东关系</w:t>
            </w:r>
          </w:p>
        </w:tc>
        <w:tc>
          <w:tcPr>
            <w:tcW w:w="2201" w:type="dxa"/>
            <w:gridSpan w:val="2"/>
            <w:noWrap w:val="0"/>
            <w:vAlign w:val="top"/>
          </w:tcPr>
          <w:p w14:paraId="51E8227D">
            <w:pPr>
              <w:pStyle w:val="46"/>
              <w:keepNext w:val="0"/>
              <w:keepLines w:val="0"/>
              <w:suppressLineNumbers w:val="0"/>
              <w:shd w:val="clear" w:color="auto" w:fill="auto"/>
              <w:spacing w:line="360" w:lineRule="auto"/>
              <w:ind w:left="107" w:right="0"/>
              <w:rPr>
                <w:rFonts w:hint="eastAsia"/>
                <w:color w:val="auto"/>
                <w:spacing w:val="16"/>
                <w:highlight w:val="none"/>
              </w:rPr>
            </w:pPr>
          </w:p>
        </w:tc>
      </w:tr>
      <w:tr w14:paraId="7DA0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7" w:type="dxa"/>
            <w:vMerge w:val="restart"/>
            <w:noWrap w:val="0"/>
            <w:vAlign w:val="top"/>
          </w:tcPr>
          <w:p w14:paraId="0B54CFD8">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12"/>
                <w:highlight w:val="none"/>
              </w:rPr>
              <w:t>联系人</w:t>
            </w:r>
            <w:r>
              <w:rPr>
                <w:rFonts w:hint="eastAsia"/>
                <w:color w:val="auto"/>
                <w:spacing w:val="27"/>
                <w:highlight w:val="none"/>
              </w:rPr>
              <w:t>姓名</w:t>
            </w:r>
          </w:p>
        </w:tc>
        <w:tc>
          <w:tcPr>
            <w:tcW w:w="724" w:type="dxa"/>
            <w:vMerge w:val="restart"/>
            <w:tcBorders>
              <w:top w:val="nil"/>
            </w:tcBorders>
            <w:noWrap w:val="0"/>
            <w:vAlign w:val="top"/>
          </w:tcPr>
          <w:p w14:paraId="1360C5D8">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159" w:type="dxa"/>
            <w:gridSpan w:val="2"/>
            <w:tcBorders>
              <w:top w:val="nil"/>
            </w:tcBorders>
            <w:noWrap w:val="0"/>
            <w:vAlign w:val="top"/>
          </w:tcPr>
          <w:p w14:paraId="7B3BC59F">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16"/>
                <w:highlight w:val="none"/>
              </w:rPr>
              <w:t>固定电话</w:t>
            </w:r>
          </w:p>
        </w:tc>
        <w:tc>
          <w:tcPr>
            <w:tcW w:w="2606" w:type="dxa"/>
            <w:gridSpan w:val="4"/>
            <w:tcBorders>
              <w:top w:val="nil"/>
            </w:tcBorders>
            <w:noWrap w:val="0"/>
            <w:vAlign w:val="top"/>
          </w:tcPr>
          <w:p w14:paraId="0A6B4CD7">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auto"/>
                <w:spacing w:val="16"/>
                <w:kern w:val="0"/>
                <w:sz w:val="24"/>
                <w:szCs w:val="24"/>
                <w:highlight w:val="none"/>
              </w:rPr>
            </w:pPr>
          </w:p>
          <w:p w14:paraId="18DEB6EC">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336" w:type="dxa"/>
            <w:gridSpan w:val="2"/>
            <w:vMerge w:val="restart"/>
            <w:noWrap w:val="0"/>
            <w:vAlign w:val="top"/>
          </w:tcPr>
          <w:p w14:paraId="19FB5298">
            <w:pPr>
              <w:pStyle w:val="46"/>
              <w:keepNext w:val="0"/>
              <w:keepLines w:val="0"/>
              <w:suppressLineNumbers w:val="0"/>
              <w:shd w:val="clear" w:color="auto" w:fill="auto"/>
              <w:spacing w:before="0" w:beforeAutospacing="0" w:after="0" w:afterAutospacing="0" w:line="360" w:lineRule="auto"/>
              <w:ind w:left="0" w:right="0"/>
              <w:rPr>
                <w:rFonts w:hint="eastAsia"/>
                <w:color w:val="auto"/>
                <w:spacing w:val="16"/>
                <w:highlight w:val="none"/>
              </w:rPr>
            </w:pPr>
            <w:r>
              <w:rPr>
                <w:rFonts w:hint="eastAsia"/>
                <w:color w:val="auto"/>
                <w:spacing w:val="16"/>
                <w:highlight w:val="none"/>
              </w:rPr>
              <w:t>传真</w:t>
            </w:r>
          </w:p>
        </w:tc>
        <w:tc>
          <w:tcPr>
            <w:tcW w:w="2201" w:type="dxa"/>
            <w:gridSpan w:val="2"/>
            <w:vMerge w:val="restart"/>
            <w:noWrap w:val="0"/>
            <w:vAlign w:val="top"/>
          </w:tcPr>
          <w:p w14:paraId="73B692E0">
            <w:pPr>
              <w:pStyle w:val="46"/>
              <w:keepNext w:val="0"/>
              <w:keepLines w:val="0"/>
              <w:suppressLineNumbers w:val="0"/>
              <w:shd w:val="clear" w:color="auto" w:fill="auto"/>
              <w:spacing w:line="360" w:lineRule="auto"/>
              <w:ind w:left="0" w:right="0"/>
              <w:rPr>
                <w:rFonts w:hint="eastAsia"/>
                <w:color w:val="auto"/>
                <w:spacing w:val="16"/>
                <w:highlight w:val="none"/>
              </w:rPr>
            </w:pPr>
          </w:p>
        </w:tc>
      </w:tr>
      <w:tr w14:paraId="644A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77" w:type="dxa"/>
            <w:vMerge w:val="continue"/>
            <w:noWrap w:val="0"/>
            <w:vAlign w:val="top"/>
          </w:tcPr>
          <w:p w14:paraId="13BFFFA7">
            <w:pPr>
              <w:pStyle w:val="46"/>
              <w:keepNext w:val="0"/>
              <w:keepLines w:val="0"/>
              <w:suppressLineNumbers w:val="0"/>
              <w:shd w:val="clear" w:color="auto" w:fill="auto"/>
              <w:spacing w:line="360" w:lineRule="auto"/>
              <w:ind w:left="107" w:right="0"/>
              <w:rPr>
                <w:rFonts w:hint="eastAsia"/>
                <w:color w:val="auto"/>
                <w:highlight w:val="none"/>
              </w:rPr>
            </w:pPr>
          </w:p>
        </w:tc>
        <w:tc>
          <w:tcPr>
            <w:tcW w:w="724" w:type="dxa"/>
            <w:vMerge w:val="continue"/>
            <w:noWrap w:val="0"/>
            <w:vAlign w:val="top"/>
          </w:tcPr>
          <w:p w14:paraId="2F7FC581">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159" w:type="dxa"/>
            <w:gridSpan w:val="2"/>
            <w:noWrap w:val="0"/>
            <w:vAlign w:val="top"/>
          </w:tcPr>
          <w:p w14:paraId="67265606">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27"/>
                <w:highlight w:val="none"/>
              </w:rPr>
              <w:t>手机</w:t>
            </w:r>
          </w:p>
        </w:tc>
        <w:tc>
          <w:tcPr>
            <w:tcW w:w="2606" w:type="dxa"/>
            <w:gridSpan w:val="4"/>
            <w:noWrap w:val="0"/>
            <w:vAlign w:val="top"/>
          </w:tcPr>
          <w:p w14:paraId="55C0E447">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336" w:type="dxa"/>
            <w:gridSpan w:val="2"/>
            <w:vMerge w:val="continue"/>
            <w:noWrap w:val="0"/>
            <w:vAlign w:val="top"/>
          </w:tcPr>
          <w:p w14:paraId="009F7388">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2201" w:type="dxa"/>
            <w:gridSpan w:val="2"/>
            <w:vMerge w:val="continue"/>
            <w:noWrap w:val="0"/>
            <w:vAlign w:val="top"/>
          </w:tcPr>
          <w:p w14:paraId="16BC92A5">
            <w:pPr>
              <w:pStyle w:val="46"/>
              <w:keepNext w:val="0"/>
              <w:keepLines w:val="0"/>
              <w:suppressLineNumbers w:val="0"/>
              <w:shd w:val="clear" w:color="auto" w:fill="auto"/>
              <w:spacing w:line="360" w:lineRule="auto"/>
              <w:ind w:left="0" w:right="0"/>
              <w:rPr>
                <w:rFonts w:hint="eastAsia"/>
                <w:color w:val="auto"/>
                <w:spacing w:val="16"/>
                <w:highlight w:val="none"/>
              </w:rPr>
            </w:pPr>
          </w:p>
        </w:tc>
      </w:tr>
      <w:tr w14:paraId="6FCF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77" w:type="dxa"/>
            <w:vMerge w:val="restart"/>
            <w:noWrap w:val="0"/>
            <w:vAlign w:val="top"/>
          </w:tcPr>
          <w:p w14:paraId="5A7CF051">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highlight w:val="none"/>
              </w:rPr>
              <w:t>1.</w:t>
            </w:r>
          </w:p>
          <w:p w14:paraId="6AC8EEAE">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highlight w:val="none"/>
              </w:rPr>
              <w:t>企</w:t>
            </w:r>
          </w:p>
          <w:p w14:paraId="75B4412B">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highlight w:val="none"/>
              </w:rPr>
              <w:t>业</w:t>
            </w:r>
          </w:p>
          <w:p w14:paraId="6F8EB545">
            <w:pPr>
              <w:pStyle w:val="46"/>
              <w:keepNext w:val="0"/>
              <w:keepLines w:val="0"/>
              <w:suppressLineNumbers w:val="0"/>
              <w:shd w:val="clear" w:color="auto" w:fill="auto"/>
              <w:spacing w:line="360" w:lineRule="auto"/>
              <w:ind w:left="107" w:right="0"/>
              <w:rPr>
                <w:rFonts w:hint="eastAsia"/>
                <w:color w:val="auto"/>
                <w:spacing w:val="27"/>
                <w:highlight w:val="none"/>
              </w:rPr>
            </w:pPr>
            <w:r>
              <w:rPr>
                <w:rFonts w:hint="eastAsia"/>
                <w:color w:val="auto"/>
                <w:spacing w:val="27"/>
                <w:highlight w:val="none"/>
              </w:rPr>
              <w:t>概</w:t>
            </w:r>
          </w:p>
          <w:p w14:paraId="18019221">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spacing w:val="27"/>
                <w:highlight w:val="none"/>
              </w:rPr>
              <w:t>况</w:t>
            </w:r>
          </w:p>
        </w:tc>
        <w:tc>
          <w:tcPr>
            <w:tcW w:w="724" w:type="dxa"/>
            <w:tcBorders>
              <w:top w:val="nil"/>
            </w:tcBorders>
            <w:noWrap w:val="0"/>
            <w:vAlign w:val="top"/>
          </w:tcPr>
          <w:p w14:paraId="1CAF03BD">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16"/>
                <w:highlight w:val="none"/>
              </w:rPr>
              <w:t>职工人数</w:t>
            </w:r>
          </w:p>
        </w:tc>
        <w:tc>
          <w:tcPr>
            <w:tcW w:w="1159" w:type="dxa"/>
            <w:gridSpan w:val="2"/>
            <w:tcBorders>
              <w:top w:val="nil"/>
            </w:tcBorders>
            <w:noWrap w:val="0"/>
            <w:vAlign w:val="top"/>
          </w:tcPr>
          <w:p w14:paraId="729EFA66">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868" w:type="dxa"/>
            <w:gridSpan w:val="2"/>
            <w:tcBorders>
              <w:top w:val="nil"/>
            </w:tcBorders>
            <w:noWrap w:val="0"/>
            <w:vAlign w:val="top"/>
          </w:tcPr>
          <w:p w14:paraId="4E995C87">
            <w:pPr>
              <w:pStyle w:val="46"/>
              <w:keepNext w:val="0"/>
              <w:keepLines w:val="0"/>
              <w:suppressLineNumbers w:val="0"/>
              <w:shd w:val="clear" w:color="auto" w:fill="auto"/>
              <w:spacing w:before="0" w:beforeAutospacing="0" w:after="0" w:afterAutospacing="0" w:line="360" w:lineRule="auto"/>
              <w:ind w:left="0" w:right="0"/>
              <w:rPr>
                <w:rFonts w:hint="eastAsia"/>
                <w:color w:val="auto"/>
                <w:highlight w:val="none"/>
              </w:rPr>
            </w:pPr>
            <w:r>
              <w:rPr>
                <w:rFonts w:hint="eastAsia"/>
                <w:color w:val="auto"/>
                <w:spacing w:val="18"/>
                <w:highlight w:val="none"/>
              </w:rPr>
              <w:t>具备大专以</w:t>
            </w:r>
            <w:r>
              <w:rPr>
                <w:rFonts w:hint="eastAsia"/>
                <w:color w:val="auto"/>
                <w:spacing w:val="12"/>
                <w:highlight w:val="none"/>
              </w:rPr>
              <w:t>上学历人数</w:t>
            </w:r>
          </w:p>
        </w:tc>
        <w:tc>
          <w:tcPr>
            <w:tcW w:w="1738" w:type="dxa"/>
            <w:gridSpan w:val="2"/>
            <w:tcBorders>
              <w:top w:val="nil"/>
            </w:tcBorders>
            <w:noWrap w:val="0"/>
            <w:vAlign w:val="top"/>
          </w:tcPr>
          <w:p w14:paraId="79EAFCBD">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auto"/>
                <w:spacing w:val="16"/>
                <w:kern w:val="0"/>
                <w:sz w:val="24"/>
                <w:szCs w:val="24"/>
                <w:highlight w:val="none"/>
              </w:rPr>
            </w:pPr>
          </w:p>
          <w:p w14:paraId="3C732017">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auto"/>
                <w:spacing w:val="16"/>
                <w:kern w:val="0"/>
                <w:sz w:val="24"/>
                <w:szCs w:val="24"/>
                <w:highlight w:val="none"/>
              </w:rPr>
            </w:pPr>
          </w:p>
          <w:p w14:paraId="10E52E08">
            <w:pPr>
              <w:pStyle w:val="46"/>
              <w:keepNext w:val="0"/>
              <w:keepLines w:val="0"/>
              <w:suppressLineNumbers w:val="0"/>
              <w:shd w:val="clear" w:color="auto" w:fill="auto"/>
              <w:spacing w:line="360" w:lineRule="auto"/>
              <w:ind w:left="0" w:right="0"/>
              <w:rPr>
                <w:rFonts w:hint="eastAsia"/>
                <w:color w:val="auto"/>
                <w:spacing w:val="16"/>
                <w:highlight w:val="none"/>
              </w:rPr>
            </w:pPr>
          </w:p>
        </w:tc>
        <w:tc>
          <w:tcPr>
            <w:tcW w:w="1336" w:type="dxa"/>
            <w:gridSpan w:val="2"/>
            <w:noWrap w:val="0"/>
            <w:vAlign w:val="top"/>
          </w:tcPr>
          <w:p w14:paraId="45F4B1B2">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65"/>
                <w:highlight w:val="none"/>
              </w:rPr>
              <w:t>国家授予技</w:t>
            </w:r>
            <w:r>
              <w:rPr>
                <w:rFonts w:hint="eastAsia"/>
                <w:color w:val="auto"/>
                <w:spacing w:val="12"/>
                <w:highlight w:val="none"/>
              </w:rPr>
              <w:t>术职称人数</w:t>
            </w:r>
          </w:p>
        </w:tc>
        <w:tc>
          <w:tcPr>
            <w:tcW w:w="2201" w:type="dxa"/>
            <w:gridSpan w:val="2"/>
            <w:noWrap w:val="0"/>
            <w:vAlign w:val="top"/>
          </w:tcPr>
          <w:p w14:paraId="47997E31">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auto"/>
                <w:spacing w:val="16"/>
                <w:kern w:val="0"/>
                <w:sz w:val="24"/>
                <w:szCs w:val="24"/>
                <w:highlight w:val="none"/>
              </w:rPr>
            </w:pPr>
          </w:p>
          <w:p w14:paraId="3A4763DA">
            <w:pPr>
              <w:pStyle w:val="46"/>
              <w:keepNext w:val="0"/>
              <w:keepLines w:val="0"/>
              <w:suppressLineNumbers w:val="0"/>
              <w:shd w:val="clear" w:color="auto" w:fill="auto"/>
              <w:spacing w:line="360" w:lineRule="auto"/>
              <w:ind w:left="0" w:right="0"/>
              <w:rPr>
                <w:rFonts w:hint="eastAsia"/>
                <w:color w:val="auto"/>
                <w:spacing w:val="16"/>
                <w:highlight w:val="none"/>
              </w:rPr>
            </w:pPr>
          </w:p>
        </w:tc>
      </w:tr>
      <w:tr w14:paraId="2667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77" w:type="dxa"/>
            <w:vMerge w:val="continue"/>
            <w:noWrap w:val="0"/>
            <w:vAlign w:val="top"/>
          </w:tcPr>
          <w:p w14:paraId="5BC5A2BB">
            <w:pPr>
              <w:pStyle w:val="46"/>
              <w:keepNext w:val="0"/>
              <w:keepLines w:val="0"/>
              <w:suppressLineNumbers w:val="0"/>
              <w:shd w:val="clear" w:color="auto" w:fill="auto"/>
              <w:spacing w:line="360" w:lineRule="auto"/>
              <w:ind w:left="107" w:right="0"/>
              <w:rPr>
                <w:rFonts w:hint="eastAsia"/>
                <w:color w:val="auto"/>
                <w:highlight w:val="none"/>
              </w:rPr>
            </w:pPr>
          </w:p>
        </w:tc>
        <w:tc>
          <w:tcPr>
            <w:tcW w:w="724" w:type="dxa"/>
            <w:noWrap w:val="0"/>
            <w:vAlign w:val="top"/>
          </w:tcPr>
          <w:p w14:paraId="29FFA589">
            <w:pPr>
              <w:pStyle w:val="46"/>
              <w:keepNext w:val="0"/>
              <w:keepLines w:val="0"/>
              <w:suppressLineNumbers w:val="0"/>
              <w:shd w:val="clear" w:color="auto" w:fill="auto"/>
              <w:spacing w:line="360" w:lineRule="auto"/>
              <w:ind w:left="0" w:right="0"/>
              <w:rPr>
                <w:rFonts w:hint="eastAsia"/>
                <w:color w:val="auto"/>
                <w:highlight w:val="none"/>
              </w:rPr>
            </w:pPr>
            <w:r>
              <w:rPr>
                <w:rFonts w:hint="eastAsia"/>
                <w:color w:val="auto"/>
                <w:spacing w:val="16"/>
                <w:highlight w:val="none"/>
              </w:rPr>
              <w:t>占地面积</w:t>
            </w:r>
          </w:p>
        </w:tc>
        <w:tc>
          <w:tcPr>
            <w:tcW w:w="1159" w:type="dxa"/>
            <w:gridSpan w:val="2"/>
            <w:noWrap w:val="0"/>
            <w:vAlign w:val="top"/>
          </w:tcPr>
          <w:p w14:paraId="14F90330">
            <w:pPr>
              <w:pStyle w:val="46"/>
              <w:keepNext w:val="0"/>
              <w:keepLines w:val="0"/>
              <w:suppressLineNumbers w:val="0"/>
              <w:shd w:val="clear" w:color="auto" w:fill="auto"/>
              <w:spacing w:line="360" w:lineRule="auto"/>
              <w:ind w:left="0" w:right="0"/>
              <w:rPr>
                <w:rFonts w:hint="eastAsia"/>
                <w:color w:val="auto"/>
                <w:highlight w:val="none"/>
              </w:rPr>
            </w:pPr>
          </w:p>
        </w:tc>
        <w:tc>
          <w:tcPr>
            <w:tcW w:w="868" w:type="dxa"/>
            <w:gridSpan w:val="2"/>
            <w:noWrap w:val="0"/>
            <w:vAlign w:val="top"/>
          </w:tcPr>
          <w:p w14:paraId="5EDDD6EF">
            <w:pPr>
              <w:pStyle w:val="46"/>
              <w:keepNext w:val="0"/>
              <w:keepLines w:val="0"/>
              <w:suppressLineNumbers w:val="0"/>
              <w:shd w:val="clear" w:color="auto" w:fill="auto"/>
              <w:spacing w:line="360" w:lineRule="auto"/>
              <w:ind w:left="0" w:right="0"/>
              <w:rPr>
                <w:rFonts w:hint="eastAsia"/>
                <w:color w:val="auto"/>
                <w:highlight w:val="none"/>
              </w:rPr>
            </w:pPr>
            <w:r>
              <w:rPr>
                <w:rFonts w:hint="eastAsia"/>
                <w:color w:val="auto"/>
                <w:spacing w:val="16"/>
                <w:highlight w:val="none"/>
              </w:rPr>
              <w:t>建筑面积</w:t>
            </w:r>
          </w:p>
        </w:tc>
        <w:tc>
          <w:tcPr>
            <w:tcW w:w="1738" w:type="dxa"/>
            <w:gridSpan w:val="2"/>
            <w:noWrap w:val="0"/>
            <w:vAlign w:val="top"/>
          </w:tcPr>
          <w:p w14:paraId="6DBA8074">
            <w:pPr>
              <w:pStyle w:val="46"/>
              <w:keepNext w:val="0"/>
              <w:keepLines w:val="0"/>
              <w:suppressLineNumbers w:val="0"/>
              <w:shd w:val="clear" w:color="auto" w:fill="auto"/>
              <w:spacing w:line="360" w:lineRule="auto"/>
              <w:ind w:left="0" w:right="0" w:firstLine="480" w:firstLineChars="200"/>
              <w:rPr>
                <w:rFonts w:hint="eastAsia"/>
                <w:color w:val="auto"/>
                <w:highlight w:val="none"/>
              </w:rPr>
            </w:pPr>
            <w:r>
              <w:rPr>
                <w:rFonts w:hint="eastAsia"/>
                <w:color w:val="auto"/>
                <w:highlight w:val="none"/>
              </w:rPr>
              <w:t>平方米</w:t>
            </w:r>
            <w:r>
              <w:rPr>
                <w:rFonts w:hint="eastAsia"/>
                <w:color w:val="auto"/>
                <w:spacing w:val="16"/>
                <w:highlight w:val="none"/>
              </w:rPr>
              <w:t>□自有□租赁</w:t>
            </w:r>
          </w:p>
        </w:tc>
        <w:tc>
          <w:tcPr>
            <w:tcW w:w="1336" w:type="dxa"/>
            <w:gridSpan w:val="2"/>
            <w:noWrap w:val="0"/>
            <w:vAlign w:val="top"/>
          </w:tcPr>
          <w:p w14:paraId="2D00C321">
            <w:pPr>
              <w:pStyle w:val="46"/>
              <w:keepNext w:val="0"/>
              <w:keepLines w:val="0"/>
              <w:suppressLineNumbers w:val="0"/>
              <w:shd w:val="clear" w:color="auto" w:fill="auto"/>
              <w:spacing w:line="360" w:lineRule="auto"/>
              <w:ind w:left="0" w:right="0"/>
              <w:rPr>
                <w:rFonts w:hint="eastAsia"/>
                <w:color w:val="auto"/>
                <w:highlight w:val="none"/>
              </w:rPr>
            </w:pPr>
            <w:r>
              <w:rPr>
                <w:rFonts w:hint="eastAsia"/>
                <w:color w:val="auto"/>
                <w:spacing w:val="16"/>
                <w:highlight w:val="none"/>
              </w:rPr>
              <w:t>生产经营场所及场所的设施与设备</w:t>
            </w:r>
          </w:p>
        </w:tc>
        <w:tc>
          <w:tcPr>
            <w:tcW w:w="2201" w:type="dxa"/>
            <w:gridSpan w:val="2"/>
            <w:noWrap w:val="0"/>
            <w:vAlign w:val="top"/>
          </w:tcPr>
          <w:p w14:paraId="71EE4785">
            <w:pPr>
              <w:pStyle w:val="46"/>
              <w:keepNext w:val="0"/>
              <w:keepLines w:val="0"/>
              <w:suppressLineNumbers w:val="0"/>
              <w:shd w:val="clear" w:color="auto" w:fill="auto"/>
              <w:spacing w:before="0" w:beforeAutospacing="0" w:after="0" w:afterAutospacing="0" w:line="360" w:lineRule="auto"/>
              <w:ind w:left="0" w:right="0"/>
              <w:rPr>
                <w:rFonts w:hint="eastAsia"/>
                <w:color w:val="auto"/>
                <w:spacing w:val="16"/>
                <w:highlight w:val="none"/>
              </w:rPr>
            </w:pPr>
          </w:p>
        </w:tc>
      </w:tr>
      <w:tr w14:paraId="6CA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77" w:type="dxa"/>
            <w:vMerge w:val="continue"/>
            <w:noWrap w:val="0"/>
            <w:vAlign w:val="top"/>
          </w:tcPr>
          <w:p w14:paraId="645C4064">
            <w:pPr>
              <w:pStyle w:val="46"/>
              <w:keepNext w:val="0"/>
              <w:keepLines w:val="0"/>
              <w:suppressLineNumbers w:val="0"/>
              <w:shd w:val="clear" w:color="auto" w:fill="auto"/>
              <w:spacing w:line="360" w:lineRule="auto"/>
              <w:ind w:left="107" w:right="0"/>
              <w:rPr>
                <w:rFonts w:hint="eastAsia"/>
                <w:color w:val="auto"/>
                <w:highlight w:val="none"/>
              </w:rPr>
            </w:pPr>
          </w:p>
        </w:tc>
        <w:tc>
          <w:tcPr>
            <w:tcW w:w="724" w:type="dxa"/>
            <w:noWrap w:val="0"/>
            <w:vAlign w:val="top"/>
          </w:tcPr>
          <w:p w14:paraId="74361AE6">
            <w:pPr>
              <w:pStyle w:val="46"/>
              <w:keepNext w:val="0"/>
              <w:keepLines w:val="0"/>
              <w:suppressLineNumbers w:val="0"/>
              <w:shd w:val="clear" w:color="auto" w:fill="auto"/>
              <w:spacing w:line="360" w:lineRule="auto"/>
              <w:ind w:left="2" w:right="0"/>
              <w:rPr>
                <w:rFonts w:hint="eastAsia"/>
                <w:color w:val="auto"/>
                <w:spacing w:val="16"/>
                <w:highlight w:val="none"/>
              </w:rPr>
            </w:pPr>
            <w:r>
              <w:rPr>
                <w:rFonts w:hint="eastAsia"/>
                <w:color w:val="auto"/>
                <w:spacing w:val="16"/>
                <w:highlight w:val="none"/>
              </w:rPr>
              <w:t>注册资金</w:t>
            </w:r>
          </w:p>
        </w:tc>
        <w:tc>
          <w:tcPr>
            <w:tcW w:w="1159" w:type="dxa"/>
            <w:gridSpan w:val="2"/>
            <w:noWrap w:val="0"/>
            <w:vAlign w:val="top"/>
          </w:tcPr>
          <w:p w14:paraId="29DE1D06">
            <w:pPr>
              <w:pStyle w:val="46"/>
              <w:keepNext w:val="0"/>
              <w:keepLines w:val="0"/>
              <w:suppressLineNumbers w:val="0"/>
              <w:shd w:val="clear" w:color="auto" w:fill="auto"/>
              <w:spacing w:line="360" w:lineRule="auto"/>
              <w:ind w:left="2" w:right="0"/>
              <w:rPr>
                <w:rFonts w:hint="eastAsia"/>
                <w:color w:val="auto"/>
                <w:highlight w:val="none"/>
              </w:rPr>
            </w:pPr>
          </w:p>
        </w:tc>
        <w:tc>
          <w:tcPr>
            <w:tcW w:w="868" w:type="dxa"/>
            <w:gridSpan w:val="2"/>
            <w:noWrap w:val="0"/>
            <w:vAlign w:val="top"/>
          </w:tcPr>
          <w:p w14:paraId="2E9C8E4F">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spacing w:val="16"/>
                <w:highlight w:val="none"/>
              </w:rPr>
              <w:t>注册发证</w:t>
            </w:r>
            <w:r>
              <w:rPr>
                <w:rFonts w:hint="eastAsia"/>
                <w:color w:val="auto"/>
                <w:spacing w:val="27"/>
                <w:highlight w:val="none"/>
              </w:rPr>
              <w:t>机关</w:t>
            </w:r>
          </w:p>
        </w:tc>
        <w:tc>
          <w:tcPr>
            <w:tcW w:w="3074" w:type="dxa"/>
            <w:gridSpan w:val="4"/>
            <w:noWrap w:val="0"/>
            <w:vAlign w:val="top"/>
          </w:tcPr>
          <w:p w14:paraId="7FD1DAFF">
            <w:pPr>
              <w:keepNext w:val="0"/>
              <w:keepLines w:val="0"/>
              <w:widowControl/>
              <w:suppressLineNumbers w:val="0"/>
              <w:shd w:val="clear" w:color="auto" w:fill="auto"/>
              <w:spacing w:before="0" w:beforeAutospacing="0" w:after="0" w:afterAutospacing="0" w:line="360" w:lineRule="auto"/>
              <w:ind w:left="0" w:right="0"/>
              <w:jc w:val="left"/>
              <w:rPr>
                <w:rFonts w:hint="eastAsia" w:ascii="宋体" w:hAnsi="宋体" w:cs="宋体"/>
                <w:color w:val="auto"/>
                <w:kern w:val="0"/>
                <w:sz w:val="24"/>
                <w:szCs w:val="24"/>
                <w:highlight w:val="none"/>
              </w:rPr>
            </w:pPr>
          </w:p>
          <w:p w14:paraId="395A5B77">
            <w:pPr>
              <w:pStyle w:val="46"/>
              <w:keepNext w:val="0"/>
              <w:keepLines w:val="0"/>
              <w:suppressLineNumbers w:val="0"/>
              <w:shd w:val="clear" w:color="auto" w:fill="auto"/>
              <w:spacing w:line="360" w:lineRule="auto"/>
              <w:ind w:left="107" w:right="0"/>
              <w:rPr>
                <w:rFonts w:hint="eastAsia"/>
                <w:color w:val="auto"/>
                <w:highlight w:val="none"/>
              </w:rPr>
            </w:pPr>
          </w:p>
        </w:tc>
        <w:tc>
          <w:tcPr>
            <w:tcW w:w="1244" w:type="dxa"/>
            <w:noWrap w:val="0"/>
            <w:vAlign w:val="top"/>
          </w:tcPr>
          <w:p w14:paraId="47315014">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highlight w:val="none"/>
              </w:rPr>
              <w:t>公司成</w:t>
            </w:r>
            <w:r>
              <w:rPr>
                <w:rFonts w:hint="eastAsia"/>
                <w:color w:val="auto"/>
                <w:spacing w:val="12"/>
                <w:highlight w:val="none"/>
              </w:rPr>
              <w:t>立时间</w:t>
            </w:r>
          </w:p>
        </w:tc>
        <w:tc>
          <w:tcPr>
            <w:tcW w:w="958" w:type="dxa"/>
            <w:noWrap w:val="0"/>
            <w:vAlign w:val="top"/>
          </w:tcPr>
          <w:p w14:paraId="48E87296">
            <w:pPr>
              <w:pStyle w:val="46"/>
              <w:keepNext w:val="0"/>
              <w:keepLines w:val="0"/>
              <w:suppressLineNumbers w:val="0"/>
              <w:shd w:val="clear" w:color="auto" w:fill="auto"/>
              <w:spacing w:line="360" w:lineRule="auto"/>
              <w:ind w:left="107" w:right="0"/>
              <w:rPr>
                <w:rFonts w:hint="eastAsia"/>
                <w:color w:val="auto"/>
                <w:highlight w:val="none"/>
              </w:rPr>
            </w:pPr>
          </w:p>
        </w:tc>
      </w:tr>
      <w:tr w14:paraId="33EB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77" w:type="dxa"/>
            <w:vMerge w:val="continue"/>
            <w:noWrap w:val="0"/>
            <w:vAlign w:val="top"/>
          </w:tcPr>
          <w:p w14:paraId="5A947EF6">
            <w:pPr>
              <w:pStyle w:val="46"/>
              <w:keepNext w:val="0"/>
              <w:keepLines w:val="0"/>
              <w:suppressLineNumbers w:val="0"/>
              <w:shd w:val="clear" w:color="auto" w:fill="auto"/>
              <w:spacing w:line="360" w:lineRule="auto"/>
              <w:ind w:left="107" w:right="0"/>
              <w:rPr>
                <w:rFonts w:hint="eastAsia"/>
                <w:color w:val="auto"/>
                <w:highlight w:val="none"/>
              </w:rPr>
            </w:pPr>
          </w:p>
        </w:tc>
        <w:tc>
          <w:tcPr>
            <w:tcW w:w="724" w:type="dxa"/>
            <w:noWrap w:val="0"/>
            <w:vAlign w:val="top"/>
          </w:tcPr>
          <w:p w14:paraId="1BDC5427">
            <w:pPr>
              <w:pStyle w:val="46"/>
              <w:keepNext w:val="0"/>
              <w:keepLines w:val="0"/>
              <w:suppressLineNumbers w:val="0"/>
              <w:shd w:val="clear" w:color="auto" w:fill="auto"/>
              <w:spacing w:line="360" w:lineRule="auto"/>
              <w:ind w:left="2" w:right="0"/>
              <w:rPr>
                <w:rFonts w:hint="eastAsia"/>
                <w:color w:val="auto"/>
                <w:highlight w:val="none"/>
              </w:rPr>
            </w:pPr>
            <w:r>
              <w:rPr>
                <w:rFonts w:hint="eastAsia"/>
                <w:color w:val="auto"/>
                <w:highlight w:val="none"/>
              </w:rPr>
              <w:t>核准经营范围</w:t>
            </w:r>
          </w:p>
        </w:tc>
        <w:tc>
          <w:tcPr>
            <w:tcW w:w="7302" w:type="dxa"/>
            <w:gridSpan w:val="10"/>
            <w:noWrap w:val="0"/>
            <w:vAlign w:val="top"/>
          </w:tcPr>
          <w:p w14:paraId="22F10891">
            <w:pPr>
              <w:pStyle w:val="46"/>
              <w:keepNext w:val="0"/>
              <w:keepLines w:val="0"/>
              <w:suppressLineNumbers w:val="0"/>
              <w:shd w:val="clear" w:color="auto" w:fill="auto"/>
              <w:spacing w:line="360" w:lineRule="auto"/>
              <w:ind w:left="107" w:right="0"/>
              <w:rPr>
                <w:rFonts w:hint="eastAsia"/>
                <w:color w:val="auto"/>
                <w:highlight w:val="none"/>
              </w:rPr>
            </w:pPr>
          </w:p>
        </w:tc>
      </w:tr>
      <w:tr w14:paraId="3573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77" w:type="dxa"/>
            <w:vMerge w:val="continue"/>
            <w:noWrap w:val="0"/>
            <w:vAlign w:val="top"/>
          </w:tcPr>
          <w:p w14:paraId="78BFBD1E">
            <w:pPr>
              <w:pStyle w:val="46"/>
              <w:keepNext w:val="0"/>
              <w:keepLines w:val="0"/>
              <w:suppressLineNumbers w:val="0"/>
              <w:shd w:val="clear" w:color="auto" w:fill="auto"/>
              <w:spacing w:line="360" w:lineRule="auto"/>
              <w:ind w:left="107" w:right="0"/>
              <w:rPr>
                <w:rFonts w:hint="eastAsia"/>
                <w:color w:val="auto"/>
                <w:highlight w:val="none"/>
              </w:rPr>
            </w:pPr>
          </w:p>
        </w:tc>
        <w:tc>
          <w:tcPr>
            <w:tcW w:w="8026" w:type="dxa"/>
            <w:gridSpan w:val="11"/>
            <w:noWrap w:val="0"/>
            <w:vAlign w:val="top"/>
          </w:tcPr>
          <w:p w14:paraId="5ACD5757">
            <w:pPr>
              <w:pStyle w:val="46"/>
              <w:keepNext w:val="0"/>
              <w:keepLines w:val="0"/>
              <w:suppressLineNumbers w:val="0"/>
              <w:shd w:val="clear" w:color="auto" w:fill="auto"/>
              <w:spacing w:line="360" w:lineRule="auto"/>
              <w:ind w:left="0" w:right="0"/>
              <w:rPr>
                <w:rFonts w:hint="eastAsia"/>
                <w:color w:val="auto"/>
                <w:spacing w:val="13"/>
                <w:highlight w:val="none"/>
              </w:rPr>
            </w:pPr>
            <w:r>
              <w:rPr>
                <w:rFonts w:hint="eastAsia"/>
                <w:color w:val="auto"/>
                <w:spacing w:val="13"/>
                <w:highlight w:val="none"/>
              </w:rPr>
              <w:t>发展历程及主要荣誉：</w:t>
            </w:r>
          </w:p>
        </w:tc>
      </w:tr>
      <w:tr w14:paraId="42F0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7" w:type="dxa"/>
            <w:vMerge w:val="restart"/>
            <w:noWrap w:val="0"/>
            <w:vAlign w:val="top"/>
          </w:tcPr>
          <w:p w14:paraId="3443D0A0">
            <w:pPr>
              <w:pStyle w:val="46"/>
              <w:keepNext w:val="0"/>
              <w:keepLines w:val="0"/>
              <w:suppressLineNumbers w:val="0"/>
              <w:shd w:val="clear" w:color="auto" w:fill="auto"/>
              <w:spacing w:line="360" w:lineRule="auto"/>
              <w:ind w:left="107" w:right="0"/>
              <w:rPr>
                <w:rFonts w:hint="eastAsia"/>
                <w:color w:val="auto"/>
                <w:highlight w:val="none"/>
              </w:rPr>
            </w:pPr>
            <w:r>
              <w:rPr>
                <w:rFonts w:hint="eastAsia"/>
                <w:color w:val="auto"/>
                <w:highlight w:val="none"/>
              </w:rPr>
              <w:t>2．</w:t>
            </w:r>
          </w:p>
          <w:p w14:paraId="1BC37F22">
            <w:pPr>
              <w:pStyle w:val="46"/>
              <w:keepNext w:val="0"/>
              <w:keepLines w:val="0"/>
              <w:suppressLineNumbers w:val="0"/>
              <w:shd w:val="clear" w:color="auto" w:fill="auto"/>
              <w:spacing w:line="360" w:lineRule="auto"/>
              <w:ind w:left="107" w:right="0"/>
              <w:rPr>
                <w:rFonts w:hint="eastAsia"/>
                <w:color w:val="auto"/>
                <w:spacing w:val="16"/>
                <w:highlight w:val="none"/>
              </w:rPr>
            </w:pPr>
            <w:r>
              <w:rPr>
                <w:rFonts w:hint="eastAsia"/>
                <w:color w:val="auto"/>
                <w:highlight w:val="none"/>
              </w:rPr>
              <w:t>企</w:t>
            </w:r>
            <w:r>
              <w:rPr>
                <w:rFonts w:hint="eastAsia"/>
                <w:color w:val="auto"/>
                <w:spacing w:val="12"/>
                <w:highlight w:val="none"/>
              </w:rPr>
              <w:t>业有关资质获证情况</w:t>
            </w:r>
          </w:p>
        </w:tc>
        <w:tc>
          <w:tcPr>
            <w:tcW w:w="1483" w:type="dxa"/>
            <w:gridSpan w:val="2"/>
            <w:vMerge w:val="restart"/>
            <w:noWrap w:val="0"/>
            <w:vAlign w:val="top"/>
          </w:tcPr>
          <w:p w14:paraId="0DFD7AAF">
            <w:pPr>
              <w:pStyle w:val="46"/>
              <w:keepNext w:val="0"/>
              <w:keepLines w:val="0"/>
              <w:suppressLineNumbers w:val="0"/>
              <w:shd w:val="clear" w:color="auto" w:fill="auto"/>
              <w:spacing w:before="0" w:beforeAutospacing="0" w:after="0" w:afterAutospacing="0" w:line="360" w:lineRule="auto"/>
              <w:ind w:left="0" w:right="0"/>
              <w:rPr>
                <w:rFonts w:hint="eastAsia"/>
                <w:color w:val="auto"/>
                <w:spacing w:val="16"/>
                <w:highlight w:val="none"/>
              </w:rPr>
            </w:pPr>
            <w:r>
              <w:rPr>
                <w:rFonts w:hint="eastAsia"/>
                <w:color w:val="auto"/>
                <w:spacing w:val="16"/>
                <w:highlight w:val="none"/>
              </w:rPr>
              <w:t>企业资质证书</w:t>
            </w:r>
          </w:p>
        </w:tc>
        <w:tc>
          <w:tcPr>
            <w:tcW w:w="1183" w:type="dxa"/>
            <w:gridSpan w:val="2"/>
            <w:noWrap w:val="0"/>
            <w:vAlign w:val="top"/>
          </w:tcPr>
          <w:p w14:paraId="5D2CC82B">
            <w:pPr>
              <w:pStyle w:val="46"/>
              <w:keepNext w:val="0"/>
              <w:keepLines w:val="0"/>
              <w:suppressLineNumbers w:val="0"/>
              <w:shd w:val="clear" w:color="auto" w:fill="auto"/>
              <w:spacing w:line="360" w:lineRule="auto"/>
              <w:ind w:left="0" w:right="-78" w:rightChars="-37"/>
              <w:rPr>
                <w:rFonts w:hint="eastAsia"/>
                <w:color w:val="auto"/>
                <w:spacing w:val="16"/>
                <w:highlight w:val="none"/>
              </w:rPr>
            </w:pPr>
            <w:r>
              <w:rPr>
                <w:rFonts w:hint="eastAsia"/>
                <w:color w:val="auto"/>
                <w:spacing w:val="16"/>
                <w:highlight w:val="none"/>
              </w:rPr>
              <w:t>名称</w:t>
            </w:r>
          </w:p>
        </w:tc>
        <w:tc>
          <w:tcPr>
            <w:tcW w:w="1448" w:type="dxa"/>
            <w:gridSpan w:val="2"/>
            <w:noWrap w:val="0"/>
            <w:vAlign w:val="top"/>
          </w:tcPr>
          <w:p w14:paraId="70E092BF">
            <w:pPr>
              <w:pStyle w:val="46"/>
              <w:keepNext w:val="0"/>
              <w:keepLines w:val="0"/>
              <w:suppressLineNumbers w:val="0"/>
              <w:shd w:val="clear" w:color="auto" w:fill="auto"/>
              <w:spacing w:before="0" w:beforeAutospacing="0" w:after="0" w:afterAutospacing="0" w:line="360" w:lineRule="auto"/>
              <w:ind w:left="0" w:right="0"/>
              <w:rPr>
                <w:rFonts w:hint="eastAsia"/>
                <w:color w:val="auto"/>
                <w:highlight w:val="none"/>
              </w:rPr>
            </w:pPr>
            <w:r>
              <w:rPr>
                <w:rFonts w:hint="eastAsia"/>
                <w:color w:val="auto"/>
                <w:spacing w:val="16"/>
                <w:highlight w:val="none"/>
              </w:rPr>
              <w:t>发证机关</w:t>
            </w:r>
          </w:p>
        </w:tc>
        <w:tc>
          <w:tcPr>
            <w:tcW w:w="1303" w:type="dxa"/>
            <w:gridSpan w:val="2"/>
            <w:noWrap w:val="0"/>
            <w:vAlign w:val="top"/>
          </w:tcPr>
          <w:p w14:paraId="1A842655">
            <w:pPr>
              <w:pStyle w:val="46"/>
              <w:keepNext w:val="0"/>
              <w:keepLines w:val="0"/>
              <w:suppressLineNumbers w:val="0"/>
              <w:shd w:val="clear" w:color="auto" w:fill="auto"/>
              <w:spacing w:line="360" w:lineRule="auto"/>
              <w:ind w:left="0" w:right="0"/>
              <w:jc w:val="center"/>
              <w:rPr>
                <w:rFonts w:hint="eastAsia"/>
                <w:color w:val="auto"/>
                <w:highlight w:val="none"/>
              </w:rPr>
            </w:pPr>
            <w:r>
              <w:rPr>
                <w:rFonts w:hint="eastAsia"/>
                <w:color w:val="auto"/>
                <w:spacing w:val="27"/>
                <w:highlight w:val="none"/>
              </w:rPr>
              <w:t>编号</w:t>
            </w:r>
          </w:p>
        </w:tc>
        <w:tc>
          <w:tcPr>
            <w:tcW w:w="1652" w:type="dxa"/>
            <w:gridSpan w:val="2"/>
            <w:noWrap w:val="0"/>
            <w:vAlign w:val="top"/>
          </w:tcPr>
          <w:p w14:paraId="2381D0C8">
            <w:pPr>
              <w:pStyle w:val="46"/>
              <w:keepNext w:val="0"/>
              <w:keepLines w:val="0"/>
              <w:suppressLineNumbers w:val="0"/>
              <w:shd w:val="clear" w:color="auto" w:fill="auto"/>
              <w:spacing w:line="360" w:lineRule="auto"/>
              <w:ind w:left="0" w:right="0"/>
              <w:jc w:val="center"/>
              <w:rPr>
                <w:rFonts w:hint="eastAsia"/>
                <w:color w:val="auto"/>
                <w:highlight w:val="none"/>
              </w:rPr>
            </w:pPr>
            <w:r>
              <w:rPr>
                <w:rFonts w:hint="eastAsia"/>
                <w:color w:val="auto"/>
                <w:spacing w:val="16"/>
                <w:highlight w:val="none"/>
              </w:rPr>
              <w:t>发证时间</w:t>
            </w:r>
          </w:p>
        </w:tc>
        <w:tc>
          <w:tcPr>
            <w:tcW w:w="958" w:type="dxa"/>
            <w:noWrap w:val="0"/>
            <w:vAlign w:val="top"/>
          </w:tcPr>
          <w:p w14:paraId="3FFA7D2B">
            <w:pPr>
              <w:pStyle w:val="46"/>
              <w:keepNext w:val="0"/>
              <w:keepLines w:val="0"/>
              <w:suppressLineNumbers w:val="0"/>
              <w:shd w:val="clear" w:color="auto" w:fill="auto"/>
              <w:spacing w:before="0" w:beforeAutospacing="0" w:after="0" w:afterAutospacing="0" w:line="360" w:lineRule="auto"/>
              <w:ind w:left="0" w:right="0"/>
              <w:jc w:val="center"/>
              <w:rPr>
                <w:rFonts w:hint="eastAsia"/>
                <w:color w:val="auto"/>
                <w:highlight w:val="none"/>
              </w:rPr>
            </w:pPr>
            <w:r>
              <w:rPr>
                <w:rFonts w:hint="eastAsia"/>
                <w:color w:val="auto"/>
                <w:spacing w:val="27"/>
                <w:highlight w:val="none"/>
              </w:rPr>
              <w:t>期限</w:t>
            </w:r>
          </w:p>
        </w:tc>
      </w:tr>
      <w:tr w14:paraId="4A98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7" w:type="dxa"/>
            <w:vMerge w:val="continue"/>
            <w:noWrap w:val="0"/>
            <w:vAlign w:val="top"/>
          </w:tcPr>
          <w:p w14:paraId="12A926A2">
            <w:pPr>
              <w:pStyle w:val="46"/>
              <w:keepNext w:val="0"/>
              <w:keepLines w:val="0"/>
              <w:suppressLineNumbers w:val="0"/>
              <w:shd w:val="clear" w:color="auto" w:fill="auto"/>
              <w:spacing w:line="360" w:lineRule="auto"/>
              <w:ind w:left="107" w:right="0"/>
              <w:rPr>
                <w:rFonts w:hint="eastAsia"/>
                <w:color w:val="auto"/>
                <w:highlight w:val="none"/>
              </w:rPr>
            </w:pPr>
          </w:p>
        </w:tc>
        <w:tc>
          <w:tcPr>
            <w:tcW w:w="1483" w:type="dxa"/>
            <w:gridSpan w:val="2"/>
            <w:vMerge w:val="continue"/>
            <w:noWrap w:val="0"/>
            <w:vAlign w:val="top"/>
          </w:tcPr>
          <w:p w14:paraId="15D3B2E5">
            <w:pPr>
              <w:pStyle w:val="46"/>
              <w:keepNext w:val="0"/>
              <w:keepLines w:val="0"/>
              <w:suppressLineNumbers w:val="0"/>
              <w:shd w:val="clear" w:color="auto" w:fill="auto"/>
              <w:spacing w:line="360" w:lineRule="auto"/>
              <w:ind w:left="0" w:right="0"/>
              <w:rPr>
                <w:rFonts w:hint="eastAsia"/>
                <w:color w:val="auto"/>
                <w:highlight w:val="none"/>
              </w:rPr>
            </w:pPr>
          </w:p>
        </w:tc>
        <w:tc>
          <w:tcPr>
            <w:tcW w:w="1183" w:type="dxa"/>
            <w:gridSpan w:val="2"/>
            <w:noWrap w:val="0"/>
            <w:vAlign w:val="top"/>
          </w:tcPr>
          <w:p w14:paraId="172F4713">
            <w:pPr>
              <w:pStyle w:val="46"/>
              <w:keepNext w:val="0"/>
              <w:keepLines w:val="0"/>
              <w:suppressLineNumbers w:val="0"/>
              <w:shd w:val="clear" w:color="auto" w:fill="auto"/>
              <w:spacing w:line="360" w:lineRule="auto"/>
              <w:ind w:left="0" w:right="0"/>
              <w:rPr>
                <w:rFonts w:hint="eastAsia"/>
                <w:color w:val="auto"/>
                <w:highlight w:val="none"/>
              </w:rPr>
            </w:pPr>
          </w:p>
        </w:tc>
        <w:tc>
          <w:tcPr>
            <w:tcW w:w="1448" w:type="dxa"/>
            <w:gridSpan w:val="2"/>
            <w:noWrap w:val="0"/>
            <w:vAlign w:val="top"/>
          </w:tcPr>
          <w:p w14:paraId="45E7D149">
            <w:pPr>
              <w:pStyle w:val="46"/>
              <w:keepNext w:val="0"/>
              <w:keepLines w:val="0"/>
              <w:suppressLineNumbers w:val="0"/>
              <w:shd w:val="clear" w:color="auto" w:fill="auto"/>
              <w:spacing w:line="360" w:lineRule="auto"/>
              <w:ind w:left="0" w:right="0"/>
              <w:rPr>
                <w:rFonts w:hint="eastAsia"/>
                <w:color w:val="auto"/>
                <w:highlight w:val="none"/>
              </w:rPr>
            </w:pPr>
          </w:p>
        </w:tc>
        <w:tc>
          <w:tcPr>
            <w:tcW w:w="1303" w:type="dxa"/>
            <w:gridSpan w:val="2"/>
            <w:noWrap w:val="0"/>
            <w:vAlign w:val="top"/>
          </w:tcPr>
          <w:p w14:paraId="137B212D">
            <w:pPr>
              <w:pStyle w:val="46"/>
              <w:keepNext w:val="0"/>
              <w:keepLines w:val="0"/>
              <w:suppressLineNumbers w:val="0"/>
              <w:shd w:val="clear" w:color="auto" w:fill="auto"/>
              <w:spacing w:line="360" w:lineRule="auto"/>
              <w:ind w:left="0" w:right="0"/>
              <w:rPr>
                <w:rFonts w:hint="eastAsia"/>
                <w:color w:val="auto"/>
                <w:highlight w:val="none"/>
              </w:rPr>
            </w:pPr>
          </w:p>
        </w:tc>
        <w:tc>
          <w:tcPr>
            <w:tcW w:w="1652" w:type="dxa"/>
            <w:gridSpan w:val="2"/>
            <w:noWrap w:val="0"/>
            <w:vAlign w:val="top"/>
          </w:tcPr>
          <w:p w14:paraId="5DFF7540">
            <w:pPr>
              <w:pStyle w:val="46"/>
              <w:keepNext w:val="0"/>
              <w:keepLines w:val="0"/>
              <w:suppressLineNumbers w:val="0"/>
              <w:shd w:val="clear" w:color="auto" w:fill="auto"/>
              <w:spacing w:line="360" w:lineRule="auto"/>
              <w:ind w:left="0" w:right="0"/>
              <w:rPr>
                <w:rFonts w:hint="eastAsia"/>
                <w:color w:val="auto"/>
                <w:highlight w:val="none"/>
              </w:rPr>
            </w:pPr>
          </w:p>
        </w:tc>
        <w:tc>
          <w:tcPr>
            <w:tcW w:w="958" w:type="dxa"/>
            <w:noWrap w:val="0"/>
            <w:vAlign w:val="top"/>
          </w:tcPr>
          <w:p w14:paraId="72EAA845">
            <w:pPr>
              <w:pStyle w:val="46"/>
              <w:keepNext w:val="0"/>
              <w:keepLines w:val="0"/>
              <w:suppressLineNumbers w:val="0"/>
              <w:shd w:val="clear" w:color="auto" w:fill="auto"/>
              <w:spacing w:line="360" w:lineRule="auto"/>
              <w:ind w:left="0" w:right="0"/>
              <w:rPr>
                <w:rFonts w:hint="eastAsia"/>
                <w:color w:val="auto"/>
                <w:highlight w:val="none"/>
              </w:rPr>
            </w:pPr>
          </w:p>
        </w:tc>
      </w:tr>
      <w:tr w14:paraId="38E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7" w:type="dxa"/>
            <w:vMerge w:val="continue"/>
            <w:noWrap w:val="0"/>
            <w:vAlign w:val="top"/>
          </w:tcPr>
          <w:p w14:paraId="25CC0246">
            <w:pPr>
              <w:pStyle w:val="46"/>
              <w:keepNext w:val="0"/>
              <w:keepLines w:val="0"/>
              <w:suppressLineNumbers w:val="0"/>
              <w:shd w:val="clear" w:color="auto" w:fill="auto"/>
              <w:spacing w:line="360" w:lineRule="auto"/>
              <w:ind w:left="107" w:right="0"/>
              <w:rPr>
                <w:rFonts w:hint="eastAsia"/>
                <w:color w:val="auto"/>
                <w:highlight w:val="none"/>
              </w:rPr>
            </w:pPr>
          </w:p>
        </w:tc>
        <w:tc>
          <w:tcPr>
            <w:tcW w:w="1483" w:type="dxa"/>
            <w:gridSpan w:val="2"/>
            <w:vMerge w:val="continue"/>
            <w:noWrap w:val="0"/>
            <w:vAlign w:val="top"/>
          </w:tcPr>
          <w:p w14:paraId="120D9BF5">
            <w:pPr>
              <w:pStyle w:val="46"/>
              <w:keepNext w:val="0"/>
              <w:keepLines w:val="0"/>
              <w:suppressLineNumbers w:val="0"/>
              <w:shd w:val="clear" w:color="auto" w:fill="auto"/>
              <w:spacing w:line="360" w:lineRule="auto"/>
              <w:ind w:left="0" w:right="0"/>
              <w:rPr>
                <w:rFonts w:hint="eastAsia"/>
                <w:color w:val="auto"/>
                <w:highlight w:val="none"/>
              </w:rPr>
            </w:pPr>
          </w:p>
        </w:tc>
        <w:tc>
          <w:tcPr>
            <w:tcW w:w="1183" w:type="dxa"/>
            <w:gridSpan w:val="2"/>
            <w:noWrap w:val="0"/>
            <w:vAlign w:val="top"/>
          </w:tcPr>
          <w:p w14:paraId="4907A8C5">
            <w:pPr>
              <w:pStyle w:val="46"/>
              <w:keepNext w:val="0"/>
              <w:keepLines w:val="0"/>
              <w:suppressLineNumbers w:val="0"/>
              <w:shd w:val="clear" w:color="auto" w:fill="auto"/>
              <w:spacing w:line="360" w:lineRule="auto"/>
              <w:ind w:left="0" w:right="0"/>
              <w:rPr>
                <w:rFonts w:hint="eastAsia"/>
                <w:color w:val="auto"/>
                <w:highlight w:val="none"/>
              </w:rPr>
            </w:pPr>
          </w:p>
        </w:tc>
        <w:tc>
          <w:tcPr>
            <w:tcW w:w="1448" w:type="dxa"/>
            <w:gridSpan w:val="2"/>
            <w:noWrap w:val="0"/>
            <w:vAlign w:val="top"/>
          </w:tcPr>
          <w:p w14:paraId="53AB4EE6">
            <w:pPr>
              <w:pStyle w:val="46"/>
              <w:keepNext w:val="0"/>
              <w:keepLines w:val="0"/>
              <w:suppressLineNumbers w:val="0"/>
              <w:shd w:val="clear" w:color="auto" w:fill="auto"/>
              <w:spacing w:line="360" w:lineRule="auto"/>
              <w:ind w:left="0" w:right="0"/>
              <w:rPr>
                <w:rFonts w:hint="eastAsia"/>
                <w:color w:val="auto"/>
                <w:highlight w:val="none"/>
              </w:rPr>
            </w:pPr>
          </w:p>
        </w:tc>
        <w:tc>
          <w:tcPr>
            <w:tcW w:w="1303" w:type="dxa"/>
            <w:gridSpan w:val="2"/>
            <w:noWrap w:val="0"/>
            <w:vAlign w:val="top"/>
          </w:tcPr>
          <w:p w14:paraId="617C0B14">
            <w:pPr>
              <w:pStyle w:val="46"/>
              <w:keepNext w:val="0"/>
              <w:keepLines w:val="0"/>
              <w:suppressLineNumbers w:val="0"/>
              <w:shd w:val="clear" w:color="auto" w:fill="auto"/>
              <w:spacing w:line="360" w:lineRule="auto"/>
              <w:ind w:left="0" w:right="0"/>
              <w:rPr>
                <w:rFonts w:hint="eastAsia"/>
                <w:color w:val="auto"/>
                <w:highlight w:val="none"/>
              </w:rPr>
            </w:pPr>
          </w:p>
        </w:tc>
        <w:tc>
          <w:tcPr>
            <w:tcW w:w="1652" w:type="dxa"/>
            <w:gridSpan w:val="2"/>
            <w:noWrap w:val="0"/>
            <w:vAlign w:val="top"/>
          </w:tcPr>
          <w:p w14:paraId="7BE7B425">
            <w:pPr>
              <w:pStyle w:val="46"/>
              <w:keepNext w:val="0"/>
              <w:keepLines w:val="0"/>
              <w:suppressLineNumbers w:val="0"/>
              <w:shd w:val="clear" w:color="auto" w:fill="auto"/>
              <w:spacing w:line="360" w:lineRule="auto"/>
              <w:ind w:left="0" w:right="0"/>
              <w:rPr>
                <w:rFonts w:hint="eastAsia"/>
                <w:color w:val="auto"/>
                <w:highlight w:val="none"/>
              </w:rPr>
            </w:pPr>
          </w:p>
        </w:tc>
        <w:tc>
          <w:tcPr>
            <w:tcW w:w="958" w:type="dxa"/>
            <w:noWrap w:val="0"/>
            <w:vAlign w:val="top"/>
          </w:tcPr>
          <w:p w14:paraId="38F3ABA6">
            <w:pPr>
              <w:pStyle w:val="46"/>
              <w:keepNext w:val="0"/>
              <w:keepLines w:val="0"/>
              <w:suppressLineNumbers w:val="0"/>
              <w:shd w:val="clear" w:color="auto" w:fill="auto"/>
              <w:spacing w:line="360" w:lineRule="auto"/>
              <w:ind w:left="0" w:right="0"/>
              <w:rPr>
                <w:rFonts w:hint="eastAsia"/>
                <w:color w:val="auto"/>
                <w:highlight w:val="none"/>
              </w:rPr>
            </w:pPr>
          </w:p>
        </w:tc>
      </w:tr>
      <w:tr w14:paraId="38B2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77" w:type="dxa"/>
            <w:vMerge w:val="continue"/>
            <w:noWrap w:val="0"/>
            <w:vAlign w:val="top"/>
          </w:tcPr>
          <w:p w14:paraId="7F9C0D45">
            <w:pPr>
              <w:pStyle w:val="46"/>
              <w:keepNext w:val="0"/>
              <w:keepLines w:val="0"/>
              <w:suppressLineNumbers w:val="0"/>
              <w:shd w:val="clear" w:color="auto" w:fill="auto"/>
              <w:spacing w:line="360" w:lineRule="auto"/>
              <w:ind w:left="107" w:right="0"/>
              <w:rPr>
                <w:rFonts w:hint="eastAsia"/>
                <w:color w:val="auto"/>
                <w:highlight w:val="none"/>
              </w:rPr>
            </w:pPr>
          </w:p>
        </w:tc>
        <w:tc>
          <w:tcPr>
            <w:tcW w:w="1483" w:type="dxa"/>
            <w:gridSpan w:val="2"/>
            <w:vMerge w:val="continue"/>
            <w:noWrap w:val="0"/>
            <w:vAlign w:val="top"/>
          </w:tcPr>
          <w:p w14:paraId="0A8AC076">
            <w:pPr>
              <w:pStyle w:val="46"/>
              <w:keepNext w:val="0"/>
              <w:keepLines w:val="0"/>
              <w:suppressLineNumbers w:val="0"/>
              <w:shd w:val="clear" w:color="auto" w:fill="auto"/>
              <w:spacing w:line="360" w:lineRule="auto"/>
              <w:ind w:left="0" w:right="0"/>
              <w:rPr>
                <w:rFonts w:hint="eastAsia"/>
                <w:color w:val="auto"/>
                <w:highlight w:val="none"/>
              </w:rPr>
            </w:pPr>
          </w:p>
        </w:tc>
        <w:tc>
          <w:tcPr>
            <w:tcW w:w="1183" w:type="dxa"/>
            <w:gridSpan w:val="2"/>
            <w:noWrap w:val="0"/>
            <w:vAlign w:val="top"/>
          </w:tcPr>
          <w:p w14:paraId="6AB66B46">
            <w:pPr>
              <w:pStyle w:val="46"/>
              <w:keepNext w:val="0"/>
              <w:keepLines w:val="0"/>
              <w:suppressLineNumbers w:val="0"/>
              <w:shd w:val="clear" w:color="auto" w:fill="auto"/>
              <w:spacing w:line="360" w:lineRule="auto"/>
              <w:ind w:left="0" w:right="0"/>
              <w:rPr>
                <w:rFonts w:hint="eastAsia"/>
                <w:color w:val="auto"/>
                <w:highlight w:val="none"/>
              </w:rPr>
            </w:pPr>
          </w:p>
        </w:tc>
        <w:tc>
          <w:tcPr>
            <w:tcW w:w="1448" w:type="dxa"/>
            <w:gridSpan w:val="2"/>
            <w:noWrap w:val="0"/>
            <w:vAlign w:val="top"/>
          </w:tcPr>
          <w:p w14:paraId="17E2E8E7">
            <w:pPr>
              <w:pStyle w:val="46"/>
              <w:keepNext w:val="0"/>
              <w:keepLines w:val="0"/>
              <w:suppressLineNumbers w:val="0"/>
              <w:shd w:val="clear" w:color="auto" w:fill="auto"/>
              <w:spacing w:line="360" w:lineRule="auto"/>
              <w:ind w:left="0" w:right="0"/>
              <w:rPr>
                <w:rFonts w:hint="eastAsia"/>
                <w:color w:val="auto"/>
                <w:highlight w:val="none"/>
              </w:rPr>
            </w:pPr>
          </w:p>
        </w:tc>
        <w:tc>
          <w:tcPr>
            <w:tcW w:w="1303" w:type="dxa"/>
            <w:gridSpan w:val="2"/>
            <w:noWrap w:val="0"/>
            <w:vAlign w:val="top"/>
          </w:tcPr>
          <w:p w14:paraId="5A34EE28">
            <w:pPr>
              <w:pStyle w:val="46"/>
              <w:keepNext w:val="0"/>
              <w:keepLines w:val="0"/>
              <w:suppressLineNumbers w:val="0"/>
              <w:shd w:val="clear" w:color="auto" w:fill="auto"/>
              <w:spacing w:line="360" w:lineRule="auto"/>
              <w:ind w:left="0" w:right="0"/>
              <w:rPr>
                <w:rFonts w:hint="eastAsia"/>
                <w:color w:val="auto"/>
                <w:highlight w:val="none"/>
              </w:rPr>
            </w:pPr>
          </w:p>
        </w:tc>
        <w:tc>
          <w:tcPr>
            <w:tcW w:w="1652" w:type="dxa"/>
            <w:gridSpan w:val="2"/>
            <w:noWrap w:val="0"/>
            <w:vAlign w:val="top"/>
          </w:tcPr>
          <w:p w14:paraId="65D75A81">
            <w:pPr>
              <w:pStyle w:val="46"/>
              <w:keepNext w:val="0"/>
              <w:keepLines w:val="0"/>
              <w:suppressLineNumbers w:val="0"/>
              <w:shd w:val="clear" w:color="auto" w:fill="auto"/>
              <w:spacing w:line="360" w:lineRule="auto"/>
              <w:ind w:left="0" w:right="0"/>
              <w:rPr>
                <w:rFonts w:hint="eastAsia"/>
                <w:color w:val="auto"/>
                <w:highlight w:val="none"/>
              </w:rPr>
            </w:pPr>
          </w:p>
        </w:tc>
        <w:tc>
          <w:tcPr>
            <w:tcW w:w="958" w:type="dxa"/>
            <w:noWrap w:val="0"/>
            <w:vAlign w:val="top"/>
          </w:tcPr>
          <w:p w14:paraId="601CFAFF">
            <w:pPr>
              <w:pStyle w:val="46"/>
              <w:keepNext w:val="0"/>
              <w:keepLines w:val="0"/>
              <w:suppressLineNumbers w:val="0"/>
              <w:shd w:val="clear" w:color="auto" w:fill="auto"/>
              <w:spacing w:line="360" w:lineRule="auto"/>
              <w:ind w:left="0" w:right="0"/>
              <w:rPr>
                <w:rFonts w:hint="eastAsia"/>
                <w:color w:val="auto"/>
                <w:highlight w:val="none"/>
              </w:rPr>
            </w:pPr>
          </w:p>
        </w:tc>
      </w:tr>
      <w:tr w14:paraId="10C4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77" w:type="dxa"/>
            <w:vMerge w:val="continue"/>
            <w:noWrap w:val="0"/>
            <w:vAlign w:val="top"/>
          </w:tcPr>
          <w:p w14:paraId="5DEE20D7">
            <w:pPr>
              <w:pStyle w:val="46"/>
              <w:keepNext w:val="0"/>
              <w:keepLines w:val="0"/>
              <w:suppressLineNumbers w:val="0"/>
              <w:shd w:val="clear" w:color="auto" w:fill="auto"/>
              <w:spacing w:line="360" w:lineRule="auto"/>
              <w:ind w:left="107" w:right="0"/>
              <w:rPr>
                <w:rFonts w:hint="eastAsia"/>
                <w:color w:val="auto"/>
                <w:spacing w:val="16"/>
                <w:highlight w:val="none"/>
              </w:rPr>
            </w:pPr>
          </w:p>
        </w:tc>
        <w:tc>
          <w:tcPr>
            <w:tcW w:w="1483" w:type="dxa"/>
            <w:gridSpan w:val="2"/>
            <w:noWrap w:val="0"/>
            <w:vAlign w:val="top"/>
          </w:tcPr>
          <w:p w14:paraId="67246999">
            <w:pPr>
              <w:pStyle w:val="46"/>
              <w:keepNext w:val="0"/>
              <w:keepLines w:val="0"/>
              <w:suppressLineNumbers w:val="0"/>
              <w:shd w:val="clear" w:color="auto" w:fill="auto"/>
              <w:spacing w:before="0" w:beforeAutospacing="0" w:after="0" w:afterAutospacing="0" w:line="360" w:lineRule="auto"/>
              <w:ind w:left="0" w:right="-107" w:rightChars="-51"/>
              <w:rPr>
                <w:rFonts w:hint="eastAsia"/>
                <w:color w:val="auto"/>
                <w:spacing w:val="41"/>
                <w:highlight w:val="none"/>
              </w:rPr>
            </w:pPr>
            <w:r>
              <w:rPr>
                <w:rFonts w:hint="eastAsia"/>
                <w:color w:val="auto"/>
                <w:spacing w:val="41"/>
                <w:highlight w:val="none"/>
              </w:rPr>
              <w:t>企业通过质量体系、环保</w:t>
            </w:r>
            <w:r>
              <w:rPr>
                <w:rFonts w:hint="eastAsia"/>
                <w:color w:val="auto"/>
                <w:spacing w:val="11"/>
                <w:highlight w:val="none"/>
              </w:rPr>
              <w:t>体系等认证情况</w:t>
            </w:r>
          </w:p>
        </w:tc>
        <w:tc>
          <w:tcPr>
            <w:tcW w:w="6543" w:type="dxa"/>
            <w:gridSpan w:val="9"/>
            <w:noWrap w:val="0"/>
            <w:vAlign w:val="top"/>
          </w:tcPr>
          <w:p w14:paraId="3E53F1C8">
            <w:pPr>
              <w:pStyle w:val="46"/>
              <w:keepNext w:val="0"/>
              <w:keepLines w:val="0"/>
              <w:suppressLineNumbers w:val="0"/>
              <w:shd w:val="clear" w:color="auto" w:fill="auto"/>
              <w:spacing w:line="360" w:lineRule="auto"/>
              <w:ind w:left="0" w:right="0"/>
              <w:rPr>
                <w:rFonts w:hint="eastAsia"/>
                <w:color w:val="auto"/>
                <w:spacing w:val="16"/>
                <w:highlight w:val="none"/>
              </w:rPr>
            </w:pPr>
          </w:p>
        </w:tc>
      </w:tr>
      <w:tr w14:paraId="261D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7" w:type="dxa"/>
            <w:vMerge w:val="continue"/>
            <w:noWrap w:val="0"/>
            <w:vAlign w:val="top"/>
          </w:tcPr>
          <w:p w14:paraId="109D8476">
            <w:pPr>
              <w:pStyle w:val="46"/>
              <w:keepNext w:val="0"/>
              <w:keepLines w:val="0"/>
              <w:suppressLineNumbers w:val="0"/>
              <w:shd w:val="clear" w:color="auto" w:fill="auto"/>
              <w:spacing w:line="360" w:lineRule="auto"/>
              <w:ind w:left="107" w:right="0"/>
              <w:rPr>
                <w:rFonts w:hint="eastAsia"/>
                <w:color w:val="auto"/>
                <w:spacing w:val="27"/>
                <w:highlight w:val="none"/>
              </w:rPr>
            </w:pPr>
          </w:p>
        </w:tc>
        <w:tc>
          <w:tcPr>
            <w:tcW w:w="1483" w:type="dxa"/>
            <w:gridSpan w:val="2"/>
            <w:noWrap w:val="0"/>
            <w:vAlign w:val="top"/>
          </w:tcPr>
          <w:p w14:paraId="46E91C87">
            <w:pPr>
              <w:pStyle w:val="46"/>
              <w:keepNext w:val="0"/>
              <w:keepLines w:val="0"/>
              <w:suppressLineNumbers w:val="0"/>
              <w:shd w:val="clear" w:color="auto" w:fill="auto"/>
              <w:spacing w:line="360" w:lineRule="auto"/>
              <w:ind w:left="0" w:right="0"/>
              <w:rPr>
                <w:rFonts w:hint="eastAsia"/>
                <w:color w:val="auto"/>
                <w:spacing w:val="16"/>
                <w:highlight w:val="none"/>
              </w:rPr>
            </w:pPr>
            <w:r>
              <w:rPr>
                <w:rFonts w:hint="eastAsia"/>
                <w:color w:val="auto"/>
                <w:spacing w:val="10"/>
                <w:highlight w:val="none"/>
              </w:rPr>
              <w:t>企业（个人）获奖情况</w:t>
            </w:r>
          </w:p>
        </w:tc>
        <w:tc>
          <w:tcPr>
            <w:tcW w:w="6543" w:type="dxa"/>
            <w:gridSpan w:val="9"/>
            <w:noWrap w:val="0"/>
            <w:vAlign w:val="top"/>
          </w:tcPr>
          <w:p w14:paraId="034BECF9">
            <w:pPr>
              <w:pStyle w:val="46"/>
              <w:keepNext w:val="0"/>
              <w:keepLines w:val="0"/>
              <w:suppressLineNumbers w:val="0"/>
              <w:shd w:val="clear" w:color="auto" w:fill="auto"/>
              <w:spacing w:line="360" w:lineRule="auto"/>
              <w:ind w:left="0" w:right="0"/>
              <w:rPr>
                <w:rFonts w:hint="eastAsia"/>
                <w:color w:val="auto"/>
                <w:spacing w:val="16"/>
                <w:highlight w:val="none"/>
              </w:rPr>
            </w:pPr>
          </w:p>
        </w:tc>
      </w:tr>
    </w:tbl>
    <w:p w14:paraId="37B9DD63">
      <w:pPr>
        <w:pStyle w:val="46"/>
        <w:shd w:val="clear" w:color="auto" w:fill="auto"/>
        <w:spacing w:before="0" w:beforeAutospacing="0" w:after="0" w:afterAutospacing="0" w:line="360" w:lineRule="auto"/>
        <w:rPr>
          <w:rFonts w:hint="eastAsia"/>
          <w:b/>
          <w:bCs/>
          <w:color w:val="auto"/>
          <w:highlight w:val="none"/>
        </w:rPr>
      </w:pPr>
      <w:r>
        <w:rPr>
          <w:rFonts w:hint="eastAsia"/>
          <w:b/>
          <w:bCs/>
          <w:color w:val="auto"/>
          <w:highlight w:val="none"/>
        </w:rPr>
        <w:t>要求：</w:t>
      </w:r>
    </w:p>
    <w:p w14:paraId="30EFAB3B">
      <w:pPr>
        <w:pStyle w:val="46"/>
        <w:shd w:val="clear" w:color="auto" w:fill="auto"/>
        <w:spacing w:before="0" w:beforeAutospacing="0" w:after="0" w:afterAutospacing="0" w:line="360" w:lineRule="auto"/>
        <w:ind w:firstLine="484" w:firstLineChars="202"/>
        <w:rPr>
          <w:rFonts w:hint="eastAsia"/>
          <w:color w:val="auto"/>
          <w:highlight w:val="none"/>
        </w:rPr>
      </w:pPr>
      <w:r>
        <w:rPr>
          <w:rFonts w:hint="eastAsia"/>
          <w:color w:val="auto"/>
          <w:highlight w:val="none"/>
        </w:rPr>
        <w:t>1.姓名栏必须将所有股东都统计在内，若非股份公司此行（第三行）无需填写；</w:t>
      </w:r>
    </w:p>
    <w:p w14:paraId="7662AE14">
      <w:pPr>
        <w:pStyle w:val="46"/>
        <w:shd w:val="clear" w:color="auto" w:fill="auto"/>
        <w:spacing w:before="0" w:beforeAutospacing="0" w:after="0" w:afterAutospacing="0" w:line="360" w:lineRule="auto"/>
        <w:ind w:firstLine="484" w:firstLineChars="202"/>
        <w:rPr>
          <w:rFonts w:hint="eastAsia"/>
          <w:color w:val="auto"/>
          <w:highlight w:val="none"/>
        </w:rPr>
      </w:pPr>
    </w:p>
    <w:p w14:paraId="0697DE2C">
      <w:pPr>
        <w:pStyle w:val="46"/>
        <w:shd w:val="clear" w:color="auto" w:fill="auto"/>
        <w:spacing w:before="0" w:beforeAutospacing="0" w:after="0" w:afterAutospacing="0" w:line="360" w:lineRule="auto"/>
        <w:ind w:firstLine="484" w:firstLineChars="202"/>
        <w:rPr>
          <w:rFonts w:hint="eastAsia"/>
          <w:color w:val="auto"/>
          <w:highlight w:val="none"/>
        </w:rPr>
      </w:pPr>
    </w:p>
    <w:p w14:paraId="64B6B7DD">
      <w:pPr>
        <w:pStyle w:val="46"/>
        <w:shd w:val="clear" w:color="auto" w:fill="auto"/>
        <w:spacing w:before="0" w:beforeAutospacing="0" w:after="0" w:afterAutospacing="0" w:line="360" w:lineRule="auto"/>
        <w:ind w:firstLine="484" w:firstLineChars="202"/>
        <w:rPr>
          <w:rFonts w:hint="eastAsia"/>
          <w:color w:val="auto"/>
          <w:highlight w:val="none"/>
        </w:rPr>
      </w:pPr>
    </w:p>
    <w:p w14:paraId="40065E88">
      <w:pPr>
        <w:shd w:val="clear" w:color="auto" w:fill="auto"/>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p>
    <w:p w14:paraId="5FFE874B">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7F62F1F2">
      <w:pPr>
        <w:pStyle w:val="46"/>
        <w:shd w:val="clear" w:color="auto" w:fill="auto"/>
        <w:spacing w:before="0" w:beforeAutospacing="0" w:after="0" w:afterAutospacing="0" w:line="360" w:lineRule="auto"/>
        <w:ind w:firstLine="424" w:firstLineChars="177"/>
        <w:rPr>
          <w:rFonts w:hint="eastAsia"/>
          <w:b/>
          <w:bCs/>
          <w:color w:val="auto"/>
          <w:spacing w:val="11"/>
          <w:highlight w:val="none"/>
        </w:rPr>
      </w:pPr>
      <w:r>
        <w:rPr>
          <w:rFonts w:hint="eastAsia"/>
          <w:color w:val="auto"/>
          <w:highlight w:val="none"/>
        </w:rPr>
        <w:t>日期：：</w:t>
      </w:r>
    </w:p>
    <w:p w14:paraId="00CADAD8">
      <w:pPr>
        <w:pStyle w:val="46"/>
        <w:shd w:val="clear" w:color="auto" w:fill="auto"/>
        <w:spacing w:before="0" w:beforeAutospacing="0" w:after="0" w:afterAutospacing="0" w:line="360" w:lineRule="auto"/>
        <w:outlineLvl w:val="0"/>
        <w:rPr>
          <w:rFonts w:hint="eastAsia"/>
          <w:b/>
          <w:bCs/>
          <w:color w:val="auto"/>
          <w:sz w:val="28"/>
          <w:szCs w:val="28"/>
          <w:highlight w:val="none"/>
        </w:rPr>
      </w:pPr>
      <w:r>
        <w:rPr>
          <w:rFonts w:hint="eastAsia"/>
          <w:b/>
          <w:bCs/>
          <w:color w:val="auto"/>
          <w:sz w:val="28"/>
          <w:szCs w:val="28"/>
          <w:highlight w:val="none"/>
        </w:rPr>
        <w:br w:type="page"/>
      </w:r>
      <w:bookmarkStart w:id="163" w:name="_Toc32669"/>
      <w:bookmarkStart w:id="164" w:name="_Toc11811"/>
      <w:bookmarkStart w:id="165" w:name="_Toc9284"/>
      <w:bookmarkStart w:id="166" w:name="_Toc28902"/>
      <w:bookmarkStart w:id="167" w:name="_Toc1108"/>
      <w:bookmarkStart w:id="168" w:name="_Toc1084888941"/>
      <w:r>
        <w:rPr>
          <w:rFonts w:hint="eastAsia"/>
          <w:b/>
          <w:bCs/>
          <w:color w:val="auto"/>
          <w:sz w:val="28"/>
          <w:szCs w:val="28"/>
          <w:highlight w:val="none"/>
        </w:rPr>
        <w:t>附件</w:t>
      </w:r>
      <w:bookmarkEnd w:id="163"/>
      <w:r>
        <w:rPr>
          <w:rFonts w:hint="eastAsia"/>
          <w:b/>
          <w:bCs/>
          <w:color w:val="auto"/>
          <w:sz w:val="28"/>
          <w:szCs w:val="28"/>
          <w:highlight w:val="none"/>
        </w:rPr>
        <w:t>7：</w:t>
      </w:r>
      <w:bookmarkEnd w:id="164"/>
      <w:bookmarkEnd w:id="165"/>
      <w:bookmarkEnd w:id="166"/>
      <w:bookmarkEnd w:id="167"/>
      <w:bookmarkEnd w:id="168"/>
    </w:p>
    <w:p w14:paraId="3BBAC0AF">
      <w:pPr>
        <w:shd w:val="clear" w:color="auto" w:fill="auto"/>
        <w:spacing w:line="360" w:lineRule="auto"/>
        <w:ind w:left="480"/>
        <w:jc w:val="center"/>
        <w:rPr>
          <w:rFonts w:hint="eastAsia"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技术偏离表</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779"/>
        <w:gridCol w:w="2028"/>
        <w:gridCol w:w="2029"/>
        <w:gridCol w:w="1744"/>
      </w:tblGrid>
      <w:tr w14:paraId="4B5E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550" w:type="pct"/>
            <w:noWrap w:val="0"/>
            <w:vAlign w:val="center"/>
          </w:tcPr>
          <w:p w14:paraId="71803BA4">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044" w:type="pct"/>
            <w:noWrap w:val="0"/>
            <w:vAlign w:val="center"/>
          </w:tcPr>
          <w:p w14:paraId="2CA974E4">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190" w:type="pct"/>
            <w:noWrap w:val="0"/>
            <w:vAlign w:val="center"/>
          </w:tcPr>
          <w:p w14:paraId="70F1AE06">
            <w:pPr>
              <w:keepNext w:val="0"/>
              <w:keepLines w:val="0"/>
              <w:suppressLineNumbers w:val="0"/>
              <w:shd w:val="clear" w:color="auto" w:fill="auto"/>
              <w:spacing w:before="0" w:beforeAutospacing="0" w:after="0" w:afterAutospacing="0" w:line="360" w:lineRule="auto"/>
              <w:ind w:left="152" w:right="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招标要求</w:t>
            </w:r>
          </w:p>
        </w:tc>
        <w:tc>
          <w:tcPr>
            <w:tcW w:w="1191" w:type="pct"/>
            <w:noWrap w:val="0"/>
            <w:vAlign w:val="center"/>
          </w:tcPr>
          <w:p w14:paraId="47C0637D">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投标情况</w:t>
            </w:r>
          </w:p>
        </w:tc>
        <w:tc>
          <w:tcPr>
            <w:tcW w:w="1023" w:type="pct"/>
            <w:noWrap w:val="0"/>
            <w:vAlign w:val="center"/>
          </w:tcPr>
          <w:p w14:paraId="6889E5AB">
            <w:pPr>
              <w:keepNext w:val="0"/>
              <w:keepLines w:val="0"/>
              <w:suppressLineNumbers w:val="0"/>
              <w:shd w:val="clear" w:color="auto" w:fill="auto"/>
              <w:spacing w:before="0" w:beforeAutospacing="0" w:after="0" w:afterAutospacing="0" w:line="360" w:lineRule="auto"/>
              <w:ind w:left="0" w:right="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偏离说明</w:t>
            </w:r>
          </w:p>
        </w:tc>
      </w:tr>
      <w:tr w14:paraId="5D01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50" w:type="pct"/>
            <w:noWrap w:val="0"/>
            <w:vAlign w:val="center"/>
          </w:tcPr>
          <w:p w14:paraId="661712F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4EB9A00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04C9066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7B5DA67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665814F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31ED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50" w:type="pct"/>
            <w:noWrap w:val="0"/>
            <w:vAlign w:val="center"/>
          </w:tcPr>
          <w:p w14:paraId="76660EE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4A6681F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20A1C54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02611B9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5D1A637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276F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50" w:type="pct"/>
            <w:noWrap w:val="0"/>
            <w:vAlign w:val="center"/>
          </w:tcPr>
          <w:p w14:paraId="548AC58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0FDEF74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7460E1C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0298BD6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70F019A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14D8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50" w:type="pct"/>
            <w:noWrap w:val="0"/>
            <w:vAlign w:val="center"/>
          </w:tcPr>
          <w:p w14:paraId="4EE42DB0">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40C6299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630BA83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3A68E8B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42C90BF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26B3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50" w:type="pct"/>
            <w:noWrap w:val="0"/>
            <w:vAlign w:val="center"/>
          </w:tcPr>
          <w:p w14:paraId="5E63FCA0">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3AD7D5F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0B6893C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3706841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4286533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5384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50" w:type="pct"/>
            <w:noWrap w:val="0"/>
            <w:vAlign w:val="center"/>
          </w:tcPr>
          <w:p w14:paraId="185B0C7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241D8F0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08C4F25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5F1A17A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267A236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065A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550" w:type="pct"/>
            <w:noWrap w:val="0"/>
            <w:vAlign w:val="center"/>
          </w:tcPr>
          <w:p w14:paraId="61ED11B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1ABC9A4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3F00B2F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34711D0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4CB0E19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3C52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50" w:type="pct"/>
            <w:noWrap w:val="0"/>
            <w:vAlign w:val="center"/>
          </w:tcPr>
          <w:p w14:paraId="78CE0FD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6166C2C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7043AA9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6F24E51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4458186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71E5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50" w:type="pct"/>
            <w:noWrap w:val="0"/>
            <w:vAlign w:val="center"/>
          </w:tcPr>
          <w:p w14:paraId="5B3682C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44" w:type="pct"/>
            <w:noWrap w:val="0"/>
            <w:vAlign w:val="center"/>
          </w:tcPr>
          <w:p w14:paraId="48C2746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0" w:type="pct"/>
            <w:noWrap w:val="0"/>
            <w:vAlign w:val="center"/>
          </w:tcPr>
          <w:p w14:paraId="3D3CE7A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91" w:type="pct"/>
            <w:noWrap w:val="0"/>
            <w:vAlign w:val="center"/>
          </w:tcPr>
          <w:p w14:paraId="17B86ED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023" w:type="pct"/>
            <w:noWrap w:val="0"/>
            <w:vAlign w:val="center"/>
          </w:tcPr>
          <w:p w14:paraId="3D08A05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bl>
    <w:p w14:paraId="352BE265">
      <w:pPr>
        <w:pStyle w:val="64"/>
        <w:shd w:val="clear" w:color="auto" w:fill="auto"/>
        <w:tabs>
          <w:tab w:val="left" w:pos="360"/>
        </w:tabs>
        <w:spacing w:line="360" w:lineRule="auto"/>
        <w:ind w:right="84" w:rightChars="4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要求：</w:t>
      </w:r>
    </w:p>
    <w:p w14:paraId="446AB824">
      <w:pPr>
        <w:pStyle w:val="64"/>
        <w:shd w:val="clear" w:color="auto" w:fill="auto"/>
        <w:spacing w:line="360" w:lineRule="auto"/>
        <w:ind w:right="84" w:rightChars="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1.本表参照本招标文件第四部分“招标需求”填制，投标人应根据服务指标，对照招标文件要求在“偏离情况”栏注明“正偏离”、“负偏离”或“无偏离”。</w:t>
      </w:r>
    </w:p>
    <w:p w14:paraId="20AC2955">
      <w:pPr>
        <w:pStyle w:val="64"/>
        <w:shd w:val="clear" w:color="auto" w:fill="auto"/>
        <w:spacing w:line="360" w:lineRule="auto"/>
        <w:ind w:right="84" w:rightChars="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F309307">
      <w:pPr>
        <w:shd w:val="clear" w:color="auto" w:fill="auto"/>
        <w:spacing w:line="360" w:lineRule="auto"/>
        <w:rPr>
          <w:rFonts w:hint="eastAsia" w:ascii="宋体" w:hAnsi="宋体" w:cs="宋体"/>
          <w:color w:val="auto"/>
          <w:sz w:val="24"/>
          <w:szCs w:val="24"/>
          <w:highlight w:val="none"/>
        </w:rPr>
      </w:pPr>
    </w:p>
    <w:p w14:paraId="33EC245E">
      <w:pPr>
        <w:shd w:val="clear" w:color="auto" w:fill="auto"/>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投标人名称（盖章）：</w:t>
      </w:r>
    </w:p>
    <w:p w14:paraId="238B25C0">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2C424909">
      <w:pPr>
        <w:shd w:val="clear" w:color="auto" w:fill="auto"/>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238B2AC3">
      <w:pPr>
        <w:shd w:val="clear" w:color="auto" w:fill="auto"/>
        <w:outlineLvl w:val="0"/>
        <w:rPr>
          <w:rFonts w:hint="eastAsia" w:ascii="宋体" w:hAnsi="宋体" w:cs="宋体"/>
          <w:b/>
          <w:bCs/>
          <w:color w:val="auto"/>
          <w:sz w:val="24"/>
          <w:szCs w:val="24"/>
          <w:highlight w:val="none"/>
        </w:rPr>
      </w:pPr>
      <w:r>
        <w:rPr>
          <w:rFonts w:hint="eastAsia" w:ascii="宋体" w:hAnsi="宋体" w:cs="宋体"/>
          <w:color w:val="auto"/>
          <w:sz w:val="24"/>
          <w:szCs w:val="24"/>
          <w:highlight w:val="none"/>
        </w:rPr>
        <w:br w:type="page"/>
      </w:r>
      <w:bookmarkStart w:id="169" w:name="_Toc31781"/>
      <w:bookmarkStart w:id="170" w:name="_Toc10703"/>
      <w:bookmarkStart w:id="171" w:name="_Toc21897"/>
      <w:bookmarkStart w:id="172" w:name="_Toc1592268357"/>
      <w:bookmarkStart w:id="173" w:name="_Toc8834"/>
      <w:bookmarkStart w:id="174" w:name="_Toc28943"/>
      <w:r>
        <w:rPr>
          <w:rFonts w:hint="eastAsia" w:ascii="宋体" w:hAnsi="宋体" w:cs="宋体"/>
          <w:b/>
          <w:bCs/>
          <w:color w:val="auto"/>
          <w:kern w:val="0"/>
          <w:sz w:val="28"/>
          <w:szCs w:val="28"/>
          <w:highlight w:val="none"/>
        </w:rPr>
        <w:t>附件8：</w:t>
      </w:r>
      <w:bookmarkEnd w:id="169"/>
      <w:bookmarkEnd w:id="170"/>
      <w:bookmarkEnd w:id="171"/>
      <w:bookmarkEnd w:id="172"/>
      <w:bookmarkEnd w:id="173"/>
      <w:bookmarkEnd w:id="174"/>
    </w:p>
    <w:p w14:paraId="718C7FB8">
      <w:pPr>
        <w:shd w:val="clear" w:color="auto" w:fill="auto"/>
        <w:spacing w:line="400" w:lineRule="exact"/>
        <w:jc w:val="center"/>
        <w:rPr>
          <w:rFonts w:hint="eastAsia" w:ascii="宋体" w:hAnsi="宋体" w:cs="宋体"/>
          <w:b/>
          <w:color w:val="auto"/>
          <w:sz w:val="24"/>
          <w:szCs w:val="24"/>
          <w:highlight w:val="none"/>
        </w:rPr>
      </w:pPr>
    </w:p>
    <w:p w14:paraId="3185706E">
      <w:pPr>
        <w:shd w:val="clear" w:color="auto" w:fill="auto"/>
        <w:spacing w:line="360" w:lineRule="auto"/>
        <w:ind w:left="480"/>
        <w:jc w:val="center"/>
        <w:rPr>
          <w:rFonts w:hint="eastAsia"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商务偏离表</w:t>
      </w:r>
    </w:p>
    <w:p w14:paraId="380EF064">
      <w:pPr>
        <w:shd w:val="clear" w:color="auto" w:fill="auto"/>
        <w:spacing w:line="400" w:lineRule="exact"/>
        <w:jc w:val="center"/>
        <w:rPr>
          <w:rFonts w:hint="eastAsia" w:ascii="宋体" w:hAnsi="宋体" w:cs="宋体"/>
          <w:b/>
          <w:bCs/>
          <w:color w:val="auto"/>
          <w:sz w:val="24"/>
          <w:szCs w:val="24"/>
          <w:highlight w:val="none"/>
        </w:rPr>
      </w:pPr>
    </w:p>
    <w:p w14:paraId="78112DB5">
      <w:pPr>
        <w:shd w:val="clear" w:color="auto" w:fill="auto"/>
        <w:autoSpaceDE w:val="0"/>
        <w:autoSpaceDN w:val="0"/>
        <w:adjustRightInd w:val="0"/>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276"/>
        <w:gridCol w:w="2693"/>
        <w:gridCol w:w="2268"/>
        <w:gridCol w:w="709"/>
        <w:gridCol w:w="1047"/>
      </w:tblGrid>
      <w:tr w14:paraId="4321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681" w:type="dxa"/>
            <w:noWrap w:val="0"/>
            <w:vAlign w:val="center"/>
          </w:tcPr>
          <w:p w14:paraId="328BFC4D">
            <w:pPr>
              <w:keepNext w:val="0"/>
              <w:keepLines w:val="0"/>
              <w:suppressLineNumbers w:val="0"/>
              <w:shd w:val="clear" w:color="auto" w:fill="auto"/>
              <w:autoSpaceDE w:val="0"/>
              <w:autoSpaceDN w:val="0"/>
              <w:adjustRightInd w:val="0"/>
              <w:spacing w:before="0" w:beforeAutospacing="0" w:after="0" w:afterAutospacing="0"/>
              <w:ind w:left="-105" w:leftChars="-50" w:right="-105" w:rightChar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276" w:type="dxa"/>
            <w:noWrap w:val="0"/>
            <w:vAlign w:val="center"/>
          </w:tcPr>
          <w:p w14:paraId="15035F9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2693" w:type="dxa"/>
            <w:noWrap w:val="0"/>
            <w:vAlign w:val="center"/>
          </w:tcPr>
          <w:p w14:paraId="2B12D8F8">
            <w:pPr>
              <w:keepNext w:val="0"/>
              <w:keepLines w:val="0"/>
              <w:suppressLineNumbers w:val="0"/>
              <w:shd w:val="clear" w:color="auto" w:fill="auto"/>
              <w:autoSpaceDE w:val="0"/>
              <w:autoSpaceDN w:val="0"/>
              <w:adjustRightInd w:val="0"/>
              <w:spacing w:before="0" w:beforeAutospacing="0" w:after="0" w:afterAutospacing="0"/>
              <w:ind w:left="0" w:right="0"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招标文件的商务条款</w:t>
            </w:r>
          </w:p>
        </w:tc>
        <w:tc>
          <w:tcPr>
            <w:tcW w:w="2268" w:type="dxa"/>
            <w:noWrap w:val="0"/>
            <w:vAlign w:val="center"/>
          </w:tcPr>
          <w:p w14:paraId="4E1A500A">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投标文件的</w:t>
            </w:r>
          </w:p>
          <w:p w14:paraId="4CF7161F">
            <w:pPr>
              <w:keepNext w:val="0"/>
              <w:keepLines w:val="0"/>
              <w:suppressLineNumbers w:val="0"/>
              <w:shd w:val="clear" w:color="auto" w:fill="auto"/>
              <w:autoSpaceDE w:val="0"/>
              <w:autoSpaceDN w:val="0"/>
              <w:adjustRightInd w:val="0"/>
              <w:spacing w:before="0" w:beforeAutospacing="0" w:after="0" w:afterAutospacing="0"/>
              <w:ind w:left="0" w:right="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商务条款承诺</w:t>
            </w:r>
          </w:p>
        </w:tc>
        <w:tc>
          <w:tcPr>
            <w:tcW w:w="709" w:type="dxa"/>
            <w:tcBorders>
              <w:right w:val="single" w:color="auto" w:sz="4" w:space="0"/>
            </w:tcBorders>
            <w:noWrap w:val="0"/>
            <w:vAlign w:val="center"/>
          </w:tcPr>
          <w:p w14:paraId="6014F1DE">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w:t>
            </w:r>
          </w:p>
        </w:tc>
        <w:tc>
          <w:tcPr>
            <w:tcW w:w="1047" w:type="dxa"/>
            <w:tcBorders>
              <w:left w:val="single" w:color="auto" w:sz="4" w:space="0"/>
            </w:tcBorders>
            <w:noWrap w:val="0"/>
            <w:vAlign w:val="center"/>
          </w:tcPr>
          <w:p w14:paraId="26C48D5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说  明</w:t>
            </w:r>
          </w:p>
        </w:tc>
      </w:tr>
      <w:tr w14:paraId="70529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681" w:type="dxa"/>
            <w:noWrap w:val="0"/>
            <w:vAlign w:val="center"/>
          </w:tcPr>
          <w:p w14:paraId="44926551">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276" w:type="dxa"/>
            <w:noWrap w:val="0"/>
            <w:vAlign w:val="center"/>
          </w:tcPr>
          <w:p w14:paraId="70BAEE2C">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交货期</w:t>
            </w:r>
          </w:p>
        </w:tc>
        <w:tc>
          <w:tcPr>
            <w:tcW w:w="2693" w:type="dxa"/>
            <w:noWrap w:val="0"/>
            <w:vAlign w:val="center"/>
          </w:tcPr>
          <w:p w14:paraId="6F9307F5">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b/>
                <w:color w:val="auto"/>
                <w:sz w:val="24"/>
                <w:szCs w:val="24"/>
                <w:highlight w:val="none"/>
              </w:rPr>
            </w:pPr>
          </w:p>
        </w:tc>
        <w:tc>
          <w:tcPr>
            <w:tcW w:w="2268" w:type="dxa"/>
            <w:noWrap w:val="0"/>
            <w:vAlign w:val="center"/>
          </w:tcPr>
          <w:p w14:paraId="3C5598DE">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709" w:type="dxa"/>
            <w:tcBorders>
              <w:right w:val="single" w:color="auto" w:sz="4" w:space="0"/>
            </w:tcBorders>
            <w:noWrap w:val="0"/>
            <w:vAlign w:val="center"/>
          </w:tcPr>
          <w:p w14:paraId="3CBD560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047" w:type="dxa"/>
            <w:tcBorders>
              <w:left w:val="single" w:color="auto" w:sz="4" w:space="0"/>
            </w:tcBorders>
            <w:noWrap w:val="0"/>
            <w:vAlign w:val="center"/>
          </w:tcPr>
          <w:p w14:paraId="3D905D7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r>
      <w:tr w14:paraId="26679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4" w:hRule="atLeast"/>
          <w:jc w:val="center"/>
        </w:trPr>
        <w:tc>
          <w:tcPr>
            <w:tcW w:w="681" w:type="dxa"/>
            <w:noWrap w:val="0"/>
            <w:vAlign w:val="center"/>
          </w:tcPr>
          <w:p w14:paraId="6E0D8FE5">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276" w:type="dxa"/>
            <w:noWrap w:val="0"/>
            <w:vAlign w:val="center"/>
          </w:tcPr>
          <w:p w14:paraId="4359FACB">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2693" w:type="dxa"/>
            <w:noWrap w:val="0"/>
            <w:vAlign w:val="center"/>
          </w:tcPr>
          <w:p w14:paraId="30B59027">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2268" w:type="dxa"/>
            <w:noWrap w:val="0"/>
            <w:vAlign w:val="center"/>
          </w:tcPr>
          <w:p w14:paraId="5D9B78CC">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709" w:type="dxa"/>
            <w:tcBorders>
              <w:right w:val="single" w:color="auto" w:sz="4" w:space="0"/>
            </w:tcBorders>
            <w:noWrap w:val="0"/>
            <w:vAlign w:val="center"/>
          </w:tcPr>
          <w:p w14:paraId="720878E9">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047" w:type="dxa"/>
            <w:tcBorders>
              <w:left w:val="single" w:color="auto" w:sz="4" w:space="0"/>
            </w:tcBorders>
            <w:noWrap w:val="0"/>
            <w:vAlign w:val="center"/>
          </w:tcPr>
          <w:p w14:paraId="1AF69400">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r>
      <w:tr w14:paraId="0C2D4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681" w:type="dxa"/>
            <w:noWrap w:val="0"/>
            <w:vAlign w:val="center"/>
          </w:tcPr>
          <w:p w14:paraId="7F957803">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276" w:type="dxa"/>
            <w:noWrap w:val="0"/>
            <w:vAlign w:val="center"/>
          </w:tcPr>
          <w:p w14:paraId="079FABEF">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2693" w:type="dxa"/>
            <w:noWrap w:val="0"/>
            <w:vAlign w:val="center"/>
          </w:tcPr>
          <w:p w14:paraId="09268CC3">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2268" w:type="dxa"/>
            <w:noWrap w:val="0"/>
            <w:vAlign w:val="center"/>
          </w:tcPr>
          <w:p w14:paraId="1E0BEEA8">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709" w:type="dxa"/>
            <w:tcBorders>
              <w:right w:val="single" w:color="auto" w:sz="4" w:space="0"/>
            </w:tcBorders>
            <w:noWrap w:val="0"/>
            <w:vAlign w:val="center"/>
          </w:tcPr>
          <w:p w14:paraId="69CBDF4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047" w:type="dxa"/>
            <w:tcBorders>
              <w:left w:val="single" w:color="auto" w:sz="4" w:space="0"/>
            </w:tcBorders>
            <w:noWrap w:val="0"/>
            <w:vAlign w:val="center"/>
          </w:tcPr>
          <w:p w14:paraId="64354B9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r>
      <w:tr w14:paraId="333CA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681" w:type="dxa"/>
            <w:noWrap w:val="0"/>
            <w:vAlign w:val="center"/>
          </w:tcPr>
          <w:p w14:paraId="29765D85">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276" w:type="dxa"/>
            <w:noWrap w:val="0"/>
            <w:vAlign w:val="center"/>
          </w:tcPr>
          <w:p w14:paraId="7267A2FF">
            <w:pPr>
              <w:keepNext w:val="0"/>
              <w:keepLines w:val="0"/>
              <w:suppressLineNumbers w:val="0"/>
              <w:shd w:val="clear" w:color="auto" w:fill="auto"/>
              <w:autoSpaceDE w:val="0"/>
              <w:autoSpaceDN w:val="0"/>
              <w:adjustRightInd w:val="0"/>
              <w:spacing w:before="0" w:beforeAutospacing="0" w:after="0" w:afterAutospacing="0"/>
              <w:ind w:left="0" w:right="0"/>
              <w:rPr>
                <w:rFonts w:hint="eastAsia" w:ascii="宋体" w:hAnsi="宋体" w:cs="宋体"/>
                <w:color w:val="auto"/>
                <w:sz w:val="24"/>
                <w:szCs w:val="24"/>
                <w:highlight w:val="none"/>
              </w:rPr>
            </w:pPr>
          </w:p>
        </w:tc>
        <w:tc>
          <w:tcPr>
            <w:tcW w:w="2693" w:type="dxa"/>
            <w:noWrap w:val="0"/>
            <w:vAlign w:val="center"/>
          </w:tcPr>
          <w:p w14:paraId="730B0BBC">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2268" w:type="dxa"/>
            <w:noWrap w:val="0"/>
            <w:vAlign w:val="center"/>
          </w:tcPr>
          <w:p w14:paraId="67B8CF9D">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709" w:type="dxa"/>
            <w:tcBorders>
              <w:right w:val="single" w:color="auto" w:sz="4" w:space="0"/>
            </w:tcBorders>
            <w:noWrap w:val="0"/>
            <w:vAlign w:val="center"/>
          </w:tcPr>
          <w:p w14:paraId="4384F543">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047" w:type="dxa"/>
            <w:tcBorders>
              <w:left w:val="single" w:color="auto" w:sz="4" w:space="0"/>
            </w:tcBorders>
            <w:noWrap w:val="0"/>
            <w:vAlign w:val="center"/>
          </w:tcPr>
          <w:p w14:paraId="4654F236">
            <w:pPr>
              <w:keepNext w:val="0"/>
              <w:keepLines w:val="0"/>
              <w:suppressLineNumbers w:val="0"/>
              <w:shd w:val="clear" w:color="auto" w:fill="auto"/>
              <w:autoSpaceDE w:val="0"/>
              <w:autoSpaceDN w:val="0"/>
              <w:adjustRightInd w:val="0"/>
              <w:spacing w:before="0" w:beforeAutospacing="0" w:after="0" w:afterAutospacing="0"/>
              <w:ind w:left="0" w:right="0"/>
              <w:jc w:val="center"/>
              <w:rPr>
                <w:rFonts w:hint="eastAsia" w:ascii="宋体" w:hAnsi="宋体" w:cs="宋体"/>
                <w:color w:val="auto"/>
                <w:sz w:val="24"/>
                <w:szCs w:val="24"/>
                <w:highlight w:val="none"/>
              </w:rPr>
            </w:pPr>
          </w:p>
        </w:tc>
      </w:tr>
    </w:tbl>
    <w:p w14:paraId="1E72530A">
      <w:pPr>
        <w:pStyle w:val="25"/>
        <w:shd w:val="clear" w:color="auto" w:fill="auto"/>
        <w:spacing w:line="400" w:lineRule="atLeast"/>
        <w:ind w:firstLine="240" w:firstLineChars="100"/>
        <w:rPr>
          <w:rFonts w:hint="eastAsia"/>
          <w:bCs/>
          <w:color w:val="auto"/>
          <w:highlight w:val="none"/>
        </w:rPr>
      </w:pPr>
      <w:r>
        <w:rPr>
          <w:rFonts w:hint="eastAsia"/>
          <w:bCs/>
          <w:color w:val="auto"/>
          <w:highlight w:val="none"/>
        </w:rPr>
        <w:t>注：如不填写，则视作完全响应招标文件的</w:t>
      </w:r>
      <w:r>
        <w:rPr>
          <w:rFonts w:hint="eastAsia"/>
          <w:color w:val="auto"/>
          <w:highlight w:val="none"/>
        </w:rPr>
        <w:t>商务</w:t>
      </w:r>
      <w:r>
        <w:rPr>
          <w:rFonts w:hint="eastAsia"/>
          <w:bCs/>
          <w:color w:val="auto"/>
          <w:highlight w:val="none"/>
        </w:rPr>
        <w:t>要求。</w:t>
      </w:r>
    </w:p>
    <w:p w14:paraId="6CEF6BB9">
      <w:pPr>
        <w:shd w:val="clear" w:color="auto" w:fill="auto"/>
        <w:autoSpaceDE w:val="0"/>
        <w:autoSpaceDN w:val="0"/>
        <w:adjustRightInd w:val="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558E786">
      <w:pPr>
        <w:pStyle w:val="49"/>
        <w:shd w:val="clear" w:color="auto" w:fill="auto"/>
        <w:spacing w:line="360" w:lineRule="auto"/>
        <w:ind w:firstLine="480"/>
        <w:jc w:val="center"/>
        <w:rPr>
          <w:rFonts w:hAnsi="宋体" w:cs="宋体"/>
          <w:color w:val="auto"/>
          <w:sz w:val="24"/>
          <w:szCs w:val="24"/>
          <w:highlight w:val="none"/>
        </w:rPr>
      </w:pPr>
      <w:r>
        <w:rPr>
          <w:rFonts w:hAnsi="宋体" w:cs="宋体"/>
          <w:color w:val="auto"/>
          <w:sz w:val="24"/>
          <w:szCs w:val="24"/>
          <w:highlight w:val="none"/>
        </w:rPr>
        <w:t>投标人：（公章）</w:t>
      </w:r>
    </w:p>
    <w:p w14:paraId="08E1581D">
      <w:pPr>
        <w:pStyle w:val="49"/>
        <w:shd w:val="clear" w:color="auto" w:fill="auto"/>
        <w:spacing w:line="360" w:lineRule="auto"/>
        <w:ind w:firstLine="480"/>
        <w:jc w:val="center"/>
        <w:rPr>
          <w:rFonts w:hAnsi="宋体" w:cs="宋体"/>
          <w:color w:val="auto"/>
          <w:sz w:val="24"/>
          <w:szCs w:val="24"/>
          <w:highlight w:val="none"/>
        </w:rPr>
      </w:pPr>
      <w:r>
        <w:rPr>
          <w:rFonts w:hAnsi="宋体" w:cs="宋体"/>
          <w:color w:val="auto"/>
          <w:sz w:val="24"/>
          <w:szCs w:val="24"/>
          <w:highlight w:val="none"/>
        </w:rPr>
        <w:t xml:space="preserve">                    法定代表人或被授权人：（签字或盖章）</w:t>
      </w:r>
    </w:p>
    <w:p w14:paraId="60EDF726">
      <w:pPr>
        <w:pStyle w:val="49"/>
        <w:shd w:val="clear" w:color="auto" w:fill="auto"/>
        <w:spacing w:line="360" w:lineRule="auto"/>
        <w:ind w:firstLine="480"/>
        <w:jc w:val="center"/>
        <w:rPr>
          <w:rFonts w:hAnsi="宋体" w:cs="宋体"/>
          <w:color w:val="auto"/>
          <w:sz w:val="24"/>
          <w:szCs w:val="24"/>
          <w:highlight w:val="none"/>
        </w:rPr>
      </w:pPr>
      <w:r>
        <w:rPr>
          <w:rFonts w:hAnsi="宋体" w:cs="宋体"/>
          <w:color w:val="auto"/>
          <w:sz w:val="24"/>
          <w:szCs w:val="24"/>
          <w:highlight w:val="none"/>
        </w:rPr>
        <w:t xml:space="preserve">                 年   月   日</w:t>
      </w:r>
    </w:p>
    <w:p w14:paraId="6EA34F2C">
      <w:pPr>
        <w:pStyle w:val="26"/>
        <w:shd w:val="clear" w:color="auto" w:fill="auto"/>
        <w:outlineLvl w:val="9"/>
        <w:rPr>
          <w:rFonts w:hint="eastAsia" w:ascii="宋体" w:hAnsi="宋体" w:cs="宋体"/>
          <w:color w:val="auto"/>
          <w:highlight w:val="none"/>
        </w:rPr>
      </w:pPr>
    </w:p>
    <w:p w14:paraId="5D10C2D2">
      <w:pPr>
        <w:shd w:val="clear" w:color="auto" w:fill="auto"/>
        <w:spacing w:before="159" w:beforeLines="50" w:after="159" w:afterLines="50" w:line="360" w:lineRule="auto"/>
        <w:ind w:right="-10"/>
        <w:jc w:val="center"/>
        <w:rPr>
          <w:rFonts w:hint="eastAsia" w:ascii="宋体" w:hAnsi="宋体" w:cs="宋体"/>
          <w:b/>
          <w:bCs/>
          <w:color w:val="auto"/>
          <w:spacing w:val="21"/>
          <w:kern w:val="0"/>
          <w:sz w:val="32"/>
          <w:szCs w:val="32"/>
          <w:highlight w:val="none"/>
        </w:rPr>
      </w:pPr>
    </w:p>
    <w:p w14:paraId="04DD8542">
      <w:pPr>
        <w:shd w:val="clear" w:color="auto" w:fill="auto"/>
        <w:spacing w:before="159" w:beforeLines="50" w:after="159" w:afterLines="50" w:line="360" w:lineRule="auto"/>
        <w:ind w:right="-10"/>
        <w:jc w:val="center"/>
        <w:rPr>
          <w:rFonts w:hint="eastAsia" w:ascii="宋体" w:hAnsi="宋体" w:cs="宋体"/>
          <w:b/>
          <w:bCs/>
          <w:color w:val="auto"/>
          <w:spacing w:val="21"/>
          <w:kern w:val="0"/>
          <w:sz w:val="32"/>
          <w:szCs w:val="32"/>
          <w:highlight w:val="none"/>
        </w:rPr>
      </w:pPr>
    </w:p>
    <w:p w14:paraId="79B27C17">
      <w:pPr>
        <w:widowControl/>
        <w:shd w:val="clear" w:color="auto" w:fill="auto"/>
        <w:jc w:val="left"/>
        <w:rPr>
          <w:rFonts w:hint="eastAsia" w:ascii="宋体" w:hAnsi="宋体" w:cs="宋体"/>
          <w:b/>
          <w:bCs/>
          <w:color w:val="auto"/>
          <w:sz w:val="28"/>
          <w:szCs w:val="28"/>
          <w:highlight w:val="none"/>
        </w:rPr>
      </w:pPr>
    </w:p>
    <w:p w14:paraId="42C34D7D">
      <w:pPr>
        <w:widowControl/>
        <w:shd w:val="clear" w:color="auto" w:fill="auto"/>
        <w:jc w:val="left"/>
        <w:outlineLvl w:val="0"/>
        <w:rPr>
          <w:rFonts w:hint="eastAsia" w:ascii="宋体" w:hAnsi="宋体" w:cs="宋体"/>
          <w:color w:val="auto"/>
          <w:highlight w:val="none"/>
        </w:rPr>
      </w:pPr>
      <w:bookmarkStart w:id="175" w:name="_Toc1460550832"/>
      <w:bookmarkStart w:id="176" w:name="_Toc28755"/>
      <w:bookmarkStart w:id="177" w:name="_Toc23939"/>
      <w:bookmarkStart w:id="178" w:name="_Toc9172"/>
      <w:bookmarkStart w:id="179" w:name="_Toc13281"/>
      <w:bookmarkStart w:id="180" w:name="_Toc9086"/>
      <w:r>
        <w:rPr>
          <w:rFonts w:hint="eastAsia" w:ascii="宋体" w:hAnsi="宋体" w:cs="宋体"/>
          <w:b/>
          <w:bCs/>
          <w:color w:val="auto"/>
          <w:sz w:val="28"/>
          <w:szCs w:val="28"/>
          <w:highlight w:val="none"/>
        </w:rPr>
        <w:t>附件9:</w:t>
      </w:r>
      <w:bookmarkEnd w:id="175"/>
      <w:bookmarkEnd w:id="176"/>
      <w:bookmarkEnd w:id="177"/>
      <w:bookmarkEnd w:id="178"/>
      <w:bookmarkEnd w:id="179"/>
      <w:bookmarkEnd w:id="180"/>
    </w:p>
    <w:p w14:paraId="7384B4FA">
      <w:pPr>
        <w:shd w:val="clear" w:color="auto" w:fill="auto"/>
        <w:snapToGrid w:val="0"/>
        <w:spacing w:before="159" w:beforeLines="50" w:after="50" w:line="360" w:lineRule="auto"/>
        <w:jc w:val="center"/>
        <w:rPr>
          <w:rFonts w:hint="eastAsia"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主要技术人员清单一览表</w:t>
      </w:r>
    </w:p>
    <w:tbl>
      <w:tblPr>
        <w:tblStyle w:val="27"/>
        <w:tblW w:w="9037"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1790"/>
        <w:gridCol w:w="782"/>
        <w:gridCol w:w="1242"/>
        <w:gridCol w:w="1399"/>
        <w:gridCol w:w="1401"/>
        <w:gridCol w:w="1060"/>
        <w:gridCol w:w="857"/>
      </w:tblGrid>
      <w:tr w14:paraId="2C6C5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506" w:type="dxa"/>
            <w:tcBorders>
              <w:top w:val="single" w:color="auto" w:sz="4" w:space="0"/>
              <w:bottom w:val="single" w:color="auto" w:sz="4" w:space="0"/>
              <w:right w:val="single" w:color="auto" w:sz="4" w:space="0"/>
            </w:tcBorders>
            <w:noWrap w:val="0"/>
            <w:vAlign w:val="center"/>
          </w:tcPr>
          <w:p w14:paraId="6A693A53">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56763DAA">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highlight w:val="none"/>
              </w:rPr>
              <w:t>姓名</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3016CE94">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kern w:val="44"/>
                <w:highlight w:val="none"/>
              </w:rPr>
              <w:t>性别</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F77006B">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kern w:val="44"/>
                <w:highlight w:val="none"/>
              </w:rPr>
              <w:t>年龄</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346A1B9">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kern w:val="44"/>
                <w:highlight w:val="none"/>
              </w:rPr>
              <w:t>最高学历</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52D2394E">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kern w:val="44"/>
                <w:highlight w:val="none"/>
              </w:rPr>
              <w:t>资格证书</w:t>
            </w:r>
          </w:p>
        </w:tc>
        <w:tc>
          <w:tcPr>
            <w:tcW w:w="1060" w:type="dxa"/>
            <w:tcBorders>
              <w:top w:val="single" w:color="auto" w:sz="4" w:space="0"/>
              <w:left w:val="single" w:color="auto" w:sz="4" w:space="0"/>
              <w:bottom w:val="single" w:color="auto" w:sz="4" w:space="0"/>
            </w:tcBorders>
            <w:noWrap w:val="0"/>
            <w:vAlign w:val="center"/>
          </w:tcPr>
          <w:p w14:paraId="32835D43">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kern w:val="44"/>
                <w:highlight w:val="none"/>
              </w:rPr>
              <w:t>项目经验</w:t>
            </w:r>
          </w:p>
        </w:tc>
        <w:tc>
          <w:tcPr>
            <w:tcW w:w="857" w:type="dxa"/>
            <w:tcBorders>
              <w:top w:val="single" w:color="auto" w:sz="4" w:space="0"/>
              <w:left w:val="single" w:color="auto" w:sz="4" w:space="0"/>
              <w:bottom w:val="single" w:color="auto" w:sz="4" w:space="0"/>
            </w:tcBorders>
            <w:noWrap w:val="0"/>
            <w:vAlign w:val="center"/>
          </w:tcPr>
          <w:p w14:paraId="62F1B802">
            <w:pPr>
              <w:keepNext w:val="0"/>
              <w:keepLines w:val="0"/>
              <w:suppressLineNumbers w:val="0"/>
              <w:shd w:val="clear" w:color="auto" w:fill="auto"/>
              <w:snapToGrid w:val="0"/>
              <w:spacing w:before="159" w:beforeLines="50" w:beforeAutospacing="0" w:after="50" w:afterAutospacing="0" w:line="360" w:lineRule="auto"/>
              <w:ind w:left="0" w:right="0"/>
              <w:jc w:val="center"/>
              <w:rPr>
                <w:rFonts w:hint="eastAsia" w:ascii="宋体" w:hAnsi="宋体" w:cs="宋体"/>
                <w:b/>
                <w:bCs/>
                <w:color w:val="auto"/>
                <w:kern w:val="44"/>
                <w:highlight w:val="none"/>
              </w:rPr>
            </w:pPr>
            <w:r>
              <w:rPr>
                <w:rFonts w:hint="eastAsia" w:ascii="宋体" w:hAnsi="宋体" w:cs="宋体"/>
                <w:b/>
                <w:bCs/>
                <w:color w:val="auto"/>
                <w:kern w:val="44"/>
                <w:highlight w:val="none"/>
              </w:rPr>
              <w:t>备注</w:t>
            </w:r>
          </w:p>
        </w:tc>
      </w:tr>
      <w:tr w14:paraId="09514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3DC98B81">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1</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57A3B77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72FBF2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6988CB3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43FB7AE">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0DE17C1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060" w:type="dxa"/>
            <w:tcBorders>
              <w:top w:val="single" w:color="auto" w:sz="4" w:space="0"/>
              <w:left w:val="single" w:color="auto" w:sz="4" w:space="0"/>
              <w:bottom w:val="single" w:color="auto" w:sz="4" w:space="0"/>
            </w:tcBorders>
            <w:noWrap w:val="0"/>
            <w:vAlign w:val="top"/>
          </w:tcPr>
          <w:p w14:paraId="448A591E">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857" w:type="dxa"/>
            <w:tcBorders>
              <w:top w:val="single" w:color="auto" w:sz="4" w:space="0"/>
              <w:left w:val="single" w:color="auto" w:sz="4" w:space="0"/>
              <w:bottom w:val="single" w:color="auto" w:sz="4" w:space="0"/>
            </w:tcBorders>
            <w:noWrap w:val="0"/>
            <w:vAlign w:val="top"/>
          </w:tcPr>
          <w:p w14:paraId="0A48934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r>
      <w:tr w14:paraId="42D72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0C1210D2">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2</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21CF36B2">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79587A8B">
            <w:pPr>
              <w:pStyle w:val="17"/>
              <w:keepNext w:val="0"/>
              <w:keepLines w:val="0"/>
              <w:suppressLineNumbers w:val="0"/>
              <w:shd w:val="clear" w:color="auto" w:fill="auto"/>
              <w:snapToGrid w:val="0"/>
              <w:spacing w:before="159" w:beforeLines="50" w:beforeAutospacing="0" w:after="50" w:afterAutospacing="0" w:line="360" w:lineRule="auto"/>
              <w:ind w:left="5250" w:right="0"/>
              <w:rPr>
                <w:rFonts w:hint="eastAsia" w:ascii="宋体" w:hAnsi="宋体" w:eastAsia="宋体" w:cs="宋体"/>
                <w:b/>
                <w:bCs/>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224F7A6E">
            <w:pPr>
              <w:pStyle w:val="17"/>
              <w:keepNext w:val="0"/>
              <w:keepLines w:val="0"/>
              <w:suppressLineNumbers w:val="0"/>
              <w:shd w:val="clear" w:color="auto" w:fill="auto"/>
              <w:snapToGrid w:val="0"/>
              <w:spacing w:before="159" w:beforeLines="50" w:beforeAutospacing="0" w:after="50" w:afterAutospacing="0" w:line="360" w:lineRule="auto"/>
              <w:ind w:left="5250" w:right="0"/>
              <w:rPr>
                <w:rFonts w:hint="eastAsia" w:ascii="宋体" w:hAnsi="宋体" w:eastAsia="宋体" w:cs="宋体"/>
                <w:b/>
                <w:bCs/>
                <w:color w:val="auto"/>
                <w:kern w:val="44"/>
                <w:sz w:val="21"/>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08ACA5C9">
            <w:pPr>
              <w:pStyle w:val="17"/>
              <w:keepNext w:val="0"/>
              <w:keepLines w:val="0"/>
              <w:suppressLineNumbers w:val="0"/>
              <w:shd w:val="clear" w:color="auto" w:fill="auto"/>
              <w:spacing w:before="0" w:beforeAutospacing="0" w:after="0" w:afterAutospacing="0" w:line="360" w:lineRule="auto"/>
              <w:ind w:left="5250" w:right="0"/>
              <w:rPr>
                <w:rFonts w:hint="eastAsia" w:ascii="宋体" w:hAnsi="宋体" w:eastAsia="宋体" w:cs="宋体"/>
                <w:color w:val="auto"/>
                <w:sz w:val="21"/>
                <w:szCs w:val="21"/>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5F9D807B">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auto"/>
                <w:highlight w:val="none"/>
              </w:rPr>
            </w:pPr>
          </w:p>
        </w:tc>
        <w:tc>
          <w:tcPr>
            <w:tcW w:w="1060" w:type="dxa"/>
            <w:tcBorders>
              <w:top w:val="single" w:color="auto" w:sz="4" w:space="0"/>
              <w:left w:val="single" w:color="auto" w:sz="4" w:space="0"/>
              <w:bottom w:val="single" w:color="auto" w:sz="4" w:space="0"/>
            </w:tcBorders>
            <w:noWrap w:val="0"/>
            <w:vAlign w:val="top"/>
          </w:tcPr>
          <w:p w14:paraId="2C9542D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857" w:type="dxa"/>
            <w:tcBorders>
              <w:top w:val="single" w:color="auto" w:sz="4" w:space="0"/>
              <w:left w:val="single" w:color="auto" w:sz="4" w:space="0"/>
              <w:bottom w:val="single" w:color="auto" w:sz="4" w:space="0"/>
            </w:tcBorders>
            <w:noWrap w:val="0"/>
            <w:vAlign w:val="top"/>
          </w:tcPr>
          <w:p w14:paraId="3F3C991B">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r>
      <w:tr w14:paraId="459B2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150E027B">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3</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1F97261F">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286F622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7826DD4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77A2CA3">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1499CE1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060" w:type="dxa"/>
            <w:tcBorders>
              <w:top w:val="single" w:color="auto" w:sz="4" w:space="0"/>
              <w:left w:val="single" w:color="auto" w:sz="4" w:space="0"/>
              <w:bottom w:val="single" w:color="auto" w:sz="4" w:space="0"/>
            </w:tcBorders>
            <w:noWrap w:val="0"/>
            <w:vAlign w:val="top"/>
          </w:tcPr>
          <w:p w14:paraId="73D94179">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857" w:type="dxa"/>
            <w:tcBorders>
              <w:top w:val="single" w:color="auto" w:sz="4" w:space="0"/>
              <w:left w:val="single" w:color="auto" w:sz="4" w:space="0"/>
              <w:bottom w:val="single" w:color="auto" w:sz="4" w:space="0"/>
            </w:tcBorders>
            <w:noWrap w:val="0"/>
            <w:vAlign w:val="top"/>
          </w:tcPr>
          <w:p w14:paraId="2BB24ED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r>
      <w:tr w14:paraId="283C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7ECE082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r>
              <w:rPr>
                <w:rFonts w:hint="eastAsia" w:ascii="宋体" w:hAnsi="宋体" w:cs="宋体"/>
                <w:color w:val="auto"/>
                <w:highlight w:val="none"/>
              </w:rPr>
              <w:t>…</w:t>
            </w:r>
          </w:p>
        </w:tc>
        <w:tc>
          <w:tcPr>
            <w:tcW w:w="1790" w:type="dxa"/>
            <w:tcBorders>
              <w:top w:val="single" w:color="auto" w:sz="4" w:space="0"/>
              <w:left w:val="single" w:color="auto" w:sz="4" w:space="0"/>
              <w:bottom w:val="single" w:color="auto" w:sz="4" w:space="0"/>
              <w:right w:val="single" w:color="auto" w:sz="4" w:space="0"/>
            </w:tcBorders>
            <w:noWrap w:val="0"/>
            <w:vAlign w:val="top"/>
          </w:tcPr>
          <w:p w14:paraId="4CF1638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3DEB6FC0">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0E26D513">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CD62A7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6222A51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1060" w:type="dxa"/>
            <w:tcBorders>
              <w:top w:val="single" w:color="auto" w:sz="4" w:space="0"/>
              <w:left w:val="single" w:color="auto" w:sz="4" w:space="0"/>
              <w:bottom w:val="single" w:color="auto" w:sz="4" w:space="0"/>
            </w:tcBorders>
            <w:noWrap w:val="0"/>
            <w:vAlign w:val="top"/>
          </w:tcPr>
          <w:p w14:paraId="507E088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c>
          <w:tcPr>
            <w:tcW w:w="857" w:type="dxa"/>
            <w:tcBorders>
              <w:top w:val="single" w:color="auto" w:sz="4" w:space="0"/>
              <w:left w:val="single" w:color="auto" w:sz="4" w:space="0"/>
              <w:bottom w:val="single" w:color="auto" w:sz="4" w:space="0"/>
            </w:tcBorders>
            <w:noWrap w:val="0"/>
            <w:vAlign w:val="top"/>
          </w:tcPr>
          <w:p w14:paraId="5FCF5A0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highlight w:val="none"/>
              </w:rPr>
            </w:pPr>
          </w:p>
        </w:tc>
      </w:tr>
      <w:tr w14:paraId="75066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3644860E">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27D2E6C4">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4CF9550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2F276F0D">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04D353B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31B6754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060" w:type="dxa"/>
            <w:tcBorders>
              <w:top w:val="single" w:color="auto" w:sz="4" w:space="0"/>
              <w:left w:val="single" w:color="auto" w:sz="4" w:space="0"/>
              <w:bottom w:val="single" w:color="auto" w:sz="4" w:space="0"/>
            </w:tcBorders>
            <w:noWrap w:val="0"/>
            <w:vAlign w:val="top"/>
          </w:tcPr>
          <w:p w14:paraId="2E7615C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857" w:type="dxa"/>
            <w:tcBorders>
              <w:top w:val="single" w:color="auto" w:sz="4" w:space="0"/>
              <w:left w:val="single" w:color="auto" w:sz="4" w:space="0"/>
              <w:bottom w:val="single" w:color="auto" w:sz="4" w:space="0"/>
            </w:tcBorders>
            <w:noWrap w:val="0"/>
            <w:vAlign w:val="top"/>
          </w:tcPr>
          <w:p w14:paraId="7377433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r>
      <w:tr w14:paraId="63D2E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06" w:type="dxa"/>
            <w:tcBorders>
              <w:top w:val="single" w:color="auto" w:sz="4" w:space="0"/>
              <w:bottom w:val="single" w:color="auto" w:sz="4" w:space="0"/>
              <w:right w:val="single" w:color="auto" w:sz="4" w:space="0"/>
            </w:tcBorders>
            <w:noWrap w:val="0"/>
            <w:vAlign w:val="top"/>
          </w:tcPr>
          <w:p w14:paraId="5830C2C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5C622A39">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5FB92C1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28645CB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31F2F4EB">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528C6E64">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060" w:type="dxa"/>
            <w:tcBorders>
              <w:top w:val="single" w:color="auto" w:sz="4" w:space="0"/>
              <w:left w:val="single" w:color="auto" w:sz="4" w:space="0"/>
              <w:bottom w:val="single" w:color="auto" w:sz="4" w:space="0"/>
            </w:tcBorders>
            <w:noWrap w:val="0"/>
            <w:vAlign w:val="top"/>
          </w:tcPr>
          <w:p w14:paraId="0DF6B027">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857" w:type="dxa"/>
            <w:tcBorders>
              <w:top w:val="single" w:color="auto" w:sz="4" w:space="0"/>
              <w:left w:val="single" w:color="auto" w:sz="4" w:space="0"/>
              <w:bottom w:val="single" w:color="auto" w:sz="4" w:space="0"/>
            </w:tcBorders>
            <w:noWrap w:val="0"/>
            <w:vAlign w:val="top"/>
          </w:tcPr>
          <w:p w14:paraId="27CAD95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r>
      <w:tr w14:paraId="4E169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2CA5D8D2">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01727D73">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1D53644C">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2F3D1FAE">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542DB2C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125ECAD8">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060" w:type="dxa"/>
            <w:tcBorders>
              <w:top w:val="single" w:color="auto" w:sz="4" w:space="0"/>
              <w:left w:val="single" w:color="auto" w:sz="4" w:space="0"/>
              <w:bottom w:val="single" w:color="auto" w:sz="4" w:space="0"/>
            </w:tcBorders>
            <w:noWrap w:val="0"/>
            <w:vAlign w:val="top"/>
          </w:tcPr>
          <w:p w14:paraId="7AD4D4F4">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857" w:type="dxa"/>
            <w:tcBorders>
              <w:top w:val="single" w:color="auto" w:sz="4" w:space="0"/>
              <w:left w:val="single" w:color="auto" w:sz="4" w:space="0"/>
              <w:bottom w:val="single" w:color="auto" w:sz="4" w:space="0"/>
            </w:tcBorders>
            <w:noWrap w:val="0"/>
            <w:vAlign w:val="top"/>
          </w:tcPr>
          <w:p w14:paraId="3779E5BE">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r>
      <w:tr w14:paraId="3F927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06" w:type="dxa"/>
            <w:tcBorders>
              <w:top w:val="single" w:color="auto" w:sz="4" w:space="0"/>
              <w:bottom w:val="single" w:color="auto" w:sz="4" w:space="0"/>
              <w:right w:val="single" w:color="auto" w:sz="4" w:space="0"/>
            </w:tcBorders>
            <w:noWrap w:val="0"/>
            <w:vAlign w:val="top"/>
          </w:tcPr>
          <w:p w14:paraId="62817A1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color w:val="auto"/>
                <w:sz w:val="24"/>
                <w:szCs w:val="24"/>
                <w:highlight w:val="none"/>
              </w:rPr>
            </w:pPr>
          </w:p>
        </w:tc>
        <w:tc>
          <w:tcPr>
            <w:tcW w:w="1790" w:type="dxa"/>
            <w:tcBorders>
              <w:top w:val="single" w:color="auto" w:sz="4" w:space="0"/>
              <w:left w:val="single" w:color="auto" w:sz="4" w:space="0"/>
              <w:bottom w:val="single" w:color="auto" w:sz="4" w:space="0"/>
              <w:right w:val="single" w:color="auto" w:sz="4" w:space="0"/>
            </w:tcBorders>
            <w:noWrap w:val="0"/>
            <w:vAlign w:val="top"/>
          </w:tcPr>
          <w:p w14:paraId="289A4EE5">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782" w:type="dxa"/>
            <w:tcBorders>
              <w:top w:val="single" w:color="auto" w:sz="4" w:space="0"/>
              <w:left w:val="single" w:color="auto" w:sz="4" w:space="0"/>
              <w:bottom w:val="single" w:color="auto" w:sz="4" w:space="0"/>
              <w:right w:val="single" w:color="auto" w:sz="4" w:space="0"/>
            </w:tcBorders>
            <w:noWrap w:val="0"/>
            <w:vAlign w:val="top"/>
          </w:tcPr>
          <w:p w14:paraId="6F0473CF">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top"/>
          </w:tcPr>
          <w:p w14:paraId="1EF985E3">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F10EEB1">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401" w:type="dxa"/>
            <w:tcBorders>
              <w:top w:val="single" w:color="auto" w:sz="4" w:space="0"/>
              <w:left w:val="single" w:color="auto" w:sz="4" w:space="0"/>
              <w:bottom w:val="single" w:color="auto" w:sz="4" w:space="0"/>
              <w:right w:val="single" w:color="auto" w:sz="4" w:space="0"/>
            </w:tcBorders>
            <w:noWrap w:val="0"/>
            <w:vAlign w:val="top"/>
          </w:tcPr>
          <w:p w14:paraId="78545A1A">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1060" w:type="dxa"/>
            <w:tcBorders>
              <w:top w:val="single" w:color="auto" w:sz="4" w:space="0"/>
              <w:left w:val="single" w:color="auto" w:sz="4" w:space="0"/>
              <w:bottom w:val="single" w:color="auto" w:sz="4" w:space="0"/>
            </w:tcBorders>
            <w:noWrap w:val="0"/>
            <w:vAlign w:val="top"/>
          </w:tcPr>
          <w:p w14:paraId="323325DE">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c>
          <w:tcPr>
            <w:tcW w:w="857" w:type="dxa"/>
            <w:tcBorders>
              <w:top w:val="single" w:color="auto" w:sz="4" w:space="0"/>
              <w:left w:val="single" w:color="auto" w:sz="4" w:space="0"/>
              <w:bottom w:val="single" w:color="auto" w:sz="4" w:space="0"/>
            </w:tcBorders>
            <w:noWrap w:val="0"/>
            <w:vAlign w:val="top"/>
          </w:tcPr>
          <w:p w14:paraId="76FFFCA6">
            <w:pPr>
              <w:keepNext w:val="0"/>
              <w:keepLines w:val="0"/>
              <w:suppressLineNumbers w:val="0"/>
              <w:shd w:val="clear" w:color="auto" w:fill="auto"/>
              <w:snapToGrid w:val="0"/>
              <w:spacing w:before="159" w:beforeLines="50" w:beforeAutospacing="0" w:after="50" w:afterAutospacing="0" w:line="360" w:lineRule="auto"/>
              <w:ind w:left="0" w:right="0"/>
              <w:rPr>
                <w:rFonts w:hint="eastAsia" w:ascii="宋体" w:hAnsi="宋体" w:cs="宋体"/>
                <w:b/>
                <w:bCs/>
                <w:color w:val="auto"/>
                <w:kern w:val="44"/>
                <w:sz w:val="24"/>
                <w:szCs w:val="24"/>
                <w:highlight w:val="none"/>
              </w:rPr>
            </w:pPr>
          </w:p>
        </w:tc>
      </w:tr>
    </w:tbl>
    <w:p w14:paraId="13F80068">
      <w:pPr>
        <w:shd w:val="clear" w:color="auto" w:fill="auto"/>
        <w:spacing w:line="360" w:lineRule="auto"/>
        <w:rPr>
          <w:rFonts w:hint="eastAsia" w:ascii="宋体" w:hAnsi="宋体" w:cs="宋体"/>
          <w:b/>
          <w:bCs/>
          <w:color w:val="auto"/>
          <w:highlight w:val="none"/>
        </w:rPr>
      </w:pPr>
      <w:r>
        <w:rPr>
          <w:rFonts w:hint="eastAsia" w:ascii="宋体" w:hAnsi="宋体" w:cs="宋体"/>
          <w:b/>
          <w:bCs/>
          <w:color w:val="auto"/>
          <w:highlight w:val="none"/>
        </w:rPr>
        <w:t>要求：</w:t>
      </w:r>
    </w:p>
    <w:p w14:paraId="054FA080">
      <w:pPr>
        <w:shd w:val="clear" w:color="auto" w:fill="auto"/>
        <w:spacing w:line="360" w:lineRule="auto"/>
        <w:ind w:left="437"/>
        <w:rPr>
          <w:rFonts w:hint="eastAsia" w:ascii="宋体" w:hAnsi="宋体" w:cs="宋体"/>
          <w:color w:val="auto"/>
          <w:highlight w:val="none"/>
        </w:rPr>
      </w:pPr>
      <w:r>
        <w:rPr>
          <w:rFonts w:hint="eastAsia" w:ascii="宋体" w:hAnsi="宋体" w:cs="宋体"/>
          <w:b/>
          <w:bCs/>
          <w:color w:val="auto"/>
          <w:highlight w:val="none"/>
        </w:rPr>
        <w:t>1.</w:t>
      </w:r>
      <w:r>
        <w:rPr>
          <w:rFonts w:hint="eastAsia" w:ascii="宋体" w:hAnsi="宋体" w:cs="宋体"/>
          <w:color w:val="auto"/>
          <w:highlight w:val="none"/>
        </w:rPr>
        <w:t>在填写时，如本表格不适合投标人的实际情况，可根据本表格式自行划表填写。</w:t>
      </w:r>
    </w:p>
    <w:p w14:paraId="146885CB">
      <w:pPr>
        <w:pStyle w:val="65"/>
        <w:shd w:val="clear" w:color="auto" w:fill="auto"/>
        <w:spacing w:line="360" w:lineRule="auto"/>
        <w:ind w:left="424" w:leftChars="202"/>
        <w:rPr>
          <w:rFonts w:hint="eastAsia" w:ascii="宋体" w:hAnsi="宋体" w:cs="宋体"/>
          <w:color w:val="auto"/>
          <w:highlight w:val="none"/>
        </w:rPr>
      </w:pPr>
      <w:r>
        <w:rPr>
          <w:rFonts w:hint="eastAsia" w:ascii="宋体" w:hAnsi="宋体" w:cs="宋体"/>
          <w:color w:val="auto"/>
          <w:highlight w:val="none"/>
        </w:rPr>
        <w:t>2.需要列出人员的清单，并附人员证书复印件；</w:t>
      </w:r>
    </w:p>
    <w:p w14:paraId="056D99A4">
      <w:pPr>
        <w:pStyle w:val="65"/>
        <w:shd w:val="clear" w:color="auto" w:fill="auto"/>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rPr>
        <w:t>　　3.出具上述人员在本单位服务的外部证明，如：投标截止日之前6个月（含）以上的代缴个税税单、参加社会保险的《投保单》或《社会保险参保人员证明》或《社保缴纳的单位花名册》等。</w:t>
      </w:r>
    </w:p>
    <w:p w14:paraId="09F995AB">
      <w:pPr>
        <w:shd w:val="clear" w:color="auto" w:fill="auto"/>
        <w:spacing w:line="360" w:lineRule="auto"/>
        <w:ind w:left="420"/>
        <w:rPr>
          <w:rFonts w:hint="eastAsia" w:ascii="宋体" w:hAnsi="宋体" w:cs="宋体"/>
          <w:color w:val="auto"/>
          <w:sz w:val="24"/>
          <w:szCs w:val="24"/>
          <w:highlight w:val="none"/>
        </w:rPr>
      </w:pPr>
    </w:p>
    <w:p w14:paraId="47162EF1">
      <w:pPr>
        <w:shd w:val="clear" w:color="auto" w:fill="auto"/>
        <w:spacing w:line="360" w:lineRule="auto"/>
        <w:ind w:left="4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p>
    <w:p w14:paraId="486B5132">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42D92BEC">
      <w:pPr>
        <w:shd w:val="clear" w:color="auto" w:fill="auto"/>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4D79FBD3">
      <w:pPr>
        <w:widowControl/>
        <w:shd w:val="clear" w:color="auto" w:fill="auto"/>
        <w:jc w:val="left"/>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181" w:name="_Toc5905"/>
      <w:bookmarkStart w:id="182" w:name="_Toc2331"/>
      <w:bookmarkStart w:id="183" w:name="_Toc27617"/>
      <w:bookmarkStart w:id="184" w:name="_Toc2955"/>
      <w:bookmarkStart w:id="185" w:name="_Toc31858"/>
      <w:bookmarkStart w:id="186" w:name="_Toc1739748214"/>
      <w:r>
        <w:rPr>
          <w:rFonts w:hint="eastAsia" w:ascii="宋体" w:hAnsi="宋体" w:cs="宋体"/>
          <w:b/>
          <w:bCs/>
          <w:color w:val="auto"/>
          <w:sz w:val="28"/>
          <w:szCs w:val="28"/>
          <w:highlight w:val="none"/>
        </w:rPr>
        <w:t>附件10:</w:t>
      </w:r>
      <w:bookmarkEnd w:id="181"/>
      <w:bookmarkEnd w:id="182"/>
      <w:bookmarkEnd w:id="183"/>
      <w:bookmarkEnd w:id="184"/>
      <w:bookmarkEnd w:id="185"/>
      <w:bookmarkEnd w:id="186"/>
    </w:p>
    <w:p w14:paraId="4D94E812">
      <w:pPr>
        <w:pStyle w:val="41"/>
        <w:shd w:val="clear" w:color="auto" w:fill="auto"/>
        <w:spacing w:line="360" w:lineRule="auto"/>
        <w:jc w:val="center"/>
        <w:rPr>
          <w:rFonts w:hint="eastAsia"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投标人类似项目实施情况一览表</w:t>
      </w:r>
    </w:p>
    <w:tbl>
      <w:tblPr>
        <w:tblStyle w:val="27"/>
        <w:tblW w:w="86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7"/>
        <w:gridCol w:w="1308"/>
        <w:gridCol w:w="1173"/>
        <w:gridCol w:w="996"/>
        <w:gridCol w:w="843"/>
        <w:gridCol w:w="1134"/>
        <w:gridCol w:w="1701"/>
        <w:gridCol w:w="990"/>
      </w:tblGrid>
      <w:tr w14:paraId="38257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center"/>
          </w:tcPr>
          <w:p w14:paraId="5BFB2F5B">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1308" w:type="dxa"/>
            <w:tcBorders>
              <w:top w:val="single" w:color="auto" w:sz="6" w:space="0"/>
              <w:left w:val="single" w:color="auto" w:sz="6" w:space="0"/>
              <w:bottom w:val="single" w:color="auto" w:sz="6" w:space="0"/>
              <w:right w:val="single" w:color="auto" w:sz="6" w:space="0"/>
            </w:tcBorders>
            <w:noWrap w:val="0"/>
            <w:vAlign w:val="center"/>
          </w:tcPr>
          <w:p w14:paraId="1492FDCD">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项目名称</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61F8E518">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服务主要内容</w:t>
            </w:r>
          </w:p>
        </w:tc>
        <w:tc>
          <w:tcPr>
            <w:tcW w:w="996" w:type="dxa"/>
            <w:tcBorders>
              <w:top w:val="single" w:color="auto" w:sz="6" w:space="0"/>
              <w:left w:val="single" w:color="auto" w:sz="6" w:space="0"/>
              <w:bottom w:val="single" w:color="auto" w:sz="6" w:space="0"/>
              <w:right w:val="single" w:color="auto" w:sz="6" w:space="0"/>
            </w:tcBorders>
            <w:noWrap w:val="0"/>
            <w:vAlign w:val="center"/>
          </w:tcPr>
          <w:p w14:paraId="4F6B9540">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合同总价</w:t>
            </w:r>
          </w:p>
        </w:tc>
        <w:tc>
          <w:tcPr>
            <w:tcW w:w="843" w:type="dxa"/>
            <w:tcBorders>
              <w:top w:val="single" w:color="auto" w:sz="6" w:space="0"/>
              <w:left w:val="single" w:color="auto" w:sz="6" w:space="0"/>
              <w:bottom w:val="single" w:color="auto" w:sz="6" w:space="0"/>
              <w:right w:val="single" w:color="auto" w:sz="6" w:space="0"/>
            </w:tcBorders>
            <w:noWrap w:val="0"/>
            <w:vAlign w:val="center"/>
          </w:tcPr>
          <w:p w14:paraId="469FB78B">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合同签订时间</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BCCADE">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项目服务期限</w:t>
            </w:r>
          </w:p>
        </w:tc>
        <w:tc>
          <w:tcPr>
            <w:tcW w:w="1701" w:type="dxa"/>
            <w:tcBorders>
              <w:top w:val="single" w:color="auto" w:sz="6" w:space="0"/>
              <w:left w:val="single" w:color="auto" w:sz="6" w:space="0"/>
              <w:bottom w:val="single" w:color="auto" w:sz="6" w:space="0"/>
              <w:right w:val="single" w:color="auto" w:sz="4" w:space="0"/>
            </w:tcBorders>
            <w:noWrap w:val="0"/>
            <w:vAlign w:val="center"/>
          </w:tcPr>
          <w:p w14:paraId="4DE54EFC">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项目单位名称及其联系人电话</w:t>
            </w:r>
          </w:p>
        </w:tc>
        <w:tc>
          <w:tcPr>
            <w:tcW w:w="990" w:type="dxa"/>
            <w:tcBorders>
              <w:top w:val="single" w:color="auto" w:sz="6" w:space="0"/>
              <w:left w:val="single" w:color="auto" w:sz="4" w:space="0"/>
              <w:bottom w:val="single" w:color="auto" w:sz="6" w:space="0"/>
              <w:right w:val="single" w:color="auto" w:sz="6" w:space="0"/>
            </w:tcBorders>
            <w:noWrap w:val="0"/>
            <w:vAlign w:val="center"/>
          </w:tcPr>
          <w:p w14:paraId="065CD377">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highlight w:val="none"/>
              </w:rPr>
            </w:pPr>
            <w:r>
              <w:rPr>
                <w:rFonts w:hint="eastAsia" w:ascii="宋体" w:hAnsi="宋体" w:cs="宋体"/>
                <w:b/>
                <w:bCs/>
                <w:color w:val="auto"/>
                <w:highlight w:val="none"/>
              </w:rPr>
              <w:t>备注</w:t>
            </w:r>
          </w:p>
        </w:tc>
      </w:tr>
      <w:tr w14:paraId="2F3D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133E6092">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1</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4C320091">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1FCA9B11">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73EF4252">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01061B96">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1A4FDA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49FC0892">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27213D09">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r>
      <w:tr w14:paraId="27BF4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47849D32">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2</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3B3B640E">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FB23EC7">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73F8BCF6">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13F3C6E7">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CA15C97">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3E34469E">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452B891B">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r>
      <w:tr w14:paraId="7D13D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4300C4E7">
            <w:pPr>
              <w:pStyle w:val="41"/>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highlight w:val="none"/>
              </w:rPr>
            </w:pPr>
            <w:r>
              <w:rPr>
                <w:rFonts w:hint="eastAsia" w:ascii="宋体" w:hAnsi="宋体" w:cs="宋体"/>
                <w:color w:val="auto"/>
                <w:highlight w:val="none"/>
              </w:rPr>
              <w:t>3</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391E4EF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5DD73C5A">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1902D62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396E1A54">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D5296D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23F9124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6528829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r>
      <w:tr w14:paraId="5BB4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2207ADDB">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r>
              <w:rPr>
                <w:rFonts w:hint="eastAsia" w:ascii="宋体" w:hAnsi="宋体" w:cs="宋体"/>
                <w:color w:val="auto"/>
                <w:highlight w:val="none"/>
              </w:rPr>
              <w:t>…</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065F1368">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031EDA1C">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4C0C5379">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15AA2096">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5FA6C1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05067947">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6FA67634">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r>
      <w:tr w14:paraId="14B55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5EC263FE">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357A944B">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2595E4DD">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6F1306E1">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329DBD20">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30FDBCBA">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4A25B5BB">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39BD994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highlight w:val="none"/>
              </w:rPr>
            </w:pPr>
          </w:p>
        </w:tc>
      </w:tr>
      <w:tr w14:paraId="7CAFD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3FF96FE4">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6969AC9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4024CAC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593D1A3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15E66234">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36D45939">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7DCD3FCD">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4D75A5F4">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5D9B1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0A3FF7C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6403EAE8">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6E9B31F7">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32A6A309">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531C5603">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A49F92">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22824A3E">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4D8B2EFA">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7AA74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27" w:type="dxa"/>
            <w:tcBorders>
              <w:top w:val="single" w:color="auto" w:sz="6" w:space="0"/>
              <w:left w:val="single" w:color="auto" w:sz="6" w:space="0"/>
              <w:bottom w:val="single" w:color="auto" w:sz="6" w:space="0"/>
              <w:right w:val="single" w:color="auto" w:sz="6" w:space="0"/>
            </w:tcBorders>
            <w:noWrap w:val="0"/>
            <w:vAlign w:val="top"/>
          </w:tcPr>
          <w:p w14:paraId="66680102">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308" w:type="dxa"/>
            <w:tcBorders>
              <w:top w:val="single" w:color="auto" w:sz="6" w:space="0"/>
              <w:left w:val="single" w:color="auto" w:sz="6" w:space="0"/>
              <w:bottom w:val="single" w:color="auto" w:sz="6" w:space="0"/>
              <w:right w:val="single" w:color="auto" w:sz="6" w:space="0"/>
            </w:tcBorders>
            <w:noWrap w:val="0"/>
            <w:vAlign w:val="top"/>
          </w:tcPr>
          <w:p w14:paraId="0D6BDF3F">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126671B">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96" w:type="dxa"/>
            <w:tcBorders>
              <w:top w:val="single" w:color="auto" w:sz="6" w:space="0"/>
              <w:left w:val="single" w:color="auto" w:sz="6" w:space="0"/>
              <w:bottom w:val="single" w:color="auto" w:sz="6" w:space="0"/>
              <w:right w:val="single" w:color="auto" w:sz="6" w:space="0"/>
            </w:tcBorders>
            <w:noWrap w:val="0"/>
            <w:vAlign w:val="top"/>
          </w:tcPr>
          <w:p w14:paraId="206DB79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noWrap w:val="0"/>
            <w:vAlign w:val="top"/>
          </w:tcPr>
          <w:p w14:paraId="4EE12E95">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730D4376">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701" w:type="dxa"/>
            <w:tcBorders>
              <w:top w:val="single" w:color="auto" w:sz="6" w:space="0"/>
              <w:left w:val="single" w:color="auto" w:sz="6" w:space="0"/>
              <w:bottom w:val="single" w:color="auto" w:sz="6" w:space="0"/>
              <w:right w:val="single" w:color="auto" w:sz="4" w:space="0"/>
            </w:tcBorders>
            <w:noWrap w:val="0"/>
            <w:vAlign w:val="top"/>
          </w:tcPr>
          <w:p w14:paraId="671109EC">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90" w:type="dxa"/>
            <w:tcBorders>
              <w:top w:val="single" w:color="auto" w:sz="6" w:space="0"/>
              <w:left w:val="single" w:color="auto" w:sz="4" w:space="0"/>
              <w:bottom w:val="single" w:color="auto" w:sz="6" w:space="0"/>
              <w:right w:val="single" w:color="auto" w:sz="6" w:space="0"/>
            </w:tcBorders>
            <w:noWrap w:val="0"/>
            <w:vAlign w:val="top"/>
          </w:tcPr>
          <w:p w14:paraId="4CF2325C">
            <w:pPr>
              <w:pStyle w:val="41"/>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bl>
    <w:p w14:paraId="1A0FA506">
      <w:pPr>
        <w:shd w:val="clear" w:color="auto" w:fill="auto"/>
        <w:autoSpaceDE w:val="0"/>
        <w:autoSpaceDN w:val="0"/>
        <w:adjustRightInd w:val="0"/>
        <w:spacing w:before="159" w:beforeLines="50" w:line="360" w:lineRule="auto"/>
        <w:rPr>
          <w:rFonts w:hint="eastAsia" w:ascii="宋体" w:hAnsi="宋体" w:cs="宋体"/>
          <w:b/>
          <w:bCs/>
          <w:color w:val="auto"/>
          <w:highlight w:val="none"/>
        </w:rPr>
      </w:pPr>
      <w:r>
        <w:rPr>
          <w:rFonts w:hint="eastAsia" w:ascii="宋体" w:hAnsi="宋体" w:cs="宋体"/>
          <w:b/>
          <w:bCs/>
          <w:color w:val="auto"/>
          <w:highlight w:val="none"/>
        </w:rPr>
        <w:t>要求：</w:t>
      </w:r>
    </w:p>
    <w:p w14:paraId="5EB6ABEA">
      <w:pPr>
        <w:shd w:val="clear" w:color="auto" w:fill="auto"/>
        <w:autoSpaceDE w:val="0"/>
        <w:autoSpaceDN w:val="0"/>
        <w:adjustRightInd w:val="0"/>
        <w:spacing w:before="159" w:beforeLines="50" w:line="360" w:lineRule="auto"/>
        <w:ind w:firstLine="424" w:firstLineChars="202"/>
        <w:rPr>
          <w:rFonts w:hint="eastAsia" w:ascii="宋体" w:hAnsi="宋体" w:cs="宋体"/>
          <w:b/>
          <w:bCs/>
          <w:color w:val="auto"/>
          <w:highlight w:val="none"/>
        </w:rPr>
      </w:pPr>
      <w:r>
        <w:rPr>
          <w:rFonts w:hint="eastAsia" w:ascii="宋体" w:hAnsi="宋体" w:cs="宋体"/>
          <w:color w:val="auto"/>
          <w:highlight w:val="none"/>
        </w:rPr>
        <w:t>1.业绩证明应提供证明材料（提供合同复印件）；</w:t>
      </w:r>
    </w:p>
    <w:p w14:paraId="4E4E62E6">
      <w:pPr>
        <w:shd w:val="clear" w:color="auto" w:fill="auto"/>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2.报价供应商可按此表格式复制。</w:t>
      </w:r>
    </w:p>
    <w:p w14:paraId="2CF22B99">
      <w:pPr>
        <w:shd w:val="clear" w:color="auto" w:fill="auto"/>
        <w:spacing w:line="360" w:lineRule="auto"/>
        <w:rPr>
          <w:rFonts w:hint="eastAsia" w:ascii="宋体" w:hAnsi="宋体" w:cs="宋体"/>
          <w:color w:val="auto"/>
          <w:sz w:val="22"/>
          <w:szCs w:val="22"/>
          <w:highlight w:val="none"/>
        </w:rPr>
      </w:pPr>
    </w:p>
    <w:p w14:paraId="27FD2594">
      <w:pPr>
        <w:shd w:val="clear" w:color="auto" w:fill="auto"/>
        <w:spacing w:line="360" w:lineRule="auto"/>
        <w:rPr>
          <w:rFonts w:hint="eastAsia" w:ascii="宋体" w:hAnsi="宋体" w:cs="宋体"/>
          <w:color w:val="auto"/>
          <w:sz w:val="22"/>
          <w:szCs w:val="22"/>
          <w:highlight w:val="none"/>
        </w:rPr>
      </w:pPr>
    </w:p>
    <w:p w14:paraId="16464DE7">
      <w:pPr>
        <w:shd w:val="clear" w:color="auto" w:fill="auto"/>
        <w:spacing w:line="360" w:lineRule="auto"/>
        <w:ind w:left="4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p>
    <w:p w14:paraId="24CE35EF">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61CB9655">
      <w:pPr>
        <w:shd w:val="clear" w:color="auto" w:fill="auto"/>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40243F7F">
      <w:pPr>
        <w:shd w:val="clear" w:color="auto" w:fill="auto"/>
        <w:outlineLvl w:val="0"/>
        <w:rPr>
          <w:rFonts w:hint="eastAsia" w:ascii="宋体" w:hAnsi="宋体" w:cs="宋体"/>
          <w:b/>
          <w:color w:val="auto"/>
          <w:sz w:val="24"/>
          <w:highlight w:val="none"/>
        </w:rPr>
      </w:pPr>
      <w:r>
        <w:rPr>
          <w:rFonts w:hint="eastAsia" w:ascii="宋体" w:hAnsi="宋体" w:cs="宋体"/>
          <w:color w:val="auto"/>
          <w:sz w:val="24"/>
          <w:szCs w:val="24"/>
          <w:highlight w:val="none"/>
        </w:rPr>
        <w:br w:type="page"/>
      </w:r>
      <w:bookmarkStart w:id="187" w:name="_Toc30572"/>
      <w:bookmarkStart w:id="188" w:name="_Toc18897"/>
      <w:bookmarkStart w:id="189" w:name="_Toc14517"/>
      <w:bookmarkStart w:id="190" w:name="_Toc22431"/>
      <w:bookmarkStart w:id="191" w:name="_Toc12045"/>
      <w:bookmarkStart w:id="192" w:name="_Toc1958378793"/>
      <w:r>
        <w:rPr>
          <w:rFonts w:hint="eastAsia" w:ascii="宋体" w:hAnsi="宋体" w:cs="宋体"/>
          <w:b/>
          <w:bCs/>
          <w:color w:val="auto"/>
          <w:sz w:val="28"/>
          <w:szCs w:val="28"/>
          <w:highlight w:val="none"/>
        </w:rPr>
        <w:t>附件11:</w:t>
      </w:r>
      <w:bookmarkEnd w:id="187"/>
      <w:bookmarkEnd w:id="188"/>
      <w:bookmarkEnd w:id="189"/>
      <w:bookmarkEnd w:id="190"/>
      <w:bookmarkEnd w:id="191"/>
      <w:bookmarkEnd w:id="192"/>
    </w:p>
    <w:p w14:paraId="157AEBC1">
      <w:pPr>
        <w:pStyle w:val="22"/>
        <w:shd w:val="clear" w:color="auto" w:fill="auto"/>
        <w:snapToGrid w:val="0"/>
        <w:ind w:hangingChars="83"/>
        <w:jc w:val="center"/>
        <w:rPr>
          <w:rFonts w:hint="eastAsia" w:ascii="宋体" w:hAnsi="宋体" w:cs="宋体"/>
          <w:b/>
          <w:color w:val="auto"/>
          <w:sz w:val="24"/>
          <w:highlight w:val="none"/>
        </w:rPr>
      </w:pPr>
      <w:r>
        <w:rPr>
          <w:rFonts w:hint="eastAsia" w:ascii="宋体" w:hAnsi="宋体" w:cs="宋体"/>
          <w:b/>
          <w:color w:val="auto"/>
          <w:sz w:val="24"/>
          <w:highlight w:val="none"/>
        </w:rPr>
        <w:t>售后服务</w:t>
      </w:r>
    </w:p>
    <w:p w14:paraId="48142F45">
      <w:pPr>
        <w:pStyle w:val="22"/>
        <w:shd w:val="clear" w:color="auto" w:fill="auto"/>
        <w:snapToGrid w:val="0"/>
        <w:ind w:hangingChars="83"/>
        <w:jc w:val="center"/>
        <w:rPr>
          <w:rFonts w:hint="eastAsia" w:ascii="宋体" w:hAnsi="宋体" w:cs="宋体"/>
          <w:b/>
          <w:color w:val="auto"/>
          <w:sz w:val="24"/>
          <w:highlight w:val="none"/>
        </w:rPr>
      </w:pPr>
    </w:p>
    <w:p w14:paraId="058F5647">
      <w:pPr>
        <w:pStyle w:val="22"/>
        <w:shd w:val="clear" w:color="auto" w:fill="auto"/>
        <w:snapToGrid w:val="0"/>
        <w:ind w:hangingChars="83"/>
        <w:jc w:val="center"/>
        <w:rPr>
          <w:rFonts w:hint="eastAsia" w:ascii="宋体" w:hAnsi="宋体" w:cs="宋体"/>
          <w:b/>
          <w:color w:val="auto"/>
          <w:sz w:val="24"/>
          <w:highlight w:val="none"/>
        </w:rPr>
      </w:pPr>
      <w:r>
        <w:rPr>
          <w:rFonts w:hint="eastAsia" w:ascii="宋体" w:hAnsi="宋体" w:cs="宋体"/>
          <w:b/>
          <w:color w:val="auto"/>
          <w:sz w:val="24"/>
          <w:highlight w:val="none"/>
        </w:rPr>
        <w:t>格式自拟</w:t>
      </w:r>
    </w:p>
    <w:p w14:paraId="5448D6F4">
      <w:pPr>
        <w:pStyle w:val="6"/>
        <w:shd w:val="clear" w:color="auto" w:fill="auto"/>
        <w:spacing w:line="360" w:lineRule="auto"/>
        <w:ind w:firstLine="422"/>
        <w:rPr>
          <w:rFonts w:hint="eastAsia" w:ascii="宋体" w:hAnsi="宋体" w:cs="宋体"/>
          <w:b w:val="0"/>
          <w:bCs w:val="0"/>
          <w:color w:val="auto"/>
          <w:sz w:val="24"/>
          <w:szCs w:val="24"/>
          <w:highlight w:val="none"/>
        </w:rPr>
      </w:pPr>
      <w:bookmarkStart w:id="193" w:name="_Toc29345"/>
      <w:bookmarkStart w:id="194" w:name="_Toc4166"/>
      <w:bookmarkStart w:id="195" w:name="_Toc21812"/>
      <w:r>
        <w:rPr>
          <w:rFonts w:hint="eastAsia" w:ascii="宋体" w:hAnsi="宋体" w:cs="宋体"/>
          <w:b w:val="0"/>
          <w:bCs w:val="0"/>
          <w:color w:val="auto"/>
          <w:sz w:val="24"/>
          <w:szCs w:val="24"/>
          <w:highlight w:val="none"/>
        </w:rPr>
        <w:t>包括但不限于服务响应时间、故障解决方案；售后服务机构备品备件储备情况；售后服务机构技术服务人员情况，提供姓名、工作经验、资质证书情况等</w:t>
      </w:r>
      <w:bookmarkEnd w:id="193"/>
      <w:bookmarkEnd w:id="194"/>
      <w:bookmarkEnd w:id="195"/>
    </w:p>
    <w:p w14:paraId="0EC8C0BA">
      <w:pPr>
        <w:pStyle w:val="22"/>
        <w:shd w:val="clear" w:color="auto" w:fill="auto"/>
        <w:snapToGrid w:val="0"/>
        <w:ind w:hangingChars="83"/>
        <w:jc w:val="center"/>
        <w:rPr>
          <w:rFonts w:hint="eastAsia" w:ascii="宋体" w:hAnsi="宋体" w:cs="宋体"/>
          <w:b/>
          <w:color w:val="auto"/>
          <w:sz w:val="24"/>
          <w:highlight w:val="none"/>
        </w:rPr>
      </w:pPr>
    </w:p>
    <w:p w14:paraId="756F7C11">
      <w:pPr>
        <w:pStyle w:val="22"/>
        <w:shd w:val="clear" w:color="auto" w:fill="auto"/>
        <w:snapToGrid w:val="0"/>
        <w:ind w:left="199" w:hanging="199" w:hangingChars="83"/>
        <w:rPr>
          <w:rFonts w:hint="eastAsia" w:ascii="宋体" w:hAnsi="宋体" w:cs="宋体"/>
          <w:color w:val="auto"/>
          <w:sz w:val="24"/>
          <w:highlight w:val="none"/>
        </w:rPr>
      </w:pPr>
    </w:p>
    <w:p w14:paraId="7C7935F8">
      <w:pPr>
        <w:pStyle w:val="12"/>
        <w:shd w:val="clear" w:color="auto" w:fill="auto"/>
        <w:snapToGrid w:val="0"/>
        <w:rPr>
          <w:rFonts w:hint="eastAsia" w:ascii="宋体" w:hAnsi="宋体" w:eastAsia="宋体" w:cs="宋体"/>
          <w:color w:val="auto"/>
          <w:sz w:val="24"/>
          <w:highlight w:val="none"/>
        </w:rPr>
      </w:pPr>
    </w:p>
    <w:p w14:paraId="52F8AB8A">
      <w:pPr>
        <w:shd w:val="clear" w:color="auto" w:fill="auto"/>
        <w:spacing w:line="360" w:lineRule="auto"/>
        <w:ind w:left="4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p>
    <w:p w14:paraId="55163789">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7B2747BF">
      <w:pPr>
        <w:shd w:val="clear" w:color="auto" w:fill="auto"/>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7641E56B">
      <w:pPr>
        <w:pStyle w:val="6"/>
        <w:shd w:val="clear" w:color="auto" w:fill="auto"/>
        <w:ind w:firstLine="630" w:firstLineChars="196"/>
        <w:rPr>
          <w:rFonts w:hint="eastAsia" w:ascii="宋体" w:hAnsi="宋体" w:cs="宋体"/>
          <w:color w:val="auto"/>
          <w:highlight w:val="none"/>
        </w:rPr>
      </w:pPr>
    </w:p>
    <w:p w14:paraId="07198D03">
      <w:pPr>
        <w:pStyle w:val="6"/>
        <w:shd w:val="clear" w:color="auto" w:fill="auto"/>
        <w:ind w:firstLine="630" w:firstLineChars="196"/>
        <w:rPr>
          <w:rFonts w:hint="eastAsia" w:ascii="宋体" w:hAnsi="宋体" w:cs="宋体"/>
          <w:color w:val="auto"/>
          <w:highlight w:val="none"/>
        </w:rPr>
      </w:pPr>
    </w:p>
    <w:p w14:paraId="49CC59F7">
      <w:pPr>
        <w:pStyle w:val="6"/>
        <w:shd w:val="clear" w:color="auto" w:fill="auto"/>
        <w:ind w:firstLine="630" w:firstLineChars="196"/>
        <w:rPr>
          <w:rFonts w:hint="eastAsia" w:ascii="宋体" w:hAnsi="宋体" w:cs="宋体"/>
          <w:color w:val="auto"/>
          <w:highlight w:val="none"/>
        </w:rPr>
      </w:pPr>
    </w:p>
    <w:p w14:paraId="3646EC69">
      <w:pPr>
        <w:pStyle w:val="6"/>
        <w:shd w:val="clear" w:color="auto" w:fill="auto"/>
        <w:ind w:firstLine="630" w:firstLineChars="196"/>
        <w:rPr>
          <w:rFonts w:hint="eastAsia" w:ascii="宋体" w:hAnsi="宋体" w:cs="宋体"/>
          <w:color w:val="auto"/>
          <w:highlight w:val="none"/>
        </w:rPr>
      </w:pPr>
    </w:p>
    <w:p w14:paraId="41A04B9C">
      <w:pPr>
        <w:pStyle w:val="6"/>
        <w:shd w:val="clear" w:color="auto" w:fill="auto"/>
        <w:ind w:firstLine="630" w:firstLineChars="196"/>
        <w:rPr>
          <w:rFonts w:hint="eastAsia" w:ascii="宋体" w:hAnsi="宋体" w:cs="宋体"/>
          <w:color w:val="auto"/>
          <w:highlight w:val="none"/>
        </w:rPr>
      </w:pPr>
    </w:p>
    <w:p w14:paraId="3415A62A">
      <w:pPr>
        <w:widowControl/>
        <w:shd w:val="clear" w:color="auto" w:fill="auto"/>
        <w:jc w:val="left"/>
        <w:outlineLvl w:val="0"/>
        <w:rPr>
          <w:rFonts w:hint="eastAsia" w:ascii="宋体" w:hAnsi="宋体" w:cs="宋体"/>
          <w:color w:val="auto"/>
          <w:spacing w:val="40"/>
          <w:sz w:val="52"/>
          <w:szCs w:val="52"/>
          <w:highlight w:val="none"/>
        </w:rPr>
      </w:pPr>
      <w:r>
        <w:rPr>
          <w:rFonts w:hint="eastAsia" w:ascii="宋体" w:hAnsi="宋体" w:cs="宋体"/>
          <w:color w:val="auto"/>
          <w:highlight w:val="none"/>
        </w:rPr>
        <w:br w:type="page"/>
      </w:r>
      <w:bookmarkStart w:id="196" w:name="_Toc29347"/>
      <w:bookmarkStart w:id="197" w:name="_Toc21993"/>
      <w:bookmarkStart w:id="198" w:name="_Toc9608"/>
      <w:bookmarkStart w:id="199" w:name="_Toc26958"/>
      <w:bookmarkStart w:id="200" w:name="_Toc2138000029"/>
      <w:bookmarkStart w:id="201" w:name="_Toc32563"/>
      <w:r>
        <w:rPr>
          <w:rFonts w:hint="eastAsia" w:ascii="宋体" w:hAnsi="宋体" w:cs="宋体"/>
          <w:b/>
          <w:bCs/>
          <w:color w:val="auto"/>
          <w:sz w:val="28"/>
          <w:szCs w:val="28"/>
          <w:highlight w:val="none"/>
        </w:rPr>
        <w:t>附件12:</w:t>
      </w:r>
      <w:bookmarkEnd w:id="196"/>
      <w:bookmarkEnd w:id="197"/>
      <w:bookmarkEnd w:id="198"/>
      <w:bookmarkEnd w:id="199"/>
      <w:bookmarkEnd w:id="200"/>
      <w:bookmarkEnd w:id="201"/>
    </w:p>
    <w:p w14:paraId="54272445">
      <w:pPr>
        <w:shd w:val="clear" w:color="auto" w:fill="auto"/>
        <w:wordWrap w:val="0"/>
        <w:spacing w:line="360" w:lineRule="auto"/>
        <w:ind w:right="-110"/>
        <w:jc w:val="right"/>
        <w:rPr>
          <w:rFonts w:hint="eastAsia" w:ascii="宋体" w:hAnsi="宋体" w:cs="宋体"/>
          <w:color w:val="auto"/>
          <w:spacing w:val="40"/>
          <w:sz w:val="52"/>
          <w:szCs w:val="52"/>
          <w:highlight w:val="none"/>
        </w:rPr>
      </w:pPr>
      <w:r>
        <w:rPr>
          <w:rFonts w:hint="eastAsia" w:ascii="宋体" w:hAnsi="宋体" w:cs="宋体"/>
          <w:color w:val="auto"/>
          <w:sz w:val="24"/>
          <w:szCs w:val="24"/>
          <w:highlight w:val="none"/>
        </w:rPr>
        <w:t>正本（或副本）</w:t>
      </w:r>
    </w:p>
    <w:p w14:paraId="5036CF09">
      <w:pPr>
        <w:shd w:val="clear" w:color="auto" w:fill="auto"/>
        <w:spacing w:line="360" w:lineRule="auto"/>
        <w:ind w:right="532"/>
        <w:rPr>
          <w:rFonts w:hint="eastAsia" w:ascii="宋体" w:hAnsi="宋体" w:cs="宋体"/>
          <w:color w:val="auto"/>
          <w:sz w:val="36"/>
          <w:szCs w:val="36"/>
          <w:highlight w:val="none"/>
        </w:rPr>
      </w:pPr>
      <w:r>
        <w:rPr>
          <w:rFonts w:hint="eastAsia" w:ascii="宋体" w:hAnsi="宋体" w:cs="宋体"/>
          <w:color w:val="auto"/>
          <w:sz w:val="36"/>
          <w:szCs w:val="36"/>
          <w:highlight w:val="none"/>
        </w:rPr>
        <w:t>项目名称</w:t>
      </w:r>
    </w:p>
    <w:p w14:paraId="07503288">
      <w:pPr>
        <w:shd w:val="clear" w:color="auto" w:fill="auto"/>
        <w:spacing w:line="360" w:lineRule="auto"/>
        <w:ind w:right="532"/>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F4035A2">
      <w:pPr>
        <w:shd w:val="clear" w:color="auto" w:fill="auto"/>
        <w:spacing w:after="100" w:afterAutospacing="1" w:line="360" w:lineRule="auto"/>
        <w:ind w:right="-108"/>
        <w:jc w:val="center"/>
        <w:rPr>
          <w:rFonts w:hint="eastAsia" w:ascii="宋体" w:hAnsi="宋体" w:cs="宋体"/>
          <w:b/>
          <w:bCs/>
          <w:color w:val="auto"/>
          <w:spacing w:val="40"/>
          <w:sz w:val="84"/>
          <w:szCs w:val="84"/>
          <w:highlight w:val="none"/>
        </w:rPr>
      </w:pPr>
    </w:p>
    <w:p w14:paraId="313DDD01">
      <w:pPr>
        <w:shd w:val="clear" w:color="auto" w:fill="auto"/>
        <w:spacing w:after="100" w:afterAutospacing="1" w:line="360" w:lineRule="auto"/>
        <w:ind w:right="-108"/>
        <w:jc w:val="center"/>
        <w:rPr>
          <w:rFonts w:hint="eastAsia" w:ascii="宋体" w:hAnsi="宋体" w:cs="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2DFAAB47">
      <w:pPr>
        <w:shd w:val="clear" w:color="auto" w:fill="auto"/>
        <w:spacing w:after="100" w:afterAutospacing="1" w:line="360" w:lineRule="auto"/>
        <w:ind w:right="-108"/>
        <w:jc w:val="center"/>
        <w:rPr>
          <w:rFonts w:hint="eastAsia" w:ascii="宋体" w:hAnsi="宋体" w:cs="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586AA94E">
      <w:pPr>
        <w:shd w:val="clear" w:color="auto" w:fill="auto"/>
        <w:spacing w:after="100" w:afterAutospacing="1" w:line="360" w:lineRule="auto"/>
        <w:ind w:right="-108"/>
        <w:jc w:val="center"/>
        <w:rPr>
          <w:rFonts w:hint="eastAsia" w:ascii="宋体" w:hAnsi="宋体" w:cs="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5FACFCCB">
      <w:pPr>
        <w:shd w:val="clear" w:color="auto" w:fill="auto"/>
        <w:spacing w:after="100" w:afterAutospacing="1" w:line="360" w:lineRule="auto"/>
        <w:ind w:right="-108"/>
        <w:jc w:val="center"/>
        <w:rPr>
          <w:rFonts w:hint="eastAsia" w:ascii="宋体" w:hAnsi="宋体" w:cs="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205AAEA3">
      <w:pPr>
        <w:shd w:val="clear" w:color="auto" w:fill="auto"/>
        <w:spacing w:line="360" w:lineRule="auto"/>
        <w:ind w:right="532"/>
        <w:jc w:val="center"/>
        <w:rPr>
          <w:rFonts w:hint="eastAsia" w:ascii="宋体" w:hAnsi="宋体" w:cs="宋体"/>
          <w:color w:val="auto"/>
          <w:sz w:val="36"/>
          <w:szCs w:val="36"/>
          <w:highlight w:val="none"/>
        </w:rPr>
      </w:pPr>
    </w:p>
    <w:p w14:paraId="6A7E4C41">
      <w:pPr>
        <w:shd w:val="clear" w:color="auto" w:fill="auto"/>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468E299F">
      <w:pPr>
        <w:shd w:val="clear" w:color="auto" w:fill="auto"/>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364DE66C">
      <w:pPr>
        <w:shd w:val="clear" w:color="auto" w:fill="auto"/>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2CD4CA53">
      <w:pPr>
        <w:shd w:val="clear" w:color="auto" w:fill="auto"/>
        <w:spacing w:line="360" w:lineRule="auto"/>
        <w:ind w:right="-108"/>
        <w:jc w:val="center"/>
        <w:rPr>
          <w:rFonts w:hint="eastAsia" w:ascii="宋体" w:hAnsi="宋体" w:cs="宋体"/>
          <w:b/>
          <w:bCs/>
          <w:color w:val="auto"/>
          <w:sz w:val="24"/>
          <w:szCs w:val="24"/>
          <w:highlight w:val="none"/>
          <w:lang w:val="zh-CN"/>
        </w:rPr>
      </w:pPr>
    </w:p>
    <w:p w14:paraId="20B1125E">
      <w:pPr>
        <w:shd w:val="clear" w:color="auto" w:fill="auto"/>
        <w:spacing w:line="360" w:lineRule="auto"/>
        <w:ind w:right="-108"/>
        <w:jc w:val="center"/>
        <w:rPr>
          <w:rFonts w:hint="eastAsia" w:ascii="宋体" w:hAnsi="宋体" w:cs="宋体"/>
          <w:b/>
          <w:bCs/>
          <w:color w:val="auto"/>
          <w:sz w:val="24"/>
          <w:szCs w:val="24"/>
          <w:highlight w:val="none"/>
          <w:lang w:val="zh-CN"/>
        </w:rPr>
      </w:pPr>
    </w:p>
    <w:p w14:paraId="144E34F5">
      <w:pPr>
        <w:shd w:val="clear" w:color="auto" w:fill="auto"/>
        <w:spacing w:line="360" w:lineRule="auto"/>
        <w:ind w:right="-108"/>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报价文件目录</w:t>
      </w:r>
    </w:p>
    <w:p w14:paraId="24B4FCA0">
      <w:pPr>
        <w:shd w:val="clear" w:color="auto" w:fill="auto"/>
        <w:spacing w:line="360" w:lineRule="auto"/>
        <w:rPr>
          <w:rFonts w:hint="eastAsia" w:ascii="宋体" w:hAnsi="宋体" w:cs="宋体"/>
          <w:color w:val="auto"/>
          <w:sz w:val="24"/>
          <w:szCs w:val="24"/>
          <w:highlight w:val="none"/>
        </w:rPr>
      </w:pPr>
    </w:p>
    <w:p w14:paraId="7E4DD76A">
      <w:pPr>
        <w:pStyle w:val="11"/>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（1）开标一览表（格式见第六章）；</w:t>
      </w:r>
    </w:p>
    <w:p w14:paraId="66F63660">
      <w:pPr>
        <w:pStyle w:val="11"/>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（2）投标报价明细表（格式见第六章）；</w:t>
      </w:r>
    </w:p>
    <w:p w14:paraId="2026CFF3">
      <w:pPr>
        <w:pStyle w:val="17"/>
        <w:shd w:val="clear" w:color="auto" w:fill="auto"/>
        <w:snapToGrid w:val="0"/>
        <w:spacing w:line="360" w:lineRule="auto"/>
        <w:ind w:left="0" w:leftChars="0"/>
        <w:rPr>
          <w:rFonts w:hint="eastAsia" w:ascii="宋体" w:hAnsi="宋体" w:eastAsia="宋体" w:cs="宋体"/>
          <w:color w:val="auto"/>
          <w:sz w:val="28"/>
          <w:szCs w:val="28"/>
          <w:highlight w:val="none"/>
        </w:rPr>
      </w:pPr>
    </w:p>
    <w:p w14:paraId="640F19CF">
      <w:pPr>
        <w:shd w:val="clear" w:color="auto" w:fill="auto"/>
        <w:spacing w:line="360" w:lineRule="auto"/>
        <w:ind w:left="480"/>
        <w:rPr>
          <w:rFonts w:hint="eastAsia" w:ascii="宋体" w:hAnsi="宋体" w:cs="宋体"/>
          <w:b/>
          <w:bCs/>
          <w:color w:val="auto"/>
          <w:sz w:val="28"/>
          <w:szCs w:val="28"/>
          <w:highlight w:val="none"/>
        </w:rPr>
      </w:pPr>
    </w:p>
    <w:p w14:paraId="50565C40">
      <w:pPr>
        <w:shd w:val="clear" w:color="auto" w:fill="auto"/>
        <w:spacing w:line="360" w:lineRule="auto"/>
        <w:ind w:left="480"/>
        <w:rPr>
          <w:rFonts w:hint="eastAsia" w:ascii="宋体" w:hAnsi="宋体" w:cs="宋体"/>
          <w:b/>
          <w:bCs/>
          <w:color w:val="auto"/>
          <w:sz w:val="28"/>
          <w:szCs w:val="28"/>
          <w:highlight w:val="none"/>
        </w:rPr>
      </w:pPr>
    </w:p>
    <w:p w14:paraId="604C363E">
      <w:pPr>
        <w:shd w:val="clear" w:color="auto" w:fill="auto"/>
        <w:spacing w:line="360" w:lineRule="auto"/>
        <w:ind w:left="480"/>
        <w:rPr>
          <w:rFonts w:hint="eastAsia" w:ascii="宋体" w:hAnsi="宋体" w:cs="宋体"/>
          <w:b/>
          <w:bCs/>
          <w:color w:val="auto"/>
          <w:sz w:val="28"/>
          <w:szCs w:val="28"/>
          <w:highlight w:val="none"/>
        </w:rPr>
      </w:pPr>
    </w:p>
    <w:p w14:paraId="043476DD">
      <w:pPr>
        <w:shd w:val="clear" w:color="auto" w:fill="auto"/>
        <w:spacing w:line="360" w:lineRule="auto"/>
        <w:ind w:left="480"/>
        <w:rPr>
          <w:rFonts w:hint="eastAsia" w:ascii="宋体" w:hAnsi="宋体" w:cs="宋体"/>
          <w:b/>
          <w:bCs/>
          <w:color w:val="auto"/>
          <w:sz w:val="28"/>
          <w:szCs w:val="28"/>
          <w:highlight w:val="none"/>
        </w:rPr>
      </w:pPr>
    </w:p>
    <w:p w14:paraId="2F70EBE9">
      <w:pPr>
        <w:shd w:val="clear" w:color="auto" w:fill="auto"/>
        <w:spacing w:line="360" w:lineRule="auto"/>
        <w:ind w:left="480"/>
        <w:rPr>
          <w:rFonts w:hint="eastAsia" w:ascii="宋体" w:hAnsi="宋体" w:cs="宋体"/>
          <w:b/>
          <w:bCs/>
          <w:color w:val="auto"/>
          <w:sz w:val="28"/>
          <w:szCs w:val="28"/>
          <w:highlight w:val="none"/>
        </w:rPr>
      </w:pPr>
    </w:p>
    <w:p w14:paraId="309F8BB2">
      <w:pPr>
        <w:shd w:val="clear" w:color="auto" w:fill="auto"/>
        <w:spacing w:line="360" w:lineRule="auto"/>
        <w:ind w:left="480"/>
        <w:rPr>
          <w:rFonts w:hint="eastAsia" w:ascii="宋体" w:hAnsi="宋体" w:cs="宋体"/>
          <w:b/>
          <w:bCs/>
          <w:color w:val="auto"/>
          <w:sz w:val="28"/>
          <w:szCs w:val="28"/>
          <w:highlight w:val="none"/>
        </w:rPr>
      </w:pPr>
    </w:p>
    <w:p w14:paraId="47CDFC63">
      <w:pPr>
        <w:shd w:val="clear" w:color="auto" w:fill="auto"/>
        <w:spacing w:line="360" w:lineRule="auto"/>
        <w:ind w:left="480"/>
        <w:rPr>
          <w:rFonts w:hint="eastAsia" w:ascii="宋体" w:hAnsi="宋体" w:cs="宋体"/>
          <w:b/>
          <w:bCs/>
          <w:color w:val="auto"/>
          <w:sz w:val="28"/>
          <w:szCs w:val="28"/>
          <w:highlight w:val="none"/>
        </w:rPr>
      </w:pPr>
    </w:p>
    <w:p w14:paraId="656023E4">
      <w:pPr>
        <w:shd w:val="clear" w:color="auto" w:fill="auto"/>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202" w:name="_Toc1670105799"/>
      <w:bookmarkStart w:id="203" w:name="_Toc19068"/>
      <w:bookmarkStart w:id="204" w:name="_Toc20592"/>
      <w:bookmarkStart w:id="205" w:name="_Toc19480"/>
      <w:bookmarkStart w:id="206" w:name="_Toc28314"/>
      <w:bookmarkStart w:id="207" w:name="_Toc12871"/>
      <w:r>
        <w:rPr>
          <w:rFonts w:hint="eastAsia" w:ascii="宋体" w:hAnsi="宋体" w:cs="宋体"/>
          <w:b/>
          <w:bCs/>
          <w:color w:val="auto"/>
          <w:sz w:val="28"/>
          <w:szCs w:val="28"/>
          <w:highlight w:val="none"/>
        </w:rPr>
        <w:t>附件13:</w:t>
      </w:r>
      <w:bookmarkEnd w:id="202"/>
      <w:bookmarkEnd w:id="203"/>
      <w:bookmarkEnd w:id="204"/>
      <w:bookmarkEnd w:id="205"/>
      <w:bookmarkEnd w:id="206"/>
      <w:bookmarkEnd w:id="207"/>
    </w:p>
    <w:p w14:paraId="18A43E25">
      <w:pPr>
        <w:shd w:val="clear" w:color="auto" w:fill="auto"/>
        <w:spacing w:line="360" w:lineRule="auto"/>
        <w:ind w:left="-2" w:hanging="2"/>
        <w:jc w:val="center"/>
        <w:rPr>
          <w:rFonts w:hint="eastAsia"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开标一览表</w:t>
      </w:r>
    </w:p>
    <w:p w14:paraId="1993FDA8">
      <w:pPr>
        <w:shd w:val="clear" w:color="auto" w:fill="auto"/>
        <w:spacing w:line="360" w:lineRule="auto"/>
        <w:ind w:left="-2" w:hanging="2"/>
        <w:jc w:val="center"/>
        <w:rPr>
          <w:rFonts w:hint="eastAsia" w:ascii="宋体" w:hAnsi="宋体" w:cs="宋体"/>
          <w:b/>
          <w:bCs/>
          <w:color w:val="auto"/>
          <w:sz w:val="32"/>
          <w:szCs w:val="32"/>
          <w:highlight w:val="none"/>
        </w:rPr>
      </w:pPr>
    </w:p>
    <w:p w14:paraId="6EDB60BE">
      <w:pPr>
        <w:pStyle w:val="15"/>
        <w:shd w:val="clear" w:color="auto" w:fill="auto"/>
        <w:spacing w:line="360" w:lineRule="auto"/>
        <w:rPr>
          <w:rFonts w:hint="eastAsia" w:hAnsi="宋体"/>
          <w:b/>
          <w:bCs/>
          <w:color w:val="auto"/>
          <w:sz w:val="24"/>
          <w:szCs w:val="24"/>
          <w:highlight w:val="none"/>
        </w:rPr>
      </w:pPr>
      <w:r>
        <w:rPr>
          <w:rFonts w:hint="eastAsia" w:hAnsi="宋体"/>
          <w:b/>
          <w:bCs/>
          <w:color w:val="auto"/>
          <w:sz w:val="24"/>
          <w:szCs w:val="24"/>
          <w:highlight w:val="none"/>
        </w:rPr>
        <w:t>项目名称：</w:t>
      </w:r>
    </w:p>
    <w:p w14:paraId="69DD88C5">
      <w:pPr>
        <w:pStyle w:val="55"/>
        <w:shd w:val="clear" w:color="auto" w:fill="auto"/>
        <w:spacing w:line="360" w:lineRule="auto"/>
        <w:ind w:right="48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项目编号：</w:t>
      </w:r>
      <w:r>
        <w:rPr>
          <w:rFonts w:hint="eastAsia" w:ascii="宋体" w:hAnsi="宋体" w:cs="宋体"/>
          <w:color w:val="auto"/>
          <w:sz w:val="24"/>
          <w:szCs w:val="24"/>
          <w:highlight w:val="none"/>
        </w:rPr>
        <w:t xml:space="preserve">                                    [货币单位：人民币元]</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944"/>
        <w:gridCol w:w="2071"/>
        <w:gridCol w:w="3499"/>
      </w:tblGrid>
      <w:tr w14:paraId="5434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14:paraId="0F45AB8D">
            <w:pPr>
              <w:keepNext w:val="0"/>
              <w:keepLines w:val="0"/>
              <w:suppressLineNumbers w:val="0"/>
              <w:shd w:val="clear" w:color="auto" w:fill="auto"/>
              <w:spacing w:before="0" w:beforeAutospacing="0" w:after="0" w:afterAutospacing="0" w:line="360" w:lineRule="auto"/>
              <w:ind w:left="-20" w:leftChars="-51" w:right="0" w:hanging="87" w:hangingChars="48"/>
              <w:jc w:val="center"/>
              <w:rPr>
                <w:rFonts w:hint="eastAsia" w:ascii="宋体" w:hAnsi="宋体" w:cs="宋体"/>
                <w:b/>
                <w:bCs/>
                <w:color w:val="auto"/>
                <w:spacing w:val="-30"/>
                <w:sz w:val="24"/>
                <w:szCs w:val="24"/>
                <w:highlight w:val="none"/>
              </w:rPr>
            </w:pPr>
            <w:r>
              <w:rPr>
                <w:rFonts w:hint="eastAsia" w:ascii="宋体" w:hAnsi="宋体" w:cs="宋体"/>
                <w:b/>
                <w:bCs/>
                <w:color w:val="auto"/>
                <w:spacing w:val="-30"/>
                <w:sz w:val="24"/>
                <w:szCs w:val="24"/>
                <w:highlight w:val="none"/>
              </w:rPr>
              <w:t>序 号</w:t>
            </w:r>
          </w:p>
        </w:tc>
        <w:tc>
          <w:tcPr>
            <w:tcW w:w="2356" w:type="pct"/>
            <w:gridSpan w:val="2"/>
            <w:tcBorders>
              <w:top w:val="single" w:color="auto" w:sz="4" w:space="0"/>
              <w:left w:val="single" w:color="auto" w:sz="4" w:space="0"/>
              <w:bottom w:val="single" w:color="auto" w:sz="4" w:space="0"/>
              <w:right w:val="single" w:color="auto" w:sz="4" w:space="0"/>
            </w:tcBorders>
            <w:noWrap w:val="0"/>
            <w:vAlign w:val="center"/>
          </w:tcPr>
          <w:p w14:paraId="65CA81F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2052" w:type="pct"/>
            <w:tcBorders>
              <w:top w:val="single" w:color="auto" w:sz="4" w:space="0"/>
              <w:left w:val="single" w:color="auto" w:sz="4" w:space="0"/>
              <w:bottom w:val="single" w:color="auto" w:sz="4" w:space="0"/>
              <w:right w:val="single" w:color="auto" w:sz="4" w:space="0"/>
            </w:tcBorders>
            <w:noWrap w:val="0"/>
            <w:vAlign w:val="center"/>
          </w:tcPr>
          <w:p w14:paraId="793D164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pacing w:val="-30"/>
                <w:sz w:val="24"/>
                <w:szCs w:val="24"/>
                <w:highlight w:val="none"/>
              </w:rPr>
            </w:pPr>
            <w:r>
              <w:rPr>
                <w:rFonts w:hint="eastAsia" w:ascii="宋体" w:hAnsi="宋体" w:cs="宋体"/>
                <w:b/>
                <w:bCs/>
                <w:color w:val="auto"/>
                <w:spacing w:val="-30"/>
                <w:sz w:val="24"/>
                <w:szCs w:val="24"/>
                <w:highlight w:val="none"/>
              </w:rPr>
              <w:t>总   价</w:t>
            </w:r>
          </w:p>
        </w:tc>
      </w:tr>
      <w:tr w14:paraId="59A6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14:paraId="2A96770E">
            <w:pPr>
              <w:keepNext w:val="0"/>
              <w:keepLines w:val="0"/>
              <w:suppressLineNumbers w:val="0"/>
              <w:shd w:val="clear" w:color="auto" w:fill="auto"/>
              <w:spacing w:before="0" w:beforeAutospacing="0" w:after="0" w:afterAutospacing="0" w:line="360" w:lineRule="auto"/>
              <w:ind w:left="8" w:leftChars="-51" w:right="0" w:hanging="115" w:hangingChars="48"/>
              <w:jc w:val="center"/>
              <w:rPr>
                <w:rFonts w:hint="eastAsia" w:ascii="宋体" w:hAnsi="宋体" w:cs="宋体"/>
                <w:color w:val="auto"/>
                <w:sz w:val="24"/>
                <w:szCs w:val="24"/>
                <w:highlight w:val="none"/>
              </w:rPr>
            </w:pPr>
          </w:p>
        </w:tc>
        <w:tc>
          <w:tcPr>
            <w:tcW w:w="2356" w:type="pct"/>
            <w:gridSpan w:val="2"/>
            <w:tcBorders>
              <w:top w:val="single" w:color="auto" w:sz="4" w:space="0"/>
              <w:left w:val="single" w:color="auto" w:sz="4" w:space="0"/>
              <w:bottom w:val="single" w:color="auto" w:sz="4" w:space="0"/>
              <w:right w:val="single" w:color="auto" w:sz="4" w:space="0"/>
            </w:tcBorders>
            <w:noWrap w:val="0"/>
            <w:vAlign w:val="center"/>
          </w:tcPr>
          <w:p w14:paraId="3F0DC9A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p>
        </w:tc>
        <w:tc>
          <w:tcPr>
            <w:tcW w:w="2052" w:type="pct"/>
            <w:tcBorders>
              <w:top w:val="single" w:color="auto" w:sz="4" w:space="0"/>
              <w:left w:val="single" w:color="auto" w:sz="4" w:space="0"/>
              <w:bottom w:val="single" w:color="auto" w:sz="4" w:space="0"/>
              <w:right w:val="single" w:color="auto" w:sz="4" w:space="0"/>
            </w:tcBorders>
            <w:noWrap w:val="0"/>
            <w:vAlign w:val="center"/>
          </w:tcPr>
          <w:p w14:paraId="2428438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p>
        </w:tc>
      </w:tr>
      <w:tr w14:paraId="1DB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731" w:type="pct"/>
            <w:gridSpan w:val="2"/>
            <w:tcBorders>
              <w:top w:val="single" w:color="auto" w:sz="4" w:space="0"/>
              <w:left w:val="single" w:color="auto" w:sz="4" w:space="0"/>
              <w:bottom w:val="single" w:color="auto" w:sz="4" w:space="0"/>
              <w:right w:val="single" w:color="auto" w:sz="4" w:space="0"/>
            </w:tcBorders>
            <w:noWrap w:val="0"/>
            <w:vAlign w:val="center"/>
          </w:tcPr>
          <w:p w14:paraId="146C21C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投标总报价（大写、元）</w:t>
            </w:r>
          </w:p>
        </w:tc>
        <w:tc>
          <w:tcPr>
            <w:tcW w:w="3268" w:type="pct"/>
            <w:gridSpan w:val="2"/>
            <w:tcBorders>
              <w:top w:val="single" w:color="auto" w:sz="4" w:space="0"/>
              <w:left w:val="single" w:color="auto" w:sz="4" w:space="0"/>
              <w:bottom w:val="single" w:color="auto" w:sz="4" w:space="0"/>
              <w:right w:val="single" w:color="auto" w:sz="4" w:space="0"/>
            </w:tcBorders>
            <w:noWrap w:val="0"/>
            <w:vAlign w:val="center"/>
          </w:tcPr>
          <w:p w14:paraId="5F58D8A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color w:val="auto"/>
                <w:sz w:val="24"/>
                <w:szCs w:val="24"/>
                <w:highlight w:val="none"/>
              </w:rPr>
            </w:pPr>
          </w:p>
        </w:tc>
      </w:tr>
    </w:tbl>
    <w:p w14:paraId="3EEA0AF6">
      <w:pPr>
        <w:shd w:val="clear" w:color="auto" w:fill="auto"/>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填报要求：</w:t>
      </w:r>
    </w:p>
    <w:p w14:paraId="5A245B4E">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1、投标总报价包含：设备费用、施工安装调试费用、系统集成费用、试运行及质保费用、相关的保险、利润、税金、备品备件费用及合同包含的所有风险、责任等各项所有费用。</w:t>
      </w:r>
    </w:p>
    <w:p w14:paraId="4B1E0143">
      <w:pPr>
        <w:shd w:val="clear" w:color="auto" w:fill="auto"/>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2、报价一经涂改，应在涂改处加盖单位公章，或者由法定代表人或授权代理人签字或盖章，否则其投标作无效标处理。</w:t>
      </w:r>
    </w:p>
    <w:p w14:paraId="023606ED">
      <w:pPr>
        <w:shd w:val="clear" w:color="auto" w:fill="auto"/>
        <w:spacing w:line="360" w:lineRule="auto"/>
        <w:ind w:left="420"/>
        <w:rPr>
          <w:rFonts w:hint="eastAsia" w:ascii="宋体" w:hAnsi="宋体" w:cs="宋体"/>
          <w:color w:val="auto"/>
          <w:sz w:val="24"/>
          <w:szCs w:val="24"/>
          <w:highlight w:val="none"/>
        </w:rPr>
      </w:pPr>
    </w:p>
    <w:p w14:paraId="6CC1FE01">
      <w:pPr>
        <w:shd w:val="clear" w:color="auto" w:fill="auto"/>
        <w:spacing w:line="360" w:lineRule="auto"/>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投标人名称（盖章）：</w:t>
      </w:r>
    </w:p>
    <w:p w14:paraId="60E4AF19">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07F035F9">
      <w:pPr>
        <w:shd w:val="clear" w:color="auto" w:fill="auto"/>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75C823C7">
      <w:pPr>
        <w:widowControl/>
        <w:shd w:val="clear" w:color="auto" w:fill="auto"/>
        <w:jc w:val="left"/>
        <w:outlineLvl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bookmarkStart w:id="208" w:name="_Toc23421"/>
      <w:bookmarkStart w:id="209" w:name="_Toc1856897503"/>
      <w:bookmarkStart w:id="210" w:name="_Toc10030"/>
      <w:bookmarkStart w:id="211" w:name="_Toc875"/>
      <w:bookmarkStart w:id="212" w:name="_Toc2"/>
      <w:bookmarkStart w:id="213" w:name="_Toc28795"/>
      <w:r>
        <w:rPr>
          <w:rFonts w:hint="eastAsia" w:ascii="宋体" w:hAnsi="宋体" w:cs="宋体"/>
          <w:b/>
          <w:bCs/>
          <w:color w:val="auto"/>
          <w:sz w:val="28"/>
          <w:szCs w:val="28"/>
          <w:highlight w:val="none"/>
        </w:rPr>
        <w:t>附件14:</w:t>
      </w:r>
      <w:bookmarkEnd w:id="208"/>
      <w:bookmarkEnd w:id="209"/>
      <w:bookmarkEnd w:id="210"/>
      <w:bookmarkEnd w:id="211"/>
      <w:bookmarkEnd w:id="212"/>
      <w:bookmarkEnd w:id="213"/>
    </w:p>
    <w:p w14:paraId="49C7E3EC">
      <w:pPr>
        <w:shd w:val="clear" w:color="auto" w:fill="auto"/>
        <w:spacing w:line="360" w:lineRule="auto"/>
        <w:ind w:left="480"/>
        <w:jc w:val="center"/>
        <w:rPr>
          <w:rFonts w:hint="eastAsia"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报价明细表</w:t>
      </w:r>
    </w:p>
    <w:p w14:paraId="298DD8D4">
      <w:pPr>
        <w:pStyle w:val="15"/>
        <w:shd w:val="clear" w:color="auto" w:fill="auto"/>
        <w:spacing w:line="320" w:lineRule="exact"/>
        <w:rPr>
          <w:rFonts w:hint="eastAsia" w:hAnsi="宋体"/>
          <w:b/>
          <w:bCs/>
          <w:color w:val="auto"/>
          <w:sz w:val="24"/>
          <w:szCs w:val="24"/>
          <w:highlight w:val="none"/>
        </w:rPr>
      </w:pPr>
      <w:r>
        <w:rPr>
          <w:rFonts w:hint="eastAsia" w:hAnsi="宋体"/>
          <w:b/>
          <w:bCs/>
          <w:color w:val="auto"/>
          <w:sz w:val="24"/>
          <w:szCs w:val="24"/>
          <w:highlight w:val="none"/>
        </w:rPr>
        <w:t>项目名称：</w:t>
      </w:r>
    </w:p>
    <w:p w14:paraId="05B51580">
      <w:pPr>
        <w:pStyle w:val="55"/>
        <w:shd w:val="clear" w:color="auto" w:fill="auto"/>
        <w:spacing w:line="360" w:lineRule="auto"/>
        <w:ind w:right="48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项目编号：</w:t>
      </w:r>
      <w:r>
        <w:rPr>
          <w:rFonts w:hint="eastAsia" w:ascii="宋体" w:hAnsi="宋体" w:cs="宋体"/>
          <w:color w:val="auto"/>
          <w:sz w:val="24"/>
          <w:szCs w:val="24"/>
          <w:highlight w:val="none"/>
        </w:rPr>
        <w:t xml:space="preserve">                                    [货币单位：人民币元]</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672"/>
        <w:gridCol w:w="1511"/>
        <w:gridCol w:w="1617"/>
        <w:gridCol w:w="1618"/>
      </w:tblGrid>
      <w:tr w14:paraId="1682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645" w:type="pct"/>
            <w:noWrap w:val="0"/>
            <w:vAlign w:val="center"/>
          </w:tcPr>
          <w:p w14:paraId="09DB39C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68" w:type="pct"/>
            <w:noWrap w:val="0"/>
            <w:vAlign w:val="center"/>
          </w:tcPr>
          <w:p w14:paraId="3E7BCFC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明细报价项目</w:t>
            </w:r>
          </w:p>
        </w:tc>
        <w:tc>
          <w:tcPr>
            <w:tcW w:w="887" w:type="pct"/>
            <w:noWrap w:val="0"/>
            <w:vAlign w:val="center"/>
          </w:tcPr>
          <w:p w14:paraId="77AB412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单价</w:t>
            </w:r>
          </w:p>
        </w:tc>
        <w:tc>
          <w:tcPr>
            <w:tcW w:w="949" w:type="pct"/>
            <w:noWrap w:val="0"/>
            <w:vAlign w:val="center"/>
          </w:tcPr>
          <w:p w14:paraId="5056A29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49" w:type="pct"/>
            <w:noWrap w:val="0"/>
            <w:vAlign w:val="center"/>
          </w:tcPr>
          <w:p w14:paraId="7C24BAB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总价</w:t>
            </w:r>
          </w:p>
        </w:tc>
      </w:tr>
      <w:tr w14:paraId="4415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45" w:type="pct"/>
            <w:noWrap w:val="0"/>
            <w:vAlign w:val="center"/>
          </w:tcPr>
          <w:p w14:paraId="77076F2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4ECA163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24E41FC4">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2536CED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508152A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76FA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5" w:type="pct"/>
            <w:noWrap w:val="0"/>
            <w:vAlign w:val="center"/>
          </w:tcPr>
          <w:p w14:paraId="632E483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1716777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58190FA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1F54A1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72B7A33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1DA8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45" w:type="pct"/>
            <w:noWrap w:val="0"/>
            <w:vAlign w:val="center"/>
          </w:tcPr>
          <w:p w14:paraId="20618F9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13E4ABA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407DA993">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48BAE1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F88EFA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0913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645" w:type="pct"/>
            <w:noWrap w:val="0"/>
            <w:vAlign w:val="center"/>
          </w:tcPr>
          <w:p w14:paraId="6C0D445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1BD794DD">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62A3C72A">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2309207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6975292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7C2E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45" w:type="pct"/>
            <w:noWrap w:val="0"/>
            <w:vAlign w:val="center"/>
          </w:tcPr>
          <w:p w14:paraId="42974E8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12943F4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00EE677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637930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3DB47FE7">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09EB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645" w:type="pct"/>
            <w:noWrap w:val="0"/>
            <w:vAlign w:val="center"/>
          </w:tcPr>
          <w:p w14:paraId="05427381">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6A0A099B">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4E911E2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3C97642F">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21442F35">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10D6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5" w:type="pct"/>
            <w:noWrap w:val="0"/>
            <w:vAlign w:val="center"/>
          </w:tcPr>
          <w:p w14:paraId="2ED9332E">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24C4D12C">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66714FE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FFB5EF0">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989022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r w14:paraId="20C6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45" w:type="pct"/>
            <w:noWrap w:val="0"/>
            <w:vAlign w:val="center"/>
          </w:tcPr>
          <w:p w14:paraId="2B47F5B9">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1568" w:type="pct"/>
            <w:noWrap w:val="0"/>
            <w:vAlign w:val="center"/>
          </w:tcPr>
          <w:p w14:paraId="319BD29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887" w:type="pct"/>
            <w:noWrap w:val="0"/>
            <w:vAlign w:val="center"/>
          </w:tcPr>
          <w:p w14:paraId="2E3A2626">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57A8C442">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c>
          <w:tcPr>
            <w:tcW w:w="949" w:type="pct"/>
            <w:noWrap w:val="0"/>
            <w:vAlign w:val="center"/>
          </w:tcPr>
          <w:p w14:paraId="42B8ACC8">
            <w:pPr>
              <w:keepNext w:val="0"/>
              <w:keepLines w:val="0"/>
              <w:suppressLineNumbers w:val="0"/>
              <w:shd w:val="clear" w:color="auto" w:fill="auto"/>
              <w:spacing w:before="0" w:beforeAutospacing="0" w:after="0" w:afterAutospacing="0" w:line="360" w:lineRule="auto"/>
              <w:ind w:left="0" w:right="0"/>
              <w:rPr>
                <w:rFonts w:hint="eastAsia" w:ascii="宋体" w:hAnsi="宋体" w:cs="宋体"/>
                <w:color w:val="auto"/>
                <w:sz w:val="24"/>
                <w:szCs w:val="24"/>
                <w:highlight w:val="none"/>
              </w:rPr>
            </w:pPr>
          </w:p>
        </w:tc>
      </w:tr>
    </w:tbl>
    <w:p w14:paraId="7D4CE007">
      <w:pPr>
        <w:shd w:val="clear" w:color="auto" w:fill="auto"/>
        <w:spacing w:line="360" w:lineRule="auto"/>
        <w:rPr>
          <w:rFonts w:hint="eastAsia" w:ascii="宋体" w:hAnsi="宋体" w:cs="宋体"/>
          <w:b/>
          <w:bCs/>
          <w:color w:val="auto"/>
          <w:highlight w:val="none"/>
        </w:rPr>
      </w:pPr>
      <w:r>
        <w:rPr>
          <w:rFonts w:hint="eastAsia" w:ascii="宋体" w:hAnsi="宋体" w:cs="宋体"/>
          <w:b/>
          <w:bCs/>
          <w:color w:val="auto"/>
          <w:highlight w:val="none"/>
        </w:rPr>
        <w:t>要求：</w:t>
      </w:r>
    </w:p>
    <w:p w14:paraId="13B1EDF6">
      <w:pPr>
        <w:shd w:val="clear" w:color="auto" w:fill="auto"/>
        <w:spacing w:line="360" w:lineRule="auto"/>
        <w:ind w:left="435"/>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 “报价明细表”中的报价合计应与“开标一览表”中的投标总报价相一致，不一致时，以开标一览表为准。</w:t>
      </w:r>
    </w:p>
    <w:p w14:paraId="45317F9F">
      <w:pPr>
        <w:shd w:val="clear" w:color="auto" w:fill="auto"/>
        <w:spacing w:line="360" w:lineRule="auto"/>
        <w:ind w:left="435"/>
        <w:rPr>
          <w:rFonts w:hint="eastAsia" w:ascii="宋体" w:hAnsi="宋体" w:cs="宋体"/>
          <w:color w:val="auto"/>
          <w:sz w:val="24"/>
          <w:szCs w:val="24"/>
          <w:highlight w:val="none"/>
        </w:rPr>
      </w:pPr>
      <w:r>
        <w:rPr>
          <w:rFonts w:hint="eastAsia" w:ascii="宋体" w:hAnsi="宋体" w:cs="宋体"/>
          <w:color w:val="auto"/>
          <w:sz w:val="24"/>
          <w:szCs w:val="24"/>
          <w:highlight w:val="none"/>
        </w:rPr>
        <w:t>2. 本表为《开标一览表》的报价明细表，如有缺项、漏项，视为投标报价中已包含相关费用，采购人无需另外支付任何费用。</w:t>
      </w:r>
    </w:p>
    <w:p w14:paraId="72D08510">
      <w:pPr>
        <w:shd w:val="clear" w:color="auto" w:fill="auto"/>
        <w:spacing w:line="360" w:lineRule="auto"/>
        <w:ind w:left="420"/>
        <w:rPr>
          <w:rFonts w:hint="eastAsia" w:ascii="宋体" w:hAnsi="宋体" w:cs="宋体"/>
          <w:color w:val="auto"/>
          <w:kern w:val="0"/>
          <w:highlight w:val="none"/>
        </w:rPr>
      </w:pPr>
    </w:p>
    <w:p w14:paraId="1CD73787">
      <w:pPr>
        <w:shd w:val="clear" w:color="auto" w:fill="auto"/>
        <w:spacing w:line="360" w:lineRule="auto"/>
        <w:ind w:left="4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p>
    <w:p w14:paraId="09790BE1">
      <w:pPr>
        <w:shd w:val="clear" w:color="auto" w:fill="auto"/>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法定代表人或代理人（签字或盖章）：</w:t>
      </w:r>
    </w:p>
    <w:p w14:paraId="718E58FB">
      <w:pPr>
        <w:shd w:val="clear" w:color="auto" w:fill="auto"/>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5082ABB7">
      <w:pPr>
        <w:pStyle w:val="49"/>
        <w:widowControl w:val="0"/>
        <w:shd w:val="clear" w:color="auto" w:fill="auto"/>
        <w:snapToGrid w:val="0"/>
        <w:spacing w:line="500" w:lineRule="exact"/>
        <w:jc w:val="both"/>
        <w:outlineLvl w:val="0"/>
        <w:rPr>
          <w:rFonts w:hAnsi="宋体" w:cs="宋体"/>
          <w:b/>
          <w:bCs/>
          <w:color w:val="auto"/>
          <w:sz w:val="28"/>
          <w:szCs w:val="28"/>
          <w:highlight w:val="none"/>
        </w:rPr>
      </w:pPr>
      <w:r>
        <w:rPr>
          <w:rFonts w:hint="eastAsia" w:ascii="宋体" w:hAnsi="宋体" w:cs="宋体"/>
          <w:color w:val="auto"/>
          <w:sz w:val="24"/>
          <w:szCs w:val="24"/>
          <w:highlight w:val="none"/>
        </w:rPr>
        <w:br w:type="page"/>
      </w:r>
      <w:bookmarkStart w:id="214" w:name="_Toc23529"/>
      <w:bookmarkStart w:id="215" w:name="_Toc25309"/>
      <w:bookmarkStart w:id="216" w:name="_Toc26523"/>
      <w:bookmarkStart w:id="217" w:name="_Toc4651"/>
      <w:bookmarkStart w:id="218" w:name="_Toc80461227"/>
      <w:bookmarkStart w:id="219" w:name="_Toc2327"/>
      <w:r>
        <w:rPr>
          <w:rFonts w:hAnsi="宋体" w:cs="宋体"/>
          <w:b/>
          <w:bCs/>
          <w:color w:val="auto"/>
          <w:sz w:val="28"/>
          <w:szCs w:val="28"/>
          <w:highlight w:val="none"/>
        </w:rPr>
        <w:t>附件1</w:t>
      </w:r>
      <w:r>
        <w:rPr>
          <w:rFonts w:hint="eastAsia" w:hAnsi="宋体" w:cs="宋体"/>
          <w:b/>
          <w:bCs/>
          <w:color w:val="auto"/>
          <w:sz w:val="28"/>
          <w:szCs w:val="28"/>
          <w:highlight w:val="none"/>
          <w:lang w:val="en-US" w:eastAsia="zh-CN"/>
        </w:rPr>
        <w:t>5</w:t>
      </w:r>
      <w:r>
        <w:rPr>
          <w:rFonts w:hAnsi="宋体" w:cs="宋体"/>
          <w:b/>
          <w:bCs/>
          <w:color w:val="auto"/>
          <w:sz w:val="28"/>
          <w:szCs w:val="28"/>
          <w:highlight w:val="none"/>
        </w:rPr>
        <w:t>:</w:t>
      </w:r>
      <w:bookmarkEnd w:id="214"/>
      <w:bookmarkEnd w:id="215"/>
      <w:bookmarkEnd w:id="216"/>
      <w:bookmarkEnd w:id="217"/>
      <w:bookmarkEnd w:id="218"/>
      <w:bookmarkEnd w:id="219"/>
      <w:r>
        <w:rPr>
          <w:rFonts w:hAnsi="宋体" w:cs="宋体"/>
          <w:b/>
          <w:bCs/>
          <w:color w:val="auto"/>
          <w:sz w:val="28"/>
          <w:szCs w:val="28"/>
          <w:highlight w:val="none"/>
        </w:rPr>
        <w:t xml:space="preserve">      </w:t>
      </w:r>
    </w:p>
    <w:p w14:paraId="79C5205D">
      <w:pPr>
        <w:shd w:val="clear" w:color="auto" w:fill="auto"/>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3409C7AE">
      <w:pPr>
        <w:shd w:val="clear" w:color="auto" w:fill="auto"/>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14:paraId="1E1A44C3">
      <w:pPr>
        <w:widowControl/>
        <w:shd w:val="clear" w:color="auto" w:fill="auto"/>
        <w:spacing w:line="400" w:lineRule="exact"/>
        <w:ind w:firstLine="504" w:firstLineChars="200"/>
        <w:jc w:val="left"/>
        <w:rPr>
          <w:rFonts w:hint="eastAsia" w:ascii="宋体" w:hAnsi="宋体" w:cs="宋体"/>
          <w:color w:val="auto"/>
          <w:spacing w:val="6"/>
          <w:kern w:val="0"/>
          <w:sz w:val="24"/>
          <w:szCs w:val="24"/>
          <w:highlight w:val="none"/>
          <w:u w:val="single"/>
        </w:rPr>
      </w:pPr>
      <w:r>
        <w:rPr>
          <w:rFonts w:hint="eastAsia" w:ascii="宋体" w:hAnsi="宋体" w:cs="宋体"/>
          <w:color w:val="auto"/>
          <w:spacing w:val="6"/>
          <w:kern w:val="0"/>
          <w:sz w:val="24"/>
          <w:szCs w:val="24"/>
          <w:highlight w:val="none"/>
          <w:lang w:val="zh-CN"/>
        </w:rPr>
        <w:t>本人经由单位</w:t>
      </w:r>
      <w:r>
        <w:rPr>
          <w:rFonts w:hint="eastAsia" w:ascii="宋体" w:hAnsi="宋体" w:cs="宋体"/>
          <w:color w:val="auto"/>
          <w:spacing w:val="6"/>
          <w:kern w:val="0"/>
          <w:sz w:val="24"/>
          <w:szCs w:val="24"/>
          <w:highlight w:val="none"/>
          <w:u w:val="single"/>
          <w:lang w:val="zh-CN"/>
        </w:rPr>
        <w:t xml:space="preserve">   </w:t>
      </w: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u w:val="single"/>
          <w:lang w:val="zh-CN"/>
        </w:rPr>
        <w:t>(法人代表)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color w:val="auto"/>
          <w:spacing w:val="6"/>
          <w:kern w:val="0"/>
          <w:sz w:val="24"/>
          <w:szCs w:val="24"/>
          <w:highlight w:val="none"/>
        </w:rPr>
        <w:t>（项目名称</w:t>
      </w:r>
      <w:r>
        <w:rPr>
          <w:rFonts w:hint="eastAsia" w:ascii="宋体" w:hAnsi="宋体" w:cs="宋体"/>
          <w:color w:val="auto"/>
          <w:spacing w:val="6"/>
          <w:kern w:val="0"/>
          <w:sz w:val="24"/>
          <w:szCs w:val="24"/>
          <w:highlight w:val="none"/>
          <w:u w:val="single"/>
        </w:rPr>
        <w:t xml:space="preserve">            </w:t>
      </w:r>
    </w:p>
    <w:p w14:paraId="0903FA75">
      <w:pPr>
        <w:widowControl/>
        <w:shd w:val="clear" w:color="auto" w:fill="auto"/>
        <w:spacing w:line="400" w:lineRule="exact"/>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rPr>
        <w:t xml:space="preserve"> </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14:paraId="42EB5AEF">
      <w:pPr>
        <w:widowControl/>
        <w:shd w:val="clear" w:color="auto" w:fill="auto"/>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14:paraId="2F64D6A3">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14:paraId="5253A084">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14:paraId="7BED70F3">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14:paraId="4281934C">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14:paraId="303055D7">
      <w:pPr>
        <w:widowControl/>
        <w:shd w:val="clear" w:color="auto" w:fill="auto"/>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14:paraId="7EEA6E6C">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14:paraId="77C56A23">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14:paraId="5F036C34">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14:paraId="7A590618">
      <w:pPr>
        <w:widowControl/>
        <w:shd w:val="clear" w:color="auto" w:fill="auto"/>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14:paraId="4F88BD8E">
      <w:pPr>
        <w:widowControl/>
        <w:shd w:val="clear" w:color="auto" w:fill="auto"/>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14:paraId="43A6901B">
      <w:pPr>
        <w:widowControl/>
        <w:shd w:val="clear" w:color="auto" w:fill="auto"/>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14:paraId="5298559D">
      <w:pPr>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14:paraId="200C6E94">
      <w:pPr>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14:paraId="2224E00A">
      <w:pPr>
        <w:shd w:val="clear" w:color="auto" w:fill="auto"/>
        <w:snapToGrid w:val="0"/>
        <w:spacing w:line="40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G.存在共同直接或间接投资设立子公司、联营企业和合营企业情况</w:t>
      </w:r>
    </w:p>
    <w:p w14:paraId="0695BF4A">
      <w:pPr>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14:paraId="72754CCA">
      <w:pPr>
        <w:shd w:val="clear" w:color="auto" w:fill="auto"/>
        <w:snapToGrid w:val="0"/>
        <w:spacing w:line="400" w:lineRule="exact"/>
        <w:ind w:firstLine="480" w:firstLineChars="200"/>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I.其他利害关系情况。</w:t>
      </w:r>
    </w:p>
    <w:p w14:paraId="1F30978C">
      <w:pPr>
        <w:widowControl/>
        <w:shd w:val="clear" w:color="auto" w:fill="auto"/>
        <w:snapToGrid w:val="0"/>
        <w:spacing w:line="4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14:paraId="4C98D02C">
      <w:pPr>
        <w:widowControl/>
        <w:shd w:val="clear" w:color="auto" w:fill="auto"/>
        <w:snapToGri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14:paraId="742597AE">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14:paraId="7E0021B5">
      <w:pPr>
        <w:widowControl/>
        <w:shd w:val="clear" w:color="auto" w:fill="auto"/>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14:paraId="1AE7EFE0">
      <w:pPr>
        <w:shd w:val="clear" w:color="auto" w:fill="auto"/>
        <w:snapToGrid w:val="0"/>
        <w:spacing w:line="400" w:lineRule="exact"/>
        <w:ind w:firstLine="5301" w:firstLineChars="2200"/>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14:paraId="62619931">
      <w:pPr>
        <w:shd w:val="clear" w:color="auto" w:fill="auto"/>
        <w:tabs>
          <w:tab w:val="left" w:pos="1418"/>
        </w:tabs>
        <w:autoSpaceDE w:val="0"/>
        <w:autoSpaceDN w:val="0"/>
        <w:adjustRightInd w:val="0"/>
        <w:spacing w:line="4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ascii="宋体" w:hAnsi="宋体" w:cs="宋体"/>
          <w:color w:val="auto"/>
          <w:sz w:val="24"/>
          <w:szCs w:val="24"/>
          <w:highlight w:val="none"/>
        </w:rPr>
        <w:t>3</w:t>
      </w:r>
      <w:r>
        <w:rPr>
          <w:rFonts w:hint="eastAsia" w:ascii="宋体" w:hAnsi="宋体" w:cs="宋体"/>
          <w:color w:val="auto"/>
          <w:sz w:val="24"/>
          <w:szCs w:val="24"/>
          <w:highlight w:val="none"/>
        </w:rPr>
        <w:t>年  月  日</w:t>
      </w:r>
    </w:p>
    <w:p w14:paraId="51C2F472">
      <w:pPr>
        <w:shd w:val="clear" w:color="auto" w:fill="auto"/>
        <w:tabs>
          <w:tab w:val="left" w:pos="1418"/>
        </w:tabs>
        <w:autoSpaceDE w:val="0"/>
        <w:autoSpaceDN w:val="0"/>
        <w:adjustRightInd w:val="0"/>
        <w:spacing w:line="400" w:lineRule="exact"/>
        <w:rPr>
          <w:rFonts w:hAnsi="宋体" w:cs="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说明：商务技术文件开启后30分钟内，供应商通过邮件形式将经授权代表签署的《</w:t>
      </w:r>
      <w:r>
        <w:rPr>
          <w:rFonts w:hint="eastAsia" w:ascii="宋体" w:hAnsi="宋体" w:cs="宋体"/>
          <w:b/>
          <w:bCs/>
          <w:color w:val="auto"/>
          <w:kern w:val="0"/>
          <w:sz w:val="24"/>
          <w:szCs w:val="24"/>
          <w:highlight w:val="none"/>
          <w:lang w:val="en-GB"/>
        </w:rPr>
        <w:t>政府采购活动确认声明书</w:t>
      </w:r>
      <w:r>
        <w:rPr>
          <w:rFonts w:hint="eastAsia" w:ascii="宋体" w:hAnsi="宋体" w:cs="宋体"/>
          <w:b/>
          <w:bCs/>
          <w:color w:val="auto"/>
          <w:kern w:val="0"/>
          <w:sz w:val="24"/>
          <w:szCs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lang w:val="en-GB"/>
        </w:rPr>
        <w:t>zjwstz@163.com</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footerReference r:id="rId12" w:type="default"/>
      <w:pgSz w:w="11906" w:h="16838"/>
      <w:pgMar w:top="1440" w:right="1800" w:bottom="1440" w:left="1800" w:header="851" w:footer="85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4CE9C">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DD265">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1E0DD265">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D488">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319EA">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502319EA">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98F95">
    <w:pPr>
      <w:pStyle w:val="20"/>
      <w:framePr w:wrap="around" w:vAnchor="text" w:hAnchor="margin" w:xAlign="right" w:y="1"/>
      <w:rPr>
        <w:rStyle w:val="31"/>
      </w:rPr>
    </w:pPr>
    <w:r>
      <w:fldChar w:fldCharType="begin"/>
    </w:r>
    <w:r>
      <w:rPr>
        <w:rStyle w:val="31"/>
      </w:rPr>
      <w:instrText xml:space="preserve">PAGE  </w:instrText>
    </w:r>
    <w:r>
      <w:fldChar w:fldCharType="end"/>
    </w:r>
  </w:p>
  <w:p w14:paraId="33162EB4">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C3">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9F8B6B">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zqMsBAACc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Qbc6jLAQAAnAMAAA4AAAAAAAAAAQAgAAAAHgEAAGRycy9lMm9E&#10;b2MueG1sUEsFBgAAAAAGAAYAWQEAAFsFAAAAAA==&#10;">
              <v:fill on="f" focussize="0,0"/>
              <v:stroke on="f"/>
              <v:imagedata o:title=""/>
              <o:lock v:ext="edit" aspectratio="f"/>
              <v:textbox inset="0mm,0mm,0mm,0mm" style="mso-fit-shape-to-text:t;">
                <w:txbxContent>
                  <w:p w14:paraId="7D9F8B6B">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r>
                      <w:rPr>
                        <w:rFonts w:hint="eastAsia"/>
                      </w:rPr>
                      <w:t xml:space="preserve"> 页 共 </w:t>
                    </w:r>
                    <w:r>
                      <w:rPr>
                        <w:rFonts w:hint="eastAsia"/>
                        <w:lang w:val="en-US" w:eastAsia="zh-CN"/>
                      </w:rPr>
                      <w:t>80</w:t>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546C5F3">
      <w:pPr>
        <w:pStyle w:val="23"/>
      </w:pPr>
      <w:r>
        <w:rPr>
          <w:rStyle w:val="32"/>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F4B6">
    <w:pPr>
      <w:pStyle w:val="2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416E">
    <w:pPr>
      <w:pStyle w:val="2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C688">
    <w:pPr>
      <w:pStyle w:val="21"/>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7B67">
    <w:pPr>
      <w:pStyle w:val="21"/>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3100">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4E6C5"/>
    <w:multiLevelType w:val="singleLevel"/>
    <w:tmpl w:val="9B44E6C5"/>
    <w:lvl w:ilvl="0" w:tentative="0">
      <w:start w:val="2"/>
      <w:numFmt w:val="chineseCounting"/>
      <w:suff w:val="nothing"/>
      <w:lvlText w:val="%1、"/>
      <w:lvlJc w:val="left"/>
      <w:rPr>
        <w:rFonts w:hint="eastAsia"/>
      </w:rPr>
    </w:lvl>
  </w:abstractNum>
  <w:abstractNum w:abstractNumId="1">
    <w:nsid w:val="ADF7BDBE"/>
    <w:multiLevelType w:val="multilevel"/>
    <w:tmpl w:val="ADF7BDBE"/>
    <w:lvl w:ilvl="0" w:tentative="0">
      <w:start w:val="1"/>
      <w:numFmt w:val="decimal"/>
      <w:lvlText w:val="%1."/>
      <w:lvlJc w:val="left"/>
      <w:pPr>
        <w:tabs>
          <w:tab w:val="left" w:pos="312"/>
        </w:tabs>
        <w:ind w:left="2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1BEEAE9"/>
    <w:multiLevelType w:val="multilevel"/>
    <w:tmpl w:val="B1BEEAE9"/>
    <w:lvl w:ilvl="0" w:tentative="0">
      <w:start w:val="1"/>
      <w:numFmt w:val="decimal"/>
      <w:lvlText w:val="%1"/>
      <w:lvlJc w:val="left"/>
      <w:pPr>
        <w:ind w:left="432" w:firstLine="0"/>
      </w:pPr>
      <w:rPr>
        <w:rFonts w:hint="default" w:ascii="Times New Roman" w:hAnsi="Times New Roman" w:cs="Times New Roman"/>
      </w:rPr>
    </w:lvl>
    <w:lvl w:ilvl="1" w:tentative="0">
      <w:start w:val="1"/>
      <w:numFmt w:val="decimal"/>
      <w:lvlText w:val="%1.%2"/>
      <w:lvlJc w:val="left"/>
      <w:pPr>
        <w:ind w:left="576" w:firstLine="0"/>
      </w:pPr>
      <w:rPr>
        <w:rFonts w:hint="default" w:ascii="Times New Roman" w:hAnsi="Times New Roman" w:cs="Times New Roman"/>
      </w:rPr>
    </w:lvl>
    <w:lvl w:ilvl="2" w:tentative="0">
      <w:start w:val="1"/>
      <w:numFmt w:val="decimal"/>
      <w:lvlText w:val="%1.%2.%3"/>
      <w:lvlJc w:val="left"/>
      <w:pPr>
        <w:ind w:left="720" w:firstLine="0"/>
      </w:pPr>
      <w:rPr>
        <w:rFonts w:hint="default" w:ascii="Times New Roman" w:hAnsi="Times New Roman" w:cs="Times New Roman"/>
      </w:rPr>
    </w:lvl>
    <w:lvl w:ilvl="3" w:tentative="0">
      <w:start w:val="1"/>
      <w:numFmt w:val="decimal"/>
      <w:lvlText w:val="%1.%2.%3.%4"/>
      <w:lvlJc w:val="left"/>
      <w:pPr>
        <w:ind w:left="864" w:firstLine="0"/>
      </w:pPr>
      <w:rPr>
        <w:rFonts w:hint="default" w:ascii="Times New Roman" w:hAnsi="Times New Roman" w:cs="Times New Roman"/>
      </w:rPr>
    </w:lvl>
    <w:lvl w:ilvl="4" w:tentative="0">
      <w:start w:val="1"/>
      <w:numFmt w:val="decimal"/>
      <w:lvlText w:val="%1.%2.%3.%4.%5"/>
      <w:lvlJc w:val="left"/>
      <w:pPr>
        <w:ind w:left="1008" w:firstLine="0"/>
      </w:pPr>
      <w:rPr>
        <w:rFonts w:hint="default" w:ascii="Times New Roman" w:hAnsi="Times New Roman" w:cs="Times New Roman"/>
      </w:rPr>
    </w:lvl>
    <w:lvl w:ilvl="5" w:tentative="0">
      <w:start w:val="1"/>
      <w:numFmt w:val="decimal"/>
      <w:lvlText w:val="%1.%2.%3.%4.%5.%6"/>
      <w:lvlJc w:val="left"/>
      <w:pPr>
        <w:ind w:left="1152" w:firstLine="0"/>
      </w:pPr>
      <w:rPr>
        <w:rFonts w:hint="default" w:ascii="Times New Roman" w:hAnsi="Times New Roman" w:cs="Times New Roman"/>
      </w:rPr>
    </w:lvl>
    <w:lvl w:ilvl="6" w:tentative="0">
      <w:start w:val="1"/>
      <w:numFmt w:val="decimal"/>
      <w:lvlText w:val="%1.%2.%3.%4.%5.%6.%7"/>
      <w:lvlJc w:val="left"/>
      <w:pPr>
        <w:ind w:left="1296" w:firstLine="0"/>
      </w:pPr>
      <w:rPr>
        <w:rFonts w:hint="default" w:ascii="Times New Roman" w:hAnsi="Times New Roman" w:cs="Times New Roman"/>
      </w:rPr>
    </w:lvl>
    <w:lvl w:ilvl="7" w:tentative="0">
      <w:start w:val="1"/>
      <w:numFmt w:val="decimal"/>
      <w:lvlText w:val="%1.%2.%3.%4.%5.%6.%7.%8"/>
      <w:lvlJc w:val="left"/>
      <w:pPr>
        <w:ind w:left="1440" w:firstLine="0"/>
      </w:pPr>
      <w:rPr>
        <w:rFonts w:hint="default" w:ascii="Times New Roman" w:hAnsi="Times New Roman" w:cs="Times New Roman"/>
      </w:rPr>
    </w:lvl>
    <w:lvl w:ilvl="8" w:tentative="0">
      <w:start w:val="1"/>
      <w:numFmt w:val="decimal"/>
      <w:lvlText w:val="%1.%2.%3.%4.%5.%6.%7.%8.%9"/>
      <w:lvlJc w:val="left"/>
      <w:pPr>
        <w:ind w:left="1584" w:firstLine="0"/>
      </w:pPr>
      <w:rPr>
        <w:rFonts w:hint="default" w:ascii="Times New Roman" w:hAnsi="Times New Roman" w:cs="Times New Roman"/>
      </w:rPr>
    </w:lvl>
  </w:abstractNum>
  <w:abstractNum w:abstractNumId="3">
    <w:nsid w:val="B667196D"/>
    <w:multiLevelType w:val="multilevel"/>
    <w:tmpl w:val="B667196D"/>
    <w:lvl w:ilvl="0" w:tentative="0">
      <w:start w:val="1"/>
      <w:numFmt w:val="decimal"/>
      <w:lvlText w:val="%1."/>
      <w:lvlJc w:val="left"/>
      <w:pPr>
        <w:ind w:left="425"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79E48C1"/>
    <w:multiLevelType w:val="singleLevel"/>
    <w:tmpl w:val="B79E48C1"/>
    <w:lvl w:ilvl="0" w:tentative="0">
      <w:start w:val="6"/>
      <w:numFmt w:val="chineseCounting"/>
      <w:suff w:val="nothing"/>
      <w:lvlText w:val="%1、"/>
      <w:lvlJc w:val="left"/>
      <w:rPr>
        <w:rFonts w:hint="eastAsia"/>
      </w:rPr>
    </w:lvl>
  </w:abstractNum>
  <w:abstractNum w:abstractNumId="5">
    <w:nsid w:val="C9E1A92C"/>
    <w:multiLevelType w:val="singleLevel"/>
    <w:tmpl w:val="C9E1A92C"/>
    <w:lvl w:ilvl="0" w:tentative="0">
      <w:start w:val="1"/>
      <w:numFmt w:val="decimal"/>
      <w:lvlText w:val="%1."/>
      <w:lvlJc w:val="left"/>
      <w:pPr>
        <w:tabs>
          <w:tab w:val="left" w:pos="312"/>
        </w:tabs>
      </w:pPr>
    </w:lvl>
  </w:abstractNum>
  <w:abstractNum w:abstractNumId="6">
    <w:nsid w:val="DFF3E21B"/>
    <w:multiLevelType w:val="multilevel"/>
    <w:tmpl w:val="DFF3E21B"/>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4F61815"/>
    <w:multiLevelType w:val="multilevel"/>
    <w:tmpl w:val="F4F61815"/>
    <w:lvl w:ilvl="0" w:tentative="0">
      <w:start w:val="1"/>
      <w:numFmt w:val="bullet"/>
      <w:lvlText w:val=""/>
      <w:lvlJc w:val="left"/>
      <w:pPr>
        <w:ind w:left="900" w:firstLine="0"/>
      </w:pPr>
      <w:rPr>
        <w:rFonts w:hint="default" w:ascii="Wingdings" w:hAnsi="Wingdings" w:cs="Wingdings"/>
      </w:rPr>
    </w:lvl>
    <w:lvl w:ilvl="1" w:tentative="0">
      <w:start w:val="1"/>
      <w:numFmt w:val="bullet"/>
      <w:lvlText w:val=""/>
      <w:lvlJc w:val="left"/>
      <w:pPr>
        <w:ind w:left="1320" w:firstLine="0"/>
      </w:pPr>
      <w:rPr>
        <w:rFonts w:hint="default" w:ascii="Wingdings" w:hAnsi="Wingdings" w:cs="Wingdings"/>
      </w:rPr>
    </w:lvl>
    <w:lvl w:ilvl="2" w:tentative="0">
      <w:start w:val="1"/>
      <w:numFmt w:val="bullet"/>
      <w:lvlText w:val=""/>
      <w:lvlJc w:val="left"/>
      <w:pPr>
        <w:ind w:left="1740" w:firstLine="0"/>
      </w:pPr>
      <w:rPr>
        <w:rFonts w:hint="default" w:ascii="Wingdings" w:hAnsi="Wingdings" w:cs="Wingdings"/>
      </w:rPr>
    </w:lvl>
    <w:lvl w:ilvl="3" w:tentative="0">
      <w:start w:val="1"/>
      <w:numFmt w:val="bullet"/>
      <w:lvlText w:val=""/>
      <w:lvlJc w:val="left"/>
      <w:pPr>
        <w:ind w:left="2160" w:firstLine="0"/>
      </w:pPr>
      <w:rPr>
        <w:rFonts w:hint="default" w:ascii="Wingdings" w:hAnsi="Wingdings" w:cs="Wingdings"/>
      </w:rPr>
    </w:lvl>
    <w:lvl w:ilvl="4" w:tentative="0">
      <w:start w:val="1"/>
      <w:numFmt w:val="bullet"/>
      <w:lvlText w:val=""/>
      <w:lvlJc w:val="left"/>
      <w:pPr>
        <w:ind w:left="2580" w:firstLine="0"/>
      </w:pPr>
      <w:rPr>
        <w:rFonts w:hint="default" w:ascii="Wingdings" w:hAnsi="Wingdings" w:cs="Wingdings"/>
      </w:rPr>
    </w:lvl>
    <w:lvl w:ilvl="5" w:tentative="0">
      <w:start w:val="1"/>
      <w:numFmt w:val="bullet"/>
      <w:lvlText w:val=""/>
      <w:lvlJc w:val="left"/>
      <w:pPr>
        <w:ind w:left="3000" w:firstLine="0"/>
      </w:pPr>
      <w:rPr>
        <w:rFonts w:hint="default" w:ascii="Wingdings" w:hAnsi="Wingdings" w:cs="Wingdings"/>
      </w:rPr>
    </w:lvl>
    <w:lvl w:ilvl="6" w:tentative="0">
      <w:start w:val="1"/>
      <w:numFmt w:val="bullet"/>
      <w:lvlText w:val=""/>
      <w:lvlJc w:val="left"/>
      <w:pPr>
        <w:ind w:left="3420" w:firstLine="0"/>
      </w:pPr>
      <w:rPr>
        <w:rFonts w:hint="default" w:ascii="Wingdings" w:hAnsi="Wingdings" w:cs="Wingdings"/>
      </w:rPr>
    </w:lvl>
    <w:lvl w:ilvl="7" w:tentative="0">
      <w:start w:val="1"/>
      <w:numFmt w:val="bullet"/>
      <w:lvlText w:val=""/>
      <w:lvlJc w:val="left"/>
      <w:pPr>
        <w:ind w:left="3840" w:firstLine="0"/>
      </w:pPr>
      <w:rPr>
        <w:rFonts w:hint="default" w:ascii="Wingdings" w:hAnsi="Wingdings" w:cs="Wingdings"/>
      </w:rPr>
    </w:lvl>
    <w:lvl w:ilvl="8" w:tentative="0">
      <w:start w:val="1"/>
      <w:numFmt w:val="bullet"/>
      <w:lvlText w:val=""/>
      <w:lvlJc w:val="left"/>
      <w:pPr>
        <w:ind w:left="4260" w:firstLine="0"/>
      </w:pPr>
      <w:rPr>
        <w:rFonts w:hint="default" w:ascii="Wingdings" w:hAnsi="Wingdings" w:cs="Wingdings"/>
      </w:rPr>
    </w:lvl>
  </w:abstractNum>
  <w:abstractNum w:abstractNumId="8">
    <w:nsid w:val="FBFFFE24"/>
    <w:multiLevelType w:val="multilevel"/>
    <w:tmpl w:val="FBFFFE24"/>
    <w:lvl w:ilvl="0" w:tentative="0">
      <w:start w:val="1"/>
      <w:numFmt w:val="decimal"/>
      <w:lvlText w:val="%1."/>
      <w:lvlJc w:val="left"/>
      <w:pPr>
        <w:ind w:left="425"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FFBBF1A2"/>
    <w:multiLevelType w:val="multilevel"/>
    <w:tmpl w:val="FFBBF1A2"/>
    <w:lvl w:ilvl="0" w:tentative="0">
      <w:start w:val="1"/>
      <w:numFmt w:val="bullet"/>
      <w:lvlText w:val=""/>
      <w:lvlJc w:val="left"/>
      <w:pPr>
        <w:ind w:left="900" w:firstLine="0"/>
      </w:pPr>
      <w:rPr>
        <w:rFonts w:hint="default" w:ascii="Wingdings" w:hAnsi="Wingdings" w:cs="Wingdings"/>
      </w:rPr>
    </w:lvl>
    <w:lvl w:ilvl="1" w:tentative="0">
      <w:start w:val="1"/>
      <w:numFmt w:val="bullet"/>
      <w:lvlText w:val=""/>
      <w:lvlJc w:val="left"/>
      <w:pPr>
        <w:ind w:left="1320" w:firstLine="0"/>
      </w:pPr>
      <w:rPr>
        <w:rFonts w:hint="default" w:ascii="Wingdings" w:hAnsi="Wingdings" w:cs="Wingdings"/>
      </w:rPr>
    </w:lvl>
    <w:lvl w:ilvl="2" w:tentative="0">
      <w:start w:val="1"/>
      <w:numFmt w:val="bullet"/>
      <w:lvlText w:val=""/>
      <w:lvlJc w:val="left"/>
      <w:pPr>
        <w:ind w:left="1740" w:firstLine="0"/>
      </w:pPr>
      <w:rPr>
        <w:rFonts w:hint="default" w:ascii="Wingdings" w:hAnsi="Wingdings" w:cs="Wingdings"/>
      </w:rPr>
    </w:lvl>
    <w:lvl w:ilvl="3" w:tentative="0">
      <w:start w:val="1"/>
      <w:numFmt w:val="bullet"/>
      <w:lvlText w:val=""/>
      <w:lvlJc w:val="left"/>
      <w:pPr>
        <w:ind w:left="2160" w:firstLine="0"/>
      </w:pPr>
      <w:rPr>
        <w:rFonts w:hint="default" w:ascii="Wingdings" w:hAnsi="Wingdings" w:cs="Wingdings"/>
      </w:rPr>
    </w:lvl>
    <w:lvl w:ilvl="4" w:tentative="0">
      <w:start w:val="1"/>
      <w:numFmt w:val="bullet"/>
      <w:lvlText w:val=""/>
      <w:lvlJc w:val="left"/>
      <w:pPr>
        <w:ind w:left="2580" w:firstLine="0"/>
      </w:pPr>
      <w:rPr>
        <w:rFonts w:hint="default" w:ascii="Wingdings" w:hAnsi="Wingdings" w:cs="Wingdings"/>
      </w:rPr>
    </w:lvl>
    <w:lvl w:ilvl="5" w:tentative="0">
      <w:start w:val="1"/>
      <w:numFmt w:val="bullet"/>
      <w:lvlText w:val=""/>
      <w:lvlJc w:val="left"/>
      <w:pPr>
        <w:ind w:left="3000" w:firstLine="0"/>
      </w:pPr>
      <w:rPr>
        <w:rFonts w:hint="default" w:ascii="Wingdings" w:hAnsi="Wingdings" w:cs="Wingdings"/>
      </w:rPr>
    </w:lvl>
    <w:lvl w:ilvl="6" w:tentative="0">
      <w:start w:val="1"/>
      <w:numFmt w:val="bullet"/>
      <w:lvlText w:val=""/>
      <w:lvlJc w:val="left"/>
      <w:pPr>
        <w:ind w:left="3420" w:firstLine="0"/>
      </w:pPr>
      <w:rPr>
        <w:rFonts w:hint="default" w:ascii="Wingdings" w:hAnsi="Wingdings" w:cs="Wingdings"/>
      </w:rPr>
    </w:lvl>
    <w:lvl w:ilvl="7" w:tentative="0">
      <w:start w:val="1"/>
      <w:numFmt w:val="bullet"/>
      <w:lvlText w:val=""/>
      <w:lvlJc w:val="left"/>
      <w:pPr>
        <w:ind w:left="3840" w:firstLine="0"/>
      </w:pPr>
      <w:rPr>
        <w:rFonts w:hint="default" w:ascii="Wingdings" w:hAnsi="Wingdings" w:cs="Wingdings"/>
      </w:rPr>
    </w:lvl>
    <w:lvl w:ilvl="8" w:tentative="0">
      <w:start w:val="1"/>
      <w:numFmt w:val="bullet"/>
      <w:lvlText w:val=""/>
      <w:lvlJc w:val="left"/>
      <w:pPr>
        <w:ind w:left="4260" w:firstLine="0"/>
      </w:pPr>
      <w:rPr>
        <w:rFonts w:hint="default" w:ascii="Wingdings" w:hAnsi="Wingdings" w:cs="Wingdings"/>
      </w:rPr>
    </w:lvl>
  </w:abstractNum>
  <w:abstractNum w:abstractNumId="10">
    <w:nsid w:val="FFFAFCEE"/>
    <w:multiLevelType w:val="multilevel"/>
    <w:tmpl w:val="FFFAFCE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1EB5487"/>
    <w:multiLevelType w:val="multilevel"/>
    <w:tmpl w:val="71EB5487"/>
    <w:lvl w:ilvl="0" w:tentative="0">
      <w:start w:val="1"/>
      <w:numFmt w:val="decimal"/>
      <w:lvlText w:val="%1."/>
      <w:lvlJc w:val="left"/>
      <w:pPr>
        <w:tabs>
          <w:tab w:val="left" w:pos="312"/>
        </w:tabs>
        <w:ind w:left="2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577AB9C"/>
    <w:multiLevelType w:val="singleLevel"/>
    <w:tmpl w:val="7577AB9C"/>
    <w:lvl w:ilvl="0" w:tentative="0">
      <w:start w:val="1"/>
      <w:numFmt w:val="decimal"/>
      <w:pStyle w:val="10"/>
      <w:lvlText w:val="%1."/>
      <w:lvlJc w:val="left"/>
      <w:pPr>
        <w:tabs>
          <w:tab w:val="left" w:pos="360"/>
        </w:tabs>
        <w:ind w:left="360" w:hanging="360"/>
      </w:pPr>
    </w:lvl>
  </w:abstractNum>
  <w:abstractNum w:abstractNumId="13">
    <w:nsid w:val="75FA021B"/>
    <w:multiLevelType w:val="singleLevel"/>
    <w:tmpl w:val="75FA021B"/>
    <w:lvl w:ilvl="0" w:tentative="0">
      <w:start w:val="1"/>
      <w:numFmt w:val="decimal"/>
      <w:lvlText w:val="%1."/>
      <w:lvlJc w:val="left"/>
      <w:pPr>
        <w:tabs>
          <w:tab w:val="left" w:pos="312"/>
        </w:tabs>
      </w:pPr>
      <w:rPr>
        <w:rFonts w:cs="Times New Roman"/>
      </w:rPr>
    </w:lvl>
  </w:abstractNum>
  <w:abstractNum w:abstractNumId="14">
    <w:nsid w:val="77FBE24F"/>
    <w:multiLevelType w:val="multilevel"/>
    <w:tmpl w:val="77FBE24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2"/>
  </w:num>
  <w:num w:numId="2">
    <w:abstractNumId w:val="0"/>
  </w:num>
  <w:num w:numId="3">
    <w:abstractNumId w:val="4"/>
  </w:num>
  <w:num w:numId="4">
    <w:abstractNumId w:val="13"/>
  </w:num>
  <w:num w:numId="5">
    <w:abstractNumId w:val="2"/>
  </w:num>
  <w:num w:numId="6">
    <w:abstractNumId w:val="9"/>
  </w:num>
  <w:num w:numId="7">
    <w:abstractNumId w:val="7"/>
  </w:num>
  <w:num w:numId="8">
    <w:abstractNumId w:val="8"/>
  </w:num>
  <w:num w:numId="9">
    <w:abstractNumId w:val="1"/>
  </w:num>
  <w:num w:numId="10">
    <w:abstractNumId w:val="11"/>
  </w:num>
  <w:num w:numId="11">
    <w:abstractNumId w:val="10"/>
  </w:num>
  <w:num w:numId="12">
    <w:abstractNumId w:val="6"/>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WUyNzg3YTMzYTNkNTdjZWZmYTRlNjFlNGI2YzgifQ=="/>
  </w:docVars>
  <w:rsids>
    <w:rsidRoot w:val="00172A27"/>
    <w:rsid w:val="00012B7B"/>
    <w:rsid w:val="00020BB9"/>
    <w:rsid w:val="000A3638"/>
    <w:rsid w:val="000C6E03"/>
    <w:rsid w:val="00104397"/>
    <w:rsid w:val="00113A92"/>
    <w:rsid w:val="00192E8A"/>
    <w:rsid w:val="001C7ABF"/>
    <w:rsid w:val="00274FE3"/>
    <w:rsid w:val="00343B6A"/>
    <w:rsid w:val="00407897"/>
    <w:rsid w:val="00450A0E"/>
    <w:rsid w:val="00461491"/>
    <w:rsid w:val="004A543E"/>
    <w:rsid w:val="004D4DF2"/>
    <w:rsid w:val="004F6432"/>
    <w:rsid w:val="00542BF8"/>
    <w:rsid w:val="005F037B"/>
    <w:rsid w:val="0064032D"/>
    <w:rsid w:val="006500F9"/>
    <w:rsid w:val="0065108E"/>
    <w:rsid w:val="00731505"/>
    <w:rsid w:val="007A38D0"/>
    <w:rsid w:val="007D0049"/>
    <w:rsid w:val="00812F79"/>
    <w:rsid w:val="0081597E"/>
    <w:rsid w:val="00882BDC"/>
    <w:rsid w:val="008932D9"/>
    <w:rsid w:val="008C461C"/>
    <w:rsid w:val="0091223B"/>
    <w:rsid w:val="00937003"/>
    <w:rsid w:val="009C3F01"/>
    <w:rsid w:val="00A015CB"/>
    <w:rsid w:val="00B411B9"/>
    <w:rsid w:val="00B62701"/>
    <w:rsid w:val="00B8180E"/>
    <w:rsid w:val="00BA1ABA"/>
    <w:rsid w:val="00BA350B"/>
    <w:rsid w:val="00BA3947"/>
    <w:rsid w:val="00C50CF9"/>
    <w:rsid w:val="00CC115D"/>
    <w:rsid w:val="00D57EDB"/>
    <w:rsid w:val="00D82741"/>
    <w:rsid w:val="00E27DC1"/>
    <w:rsid w:val="00E73489"/>
    <w:rsid w:val="00F434E1"/>
    <w:rsid w:val="00F73784"/>
    <w:rsid w:val="00F96112"/>
    <w:rsid w:val="00FF404B"/>
    <w:rsid w:val="01630576"/>
    <w:rsid w:val="01AF713A"/>
    <w:rsid w:val="01C24D3B"/>
    <w:rsid w:val="02043229"/>
    <w:rsid w:val="020536D6"/>
    <w:rsid w:val="02571D68"/>
    <w:rsid w:val="030246F9"/>
    <w:rsid w:val="03A40A82"/>
    <w:rsid w:val="04567992"/>
    <w:rsid w:val="047739ED"/>
    <w:rsid w:val="04C74CBA"/>
    <w:rsid w:val="052F2A11"/>
    <w:rsid w:val="05AC0563"/>
    <w:rsid w:val="05B44223"/>
    <w:rsid w:val="06B46C75"/>
    <w:rsid w:val="06B62CBE"/>
    <w:rsid w:val="07B923B3"/>
    <w:rsid w:val="082B6EC5"/>
    <w:rsid w:val="08552632"/>
    <w:rsid w:val="08993B30"/>
    <w:rsid w:val="08D248F2"/>
    <w:rsid w:val="09631F69"/>
    <w:rsid w:val="09873D82"/>
    <w:rsid w:val="0ACB00E2"/>
    <w:rsid w:val="0AD2337A"/>
    <w:rsid w:val="0B386C3F"/>
    <w:rsid w:val="0BA774E6"/>
    <w:rsid w:val="0D363A8B"/>
    <w:rsid w:val="0E2E263C"/>
    <w:rsid w:val="0E3855C5"/>
    <w:rsid w:val="0E4B7D50"/>
    <w:rsid w:val="0E6D703B"/>
    <w:rsid w:val="0E8152EC"/>
    <w:rsid w:val="0EF536FA"/>
    <w:rsid w:val="0F295795"/>
    <w:rsid w:val="10DC098A"/>
    <w:rsid w:val="1103665B"/>
    <w:rsid w:val="112C618C"/>
    <w:rsid w:val="11F708B7"/>
    <w:rsid w:val="13632162"/>
    <w:rsid w:val="1379685D"/>
    <w:rsid w:val="13AD5098"/>
    <w:rsid w:val="13B11A61"/>
    <w:rsid w:val="14A43088"/>
    <w:rsid w:val="14CB5E5B"/>
    <w:rsid w:val="14D35C8D"/>
    <w:rsid w:val="16681685"/>
    <w:rsid w:val="18FB290C"/>
    <w:rsid w:val="198D1048"/>
    <w:rsid w:val="19FF2353"/>
    <w:rsid w:val="1A15346B"/>
    <w:rsid w:val="1AAF14E7"/>
    <w:rsid w:val="1AB40916"/>
    <w:rsid w:val="1B387334"/>
    <w:rsid w:val="1B6575C2"/>
    <w:rsid w:val="1BD659A8"/>
    <w:rsid w:val="1BDA1DB6"/>
    <w:rsid w:val="1C176088"/>
    <w:rsid w:val="1CDC69B2"/>
    <w:rsid w:val="1DAD35FF"/>
    <w:rsid w:val="1DE017CE"/>
    <w:rsid w:val="1E1936ED"/>
    <w:rsid w:val="1E650DFA"/>
    <w:rsid w:val="1E747D37"/>
    <w:rsid w:val="1EE074D7"/>
    <w:rsid w:val="1F820035"/>
    <w:rsid w:val="1FFF40CE"/>
    <w:rsid w:val="204A2D09"/>
    <w:rsid w:val="21067085"/>
    <w:rsid w:val="23007343"/>
    <w:rsid w:val="23563407"/>
    <w:rsid w:val="23C51869"/>
    <w:rsid w:val="241B1E4E"/>
    <w:rsid w:val="243B3390"/>
    <w:rsid w:val="243E5F77"/>
    <w:rsid w:val="24867025"/>
    <w:rsid w:val="258B55EA"/>
    <w:rsid w:val="25CA5BCF"/>
    <w:rsid w:val="263B1744"/>
    <w:rsid w:val="26FD39AA"/>
    <w:rsid w:val="27317890"/>
    <w:rsid w:val="2758306A"/>
    <w:rsid w:val="277C42CD"/>
    <w:rsid w:val="27C529E6"/>
    <w:rsid w:val="287F072A"/>
    <w:rsid w:val="28B90A0C"/>
    <w:rsid w:val="28BC0DDB"/>
    <w:rsid w:val="28BE40A6"/>
    <w:rsid w:val="295B1778"/>
    <w:rsid w:val="2A0B682C"/>
    <w:rsid w:val="2A333FBE"/>
    <w:rsid w:val="2BC03A7D"/>
    <w:rsid w:val="2BF71352"/>
    <w:rsid w:val="2C330D9C"/>
    <w:rsid w:val="2C4430FC"/>
    <w:rsid w:val="2C734956"/>
    <w:rsid w:val="2D826A08"/>
    <w:rsid w:val="2DBF4C72"/>
    <w:rsid w:val="2E046052"/>
    <w:rsid w:val="2E3D4AAA"/>
    <w:rsid w:val="2E7974B6"/>
    <w:rsid w:val="2EB50C3B"/>
    <w:rsid w:val="301108F5"/>
    <w:rsid w:val="30337E7D"/>
    <w:rsid w:val="30A347A4"/>
    <w:rsid w:val="30DC4A76"/>
    <w:rsid w:val="312944C2"/>
    <w:rsid w:val="312F7677"/>
    <w:rsid w:val="317841DA"/>
    <w:rsid w:val="32610754"/>
    <w:rsid w:val="340A25B4"/>
    <w:rsid w:val="3481135C"/>
    <w:rsid w:val="349E552C"/>
    <w:rsid w:val="35783811"/>
    <w:rsid w:val="3591102E"/>
    <w:rsid w:val="35A00A5D"/>
    <w:rsid w:val="361123A6"/>
    <w:rsid w:val="366408B2"/>
    <w:rsid w:val="36892EB7"/>
    <w:rsid w:val="36C23CB7"/>
    <w:rsid w:val="36EF34FF"/>
    <w:rsid w:val="37F20B31"/>
    <w:rsid w:val="383D745B"/>
    <w:rsid w:val="39997D0D"/>
    <w:rsid w:val="3A470C7D"/>
    <w:rsid w:val="3A941D4F"/>
    <w:rsid w:val="3B18156D"/>
    <w:rsid w:val="3B305937"/>
    <w:rsid w:val="3B4E14F1"/>
    <w:rsid w:val="3BA24CDD"/>
    <w:rsid w:val="3BD8167B"/>
    <w:rsid w:val="3C506F6F"/>
    <w:rsid w:val="3C973D3E"/>
    <w:rsid w:val="3CA42622"/>
    <w:rsid w:val="3D295C48"/>
    <w:rsid w:val="3D8C514C"/>
    <w:rsid w:val="3DA37635"/>
    <w:rsid w:val="3DF745DF"/>
    <w:rsid w:val="3E0B2E75"/>
    <w:rsid w:val="3E91319D"/>
    <w:rsid w:val="3E967213"/>
    <w:rsid w:val="3F2F5162"/>
    <w:rsid w:val="3FA790B8"/>
    <w:rsid w:val="3FC578C5"/>
    <w:rsid w:val="40297E1C"/>
    <w:rsid w:val="40AF7E49"/>
    <w:rsid w:val="42B77281"/>
    <w:rsid w:val="43024B32"/>
    <w:rsid w:val="4373109F"/>
    <w:rsid w:val="444E286C"/>
    <w:rsid w:val="44F765E2"/>
    <w:rsid w:val="45B642CB"/>
    <w:rsid w:val="464655DA"/>
    <w:rsid w:val="46E31188"/>
    <w:rsid w:val="475254FC"/>
    <w:rsid w:val="4804324A"/>
    <w:rsid w:val="481A2065"/>
    <w:rsid w:val="495A7611"/>
    <w:rsid w:val="49CF6527"/>
    <w:rsid w:val="4A7C4018"/>
    <w:rsid w:val="4ADB1A2D"/>
    <w:rsid w:val="4B4219DA"/>
    <w:rsid w:val="4BD10251"/>
    <w:rsid w:val="4C1C1D0C"/>
    <w:rsid w:val="4C470A7D"/>
    <w:rsid w:val="4C8C4E1F"/>
    <w:rsid w:val="4CE30CC8"/>
    <w:rsid w:val="4D037529"/>
    <w:rsid w:val="4D435CF0"/>
    <w:rsid w:val="4DF94F37"/>
    <w:rsid w:val="4F7355D4"/>
    <w:rsid w:val="4FC3106B"/>
    <w:rsid w:val="50111CF6"/>
    <w:rsid w:val="503F0BFC"/>
    <w:rsid w:val="50690C28"/>
    <w:rsid w:val="50AC7ABF"/>
    <w:rsid w:val="50B1780B"/>
    <w:rsid w:val="510E0C54"/>
    <w:rsid w:val="51677D6D"/>
    <w:rsid w:val="517608C4"/>
    <w:rsid w:val="51AF691A"/>
    <w:rsid w:val="5201039E"/>
    <w:rsid w:val="523D713C"/>
    <w:rsid w:val="52572AD6"/>
    <w:rsid w:val="52CC10F0"/>
    <w:rsid w:val="53621B87"/>
    <w:rsid w:val="53F22BC3"/>
    <w:rsid w:val="545C0D8C"/>
    <w:rsid w:val="549E17BA"/>
    <w:rsid w:val="555009BB"/>
    <w:rsid w:val="55DF1B7D"/>
    <w:rsid w:val="55FF07D1"/>
    <w:rsid w:val="560E3510"/>
    <w:rsid w:val="565B4545"/>
    <w:rsid w:val="56681D26"/>
    <w:rsid w:val="576D7676"/>
    <w:rsid w:val="58107D4E"/>
    <w:rsid w:val="58DE7F03"/>
    <w:rsid w:val="58E06996"/>
    <w:rsid w:val="59907B9F"/>
    <w:rsid w:val="5994709A"/>
    <w:rsid w:val="59BA5A1A"/>
    <w:rsid w:val="5A6D7459"/>
    <w:rsid w:val="5A6F5F9B"/>
    <w:rsid w:val="5AD7D2C0"/>
    <w:rsid w:val="5BFF7CB5"/>
    <w:rsid w:val="5BFFC512"/>
    <w:rsid w:val="5C4847D6"/>
    <w:rsid w:val="5DB95D39"/>
    <w:rsid w:val="5E1647DD"/>
    <w:rsid w:val="5E9C5C57"/>
    <w:rsid w:val="5EC12E79"/>
    <w:rsid w:val="5F2718F3"/>
    <w:rsid w:val="5F737CCB"/>
    <w:rsid w:val="5FAE2C87"/>
    <w:rsid w:val="5FEB57C7"/>
    <w:rsid w:val="5FFE13E5"/>
    <w:rsid w:val="605F5191"/>
    <w:rsid w:val="607608E4"/>
    <w:rsid w:val="60A56FD8"/>
    <w:rsid w:val="61EF1C5E"/>
    <w:rsid w:val="62755E41"/>
    <w:rsid w:val="62B573B5"/>
    <w:rsid w:val="62BC2235"/>
    <w:rsid w:val="638F1F2E"/>
    <w:rsid w:val="643106F0"/>
    <w:rsid w:val="649015CE"/>
    <w:rsid w:val="64A66CB5"/>
    <w:rsid w:val="64FFEAEF"/>
    <w:rsid w:val="65053D6A"/>
    <w:rsid w:val="654F6F34"/>
    <w:rsid w:val="657F6644"/>
    <w:rsid w:val="6598698C"/>
    <w:rsid w:val="65E120E1"/>
    <w:rsid w:val="660C5641"/>
    <w:rsid w:val="66B74ABC"/>
    <w:rsid w:val="66C62626"/>
    <w:rsid w:val="67B63DAD"/>
    <w:rsid w:val="67C86B67"/>
    <w:rsid w:val="688B35F8"/>
    <w:rsid w:val="69043E4E"/>
    <w:rsid w:val="6A002C74"/>
    <w:rsid w:val="6AB778B5"/>
    <w:rsid w:val="6AF26C29"/>
    <w:rsid w:val="6AFB65C0"/>
    <w:rsid w:val="6B366F35"/>
    <w:rsid w:val="6BB82506"/>
    <w:rsid w:val="6C1D7439"/>
    <w:rsid w:val="6CB734CA"/>
    <w:rsid w:val="6ED8429D"/>
    <w:rsid w:val="6EE42237"/>
    <w:rsid w:val="6F19165C"/>
    <w:rsid w:val="6F836A8E"/>
    <w:rsid w:val="700759C6"/>
    <w:rsid w:val="70846973"/>
    <w:rsid w:val="724F754B"/>
    <w:rsid w:val="72DFC3E9"/>
    <w:rsid w:val="736F1559"/>
    <w:rsid w:val="74036888"/>
    <w:rsid w:val="74E2421E"/>
    <w:rsid w:val="757F47F2"/>
    <w:rsid w:val="75D91F25"/>
    <w:rsid w:val="760D351F"/>
    <w:rsid w:val="76975916"/>
    <w:rsid w:val="771A36A5"/>
    <w:rsid w:val="774B1AB0"/>
    <w:rsid w:val="77984477"/>
    <w:rsid w:val="783B0018"/>
    <w:rsid w:val="78EC7299"/>
    <w:rsid w:val="79FE105C"/>
    <w:rsid w:val="7A450C3B"/>
    <w:rsid w:val="7A930112"/>
    <w:rsid w:val="7B1A390D"/>
    <w:rsid w:val="7B5F7C36"/>
    <w:rsid w:val="7BB0411C"/>
    <w:rsid w:val="7BF02C26"/>
    <w:rsid w:val="7BF41BA7"/>
    <w:rsid w:val="7C0B51F9"/>
    <w:rsid w:val="7DF9D403"/>
    <w:rsid w:val="7E497050"/>
    <w:rsid w:val="7E75009E"/>
    <w:rsid w:val="7E971BA3"/>
    <w:rsid w:val="7FD12278"/>
    <w:rsid w:val="9B9FC057"/>
    <w:rsid w:val="AFEB9FF9"/>
    <w:rsid w:val="BEDBEA56"/>
    <w:rsid w:val="CEAD2358"/>
    <w:rsid w:val="EF67F75C"/>
    <w:rsid w:val="F1EF1DF5"/>
    <w:rsid w:val="F7EDECBF"/>
    <w:rsid w:val="FBDF4869"/>
    <w:rsid w:val="FFB4AC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6"/>
    <w:qFormat/>
    <w:uiPriority w:val="0"/>
    <w:pPr>
      <w:keepNext/>
      <w:keepLines/>
      <w:spacing w:before="340" w:after="330" w:line="240" w:lineRule="auto"/>
      <w:jc w:val="center"/>
      <w:outlineLvl w:val="0"/>
    </w:pPr>
    <w:rPr>
      <w:rFonts w:ascii="Times New Roman" w:hAnsi="Times New Roman" w:eastAsia="宋体"/>
      <w:b/>
      <w:bCs/>
      <w:kern w:val="44"/>
      <w:sz w:val="44"/>
      <w:szCs w:val="44"/>
    </w:rPr>
  </w:style>
  <w:style w:type="paragraph" w:styleId="6">
    <w:name w:val="heading 2"/>
    <w:basedOn w:val="1"/>
    <w:next w:val="7"/>
    <w:link w:val="34"/>
    <w:qFormat/>
    <w:uiPriority w:val="0"/>
    <w:pPr>
      <w:keepNext/>
      <w:keepLines/>
      <w:spacing w:before="260" w:after="260" w:line="416" w:lineRule="auto"/>
      <w:jc w:val="center"/>
      <w:outlineLvl w:val="1"/>
    </w:pPr>
    <w:rPr>
      <w:rFonts w:ascii="Cambria" w:hAnsi="Cambria" w:eastAsia="宋体"/>
      <w:b/>
      <w:bCs/>
      <w:sz w:val="32"/>
      <w:szCs w:val="32"/>
    </w:rPr>
  </w:style>
  <w:style w:type="paragraph" w:styleId="8">
    <w:name w:val="heading 3"/>
    <w:basedOn w:val="1"/>
    <w:next w:val="1"/>
    <w:link w:val="33"/>
    <w:qFormat/>
    <w:uiPriority w:val="9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line="360" w:lineRule="exact"/>
    </w:pPr>
    <w:rPr>
      <w:sz w:val="24"/>
      <w:szCs w:val="24"/>
    </w:rPr>
  </w:style>
  <w:style w:type="paragraph" w:styleId="3">
    <w:name w:val="Body Text First Indent"/>
    <w:basedOn w:val="2"/>
    <w:next w:val="4"/>
    <w:qFormat/>
    <w:uiPriority w:val="99"/>
    <w:pPr>
      <w:ind w:firstLine="420"/>
    </w:pPr>
    <w:rPr>
      <w:rFonts w:ascii="Times New Roman"/>
      <w:sz w:val="21"/>
    </w:rPr>
  </w:style>
  <w:style w:type="paragraph" w:styleId="4">
    <w:name w:val="toc 6"/>
    <w:basedOn w:val="1"/>
    <w:next w:val="1"/>
    <w:qFormat/>
    <w:uiPriority w:val="39"/>
    <w:pPr>
      <w:widowControl/>
      <w:ind w:left="1000"/>
      <w:jc w:val="left"/>
    </w:pPr>
    <w:rPr>
      <w:kern w:val="0"/>
      <w:sz w:val="18"/>
      <w:szCs w:val="20"/>
    </w:rPr>
  </w:style>
  <w:style w:type="paragraph" w:styleId="7">
    <w:name w:val="Body Text First Indent 2"/>
    <w:basedOn w:val="2"/>
    <w:qFormat/>
    <w:uiPriority w:val="0"/>
    <w:pPr>
      <w:widowControl w:val="0"/>
      <w:ind w:firstLine="420" w:firstLineChars="200"/>
      <w:jc w:val="both"/>
    </w:pPr>
    <w:rPr>
      <w:rFonts w:ascii="仿宋_GB2312" w:hAnsi="宋体" w:eastAsia="仿宋_GB2312"/>
      <w:b/>
      <w:bCs/>
      <w:color w:val="000000"/>
      <w:szCs w:val="21"/>
    </w:rPr>
  </w:style>
  <w:style w:type="paragraph" w:styleId="10">
    <w:name w:val="List Number"/>
    <w:basedOn w:val="1"/>
    <w:qFormat/>
    <w:uiPriority w:val="0"/>
    <w:pPr>
      <w:numPr>
        <w:ilvl w:val="0"/>
        <w:numId w:val="1"/>
      </w:numPr>
    </w:pPr>
  </w:style>
  <w:style w:type="paragraph" w:styleId="11">
    <w:name w:val="Normal Indent"/>
    <w:basedOn w:val="1"/>
    <w:qFormat/>
    <w:uiPriority w:val="99"/>
    <w:pPr>
      <w:ind w:firstLine="4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14">
    <w:name w:val="Body Text Indent"/>
    <w:basedOn w:val="1"/>
    <w:next w:val="1"/>
    <w:qFormat/>
    <w:uiPriority w:val="99"/>
    <w:pPr>
      <w:spacing w:after="120"/>
      <w:ind w:left="420" w:leftChars="200"/>
    </w:pPr>
  </w:style>
  <w:style w:type="paragraph" w:styleId="15">
    <w:name w:val="Plain Text"/>
    <w:basedOn w:val="1"/>
    <w:next w:val="16"/>
    <w:qFormat/>
    <w:uiPriority w:val="99"/>
    <w:rPr>
      <w:rFonts w:ascii="宋体" w:hAnsi="Courier New" w:cs="宋体"/>
    </w:rPr>
  </w:style>
  <w:style w:type="paragraph" w:styleId="16">
    <w:name w:val="toc 2"/>
    <w:basedOn w:val="1"/>
    <w:next w:val="1"/>
    <w:qFormat/>
    <w:uiPriority w:val="39"/>
    <w:pPr>
      <w:ind w:left="420" w:leftChars="200"/>
    </w:pPr>
    <w:rPr>
      <w:szCs w:val="20"/>
    </w:rPr>
  </w:style>
  <w:style w:type="paragraph" w:styleId="17">
    <w:name w:val="Date"/>
    <w:basedOn w:val="1"/>
    <w:next w:val="1"/>
    <w:qFormat/>
    <w:uiPriority w:val="99"/>
    <w:pPr>
      <w:ind w:left="2500" w:leftChars="2500"/>
    </w:pPr>
    <w:rPr>
      <w:rFonts w:ascii="Calibri" w:hAnsi="Calibri" w:eastAsia="楷体_GB2312" w:cs="Calibri"/>
      <w:sz w:val="32"/>
      <w:szCs w:val="32"/>
    </w:rPr>
  </w:style>
  <w:style w:type="paragraph" w:styleId="18">
    <w:name w:val="Body Text Indent 2"/>
    <w:basedOn w:val="1"/>
    <w:qFormat/>
    <w:uiPriority w:val="0"/>
    <w:pPr>
      <w:spacing w:line="360" w:lineRule="auto"/>
      <w:ind w:firstLine="420" w:firstLineChars="200"/>
    </w:pPr>
    <w:rPr>
      <w:color w:val="FF00FF"/>
    </w:rPr>
  </w:style>
  <w:style w:type="paragraph" w:styleId="19">
    <w:name w:val="Balloon Text"/>
    <w:basedOn w:val="1"/>
    <w:link w:val="38"/>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List"/>
    <w:basedOn w:val="1"/>
    <w:qFormat/>
    <w:uiPriority w:val="0"/>
    <w:pPr>
      <w:ind w:left="200" w:hanging="200" w:hangingChars="200"/>
    </w:pPr>
    <w:rPr>
      <w:sz w:val="28"/>
    </w:rPr>
  </w:style>
  <w:style w:type="paragraph" w:styleId="23">
    <w:name w:val="footnote text"/>
    <w:basedOn w:val="1"/>
    <w:unhideWhenUsed/>
    <w:qFormat/>
    <w:uiPriority w:val="99"/>
    <w:pPr>
      <w:snapToGrid w:val="0"/>
      <w:jc w:val="left"/>
    </w:pPr>
    <w:rPr>
      <w:sz w:val="18"/>
    </w:rPr>
  </w:style>
  <w:style w:type="paragraph" w:styleId="24">
    <w:name w:val="Body Text Indent 3"/>
    <w:basedOn w:val="1"/>
    <w:qFormat/>
    <w:uiPriority w:val="0"/>
    <w:pPr>
      <w:keepNext w:val="0"/>
      <w:keepLines w:val="0"/>
      <w:widowControl w:val="0"/>
      <w:suppressLineNumbers w:val="0"/>
      <w:autoSpaceDE w:val="0"/>
      <w:autoSpaceDN w:val="0"/>
      <w:spacing w:before="0" w:beforeAutospacing="0" w:after="0" w:afterAutospacing="0" w:line="400" w:lineRule="atLeast"/>
      <w:ind w:left="0" w:right="0" w:firstLine="443" w:firstLineChars="200"/>
      <w:jc w:val="both"/>
    </w:pPr>
    <w:rPr>
      <w:rFonts w:hint="default" w:ascii="Times New Roman" w:hAnsi="Times New Roman" w:eastAsia="黑体" w:cs="Times New Roman"/>
      <w:color w:val="000000"/>
      <w:kern w:val="2"/>
      <w:sz w:val="24"/>
      <w:szCs w:val="24"/>
      <w:lang w:val="en-US" w:eastAsia="zh-CN" w:bidi="ar"/>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otnote reference"/>
    <w:basedOn w:val="29"/>
    <w:unhideWhenUsed/>
    <w:qFormat/>
    <w:uiPriority w:val="99"/>
    <w:rPr>
      <w:vertAlign w:val="superscript"/>
    </w:rPr>
  </w:style>
  <w:style w:type="character" w:customStyle="1" w:styleId="33">
    <w:name w:val="标题 3 字符"/>
    <w:link w:val="8"/>
    <w:qFormat/>
    <w:uiPriority w:val="99"/>
    <w:rPr>
      <w:b/>
      <w:bCs/>
      <w:sz w:val="32"/>
      <w:szCs w:val="32"/>
    </w:rPr>
  </w:style>
  <w:style w:type="character" w:customStyle="1" w:styleId="34">
    <w:name w:val="标题 2 字符"/>
    <w:link w:val="6"/>
    <w:qFormat/>
    <w:uiPriority w:val="0"/>
    <w:rPr>
      <w:rFonts w:ascii="Cambria" w:hAnsi="Cambria" w:eastAsia="宋体"/>
      <w:b/>
      <w:bCs/>
      <w:sz w:val="32"/>
      <w:szCs w:val="32"/>
    </w:rPr>
  </w:style>
  <w:style w:type="character" w:customStyle="1" w:styleId="35">
    <w:name w:val="标题 1 Char Char"/>
    <w:qFormat/>
    <w:uiPriority w:val="0"/>
    <w:rPr>
      <w:rFonts w:hint="eastAsia" w:ascii="宋体" w:hAnsi="宋体" w:eastAsia="宋体" w:cs="宋体"/>
      <w:b/>
      <w:spacing w:val="-2"/>
      <w:sz w:val="24"/>
      <w:lang w:val="en-US" w:eastAsia="zh-CN" w:bidi="ar"/>
    </w:rPr>
  </w:style>
  <w:style w:type="character" w:customStyle="1" w:styleId="36">
    <w:name w:val="标题 1 字符"/>
    <w:link w:val="5"/>
    <w:qFormat/>
    <w:uiPriority w:val="0"/>
    <w:rPr>
      <w:rFonts w:ascii="Times New Roman" w:hAnsi="Times New Roman" w:eastAsia="宋体"/>
      <w:b/>
      <w:bCs/>
      <w:kern w:val="44"/>
      <w:sz w:val="44"/>
      <w:szCs w:val="44"/>
    </w:rPr>
  </w:style>
  <w:style w:type="character" w:customStyle="1" w:styleId="37">
    <w:name w:val="font21"/>
    <w:qFormat/>
    <w:uiPriority w:val="0"/>
    <w:rPr>
      <w:rFonts w:hint="eastAsia" w:ascii="宋体" w:hAnsi="宋体" w:eastAsia="宋体" w:cs="宋体"/>
      <w:color w:val="000000"/>
      <w:sz w:val="22"/>
      <w:szCs w:val="22"/>
      <w:u w:val="none"/>
    </w:rPr>
  </w:style>
  <w:style w:type="character" w:customStyle="1" w:styleId="38">
    <w:name w:val="批注框文本 字符"/>
    <w:link w:val="19"/>
    <w:qFormat/>
    <w:uiPriority w:val="0"/>
    <w:rPr>
      <w:kern w:val="2"/>
      <w:sz w:val="18"/>
      <w:szCs w:val="18"/>
    </w:rPr>
  </w:style>
  <w:style w:type="character" w:customStyle="1" w:styleId="39">
    <w:name w:val="font01"/>
    <w:qFormat/>
    <w:uiPriority w:val="0"/>
    <w:rPr>
      <w:rFonts w:hint="eastAsia" w:ascii="宋体" w:hAnsi="宋体" w:eastAsia="宋体" w:cs="宋体"/>
      <w:color w:val="000000"/>
      <w:sz w:val="22"/>
      <w:szCs w:val="22"/>
      <w:u w:val="none"/>
    </w:rPr>
  </w:style>
  <w:style w:type="paragraph" w:customStyle="1" w:styleId="4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41">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WPSOffice手动目录 2"/>
    <w:qFormat/>
    <w:uiPriority w:val="0"/>
    <w:pPr>
      <w:ind w:leftChars="200"/>
    </w:pPr>
    <w:rPr>
      <w:rFonts w:ascii="Times New Roman" w:hAnsi="Times New Roman" w:eastAsia="宋体" w:cs="Times New Roman"/>
      <w:lang w:val="en-US" w:eastAsia="zh-CN" w:bidi="ar-SA"/>
    </w:rPr>
  </w:style>
  <w:style w:type="paragraph" w:customStyle="1" w:styleId="44">
    <w:name w:val="_正文"/>
    <w:basedOn w:val="1"/>
    <w:qFormat/>
    <w:uiPriority w:val="0"/>
    <w:pPr>
      <w:ind w:firstLine="200" w:firstLineChars="200"/>
    </w:pPr>
    <w:rPr>
      <w:rFonts w:ascii="Times New Roman" w:hAnsi="Times New Roman" w:eastAsia="宋体" w:cs="Times New Roman"/>
      <w:kern w:val="0"/>
    </w:rPr>
  </w:style>
  <w:style w:type="paragraph" w:customStyle="1" w:styleId="45">
    <w:name w:val="正文首行缩进1(Crlf+Shift+M)"/>
    <w:qFormat/>
    <w:uiPriority w:val="0"/>
    <w:pPr>
      <w:spacing w:before="120" w:after="120" w:line="360" w:lineRule="auto"/>
      <w:ind w:firstLine="420" w:firstLineChars="200"/>
    </w:pPr>
    <w:rPr>
      <w:rFonts w:ascii="Times New Roman" w:hAnsi="Times New Roman" w:eastAsia="华文细黑" w:cs="宋体"/>
      <w:lang w:val="en-US" w:eastAsia="zh-CN" w:bidi="ar-SA"/>
    </w:rPr>
  </w:style>
  <w:style w:type="paragraph" w:customStyle="1" w:styleId="4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4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51">
    <w:name w:val="List Paragraph"/>
    <w:basedOn w:val="1"/>
    <w:qFormat/>
    <w:uiPriority w:val="99"/>
    <w:pPr>
      <w:ind w:firstLine="420" w:firstLineChars="200"/>
    </w:pPr>
    <w:rPr>
      <w:rFonts w:ascii="Calibri" w:hAnsi="Calibri" w:cs="Calibri"/>
    </w:rPr>
  </w:style>
  <w:style w:type="paragraph" w:customStyle="1" w:styleId="5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3">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_正文段落"/>
    <w:basedOn w:val="1"/>
    <w:next w:val="1"/>
    <w:qFormat/>
    <w:uiPriority w:val="0"/>
    <w:pPr>
      <w:widowControl/>
      <w:spacing w:beforeLines="15" w:afterLines="30" w:line="360" w:lineRule="auto"/>
      <w:ind w:firstLine="200" w:firstLineChars="200"/>
    </w:pPr>
    <w:rPr>
      <w:rFonts w:ascii="宋体" w:hAnsi="Courier New" w:eastAsia="宋体" w:cs="Times New Roman"/>
      <w:szCs w:val="32"/>
    </w:rPr>
  </w:style>
  <w:style w:type="paragraph" w:customStyle="1" w:styleId="5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Table Paragraph"/>
    <w:basedOn w:val="1"/>
    <w:qFormat/>
    <w:uiPriority w:val="1"/>
    <w:rPr>
      <w:rFonts w:ascii="宋体" w:hAnsi="宋体" w:cs="宋体"/>
      <w:szCs w:val="24"/>
      <w:lang w:val="zh-CN" w:bidi="zh-CN"/>
    </w:rPr>
  </w:style>
  <w:style w:type="paragraph" w:customStyle="1" w:styleId="5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4"/>
      <w:szCs w:val="24"/>
      <w:lang w:val="en-US" w:eastAsia="zh-CN" w:bidi="ar"/>
    </w:rPr>
  </w:style>
  <w:style w:type="paragraph" w:customStyle="1" w:styleId="59">
    <w:name w:val="表格文字"/>
    <w:basedOn w:val="14"/>
    <w:qFormat/>
    <w:uiPriority w:val="0"/>
    <w:pPr>
      <w:spacing w:before="25" w:after="25" w:line="240" w:lineRule="auto"/>
      <w:jc w:val="left"/>
    </w:pPr>
    <w:rPr>
      <w:rFonts w:ascii="Times New Roman" w:hAnsi="Times New Roman" w:eastAsia="宋体" w:cs="Times New Roman"/>
      <w:bCs/>
      <w:spacing w:val="10"/>
      <w:kern w:val="0"/>
      <w:sz w:val="21"/>
    </w:rPr>
  </w:style>
  <w:style w:type="paragraph" w:customStyle="1" w:styleId="60">
    <w:name w:val="[Normal]"/>
    <w:qFormat/>
    <w:uiPriority w:val="0"/>
    <w:rPr>
      <w:rFonts w:ascii="宋体" w:hAnsi="宋体" w:eastAsia="宋体" w:cs="Times New Roman"/>
      <w:sz w:val="24"/>
      <w:szCs w:val="22"/>
      <w:lang w:val="zh-CN" w:eastAsia="zh-CN" w:bidi="ar-SA"/>
    </w:rPr>
  </w:style>
  <w:style w:type="paragraph" w:customStyle="1" w:styleId="61">
    <w:name w:val="NormalIndent"/>
    <w:basedOn w:val="1"/>
    <w:next w:val="1"/>
    <w:qFormat/>
    <w:uiPriority w:val="0"/>
    <w:pPr>
      <w:ind w:firstLine="420"/>
      <w:jc w:val="both"/>
      <w:textAlignment w:val="baseline"/>
    </w:pPr>
    <w:rPr>
      <w:rFonts w:ascii="Times New Roman" w:hAnsi="Times New Roman" w:eastAsia="宋体"/>
      <w:kern w:val="2"/>
      <w:sz w:val="21"/>
      <w:szCs w:val="20"/>
      <w:lang w:val="en-US" w:eastAsia="zh-CN" w:bidi="ar-SA"/>
    </w:rPr>
  </w:style>
  <w:style w:type="paragraph" w:customStyle="1" w:styleId="62">
    <w:name w:val="Body Text First Indent1"/>
    <w:basedOn w:val="2"/>
    <w:qFormat/>
    <w:uiPriority w:val="0"/>
    <w:pPr>
      <w:spacing w:before="0" w:after="120"/>
      <w:ind w:left="0" w:firstLine="420" w:firstLineChars="100"/>
    </w:pPr>
    <w:rPr>
      <w:rFonts w:ascii="Cambria" w:hAnsi="Cambria"/>
      <w:kern w:val="2"/>
      <w:szCs w:val="22"/>
      <w:lang w:val="zh-CN"/>
    </w:rPr>
  </w:style>
  <w:style w:type="paragraph" w:customStyle="1" w:styleId="63">
    <w:name w:val="样式1"/>
    <w:basedOn w:val="1"/>
    <w:qFormat/>
    <w:uiPriority w:val="0"/>
    <w:pPr>
      <w:spacing w:line="360" w:lineRule="exact"/>
      <w:ind w:firstLine="200" w:firstLineChars="200"/>
    </w:pPr>
    <w:rPr>
      <w:rFonts w:ascii="Arial" w:hAnsi="Arial"/>
    </w:rPr>
  </w:style>
  <w:style w:type="paragraph" w:customStyle="1" w:styleId="64">
    <w:name w:val="正文_14"/>
    <w:qFormat/>
    <w:uiPriority w:val="99"/>
    <w:rPr>
      <w:rFonts w:ascii="Times New Roman" w:hAnsi="Times New Roman" w:eastAsia="宋体" w:cs="Times New Roman"/>
      <w:sz w:val="21"/>
      <w:szCs w:val="21"/>
      <w:lang w:val="en-US" w:eastAsia="zh-CN" w:bidi="ar-SA"/>
    </w:rPr>
  </w:style>
  <w:style w:type="paragraph" w:customStyle="1" w:styleId="65">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xl31"/>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67">
    <w:name w:val="_Style 31"/>
    <w:basedOn w:val="1"/>
    <w:next w:val="5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13378</Words>
  <Characters>13978</Characters>
  <Lines>1</Lines>
  <Paragraphs>1</Paragraphs>
  <TotalTime>0</TotalTime>
  <ScaleCrop>false</ScaleCrop>
  <LinksUpToDate>false</LinksUpToDate>
  <CharactersWithSpaces>14088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2023-05-25T10:35:00Z</dcterms:created>
  <dc:creator>弄白白白</dc:creator>
  <cp:lastModifiedBy>jin</cp:lastModifiedBy>
  <cp:lastPrinted>2021-02-28T12:11:00Z</cp:lastPrinted>
  <dcterms:modified xsi:type="dcterms:W3CDTF">2024-12-06T05:15:07Z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0AC3B1AB56E9EAA9E8592D67D383AE9C_43</vt:lpwstr>
  </property>
</Properties>
</file>