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rPr>
      </w:pPr>
    </w:p>
    <w:p>
      <w:pPr>
        <w:jc w:val="center"/>
        <w:rPr>
          <w:rFonts w:ascii="宋体" w:hAnsi="宋体" w:cs="宋体"/>
          <w:b/>
        </w:rPr>
      </w:pPr>
    </w:p>
    <w:p>
      <w:pPr>
        <w:adjustRightInd/>
        <w:ind w:firstLine="481" w:firstLineChars="109"/>
        <w:rPr>
          <w:rFonts w:hint="eastAsia" w:ascii="宋体" w:hAnsi="宋体" w:cs="宋体"/>
          <w:b/>
          <w:sz w:val="44"/>
          <w:szCs w:val="44"/>
        </w:rPr>
      </w:pPr>
    </w:p>
    <w:p>
      <w:pPr>
        <w:adjustRightInd/>
        <w:ind w:firstLine="964"/>
        <w:rPr>
          <w:rFonts w:ascii="宋体" w:hAnsi="宋体" w:cs="宋体"/>
          <w:b/>
          <w:sz w:val="48"/>
          <w:szCs w:val="48"/>
        </w:rPr>
      </w:pPr>
    </w:p>
    <w:p>
      <w:pPr>
        <w:adjustRightInd/>
        <w:ind w:firstLine="0" w:firstLineChars="0"/>
        <w:jc w:val="center"/>
        <w:rPr>
          <w:rFonts w:ascii="宋体" w:hAnsi="宋体" w:cs="宋体"/>
          <w:b/>
          <w:bCs/>
          <w:sz w:val="48"/>
          <w:szCs w:val="48"/>
        </w:rPr>
      </w:pPr>
      <w:r>
        <w:rPr>
          <w:rFonts w:hint="eastAsia" w:ascii="宋体" w:hAnsi="宋体" w:cs="宋体"/>
          <w:b/>
          <w:bCs/>
          <w:sz w:val="48"/>
          <w:szCs w:val="48"/>
        </w:rPr>
        <w:t>机房动力环境维保服务项目</w:t>
      </w:r>
    </w:p>
    <w:p>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pPr>
        <w:ind w:firstLine="0" w:firstLineChars="0"/>
        <w:jc w:val="center"/>
        <w:rPr>
          <w:rFonts w:ascii="宋体" w:hAnsi="宋体" w:cs="宋体"/>
          <w:b/>
          <w:sz w:val="30"/>
          <w:szCs w:val="30"/>
        </w:rPr>
      </w:pPr>
      <w:r>
        <w:rPr>
          <w:rFonts w:hint="eastAsia" w:ascii="宋体" w:hAnsi="宋体" w:cs="宋体"/>
          <w:b/>
          <w:sz w:val="30"/>
          <w:szCs w:val="30"/>
        </w:rPr>
        <w:t>编号:ZJXL-FCZX-202410</w:t>
      </w:r>
    </w:p>
    <w:p>
      <w:pPr>
        <w:widowControl/>
        <w:ind w:firstLine="0" w:firstLineChars="0"/>
        <w:jc w:val="center"/>
        <w:rPr>
          <w:rFonts w:hAnsi="宋体" w:cs="宋体"/>
          <w:b/>
          <w:sz w:val="30"/>
          <w:szCs w:val="30"/>
          <w:lang w:bidi="ar"/>
        </w:rPr>
      </w:pPr>
      <w:r>
        <w:rPr>
          <w:rFonts w:hint="eastAsia" w:hAnsi="宋体" w:cs="宋体"/>
          <w:b/>
          <w:sz w:val="30"/>
          <w:szCs w:val="30"/>
        </w:rPr>
        <w:t>确认书号：</w:t>
      </w:r>
      <w:r>
        <w:rPr>
          <w:rFonts w:hint="eastAsia" w:hAnsi="宋体" w:cs="宋体"/>
          <w:b/>
          <w:sz w:val="30"/>
          <w:szCs w:val="30"/>
          <w:lang w:bidi="ar"/>
        </w:rPr>
        <w:t>浙财采确[2024]31153号、</w:t>
      </w:r>
    </w:p>
    <w:p>
      <w:pPr>
        <w:widowControl/>
        <w:ind w:firstLine="0" w:firstLineChars="0"/>
        <w:jc w:val="center"/>
        <w:rPr>
          <w:rFonts w:hAnsi="宋体" w:cs="宋体"/>
          <w:b/>
          <w:sz w:val="30"/>
          <w:szCs w:val="30"/>
        </w:rPr>
      </w:pPr>
      <w:r>
        <w:rPr>
          <w:rFonts w:hint="eastAsia" w:hAnsi="宋体" w:cs="宋体"/>
          <w:b/>
          <w:sz w:val="30"/>
          <w:szCs w:val="30"/>
          <w:lang w:bidi="ar"/>
        </w:rPr>
        <w:t xml:space="preserve">          浙财采确临[2024]34761号</w:t>
      </w:r>
    </w:p>
    <w:p>
      <w:pPr>
        <w:widowControl/>
        <w:ind w:firstLine="480"/>
        <w:jc w:val="left"/>
      </w:pPr>
    </w:p>
    <w:p>
      <w:pPr>
        <w:widowControl/>
        <w:ind w:firstLine="480"/>
        <w:jc w:val="left"/>
      </w:pPr>
    </w:p>
    <w:p>
      <w:pPr>
        <w:pStyle w:val="24"/>
        <w:ind w:firstLine="0" w:firstLineChars="0"/>
        <w:jc w:val="center"/>
        <w:rPr>
          <w:rFonts w:eastAsia="微软雅黑"/>
          <w:b/>
          <w:color w:val="0000FF"/>
          <w:lang w:val="en-US"/>
        </w:rPr>
      </w:pPr>
    </w:p>
    <w:p>
      <w:pPr>
        <w:adjustRightInd/>
        <w:ind w:firstLine="562"/>
        <w:rPr>
          <w:rFonts w:ascii="宋体" w:hAnsi="宋体" w:cs="宋体"/>
          <w:b/>
          <w:sz w:val="28"/>
          <w:szCs w:val="20"/>
        </w:rPr>
      </w:pPr>
    </w:p>
    <w:p>
      <w:pPr>
        <w:ind w:firstLine="883"/>
        <w:jc w:val="center"/>
        <w:rPr>
          <w:rFonts w:ascii="宋体" w:hAnsi="宋体" w:cs="宋体"/>
          <w:b/>
        </w:rPr>
      </w:pPr>
      <w:r>
        <w:rPr>
          <w:rFonts w:hint="eastAsia" w:ascii="宋体" w:hAnsi="宋体" w:cs="宋体"/>
          <w:b/>
          <w:sz w:val="44"/>
          <w:szCs w:val="44"/>
        </w:rPr>
        <w:t xml:space="preserve"> </w:t>
      </w:r>
    </w:p>
    <w:p>
      <w:pPr>
        <w:ind w:firstLine="0" w:firstLineChars="0"/>
        <w:rPr>
          <w:rFonts w:ascii="宋体" w:hAnsi="宋体" w:cs="宋体"/>
          <w:b/>
        </w:rPr>
      </w:pPr>
    </w:p>
    <w:p>
      <w:pPr>
        <w:ind w:firstLine="643"/>
        <w:rPr>
          <w:rFonts w:ascii="宋体" w:hAnsi="宋体" w:cs="宋体"/>
          <w:b/>
          <w:sz w:val="32"/>
          <w:szCs w:val="32"/>
        </w:rPr>
      </w:pPr>
    </w:p>
    <w:p>
      <w:pPr>
        <w:ind w:firstLine="0" w:firstLineChars="0"/>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浙江省福利彩票管理中心</w:t>
      </w:r>
    </w:p>
    <w:p>
      <w:pPr>
        <w:ind w:firstLine="0" w:firstLineChars="0"/>
        <w:jc w:val="center"/>
        <w:rPr>
          <w:rFonts w:ascii="宋体" w:hAnsi="宋体" w:cs="宋体"/>
          <w:b/>
          <w:sz w:val="32"/>
          <w:szCs w:val="32"/>
        </w:rPr>
      </w:pPr>
      <w:r>
        <w:rPr>
          <w:rFonts w:hint="eastAsia" w:ascii="宋体" w:hAnsi="宋体" w:cs="宋体"/>
          <w:b/>
          <w:sz w:val="32"/>
          <w:szCs w:val="32"/>
        </w:rPr>
        <w:t>浙江信镧建设工程咨询有限公司</w:t>
      </w:r>
    </w:p>
    <w:p>
      <w:pPr>
        <w:ind w:firstLine="0" w:firstLineChars="0"/>
        <w:jc w:val="center"/>
        <w:rPr>
          <w:rFonts w:ascii="宋体" w:hAnsi="宋体" w:cs="宋体"/>
          <w:b/>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sz w:val="32"/>
          <w:szCs w:val="32"/>
        </w:rPr>
        <w:t>二〇二四年</w:t>
      </w:r>
      <w:r>
        <w:rPr>
          <w:rFonts w:hint="eastAsia" w:ascii="宋体" w:hAnsi="宋体" w:cs="宋体"/>
          <w:b/>
          <w:sz w:val="32"/>
          <w:szCs w:val="32"/>
          <w:lang w:eastAsia="zh-CN"/>
        </w:rPr>
        <w:t>八</w:t>
      </w:r>
      <w:r>
        <w:rPr>
          <w:rFonts w:hint="eastAsia" w:ascii="宋体" w:hAnsi="宋体" w:cs="宋体"/>
          <w:b/>
          <w:sz w:val="32"/>
          <w:szCs w:val="32"/>
        </w:rPr>
        <w:t>月</w:t>
      </w:r>
    </w:p>
    <w:p>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5"/>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"_Toc3166"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b/>
          <w:bCs/>
        </w:rPr>
        <w:fldChar w:fldCharType="end"/>
      </w:r>
    </w:p>
    <w:p>
      <w:pPr>
        <w:pStyle w:val="45"/>
        <w:tabs>
          <w:tab w:val="right" w:leader="dot" w:pos="8311"/>
        </w:tabs>
        <w:ind w:firstLine="480"/>
        <w:rPr>
          <w:b/>
          <w:bCs/>
        </w:rPr>
      </w:pPr>
      <w:r>
        <w:fldChar w:fldCharType="begin"/>
      </w:r>
      <w:r>
        <w:instrText xml:space="preserve"> HYPERLINK \l "_Toc9758" </w:instrText>
      </w:r>
      <w: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b/>
          <w:bCs/>
        </w:rPr>
        <w:fldChar w:fldCharType="end"/>
      </w:r>
    </w:p>
    <w:p>
      <w:pPr>
        <w:pStyle w:val="45"/>
        <w:tabs>
          <w:tab w:val="right" w:leader="dot" w:pos="8311"/>
        </w:tabs>
        <w:ind w:firstLine="480"/>
        <w:rPr>
          <w:b/>
          <w:bCs/>
        </w:rPr>
      </w:pPr>
      <w:r>
        <w:fldChar w:fldCharType="begin"/>
      </w:r>
      <w:r>
        <w:instrText xml:space="preserve"> HYPERLINK \l "_Toc22977" </w:instrText>
      </w:r>
      <w: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b/>
          <w:bCs/>
        </w:rPr>
        <w:fldChar w:fldCharType="end"/>
      </w:r>
    </w:p>
    <w:p>
      <w:pPr>
        <w:pStyle w:val="45"/>
        <w:tabs>
          <w:tab w:val="right" w:leader="dot" w:pos="8311"/>
        </w:tabs>
        <w:ind w:firstLine="480"/>
        <w:rPr>
          <w:b/>
          <w:bCs/>
        </w:rPr>
      </w:pPr>
      <w:r>
        <w:fldChar w:fldCharType="begin"/>
      </w:r>
      <w:r>
        <w:instrText xml:space="preserve"> HYPERLINK \l "_Toc27491"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44</w:t>
      </w:r>
      <w:r>
        <w:rPr>
          <w:b/>
          <w:bCs/>
        </w:rPr>
        <w:fldChar w:fldCharType="end"/>
      </w:r>
      <w:r>
        <w:rPr>
          <w:b/>
          <w:bCs/>
        </w:rPr>
        <w:fldChar w:fldCharType="end"/>
      </w:r>
    </w:p>
    <w:p>
      <w:pPr>
        <w:pStyle w:val="45"/>
        <w:tabs>
          <w:tab w:val="right" w:leader="dot" w:pos="8311"/>
        </w:tabs>
        <w:ind w:firstLine="480"/>
        <w:rPr>
          <w:b/>
          <w:bCs/>
        </w:rPr>
      </w:pPr>
      <w:r>
        <w:fldChar w:fldCharType="begin"/>
      </w:r>
      <w:r>
        <w:instrText xml:space="preserve"> HYPERLINK \l "_Toc25422"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51</w:t>
      </w:r>
      <w:r>
        <w:rPr>
          <w:b/>
          <w:bCs/>
        </w:rPr>
        <w:fldChar w:fldCharType="end"/>
      </w:r>
      <w:r>
        <w:rPr>
          <w:b/>
          <w:bCs/>
        </w:rPr>
        <w:fldChar w:fldCharType="end"/>
      </w:r>
    </w:p>
    <w:p>
      <w:pPr>
        <w:pStyle w:val="45"/>
        <w:tabs>
          <w:tab w:val="right" w:leader="dot" w:pos="8311"/>
        </w:tabs>
        <w:ind w:firstLine="480"/>
        <w:rPr>
          <w:b/>
          <w:bCs/>
        </w:rPr>
      </w:pPr>
      <w:r>
        <w:fldChar w:fldCharType="begin"/>
      </w:r>
      <w:r>
        <w:instrText xml:space="preserve"> HYPERLINK \l "_Toc7621"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_Toc7621 \h </w:instrText>
      </w:r>
      <w:r>
        <w:rPr>
          <w:b/>
          <w:bCs/>
        </w:rPr>
        <w:fldChar w:fldCharType="separate"/>
      </w:r>
      <w:r>
        <w:rPr>
          <w:b/>
          <w:bCs/>
        </w:rPr>
        <w:t>64</w:t>
      </w:r>
      <w:r>
        <w:rPr>
          <w:b/>
          <w:bCs/>
        </w:rPr>
        <w:fldChar w:fldCharType="end"/>
      </w:r>
      <w:r>
        <w:rPr>
          <w:b/>
          <w:bCs/>
        </w:rPr>
        <w:fldChar w:fldCharType="end"/>
      </w:r>
    </w:p>
    <w:p>
      <w:pPr>
        <w:rPr>
          <w:rFonts w:ascii="宋体" w:hAnsi="宋体" w:cs="宋体"/>
          <w:sz w:val="32"/>
          <w:szCs w:val="32"/>
        </w:rPr>
      </w:pPr>
      <w:r>
        <w:rPr>
          <w:rFonts w:ascii="宋体" w:hAnsi="宋体" w:cs="宋体"/>
          <w:b/>
          <w:bCs/>
          <w:szCs w:val="32"/>
        </w:rPr>
        <w:fldChar w:fldCharType="end"/>
      </w:r>
    </w:p>
    <w:p>
      <w:pPr>
        <w:ind w:firstLine="640"/>
        <w:outlineLvl w:val="0"/>
        <w:rPr>
          <w:rFonts w:ascii="宋体" w:hAnsi="宋体" w:cs="宋体"/>
          <w:sz w:val="32"/>
          <w:szCs w:val="32"/>
        </w:rPr>
      </w:pPr>
    </w:p>
    <w:p>
      <w:pPr>
        <w:ind w:firstLine="549" w:firstLineChars="229"/>
        <w:rPr>
          <w:rFonts w:ascii="宋体" w:hAnsi="宋体" w:cs="宋体"/>
        </w:rPr>
      </w:pPr>
      <w:bookmarkStart w:id="3" w:name="_Hlt91233176"/>
      <w:bookmarkEnd w:id="3"/>
      <w:bookmarkStart w:id="4" w:name="_Toc91899869"/>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bookmarkEnd w:id="4"/>
    <w:p>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07423"/>
      <w:bookmarkEnd w:id="5"/>
      <w:bookmarkStart w:id="6" w:name="_Hlt74728647"/>
      <w:bookmarkEnd w:id="6"/>
      <w:bookmarkStart w:id="7" w:name="_Hlt74729822"/>
      <w:bookmarkEnd w:id="7"/>
      <w:bookmarkStart w:id="8" w:name="_Hlt74649545"/>
      <w:bookmarkEnd w:id="8"/>
      <w:bookmarkStart w:id="9" w:name="_Toc19410"/>
      <w:bookmarkStart w:id="10" w:name="_Toc26969"/>
      <w:bookmarkStart w:id="11" w:name="第二部分"/>
      <w:bookmarkStart w:id="12" w:name="_Toc91899870"/>
      <w:bookmarkStart w:id="13" w:name="_Toc91899871"/>
    </w:p>
    <w:p>
      <w:pPr>
        <w:pStyle w:val="2"/>
        <w:rPr>
          <w:rFonts w:ascii="宋体" w:hAnsi="宋体" w:cs="宋体"/>
          <w:szCs w:val="20"/>
        </w:rPr>
      </w:pPr>
      <w:bookmarkStart w:id="14" w:name="_Toc3166"/>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机房动力环境维保服务项目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2024年08月</w:t>
      </w:r>
      <w:r>
        <w:rPr>
          <w:rFonts w:hint="eastAsia" w:ascii="宋体" w:hAnsi="宋体" w:cs="宋体"/>
          <w:u w:val="single"/>
          <w:lang w:val="en-US" w:eastAsia="zh-CN"/>
        </w:rPr>
        <w:t>26</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 xml:space="preserve">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pPr>
        <w:ind w:firstLine="480"/>
      </w:pPr>
    </w:p>
    <w:p>
      <w:pPr>
        <w:pStyle w:val="5"/>
      </w:pPr>
      <w:r>
        <w:rPr>
          <w:rFonts w:hint="eastAsia"/>
        </w:rPr>
        <w:t xml:space="preserve">一、项目基本情况                                            </w:t>
      </w:r>
    </w:p>
    <w:p>
      <w:pPr>
        <w:rPr>
          <w:rFonts w:ascii="宋体" w:hAnsi="宋体" w:cs="宋体"/>
        </w:rPr>
      </w:pPr>
      <w:r>
        <w:rPr>
          <w:rFonts w:hint="eastAsia" w:ascii="宋体" w:hAnsi="宋体" w:cs="宋体"/>
          <w:b/>
        </w:rPr>
        <w:t>项目编号：</w:t>
      </w:r>
      <w:r>
        <w:rPr>
          <w:rFonts w:hint="eastAsia" w:ascii="宋体" w:hAnsi="宋体" w:cs="宋体"/>
          <w:bCs/>
        </w:rPr>
        <w:t>ZJXL-FCZX-202410</w:t>
      </w:r>
    </w:p>
    <w:p>
      <w:pPr>
        <w:rPr>
          <w:rFonts w:ascii="宋体" w:hAnsi="宋体" w:cs="宋体"/>
        </w:rPr>
      </w:pPr>
      <w:r>
        <w:rPr>
          <w:rFonts w:hint="eastAsia" w:ascii="宋体" w:hAnsi="宋体" w:cs="宋体"/>
          <w:b/>
        </w:rPr>
        <w:t>项目名称：</w:t>
      </w:r>
      <w:r>
        <w:rPr>
          <w:rFonts w:hint="eastAsia" w:ascii="宋体" w:hAnsi="宋体" w:cs="宋体"/>
        </w:rPr>
        <w:t>机房动力环境维保服务项目</w:t>
      </w:r>
    </w:p>
    <w:p>
      <w:pPr>
        <w:rPr>
          <w:rFonts w:ascii="宋体" w:hAnsi="宋体" w:cs="宋体"/>
        </w:rPr>
      </w:pPr>
      <w:r>
        <w:rPr>
          <w:rFonts w:hint="eastAsia" w:ascii="宋体" w:hAnsi="宋体" w:cs="宋体"/>
          <w:b/>
        </w:rPr>
        <w:t>预算金额（元）：</w:t>
      </w:r>
      <w:r>
        <w:rPr>
          <w:rFonts w:hint="eastAsia" w:ascii="宋体" w:hAnsi="宋体" w:cs="宋体"/>
        </w:rPr>
        <w:t xml:space="preserve">1000000 </w:t>
      </w:r>
    </w:p>
    <w:p>
      <w:pPr>
        <w:rPr>
          <w:rFonts w:ascii="宋体" w:hAnsi="宋体" w:cs="宋体"/>
          <w:color w:val="FF0000"/>
        </w:rPr>
      </w:pPr>
      <w:r>
        <w:rPr>
          <w:rFonts w:hint="eastAsia" w:ascii="宋体" w:hAnsi="宋体" w:cs="宋体"/>
          <w:b/>
        </w:rPr>
        <w:t>最高限价（元）：</w:t>
      </w:r>
      <w:r>
        <w:rPr>
          <w:rFonts w:hint="eastAsia" w:ascii="宋体" w:hAnsi="宋体" w:cs="宋体"/>
        </w:rPr>
        <w:t xml:space="preserve">1000000 </w:t>
      </w:r>
    </w:p>
    <w:p>
      <w:pPr>
        <w:pStyle w:val="16"/>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4"/>
              <w:widowControl w:val="0"/>
            </w:pPr>
            <w:r>
              <w:rPr>
                <w:rFonts w:hint="eastAsia"/>
              </w:rPr>
              <w:t>标项号</w:t>
            </w:r>
          </w:p>
        </w:tc>
        <w:tc>
          <w:tcPr>
            <w:tcW w:w="1381" w:type="dxa"/>
            <w:vAlign w:val="center"/>
          </w:tcPr>
          <w:p>
            <w:pPr>
              <w:pStyle w:val="144"/>
              <w:widowControl w:val="0"/>
            </w:pPr>
            <w:r>
              <w:rPr>
                <w:rFonts w:hint="eastAsia"/>
              </w:rPr>
              <w:t>标项名称</w:t>
            </w:r>
          </w:p>
        </w:tc>
        <w:tc>
          <w:tcPr>
            <w:tcW w:w="799" w:type="dxa"/>
            <w:vAlign w:val="center"/>
          </w:tcPr>
          <w:p>
            <w:pPr>
              <w:pStyle w:val="144"/>
              <w:widowControl w:val="0"/>
            </w:pPr>
            <w:r>
              <w:rPr>
                <w:rFonts w:hint="eastAsia"/>
              </w:rPr>
              <w:t>数量</w:t>
            </w:r>
          </w:p>
        </w:tc>
        <w:tc>
          <w:tcPr>
            <w:tcW w:w="1317" w:type="dxa"/>
            <w:vAlign w:val="center"/>
          </w:tcPr>
          <w:p>
            <w:pPr>
              <w:pStyle w:val="144"/>
              <w:widowControl w:val="0"/>
            </w:pPr>
            <w:r>
              <w:rPr>
                <w:rFonts w:hint="eastAsia"/>
              </w:rPr>
              <w:t>预算金额（元）</w:t>
            </w:r>
          </w:p>
        </w:tc>
        <w:tc>
          <w:tcPr>
            <w:tcW w:w="3224" w:type="dxa"/>
            <w:vAlign w:val="center"/>
          </w:tcPr>
          <w:p>
            <w:pPr>
              <w:pStyle w:val="144"/>
              <w:widowControl w:val="0"/>
            </w:pPr>
            <w:r>
              <w:t>简要规格描述或项目基本概况介绍、用途：</w:t>
            </w:r>
          </w:p>
        </w:tc>
        <w:tc>
          <w:tcPr>
            <w:tcW w:w="1241" w:type="dxa"/>
            <w:vAlign w:val="center"/>
          </w:tcPr>
          <w:p>
            <w:pPr>
              <w:pStyle w:val="144"/>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4"/>
              <w:widowControl w:val="0"/>
            </w:pPr>
            <w:r>
              <w:rPr>
                <w:rFonts w:hint="eastAsia"/>
              </w:rPr>
              <w:t>1</w:t>
            </w:r>
          </w:p>
        </w:tc>
        <w:tc>
          <w:tcPr>
            <w:tcW w:w="1381" w:type="dxa"/>
            <w:vAlign w:val="center"/>
          </w:tcPr>
          <w:p>
            <w:pPr>
              <w:pStyle w:val="144"/>
              <w:widowControl w:val="0"/>
            </w:pPr>
            <w:r>
              <w:rPr>
                <w:rFonts w:hint="eastAsia"/>
              </w:rPr>
              <w:t>机房动力环境维保服务项目</w:t>
            </w:r>
          </w:p>
        </w:tc>
        <w:tc>
          <w:tcPr>
            <w:tcW w:w="799" w:type="dxa"/>
            <w:vAlign w:val="center"/>
          </w:tcPr>
          <w:p>
            <w:pPr>
              <w:pStyle w:val="144"/>
              <w:widowControl w:val="0"/>
            </w:pPr>
            <w:r>
              <w:rPr>
                <w:rFonts w:hint="eastAsia"/>
              </w:rPr>
              <w:t>1项</w:t>
            </w:r>
          </w:p>
        </w:tc>
        <w:tc>
          <w:tcPr>
            <w:tcW w:w="1317" w:type="dxa"/>
            <w:vAlign w:val="center"/>
          </w:tcPr>
          <w:p>
            <w:pPr>
              <w:pStyle w:val="144"/>
              <w:widowControl w:val="0"/>
            </w:pPr>
            <w:r>
              <w:rPr>
                <w:rFonts w:hint="eastAsia" w:ascii="宋体" w:hAnsi="宋体" w:cs="宋体"/>
              </w:rPr>
              <w:t xml:space="preserve">1000000  </w:t>
            </w:r>
          </w:p>
        </w:tc>
        <w:tc>
          <w:tcPr>
            <w:tcW w:w="3224" w:type="dxa"/>
            <w:vAlign w:val="center"/>
          </w:tcPr>
          <w:p>
            <w:pPr>
              <w:pStyle w:val="144"/>
              <w:widowControl w:val="0"/>
              <w:jc w:val="both"/>
            </w:pPr>
            <w:r>
              <w:rPr>
                <w:rFonts w:hint="eastAsia" w:ascii="宋体" w:hAnsi="宋体" w:cs="宋体"/>
                <w:szCs w:val="21"/>
              </w:rPr>
              <w:t>中心机房系统维保的价值核心不是更换故障设备，而是对整个系统运行进行规划，分析问题原因，提前预见问题所在，消除隐患，保障系统稳定工作。这不仅需要维保单位具备厂家设备供应资源、厂家核心技术支持，还需要常驻维保单位的现场人员具备丰富的现场技术经验，对系统的管理规划经验，同时还要具备良好的职业素养和敬业精神</w:t>
            </w:r>
            <w:r>
              <w:rPr>
                <w:rFonts w:hint="eastAsia"/>
              </w:rPr>
              <w:t>，详见招标文件第三部分采购需求。</w:t>
            </w:r>
          </w:p>
        </w:tc>
        <w:tc>
          <w:tcPr>
            <w:tcW w:w="1241" w:type="dxa"/>
            <w:vAlign w:val="center"/>
          </w:tcPr>
          <w:p>
            <w:pPr>
              <w:pStyle w:val="144"/>
              <w:widowControl w:val="0"/>
            </w:pPr>
          </w:p>
        </w:tc>
      </w:tr>
    </w:tbl>
    <w:p>
      <w:pPr>
        <w:rPr>
          <w:rFonts w:ascii="宋体" w:hAnsi="宋体" w:cs="宋体"/>
          <w:b/>
          <w:color w:val="auto"/>
        </w:rPr>
      </w:pPr>
      <w:r>
        <w:rPr>
          <w:rFonts w:hint="eastAsia" w:ascii="宋体" w:hAnsi="宋体" w:cs="宋体"/>
          <w:b/>
        </w:rPr>
        <w:t>合同履约期限：</w:t>
      </w:r>
      <w:r>
        <w:rPr>
          <w:rFonts w:hint="eastAsia" w:hAnsi="宋体"/>
          <w:color w:val="auto"/>
        </w:rPr>
        <w:t>合同签订之日起</w:t>
      </w:r>
      <w:r>
        <w:rPr>
          <w:rFonts w:hAnsi="宋体"/>
          <w:color w:val="auto"/>
        </w:rPr>
        <w:t>2</w:t>
      </w:r>
      <w:r>
        <w:rPr>
          <w:rFonts w:hint="eastAsia" w:hAnsi="宋体"/>
          <w:color w:val="auto"/>
        </w:rPr>
        <w:t>年</w:t>
      </w:r>
      <w:r>
        <w:rPr>
          <w:rFonts w:hAnsi="宋体"/>
          <w:color w:val="auto"/>
        </w:rPr>
        <w:t>。</w:t>
      </w:r>
    </w:p>
    <w:p>
      <w:pPr>
        <w:pStyle w:val="16"/>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38394281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5"/>
      </w:pPr>
      <w:r>
        <w:rPr>
          <w:rFonts w:hint="eastAsia"/>
        </w:rPr>
        <w:t>二、申请人的资格要求</w:t>
      </w:r>
    </w:p>
    <w:p>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highlight w:val="none"/>
        </w:rPr>
        <w:t>专</w:t>
      </w:r>
      <w:r>
        <w:rPr>
          <w:rFonts w:hint="eastAsia" w:ascii="宋体" w:hAnsi="宋体" w:cs="宋体"/>
          <w:color w:val="auto"/>
          <w:highlight w:val="none"/>
        </w:rPr>
        <w:t>门面向中小企业，服务全部由符合政策要求的中小企业承接，提供中小企业声明函；</w:t>
      </w:r>
    </w:p>
    <w:p>
      <w:pPr>
        <w:ind w:firstLine="480"/>
        <w:rPr>
          <w:rFonts w:ascii="宋体" w:hAnsi="宋体" w:cs="宋体"/>
        </w:rPr>
      </w:pPr>
      <w:r>
        <w:rPr>
          <w:rFonts w:hint="eastAsia" w:ascii="宋体" w:hAnsi="宋体" w:cs="宋体"/>
        </w:rPr>
        <w:t>3.本项目的特定资格要求：无；</w:t>
      </w:r>
    </w:p>
    <w:p>
      <w:pPr>
        <w:pStyle w:val="5"/>
      </w:pPr>
      <w:r>
        <w:rPr>
          <w:rFonts w:hint="eastAsia"/>
        </w:rPr>
        <w:t xml:space="preserve">三、获取招标文件 </w:t>
      </w:r>
    </w:p>
    <w:p>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5"/>
      </w:pPr>
      <w:r>
        <w:rPr>
          <w:rFonts w:hint="eastAsia"/>
        </w:rPr>
        <w:t>四、提交投标文件截止时间、开标时间和地点</w:t>
      </w:r>
    </w:p>
    <w:p>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2024年08月</w:t>
      </w:r>
      <w:r>
        <w:rPr>
          <w:rFonts w:hint="eastAsia" w:ascii="宋体" w:hAnsi="宋体" w:cs="宋体"/>
          <w:u w:val="single"/>
          <w:lang w:val="en-US" w:eastAsia="zh-CN"/>
        </w:rPr>
        <w:t>26</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rPr>
          <w:rFonts w:ascii="宋体" w:hAnsi="宋体" w:cs="宋体"/>
          <w:bCs/>
          <w:u w:val="single"/>
        </w:rPr>
      </w:pPr>
      <w:r>
        <w:rPr>
          <w:rFonts w:hint="eastAsia" w:ascii="宋体" w:hAnsi="宋体" w:cs="宋体"/>
          <w:b/>
        </w:rPr>
        <w:t>开标时间：</w:t>
      </w:r>
      <w:r>
        <w:rPr>
          <w:rFonts w:hint="eastAsia" w:ascii="宋体" w:hAnsi="宋体" w:cs="宋体"/>
          <w:u w:val="single"/>
        </w:rPr>
        <w:t>2024年08月</w:t>
      </w:r>
      <w:r>
        <w:rPr>
          <w:rFonts w:hint="eastAsia" w:ascii="宋体" w:hAnsi="宋体" w:cs="宋体"/>
          <w:u w:val="single"/>
          <w:lang w:val="en-US" w:eastAsia="zh-CN"/>
        </w:rPr>
        <w:t>26</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5"/>
      </w:pPr>
      <w:r>
        <w:rPr>
          <w:rFonts w:hint="eastAsia"/>
        </w:rPr>
        <w:t xml:space="preserve">五、公告期限 </w:t>
      </w:r>
    </w:p>
    <w:p>
      <w:pPr>
        <w:ind w:firstLine="480"/>
        <w:rPr>
          <w:rFonts w:ascii="宋体" w:hAnsi="宋体" w:cs="宋体"/>
        </w:rPr>
      </w:pPr>
      <w:r>
        <w:rPr>
          <w:rFonts w:hint="eastAsia" w:ascii="宋体" w:hAnsi="宋体" w:cs="宋体"/>
        </w:rPr>
        <w:t>自本公告发布之日起5个工作日。</w:t>
      </w:r>
    </w:p>
    <w:p>
      <w:pPr>
        <w:pStyle w:val="5"/>
      </w:pPr>
      <w:r>
        <w:rPr>
          <w:rFonts w:hint="eastAsia"/>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4.其他事项：</w:t>
      </w:r>
    </w:p>
    <w:p>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ascii="宋体" w:hAnsi="宋体" w:cs="宋体"/>
        </w:rPr>
      </w:pPr>
      <w:r>
        <w:rPr>
          <w:rFonts w:hint="eastAsia" w:ascii="宋体" w:hAnsi="宋体" w:cs="宋体"/>
        </w:rPr>
        <w:t>（2）招标文件公告期限与招标公告的公告期限一致。</w:t>
      </w:r>
    </w:p>
    <w:p>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5"/>
      </w:pPr>
      <w:r>
        <w:rPr>
          <w:rFonts w:hint="eastAsia"/>
        </w:rPr>
        <w:t>七、对本次采购提出询问、质疑、投诉，请按以下方式联系</w:t>
      </w:r>
    </w:p>
    <w:p>
      <w:pPr>
        <w:rPr>
          <w:rFonts w:ascii="宋体" w:hAnsi="宋体" w:cs="宋体"/>
        </w:rPr>
      </w:pPr>
      <w:r>
        <w:rPr>
          <w:rFonts w:hint="eastAsia" w:ascii="宋体" w:hAnsi="宋体" w:cs="宋体"/>
          <w:b/>
          <w:bCs/>
        </w:rPr>
        <w:t>1.采购人信息</w:t>
      </w:r>
    </w:p>
    <w:p>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浙江省福利彩票管理中心</w:t>
      </w:r>
    </w:p>
    <w:p>
      <w:pPr>
        <w:ind w:firstLine="480"/>
        <w:rPr>
          <w:rFonts w:ascii="宋体" w:hAnsi="宋体" w:cs="宋体"/>
        </w:rPr>
      </w:pPr>
      <w:r>
        <w:rPr>
          <w:rFonts w:hint="eastAsia" w:ascii="宋体" w:hAnsi="宋体" w:cs="宋体"/>
        </w:rPr>
        <w:t xml:space="preserve">  地    址：杭州市荆长路539号       </w:t>
      </w:r>
    </w:p>
    <w:p>
      <w:pPr>
        <w:ind w:firstLine="720" w:firstLineChars="300"/>
        <w:rPr>
          <w:rFonts w:ascii="宋体" w:hAnsi="宋体" w:cs="宋体"/>
        </w:rPr>
      </w:pPr>
      <w:r>
        <w:rPr>
          <w:rFonts w:hint="eastAsia" w:ascii="宋体" w:hAnsi="宋体" w:cs="宋体"/>
        </w:rPr>
        <w:t>传    真： /</w:t>
      </w:r>
    </w:p>
    <w:p>
      <w:pPr>
        <w:ind w:firstLine="720" w:firstLineChars="300"/>
        <w:rPr>
          <w:rFonts w:ascii="宋体" w:hAnsi="宋体" w:cs="宋体"/>
        </w:rPr>
      </w:pPr>
      <w:r>
        <w:rPr>
          <w:rFonts w:hint="eastAsia" w:ascii="宋体" w:hAnsi="宋体" w:cs="宋体"/>
        </w:rPr>
        <w:t>项目联系人（询问）：</w:t>
      </w:r>
      <w:r>
        <w:rPr>
          <w:rFonts w:hint="eastAsia" w:cs="宋体"/>
        </w:rPr>
        <w:t>钱老师</w:t>
      </w:r>
    </w:p>
    <w:p>
      <w:pPr>
        <w:ind w:firstLine="480"/>
        <w:rPr>
          <w:rFonts w:ascii="宋体" w:hAnsi="宋体" w:cs="宋体"/>
        </w:rPr>
      </w:pPr>
      <w:r>
        <w:rPr>
          <w:rFonts w:hint="eastAsia" w:ascii="宋体" w:hAnsi="宋体" w:cs="宋体"/>
        </w:rPr>
        <w:t xml:space="preserve">  项目联系方式（询问）：0571-89057733</w:t>
      </w:r>
    </w:p>
    <w:p>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刘老师</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0571-89057793</w:t>
      </w:r>
      <w:r>
        <w:rPr>
          <w:rFonts w:hint="eastAsia" w:ascii="宋体" w:hAnsi="宋体" w:cs="宋体"/>
        </w:rPr>
        <w:t xml:space="preserve">  </w:t>
      </w:r>
    </w:p>
    <w:p>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名    称：浙江信镧建设工程咨询有限公司</w:t>
      </w:r>
    </w:p>
    <w:p>
      <w:pPr>
        <w:ind w:firstLine="720" w:firstLineChars="300"/>
        <w:rPr>
          <w:rFonts w:ascii="宋体" w:hAnsi="宋体" w:cs="宋体"/>
        </w:rPr>
      </w:pPr>
      <w:r>
        <w:rPr>
          <w:rFonts w:hint="eastAsia" w:ascii="宋体" w:hAnsi="宋体" w:cs="宋体"/>
        </w:rPr>
        <w:t>地    址：浙江省杭州市西湖区文二路391号西湖国际科技大厦B2楼1107室  </w:t>
      </w:r>
    </w:p>
    <w:p>
      <w:pPr>
        <w:ind w:firstLine="480"/>
        <w:rPr>
          <w:rFonts w:ascii="宋体" w:hAnsi="宋体" w:cs="宋体"/>
        </w:rPr>
      </w:pPr>
      <w:r>
        <w:rPr>
          <w:rFonts w:hint="eastAsia" w:ascii="宋体" w:hAnsi="宋体" w:cs="宋体"/>
        </w:rPr>
        <w:t xml:space="preserve">  传    真：0571-85024997               </w:t>
      </w:r>
    </w:p>
    <w:p>
      <w:pPr>
        <w:ind w:firstLine="480"/>
        <w:rPr>
          <w:rFonts w:ascii="宋体" w:hAnsi="宋体" w:cs="宋体"/>
        </w:rPr>
      </w:pPr>
      <w:r>
        <w:rPr>
          <w:rFonts w:hint="eastAsia" w:ascii="宋体" w:hAnsi="宋体" w:cs="宋体"/>
        </w:rPr>
        <w:t xml:space="preserve">  项目联系人（询问）：郑晓冬          </w:t>
      </w:r>
    </w:p>
    <w:p>
      <w:pPr>
        <w:ind w:firstLine="480"/>
        <w:rPr>
          <w:rFonts w:ascii="宋体" w:hAnsi="宋体" w:cs="宋体"/>
        </w:rPr>
      </w:pPr>
      <w:r>
        <w:rPr>
          <w:rFonts w:hint="eastAsia" w:ascii="宋体" w:hAnsi="宋体" w:cs="宋体"/>
        </w:rPr>
        <w:t xml:space="preserve">  项目联系方式（询问）：0571-87967630 </w:t>
      </w:r>
    </w:p>
    <w:p>
      <w:pPr>
        <w:ind w:firstLine="480"/>
        <w:rPr>
          <w:rFonts w:ascii="宋体" w:hAnsi="宋体" w:cs="宋体"/>
        </w:rPr>
      </w:pPr>
      <w:r>
        <w:rPr>
          <w:rFonts w:hint="eastAsia" w:ascii="宋体" w:hAnsi="宋体" w:cs="宋体"/>
        </w:rPr>
        <w:t xml:space="preserve">  质疑联系人：葛梅兰              </w:t>
      </w:r>
    </w:p>
    <w:p>
      <w:pPr>
        <w:ind w:firstLine="480"/>
        <w:rPr>
          <w:rFonts w:ascii="宋体" w:hAnsi="宋体" w:cs="宋体"/>
        </w:rPr>
      </w:pPr>
      <w:r>
        <w:rPr>
          <w:rFonts w:hint="eastAsia" w:ascii="宋体" w:hAnsi="宋体" w:cs="宋体"/>
        </w:rPr>
        <w:t xml:space="preserve">  质疑联系方式：0571-87967630 </w:t>
      </w:r>
    </w:p>
    <w:p>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pPr>
        <w:ind w:firstLine="480"/>
        <w:rPr>
          <w:rFonts w:ascii="宋体" w:hAnsi="宋体" w:cs="宋体"/>
        </w:rPr>
      </w:pPr>
      <w:r>
        <w:rPr>
          <w:rFonts w:hint="eastAsia" w:ascii="宋体" w:hAnsi="宋体" w:cs="宋体"/>
        </w:rPr>
        <w:t xml:space="preserve">  地    址：杭州市上城区四季青街道新业路市民之家G03办公室（快递仅限ems或顺丰）</w:t>
      </w:r>
    </w:p>
    <w:p>
      <w:pPr>
        <w:ind w:firstLine="240" w:firstLineChars="100"/>
        <w:rPr>
          <w:rFonts w:ascii="宋体" w:hAnsi="宋体" w:cs="宋体"/>
        </w:rPr>
      </w:pPr>
      <w:r>
        <w:rPr>
          <w:rFonts w:hint="eastAsia" w:ascii="宋体" w:hAnsi="宋体" w:cs="宋体"/>
        </w:rPr>
        <w:t xml:space="preserve">    传    真： /</w:t>
      </w:r>
    </w:p>
    <w:p>
      <w:pPr>
        <w:ind w:firstLine="480"/>
        <w:rPr>
          <w:rFonts w:ascii="宋体" w:hAnsi="宋体" w:cs="宋体"/>
        </w:rPr>
      </w:pPr>
      <w:r>
        <w:rPr>
          <w:rFonts w:hint="eastAsia" w:ascii="宋体" w:hAnsi="宋体" w:cs="宋体"/>
        </w:rPr>
        <w:t xml:space="preserve">  联系人 ：朱女士、王女士     </w:t>
      </w:r>
    </w:p>
    <w:p>
      <w:pPr>
        <w:ind w:firstLine="720" w:firstLineChars="300"/>
        <w:rPr>
          <w:rFonts w:ascii="宋体" w:hAnsi="宋体" w:cs="宋体"/>
        </w:rPr>
      </w:pPr>
      <w:r>
        <w:rPr>
          <w:rFonts w:hint="eastAsia" w:ascii="宋体" w:hAnsi="宋体" w:cs="宋体"/>
        </w:rPr>
        <w:t xml:space="preserve">监督投诉电话：0571-85252453 </w:t>
      </w:r>
    </w:p>
    <w:p>
      <w:pPr>
        <w:pStyle w:val="25"/>
        <w:ind w:firstLine="480"/>
      </w:pPr>
    </w:p>
    <w:p>
      <w:pPr>
        <w:ind w:firstLine="720" w:firstLineChars="300"/>
      </w:pPr>
      <w:r>
        <w:rPr>
          <w:rFonts w:hint="eastAsia" w:ascii="宋体" w:hAnsi="宋体" w:cs="宋体"/>
        </w:rPr>
        <w:t>政策咨询：何一平、冯华，0571-87058424、87055741</w:t>
      </w:r>
    </w:p>
    <w:p>
      <w:pPr>
        <w:ind w:firstLine="240" w:firstLineChars="100"/>
        <w:rPr>
          <w:rFonts w:ascii="宋体" w:hAnsi="宋体" w:cs="宋体"/>
        </w:rPr>
      </w:pPr>
      <w:r>
        <w:rPr>
          <w:rFonts w:hint="eastAsia" w:ascii="宋体" w:hAnsi="宋体" w:cs="宋体"/>
        </w:rPr>
        <w:t>  预算金额未达100万元的采购项目，由采购人处理采购争议。</w:t>
      </w:r>
    </w:p>
    <w:p>
      <w:pPr>
        <w:pStyle w:val="35"/>
        <w:ind w:firstLine="480"/>
        <w:rPr>
          <w:rFonts w:hAnsi="宋体" w:cs="宋体"/>
        </w:rPr>
      </w:pPr>
    </w:p>
    <w:p>
      <w:pPr>
        <w:ind w:firstLine="480"/>
      </w:pPr>
    </w:p>
    <w:p>
      <w:pPr>
        <w:pStyle w:val="35"/>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5"/>
        <w:ind w:firstLine="480"/>
        <w:rPr>
          <w:rFonts w:hAnsi="宋体" w:cs="宋体"/>
        </w:rPr>
      </w:pPr>
      <w:r>
        <w:rPr>
          <w:rFonts w:hint="eastAsia" w:hAnsi="宋体" w:cs="宋体"/>
        </w:rPr>
        <w:t>CA问题联系电话（人工）：汇信CA 400-888-4636；天谷CA 400-087-8198。</w:t>
      </w:r>
    </w:p>
    <w:p>
      <w:pPr>
        <w:pStyle w:val="35"/>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2"/>
      </w:pPr>
      <w:bookmarkStart w:id="15" w:name="_Toc21996"/>
      <w:bookmarkStart w:id="16" w:name="_Toc9758"/>
      <w:bookmarkStart w:id="17" w:name="_Toc26813"/>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序号</w:t>
            </w:r>
          </w:p>
        </w:tc>
        <w:tc>
          <w:tcPr>
            <w:tcW w:w="2206" w:type="dxa"/>
            <w:vAlign w:val="center"/>
          </w:tcPr>
          <w:p>
            <w:pPr>
              <w:pStyle w:val="144"/>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w:t>
            </w:r>
          </w:p>
        </w:tc>
        <w:tc>
          <w:tcPr>
            <w:tcW w:w="2206" w:type="dxa"/>
            <w:vAlign w:val="center"/>
          </w:tcPr>
          <w:p>
            <w:pPr>
              <w:pStyle w:val="144"/>
              <w:widowControl w:val="0"/>
              <w:rPr>
                <w:b/>
                <w:bCs/>
              </w:rPr>
            </w:pPr>
            <w:r>
              <w:rPr>
                <w:rFonts w:hint="eastAsia"/>
                <w:b/>
                <w:bCs/>
              </w:rPr>
              <w:t>项目属性</w:t>
            </w:r>
          </w:p>
        </w:tc>
        <w:tc>
          <w:tcPr>
            <w:tcW w:w="5901" w:type="dxa"/>
            <w:vAlign w:val="center"/>
          </w:tcPr>
          <w:p>
            <w:pPr>
              <w:ind w:firstLine="480"/>
              <w:jc w:val="left"/>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2</w:t>
            </w:r>
          </w:p>
        </w:tc>
        <w:tc>
          <w:tcPr>
            <w:tcW w:w="2206" w:type="dxa"/>
            <w:vAlign w:val="center"/>
          </w:tcPr>
          <w:p>
            <w:pPr>
              <w:pStyle w:val="144"/>
              <w:widowControl w:val="0"/>
              <w:rPr>
                <w:b/>
                <w:bCs/>
              </w:rPr>
            </w:pPr>
            <w:r>
              <w:rPr>
                <w:rFonts w:hint="eastAsia"/>
                <w:b/>
                <w:bCs/>
              </w:rPr>
              <w:t>采购标的及其对应的中小企业划分标准所属行业</w:t>
            </w:r>
          </w:p>
        </w:tc>
        <w:tc>
          <w:tcPr>
            <w:tcW w:w="5901" w:type="dxa"/>
            <w:vAlign w:val="center"/>
          </w:tcPr>
          <w:p>
            <w:pPr>
              <w:pStyle w:val="144"/>
              <w:widowControl w:val="0"/>
              <w:ind w:firstLine="480" w:firstLineChars="200"/>
              <w:jc w:val="left"/>
              <w:rPr>
                <w:b/>
                <w:bCs/>
              </w:rPr>
            </w:pPr>
            <w:r>
              <w:rPr>
                <w:rFonts w:hint="eastAsia" w:ascii="宋体" w:hAnsi="宋体" w:cs="宋体"/>
                <w:kern w:val="2"/>
                <w:szCs w:val="24"/>
              </w:rPr>
              <w:t>采购标的：机房动力环境维保服务项目，属于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3</w:t>
            </w:r>
          </w:p>
        </w:tc>
        <w:tc>
          <w:tcPr>
            <w:tcW w:w="2206" w:type="dxa"/>
            <w:vAlign w:val="center"/>
          </w:tcPr>
          <w:p>
            <w:pPr>
              <w:pStyle w:val="144"/>
              <w:widowControl w:val="0"/>
              <w:rPr>
                <w:b/>
                <w:bCs/>
              </w:rPr>
            </w:pPr>
            <w:r>
              <w:rPr>
                <w:rFonts w:hint="eastAsia"/>
                <w:b/>
                <w:bCs/>
              </w:rPr>
              <w:t>是否允许采购进口产品</w:t>
            </w:r>
          </w:p>
        </w:tc>
        <w:tc>
          <w:tcPr>
            <w:tcW w:w="5901" w:type="dxa"/>
            <w:vAlign w:val="center"/>
          </w:tcPr>
          <w:p>
            <w:pPr>
              <w:ind w:firstLine="480"/>
              <w:jc w:val="left"/>
              <w:rPr>
                <w:rFonts w:ascii="宋体" w:hAnsi="宋体" w:cs="宋体"/>
                <w:kern w:val="0"/>
              </w:rPr>
            </w:pPr>
            <w:sdt>
              <w:sdtPr>
                <w:rPr>
                  <w:rFonts w:hint="eastAsia" w:ascii="宋体" w:hAnsi="宋体" w:cs="宋体"/>
                  <w:kern w:val="0"/>
                </w:rPr>
                <w:id w:val="1094508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205835146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4</w:t>
            </w:r>
          </w:p>
        </w:tc>
        <w:tc>
          <w:tcPr>
            <w:tcW w:w="2206" w:type="dxa"/>
            <w:vAlign w:val="center"/>
          </w:tcPr>
          <w:p>
            <w:pPr>
              <w:pStyle w:val="144"/>
              <w:widowControl w:val="0"/>
              <w:rPr>
                <w:b/>
                <w:bCs/>
              </w:rPr>
            </w:pPr>
            <w:r>
              <w:rPr>
                <w:rFonts w:hint="eastAsia"/>
                <w:b/>
                <w:bCs/>
              </w:rPr>
              <w:t>是否允许转包与分包</w:t>
            </w:r>
          </w:p>
        </w:tc>
        <w:tc>
          <w:tcPr>
            <w:tcW w:w="5901" w:type="dxa"/>
            <w:vAlign w:val="center"/>
          </w:tcPr>
          <w:p>
            <w:pPr>
              <w:ind w:firstLine="480"/>
              <w:jc w:val="left"/>
              <w:rPr>
                <w:rFonts w:ascii="宋体" w:hAnsi="宋体" w:cs="宋体"/>
                <w:kern w:val="0"/>
              </w:rPr>
            </w:pPr>
            <w:r>
              <w:rPr>
                <w:rFonts w:hint="eastAsia" w:ascii="宋体" w:hAnsi="宋体" w:cs="宋体"/>
                <w:kern w:val="0"/>
              </w:rPr>
              <w:t>转包：本项目不允许转包</w:t>
            </w:r>
          </w:p>
          <w:p>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705211176"/>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879707223"/>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5</w:t>
            </w:r>
          </w:p>
        </w:tc>
        <w:tc>
          <w:tcPr>
            <w:tcW w:w="2206" w:type="dxa"/>
            <w:vAlign w:val="center"/>
          </w:tcPr>
          <w:p>
            <w:pPr>
              <w:pStyle w:val="144"/>
              <w:widowControl w:val="0"/>
              <w:rPr>
                <w:b/>
                <w:bCs/>
              </w:rPr>
            </w:pPr>
            <w:r>
              <w:rPr>
                <w:rFonts w:hint="eastAsia"/>
                <w:b/>
                <w:bCs/>
              </w:rPr>
              <w:t>开标前答疑会或现场考察</w:t>
            </w:r>
          </w:p>
        </w:tc>
        <w:tc>
          <w:tcPr>
            <w:tcW w:w="5901" w:type="dxa"/>
            <w:vAlign w:val="center"/>
          </w:tcPr>
          <w:p>
            <w:pPr>
              <w:ind w:firstLine="480"/>
              <w:rPr>
                <w:rFonts w:ascii="宋体" w:hAnsi="宋体" w:cs="宋体"/>
              </w:rPr>
            </w:pPr>
            <w:sdt>
              <w:sdtPr>
                <w:rPr>
                  <w:rFonts w:hint="eastAsia" w:ascii="宋体" w:hAnsi="宋体" w:cs="宋体"/>
                  <w:kern w:val="0"/>
                </w:rPr>
                <w:id w:val="81075520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pPr>
              <w:ind w:firstLine="480"/>
              <w:rPr>
                <w:rFonts w:ascii="宋体" w:hAnsi="宋体" w:cs="宋体"/>
                <w:kern w:val="0"/>
              </w:rPr>
            </w:pPr>
            <w:sdt>
              <w:sdtPr>
                <w:rPr>
                  <w:rFonts w:hint="eastAsia" w:ascii="宋体" w:hAnsi="宋体" w:cs="宋体"/>
                  <w:kern w:val="0"/>
                </w:rPr>
                <w:id w:val="8789990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6</w:t>
            </w:r>
          </w:p>
        </w:tc>
        <w:tc>
          <w:tcPr>
            <w:tcW w:w="2206" w:type="dxa"/>
            <w:vAlign w:val="center"/>
          </w:tcPr>
          <w:p>
            <w:pPr>
              <w:pStyle w:val="144"/>
              <w:widowControl w:val="0"/>
              <w:rPr>
                <w:b/>
                <w:bCs/>
              </w:rPr>
            </w:pPr>
            <w:r>
              <w:rPr>
                <w:rFonts w:hint="eastAsia"/>
                <w:b/>
                <w:bCs/>
              </w:rPr>
              <w:t>样品提供</w:t>
            </w:r>
          </w:p>
        </w:tc>
        <w:tc>
          <w:tcPr>
            <w:tcW w:w="5901" w:type="dxa"/>
            <w:vAlign w:val="center"/>
          </w:tcPr>
          <w:p>
            <w:pPr>
              <w:ind w:firstLine="480"/>
              <w:jc w:val="left"/>
              <w:rPr>
                <w:rFonts w:ascii="宋体" w:hAnsi="宋体" w:cs="宋体"/>
              </w:rPr>
            </w:pPr>
            <w:sdt>
              <w:sdtPr>
                <w:rPr>
                  <w:rFonts w:hint="eastAsia" w:ascii="宋体" w:hAnsi="宋体" w:cs="宋体"/>
                  <w:kern w:val="0"/>
                </w:rPr>
                <w:id w:val="71670892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w:t>
            </w:r>
            <w:r>
              <w:rPr>
                <w:rFonts w:hint="eastAsia" w:ascii="宋体" w:hAnsi="宋体" w:cs="宋体"/>
              </w:rPr>
              <w:t>0571-87967630</w:t>
            </w:r>
            <w:r>
              <w:rPr>
                <w:rFonts w:hint="eastAsia" w:ascii="宋体" w:hAnsi="宋体" w:cs="Helvetica"/>
                <w:kern w:val="0"/>
              </w:rPr>
              <w:t>。如因自身原因导致样品未在规定时间送达指定地点，后果自负。超过截止时间的，采购人或采购代理机构将不予接收。</w:t>
            </w:r>
          </w:p>
          <w:p>
            <w:pPr>
              <w:ind w:firstLine="480"/>
              <w:jc w:val="left"/>
              <w:rPr>
                <w:rFonts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pPr>
              <w:ind w:firstLine="480"/>
            </w:pPr>
            <w:r>
              <w:rPr>
                <w:rFonts w:hint="eastAsia"/>
              </w:rPr>
              <w:t>（7）投标供应商应在样品标注注明产品、材料名称、供应商单位名称等信息，否则由此造成的漏评、错评的一切后果由供应商自己承担。</w:t>
            </w:r>
          </w:p>
          <w:p>
            <w:pPr>
              <w:ind w:firstLine="480"/>
              <w:jc w:val="left"/>
              <w:rPr>
                <w:rFonts w:ascii="宋体" w:hAnsi="宋体" w:cs="宋体"/>
              </w:rPr>
            </w:pPr>
            <w:r>
              <w:rPr>
                <w:rFonts w:hint="eastAsia" w:ascii="宋体" w:hAnsi="宋体" w:cs="宋体"/>
              </w:rPr>
              <w:t>（8）制作、运输、安装和保管样品所发生的一切费用由投标人自理。</w:t>
            </w:r>
          </w:p>
          <w:p>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7</w:t>
            </w:r>
          </w:p>
        </w:tc>
        <w:tc>
          <w:tcPr>
            <w:tcW w:w="2206" w:type="dxa"/>
            <w:vAlign w:val="center"/>
          </w:tcPr>
          <w:p>
            <w:pPr>
              <w:pStyle w:val="144"/>
              <w:widowControl w:val="0"/>
              <w:rPr>
                <w:b/>
                <w:bCs/>
              </w:rPr>
            </w:pPr>
            <w:r>
              <w:rPr>
                <w:rFonts w:hint="eastAsia"/>
                <w:b/>
                <w:bCs/>
              </w:rPr>
              <w:t>方案讲解演示</w:t>
            </w:r>
          </w:p>
        </w:tc>
        <w:tc>
          <w:tcPr>
            <w:tcW w:w="5901" w:type="dxa"/>
            <w:vAlign w:val="center"/>
          </w:tcPr>
          <w:p>
            <w:pPr>
              <w:ind w:firstLine="480"/>
              <w:jc w:val="left"/>
              <w:rPr>
                <w:rFonts w:ascii="宋体" w:hAnsi="宋体" w:cs="宋体"/>
              </w:rPr>
            </w:pPr>
            <w:sdt>
              <w:sdtPr>
                <w:rPr>
                  <w:rFonts w:hint="eastAsia" w:ascii="宋体" w:hAnsi="宋体" w:cs="宋体"/>
                  <w:kern w:val="0"/>
                </w:rPr>
                <w:id w:val="185985097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5"/>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pPr>
              <w:ind w:firstLine="48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4"/>
              <w:widowControl w:val="0"/>
              <w:rPr>
                <w:b/>
                <w:bCs/>
              </w:rPr>
            </w:pPr>
            <w:r>
              <w:rPr>
                <w:rFonts w:hint="eastAsia"/>
                <w:b/>
                <w:bCs/>
              </w:rPr>
              <w:t>8</w:t>
            </w:r>
          </w:p>
        </w:tc>
        <w:tc>
          <w:tcPr>
            <w:tcW w:w="2206" w:type="dxa"/>
            <w:vMerge w:val="restart"/>
            <w:vAlign w:val="center"/>
          </w:tcPr>
          <w:p>
            <w:pPr>
              <w:pStyle w:val="144"/>
              <w:widowControl w:val="0"/>
              <w:rPr>
                <w:b/>
                <w:bCs/>
              </w:rPr>
            </w:pPr>
            <w:r>
              <w:rPr>
                <w:rFonts w:hint="eastAsia"/>
                <w:b/>
                <w:bCs/>
              </w:rPr>
              <w:t>投标人应当提供的资格、资信证明文件</w:t>
            </w:r>
          </w:p>
        </w:tc>
        <w:tc>
          <w:tcPr>
            <w:tcW w:w="5901" w:type="dxa"/>
            <w:vAlign w:val="center"/>
          </w:tcPr>
          <w:p>
            <w:pPr>
              <w:ind w:firstLine="480"/>
              <w:rPr>
                <w:rFonts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4"/>
              <w:widowControl w:val="0"/>
              <w:rPr>
                <w:b/>
                <w:bCs/>
              </w:rPr>
            </w:pPr>
          </w:p>
        </w:tc>
        <w:tc>
          <w:tcPr>
            <w:tcW w:w="2206" w:type="dxa"/>
            <w:vMerge w:val="continue"/>
            <w:vAlign w:val="center"/>
          </w:tcPr>
          <w:p>
            <w:pPr>
              <w:pStyle w:val="144"/>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9</w:t>
            </w:r>
          </w:p>
        </w:tc>
        <w:tc>
          <w:tcPr>
            <w:tcW w:w="2206" w:type="dxa"/>
            <w:vAlign w:val="center"/>
          </w:tcPr>
          <w:p>
            <w:pPr>
              <w:pStyle w:val="144"/>
              <w:widowControl w:val="0"/>
              <w:rPr>
                <w:b/>
                <w:bCs/>
              </w:rPr>
            </w:pPr>
            <w:r>
              <w:rPr>
                <w:rFonts w:hint="eastAsia"/>
                <w:b/>
                <w:bCs/>
              </w:rPr>
              <w:t>节能产品、环境标志产品</w:t>
            </w:r>
          </w:p>
        </w:tc>
        <w:tc>
          <w:tcPr>
            <w:tcW w:w="5901" w:type="dxa"/>
            <w:vAlign w:val="center"/>
          </w:tcPr>
          <w:p>
            <w:pPr>
              <w:ind w:firstLine="480"/>
              <w:jc w:val="left"/>
            </w:pPr>
            <w:r>
              <w:rPr>
                <w:rFonts w:hint="eastAsia"/>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10</w:t>
            </w:r>
          </w:p>
        </w:tc>
        <w:tc>
          <w:tcPr>
            <w:tcW w:w="2206" w:type="dxa"/>
            <w:vAlign w:val="center"/>
          </w:tcPr>
          <w:p>
            <w:pPr>
              <w:pStyle w:val="144"/>
              <w:widowControl w:val="0"/>
              <w:rPr>
                <w:b/>
                <w:bCs/>
              </w:rPr>
            </w:pPr>
            <w:r>
              <w:rPr>
                <w:rFonts w:hint="eastAsia"/>
                <w:b/>
                <w:bCs/>
              </w:rPr>
              <w:t>报价要求</w:t>
            </w:r>
          </w:p>
        </w:tc>
        <w:tc>
          <w:tcPr>
            <w:tcW w:w="5901" w:type="dxa"/>
            <w:vAlign w:val="center"/>
          </w:tcPr>
          <w:p>
            <w:pPr>
              <w:ind w:firstLine="480"/>
              <w:jc w:val="left"/>
              <w:rPr>
                <w:lang w:val="zh-CN"/>
              </w:rPr>
            </w:pPr>
            <w:r>
              <w:rPr>
                <w:rFonts w:hint="eastAsia"/>
                <w:lang w:val="zh-CN"/>
              </w:rPr>
              <w:t>有关本项目实施所需的所有费用（含人工费、材料费、备品备件费、管理费、利润、税费等）均计入报价。投标文件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ind w:firstLine="0" w:firstLineChars="0"/>
              <w:jc w:val="left"/>
              <w:rPr>
                <w:b/>
                <w:bCs/>
                <w:lang w:val="zh-CN"/>
              </w:rPr>
            </w:pPr>
            <w:r>
              <w:rPr>
                <w:rFonts w:hint="eastAsia"/>
                <w:b/>
                <w:bCs/>
                <w:lang w:val="zh-CN"/>
              </w:rPr>
              <w:t>投标报价出现下列情形的，投标无效：</w:t>
            </w:r>
          </w:p>
          <w:p>
            <w:pPr>
              <w:jc w:val="left"/>
              <w:rPr>
                <w:b/>
                <w:bCs/>
                <w:lang w:val="zh-CN"/>
              </w:rPr>
            </w:pPr>
            <w:r>
              <w:rPr>
                <w:rFonts w:hint="eastAsia"/>
                <w:b/>
                <w:bCs/>
                <w:lang w:val="zh-CN"/>
              </w:rPr>
              <w:t>投标文件出现不是唯一的、有选择性投标报价的；</w:t>
            </w:r>
          </w:p>
          <w:p>
            <w:pPr>
              <w:jc w:val="left"/>
              <w:rPr>
                <w:b/>
                <w:bCs/>
                <w:lang w:val="zh-CN"/>
              </w:rPr>
            </w:pPr>
            <w:r>
              <w:rPr>
                <w:rFonts w:hint="eastAsia"/>
                <w:b/>
                <w:bCs/>
                <w:lang w:val="zh-CN"/>
              </w:rPr>
              <w:t>投标报价超过招标文件中规定的预算金额或者最高限价的;</w:t>
            </w:r>
          </w:p>
          <w:p>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jc w:val="left"/>
              <w:rPr>
                <w:b/>
                <w:bCs/>
              </w:rPr>
            </w:pPr>
            <w:r>
              <w:rPr>
                <w:rFonts w:hint="eastAsia"/>
                <w:b/>
                <w:bCs/>
              </w:rPr>
              <w:t>投标人对根据修正原则修正后的报价不确认的；</w:t>
            </w:r>
          </w:p>
          <w:p>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4"/>
              <w:widowControl w:val="0"/>
              <w:rPr>
                <w:b/>
                <w:bCs/>
              </w:rPr>
            </w:pPr>
            <w:r>
              <w:rPr>
                <w:rFonts w:hint="eastAsia"/>
                <w:b/>
                <w:bCs/>
              </w:rPr>
              <w:t>11</w:t>
            </w:r>
          </w:p>
        </w:tc>
        <w:tc>
          <w:tcPr>
            <w:tcW w:w="2206" w:type="dxa"/>
            <w:vAlign w:val="center"/>
          </w:tcPr>
          <w:p>
            <w:pPr>
              <w:pStyle w:val="144"/>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12</w:t>
            </w:r>
          </w:p>
        </w:tc>
        <w:tc>
          <w:tcPr>
            <w:tcW w:w="2206" w:type="dxa"/>
            <w:vAlign w:val="center"/>
          </w:tcPr>
          <w:p>
            <w:pPr>
              <w:pStyle w:val="144"/>
              <w:widowControl w:val="0"/>
              <w:rPr>
                <w:b/>
                <w:bCs/>
              </w:rPr>
            </w:pPr>
            <w:r>
              <w:rPr>
                <w:rFonts w:hint="eastAsia"/>
                <w:b/>
                <w:bCs/>
              </w:rPr>
              <w:t>备份投标文件送达地点和签收人员</w:t>
            </w:r>
          </w:p>
        </w:tc>
        <w:tc>
          <w:tcPr>
            <w:tcW w:w="5901" w:type="dxa"/>
            <w:vAlign w:val="center"/>
          </w:tcPr>
          <w:p>
            <w:pPr>
              <w:pStyle w:val="35"/>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kern w:val="28"/>
                <w:szCs w:val="24"/>
                <w:u w:val="single"/>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4"/>
              <w:widowControl w:val="0"/>
              <w:rPr>
                <w:b/>
                <w:bCs/>
              </w:rPr>
            </w:pPr>
            <w:r>
              <w:rPr>
                <w:rFonts w:hint="eastAsia"/>
                <w:b/>
                <w:bCs/>
              </w:rPr>
              <w:t>13</w:t>
            </w:r>
          </w:p>
        </w:tc>
        <w:tc>
          <w:tcPr>
            <w:tcW w:w="2206" w:type="dxa"/>
            <w:vMerge w:val="restart"/>
            <w:vAlign w:val="center"/>
          </w:tcPr>
          <w:p>
            <w:pPr>
              <w:pStyle w:val="144"/>
              <w:widowControl w:val="0"/>
              <w:rPr>
                <w:b/>
                <w:bCs/>
              </w:rPr>
            </w:pPr>
            <w:r>
              <w:rPr>
                <w:rFonts w:hint="eastAsia"/>
                <w:b/>
                <w:bCs/>
              </w:rPr>
              <w:t>特别说明</w:t>
            </w:r>
          </w:p>
        </w:tc>
        <w:tc>
          <w:tcPr>
            <w:tcW w:w="5901" w:type="dxa"/>
            <w:vAlign w:val="center"/>
          </w:tcPr>
          <w:p>
            <w:r>
              <w:rPr>
                <w:rFonts w:hint="eastAsia"/>
                <w:b/>
                <w:bCs/>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4"/>
              <w:widowControl w:val="0"/>
              <w:rPr>
                <w:b/>
                <w:bCs/>
              </w:rPr>
            </w:pPr>
          </w:p>
        </w:tc>
        <w:tc>
          <w:tcPr>
            <w:tcW w:w="2206" w:type="dxa"/>
            <w:vMerge w:val="continue"/>
            <w:vAlign w:val="center"/>
          </w:tcPr>
          <w:p>
            <w:pPr>
              <w:pStyle w:val="144"/>
              <w:widowControl w:val="0"/>
              <w:rPr>
                <w:b/>
                <w:bCs/>
              </w:rPr>
            </w:pPr>
          </w:p>
        </w:tc>
        <w:tc>
          <w:tcPr>
            <w:tcW w:w="5901" w:type="dxa"/>
            <w:vAlign w:val="center"/>
          </w:tcPr>
          <w:p>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4"/>
              <w:widowControl w:val="0"/>
              <w:rPr>
                <w:b/>
                <w:bCs/>
              </w:rPr>
            </w:pPr>
          </w:p>
        </w:tc>
        <w:tc>
          <w:tcPr>
            <w:tcW w:w="2206" w:type="dxa"/>
            <w:vMerge w:val="continue"/>
            <w:vAlign w:val="center"/>
          </w:tcPr>
          <w:p>
            <w:pPr>
              <w:pStyle w:val="144"/>
              <w:widowControl w:val="0"/>
              <w:rPr>
                <w:b/>
                <w:bCs/>
              </w:rPr>
            </w:pPr>
          </w:p>
        </w:tc>
        <w:tc>
          <w:tcPr>
            <w:tcW w:w="5901" w:type="dxa"/>
            <w:vAlign w:val="center"/>
          </w:tcPr>
          <w:p>
            <w:pPr>
              <w:ind w:firstLine="480"/>
              <w:jc w:val="left"/>
              <w:rPr>
                <w:rFonts w:ascii="宋体" w:hAnsi="宋体" w:cs="宋体"/>
                <w:snapToGrid w:val="0"/>
                <w:kern w:val="28"/>
              </w:rPr>
            </w:pPr>
            <w:sdt>
              <w:sdtPr>
                <w:rPr>
                  <w:rFonts w:hint="eastAsia" w:cs="Arial" w:asciiTheme="minorEastAsia" w:hAnsiTheme="minorEastAsia" w:eastAsiaTheme="minorEastAsia"/>
                  <w:kern w:val="0"/>
                </w:rPr>
                <w:id w:val="982968372"/>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2035154983"/>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4"/>
              <w:widowControl w:val="0"/>
              <w:rPr>
                <w:b/>
                <w:bCs/>
              </w:rPr>
            </w:pPr>
            <w:bookmarkStart w:id="20" w:name="_Toc164416483"/>
            <w:bookmarkStart w:id="21" w:name="第三部分"/>
          </w:p>
        </w:tc>
        <w:tc>
          <w:tcPr>
            <w:tcW w:w="2206" w:type="dxa"/>
            <w:vMerge w:val="continue"/>
            <w:vAlign w:val="center"/>
          </w:tcPr>
          <w:p>
            <w:pPr>
              <w:pStyle w:val="144"/>
              <w:widowControl w:val="0"/>
              <w:rPr>
                <w:b/>
                <w:bCs/>
              </w:rPr>
            </w:pPr>
          </w:p>
        </w:tc>
        <w:tc>
          <w:tcPr>
            <w:tcW w:w="5901" w:type="dxa"/>
            <w:vAlign w:val="center"/>
          </w:tcPr>
          <w:p>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14</w:t>
            </w:r>
          </w:p>
        </w:tc>
        <w:tc>
          <w:tcPr>
            <w:tcW w:w="2206" w:type="dxa"/>
            <w:vAlign w:val="center"/>
          </w:tcPr>
          <w:p>
            <w:pPr>
              <w:pStyle w:val="144"/>
              <w:widowControl w:val="0"/>
              <w:rPr>
                <w:b/>
                <w:bCs/>
              </w:rPr>
            </w:pPr>
            <w:r>
              <w:rPr>
                <w:rFonts w:hint="eastAsia"/>
                <w:b/>
                <w:bCs/>
              </w:rPr>
              <w:t>采购代理服务费</w:t>
            </w:r>
          </w:p>
        </w:tc>
        <w:tc>
          <w:tcPr>
            <w:tcW w:w="5901" w:type="dxa"/>
            <w:vAlign w:val="center"/>
          </w:tcPr>
          <w:p>
            <w:pPr>
              <w:ind w:firstLine="480"/>
              <w:rPr>
                <w:rFonts w:ascii="宋体" w:hAnsi="宋体" w:cs="宋体"/>
                <w:kern w:val="0"/>
              </w:rPr>
            </w:pPr>
            <w:r>
              <w:rPr>
                <w:rFonts w:hint="eastAsia" w:ascii="宋体" w:hAnsi="宋体" w:cs="宋体"/>
                <w:kern w:val="0"/>
              </w:rPr>
              <w:t>本项目的采购代理服务费为：</w:t>
            </w:r>
          </w:p>
          <w:p>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pPr>
              <w:ind w:firstLine="480"/>
              <w:rPr>
                <w:rFonts w:ascii="宋体" w:hAnsi="宋体" w:cs="宋体"/>
                <w:kern w:val="0"/>
              </w:rPr>
            </w:pPr>
            <w:r>
              <w:rPr>
                <w:rFonts w:hint="eastAsia" w:ascii="宋体" w:hAnsi="宋体" w:cs="宋体"/>
                <w:kern w:val="0"/>
              </w:rPr>
              <w:t>（2）各区段具体收费标准如下：</w:t>
            </w:r>
          </w:p>
          <w:p>
            <w:pPr>
              <w:ind w:firstLine="480"/>
              <w:rPr>
                <w:rFonts w:ascii="宋体" w:hAnsi="宋体" w:cs="宋体"/>
                <w:kern w:val="0"/>
              </w:rPr>
            </w:pPr>
            <w:r>
              <w:rPr>
                <w:rFonts w:hint="eastAsia" w:ascii="宋体" w:hAnsi="宋体" w:cs="宋体"/>
                <w:kern w:val="0"/>
              </w:rPr>
              <w:t>成交金额              费率</w:t>
            </w:r>
          </w:p>
          <w:p>
            <w:pPr>
              <w:ind w:firstLine="480"/>
              <w:rPr>
                <w:rFonts w:ascii="宋体" w:hAnsi="宋体" w:cs="宋体"/>
                <w:kern w:val="0"/>
              </w:rPr>
            </w:pPr>
            <w:r>
              <w:rPr>
                <w:rFonts w:hint="eastAsia" w:ascii="宋体" w:hAnsi="宋体" w:cs="宋体"/>
                <w:kern w:val="0"/>
              </w:rPr>
              <w:t>100万元以下          1.2%</w:t>
            </w:r>
          </w:p>
          <w:p>
            <w:pPr>
              <w:ind w:firstLine="480"/>
              <w:rPr>
                <w:rFonts w:ascii="宋体" w:hAnsi="宋体" w:cs="宋体"/>
                <w:kern w:val="0"/>
              </w:rPr>
            </w:pPr>
            <w:r>
              <w:rPr>
                <w:rFonts w:hint="eastAsia" w:ascii="宋体" w:hAnsi="宋体" w:cs="宋体"/>
                <w:kern w:val="0"/>
              </w:rPr>
              <w:t>100-500万元          0.64%</w:t>
            </w:r>
          </w:p>
          <w:p>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rPr>
            </w:pPr>
            <w:r>
              <w:rPr>
                <w:rFonts w:hint="eastAsia" w:ascii="宋体" w:hAnsi="宋体" w:cs="宋体"/>
                <w:kern w:val="0"/>
              </w:rPr>
              <w:t>收款</w:t>
            </w:r>
            <w:r>
              <w:rPr>
                <w:rFonts w:hint="eastAsia" w:ascii="宋体" w:hAnsi="宋体" w:cs="宋体"/>
              </w:rPr>
              <w:t>账号：</w:t>
            </w:r>
          </w:p>
          <w:p>
            <w:pPr>
              <w:ind w:firstLine="480"/>
              <w:rPr>
                <w:rFonts w:ascii="宋体" w:hAnsi="宋体" w:cs="宋体"/>
                <w:kern w:val="0"/>
              </w:rPr>
            </w:pPr>
            <w:r>
              <w:rPr>
                <w:rFonts w:hint="eastAsia" w:ascii="宋体" w:hAnsi="宋体" w:cs="宋体"/>
                <w:kern w:val="0"/>
              </w:rPr>
              <w:t>收款单位（户名）：浙江信镧建设工程咨询有限公司</w:t>
            </w:r>
          </w:p>
          <w:p>
            <w:pPr>
              <w:ind w:firstLine="480"/>
              <w:rPr>
                <w:rFonts w:ascii="宋体" w:hAnsi="宋体" w:cs="宋体"/>
                <w:kern w:val="0"/>
              </w:rPr>
            </w:pPr>
            <w:r>
              <w:rPr>
                <w:rFonts w:hint="eastAsia" w:ascii="宋体" w:hAnsi="宋体" w:cs="宋体"/>
                <w:kern w:val="0"/>
              </w:rPr>
              <w:t>开户银行：交通银行杭州华浙广场支行</w:t>
            </w:r>
          </w:p>
          <w:p>
            <w:pPr>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4"/>
              <w:widowControl w:val="0"/>
              <w:rPr>
                <w:b/>
                <w:bCs/>
              </w:rPr>
            </w:pPr>
            <w:r>
              <w:rPr>
                <w:rFonts w:hint="eastAsia"/>
                <w:b/>
                <w:bCs/>
              </w:rPr>
              <w:t>15</w:t>
            </w:r>
          </w:p>
        </w:tc>
        <w:tc>
          <w:tcPr>
            <w:tcW w:w="2206" w:type="dxa"/>
            <w:vMerge w:val="restart"/>
            <w:vAlign w:val="center"/>
          </w:tcPr>
          <w:p>
            <w:pPr>
              <w:pStyle w:val="144"/>
              <w:widowControl w:val="0"/>
              <w:rPr>
                <w:b/>
                <w:bCs/>
              </w:rPr>
            </w:pPr>
            <w:r>
              <w:rPr>
                <w:rFonts w:hint="eastAsia"/>
                <w:b/>
                <w:bCs/>
              </w:rPr>
              <w:t>其他注意事项</w:t>
            </w:r>
          </w:p>
        </w:tc>
        <w:tc>
          <w:tcPr>
            <w:tcW w:w="5901" w:type="dxa"/>
            <w:vAlign w:val="center"/>
          </w:tcPr>
          <w:p>
            <w:pPr>
              <w:pStyle w:val="726"/>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4"/>
              <w:widowControl w:val="0"/>
              <w:rPr>
                <w:b/>
                <w:bCs/>
              </w:rPr>
            </w:pPr>
          </w:p>
        </w:tc>
        <w:tc>
          <w:tcPr>
            <w:tcW w:w="2206" w:type="dxa"/>
            <w:vMerge w:val="continue"/>
            <w:vAlign w:val="center"/>
          </w:tcPr>
          <w:p>
            <w:pPr>
              <w:pStyle w:val="144"/>
              <w:widowControl w:val="0"/>
              <w:rPr>
                <w:b/>
                <w:bCs/>
              </w:rPr>
            </w:pPr>
          </w:p>
        </w:tc>
        <w:tc>
          <w:tcPr>
            <w:tcW w:w="5901" w:type="dxa"/>
            <w:vAlign w:val="center"/>
          </w:tcPr>
          <w:p>
            <w:pPr>
              <w:pStyle w:val="726"/>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4"/>
              <w:widowControl w:val="0"/>
              <w:rPr>
                <w:b/>
                <w:bCs/>
              </w:rPr>
            </w:pPr>
            <w:r>
              <w:rPr>
                <w:rFonts w:hint="eastAsia"/>
                <w:b/>
                <w:bCs/>
              </w:rPr>
              <w:t>16</w:t>
            </w:r>
          </w:p>
        </w:tc>
        <w:tc>
          <w:tcPr>
            <w:tcW w:w="2206" w:type="dxa"/>
            <w:vAlign w:val="center"/>
          </w:tcPr>
          <w:p>
            <w:pPr>
              <w:pStyle w:val="144"/>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3"/>
      </w:pPr>
      <w:bookmarkStart w:id="26" w:name="_Toc2518"/>
      <w:bookmarkStart w:id="27" w:name="_Toc3424"/>
      <w:r>
        <w:rPr>
          <w:rFonts w:hint="eastAsia"/>
        </w:rPr>
        <w:t>一、总则</w:t>
      </w:r>
      <w:bookmarkEnd w:id="26"/>
      <w:bookmarkEnd w:id="27"/>
    </w:p>
    <w:p>
      <w:pPr>
        <w:pStyle w:val="5"/>
      </w:pPr>
      <w:r>
        <w:rPr>
          <w:rFonts w:hint="eastAsia"/>
        </w:rPr>
        <w:t>1.适用范围</w:t>
      </w:r>
    </w:p>
    <w:p>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5"/>
      </w:pPr>
      <w:r>
        <w:rPr>
          <w:rFonts w:hint="eastAsia"/>
        </w:rPr>
        <w:t>2.定义</w:t>
      </w:r>
    </w:p>
    <w:p>
      <w:pPr>
        <w:ind w:firstLine="480"/>
        <w:rPr>
          <w:rFonts w:ascii="宋体" w:hAnsi="宋体" w:cs="宋体"/>
        </w:rPr>
      </w:pPr>
      <w:r>
        <w:rPr>
          <w:rFonts w:hint="eastAsia" w:ascii="宋体" w:hAnsi="宋体" w:cs="宋体"/>
        </w:rPr>
        <w:t>2.1 “采购人”系指招标公告中载明的本项目的采购人。</w:t>
      </w:r>
    </w:p>
    <w:p>
      <w:pPr>
        <w:ind w:firstLine="480"/>
        <w:rPr>
          <w:rFonts w:ascii="宋体" w:hAnsi="宋体" w:cs="宋体"/>
        </w:rPr>
      </w:pPr>
      <w:r>
        <w:rPr>
          <w:rFonts w:hint="eastAsia" w:ascii="宋体" w:hAnsi="宋体" w:cs="宋体"/>
        </w:rPr>
        <w:t>2.2 “采购代理机构”系指招标公告中载明的本项目的采购代理机构。</w:t>
      </w:r>
    </w:p>
    <w:p>
      <w:pPr>
        <w:ind w:firstLine="480"/>
        <w:rPr>
          <w:rFonts w:ascii="宋体" w:hAnsi="宋体" w:cs="宋体"/>
        </w:rPr>
      </w:pPr>
      <w:r>
        <w:rPr>
          <w:rFonts w:hint="eastAsia" w:ascii="宋体" w:hAnsi="宋体" w:cs="宋体"/>
        </w:rPr>
        <w:t>2.3 “投标人”系指是指响应招标、参加投标竞争的法人、其他组织或者自然人。</w:t>
      </w:r>
    </w:p>
    <w:p>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rPr>
      </w:pPr>
      <w:r>
        <w:rPr>
          <w:rFonts w:hint="eastAsia" w:ascii="宋体" w:hAnsi="宋体" w:cs="宋体"/>
        </w:rPr>
        <w:t>2.6“电子交易平台”是指本项目政府采购活动所依托的政府采购云平台（https://www.zcygov.cn/）。</w:t>
      </w:r>
    </w:p>
    <w:p>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5"/>
      </w:pPr>
      <w:r>
        <w:rPr>
          <w:rFonts w:hint="eastAsia"/>
        </w:rPr>
        <w:t>3.采购项目需要落实的政府采购政策</w:t>
      </w:r>
    </w:p>
    <w:p>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ascii="宋体" w:hAnsi="宋体" w:cs="宋体"/>
          <w:b/>
          <w:bCs/>
        </w:rPr>
      </w:pPr>
      <w:r>
        <w:rPr>
          <w:rFonts w:hint="eastAsia" w:ascii="宋体" w:hAnsi="宋体" w:cs="宋体"/>
          <w:b/>
          <w:bCs/>
        </w:rPr>
        <w:t>3.2 支持绿色发展</w:t>
      </w:r>
    </w:p>
    <w:p>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rPr>
      </w:pPr>
      <w:r>
        <w:rPr>
          <w:rFonts w:hint="eastAsia" w:ascii="宋体" w:hAnsi="宋体" w:cs="宋体"/>
          <w:b/>
          <w:bCs/>
        </w:rPr>
        <w:t>3.3支持中小企业发展</w:t>
      </w:r>
    </w:p>
    <w:p>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rPr>
      </w:pPr>
      <w:r>
        <w:rPr>
          <w:rFonts w:hint="eastAsia" w:ascii="宋体" w:hAnsi="宋体" w:cs="宋体"/>
          <w:b/>
          <w:bCs/>
        </w:rPr>
        <w:t>3.4支持创新发展</w:t>
      </w:r>
    </w:p>
    <w:p>
      <w:pPr>
        <w:ind w:firstLine="480"/>
        <w:rPr>
          <w:rFonts w:ascii="宋体" w:hAnsi="宋体" w:cs="宋体"/>
        </w:rPr>
      </w:pPr>
      <w:r>
        <w:rPr>
          <w:rFonts w:hint="eastAsia" w:ascii="宋体" w:hAnsi="宋体" w:cs="宋体"/>
        </w:rPr>
        <w:t>3.4.1 采购人优先采购被认定为首台套产品和“制造精品”的自主创新产品。</w:t>
      </w:r>
    </w:p>
    <w:p>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5"/>
      </w:pPr>
      <w:r>
        <w:rPr>
          <w:rFonts w:hint="eastAsia" w:ascii="宋体" w:hAnsi="宋体" w:cs="宋体"/>
        </w:rPr>
        <w:t>4.</w:t>
      </w:r>
      <w:r>
        <w:rPr>
          <w:rFonts w:hint="eastAsia"/>
        </w:rPr>
        <w:t>询问、质疑、投诉</w:t>
      </w:r>
    </w:p>
    <w:p>
      <w:pPr>
        <w:pStyle w:val="6"/>
      </w:pPr>
      <w:r>
        <w:rPr>
          <w:rFonts w:hint="eastAsia"/>
        </w:rPr>
        <w:t>4.1</w:t>
      </w:r>
      <w:r>
        <w:t>在线询问、质疑、投诉</w:t>
      </w:r>
    </w:p>
    <w:p>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pPr>
      <w:r>
        <w:rPr>
          <w:rFonts w:hint="eastAsia"/>
        </w:rPr>
        <w:t>4.2供应商询问</w:t>
      </w:r>
    </w:p>
    <w:p>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6"/>
      </w:pPr>
      <w:r>
        <w:rPr>
          <w:rFonts w:hint="eastAsia"/>
        </w:rPr>
        <w:t>4.3供应商质疑</w:t>
      </w:r>
    </w:p>
    <w:p>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ascii="宋体" w:hAnsi="宋体" w:cs="宋体"/>
        </w:rPr>
      </w:pPr>
      <w:r>
        <w:rPr>
          <w:rFonts w:hint="eastAsia" w:ascii="宋体" w:hAnsi="宋体" w:cs="宋体"/>
        </w:rPr>
        <w:t>4.3.3供应商提出质疑应当提交质疑函和必要的证明材料。质疑函应当包括下列内容：</w:t>
      </w:r>
    </w:p>
    <w:p>
      <w:pPr>
        <w:ind w:firstLine="480"/>
        <w:rPr>
          <w:rFonts w:ascii="宋体" w:hAnsi="宋体" w:cs="宋体"/>
        </w:rPr>
      </w:pPr>
      <w:r>
        <w:rPr>
          <w:rFonts w:hint="eastAsia" w:ascii="宋体" w:hAnsi="宋体" w:cs="宋体"/>
        </w:rPr>
        <w:t>　4.3.3.1供应商的姓名或者名称、地址、邮编、联系人及联系电话；</w:t>
      </w:r>
    </w:p>
    <w:p>
      <w:pPr>
        <w:ind w:firstLine="480"/>
        <w:rPr>
          <w:rFonts w:ascii="宋体" w:hAnsi="宋体" w:cs="宋体"/>
        </w:rPr>
      </w:pPr>
      <w:r>
        <w:rPr>
          <w:rFonts w:hint="eastAsia" w:ascii="宋体" w:hAnsi="宋体" w:cs="宋体"/>
        </w:rPr>
        <w:t>　4.3.3.2质疑项目的名称、编号；</w:t>
      </w:r>
    </w:p>
    <w:p>
      <w:pPr>
        <w:ind w:firstLine="480"/>
        <w:rPr>
          <w:rFonts w:ascii="宋体" w:hAnsi="宋体" w:cs="宋体"/>
        </w:rPr>
      </w:pPr>
      <w:r>
        <w:rPr>
          <w:rFonts w:hint="eastAsia" w:ascii="宋体" w:hAnsi="宋体" w:cs="宋体"/>
        </w:rPr>
        <w:t>　4.3.3.3具体、明确的质疑事项和与质疑事项相关的请求；</w:t>
      </w:r>
    </w:p>
    <w:p>
      <w:pPr>
        <w:ind w:firstLine="480"/>
        <w:rPr>
          <w:rFonts w:ascii="宋体" w:hAnsi="宋体" w:cs="宋体"/>
        </w:rPr>
      </w:pPr>
      <w:r>
        <w:rPr>
          <w:rFonts w:hint="eastAsia" w:ascii="宋体" w:hAnsi="宋体" w:cs="宋体"/>
        </w:rPr>
        <w:t>　4.3.3.4事实依据；</w:t>
      </w:r>
    </w:p>
    <w:p>
      <w:pPr>
        <w:ind w:firstLine="480"/>
        <w:rPr>
          <w:rFonts w:ascii="宋体" w:hAnsi="宋体" w:cs="宋体"/>
        </w:rPr>
      </w:pPr>
      <w:r>
        <w:rPr>
          <w:rFonts w:hint="eastAsia" w:ascii="宋体" w:hAnsi="宋体" w:cs="宋体"/>
        </w:rPr>
        <w:t>　4.3.3.5必要的法律依据；</w:t>
      </w:r>
    </w:p>
    <w:p>
      <w:pPr>
        <w:ind w:firstLine="720" w:firstLineChars="300"/>
        <w:rPr>
          <w:rFonts w:ascii="宋体" w:hAnsi="宋体" w:cs="宋体"/>
        </w:rPr>
      </w:pPr>
      <w:r>
        <w:rPr>
          <w:rFonts w:hint="eastAsia" w:ascii="宋体" w:hAnsi="宋体" w:cs="宋体"/>
        </w:rPr>
        <w:t>4.3.3.6提出质疑的日期。</w:t>
      </w:r>
    </w:p>
    <w:p>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rPr>
      </w:pPr>
      <w:r>
        <w:rPr>
          <w:rFonts w:hint="eastAsia" w:ascii="宋体" w:hAnsi="宋体" w:cs="宋体"/>
        </w:rPr>
        <w:t>质疑函范本及制作说明详见附件2。</w:t>
      </w:r>
    </w:p>
    <w:p>
      <w:pPr>
        <w:ind w:firstLine="480"/>
        <w:rPr>
          <w:rFonts w:ascii="宋体" w:hAnsi="宋体" w:cs="宋体"/>
        </w:rPr>
      </w:pPr>
      <w:r>
        <w:rPr>
          <w:rFonts w:hint="eastAsia" w:ascii="宋体" w:hAnsi="宋体" w:cs="宋体"/>
        </w:rPr>
        <w:t>4.3.4对同一采购程序环节的质疑，供应商须在法定质疑期内一次性提出。</w:t>
      </w:r>
    </w:p>
    <w:p>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lang w:val="zh-CN"/>
        </w:rPr>
      </w:pPr>
      <w:r>
        <w:rPr>
          <w:rFonts w:hint="eastAsia" w:ascii="宋体" w:hAnsi="宋体" w:cs="宋体"/>
        </w:rPr>
        <w:t>代理人提出质疑和投诉，应当提交供应商签署的授权委托书。</w:t>
      </w:r>
    </w:p>
    <w:p>
      <w:pPr>
        <w:pStyle w:val="35"/>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5"/>
        <w:ind w:firstLine="480"/>
        <w:rPr>
          <w:rFonts w:hAnsi="宋体"/>
        </w:rPr>
      </w:pPr>
      <w:r>
        <w:rPr>
          <w:rFonts w:hint="eastAsia" w:hAnsi="宋体"/>
        </w:rPr>
        <w:t>4.3.6询问或者质疑事项可能影响采购结果的，采购人应当暂停签订合同，已经签订合同的，应当中止履行合同。</w:t>
      </w:r>
    </w:p>
    <w:p>
      <w:pPr>
        <w:pStyle w:val="35"/>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5"/>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5"/>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6"/>
      </w:pPr>
      <w:r>
        <w:rPr>
          <w:rFonts w:hint="eastAsia"/>
        </w:rPr>
        <w:t>4.4供应商投诉</w:t>
      </w:r>
    </w:p>
    <w:p>
      <w:pPr>
        <w:pStyle w:val="35"/>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5"/>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5"/>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5"/>
        <w:ind w:firstLine="480"/>
        <w:rPr>
          <w:rFonts w:hAnsi="宋体"/>
          <w:lang w:val="zh-CN"/>
        </w:rPr>
      </w:pPr>
      <w:r>
        <w:rPr>
          <w:rFonts w:hint="eastAsia" w:hAnsi="宋体"/>
        </w:rPr>
        <w:t xml:space="preserve">4.4.4投诉人提起投诉应当符合下列条件： </w:t>
      </w:r>
    </w:p>
    <w:p>
      <w:pPr>
        <w:pStyle w:val="35"/>
        <w:ind w:firstLine="480"/>
        <w:rPr>
          <w:rFonts w:hAnsi="宋体"/>
          <w:lang w:val="zh-CN"/>
        </w:rPr>
      </w:pPr>
      <w:r>
        <w:rPr>
          <w:rFonts w:hint="eastAsia" w:hAnsi="宋体"/>
        </w:rPr>
        <w:t xml:space="preserve">（一）提起投诉前已依法进行质疑； </w:t>
      </w:r>
    </w:p>
    <w:p>
      <w:pPr>
        <w:pStyle w:val="35"/>
        <w:ind w:firstLine="480"/>
        <w:rPr>
          <w:rFonts w:hAnsi="宋体"/>
          <w:lang w:val="zh-CN"/>
        </w:rPr>
      </w:pPr>
      <w:r>
        <w:rPr>
          <w:rFonts w:hint="eastAsia" w:hAnsi="宋体"/>
        </w:rPr>
        <w:t xml:space="preserve">（二）投诉书内容符合本办法的规定； </w:t>
      </w:r>
    </w:p>
    <w:p>
      <w:pPr>
        <w:pStyle w:val="35"/>
        <w:ind w:firstLine="480"/>
        <w:rPr>
          <w:rFonts w:hAnsi="宋体"/>
          <w:lang w:val="zh-CN"/>
        </w:rPr>
      </w:pPr>
      <w:r>
        <w:rPr>
          <w:rFonts w:hint="eastAsia" w:hAnsi="宋体"/>
        </w:rPr>
        <w:t xml:space="preserve">（三）在投诉有效期限内提起投诉； </w:t>
      </w:r>
    </w:p>
    <w:p>
      <w:pPr>
        <w:pStyle w:val="35"/>
        <w:ind w:firstLine="480"/>
        <w:rPr>
          <w:rFonts w:hAnsi="宋体"/>
          <w:lang w:val="zh-CN"/>
        </w:rPr>
      </w:pPr>
      <w:r>
        <w:rPr>
          <w:rFonts w:hint="eastAsia" w:hAnsi="宋体"/>
        </w:rPr>
        <w:t xml:space="preserve">（四）同一投诉事项未经财政部门投诉处理； </w:t>
      </w:r>
    </w:p>
    <w:p>
      <w:pPr>
        <w:pStyle w:val="35"/>
        <w:ind w:firstLine="480"/>
        <w:rPr>
          <w:rFonts w:hAnsi="宋体"/>
          <w:lang w:val="zh-CN"/>
        </w:rPr>
      </w:pPr>
      <w:r>
        <w:rPr>
          <w:rFonts w:hint="eastAsia" w:hAnsi="宋体"/>
        </w:rPr>
        <w:t>（五）财政部规定的其他条件。</w:t>
      </w:r>
    </w:p>
    <w:p>
      <w:pPr>
        <w:pStyle w:val="35"/>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5"/>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5"/>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5"/>
        <w:ind w:firstLine="480"/>
        <w:rPr>
          <w:rFonts w:hAnsi="宋体"/>
          <w:lang w:val="zh-CN"/>
        </w:rPr>
      </w:pPr>
      <w:r>
        <w:rPr>
          <w:rFonts w:hint="eastAsia" w:hAnsi="宋体"/>
          <w:lang w:val="zh-CN"/>
        </w:rPr>
        <w:t>（一）捏造事实；</w:t>
      </w:r>
    </w:p>
    <w:p>
      <w:pPr>
        <w:pStyle w:val="35"/>
        <w:ind w:firstLine="480"/>
        <w:rPr>
          <w:rFonts w:hAnsi="宋体"/>
          <w:lang w:val="zh-CN"/>
        </w:rPr>
      </w:pPr>
      <w:r>
        <w:rPr>
          <w:rFonts w:hint="eastAsia" w:hAnsi="宋体"/>
          <w:lang w:val="zh-CN"/>
        </w:rPr>
        <w:t>（二）提供虚假材料；</w:t>
      </w:r>
    </w:p>
    <w:p>
      <w:pPr>
        <w:pStyle w:val="35"/>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5"/>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5"/>
        <w:ind w:firstLine="480"/>
        <w:rPr>
          <w:rFonts w:hAnsi="宋体"/>
          <w:lang w:val="zh-CN"/>
        </w:rPr>
      </w:pPr>
    </w:p>
    <w:p>
      <w:pPr>
        <w:pStyle w:val="890"/>
        <w:shd w:val="clear" w:color="auto" w:fill="FFFFFF"/>
        <w:spacing w:after="240" w:afterAutospacing="0"/>
        <w:ind w:firstLine="480"/>
        <w:contextualSpacing/>
      </w:pPr>
    </w:p>
    <w:p>
      <w:pPr>
        <w:pStyle w:val="135"/>
        <w:spacing w:before="0"/>
        <w:ind w:firstLine="360"/>
        <w:rPr>
          <w:rFonts w:ascii="宋体" w:hAnsi="宋体" w:cs="宋体"/>
          <w:sz w:val="18"/>
          <w:szCs w:val="18"/>
        </w:rPr>
      </w:pPr>
    </w:p>
    <w:p>
      <w:pPr>
        <w:pStyle w:val="2"/>
        <w:sectPr>
          <w:pgSz w:w="11905" w:h="16838"/>
          <w:pgMar w:top="1440" w:right="1797" w:bottom="1440" w:left="1797" w:header="851" w:footer="992" w:gutter="0"/>
          <w:cols w:space="0" w:num="1"/>
          <w:titlePg/>
          <w:docGrid w:linePitch="312" w:charSpace="0"/>
        </w:sectPr>
      </w:pPr>
    </w:p>
    <w:p>
      <w:pPr>
        <w:pStyle w:val="3"/>
      </w:pPr>
      <w:bookmarkStart w:id="28" w:name="_Toc6417"/>
      <w:bookmarkStart w:id="29" w:name="_Toc2155"/>
      <w:r>
        <w:rPr>
          <w:rFonts w:hint="eastAsia"/>
        </w:rPr>
        <w:t>二、招标文件的构成、澄清、修改</w:t>
      </w:r>
      <w:bookmarkEnd w:id="28"/>
      <w:bookmarkEnd w:id="29"/>
    </w:p>
    <w:p>
      <w:pPr>
        <w:pStyle w:val="5"/>
      </w:pPr>
      <w:r>
        <w:rPr>
          <w:rFonts w:hint="eastAsia"/>
        </w:rPr>
        <w:t>5．招标文件的构成</w:t>
      </w:r>
    </w:p>
    <w:p>
      <w:pPr>
        <w:pStyle w:val="35"/>
        <w:ind w:firstLine="480"/>
        <w:rPr>
          <w:rFonts w:hAnsi="宋体" w:cs="宋体"/>
          <w:szCs w:val="24"/>
        </w:rPr>
      </w:pPr>
      <w:r>
        <w:rPr>
          <w:rFonts w:hint="eastAsia" w:hAnsi="宋体" w:cs="宋体"/>
          <w:szCs w:val="24"/>
        </w:rPr>
        <w:t>5.1 招标文件包括下列文件及附件：</w:t>
      </w:r>
    </w:p>
    <w:p>
      <w:pPr>
        <w:pStyle w:val="35"/>
        <w:tabs>
          <w:tab w:val="left" w:pos="840"/>
        </w:tabs>
        <w:ind w:firstLine="960" w:firstLineChars="400"/>
        <w:rPr>
          <w:rFonts w:hAnsi="宋体" w:cs="宋体"/>
          <w:szCs w:val="24"/>
        </w:rPr>
      </w:pPr>
      <w:r>
        <w:rPr>
          <w:rFonts w:hint="eastAsia" w:hAnsi="宋体" w:cs="宋体"/>
          <w:szCs w:val="24"/>
        </w:rPr>
        <w:t>5.1.1招标公告；</w:t>
      </w:r>
    </w:p>
    <w:p>
      <w:pPr>
        <w:pStyle w:val="35"/>
        <w:tabs>
          <w:tab w:val="left" w:pos="840"/>
        </w:tabs>
        <w:ind w:firstLine="960" w:firstLineChars="400"/>
        <w:rPr>
          <w:rFonts w:hAnsi="宋体" w:cs="宋体"/>
          <w:szCs w:val="24"/>
        </w:rPr>
      </w:pPr>
      <w:r>
        <w:rPr>
          <w:rFonts w:hint="eastAsia" w:hAnsi="宋体" w:cs="宋体"/>
          <w:szCs w:val="24"/>
        </w:rPr>
        <w:t>5.1.2投标人须知；</w:t>
      </w:r>
    </w:p>
    <w:p>
      <w:pPr>
        <w:pStyle w:val="35"/>
        <w:tabs>
          <w:tab w:val="left" w:pos="840"/>
        </w:tabs>
        <w:ind w:firstLine="960" w:firstLineChars="400"/>
        <w:rPr>
          <w:rFonts w:hAnsi="宋体" w:cs="宋体"/>
          <w:szCs w:val="24"/>
        </w:rPr>
      </w:pPr>
      <w:r>
        <w:rPr>
          <w:rFonts w:hint="eastAsia" w:hAnsi="宋体" w:cs="宋体"/>
          <w:szCs w:val="24"/>
        </w:rPr>
        <w:t>5.1.3采购需求；</w:t>
      </w:r>
    </w:p>
    <w:p>
      <w:pPr>
        <w:pStyle w:val="35"/>
        <w:tabs>
          <w:tab w:val="left" w:pos="840"/>
        </w:tabs>
        <w:ind w:firstLine="960" w:firstLineChars="400"/>
        <w:rPr>
          <w:rFonts w:hAnsi="宋体" w:cs="宋体"/>
          <w:szCs w:val="24"/>
        </w:rPr>
      </w:pPr>
      <w:r>
        <w:rPr>
          <w:rFonts w:hint="eastAsia" w:hAnsi="宋体" w:cs="宋体"/>
          <w:szCs w:val="24"/>
        </w:rPr>
        <w:t>5.1.4评标办法；</w:t>
      </w:r>
    </w:p>
    <w:p>
      <w:pPr>
        <w:pStyle w:val="35"/>
        <w:tabs>
          <w:tab w:val="left" w:pos="840"/>
        </w:tabs>
        <w:ind w:firstLine="960" w:firstLineChars="400"/>
        <w:rPr>
          <w:rFonts w:hAnsi="宋体" w:cs="宋体"/>
          <w:szCs w:val="24"/>
        </w:rPr>
      </w:pPr>
      <w:r>
        <w:rPr>
          <w:rFonts w:hint="eastAsia" w:hAnsi="宋体" w:cs="宋体"/>
          <w:szCs w:val="24"/>
        </w:rPr>
        <w:t>5.1.5拟签订的合同文本；</w:t>
      </w:r>
    </w:p>
    <w:p>
      <w:pPr>
        <w:pStyle w:val="35"/>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5"/>
      </w:pPr>
      <w:r>
        <w:rPr>
          <w:rFonts w:hint="eastAsia"/>
        </w:rPr>
        <w:t>6. 招标文件的澄清、修改</w:t>
      </w:r>
    </w:p>
    <w:p>
      <w:pPr>
        <w:pStyle w:val="135"/>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5"/>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ectPr>
          <w:pgSz w:w="11905" w:h="16838"/>
          <w:pgMar w:top="1440" w:right="1797" w:bottom="1440" w:left="1797" w:header="851" w:footer="992" w:gutter="0"/>
          <w:cols w:space="0" w:num="1"/>
          <w:titlePg/>
          <w:docGrid w:linePitch="312" w:charSpace="0"/>
        </w:sectPr>
      </w:pPr>
    </w:p>
    <w:p>
      <w:pPr>
        <w:pStyle w:val="3"/>
      </w:pPr>
      <w:bookmarkStart w:id="30" w:name="_Toc21343"/>
      <w:bookmarkStart w:id="31" w:name="_Toc23795"/>
      <w:r>
        <w:rPr>
          <w:rFonts w:hint="eastAsia"/>
        </w:rPr>
        <w:t>三、投标</w:t>
      </w:r>
      <w:bookmarkEnd w:id="30"/>
      <w:bookmarkEnd w:id="31"/>
    </w:p>
    <w:p>
      <w:pPr>
        <w:pStyle w:val="5"/>
      </w:pPr>
      <w:r>
        <w:rPr>
          <w:rFonts w:hint="eastAsia"/>
        </w:rPr>
        <w:t>7. 招标文件的获取</w:t>
      </w:r>
    </w:p>
    <w:p>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5"/>
      </w:pPr>
      <w:r>
        <w:rPr>
          <w:rFonts w:hint="eastAsia"/>
        </w:rPr>
        <w:t>8.开标前答疑会或现场考察</w:t>
      </w:r>
    </w:p>
    <w:p>
      <w:pPr>
        <w:pStyle w:val="35"/>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5"/>
      </w:pPr>
      <w:r>
        <w:rPr>
          <w:rFonts w:hint="eastAsia"/>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
      </w:pPr>
      <w:r>
        <w:rPr>
          <w:rFonts w:hint="eastAsia"/>
        </w:rPr>
        <w:t>10.投标文件的语言</w:t>
      </w:r>
    </w:p>
    <w:p>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pPr>
        <w:pStyle w:val="5"/>
      </w:pPr>
      <w:r>
        <w:rPr>
          <w:rFonts w:hint="eastAsia"/>
        </w:rPr>
        <w:t>11.投标文件的组成</w:t>
      </w:r>
    </w:p>
    <w:p>
      <w:pPr>
        <w:pStyle w:val="6"/>
      </w:pPr>
      <w:r>
        <w:rPr>
          <w:rFonts w:hint="eastAsia"/>
        </w:rPr>
        <w:t>11.1资格文件</w:t>
      </w:r>
    </w:p>
    <w:p>
      <w:pPr>
        <w:ind w:firstLine="480"/>
        <w:rPr>
          <w:rFonts w:ascii="宋体" w:hAnsi="宋体" w:cs="宋体"/>
        </w:rPr>
      </w:pPr>
      <w:r>
        <w:rPr>
          <w:rFonts w:hint="eastAsia" w:ascii="宋体" w:hAnsi="宋体" w:cs="宋体"/>
        </w:rPr>
        <w:t>11.1.1符合参加政府采购活动应当具备的一般条件的承诺函；</w:t>
      </w:r>
    </w:p>
    <w:p>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ascii="宋体" w:hAnsi="宋体" w:cs="宋体"/>
        </w:rPr>
      </w:pPr>
      <w:r>
        <w:rPr>
          <w:rFonts w:hint="eastAsia" w:ascii="宋体" w:hAnsi="宋体" w:cs="宋体"/>
        </w:rPr>
        <w:t>11.1.3落实政府采购政策需满足的资格要求：</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p>
    <w:p>
      <w:pPr>
        <w:ind w:firstLine="480"/>
        <w:rPr>
          <w:rFonts w:ascii="宋体" w:hAnsi="宋体" w:cs="宋体"/>
        </w:rPr>
      </w:pPr>
      <w:r>
        <w:rPr>
          <w:rFonts w:hint="eastAsia" w:ascii="宋体" w:hAnsi="宋体" w:cs="宋体"/>
        </w:rPr>
        <w:t>11.1.4本项目的特定资格要求（如有要求)。</w:t>
      </w:r>
    </w:p>
    <w:p>
      <w:pPr>
        <w:pStyle w:val="6"/>
      </w:pPr>
      <w:r>
        <w:rPr>
          <w:rFonts w:hint="eastAsia"/>
          <w:lang w:val="zh-CN"/>
        </w:rPr>
        <w:t>11.</w:t>
      </w:r>
      <w:r>
        <w:rPr>
          <w:rFonts w:hint="eastAsia"/>
        </w:rPr>
        <w:t>2</w:t>
      </w:r>
      <w:r>
        <w:rPr>
          <w:rFonts w:hint="eastAsia"/>
          <w:lang w:val="zh-CN"/>
        </w:rPr>
        <w:t xml:space="preserve"> </w:t>
      </w:r>
      <w:r>
        <w:rPr>
          <w:rFonts w:hint="eastAsia"/>
        </w:rPr>
        <w:t>商务技术</w:t>
      </w:r>
      <w:r>
        <w:rPr>
          <w:rFonts w:hint="eastAsia"/>
          <w:lang w:val="zh-CN"/>
        </w:rPr>
        <w:t>文件</w:t>
      </w:r>
    </w:p>
    <w:p>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ascii="宋体" w:hAnsi="宋体" w:cs="宋体"/>
        </w:rPr>
      </w:pPr>
      <w:r>
        <w:rPr>
          <w:rFonts w:hint="eastAsia" w:ascii="宋体" w:hAnsi="宋体" w:cs="宋体"/>
        </w:rPr>
        <w:t>11.2.5评标标准相应的商务技术资料；</w:t>
      </w:r>
    </w:p>
    <w:p>
      <w:pPr>
        <w:ind w:firstLine="480"/>
        <w:rPr>
          <w:rFonts w:ascii="宋体" w:hAnsi="宋体" w:cs="宋体"/>
        </w:rPr>
      </w:pPr>
      <w:r>
        <w:rPr>
          <w:rFonts w:hint="eastAsia" w:ascii="宋体" w:hAnsi="宋体" w:cs="宋体"/>
        </w:rPr>
        <w:t>11.2.6商务偏离表；</w:t>
      </w:r>
    </w:p>
    <w:p>
      <w:pPr>
        <w:ind w:firstLine="480"/>
        <w:rPr>
          <w:rFonts w:ascii="宋体" w:hAnsi="宋体" w:cs="宋体"/>
        </w:rPr>
      </w:pPr>
      <w:r>
        <w:rPr>
          <w:rFonts w:hint="eastAsia" w:ascii="宋体" w:hAnsi="宋体" w:cs="宋体"/>
        </w:rPr>
        <w:t>11.2.7技术偏离表；</w:t>
      </w:r>
    </w:p>
    <w:p>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pPr>
        <w:pStyle w:val="6"/>
        <w:rPr>
          <w:u w:val="single"/>
        </w:rPr>
      </w:pPr>
      <w:r>
        <w:rPr>
          <w:rFonts w:hint="eastAsia"/>
          <w:kern w:val="0"/>
          <w:lang w:val="zh-CN"/>
        </w:rPr>
        <w:t>11.</w:t>
      </w:r>
      <w:r>
        <w:rPr>
          <w:rFonts w:hint="eastAsia"/>
          <w:kern w:val="0"/>
        </w:rPr>
        <w:t>3</w:t>
      </w:r>
      <w:r>
        <w:rPr>
          <w:rFonts w:hint="eastAsia"/>
        </w:rPr>
        <w:t xml:space="preserve">报价文件 </w:t>
      </w:r>
    </w:p>
    <w:p>
      <w:pPr>
        <w:ind w:firstLine="480"/>
        <w:rPr>
          <w:rFonts w:ascii="宋体" w:hAnsi="宋体" w:cs="宋体"/>
        </w:rPr>
      </w:pPr>
      <w:r>
        <w:rPr>
          <w:rFonts w:hint="eastAsia" w:ascii="宋体" w:hAnsi="宋体" w:cs="宋体"/>
        </w:rPr>
        <w:t>11.3.1开标一览表（报价表）；</w:t>
      </w:r>
    </w:p>
    <w:p>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pPr>
        <w:ind w:firstLine="480"/>
        <w:rPr>
          <w:rFonts w:ascii="宋体" w:hAnsi="宋体" w:cs="宋体"/>
        </w:rPr>
      </w:pPr>
      <w:r>
        <w:rPr>
          <w:rFonts w:hint="eastAsia" w:ascii="宋体" w:hAnsi="宋体" w:cs="宋体"/>
        </w:rPr>
        <w:t>11.3.3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rPr>
        <w:t>如适用</w:t>
      </w:r>
      <w:r>
        <w:rPr>
          <w:rFonts w:hint="eastAsia" w:ascii="宋体" w:hAnsi="宋体" w:cs="宋体"/>
        </w:rPr>
        <w:t>）</w:t>
      </w:r>
    </w:p>
    <w:p>
      <w:pPr>
        <w:rPr>
          <w:rFonts w:ascii="宋体" w:hAnsi="宋体" w:cs="宋体"/>
          <w:b/>
        </w:rPr>
      </w:pPr>
      <w:r>
        <w:rPr>
          <w:rFonts w:hint="eastAsia" w:ascii="宋体" w:hAnsi="宋体" w:cs="宋体"/>
          <w:b/>
        </w:rPr>
        <w:t>投标文件含有采购人不能接受的附加条件的，投标无效；</w:t>
      </w:r>
    </w:p>
    <w:p>
      <w:pPr>
        <w:rPr>
          <w:rFonts w:ascii="宋体" w:hAnsi="宋体" w:cs="宋体"/>
          <w:b/>
          <w:szCs w:val="21"/>
        </w:rPr>
      </w:pPr>
      <w:r>
        <w:rPr>
          <w:rFonts w:hint="eastAsia" w:ascii="宋体" w:hAnsi="宋体" w:cs="宋体"/>
          <w:b/>
        </w:rPr>
        <w:t>投标人提供虚假材料投标的，投标无效。</w:t>
      </w:r>
    </w:p>
    <w:p>
      <w:pPr>
        <w:pStyle w:val="5"/>
      </w:pPr>
      <w:r>
        <w:rPr>
          <w:rFonts w:hint="eastAsia"/>
        </w:rPr>
        <w:t>12</w:t>
      </w:r>
      <w:r>
        <w:rPr>
          <w:rFonts w:hint="eastAsia"/>
          <w:lang w:val="zh-CN"/>
        </w:rPr>
        <w:t xml:space="preserve">. </w:t>
      </w:r>
      <w:r>
        <w:rPr>
          <w:rFonts w:hint="eastAsia"/>
        </w:rPr>
        <w:t>投标文件的编制</w:t>
      </w:r>
    </w:p>
    <w:p>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5"/>
      </w:pPr>
      <w:r>
        <w:rPr>
          <w:rFonts w:hint="eastAsia"/>
        </w:rPr>
        <w:t>13.投标文件的签署、盖章</w:t>
      </w:r>
    </w:p>
    <w:p>
      <w:pPr>
        <w:pStyle w:val="135"/>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5"/>
      </w:pPr>
      <w:r>
        <w:rPr>
          <w:rFonts w:hint="eastAsia"/>
        </w:rPr>
        <w:t>14. 投标文件的提交、补充、修改、撤回</w:t>
      </w:r>
    </w:p>
    <w:p>
      <w:pPr>
        <w:pStyle w:val="135"/>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5"/>
      </w:pPr>
      <w:r>
        <w:rPr>
          <w:rFonts w:hint="eastAsia"/>
        </w:rPr>
        <w:t>15.备份投标文件</w:t>
      </w:r>
    </w:p>
    <w:p>
      <w:pPr>
        <w:pStyle w:val="35"/>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5"/>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5"/>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5"/>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5"/>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5"/>
      </w:pPr>
      <w:r>
        <w:rPr>
          <w:rFonts w:hint="eastAsia"/>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5"/>
      </w:pPr>
      <w:r>
        <w:rPr>
          <w:rFonts w:hint="eastAsia"/>
        </w:rPr>
        <w:t>17.投标有效期</w:t>
      </w:r>
    </w:p>
    <w:p>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2"/>
        <w:sectPr>
          <w:pgSz w:w="11905" w:h="16838"/>
          <w:pgMar w:top="1440" w:right="1797" w:bottom="1440" w:left="1797" w:header="851" w:footer="992" w:gutter="0"/>
          <w:cols w:space="0" w:num="1"/>
          <w:titlePg/>
          <w:docGrid w:linePitch="312" w:charSpace="0"/>
        </w:sectPr>
      </w:pPr>
    </w:p>
    <w:p>
      <w:pPr>
        <w:pStyle w:val="3"/>
      </w:pPr>
      <w:bookmarkStart w:id="32" w:name="_Toc2842"/>
      <w:bookmarkStart w:id="33" w:name="_Toc21464"/>
      <w:r>
        <w:rPr>
          <w:rFonts w:hint="eastAsia"/>
        </w:rPr>
        <w:t>四、开标、资格审查与信用信息查询</w:t>
      </w:r>
      <w:bookmarkEnd w:id="32"/>
      <w:bookmarkEnd w:id="33"/>
    </w:p>
    <w:p>
      <w:pPr>
        <w:pStyle w:val="5"/>
      </w:pPr>
      <w:r>
        <w:rPr>
          <w:rFonts w:hint="eastAsia"/>
        </w:rPr>
        <w:t xml:space="preserve">18.开标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
      </w:pPr>
      <w:r>
        <w:rPr>
          <w:rFonts w:hint="eastAsia"/>
        </w:rPr>
        <w:t>19.资格审查</w:t>
      </w:r>
    </w:p>
    <w:p>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5"/>
      </w:pPr>
      <w:r>
        <w:rPr>
          <w:rFonts w:hint="eastAsia"/>
        </w:rPr>
        <w:t>20.信用信息查询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5"/>
        <w:spacing w:before="0"/>
        <w:ind w:firstLine="480"/>
        <w:rPr>
          <w:rFonts w:ascii="宋体" w:hAnsi="宋体" w:cs="宋体"/>
        </w:rPr>
      </w:pPr>
    </w:p>
    <w:p>
      <w:pPr>
        <w:pStyle w:val="135"/>
        <w:spacing w:before="0"/>
        <w:ind w:firstLine="0" w:firstLineChars="0"/>
        <w:rPr>
          <w:rFonts w:ascii="宋体" w:hAnsi="宋体" w:cs="宋体"/>
          <w:kern w:val="0"/>
          <w:szCs w:val="24"/>
        </w:rPr>
      </w:pPr>
    </w:p>
    <w:p>
      <w:pPr>
        <w:pStyle w:val="2"/>
        <w:sectPr>
          <w:pgSz w:w="11905" w:h="16838"/>
          <w:pgMar w:top="1440" w:right="1797" w:bottom="1440" w:left="1797" w:header="851" w:footer="992" w:gutter="0"/>
          <w:cols w:space="0" w:num="1"/>
          <w:titlePg/>
          <w:docGrid w:linePitch="312" w:charSpace="0"/>
        </w:sectPr>
      </w:pPr>
    </w:p>
    <w:p>
      <w:pPr>
        <w:pStyle w:val="3"/>
      </w:pPr>
      <w:bookmarkStart w:id="34" w:name="_Toc313"/>
      <w:bookmarkStart w:id="35" w:name="_Toc5142"/>
      <w:r>
        <w:rPr>
          <w:rFonts w:hint="eastAsia"/>
        </w:rPr>
        <w:t>五、评标</w:t>
      </w:r>
      <w:bookmarkEnd w:id="34"/>
      <w:bookmarkEnd w:id="35"/>
    </w:p>
    <w:p>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ascii="宋体" w:hAnsi="宋体" w:cs="宋体"/>
          <w:b/>
        </w:rPr>
      </w:pPr>
    </w:p>
    <w:p>
      <w:pPr>
        <w:pStyle w:val="2"/>
        <w:sectPr>
          <w:pgSz w:w="11905" w:h="16838"/>
          <w:pgMar w:top="1440" w:right="1797" w:bottom="1440" w:left="1797" w:header="851" w:footer="992" w:gutter="0"/>
          <w:cols w:space="0" w:num="1"/>
          <w:titlePg/>
          <w:docGrid w:linePitch="312" w:charSpace="0"/>
        </w:sectPr>
      </w:pPr>
    </w:p>
    <w:p>
      <w:pPr>
        <w:pStyle w:val="3"/>
      </w:pPr>
      <w:bookmarkStart w:id="37" w:name="_Toc30166"/>
      <w:bookmarkStart w:id="38" w:name="_Toc15047"/>
      <w:r>
        <w:rPr>
          <w:rFonts w:hint="eastAsia"/>
        </w:rPr>
        <w:t>六、定 标</w:t>
      </w:r>
      <w:bookmarkEnd w:id="37"/>
      <w:bookmarkEnd w:id="38"/>
    </w:p>
    <w:p>
      <w:pPr>
        <w:pStyle w:val="5"/>
      </w:pPr>
      <w:r>
        <w:rPr>
          <w:rFonts w:hint="eastAsia"/>
        </w:rPr>
        <w:t>22. 确定中标供应商</w:t>
      </w:r>
    </w:p>
    <w:p>
      <w:pPr>
        <w:pStyle w:val="135"/>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5"/>
      </w:pPr>
      <w:r>
        <w:rPr>
          <w:rFonts w:hint="eastAsia"/>
        </w:rPr>
        <w:t>23. 中标通知与中标结果公告</w:t>
      </w:r>
    </w:p>
    <w:p>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ascii="宋体" w:hAnsi="宋体" w:cs="宋体"/>
        </w:rPr>
      </w:pPr>
      <w:r>
        <w:rPr>
          <w:rFonts w:hint="eastAsia" w:ascii="宋体" w:hAnsi="宋体" w:cs="宋体"/>
        </w:rPr>
        <w:t>23.2公告期限为1个工作日。</w:t>
      </w:r>
    </w:p>
    <w:p>
      <w:pPr>
        <w:ind w:left="137" w:leftChars="57" w:firstLineChars="150"/>
        <w:jc w:val="center"/>
        <w:rPr>
          <w:rFonts w:ascii="宋体" w:hAnsi="宋体" w:cs="宋体"/>
          <w:b/>
          <w:sz w:val="32"/>
        </w:rPr>
      </w:pPr>
    </w:p>
    <w:p>
      <w:pPr>
        <w:pStyle w:val="2"/>
        <w:sectPr>
          <w:pgSz w:w="11905" w:h="16838"/>
          <w:pgMar w:top="1440" w:right="1797" w:bottom="1440" w:left="1797" w:header="851" w:footer="992" w:gutter="0"/>
          <w:cols w:space="0" w:num="1"/>
          <w:titlePg/>
          <w:docGrid w:linePitch="312" w:charSpace="0"/>
        </w:sectPr>
      </w:pPr>
    </w:p>
    <w:p>
      <w:pPr>
        <w:pStyle w:val="3"/>
      </w:pPr>
      <w:bookmarkStart w:id="39" w:name="_Toc19257"/>
      <w:bookmarkStart w:id="40" w:name="_Toc18672"/>
      <w:r>
        <w:rPr>
          <w:rFonts w:hint="eastAsia"/>
        </w:rPr>
        <w:t>七、合同授予</w:t>
      </w:r>
      <w:bookmarkEnd w:id="39"/>
      <w:bookmarkEnd w:id="40"/>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5"/>
      </w:pPr>
      <w:r>
        <w:rPr>
          <w:rFonts w:hint="eastAsia"/>
        </w:rPr>
        <w:t>25. 合同的签订</w:t>
      </w:r>
    </w:p>
    <w:p>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5"/>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5"/>
      </w:pPr>
      <w:r>
        <w:rPr>
          <w:rFonts w:hint="eastAsia"/>
        </w:rPr>
        <w:t>26. 履约保证金</w:t>
      </w:r>
    </w:p>
    <w:p>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bookmarkStart w:id="41" w:name="_Toc28676"/>
      <w:bookmarkStart w:id="42" w:name="_Toc1857"/>
      <w:r>
        <w:rPr>
          <w:rFonts w:hint="eastAsia"/>
        </w:rPr>
        <w:t>八、电子交易活动的中止</w:t>
      </w:r>
      <w:bookmarkEnd w:id="41"/>
      <w:bookmarkEnd w:id="42"/>
    </w:p>
    <w:p>
      <w:pPr>
        <w:pStyle w:val="135"/>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5"/>
        <w:spacing w:before="0"/>
        <w:ind w:firstLine="480"/>
        <w:rPr>
          <w:rFonts w:ascii="宋体" w:hAnsi="宋体" w:cs="宋体"/>
        </w:rPr>
      </w:pPr>
      <w:r>
        <w:rPr>
          <w:rFonts w:hint="eastAsia" w:ascii="宋体" w:hAnsi="宋体" w:cs="宋体"/>
        </w:rPr>
        <w:t xml:space="preserve">27.1电子交易平台发生故障而无法登录访问的； </w:t>
      </w:r>
    </w:p>
    <w:p>
      <w:pPr>
        <w:pStyle w:val="135"/>
        <w:spacing w:before="0"/>
        <w:ind w:firstLine="480"/>
        <w:rPr>
          <w:rFonts w:ascii="宋体" w:hAnsi="宋体" w:cs="宋体"/>
        </w:rPr>
      </w:pPr>
      <w:r>
        <w:rPr>
          <w:rFonts w:hint="eastAsia" w:ascii="宋体" w:hAnsi="宋体" w:cs="宋体"/>
        </w:rPr>
        <w:t>27.2电子交易平台应用或数据库出现错误，不能进行正常操作的；</w:t>
      </w:r>
    </w:p>
    <w:p>
      <w:pPr>
        <w:pStyle w:val="135"/>
        <w:spacing w:before="0"/>
        <w:ind w:firstLine="480"/>
        <w:rPr>
          <w:rFonts w:ascii="宋体" w:hAnsi="宋体" w:cs="宋体"/>
        </w:rPr>
      </w:pPr>
      <w:r>
        <w:rPr>
          <w:rFonts w:hint="eastAsia" w:ascii="宋体" w:hAnsi="宋体" w:cs="宋体"/>
        </w:rPr>
        <w:t>27.3电子交易平台发现严重安全漏洞，有潜在泄密危险的；</w:t>
      </w:r>
    </w:p>
    <w:p>
      <w:pPr>
        <w:pStyle w:val="135"/>
        <w:spacing w:before="0"/>
        <w:ind w:firstLine="480"/>
        <w:rPr>
          <w:rFonts w:ascii="宋体" w:hAnsi="宋体" w:cs="宋体"/>
        </w:rPr>
      </w:pPr>
      <w:r>
        <w:rPr>
          <w:rFonts w:hint="eastAsia" w:ascii="宋体" w:hAnsi="宋体" w:cs="宋体"/>
        </w:rPr>
        <w:t xml:space="preserve">27.4病毒发作导致不能进行正常操作的； </w:t>
      </w:r>
    </w:p>
    <w:p>
      <w:pPr>
        <w:pStyle w:val="135"/>
        <w:spacing w:before="0"/>
        <w:ind w:firstLine="480"/>
        <w:rPr>
          <w:rFonts w:ascii="宋体" w:hAnsi="宋体" w:cs="宋体"/>
        </w:rPr>
      </w:pPr>
      <w:r>
        <w:rPr>
          <w:rFonts w:hint="eastAsia" w:ascii="宋体" w:hAnsi="宋体" w:cs="宋体"/>
        </w:rPr>
        <w:t>27.5其他无法保证电子交易的公平、公正和安全的情况。</w:t>
      </w:r>
    </w:p>
    <w:p>
      <w:pPr>
        <w:pStyle w:val="135"/>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rPr>
      </w:pPr>
    </w:p>
    <w:p>
      <w:pPr>
        <w:pStyle w:val="2"/>
        <w:sectPr>
          <w:pgSz w:w="11905" w:h="16838"/>
          <w:pgMar w:top="1440" w:right="1797" w:bottom="1440" w:left="1797" w:header="851" w:footer="992" w:gutter="0"/>
          <w:cols w:space="0" w:num="1"/>
          <w:titlePg/>
          <w:docGrid w:linePitch="312" w:charSpace="0"/>
        </w:sectPr>
      </w:pPr>
    </w:p>
    <w:p>
      <w:pPr>
        <w:pStyle w:val="3"/>
      </w:pPr>
      <w:bookmarkStart w:id="43" w:name="_Toc1567"/>
      <w:bookmarkStart w:id="44" w:name="_Toc5169"/>
      <w:r>
        <w:rPr>
          <w:rFonts w:hint="eastAsia"/>
        </w:rPr>
        <w:t>九、验收</w:t>
      </w:r>
      <w:bookmarkEnd w:id="43"/>
      <w:bookmarkEnd w:id="44"/>
    </w:p>
    <w:p>
      <w:pPr>
        <w:pStyle w:val="5"/>
      </w:pPr>
      <w:r>
        <w:rPr>
          <w:rFonts w:hint="eastAsia"/>
        </w:rPr>
        <w:t>29.验收</w:t>
      </w:r>
    </w:p>
    <w:bookmarkEnd w:id="20"/>
    <w:bookmarkEnd w:id="21"/>
    <w:bookmarkEnd w:id="36"/>
    <w:p>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2"/>
        <w:sectPr>
          <w:headerReference r:id="rId11" w:type="default"/>
          <w:footerReference r:id="rId12" w:type="default"/>
          <w:pgSz w:w="11905" w:h="16838"/>
          <w:pgMar w:top="1440" w:right="1797" w:bottom="1440" w:left="1797" w:header="851" w:footer="992" w:gutter="0"/>
          <w:cols w:space="0" w:num="1"/>
          <w:titlePg/>
        </w:sectPr>
      </w:pPr>
    </w:p>
    <w:p>
      <w:pPr>
        <w:pStyle w:val="2"/>
      </w:pPr>
      <w:bookmarkStart w:id="46" w:name="_Toc31241"/>
      <w:bookmarkStart w:id="47" w:name="_Toc22977"/>
      <w:bookmarkStart w:id="48" w:name="_Toc28975"/>
      <w:r>
        <w:rPr>
          <w:rFonts w:hint="eastAsia"/>
        </w:rPr>
        <w:t>第三部分 采购需求</w:t>
      </w:r>
      <w:bookmarkEnd w:id="46"/>
      <w:bookmarkEnd w:id="47"/>
      <w:bookmarkEnd w:id="48"/>
    </w:p>
    <w:p>
      <w:pPr>
        <w:pStyle w:val="5"/>
      </w:pPr>
      <w:r>
        <w:rPr>
          <w:rFonts w:hint="eastAsia"/>
          <w:lang w:val="zh-CN"/>
        </w:rPr>
        <w:t>一、维保服务总体目标</w:t>
      </w:r>
      <w:bookmarkStart w:id="49" w:name="_Toc427998483"/>
    </w:p>
    <w:p>
      <w:pPr>
        <w:ind w:left="480" w:leftChars="200" w:firstLine="0" w:firstLineChars="0"/>
        <w:rPr>
          <w:b/>
          <w:bCs/>
        </w:rPr>
      </w:pPr>
      <w:r>
        <w:rPr>
          <w:rFonts w:hint="eastAsia"/>
          <w:b/>
          <w:bCs/>
        </w:rPr>
        <w:t>1、</w:t>
      </w:r>
      <w:r>
        <w:rPr>
          <w:rFonts w:hint="eastAsia"/>
          <w:b/>
          <w:bCs/>
          <w:lang w:val="zh-CN"/>
        </w:rPr>
        <w:t>中心机房设备概述</w:t>
      </w:r>
      <w:bookmarkEnd w:id="49"/>
    </w:p>
    <w:p>
      <w:pPr>
        <w:tabs>
          <w:tab w:val="left" w:pos="0"/>
        </w:tabs>
        <w:ind w:firstLine="480"/>
        <w:rPr>
          <w:rFonts w:ascii="宋体" w:hAnsi="宋体" w:cs="Helvetica"/>
          <w:kern w:val="0"/>
        </w:rPr>
      </w:pPr>
      <w:r>
        <w:rPr>
          <w:rFonts w:hint="eastAsia" w:ascii="宋体" w:hAnsi="宋体" w:cs="Helvetica"/>
          <w:kern w:val="0"/>
        </w:rPr>
        <w:t>中心机房系统中涵纳的各子系统分类繁多，各厂家技术标准不统一，现场使用过程中，由于线路变动，系统扩容，主要设备及辅助设备寿命不同步，操作人员误操作等各种因素影响，可能使系统处于不稳定状态，降低中心机房各系统设备的使用价值。</w:t>
      </w:r>
    </w:p>
    <w:p>
      <w:pPr>
        <w:tabs>
          <w:tab w:val="left" w:pos="0"/>
        </w:tabs>
        <w:ind w:firstLine="480"/>
        <w:rPr>
          <w:rFonts w:ascii="宋体" w:hAnsi="宋体" w:cs="Helvetica"/>
          <w:kern w:val="0"/>
        </w:rPr>
      </w:pPr>
      <w:r>
        <w:rPr>
          <w:rFonts w:hint="eastAsia" w:ascii="宋体" w:hAnsi="宋体" w:cs="Helvetica"/>
          <w:kern w:val="0"/>
        </w:rPr>
        <w:t>中心机房系统维保的价值核心不是更换故障设备，而是对整个系统运行进行规划，分析问题原因，提前预见问题所在，消除隐患，保障系统稳定工作。这不仅需要维保单位具备厂家设备供应资源、厂家核心技术支持，还需要常驻维保单位的现场人员具备丰富的现场技术经验，对系统的管理规划经验，同时还要具备良好的职业素养和敬业精神。</w:t>
      </w:r>
      <w:bookmarkStart w:id="50" w:name="_Toc427998484"/>
    </w:p>
    <w:p>
      <w:pPr>
        <w:ind w:left="480" w:leftChars="200" w:firstLine="0" w:firstLineChars="0"/>
        <w:rPr>
          <w:b/>
          <w:bCs/>
        </w:rPr>
      </w:pPr>
      <w:r>
        <w:rPr>
          <w:rFonts w:hint="eastAsia"/>
          <w:b/>
          <w:bCs/>
        </w:rPr>
        <w:t>2、</w:t>
      </w:r>
      <w:r>
        <w:rPr>
          <w:rFonts w:hint="eastAsia"/>
          <w:b/>
          <w:bCs/>
          <w:lang w:val="zh-CN"/>
        </w:rPr>
        <w:t>中心机房设备维保服务责任</w:t>
      </w:r>
      <w:bookmarkEnd w:id="50"/>
    </w:p>
    <w:p>
      <w:pPr>
        <w:tabs>
          <w:tab w:val="left" w:pos="0"/>
        </w:tabs>
        <w:ind w:firstLine="480"/>
        <w:rPr>
          <w:rFonts w:ascii="宋体" w:hAnsi="宋体" w:cs="Helvetica"/>
          <w:kern w:val="0"/>
        </w:rPr>
      </w:pPr>
      <w:r>
        <w:rPr>
          <w:rFonts w:hint="eastAsia" w:ascii="宋体" w:hAnsi="宋体" w:cs="Helvetica"/>
          <w:kern w:val="0"/>
        </w:rPr>
        <w:t>2.1针对中心机房安装的硬件设备及操作系统保修服务以及数据库协助保修服务、协助应用软件升级、应用软件的备份等服务内容。</w:t>
      </w:r>
    </w:p>
    <w:p>
      <w:pPr>
        <w:tabs>
          <w:tab w:val="left" w:pos="0"/>
        </w:tabs>
        <w:ind w:firstLine="480"/>
        <w:rPr>
          <w:rFonts w:ascii="宋体" w:hAnsi="宋体" w:cs="Helvetica"/>
          <w:kern w:val="0"/>
        </w:rPr>
      </w:pPr>
      <w:r>
        <w:rPr>
          <w:rFonts w:hint="eastAsia" w:ascii="宋体" w:hAnsi="宋体" w:cs="Helvetica"/>
          <w:kern w:val="0"/>
        </w:rPr>
        <w:t>2.2由于该项目内容涉及内部事项和国家规定的保密事项，中标方承诺做好保密工作并承担相应的责任。</w:t>
      </w:r>
    </w:p>
    <w:p>
      <w:pPr>
        <w:tabs>
          <w:tab w:val="left" w:pos="0"/>
        </w:tabs>
        <w:ind w:firstLine="480"/>
        <w:rPr>
          <w:rFonts w:ascii="宋体" w:hAnsi="宋体" w:cs="Helvetica"/>
          <w:kern w:val="0"/>
        </w:rPr>
      </w:pPr>
      <w:r>
        <w:rPr>
          <w:rFonts w:hint="eastAsia" w:ascii="宋体" w:hAnsi="宋体" w:cs="Helvetica"/>
          <w:kern w:val="0"/>
        </w:rPr>
        <w:t>2.3维护过程中所需要的工具、运费、维修费等一切费用全部由中标方负责，所有费用包含在本次报价中，采购人不再另行支付。</w:t>
      </w:r>
    </w:p>
    <w:p>
      <w:pPr>
        <w:tabs>
          <w:tab w:val="left" w:pos="0"/>
        </w:tabs>
        <w:ind w:firstLine="480"/>
        <w:rPr>
          <w:rFonts w:ascii="宋体" w:hAnsi="宋体" w:cs="Helvetica"/>
          <w:kern w:val="0"/>
        </w:rPr>
      </w:pPr>
      <w:r>
        <w:rPr>
          <w:rFonts w:hint="eastAsia" w:ascii="宋体" w:hAnsi="宋体" w:cs="Helvetica"/>
          <w:kern w:val="0"/>
        </w:rPr>
        <w:t>2.4中标方设立投诉机制，负责监督和提升服务质量。</w:t>
      </w:r>
    </w:p>
    <w:p>
      <w:pPr>
        <w:tabs>
          <w:tab w:val="left" w:pos="0"/>
        </w:tabs>
        <w:ind w:firstLine="480"/>
        <w:rPr>
          <w:rFonts w:ascii="宋体" w:hAnsi="宋体" w:cs="Helvetica"/>
          <w:kern w:val="0"/>
        </w:rPr>
      </w:pPr>
      <w:r>
        <w:rPr>
          <w:rFonts w:hint="eastAsia" w:ascii="宋体" w:hAnsi="宋体" w:cs="Helvetica"/>
          <w:kern w:val="0"/>
        </w:rPr>
        <w:t>2.5服务质量达不到要求而又不改正的、出现多次投诉的、出现重大疏忽事故的，采购人单位有权单方面终止服务合同，服务费以终止日结算。</w:t>
      </w:r>
    </w:p>
    <w:p>
      <w:pPr>
        <w:tabs>
          <w:tab w:val="left" w:pos="0"/>
        </w:tabs>
        <w:ind w:firstLine="480"/>
        <w:rPr>
          <w:rFonts w:ascii="宋体" w:hAnsi="宋体" w:cs="Helvetica"/>
          <w:kern w:val="0"/>
        </w:rPr>
      </w:pPr>
      <w:r>
        <w:rPr>
          <w:rFonts w:hint="eastAsia" w:ascii="宋体" w:hAnsi="宋体" w:cs="Helvetica"/>
          <w:kern w:val="0"/>
        </w:rPr>
        <w:t>2.6在保修期内免费更换的部件，保证是各品牌厂家提供的具有相同功能并附有该品牌标签或相关识别码的备件。</w:t>
      </w:r>
    </w:p>
    <w:p>
      <w:pPr>
        <w:tabs>
          <w:tab w:val="left" w:pos="0"/>
        </w:tabs>
        <w:ind w:firstLine="480"/>
        <w:rPr>
          <w:rFonts w:ascii="宋体" w:hAnsi="宋体" w:cs="Helvetica"/>
          <w:kern w:val="0"/>
        </w:rPr>
      </w:pPr>
      <w:r>
        <w:rPr>
          <w:rFonts w:hint="eastAsia" w:ascii="宋体" w:hAnsi="宋体" w:cs="Helvetica"/>
          <w:kern w:val="0"/>
        </w:rPr>
        <w:t>2.7中标方要有充足的备件满足采购人的维保要求。</w:t>
      </w:r>
    </w:p>
    <w:p>
      <w:pPr>
        <w:tabs>
          <w:tab w:val="left" w:pos="0"/>
        </w:tabs>
        <w:ind w:firstLine="480"/>
        <w:rPr>
          <w:rFonts w:ascii="宋体" w:hAnsi="宋体" w:cs="Helvetica"/>
          <w:kern w:val="0"/>
        </w:rPr>
      </w:pPr>
      <w:r>
        <w:rPr>
          <w:rFonts w:hint="eastAsia" w:ascii="宋体" w:hAnsi="宋体" w:cs="Helvetica"/>
          <w:kern w:val="0"/>
        </w:rPr>
        <w:t>2.8如遇人力不可抗拒的因素（如交通瘫痪、火灾、水灾、台风、暴雨、地震等）、停电、或采购人单位原因导致的不能按要求提供服务的，中标方无须承担责任。</w:t>
      </w:r>
      <w:bookmarkStart w:id="51" w:name="_Toc427998485"/>
    </w:p>
    <w:p>
      <w:pPr>
        <w:ind w:left="480" w:leftChars="200" w:firstLine="0" w:firstLineChars="0"/>
        <w:rPr>
          <w:b/>
          <w:bCs/>
        </w:rPr>
      </w:pPr>
      <w:r>
        <w:rPr>
          <w:rFonts w:hint="eastAsia"/>
          <w:b/>
          <w:bCs/>
        </w:rPr>
        <w:t>3、</w:t>
      </w:r>
      <w:r>
        <w:rPr>
          <w:rFonts w:hint="eastAsia"/>
          <w:b/>
          <w:bCs/>
          <w:lang w:val="zh-CN"/>
        </w:rPr>
        <w:t>中心机房设备维护工作准则</w:t>
      </w:r>
      <w:bookmarkEnd w:id="51"/>
    </w:p>
    <w:p>
      <w:pPr>
        <w:tabs>
          <w:tab w:val="left" w:pos="0"/>
        </w:tabs>
        <w:ind w:firstLine="480"/>
        <w:rPr>
          <w:rFonts w:ascii="宋体" w:hAnsi="宋体" w:cs="Helvetica"/>
          <w:kern w:val="0"/>
        </w:rPr>
      </w:pPr>
      <w:r>
        <w:rPr>
          <w:rFonts w:hint="eastAsia" w:ascii="宋体" w:hAnsi="宋体" w:cs="Helvetica"/>
          <w:kern w:val="0"/>
        </w:rPr>
        <w:t>为了规范中标方维护小组行为，切实履行采购人单位系统设备的维护服务职责，提高维护效率，中标方制定相应的规章制度，对维护服务工作人员的工作行为进行约束，主要包括以下行为规范：</w:t>
      </w:r>
    </w:p>
    <w:p>
      <w:pPr>
        <w:tabs>
          <w:tab w:val="left" w:pos="0"/>
        </w:tabs>
        <w:ind w:firstLine="480"/>
        <w:rPr>
          <w:rFonts w:ascii="宋体" w:hAnsi="宋体" w:cs="Helvetica"/>
          <w:kern w:val="0"/>
        </w:rPr>
      </w:pPr>
      <w:r>
        <w:rPr>
          <w:rFonts w:hint="eastAsia" w:ascii="宋体" w:hAnsi="宋体" w:cs="Helvetica"/>
          <w:kern w:val="0"/>
        </w:rPr>
        <w:t>3.1遵守国家法律、法规及服务单位的各项规章制度。</w:t>
      </w:r>
    </w:p>
    <w:p>
      <w:pPr>
        <w:tabs>
          <w:tab w:val="left" w:pos="0"/>
        </w:tabs>
        <w:ind w:firstLine="480"/>
        <w:rPr>
          <w:rFonts w:ascii="宋体" w:hAnsi="宋体" w:cs="Helvetica"/>
          <w:kern w:val="0"/>
        </w:rPr>
      </w:pPr>
      <w:r>
        <w:rPr>
          <w:rFonts w:hint="eastAsia" w:ascii="宋体" w:hAnsi="宋体" w:cs="Helvetica"/>
          <w:kern w:val="0"/>
        </w:rPr>
        <w:t>3.2不得怠慢用户、轻视用户或与用户争吵。</w:t>
      </w:r>
    </w:p>
    <w:p>
      <w:pPr>
        <w:tabs>
          <w:tab w:val="left" w:pos="0"/>
        </w:tabs>
        <w:ind w:firstLine="480"/>
        <w:rPr>
          <w:rFonts w:ascii="宋体" w:hAnsi="宋体" w:cs="Helvetica"/>
          <w:kern w:val="0"/>
        </w:rPr>
      </w:pPr>
      <w:r>
        <w:rPr>
          <w:rFonts w:hint="eastAsia" w:ascii="宋体" w:hAnsi="宋体" w:cs="Helvetica"/>
          <w:kern w:val="0"/>
        </w:rPr>
        <w:t>3.3工作人员工作时间必须着装整洁，上班时间佩戴公司工作证，不准穿奇装异服。</w:t>
      </w:r>
    </w:p>
    <w:p>
      <w:pPr>
        <w:tabs>
          <w:tab w:val="left" w:pos="0"/>
        </w:tabs>
        <w:ind w:firstLine="480"/>
        <w:rPr>
          <w:rFonts w:ascii="宋体" w:hAnsi="宋体" w:cs="Helvetica"/>
          <w:kern w:val="0"/>
        </w:rPr>
      </w:pPr>
      <w:r>
        <w:rPr>
          <w:rFonts w:hint="eastAsia" w:ascii="宋体" w:hAnsi="宋体" w:cs="Helvetica"/>
          <w:kern w:val="0"/>
        </w:rPr>
        <w:t>3.4妥善维护相关设备，保管好仪器、设备、工具、产品、维护备件、文件等物品。</w:t>
      </w:r>
    </w:p>
    <w:p>
      <w:pPr>
        <w:tabs>
          <w:tab w:val="left" w:pos="0"/>
        </w:tabs>
        <w:ind w:firstLine="480"/>
        <w:rPr>
          <w:rFonts w:ascii="宋体" w:hAnsi="宋体" w:cs="Helvetica"/>
          <w:kern w:val="0"/>
        </w:rPr>
      </w:pPr>
      <w:r>
        <w:rPr>
          <w:rFonts w:hint="eastAsia" w:ascii="宋体" w:hAnsi="宋体" w:cs="Helvetica"/>
          <w:kern w:val="0"/>
        </w:rPr>
        <w:t>3.5在用户开展工作时，要遵守其关于工作现场方面的劳动纪律，不得妨碍其正常工作。</w:t>
      </w:r>
    </w:p>
    <w:p>
      <w:pPr>
        <w:tabs>
          <w:tab w:val="left" w:pos="0"/>
        </w:tabs>
        <w:ind w:firstLine="480"/>
        <w:rPr>
          <w:rFonts w:ascii="宋体" w:hAnsi="宋体" w:cs="Helvetica"/>
          <w:kern w:val="0"/>
        </w:rPr>
      </w:pPr>
      <w:r>
        <w:rPr>
          <w:rFonts w:hint="eastAsia" w:ascii="宋体" w:hAnsi="宋体" w:cs="Helvetica"/>
          <w:kern w:val="0"/>
        </w:rPr>
        <w:t>3.6服从采购人单位的调度和安排，接受服务单位的监督。</w:t>
      </w:r>
    </w:p>
    <w:p>
      <w:pPr>
        <w:tabs>
          <w:tab w:val="left" w:pos="0"/>
        </w:tabs>
        <w:ind w:firstLine="480"/>
        <w:rPr>
          <w:rFonts w:ascii="宋体" w:hAnsi="宋体" w:cs="Helvetica"/>
          <w:kern w:val="0"/>
        </w:rPr>
      </w:pPr>
      <w:r>
        <w:rPr>
          <w:rFonts w:hint="eastAsia" w:ascii="宋体" w:hAnsi="宋体" w:cs="Helvetica"/>
          <w:kern w:val="0"/>
        </w:rPr>
        <w:t>3.7现场服务时，必须事先与用户联系商定具体上门时间。一旦确定，必须遵守，特殊情况下需要延期，须经用户同意后方可延期。</w:t>
      </w:r>
    </w:p>
    <w:p>
      <w:pPr>
        <w:tabs>
          <w:tab w:val="left" w:pos="0"/>
        </w:tabs>
        <w:ind w:firstLine="480"/>
        <w:rPr>
          <w:rFonts w:ascii="宋体" w:hAnsi="宋体" w:cs="Helvetica"/>
          <w:kern w:val="0"/>
        </w:rPr>
      </w:pPr>
      <w:r>
        <w:rPr>
          <w:rFonts w:hint="eastAsia" w:ascii="宋体" w:hAnsi="宋体" w:cs="Helvetica"/>
          <w:kern w:val="0"/>
        </w:rPr>
        <w:t>3.8按照有关程序、规范等文件的规定，对有关事项用规定表格进行记录，要保证记录的真实性、完整性，文字要清晰、易于阅读。</w:t>
      </w:r>
    </w:p>
    <w:p>
      <w:pPr>
        <w:tabs>
          <w:tab w:val="left" w:pos="0"/>
        </w:tabs>
        <w:ind w:firstLine="480"/>
        <w:rPr>
          <w:rFonts w:ascii="宋体" w:hAnsi="宋体" w:cs="Helvetica"/>
          <w:kern w:val="0"/>
        </w:rPr>
      </w:pPr>
      <w:r>
        <w:rPr>
          <w:rFonts w:hint="eastAsia" w:ascii="宋体" w:hAnsi="宋体" w:cs="Helvetica"/>
          <w:kern w:val="0"/>
        </w:rPr>
        <w:t>3.9按照有关程序、规范、合同等文件的规定，及时报送有关总结、计划、报告及记录。</w:t>
      </w:r>
    </w:p>
    <w:p>
      <w:pPr>
        <w:tabs>
          <w:tab w:val="left" w:pos="0"/>
        </w:tabs>
        <w:ind w:firstLine="480"/>
        <w:rPr>
          <w:rFonts w:ascii="宋体" w:hAnsi="宋体" w:cs="宋体"/>
          <w:kern w:val="0"/>
          <w:szCs w:val="21"/>
        </w:rPr>
      </w:pPr>
      <w:r>
        <w:rPr>
          <w:rFonts w:hint="eastAsia" w:ascii="宋体" w:hAnsi="宋体" w:cs="Helvetica"/>
          <w:kern w:val="0"/>
        </w:rPr>
        <w:t>3.10在系统维护中，由于中标方过失或处理不当，对用户造成任何直接或间接损失的，由中标方承担责任。属用户故意人为破坏的，由用户承担相应的责任。</w:t>
      </w:r>
      <w:bookmarkStart w:id="52" w:name="_Toc22125"/>
    </w:p>
    <w:p>
      <w:pPr>
        <w:pStyle w:val="5"/>
        <w:rPr>
          <w:lang w:val="zh-CN"/>
        </w:rPr>
      </w:pPr>
      <w:r>
        <w:rPr>
          <w:rFonts w:hint="eastAsia"/>
          <w:lang w:val="zh-CN"/>
        </w:rPr>
        <w:t>二、维保服务要求</w:t>
      </w:r>
      <w:bookmarkEnd w:id="52"/>
    </w:p>
    <w:p>
      <w:pPr>
        <w:ind w:left="480" w:leftChars="200" w:firstLine="0" w:firstLineChars="0"/>
        <w:rPr>
          <w:b/>
          <w:bCs/>
        </w:rPr>
      </w:pPr>
      <w:r>
        <w:rPr>
          <w:rFonts w:hint="eastAsia"/>
          <w:b/>
          <w:bCs/>
        </w:rPr>
        <w:t>1、</w:t>
      </w:r>
      <w:r>
        <w:rPr>
          <w:rFonts w:hint="eastAsia"/>
          <w:b/>
          <w:bCs/>
          <w:lang w:val="zh-CN"/>
        </w:rPr>
        <w:t>装修系统维保要求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1</w:t>
      </w:r>
      <w:r>
        <w:rPr>
          <w:rFonts w:hint="eastAsia"/>
        </w:rPr>
        <w:t>.</w:t>
      </w:r>
      <w:r>
        <w:rPr>
          <w:rFonts w:hint="eastAsia" w:ascii="宋体" w:hAnsi="宋体" w:cs="Helvetica"/>
          <w:kern w:val="0"/>
        </w:rPr>
        <w:t>1中标方提供保修期内在系统正常使用情况下出现故障所需的维修服务。</w:t>
      </w:r>
    </w:p>
    <w:p>
      <w:pPr>
        <w:ind w:firstLine="480"/>
      </w:pPr>
      <w:r>
        <w:rPr>
          <w:rFonts w:hint="eastAsia"/>
        </w:rPr>
        <w:t>1.2中标方接到采购人设备故障通知后应迅速作出反应，在指导采购人作简单的应急处理的同时，1小时内到达现场进行故障处理，节假日和业余时间不加收服务费。</w:t>
      </w:r>
    </w:p>
    <w:p>
      <w:pPr>
        <w:ind w:firstLine="480"/>
      </w:pPr>
      <w:r>
        <w:rPr>
          <w:rFonts w:hint="eastAsia"/>
        </w:rPr>
        <w:t>1.3每周巡检：中标方对机房装修系统进行每周巡检并提供巡检报告，巡检工作内容包括：</w:t>
      </w:r>
    </w:p>
    <w:p>
      <w:pPr>
        <w:ind w:firstLine="480"/>
      </w:pPr>
      <w:r>
        <w:rPr>
          <w:rFonts w:hint="eastAsia"/>
        </w:rPr>
        <w:t>每周检查的具体项目：</w:t>
      </w:r>
    </w:p>
    <w:p>
      <w:pPr>
        <w:ind w:firstLine="480"/>
      </w:pPr>
      <w:r>
        <w:rPr>
          <w:rFonts w:hint="eastAsia"/>
        </w:rPr>
        <w:t>1.3.1检查地板是否不平，并有异响，并进行调整；</w:t>
      </w:r>
    </w:p>
    <w:p>
      <w:pPr>
        <w:ind w:firstLine="480"/>
      </w:pPr>
      <w:r>
        <w:rPr>
          <w:rFonts w:hint="eastAsia"/>
        </w:rPr>
        <w:t>1.3.2调整、固定墙插、地插、信息面板等；</w:t>
      </w:r>
    </w:p>
    <w:p>
      <w:pPr>
        <w:ind w:firstLine="480"/>
      </w:pPr>
      <w:r>
        <w:rPr>
          <w:rFonts w:hint="eastAsia"/>
        </w:rPr>
        <w:t>1.3.3检查门是否变形，闭门器是否合理，并调整；</w:t>
      </w:r>
    </w:p>
    <w:p>
      <w:pPr>
        <w:ind w:firstLine="480"/>
      </w:pPr>
      <w:r>
        <w:rPr>
          <w:rFonts w:hint="eastAsia"/>
        </w:rPr>
        <w:t>1.3.4检查机房内是否有漏水情况，并处理；</w:t>
      </w:r>
    </w:p>
    <w:p>
      <w:pPr>
        <w:ind w:firstLine="480"/>
      </w:pPr>
      <w:r>
        <w:rPr>
          <w:rFonts w:hint="eastAsia"/>
        </w:rPr>
        <w:t>1.3.5检查彩钢板墙面、吊顶，并进行补充调整；</w:t>
      </w:r>
    </w:p>
    <w:p>
      <w:pPr>
        <w:ind w:firstLine="480"/>
      </w:pPr>
      <w:r>
        <w:rPr>
          <w:rFonts w:hint="eastAsia"/>
        </w:rPr>
        <w:t>1.3.6清理隔断、机房、电池间、操作间的清洁卫生等。</w:t>
      </w:r>
    </w:p>
    <w:p>
      <w:pPr>
        <w:ind w:firstLine="480"/>
      </w:pPr>
      <w:r>
        <w:rPr>
          <w:rFonts w:hint="eastAsia"/>
        </w:rPr>
        <w:t>1.4常用耗材：一切配件的更换均由中标方负责，所有费用包含在本次报价中，采购人不再另行支付。（包括门锁、彩钢板、吊顶板、闭门器等）。</w:t>
      </w:r>
    </w:p>
    <w:p>
      <w:pPr>
        <w:ind w:left="480" w:leftChars="200" w:firstLine="0" w:firstLineChars="0"/>
        <w:rPr>
          <w:b/>
          <w:bCs/>
        </w:rPr>
      </w:pPr>
      <w:r>
        <w:rPr>
          <w:rFonts w:hint="eastAsia"/>
          <w:b/>
          <w:bCs/>
          <w:lang w:val="zh-CN"/>
        </w:rPr>
        <w:t>2、电气系统维保要求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2.1中标方提供保修期内在系统正常使用情况下出现故障所需的维修服务。</w:t>
      </w:r>
    </w:p>
    <w:p>
      <w:pPr>
        <w:tabs>
          <w:tab w:val="left" w:pos="0"/>
        </w:tabs>
        <w:ind w:firstLine="480"/>
        <w:rPr>
          <w:rFonts w:ascii="宋体" w:hAnsi="宋体" w:cs="Helvetica"/>
          <w:color w:val="FF0000"/>
          <w:kern w:val="0"/>
          <w:highlight w:val="yellow"/>
        </w:rPr>
      </w:pPr>
      <w:r>
        <w:rPr>
          <w:rFonts w:hint="eastAsia" w:ascii="宋体" w:hAnsi="宋体" w:cs="Helvetica"/>
          <w:kern w:val="0"/>
        </w:rPr>
        <w:t>2.2中标方接到采购人故障通知后应迅速作出反应，在指导采购人作简单的应急处理的同时，</w:t>
      </w:r>
      <w:r>
        <w:rPr>
          <w:rFonts w:hint="eastAsia"/>
        </w:rPr>
        <w:t>1小时内到达现场进行故障处理，节假日和业余时间不加收服务费。</w:t>
      </w:r>
    </w:p>
    <w:p>
      <w:pPr>
        <w:ind w:firstLine="480"/>
      </w:pPr>
      <w:r>
        <w:rPr>
          <w:rFonts w:hint="eastAsia"/>
        </w:rPr>
        <w:t>2.3每周巡检：中标方对机房电气系统进行每周巡检并提供巡检报告，巡检工作内容包括：</w:t>
      </w:r>
    </w:p>
    <w:p>
      <w:pPr>
        <w:ind w:firstLine="480"/>
      </w:pPr>
      <w:r>
        <w:rPr>
          <w:rFonts w:hint="eastAsia"/>
        </w:rPr>
        <w:t xml:space="preserve">    每周检查的具体项目：</w:t>
      </w:r>
    </w:p>
    <w:p>
      <w:pPr>
        <w:ind w:firstLine="480"/>
      </w:pPr>
      <w:r>
        <w:rPr>
          <w:rFonts w:hint="eastAsia"/>
        </w:rPr>
        <w:t>2.3.1检查配电箱开关是否正常，是否有变色、异味等；</w:t>
      </w:r>
    </w:p>
    <w:p>
      <w:pPr>
        <w:ind w:firstLine="480"/>
      </w:pPr>
      <w:r>
        <w:rPr>
          <w:rFonts w:hint="eastAsia"/>
        </w:rPr>
        <w:t>2.3.2检查配电箱门锁是否正常，并进行调整；</w:t>
      </w:r>
    </w:p>
    <w:p>
      <w:pPr>
        <w:ind w:firstLine="480"/>
      </w:pPr>
      <w:r>
        <w:rPr>
          <w:rFonts w:hint="eastAsia"/>
        </w:rPr>
        <w:t>2.3.3检查配电箱配线是否合理；</w:t>
      </w:r>
    </w:p>
    <w:p>
      <w:pPr>
        <w:ind w:firstLine="480"/>
      </w:pPr>
      <w:r>
        <w:rPr>
          <w:rFonts w:hint="eastAsia"/>
        </w:rPr>
        <w:t>2.3.4检查墙面插座是否正常；</w:t>
      </w:r>
    </w:p>
    <w:p>
      <w:pPr>
        <w:ind w:firstLine="480"/>
      </w:pPr>
      <w:r>
        <w:rPr>
          <w:rFonts w:hint="eastAsia"/>
        </w:rPr>
        <w:t>2.3.5检查机房线路是否正常；</w:t>
      </w:r>
    </w:p>
    <w:p>
      <w:pPr>
        <w:ind w:firstLine="480"/>
      </w:pPr>
      <w:r>
        <w:rPr>
          <w:rFonts w:hint="eastAsia"/>
        </w:rPr>
        <w:t>2.3.6检查墙面开关是否正常；</w:t>
      </w:r>
    </w:p>
    <w:p>
      <w:pPr>
        <w:ind w:firstLine="480"/>
      </w:pPr>
      <w:r>
        <w:rPr>
          <w:rFonts w:hint="eastAsia"/>
        </w:rPr>
        <w:t>2.3.7检查灯管并更换；</w:t>
      </w:r>
    </w:p>
    <w:p>
      <w:pPr>
        <w:ind w:firstLine="480"/>
      </w:pPr>
      <w:r>
        <w:rPr>
          <w:rFonts w:hint="eastAsia"/>
        </w:rPr>
        <w:t>2.4常用耗材：中标方应保证配件的供应，一切配件的更换均由中标方负责，所有费用包含在本次报价中，采购人不再另行支付（包括灯具、灯源、开关、墙插、地插、线缆等）。</w:t>
      </w:r>
    </w:p>
    <w:p>
      <w:pPr>
        <w:ind w:left="480" w:leftChars="200" w:firstLine="0" w:firstLineChars="0"/>
        <w:rPr>
          <w:b/>
          <w:bCs/>
        </w:rPr>
      </w:pPr>
      <w:r>
        <w:rPr>
          <w:rFonts w:hint="eastAsia"/>
          <w:b/>
          <w:bCs/>
        </w:rPr>
        <w:t>3、防雷接地系统维保要求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3.1中标方提供保修期内在系统正常使用情况下出现故障所需的维修服务。</w:t>
      </w:r>
    </w:p>
    <w:p>
      <w:pPr>
        <w:ind w:firstLine="480"/>
      </w:pPr>
      <w:r>
        <w:rPr>
          <w:rFonts w:hint="eastAsia"/>
        </w:rPr>
        <w:t>3.2中标方接到采购人故障通知后应迅速作出反应，在指导采购人作简单的应急处理的同时，1小时内到达现场进行故障处理，节假日和业余时间不加收服务费。</w:t>
      </w:r>
    </w:p>
    <w:p>
      <w:pPr>
        <w:ind w:firstLine="480"/>
      </w:pPr>
      <w:r>
        <w:rPr>
          <w:rFonts w:hint="eastAsia"/>
        </w:rPr>
        <w:t>3.3每周巡检：中标方对机房防雷接地系统进行每周巡检并提供巡检报告，巡检工作内容包括：</w:t>
      </w:r>
    </w:p>
    <w:p>
      <w:pPr>
        <w:ind w:firstLine="480"/>
      </w:pPr>
      <w:r>
        <w:rPr>
          <w:rFonts w:hint="eastAsia"/>
        </w:rPr>
        <w:t xml:space="preserve">    每周检查的具体项目：</w:t>
      </w:r>
    </w:p>
    <w:p>
      <w:pPr>
        <w:ind w:firstLine="480"/>
      </w:pPr>
      <w:r>
        <w:rPr>
          <w:rFonts w:hint="eastAsia"/>
        </w:rPr>
        <w:t>（1）检查防雷模块是否击穿，并进行更换；</w:t>
      </w:r>
    </w:p>
    <w:p>
      <w:pPr>
        <w:ind w:firstLine="480"/>
      </w:pPr>
      <w:r>
        <w:rPr>
          <w:rFonts w:hint="eastAsia"/>
        </w:rPr>
        <w:t>（2）检查配电箱接地线是否正常，并进行整理；</w:t>
      </w:r>
    </w:p>
    <w:p>
      <w:pPr>
        <w:ind w:firstLine="480"/>
      </w:pPr>
      <w:r>
        <w:rPr>
          <w:rFonts w:hint="eastAsia"/>
        </w:rPr>
        <w:t>（3）检查配电箱与箱盖连接线是否正常，并进行整理；</w:t>
      </w:r>
    </w:p>
    <w:p>
      <w:pPr>
        <w:ind w:firstLine="480"/>
      </w:pPr>
      <w:r>
        <w:rPr>
          <w:rFonts w:hint="eastAsia"/>
        </w:rPr>
        <w:t>（4）检查等电位网格是否合理，并进行整理；</w:t>
      </w:r>
    </w:p>
    <w:p>
      <w:pPr>
        <w:ind w:firstLine="480"/>
      </w:pPr>
      <w:r>
        <w:rPr>
          <w:rFonts w:hint="eastAsia"/>
        </w:rPr>
        <w:t>（5）检查机房接地是否合理，并进行整理；</w:t>
      </w:r>
    </w:p>
    <w:p>
      <w:pPr>
        <w:ind w:firstLine="480"/>
      </w:pPr>
      <w:r>
        <w:rPr>
          <w:rFonts w:hint="eastAsia"/>
        </w:rPr>
        <w:t>（6）检查机房防静电泄露是否合理，并进行整理.</w:t>
      </w:r>
    </w:p>
    <w:p>
      <w:pPr>
        <w:ind w:firstLine="480"/>
      </w:pPr>
      <w:r>
        <w:rPr>
          <w:rFonts w:hint="eastAsia"/>
        </w:rPr>
        <w:t>3.4常用耗材：中标方应保证配件的供应，一切配件的更换均由中标方负责，所有费用包含在本次报价中，采购人不再另行支付（包括防雷模块、接地端子、接地线缆等）。</w:t>
      </w:r>
    </w:p>
    <w:p>
      <w:pPr>
        <w:ind w:left="480" w:leftChars="200" w:firstLine="0" w:firstLineChars="0"/>
        <w:rPr>
          <w:b/>
          <w:bCs/>
        </w:rPr>
      </w:pPr>
      <w:r>
        <w:rPr>
          <w:rFonts w:hint="eastAsia"/>
          <w:b/>
          <w:bCs/>
        </w:rPr>
        <w:t>4、</w:t>
      </w:r>
      <w:r>
        <w:rPr>
          <w:rFonts w:hint="eastAsia"/>
          <w:b/>
          <w:bCs/>
          <w:lang w:val="zh-CN"/>
        </w:rPr>
        <w:t>消防系统维保要求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4.1中标方提供保修期内在系统正常使用情况下出现故障所需的维修服务。</w:t>
      </w:r>
    </w:p>
    <w:p>
      <w:pPr>
        <w:ind w:firstLine="480"/>
      </w:pPr>
      <w:r>
        <w:rPr>
          <w:rFonts w:hint="eastAsia"/>
        </w:rPr>
        <w:t>4.2中标方接到采购人设备故障通知后应迅速作出反应，在指导采购人作简单的应急处理的同时，1小时内到达现场进行故障处理，节假日和业余时间不加收服务费。</w:t>
      </w:r>
    </w:p>
    <w:p>
      <w:pPr>
        <w:ind w:firstLine="480"/>
      </w:pPr>
      <w:r>
        <w:rPr>
          <w:rFonts w:hint="eastAsia"/>
        </w:rPr>
        <w:t>4.3每周巡检：中标方对消防系统进行每周巡检并提供巡检报告，巡检工作内容包括：</w:t>
      </w:r>
    </w:p>
    <w:p>
      <w:pPr>
        <w:ind w:firstLine="480"/>
      </w:pPr>
      <w:r>
        <w:rPr>
          <w:rFonts w:hint="eastAsia"/>
        </w:rPr>
        <w:t>每周检查的具体项目：</w:t>
      </w:r>
    </w:p>
    <w:p>
      <w:pPr>
        <w:ind w:firstLine="480"/>
      </w:pPr>
      <w:r>
        <w:rPr>
          <w:rFonts w:hint="eastAsia"/>
        </w:rPr>
        <w:t>4.3.1清理灭火设备和报警控制设备表面清洁无尘；</w:t>
      </w:r>
    </w:p>
    <w:p>
      <w:pPr>
        <w:ind w:firstLine="480"/>
      </w:pPr>
      <w:r>
        <w:rPr>
          <w:rFonts w:hint="eastAsia"/>
        </w:rPr>
        <w:t>4.3.2检查手提灭火器是否超过保质期，并进行更换；</w:t>
      </w:r>
    </w:p>
    <w:p>
      <w:pPr>
        <w:ind w:firstLine="480"/>
      </w:pPr>
      <w:r>
        <w:rPr>
          <w:rFonts w:hint="eastAsia"/>
        </w:rPr>
        <w:t>4.3.3检查报警探测器与底座安装是否合理；</w:t>
      </w:r>
    </w:p>
    <w:p>
      <w:pPr>
        <w:ind w:firstLine="480"/>
      </w:pPr>
      <w:r>
        <w:rPr>
          <w:rFonts w:hint="eastAsia"/>
        </w:rPr>
        <w:t>4.3.4检查报警控制器安装是否松动，并进行调整；</w:t>
      </w:r>
    </w:p>
    <w:p>
      <w:pPr>
        <w:ind w:firstLine="480"/>
      </w:pPr>
      <w:r>
        <w:rPr>
          <w:rFonts w:hint="eastAsia"/>
        </w:rPr>
        <w:t>4.3.5检查报警控制器输出信号是否合理，是否有故障指示等，并进行调整；</w:t>
      </w:r>
    </w:p>
    <w:p>
      <w:pPr>
        <w:ind w:firstLine="480"/>
      </w:pPr>
      <w:r>
        <w:rPr>
          <w:rFonts w:hint="eastAsia"/>
        </w:rPr>
        <w:t>4.3.6检查报警探测器指示灯是否正常，并进行调整；</w:t>
      </w:r>
    </w:p>
    <w:p>
      <w:pPr>
        <w:ind w:firstLine="480"/>
      </w:pPr>
      <w:r>
        <w:rPr>
          <w:rFonts w:hint="eastAsia"/>
        </w:rPr>
        <w:t>4.3.7检查报警探测器是否对出入口方向，并进行调整；</w:t>
      </w:r>
    </w:p>
    <w:p>
      <w:pPr>
        <w:ind w:firstLine="480"/>
      </w:pPr>
      <w:r>
        <w:rPr>
          <w:rFonts w:hint="eastAsia"/>
        </w:rPr>
        <w:t>4.3.8对系统进行报警模拟试验，火灾探测、报警按其产品说明书进行；</w:t>
      </w:r>
    </w:p>
    <w:p>
      <w:pPr>
        <w:ind w:firstLine="480"/>
      </w:pPr>
      <w:r>
        <w:rPr>
          <w:rFonts w:hint="eastAsia"/>
        </w:rPr>
        <w:t>4.3.9现场声光报警等应正常。</w:t>
      </w:r>
    </w:p>
    <w:p>
      <w:pPr>
        <w:ind w:firstLine="480"/>
      </w:pPr>
      <w:r>
        <w:rPr>
          <w:rFonts w:hint="eastAsia"/>
        </w:rPr>
        <w:t>4.4常用耗材：中标方应保证（感烟、感温、声光报警器等）配件的供应，一切配件的更换均由中标方负责，所有费用包含在本次报价中，采购人不再另行支付。（包括设备列表中所列所有内容）。</w:t>
      </w:r>
    </w:p>
    <w:p>
      <w:pPr>
        <w:ind w:left="480" w:leftChars="200" w:firstLine="0" w:firstLineChars="0"/>
        <w:rPr>
          <w:b/>
          <w:bCs/>
        </w:rPr>
      </w:pPr>
      <w:r>
        <w:rPr>
          <w:rFonts w:hint="eastAsia"/>
          <w:b/>
          <w:bCs/>
          <w:lang w:val="zh-CN"/>
        </w:rPr>
        <w:t>5、机房内综合布线系统维保要求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5.1中标方提供保修期内在系统正常使用情况下出现故障所需的维修服务。</w:t>
      </w:r>
    </w:p>
    <w:p>
      <w:pPr>
        <w:ind w:firstLine="480"/>
      </w:pPr>
      <w:r>
        <w:rPr>
          <w:rFonts w:hint="eastAsia"/>
        </w:rPr>
        <w:t>5.2中标方接到采购人设备故障通知后应迅速作出反应，在指导采购人作简单的应急处理的同时，1小时内到达现场进行故障处理，节假日和业余时间不加收服务费。</w:t>
      </w:r>
    </w:p>
    <w:p>
      <w:pPr>
        <w:ind w:firstLine="480"/>
      </w:pPr>
      <w:r>
        <w:rPr>
          <w:rFonts w:hint="eastAsia"/>
        </w:rPr>
        <w:t>5.3每周巡检：中标方对机房内布线系统进行每周巡检并提供巡检报告，巡检工作内容包括：</w:t>
      </w:r>
    </w:p>
    <w:p>
      <w:pPr>
        <w:ind w:firstLine="480"/>
      </w:pPr>
      <w:r>
        <w:rPr>
          <w:rFonts w:hint="eastAsia"/>
        </w:rPr>
        <w:t>每周检查的具体项目：</w:t>
      </w:r>
    </w:p>
    <w:p>
      <w:pPr>
        <w:ind w:firstLine="480"/>
      </w:pPr>
      <w:r>
        <w:rPr>
          <w:rFonts w:hint="eastAsia"/>
        </w:rPr>
        <w:t>5.3.1检查机房内综合布线是否由于添加线缆，比较乱，并重新进行捆扎；</w:t>
      </w:r>
    </w:p>
    <w:p>
      <w:pPr>
        <w:ind w:firstLine="480"/>
      </w:pPr>
      <w:r>
        <w:rPr>
          <w:rFonts w:hint="eastAsia"/>
        </w:rPr>
        <w:t>5.3.2检查机房机柜综合布线标签，并进行补充；</w:t>
      </w:r>
    </w:p>
    <w:p>
      <w:pPr>
        <w:ind w:firstLine="480"/>
      </w:pPr>
      <w:r>
        <w:rPr>
          <w:rFonts w:hint="eastAsia"/>
        </w:rPr>
        <w:t>5.3.3检查机房布线面板是否合理，并进行整理。</w:t>
      </w:r>
    </w:p>
    <w:p>
      <w:pPr>
        <w:ind w:firstLine="480"/>
      </w:pPr>
      <w:r>
        <w:rPr>
          <w:rFonts w:hint="eastAsia"/>
        </w:rPr>
        <w:t>5.4常用耗材：中标方应保证（模块、面板、跳线）配件的供应，一切配件的更换均由中标方负责，所有费用包含在本次报价中，采购人不再另行支付。（包括设备列表中所列所有内容）。</w:t>
      </w:r>
    </w:p>
    <w:p>
      <w:pPr>
        <w:ind w:left="480" w:leftChars="200" w:firstLine="0" w:firstLineChars="0"/>
        <w:rPr>
          <w:b/>
          <w:bCs/>
        </w:rPr>
      </w:pPr>
      <w:r>
        <w:rPr>
          <w:rFonts w:hint="eastAsia"/>
          <w:b/>
          <w:bCs/>
        </w:rPr>
        <w:t>6、</w:t>
      </w:r>
      <w:r>
        <w:rPr>
          <w:rFonts w:hint="eastAsia"/>
          <w:b/>
          <w:bCs/>
          <w:lang w:val="zh-CN"/>
        </w:rPr>
        <w:t>机房机柜维保要求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6.1中标方提供保修期内在系统正常使用情况下出现故障所需的维修服务。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6.2每周巡检：中标方对机柜系统进行每周巡检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每周检查的具体项目：</w:t>
      </w:r>
    </w:p>
    <w:p>
      <w:pPr>
        <w:tabs>
          <w:tab w:val="left" w:pos="0"/>
        </w:tabs>
        <w:ind w:firstLine="720" w:firstLineChars="300"/>
        <w:rPr>
          <w:rFonts w:ascii="宋体" w:hAnsi="宋体" w:cs="Helvetica"/>
          <w:kern w:val="0"/>
        </w:rPr>
      </w:pPr>
      <w:r>
        <w:rPr>
          <w:rFonts w:hint="eastAsia" w:ascii="宋体" w:hAnsi="宋体" w:cs="Helvetica"/>
          <w:kern w:val="0"/>
        </w:rPr>
        <w:t>6.2.1检查机柜表面有无变形；</w:t>
      </w:r>
    </w:p>
    <w:p>
      <w:pPr>
        <w:tabs>
          <w:tab w:val="left" w:pos="0"/>
        </w:tabs>
        <w:ind w:firstLine="720" w:firstLineChars="300"/>
        <w:rPr>
          <w:rFonts w:ascii="宋体" w:hAnsi="宋体" w:cs="Helvetica"/>
          <w:kern w:val="0"/>
        </w:rPr>
      </w:pPr>
      <w:r>
        <w:rPr>
          <w:rFonts w:hint="eastAsia" w:ascii="宋体" w:hAnsi="宋体" w:cs="Helvetica"/>
          <w:kern w:val="0"/>
        </w:rPr>
        <w:t>6.2.2检查机柜机柜门扇是否正常；</w:t>
      </w:r>
    </w:p>
    <w:p>
      <w:pPr>
        <w:tabs>
          <w:tab w:val="left" w:pos="0"/>
        </w:tabs>
        <w:ind w:firstLine="720" w:firstLineChars="300"/>
        <w:rPr>
          <w:rFonts w:ascii="宋体" w:hAnsi="宋体" w:cs="Helvetica"/>
          <w:kern w:val="0"/>
        </w:rPr>
      </w:pPr>
      <w:r>
        <w:rPr>
          <w:rFonts w:hint="eastAsia" w:ascii="宋体" w:hAnsi="宋体" w:cs="Helvetica"/>
          <w:kern w:val="0"/>
        </w:rPr>
        <w:t>6.2.3检查机柜门锁是否正常；</w:t>
      </w:r>
    </w:p>
    <w:p>
      <w:pPr>
        <w:tabs>
          <w:tab w:val="left" w:pos="0"/>
        </w:tabs>
        <w:ind w:firstLine="720" w:firstLineChars="300"/>
        <w:rPr>
          <w:rFonts w:ascii="宋体" w:hAnsi="宋体" w:cs="Helvetica"/>
          <w:kern w:val="0"/>
        </w:rPr>
      </w:pPr>
      <w:r>
        <w:rPr>
          <w:rFonts w:hint="eastAsia" w:ascii="宋体" w:hAnsi="宋体" w:cs="Helvetica"/>
          <w:kern w:val="0"/>
        </w:rPr>
        <w:t>6.2.4对机柜内线缆进行整理；</w:t>
      </w:r>
    </w:p>
    <w:p>
      <w:pPr>
        <w:tabs>
          <w:tab w:val="left" w:pos="0"/>
        </w:tabs>
        <w:ind w:firstLine="720" w:firstLineChars="300"/>
        <w:rPr>
          <w:rFonts w:ascii="宋体" w:hAnsi="宋体" w:cs="Helvetica"/>
          <w:kern w:val="0"/>
        </w:rPr>
      </w:pPr>
      <w:r>
        <w:rPr>
          <w:rFonts w:hint="eastAsia" w:ascii="宋体" w:hAnsi="宋体" w:cs="Helvetica"/>
          <w:kern w:val="0"/>
        </w:rPr>
        <w:t>6.2.5对机柜进行卫生清理工作；</w:t>
      </w:r>
    </w:p>
    <w:p>
      <w:pPr>
        <w:tabs>
          <w:tab w:val="left" w:pos="0"/>
        </w:tabs>
        <w:ind w:firstLine="720" w:firstLineChars="300"/>
        <w:rPr>
          <w:rFonts w:ascii="宋体" w:hAnsi="宋体" w:cs="Helvetica"/>
          <w:kern w:val="0"/>
        </w:rPr>
      </w:pPr>
      <w:r>
        <w:rPr>
          <w:rFonts w:hint="eastAsia" w:ascii="宋体" w:hAnsi="宋体" w:cs="Helvetica"/>
          <w:kern w:val="0"/>
        </w:rPr>
        <w:t>6.2.6检查机柜接地线缆是否牢固，并保证安全接地。</w:t>
      </w:r>
    </w:p>
    <w:p>
      <w:pPr>
        <w:ind w:left="480" w:leftChars="200" w:firstLine="0" w:firstLineChars="0"/>
        <w:rPr>
          <w:b/>
          <w:bCs/>
        </w:rPr>
      </w:pPr>
      <w:r>
        <w:rPr>
          <w:rFonts w:hint="eastAsia"/>
          <w:b/>
          <w:bCs/>
        </w:rPr>
        <w:t>7、</w:t>
      </w:r>
      <w:r>
        <w:rPr>
          <w:rFonts w:hint="eastAsia"/>
          <w:b/>
          <w:bCs/>
          <w:lang w:val="zh-CN"/>
        </w:rPr>
        <w:t>机房空调系统维保要求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7.1每周巡检：中标方对空调进行每周巡检</w:t>
      </w:r>
      <w:r>
        <w:rPr>
          <w:rFonts w:hint="eastAsia"/>
        </w:rPr>
        <w:t>并提供巡检报告</w:t>
      </w:r>
      <w:r>
        <w:rPr>
          <w:rFonts w:hint="eastAsia" w:ascii="宋体" w:hAnsi="宋体" w:cs="Helvetica"/>
          <w:kern w:val="0"/>
        </w:rPr>
        <w:t>，巡检工作内容包括：</w:t>
      </w:r>
    </w:p>
    <w:p>
      <w:pPr>
        <w:tabs>
          <w:tab w:val="left" w:pos="0"/>
        </w:tabs>
        <w:ind w:firstLine="480"/>
        <w:rPr>
          <w:rFonts w:ascii="宋体" w:hAnsi="宋体" w:cs="Helvetica"/>
          <w:kern w:val="0"/>
        </w:rPr>
      </w:pPr>
      <w:r>
        <w:rPr>
          <w:rFonts w:hint="eastAsia" w:ascii="宋体" w:hAnsi="宋体" w:cs="Helvetica"/>
          <w:kern w:val="0"/>
        </w:rPr>
        <w:t xml:space="preserve">  7.1.1精密空调检测内容：</w:t>
      </w:r>
    </w:p>
    <w:p>
      <w:pPr>
        <w:tabs>
          <w:tab w:val="left" w:pos="0"/>
        </w:tabs>
        <w:ind w:firstLine="480"/>
        <w:rPr>
          <w:rFonts w:ascii="宋体" w:hAnsi="宋体" w:cs="Helvetica"/>
          <w:kern w:val="0"/>
        </w:rPr>
      </w:pPr>
      <w:r>
        <w:rPr>
          <w:rFonts w:hint="eastAsia" w:ascii="宋体" w:hAnsi="宋体" w:cs="Helvetica"/>
          <w:kern w:val="0"/>
        </w:rPr>
        <w:t xml:space="preserve">     7.1.1.1 静态检查</w:t>
      </w:r>
    </w:p>
    <w:p>
      <w:pPr>
        <w:tabs>
          <w:tab w:val="left" w:pos="0"/>
        </w:tabs>
        <w:ind w:firstLine="960" w:firstLineChars="400"/>
        <w:rPr>
          <w:rFonts w:ascii="宋体" w:hAnsi="宋体" w:cs="Helvetica"/>
          <w:kern w:val="0"/>
        </w:rPr>
      </w:pPr>
      <w:r>
        <w:rPr>
          <w:rFonts w:hint="eastAsia" w:ascii="宋体" w:hAnsi="宋体" w:cs="Helvetica"/>
          <w:kern w:val="0"/>
        </w:rPr>
        <w:t>（1）面板显示是否正常；</w:t>
      </w:r>
    </w:p>
    <w:p>
      <w:pPr>
        <w:tabs>
          <w:tab w:val="left" w:pos="0"/>
        </w:tabs>
        <w:ind w:firstLine="960" w:firstLineChars="400"/>
        <w:rPr>
          <w:rFonts w:ascii="宋体" w:hAnsi="宋体" w:cs="Helvetica"/>
          <w:kern w:val="0"/>
        </w:rPr>
      </w:pPr>
      <w:r>
        <w:rPr>
          <w:rFonts w:hint="eastAsia" w:ascii="宋体" w:hAnsi="宋体" w:cs="Helvetica"/>
          <w:kern w:val="0"/>
        </w:rPr>
        <w:t>（2）参数设置及操作是否正常；</w:t>
      </w:r>
    </w:p>
    <w:p>
      <w:pPr>
        <w:tabs>
          <w:tab w:val="left" w:pos="0"/>
        </w:tabs>
        <w:ind w:firstLine="960" w:firstLineChars="400"/>
        <w:rPr>
          <w:rFonts w:ascii="宋体" w:hAnsi="宋体" w:cs="Helvetica"/>
          <w:kern w:val="0"/>
        </w:rPr>
      </w:pPr>
      <w:r>
        <w:rPr>
          <w:rFonts w:hint="eastAsia" w:ascii="宋体" w:hAnsi="宋体" w:cs="Helvetica"/>
          <w:kern w:val="0"/>
        </w:rPr>
        <w:t>（3）室内/外电机是否正常；</w:t>
      </w:r>
    </w:p>
    <w:p>
      <w:pPr>
        <w:tabs>
          <w:tab w:val="left" w:pos="0"/>
        </w:tabs>
        <w:ind w:firstLine="960" w:firstLineChars="400"/>
        <w:rPr>
          <w:rFonts w:ascii="宋体" w:hAnsi="宋体" w:cs="Helvetica"/>
          <w:kern w:val="0"/>
        </w:rPr>
      </w:pPr>
      <w:r>
        <w:rPr>
          <w:rFonts w:hint="eastAsia" w:ascii="宋体" w:hAnsi="宋体" w:cs="Helvetica"/>
          <w:kern w:val="0"/>
        </w:rPr>
        <w:t>（4）室外机翅片是否正常；</w:t>
      </w:r>
    </w:p>
    <w:p>
      <w:pPr>
        <w:tabs>
          <w:tab w:val="left" w:pos="0"/>
        </w:tabs>
        <w:ind w:firstLine="960" w:firstLineChars="400"/>
        <w:rPr>
          <w:rFonts w:ascii="宋体" w:hAnsi="宋体" w:cs="Helvetica"/>
          <w:kern w:val="0"/>
        </w:rPr>
      </w:pPr>
      <w:r>
        <w:rPr>
          <w:rFonts w:hint="eastAsia" w:ascii="宋体" w:hAnsi="宋体" w:cs="Helvetica"/>
          <w:kern w:val="0"/>
        </w:rPr>
        <w:t>（5）过滤器清洁度</w:t>
      </w:r>
    </w:p>
    <w:p>
      <w:pPr>
        <w:tabs>
          <w:tab w:val="left" w:pos="0"/>
        </w:tabs>
        <w:ind w:firstLine="960" w:firstLineChars="400"/>
        <w:rPr>
          <w:rFonts w:ascii="宋体" w:hAnsi="宋体" w:cs="Helvetica"/>
          <w:kern w:val="0"/>
        </w:rPr>
      </w:pPr>
      <w:r>
        <w:rPr>
          <w:rFonts w:hint="eastAsia" w:ascii="宋体" w:hAnsi="宋体" w:cs="Helvetica"/>
          <w:kern w:val="0"/>
        </w:rPr>
        <w:t>（6）氟视镜颜色</w:t>
      </w:r>
    </w:p>
    <w:p>
      <w:pPr>
        <w:tabs>
          <w:tab w:val="left" w:pos="0"/>
        </w:tabs>
        <w:ind w:firstLine="960" w:firstLineChars="400"/>
        <w:rPr>
          <w:rFonts w:ascii="宋体" w:hAnsi="宋体" w:cs="Helvetica"/>
          <w:kern w:val="0"/>
        </w:rPr>
      </w:pPr>
      <w:r>
        <w:rPr>
          <w:rFonts w:hint="eastAsia" w:ascii="宋体" w:hAnsi="宋体" w:cs="Helvetica"/>
          <w:kern w:val="0"/>
        </w:rPr>
        <w:t>（7）总体工况</w:t>
      </w:r>
    </w:p>
    <w:p>
      <w:pPr>
        <w:tabs>
          <w:tab w:val="left" w:pos="0"/>
        </w:tabs>
        <w:ind w:firstLine="480"/>
        <w:rPr>
          <w:rFonts w:ascii="宋体" w:hAnsi="宋体" w:cs="Helvetica"/>
          <w:kern w:val="0"/>
        </w:rPr>
      </w:pPr>
      <w:r>
        <w:rPr>
          <w:rFonts w:hint="eastAsia" w:ascii="宋体" w:hAnsi="宋体" w:cs="Helvetica"/>
          <w:kern w:val="0"/>
        </w:rPr>
        <w:t xml:space="preserve">     7.1.1.2 精密空调运行状态检查：</w:t>
      </w:r>
    </w:p>
    <w:p>
      <w:pPr>
        <w:tabs>
          <w:tab w:val="left" w:pos="0"/>
        </w:tabs>
        <w:ind w:firstLine="960" w:firstLineChars="400"/>
        <w:rPr>
          <w:rFonts w:ascii="宋体" w:hAnsi="宋体" w:cs="Helvetica"/>
          <w:kern w:val="0"/>
        </w:rPr>
      </w:pPr>
      <w:r>
        <w:rPr>
          <w:rFonts w:hint="eastAsia" w:ascii="宋体" w:hAnsi="宋体" w:cs="Helvetica"/>
          <w:kern w:val="0"/>
        </w:rPr>
        <w:t>（1）电源电压：AB/BC/AC；</w:t>
      </w:r>
    </w:p>
    <w:p>
      <w:pPr>
        <w:tabs>
          <w:tab w:val="left" w:pos="0"/>
        </w:tabs>
        <w:ind w:firstLine="960" w:firstLineChars="400"/>
        <w:rPr>
          <w:rFonts w:ascii="宋体" w:hAnsi="宋体" w:cs="Helvetica"/>
          <w:kern w:val="0"/>
        </w:rPr>
      </w:pPr>
      <w:r>
        <w:rPr>
          <w:rFonts w:hint="eastAsia" w:ascii="宋体" w:hAnsi="宋体" w:cs="Helvetica"/>
          <w:kern w:val="0"/>
        </w:rPr>
        <w:t>（2）室内/外温度：℃；</w:t>
      </w:r>
    </w:p>
    <w:p>
      <w:pPr>
        <w:tabs>
          <w:tab w:val="left" w:pos="0"/>
        </w:tabs>
        <w:ind w:firstLine="960" w:firstLineChars="400"/>
        <w:rPr>
          <w:rFonts w:ascii="宋体" w:hAnsi="宋体" w:cs="Helvetica"/>
          <w:kern w:val="0"/>
        </w:rPr>
      </w:pPr>
      <w:r>
        <w:rPr>
          <w:rFonts w:hint="eastAsia" w:ascii="宋体" w:hAnsi="宋体" w:cs="Helvetica"/>
          <w:kern w:val="0"/>
        </w:rPr>
        <w:t>（3）控制电压：V；</w:t>
      </w:r>
    </w:p>
    <w:p>
      <w:pPr>
        <w:tabs>
          <w:tab w:val="left" w:pos="0"/>
        </w:tabs>
        <w:ind w:firstLine="960" w:firstLineChars="400"/>
        <w:rPr>
          <w:rFonts w:ascii="宋体" w:hAnsi="宋体" w:cs="Helvetica"/>
          <w:kern w:val="0"/>
        </w:rPr>
      </w:pPr>
      <w:r>
        <w:rPr>
          <w:rFonts w:hint="eastAsia" w:ascii="宋体" w:hAnsi="宋体" w:cs="Helvetica"/>
          <w:kern w:val="0"/>
        </w:rPr>
        <w:t>（4）压缩机电流：A；</w:t>
      </w:r>
    </w:p>
    <w:p>
      <w:pPr>
        <w:tabs>
          <w:tab w:val="left" w:pos="0"/>
        </w:tabs>
        <w:ind w:firstLine="960" w:firstLineChars="400"/>
        <w:rPr>
          <w:rFonts w:ascii="宋体" w:hAnsi="宋体" w:cs="Helvetica"/>
          <w:kern w:val="0"/>
        </w:rPr>
      </w:pPr>
      <w:r>
        <w:rPr>
          <w:rFonts w:hint="eastAsia" w:ascii="宋体" w:hAnsi="宋体" w:cs="Helvetica"/>
          <w:kern w:val="0"/>
        </w:rPr>
        <w:t>（5）主风机电流：A;</w:t>
      </w:r>
    </w:p>
    <w:p>
      <w:pPr>
        <w:tabs>
          <w:tab w:val="left" w:pos="0"/>
        </w:tabs>
        <w:ind w:firstLine="960" w:firstLineChars="400"/>
        <w:rPr>
          <w:rFonts w:ascii="宋体" w:hAnsi="宋体" w:cs="Helvetica"/>
          <w:kern w:val="0"/>
        </w:rPr>
      </w:pPr>
      <w:r>
        <w:rPr>
          <w:rFonts w:hint="eastAsia" w:ascii="宋体" w:hAnsi="宋体" w:cs="Helvetica"/>
          <w:kern w:val="0"/>
        </w:rPr>
        <w:t>（6）加热电流：A;</w:t>
      </w:r>
    </w:p>
    <w:p>
      <w:pPr>
        <w:tabs>
          <w:tab w:val="left" w:pos="0"/>
        </w:tabs>
        <w:ind w:firstLine="480"/>
        <w:rPr>
          <w:rFonts w:ascii="宋体" w:hAnsi="宋体" w:cs="Helvetica"/>
          <w:kern w:val="0"/>
        </w:rPr>
      </w:pPr>
      <w:r>
        <w:rPr>
          <w:rFonts w:hint="eastAsia" w:ascii="宋体" w:hAnsi="宋体" w:cs="Helvetica"/>
          <w:kern w:val="0"/>
        </w:rPr>
        <w:t xml:space="preserve">     7.1.1.3 精密空调控制及制冷系统检查：</w:t>
      </w:r>
    </w:p>
    <w:p>
      <w:pPr>
        <w:tabs>
          <w:tab w:val="left" w:pos="0"/>
        </w:tabs>
        <w:ind w:firstLine="960" w:firstLineChars="400"/>
        <w:rPr>
          <w:rFonts w:ascii="宋体" w:hAnsi="宋体" w:cs="Helvetica"/>
          <w:kern w:val="0"/>
        </w:rPr>
      </w:pPr>
      <w:r>
        <w:rPr>
          <w:rFonts w:hint="eastAsia" w:ascii="宋体" w:hAnsi="宋体" w:cs="Helvetica"/>
          <w:kern w:val="0"/>
        </w:rPr>
        <w:t>（1）主风机控制是否正常；</w:t>
      </w:r>
    </w:p>
    <w:p>
      <w:pPr>
        <w:tabs>
          <w:tab w:val="left" w:pos="0"/>
        </w:tabs>
        <w:ind w:firstLine="960" w:firstLineChars="400"/>
        <w:rPr>
          <w:rFonts w:ascii="宋体" w:hAnsi="宋体" w:cs="Helvetica"/>
          <w:kern w:val="0"/>
        </w:rPr>
      </w:pPr>
      <w:r>
        <w:rPr>
          <w:rFonts w:hint="eastAsia" w:ascii="宋体" w:hAnsi="宋体" w:cs="Helvetica"/>
          <w:kern w:val="0"/>
        </w:rPr>
        <w:t>（2）加热控制状态是否正常；</w:t>
      </w:r>
    </w:p>
    <w:p>
      <w:pPr>
        <w:tabs>
          <w:tab w:val="left" w:pos="0"/>
        </w:tabs>
        <w:ind w:firstLine="960" w:firstLineChars="400"/>
        <w:rPr>
          <w:rFonts w:ascii="宋体" w:hAnsi="宋体" w:cs="Helvetica"/>
          <w:kern w:val="0"/>
        </w:rPr>
      </w:pPr>
      <w:r>
        <w:rPr>
          <w:rFonts w:hint="eastAsia" w:ascii="宋体" w:hAnsi="宋体" w:cs="Helvetica"/>
          <w:kern w:val="0"/>
        </w:rPr>
        <w:t>（3）压缩机压力高/低压是否正常；</w:t>
      </w:r>
    </w:p>
    <w:p>
      <w:pPr>
        <w:tabs>
          <w:tab w:val="left" w:pos="0"/>
        </w:tabs>
        <w:ind w:firstLine="960" w:firstLineChars="400"/>
        <w:rPr>
          <w:rFonts w:ascii="宋体" w:hAnsi="宋体" w:cs="Helvetica"/>
          <w:kern w:val="0"/>
        </w:rPr>
      </w:pPr>
      <w:r>
        <w:rPr>
          <w:rFonts w:hint="eastAsia" w:ascii="宋体" w:hAnsi="宋体" w:cs="Helvetica"/>
          <w:kern w:val="0"/>
        </w:rPr>
        <w:t>（4）高/低压开关动作是否正常；</w:t>
      </w:r>
    </w:p>
    <w:p>
      <w:pPr>
        <w:tabs>
          <w:tab w:val="left" w:pos="0"/>
        </w:tabs>
        <w:ind w:firstLine="960" w:firstLineChars="400"/>
        <w:rPr>
          <w:rFonts w:ascii="宋体" w:hAnsi="宋体" w:cs="Helvetica"/>
          <w:kern w:val="0"/>
        </w:rPr>
      </w:pPr>
      <w:r>
        <w:rPr>
          <w:rFonts w:hint="eastAsia" w:ascii="宋体" w:hAnsi="宋体" w:cs="Helvetica"/>
          <w:kern w:val="0"/>
        </w:rPr>
        <w:t>（5）膨胀阀是否正常;</w:t>
      </w:r>
    </w:p>
    <w:p>
      <w:pPr>
        <w:tabs>
          <w:tab w:val="left" w:pos="0"/>
        </w:tabs>
        <w:ind w:firstLine="960" w:firstLineChars="400"/>
        <w:rPr>
          <w:rFonts w:ascii="宋体" w:hAnsi="宋体" w:cs="Helvetica"/>
          <w:kern w:val="0"/>
        </w:rPr>
      </w:pPr>
      <w:r>
        <w:rPr>
          <w:rFonts w:hint="eastAsia" w:ascii="宋体" w:hAnsi="宋体" w:cs="Helvetica"/>
          <w:kern w:val="0"/>
        </w:rPr>
        <w:t>（6）压缩机震动情况是否正常;</w:t>
      </w:r>
    </w:p>
    <w:p>
      <w:pPr>
        <w:tabs>
          <w:tab w:val="left" w:pos="0"/>
        </w:tabs>
        <w:ind w:firstLine="480"/>
        <w:rPr>
          <w:rFonts w:ascii="宋体" w:hAnsi="宋体" w:cs="Helvetica"/>
          <w:kern w:val="0"/>
        </w:rPr>
      </w:pPr>
      <w:r>
        <w:rPr>
          <w:rFonts w:hint="eastAsia" w:ascii="宋体" w:hAnsi="宋体" w:cs="Helvetica"/>
          <w:kern w:val="0"/>
        </w:rPr>
        <w:t xml:space="preserve">  7.1.2 立柜空调检查内容：</w:t>
      </w:r>
    </w:p>
    <w:p>
      <w:pPr>
        <w:tabs>
          <w:tab w:val="left" w:pos="0"/>
        </w:tabs>
        <w:ind w:firstLine="480"/>
        <w:rPr>
          <w:rFonts w:ascii="宋体" w:hAnsi="宋体" w:cs="Helvetica"/>
          <w:kern w:val="0"/>
        </w:rPr>
      </w:pPr>
      <w:r>
        <w:rPr>
          <w:rFonts w:hint="eastAsia" w:ascii="宋体" w:hAnsi="宋体" w:cs="Helvetica"/>
          <w:kern w:val="0"/>
        </w:rPr>
        <w:t xml:space="preserve">    7.1.2.1 检查立柜空调检查内容：</w:t>
      </w:r>
    </w:p>
    <w:p>
      <w:pPr>
        <w:tabs>
          <w:tab w:val="left" w:pos="0"/>
        </w:tabs>
        <w:ind w:firstLine="960" w:firstLineChars="400"/>
        <w:rPr>
          <w:rFonts w:ascii="宋体" w:hAnsi="宋体" w:cs="Helvetica"/>
          <w:kern w:val="0"/>
        </w:rPr>
      </w:pPr>
      <w:r>
        <w:rPr>
          <w:rFonts w:hint="eastAsia" w:ascii="宋体" w:hAnsi="宋体" w:cs="Helvetica"/>
          <w:kern w:val="0"/>
        </w:rPr>
        <w:t>（1）面板显示是否正常；</w:t>
      </w:r>
    </w:p>
    <w:p>
      <w:pPr>
        <w:tabs>
          <w:tab w:val="left" w:pos="0"/>
        </w:tabs>
        <w:ind w:firstLine="960" w:firstLineChars="400"/>
        <w:rPr>
          <w:rFonts w:ascii="宋体" w:hAnsi="宋体" w:cs="Helvetica"/>
          <w:kern w:val="0"/>
        </w:rPr>
      </w:pPr>
      <w:r>
        <w:rPr>
          <w:rFonts w:hint="eastAsia" w:ascii="宋体" w:hAnsi="宋体" w:cs="Helvetica"/>
          <w:kern w:val="0"/>
        </w:rPr>
        <w:t>（2）室内/外电机是否正常；</w:t>
      </w:r>
    </w:p>
    <w:p>
      <w:pPr>
        <w:tabs>
          <w:tab w:val="left" w:pos="0"/>
        </w:tabs>
        <w:ind w:firstLine="480"/>
        <w:rPr>
          <w:rFonts w:ascii="宋体" w:hAnsi="宋体" w:cs="Helvetica"/>
          <w:kern w:val="0"/>
        </w:rPr>
      </w:pPr>
      <w:r>
        <w:rPr>
          <w:rFonts w:hint="eastAsia" w:ascii="宋体" w:hAnsi="宋体" w:cs="Helvetica"/>
          <w:kern w:val="0"/>
        </w:rPr>
        <w:t>7.2室外冷凝器及室内机滤网的清洗：中标方应在每年的5月和9月安排清洗工作，精密空调过滤网按使用情况及时更换。</w:t>
      </w:r>
    </w:p>
    <w:p>
      <w:pPr>
        <w:tabs>
          <w:tab w:val="left" w:pos="0"/>
        </w:tabs>
        <w:ind w:firstLine="480"/>
        <w:rPr>
          <w:rFonts w:ascii="宋体" w:hAnsi="宋体" w:cs="Helvetica"/>
          <w:kern w:val="0"/>
        </w:rPr>
      </w:pPr>
      <w:r>
        <w:rPr>
          <w:rFonts w:hint="eastAsia" w:ascii="宋体" w:hAnsi="宋体" w:cs="Helvetica"/>
          <w:kern w:val="0"/>
        </w:rPr>
        <w:t>7.3常用耗材：中标方应提供维护机房空调常用耗材并存放于采购人指定地点。</w:t>
      </w:r>
    </w:p>
    <w:p>
      <w:pPr>
        <w:tabs>
          <w:tab w:val="left" w:pos="0"/>
        </w:tabs>
        <w:ind w:firstLine="480"/>
        <w:rPr>
          <w:rFonts w:ascii="宋体" w:hAnsi="宋体" w:cs="Helvetica"/>
          <w:kern w:val="0"/>
        </w:rPr>
      </w:pPr>
      <w:r>
        <w:rPr>
          <w:rFonts w:hint="eastAsia" w:ascii="宋体" w:hAnsi="宋体" w:cs="Helvetica"/>
          <w:kern w:val="0"/>
        </w:rPr>
        <w:t>7.4组织安排原厂家技术人员半年一次现场实施维保。</w:t>
      </w:r>
    </w:p>
    <w:p>
      <w:pPr>
        <w:ind w:left="480" w:leftChars="200" w:firstLine="0" w:firstLineChars="0"/>
        <w:rPr>
          <w:b/>
          <w:bCs/>
        </w:rPr>
      </w:pPr>
      <w:r>
        <w:rPr>
          <w:rFonts w:hint="eastAsia"/>
          <w:b/>
          <w:bCs/>
        </w:rPr>
        <w:t>8、</w:t>
      </w:r>
      <w:r>
        <w:rPr>
          <w:rFonts w:hint="eastAsia"/>
          <w:b/>
          <w:bCs/>
          <w:lang w:val="zh-CN"/>
        </w:rPr>
        <w:t>机房UPS电源系统维保要求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8.1中标方提供保修期内在系统正常使用情况下出现故障所需的维修服务。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8.2中标方接到采购人设备故障通知后应迅速作出反应，在指导采购人作简单的应急处理的同时，1小时内到达现场进行故障处理，节假日和业余时间不加收服务费。</w:t>
      </w:r>
    </w:p>
    <w:p>
      <w:pPr>
        <w:tabs>
          <w:tab w:val="left" w:pos="0"/>
        </w:tabs>
        <w:ind w:firstLine="480"/>
        <w:rPr>
          <w:rFonts w:ascii="宋体" w:hAnsi="宋体" w:cs="Helvetica"/>
          <w:kern w:val="0"/>
        </w:rPr>
      </w:pPr>
      <w:r>
        <w:rPr>
          <w:rFonts w:hint="eastAsia" w:ascii="宋体" w:hAnsi="宋体" w:cs="Helvetica"/>
          <w:kern w:val="0"/>
        </w:rPr>
        <w:t>8.3每周巡检：中标方对UPS电源及蓄电池进行每周巡检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 xml:space="preserve">每周检查的具体项目： </w:t>
      </w:r>
    </w:p>
    <w:p>
      <w:pPr>
        <w:tabs>
          <w:tab w:val="left" w:pos="0"/>
        </w:tabs>
        <w:ind w:firstLine="720" w:firstLineChars="300"/>
        <w:rPr>
          <w:rFonts w:ascii="宋体" w:hAnsi="宋体" w:cs="Helvetica"/>
          <w:kern w:val="0"/>
        </w:rPr>
      </w:pPr>
      <w:r>
        <w:rPr>
          <w:rFonts w:hint="eastAsia" w:ascii="宋体" w:hAnsi="宋体" w:cs="Helvetica"/>
          <w:kern w:val="0"/>
        </w:rPr>
        <w:t xml:space="preserve">8.3.1检查所有电气连接 </w:t>
      </w:r>
    </w:p>
    <w:p>
      <w:pPr>
        <w:tabs>
          <w:tab w:val="left" w:pos="0"/>
        </w:tabs>
        <w:ind w:firstLine="720" w:firstLineChars="300"/>
        <w:rPr>
          <w:rFonts w:ascii="宋体" w:hAnsi="宋体" w:cs="Helvetica"/>
          <w:kern w:val="0"/>
        </w:rPr>
      </w:pPr>
      <w:r>
        <w:rPr>
          <w:rFonts w:hint="eastAsia" w:ascii="宋体" w:hAnsi="宋体" w:cs="Helvetica"/>
          <w:kern w:val="0"/>
        </w:rPr>
        <w:t>8.3.2检测市电输入电压：R/S/T；</w:t>
      </w:r>
    </w:p>
    <w:p>
      <w:pPr>
        <w:tabs>
          <w:tab w:val="left" w:pos="0"/>
        </w:tabs>
        <w:ind w:firstLine="720" w:firstLineChars="300"/>
        <w:rPr>
          <w:rFonts w:ascii="宋体" w:hAnsi="宋体" w:cs="Helvetica"/>
          <w:kern w:val="0"/>
        </w:rPr>
      </w:pPr>
      <w:r>
        <w:rPr>
          <w:rFonts w:hint="eastAsia" w:ascii="宋体" w:hAnsi="宋体" w:cs="Helvetica"/>
          <w:kern w:val="0"/>
        </w:rPr>
        <w:t xml:space="preserve">8.3.3检测市电输入配线：R/S/T/N/G项； </w:t>
      </w:r>
    </w:p>
    <w:p>
      <w:pPr>
        <w:tabs>
          <w:tab w:val="left" w:pos="0"/>
        </w:tabs>
        <w:ind w:firstLine="720" w:firstLineChars="300"/>
        <w:rPr>
          <w:rFonts w:ascii="宋体" w:hAnsi="宋体" w:cs="Helvetica"/>
          <w:kern w:val="0"/>
        </w:rPr>
      </w:pPr>
      <w:r>
        <w:rPr>
          <w:rFonts w:hint="eastAsia" w:ascii="宋体" w:hAnsi="宋体" w:cs="Helvetica"/>
          <w:kern w:val="0"/>
        </w:rPr>
        <w:t>8.3.4检测UPS输出电压：R/S/T；</w:t>
      </w:r>
    </w:p>
    <w:p>
      <w:pPr>
        <w:tabs>
          <w:tab w:val="left" w:pos="0"/>
        </w:tabs>
        <w:ind w:firstLine="720" w:firstLineChars="300"/>
        <w:rPr>
          <w:rFonts w:ascii="宋体" w:hAnsi="宋体" w:cs="Helvetica"/>
          <w:kern w:val="0"/>
        </w:rPr>
      </w:pPr>
      <w:r>
        <w:rPr>
          <w:rFonts w:hint="eastAsia" w:ascii="宋体" w:hAnsi="宋体" w:cs="Helvetica"/>
          <w:kern w:val="0"/>
        </w:rPr>
        <w:t>8.3.5检测UPS输入配线：R/S/T/N/G项；</w:t>
      </w:r>
    </w:p>
    <w:p>
      <w:pPr>
        <w:tabs>
          <w:tab w:val="left" w:pos="0"/>
        </w:tabs>
        <w:ind w:firstLine="720" w:firstLineChars="300"/>
        <w:rPr>
          <w:rFonts w:ascii="宋体" w:hAnsi="宋体" w:cs="Helvetica"/>
          <w:kern w:val="0"/>
        </w:rPr>
      </w:pPr>
      <w:r>
        <w:rPr>
          <w:rFonts w:hint="eastAsia" w:ascii="宋体" w:hAnsi="宋体" w:cs="Helvetica"/>
          <w:kern w:val="0"/>
        </w:rPr>
        <w:t>8.3.6检测UPS输出电流：R/S/T；</w:t>
      </w:r>
    </w:p>
    <w:p>
      <w:pPr>
        <w:tabs>
          <w:tab w:val="left" w:pos="0"/>
        </w:tabs>
        <w:ind w:firstLine="720" w:firstLineChars="300"/>
        <w:rPr>
          <w:rFonts w:ascii="宋体" w:hAnsi="宋体" w:cs="Helvetica"/>
          <w:kern w:val="0"/>
        </w:rPr>
      </w:pPr>
      <w:r>
        <w:rPr>
          <w:rFonts w:hint="eastAsia" w:ascii="宋体" w:hAnsi="宋体" w:cs="Helvetica"/>
          <w:kern w:val="0"/>
        </w:rPr>
        <w:t>8.3.7检测UPS带载率：R/S/T；</w:t>
      </w:r>
    </w:p>
    <w:p>
      <w:pPr>
        <w:tabs>
          <w:tab w:val="left" w:pos="0"/>
        </w:tabs>
        <w:ind w:firstLine="720" w:firstLineChars="300"/>
        <w:rPr>
          <w:rFonts w:ascii="宋体" w:hAnsi="宋体" w:cs="Helvetica"/>
          <w:kern w:val="0"/>
        </w:rPr>
      </w:pPr>
      <w:r>
        <w:rPr>
          <w:rFonts w:hint="eastAsia" w:ascii="宋体" w:hAnsi="宋体" w:cs="Helvetica"/>
          <w:kern w:val="0"/>
        </w:rPr>
        <w:t>8.3.8检测充电电压：</w:t>
      </w:r>
    </w:p>
    <w:p>
      <w:pPr>
        <w:tabs>
          <w:tab w:val="left" w:pos="0"/>
        </w:tabs>
        <w:ind w:firstLine="720" w:firstLineChars="300"/>
        <w:rPr>
          <w:rFonts w:ascii="宋体" w:hAnsi="宋体" w:cs="Helvetica"/>
          <w:kern w:val="0"/>
        </w:rPr>
      </w:pPr>
      <w:r>
        <w:rPr>
          <w:rFonts w:hint="eastAsia" w:ascii="宋体" w:hAnsi="宋体" w:cs="Helvetica"/>
          <w:kern w:val="0"/>
        </w:rPr>
        <w:t>8.3.9检测电池电压；</w:t>
      </w:r>
    </w:p>
    <w:p>
      <w:pPr>
        <w:tabs>
          <w:tab w:val="left" w:pos="0"/>
        </w:tabs>
        <w:ind w:firstLine="720" w:firstLineChars="300"/>
        <w:rPr>
          <w:rFonts w:ascii="宋体" w:hAnsi="宋体" w:cs="Helvetica"/>
          <w:kern w:val="0"/>
        </w:rPr>
      </w:pPr>
      <w:r>
        <w:rPr>
          <w:rFonts w:hint="eastAsia" w:ascii="宋体" w:hAnsi="宋体" w:cs="Helvetica"/>
          <w:kern w:val="0"/>
        </w:rPr>
        <w:t xml:space="preserve">8.3.10检测零地电压； </w:t>
      </w:r>
    </w:p>
    <w:p>
      <w:pPr>
        <w:tabs>
          <w:tab w:val="left" w:pos="0"/>
        </w:tabs>
        <w:ind w:firstLine="720" w:firstLineChars="300"/>
        <w:rPr>
          <w:rFonts w:ascii="宋体" w:hAnsi="宋体" w:cs="Helvetica"/>
          <w:kern w:val="0"/>
        </w:rPr>
      </w:pPr>
      <w:r>
        <w:rPr>
          <w:rFonts w:hint="eastAsia" w:ascii="宋体" w:hAnsi="宋体" w:cs="Helvetica"/>
          <w:kern w:val="0"/>
        </w:rPr>
        <w:t xml:space="preserve">8.3.11每半年进行放电测试 </w:t>
      </w:r>
    </w:p>
    <w:p>
      <w:pPr>
        <w:tabs>
          <w:tab w:val="left" w:pos="0"/>
        </w:tabs>
        <w:ind w:firstLine="720" w:firstLineChars="300"/>
        <w:rPr>
          <w:rFonts w:ascii="宋体" w:hAnsi="宋体" w:cs="Helvetica"/>
          <w:kern w:val="0"/>
        </w:rPr>
      </w:pPr>
      <w:r>
        <w:rPr>
          <w:rFonts w:hint="eastAsia" w:ascii="宋体" w:hAnsi="宋体" w:cs="Helvetica"/>
          <w:kern w:val="0"/>
        </w:rPr>
        <w:t xml:space="preserve">8.3.12每半年进行蓄电池参数测试，用专用电池测量仪表测量每块蓄电池的电压、内阻等参数，出具电池参数报告供招标方参考。 </w:t>
      </w:r>
    </w:p>
    <w:p>
      <w:pPr>
        <w:tabs>
          <w:tab w:val="left" w:pos="0"/>
        </w:tabs>
        <w:ind w:firstLine="480"/>
        <w:rPr>
          <w:rFonts w:ascii="宋体" w:hAnsi="宋体" w:cs="Helvetica"/>
          <w:kern w:val="0"/>
        </w:rPr>
      </w:pPr>
      <w:r>
        <w:rPr>
          <w:rFonts w:hint="eastAsia" w:ascii="宋体" w:hAnsi="宋体" w:cs="Helvetica"/>
          <w:kern w:val="0"/>
        </w:rPr>
        <w:t>8.4维修用备品备件：中标方应保证配件的供应，一切配件的更换均由中标方负责，所有费用包含在本次报价中，采购人不再另行支付（包括设备列表中所列所有内容），电池费用不包含在本次报价内。</w:t>
      </w:r>
    </w:p>
    <w:p>
      <w:pPr>
        <w:tabs>
          <w:tab w:val="left" w:pos="0"/>
        </w:tabs>
        <w:ind w:firstLine="480"/>
        <w:rPr>
          <w:rFonts w:ascii="宋体" w:hAnsi="宋体" w:cs="Helvetica"/>
          <w:kern w:val="0"/>
        </w:rPr>
      </w:pPr>
      <w:r>
        <w:rPr>
          <w:rFonts w:hint="eastAsia" w:ascii="宋体" w:hAnsi="宋体" w:cs="Helvetica"/>
          <w:kern w:val="0"/>
        </w:rPr>
        <w:t>8.5组织安排原厂家技术人员半年一次现场实施维保。</w:t>
      </w:r>
    </w:p>
    <w:p>
      <w:pPr>
        <w:pStyle w:val="261"/>
        <w:numPr>
          <w:ilvl w:val="0"/>
          <w:numId w:val="1"/>
        </w:numPr>
        <w:ind w:firstLineChars="0"/>
        <w:rPr>
          <w:rFonts w:ascii="宋体" w:hAnsi="宋体" w:cs="宋体"/>
          <w:szCs w:val="21"/>
        </w:rPr>
      </w:pPr>
      <w:r>
        <w:rPr>
          <w:rFonts w:hint="eastAsia" w:eastAsia="宋体" w:cs="Times New Roman"/>
          <w:b/>
          <w:bCs/>
          <w:lang w:val="zh-CN"/>
        </w:rPr>
        <w:t>机房环境监控系统维保要求</w:t>
      </w:r>
    </w:p>
    <w:p>
      <w:pPr>
        <w:tabs>
          <w:tab w:val="left" w:pos="0"/>
        </w:tabs>
        <w:ind w:firstLine="480"/>
        <w:rPr>
          <w:rFonts w:ascii="宋体" w:hAnsi="宋体" w:cs="Helvetica"/>
          <w:kern w:val="0"/>
        </w:rPr>
      </w:pPr>
      <w:r>
        <w:rPr>
          <w:rFonts w:hint="eastAsia" w:ascii="宋体" w:hAnsi="宋体" w:cs="Helvetica"/>
          <w:kern w:val="0"/>
        </w:rPr>
        <w:t>中标方应按下述要求为招标人的设备提供维护服务，并对发现的问题及时处理，具体要求如下：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9.1中标方提供保修期内在系统正常使用情况下出现故障所需的维修服务。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9.2中标方接到采购人设备故障通知后应迅速作出反应，在指导采购人作简单的应急处理的同时，1小时内到达现场进行故障处理，节假日和业余时间不加收服务费。</w:t>
      </w:r>
    </w:p>
    <w:p>
      <w:pPr>
        <w:tabs>
          <w:tab w:val="left" w:pos="0"/>
        </w:tabs>
        <w:ind w:firstLine="480"/>
        <w:rPr>
          <w:rFonts w:ascii="宋体" w:hAnsi="宋体" w:cs="Helvetica"/>
          <w:kern w:val="0"/>
        </w:rPr>
      </w:pPr>
      <w:r>
        <w:rPr>
          <w:rFonts w:hint="eastAsia" w:ascii="宋体" w:hAnsi="宋体" w:cs="Helvetica"/>
          <w:kern w:val="0"/>
        </w:rPr>
        <w:t>9.3每周巡检：中标方对环境监控系统进行每周巡检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 xml:space="preserve">每周检查的具体项目： </w:t>
      </w:r>
    </w:p>
    <w:p>
      <w:pPr>
        <w:tabs>
          <w:tab w:val="left" w:pos="0"/>
        </w:tabs>
        <w:ind w:firstLine="720" w:firstLineChars="300"/>
        <w:rPr>
          <w:rFonts w:ascii="宋体" w:hAnsi="宋体" w:cs="Helvetica"/>
          <w:kern w:val="0"/>
        </w:rPr>
      </w:pPr>
      <w:r>
        <w:rPr>
          <w:rFonts w:hint="eastAsia" w:ascii="宋体" w:hAnsi="宋体" w:cs="Helvetica"/>
          <w:kern w:val="0"/>
        </w:rPr>
        <w:t>9.3.1 检查动力环境监控系统</w:t>
      </w:r>
    </w:p>
    <w:p>
      <w:pPr>
        <w:tabs>
          <w:tab w:val="left" w:pos="0"/>
        </w:tabs>
        <w:ind w:firstLine="960" w:firstLineChars="400"/>
        <w:rPr>
          <w:rFonts w:ascii="宋体" w:hAnsi="宋体" w:cs="Helvetica"/>
          <w:kern w:val="0"/>
        </w:rPr>
      </w:pPr>
      <w:r>
        <w:rPr>
          <w:rFonts w:hint="eastAsia" w:ascii="宋体" w:hAnsi="宋体" w:cs="Helvetica"/>
          <w:kern w:val="0"/>
        </w:rPr>
        <w:t>（1）服务器软件是否正常；</w:t>
      </w:r>
    </w:p>
    <w:p>
      <w:pPr>
        <w:tabs>
          <w:tab w:val="left" w:pos="0"/>
        </w:tabs>
        <w:ind w:firstLine="960" w:firstLineChars="400"/>
        <w:rPr>
          <w:rFonts w:ascii="宋体" w:hAnsi="宋体" w:cs="Helvetica"/>
          <w:kern w:val="0"/>
        </w:rPr>
      </w:pPr>
      <w:r>
        <w:rPr>
          <w:rFonts w:hint="eastAsia" w:ascii="宋体" w:hAnsi="宋体" w:cs="Helvetica"/>
          <w:kern w:val="0"/>
        </w:rPr>
        <w:t>（2）客户端软件是否正常；</w:t>
      </w:r>
    </w:p>
    <w:p>
      <w:pPr>
        <w:tabs>
          <w:tab w:val="left" w:pos="0"/>
        </w:tabs>
        <w:ind w:firstLine="960" w:firstLineChars="400"/>
        <w:rPr>
          <w:rFonts w:ascii="宋体" w:hAnsi="宋体" w:cs="Helvetica"/>
          <w:kern w:val="0"/>
        </w:rPr>
      </w:pPr>
      <w:r>
        <w:rPr>
          <w:rFonts w:hint="eastAsia" w:ascii="宋体" w:hAnsi="宋体" w:cs="Helvetica"/>
          <w:kern w:val="0"/>
        </w:rPr>
        <w:t>（3）图形定位告警界面是否正常；</w:t>
      </w:r>
    </w:p>
    <w:p>
      <w:pPr>
        <w:tabs>
          <w:tab w:val="left" w:pos="0"/>
        </w:tabs>
        <w:ind w:firstLine="960" w:firstLineChars="400"/>
        <w:rPr>
          <w:rFonts w:ascii="宋体" w:hAnsi="宋体" w:cs="Helvetica"/>
          <w:kern w:val="0"/>
        </w:rPr>
      </w:pPr>
      <w:r>
        <w:rPr>
          <w:rFonts w:hint="eastAsia" w:ascii="宋体" w:hAnsi="宋体" w:cs="Helvetica"/>
          <w:kern w:val="0"/>
        </w:rPr>
        <w:t>（4）3D仿真图示定位告警界面是否正常；</w:t>
      </w:r>
    </w:p>
    <w:p>
      <w:pPr>
        <w:tabs>
          <w:tab w:val="left" w:pos="0"/>
        </w:tabs>
        <w:ind w:firstLine="960" w:firstLineChars="400"/>
        <w:rPr>
          <w:rFonts w:ascii="宋体" w:hAnsi="宋体" w:cs="Helvetica"/>
          <w:kern w:val="0"/>
        </w:rPr>
      </w:pPr>
      <w:r>
        <w:rPr>
          <w:rFonts w:hint="eastAsia" w:ascii="宋体" w:hAnsi="宋体" w:cs="Helvetica"/>
          <w:kern w:val="0"/>
        </w:rPr>
        <w:t>（5）服务器远程监控是否正常；</w:t>
      </w:r>
    </w:p>
    <w:p>
      <w:pPr>
        <w:tabs>
          <w:tab w:val="left" w:pos="0"/>
        </w:tabs>
        <w:ind w:firstLine="960" w:firstLineChars="400"/>
        <w:rPr>
          <w:rFonts w:ascii="宋体" w:hAnsi="宋体" w:cs="Helvetica"/>
          <w:kern w:val="0"/>
        </w:rPr>
      </w:pPr>
      <w:r>
        <w:rPr>
          <w:rFonts w:hint="eastAsia" w:ascii="宋体" w:hAnsi="宋体" w:cs="Helvetica"/>
          <w:kern w:val="0"/>
        </w:rPr>
        <w:t>（6）交换机远程管理是否正常；</w:t>
      </w:r>
    </w:p>
    <w:p>
      <w:pPr>
        <w:tabs>
          <w:tab w:val="left" w:pos="0"/>
        </w:tabs>
        <w:ind w:firstLine="720" w:firstLineChars="300"/>
        <w:rPr>
          <w:rFonts w:ascii="宋体" w:hAnsi="宋体" w:cs="Helvetica"/>
          <w:kern w:val="0"/>
        </w:rPr>
      </w:pPr>
      <w:r>
        <w:rPr>
          <w:rFonts w:hint="eastAsia" w:ascii="宋体" w:hAnsi="宋体" w:cs="Helvetica"/>
          <w:kern w:val="0"/>
        </w:rPr>
        <w:t>9.3.2 检查监控系统硬件设备</w:t>
      </w:r>
    </w:p>
    <w:p>
      <w:pPr>
        <w:tabs>
          <w:tab w:val="left" w:pos="0"/>
        </w:tabs>
        <w:ind w:firstLine="960" w:firstLineChars="400"/>
        <w:rPr>
          <w:rFonts w:ascii="宋体" w:hAnsi="宋体" w:cs="Helvetica"/>
          <w:kern w:val="0"/>
        </w:rPr>
      </w:pPr>
      <w:r>
        <w:rPr>
          <w:rFonts w:hint="eastAsia" w:ascii="宋体" w:hAnsi="宋体" w:cs="Helvetica"/>
          <w:kern w:val="0"/>
        </w:rPr>
        <w:t>（1）环境检测调控服务器主机是否正常；</w:t>
      </w:r>
    </w:p>
    <w:p>
      <w:pPr>
        <w:tabs>
          <w:tab w:val="left" w:pos="0"/>
        </w:tabs>
        <w:ind w:firstLine="960" w:firstLineChars="400"/>
        <w:rPr>
          <w:rFonts w:ascii="宋体" w:hAnsi="宋体" w:cs="Helvetica"/>
          <w:kern w:val="0"/>
        </w:rPr>
      </w:pPr>
      <w:r>
        <w:rPr>
          <w:rFonts w:hint="eastAsia" w:ascii="宋体" w:hAnsi="宋体" w:cs="Helvetica"/>
          <w:kern w:val="0"/>
        </w:rPr>
        <w:t>（2）动力、环境视频综合监控工作站主机是否正常；</w:t>
      </w:r>
    </w:p>
    <w:p>
      <w:pPr>
        <w:tabs>
          <w:tab w:val="left" w:pos="0"/>
        </w:tabs>
        <w:ind w:firstLine="960" w:firstLineChars="400"/>
        <w:rPr>
          <w:rFonts w:ascii="宋体" w:hAnsi="宋体" w:cs="Helvetica"/>
          <w:kern w:val="0"/>
        </w:rPr>
      </w:pPr>
      <w:r>
        <w:rPr>
          <w:rFonts w:hint="eastAsia" w:ascii="宋体" w:hAnsi="宋体" w:cs="Helvetica"/>
          <w:kern w:val="0"/>
        </w:rPr>
        <w:t>（3）后备电源是否正常；</w:t>
      </w:r>
    </w:p>
    <w:p>
      <w:pPr>
        <w:tabs>
          <w:tab w:val="left" w:pos="0"/>
        </w:tabs>
        <w:ind w:firstLine="960" w:firstLineChars="400"/>
        <w:rPr>
          <w:rFonts w:ascii="宋体" w:hAnsi="宋体" w:cs="Helvetica"/>
          <w:kern w:val="0"/>
        </w:rPr>
      </w:pPr>
      <w:r>
        <w:rPr>
          <w:rFonts w:hint="eastAsia" w:ascii="宋体" w:hAnsi="宋体" w:cs="Helvetica"/>
          <w:kern w:val="0"/>
        </w:rPr>
        <w:t>（4）短信告警模块是否正常；</w:t>
      </w:r>
    </w:p>
    <w:p>
      <w:pPr>
        <w:tabs>
          <w:tab w:val="left" w:pos="0"/>
        </w:tabs>
        <w:ind w:firstLine="960" w:firstLineChars="400"/>
        <w:rPr>
          <w:rFonts w:ascii="宋体" w:hAnsi="宋体" w:cs="Helvetica"/>
          <w:kern w:val="0"/>
        </w:rPr>
      </w:pPr>
      <w:r>
        <w:rPr>
          <w:rFonts w:hint="eastAsia" w:ascii="宋体" w:hAnsi="宋体" w:cs="Helvetica"/>
          <w:kern w:val="0"/>
        </w:rPr>
        <w:t>（5）双冗余电源断电监控模块是否正常；</w:t>
      </w:r>
    </w:p>
    <w:p>
      <w:pPr>
        <w:tabs>
          <w:tab w:val="left" w:pos="0"/>
        </w:tabs>
        <w:ind w:firstLine="960" w:firstLineChars="400"/>
        <w:rPr>
          <w:rFonts w:ascii="宋体" w:hAnsi="宋体" w:cs="Helvetica"/>
          <w:kern w:val="0"/>
        </w:rPr>
      </w:pPr>
      <w:r>
        <w:rPr>
          <w:rFonts w:hint="eastAsia" w:ascii="宋体" w:hAnsi="宋体" w:cs="Helvetica"/>
          <w:kern w:val="0"/>
        </w:rPr>
        <w:t>（6）三相电力检测仪是否正常；</w:t>
      </w:r>
    </w:p>
    <w:p>
      <w:pPr>
        <w:tabs>
          <w:tab w:val="left" w:pos="0"/>
        </w:tabs>
        <w:ind w:firstLine="960" w:firstLineChars="400"/>
        <w:rPr>
          <w:rFonts w:ascii="宋体" w:hAnsi="宋体" w:cs="Helvetica"/>
          <w:kern w:val="0"/>
        </w:rPr>
      </w:pPr>
      <w:r>
        <w:rPr>
          <w:rFonts w:hint="eastAsia" w:ascii="宋体" w:hAnsi="宋体" w:cs="Helvetica"/>
          <w:kern w:val="0"/>
        </w:rPr>
        <w:t>（7）数字化温、湿度传感器是否正常；</w:t>
      </w:r>
    </w:p>
    <w:p>
      <w:pPr>
        <w:tabs>
          <w:tab w:val="left" w:pos="0"/>
        </w:tabs>
        <w:ind w:firstLine="960" w:firstLineChars="400"/>
        <w:rPr>
          <w:rFonts w:ascii="宋体" w:hAnsi="宋体" w:cs="Helvetica"/>
          <w:kern w:val="0"/>
        </w:rPr>
      </w:pPr>
      <w:r>
        <w:rPr>
          <w:rFonts w:hint="eastAsia" w:ascii="宋体" w:hAnsi="宋体" w:cs="Helvetica"/>
          <w:kern w:val="0"/>
        </w:rPr>
        <w:t>（8）UPS联动模块是否正常；</w:t>
      </w:r>
    </w:p>
    <w:p>
      <w:pPr>
        <w:tabs>
          <w:tab w:val="left" w:pos="0"/>
        </w:tabs>
        <w:ind w:firstLine="960" w:firstLineChars="400"/>
        <w:rPr>
          <w:rFonts w:ascii="宋体" w:hAnsi="宋体" w:cs="Helvetica"/>
          <w:kern w:val="0"/>
        </w:rPr>
      </w:pPr>
      <w:r>
        <w:rPr>
          <w:rFonts w:hint="eastAsia" w:ascii="宋体" w:hAnsi="宋体" w:cs="Helvetica"/>
          <w:kern w:val="0"/>
        </w:rPr>
        <w:t>（9）水浸传感器是否正常；</w:t>
      </w:r>
    </w:p>
    <w:p>
      <w:pPr>
        <w:tabs>
          <w:tab w:val="left" w:pos="0"/>
        </w:tabs>
        <w:ind w:firstLine="960" w:firstLineChars="400"/>
        <w:rPr>
          <w:rFonts w:ascii="宋体" w:hAnsi="宋体" w:cs="Helvetica"/>
          <w:kern w:val="0"/>
        </w:rPr>
      </w:pPr>
      <w:r>
        <w:rPr>
          <w:rFonts w:hint="eastAsia" w:ascii="宋体" w:hAnsi="宋体" w:cs="Helvetica"/>
          <w:kern w:val="0"/>
        </w:rPr>
        <w:t>（10）双鉴探测器是否正常；</w:t>
      </w:r>
    </w:p>
    <w:p>
      <w:pPr>
        <w:tabs>
          <w:tab w:val="left" w:pos="0"/>
        </w:tabs>
        <w:ind w:firstLine="960" w:firstLineChars="400"/>
        <w:rPr>
          <w:rFonts w:ascii="宋体" w:hAnsi="宋体" w:cs="Helvetica"/>
          <w:kern w:val="0"/>
        </w:rPr>
      </w:pPr>
      <w:r>
        <w:rPr>
          <w:rFonts w:hint="eastAsia" w:ascii="宋体" w:hAnsi="宋体" w:cs="Helvetica"/>
          <w:kern w:val="0"/>
        </w:rPr>
        <w:t>（11）精密空调联动模块是否正常；</w:t>
      </w:r>
    </w:p>
    <w:p>
      <w:pPr>
        <w:tabs>
          <w:tab w:val="left" w:pos="0"/>
        </w:tabs>
        <w:ind w:firstLine="960" w:firstLineChars="400"/>
        <w:rPr>
          <w:rFonts w:ascii="宋体" w:hAnsi="宋体" w:cs="Helvetica"/>
          <w:kern w:val="0"/>
        </w:rPr>
      </w:pPr>
      <w:r>
        <w:rPr>
          <w:rFonts w:hint="eastAsia" w:ascii="宋体" w:hAnsi="宋体" w:cs="Helvetica"/>
          <w:kern w:val="0"/>
        </w:rPr>
        <w:t>（12）门禁管理模块组是否正常；</w:t>
      </w:r>
    </w:p>
    <w:p>
      <w:pPr>
        <w:tabs>
          <w:tab w:val="left" w:pos="0"/>
        </w:tabs>
        <w:ind w:firstLine="960" w:firstLineChars="400"/>
        <w:rPr>
          <w:rFonts w:ascii="宋体" w:hAnsi="宋体" w:cs="Helvetica"/>
          <w:kern w:val="0"/>
        </w:rPr>
      </w:pPr>
      <w:r>
        <w:rPr>
          <w:rFonts w:hint="eastAsia" w:ascii="宋体" w:hAnsi="宋体" w:cs="Helvetica"/>
          <w:kern w:val="0"/>
        </w:rPr>
        <w:t>（13）消防报警联动模块是否正常；</w:t>
      </w:r>
    </w:p>
    <w:p>
      <w:pPr>
        <w:tabs>
          <w:tab w:val="left" w:pos="0"/>
        </w:tabs>
        <w:ind w:firstLine="960" w:firstLineChars="400"/>
        <w:rPr>
          <w:rFonts w:ascii="宋体" w:hAnsi="宋体" w:cs="Helvetica"/>
          <w:kern w:val="0"/>
        </w:rPr>
      </w:pPr>
      <w:r>
        <w:rPr>
          <w:rFonts w:hint="eastAsia" w:ascii="宋体" w:hAnsi="宋体" w:cs="Helvetica"/>
          <w:kern w:val="0"/>
        </w:rPr>
        <w:t>（14）新风联动模块是否正常；</w:t>
      </w:r>
    </w:p>
    <w:p>
      <w:pPr>
        <w:tabs>
          <w:tab w:val="left" w:pos="0"/>
        </w:tabs>
        <w:ind w:firstLine="960" w:firstLineChars="400"/>
        <w:rPr>
          <w:rFonts w:ascii="宋体" w:hAnsi="宋体" w:cs="Helvetica"/>
          <w:kern w:val="0"/>
        </w:rPr>
      </w:pPr>
      <w:r>
        <w:rPr>
          <w:rFonts w:hint="eastAsia" w:ascii="宋体" w:hAnsi="宋体" w:cs="Helvetica"/>
          <w:kern w:val="0"/>
        </w:rPr>
        <w:t>（15）信息采集交换机是否正常；</w:t>
      </w:r>
    </w:p>
    <w:p>
      <w:pPr>
        <w:tabs>
          <w:tab w:val="left" w:pos="0"/>
        </w:tabs>
        <w:ind w:firstLine="960" w:firstLineChars="400"/>
        <w:rPr>
          <w:rFonts w:ascii="宋体" w:hAnsi="宋体" w:cs="Helvetica"/>
          <w:kern w:val="0"/>
        </w:rPr>
      </w:pPr>
      <w:r>
        <w:rPr>
          <w:rFonts w:hint="eastAsia" w:ascii="宋体" w:hAnsi="宋体" w:cs="Helvetica"/>
          <w:kern w:val="0"/>
        </w:rPr>
        <w:t>（16）通讯线路是否正常；</w:t>
      </w:r>
    </w:p>
    <w:p>
      <w:pPr>
        <w:tabs>
          <w:tab w:val="left" w:pos="0"/>
        </w:tabs>
        <w:ind w:firstLine="960" w:firstLineChars="400"/>
        <w:rPr>
          <w:rFonts w:ascii="宋体" w:hAnsi="宋体" w:cs="Helvetica"/>
          <w:kern w:val="0"/>
        </w:rPr>
      </w:pPr>
      <w:r>
        <w:rPr>
          <w:rFonts w:hint="eastAsia" w:ascii="宋体" w:hAnsi="宋体" w:cs="Helvetica"/>
          <w:kern w:val="0"/>
        </w:rPr>
        <w:t>（17）检查短信功能是否正常；</w:t>
      </w:r>
    </w:p>
    <w:p>
      <w:pPr>
        <w:tabs>
          <w:tab w:val="left" w:pos="0"/>
        </w:tabs>
        <w:ind w:firstLine="720" w:firstLineChars="300"/>
        <w:rPr>
          <w:rFonts w:ascii="宋体" w:hAnsi="宋体" w:cs="Helvetica"/>
          <w:kern w:val="0"/>
        </w:rPr>
      </w:pPr>
      <w:r>
        <w:rPr>
          <w:rFonts w:hint="eastAsia" w:ascii="宋体" w:hAnsi="宋体" w:cs="Helvetica"/>
          <w:kern w:val="0"/>
        </w:rPr>
        <w:t>9.3.3 检查虚拟机服务器</w:t>
      </w:r>
    </w:p>
    <w:p>
      <w:pPr>
        <w:tabs>
          <w:tab w:val="left" w:pos="0"/>
        </w:tabs>
        <w:ind w:firstLine="960" w:firstLineChars="400"/>
        <w:rPr>
          <w:rFonts w:ascii="宋体" w:hAnsi="宋体" w:cs="Helvetica"/>
          <w:kern w:val="0"/>
        </w:rPr>
      </w:pPr>
      <w:r>
        <w:rPr>
          <w:rFonts w:hint="eastAsia" w:ascii="宋体" w:hAnsi="宋体" w:cs="Helvetica"/>
          <w:kern w:val="0"/>
        </w:rPr>
        <w:t>（1）CPU资源是否充足，资源管理器中查看使用率；</w:t>
      </w:r>
    </w:p>
    <w:p>
      <w:pPr>
        <w:tabs>
          <w:tab w:val="left" w:pos="0"/>
        </w:tabs>
        <w:ind w:firstLine="960" w:firstLineChars="400"/>
        <w:rPr>
          <w:rFonts w:ascii="宋体" w:hAnsi="宋体" w:cs="Helvetica"/>
          <w:kern w:val="0"/>
        </w:rPr>
      </w:pPr>
      <w:r>
        <w:rPr>
          <w:rFonts w:hint="eastAsia" w:ascii="宋体" w:hAnsi="宋体" w:cs="Helvetica"/>
          <w:kern w:val="0"/>
        </w:rPr>
        <w:t>（2）内存资源是否充足，资源管理器中查看使用率；</w:t>
      </w:r>
    </w:p>
    <w:p>
      <w:pPr>
        <w:tabs>
          <w:tab w:val="left" w:pos="0"/>
        </w:tabs>
        <w:ind w:firstLine="960" w:firstLineChars="400"/>
        <w:rPr>
          <w:rFonts w:ascii="宋体" w:hAnsi="宋体" w:cs="Helvetica"/>
          <w:kern w:val="0"/>
        </w:rPr>
      </w:pPr>
      <w:r>
        <w:rPr>
          <w:rFonts w:hint="eastAsia" w:ascii="宋体" w:hAnsi="宋体" w:cs="Helvetica"/>
          <w:kern w:val="0"/>
        </w:rPr>
        <w:t>（3）硬盘资源是否充足，查看现有数据的占用量；</w:t>
      </w:r>
    </w:p>
    <w:p>
      <w:pPr>
        <w:tabs>
          <w:tab w:val="left" w:pos="0"/>
        </w:tabs>
        <w:ind w:firstLine="960" w:firstLineChars="400"/>
        <w:rPr>
          <w:rFonts w:ascii="宋体" w:hAnsi="宋体" w:cs="Helvetica"/>
          <w:kern w:val="0"/>
        </w:rPr>
      </w:pPr>
      <w:r>
        <w:rPr>
          <w:rFonts w:hint="eastAsia" w:ascii="宋体" w:hAnsi="宋体" w:cs="Helvetica"/>
          <w:kern w:val="0"/>
        </w:rPr>
        <w:t>（4）服务器响应是否正常，查看客户端访问服务器的响应速度；</w:t>
      </w:r>
    </w:p>
    <w:p>
      <w:pPr>
        <w:tabs>
          <w:tab w:val="left" w:pos="0"/>
        </w:tabs>
        <w:ind w:firstLine="960" w:firstLineChars="400"/>
        <w:rPr>
          <w:rFonts w:ascii="宋体" w:hAnsi="宋体" w:cs="Helvetica"/>
          <w:kern w:val="0"/>
        </w:rPr>
      </w:pPr>
      <w:r>
        <w:rPr>
          <w:rFonts w:hint="eastAsia" w:ascii="宋体" w:hAnsi="宋体" w:cs="Helvetica"/>
          <w:kern w:val="0"/>
        </w:rPr>
        <w:t>（5）探测器通信是否正常，各种探测器到服务器是否通信正常；</w:t>
      </w:r>
    </w:p>
    <w:p>
      <w:pPr>
        <w:tabs>
          <w:tab w:val="left" w:pos="0"/>
        </w:tabs>
        <w:ind w:firstLine="960" w:firstLineChars="400"/>
        <w:rPr>
          <w:rFonts w:ascii="宋体" w:hAnsi="宋体" w:cs="Helvetica"/>
          <w:kern w:val="0"/>
        </w:rPr>
      </w:pPr>
      <w:r>
        <w:rPr>
          <w:rFonts w:hint="eastAsia" w:ascii="宋体" w:hAnsi="宋体" w:cs="Helvetica"/>
          <w:kern w:val="0"/>
        </w:rPr>
        <w:t>（6）数据库是否正常，数据处理调用及报警数据查询是否正常；</w:t>
      </w:r>
    </w:p>
    <w:p>
      <w:pPr>
        <w:tabs>
          <w:tab w:val="left" w:pos="0"/>
        </w:tabs>
        <w:ind w:firstLine="960" w:firstLineChars="400"/>
        <w:rPr>
          <w:rFonts w:ascii="宋体" w:hAnsi="宋体" w:cs="Helvetica"/>
          <w:kern w:val="0"/>
        </w:rPr>
      </w:pPr>
      <w:r>
        <w:rPr>
          <w:rFonts w:hint="eastAsia" w:ascii="宋体" w:hAnsi="宋体" w:cs="Helvetica"/>
          <w:kern w:val="0"/>
        </w:rPr>
        <w:t>（7）服务器系统是否有备份，系统备份可以保证系统故障及时回复；</w:t>
      </w:r>
    </w:p>
    <w:p>
      <w:pPr>
        <w:tabs>
          <w:tab w:val="left" w:pos="0"/>
        </w:tabs>
        <w:ind w:firstLine="480"/>
        <w:rPr>
          <w:rFonts w:ascii="宋体" w:hAnsi="宋体" w:cs="Helvetica"/>
          <w:kern w:val="0"/>
        </w:rPr>
      </w:pPr>
      <w:r>
        <w:rPr>
          <w:rFonts w:hint="eastAsia" w:ascii="宋体" w:hAnsi="宋体" w:cs="Helvetica"/>
          <w:kern w:val="0"/>
        </w:rPr>
        <w:t>9.4常用耗材：中标方应保证配件的供应，一切配件的更换均由中标方负责，所有费用包含在本次报价中，采购人不再另行支付（包括设备列表中所列所有内容），如果电池过保质期，电池费用不包含在本次报价内；</w:t>
      </w:r>
    </w:p>
    <w:p>
      <w:pPr>
        <w:tabs>
          <w:tab w:val="left" w:pos="0"/>
        </w:tabs>
        <w:ind w:firstLine="480"/>
        <w:rPr>
          <w:rFonts w:ascii="宋体" w:hAnsi="宋体" w:cs="Helvetica"/>
          <w:kern w:val="0"/>
        </w:rPr>
      </w:pPr>
      <w:r>
        <w:rPr>
          <w:rFonts w:hint="eastAsia" w:ascii="宋体" w:hAnsi="宋体" w:cs="Helvetica"/>
          <w:kern w:val="0"/>
        </w:rPr>
        <w:t>9.5组织安排原厂家技术人员半年一次现场实施维保。</w:t>
      </w:r>
    </w:p>
    <w:p>
      <w:pPr>
        <w:tabs>
          <w:tab w:val="left" w:pos="0"/>
        </w:tabs>
        <w:rPr>
          <w:rFonts w:ascii="宋体" w:hAnsi="宋体" w:cs="Helvetica"/>
          <w:b/>
          <w:bCs/>
          <w:kern w:val="0"/>
        </w:rPr>
      </w:pPr>
      <w:r>
        <w:rPr>
          <w:rFonts w:hint="eastAsia" w:ascii="宋体" w:hAnsi="宋体" w:cs="Helvetica"/>
          <w:b/>
          <w:bCs/>
          <w:kern w:val="0"/>
        </w:rPr>
        <w:t>10、中标方须建立维护管理台账，每月初向采购人提交一份上月故障及服务报告。可查询包括但不限于日常维护情况、故障维修情况、备品备件更换情况、清洁保养情况等。</w:t>
      </w:r>
    </w:p>
    <w:p>
      <w:pPr>
        <w:rPr>
          <w:rFonts w:ascii="宋体" w:hAnsi="宋体" w:cs="宋体"/>
          <w:b/>
          <w:szCs w:val="21"/>
        </w:rPr>
      </w:pPr>
      <w:r>
        <w:rPr>
          <w:rFonts w:hint="eastAsia" w:ascii="宋体" w:hAnsi="宋体" w:cs="宋体"/>
          <w:b/>
          <w:szCs w:val="21"/>
        </w:rPr>
        <w:t>11、中标单位在每年7、8、9三个月内需提供每周二次的巡检服务。</w:t>
      </w:r>
    </w:p>
    <w:p>
      <w:pPr>
        <w:ind w:firstLine="468" w:firstLineChars="195"/>
        <w:rPr>
          <w:rFonts w:ascii="宋体" w:hAnsi="宋体" w:cs="宋体"/>
          <w:szCs w:val="21"/>
        </w:rPr>
      </w:pPr>
    </w:p>
    <w:p>
      <w:pPr>
        <w:pStyle w:val="5"/>
        <w:rPr>
          <w:lang w:val="zh-CN"/>
        </w:rPr>
      </w:pPr>
      <w:bookmarkStart w:id="53" w:name="_Toc16022"/>
      <w:r>
        <w:rPr>
          <w:rFonts w:hint="eastAsia"/>
          <w:lang w:val="zh-CN"/>
        </w:rPr>
        <w:t>三、主要设备清单</w:t>
      </w:r>
      <w:bookmarkEnd w:id="53"/>
    </w:p>
    <w:tbl>
      <w:tblPr>
        <w:tblStyle w:val="63"/>
        <w:tblW w:w="8969" w:type="dxa"/>
        <w:tblInd w:w="96" w:type="dxa"/>
        <w:tblLayout w:type="autofit"/>
        <w:tblCellMar>
          <w:top w:w="0" w:type="dxa"/>
          <w:left w:w="108" w:type="dxa"/>
          <w:bottom w:w="0" w:type="dxa"/>
          <w:right w:w="108" w:type="dxa"/>
        </w:tblCellMar>
      </w:tblPr>
      <w:tblGrid>
        <w:gridCol w:w="756"/>
        <w:gridCol w:w="1524"/>
        <w:gridCol w:w="1134"/>
        <w:gridCol w:w="5555"/>
      </w:tblGrid>
      <w:tr>
        <w:tblPrEx>
          <w:tblCellMar>
            <w:top w:w="0" w:type="dxa"/>
            <w:left w:w="108" w:type="dxa"/>
            <w:bottom w:w="0" w:type="dxa"/>
            <w:right w:w="108" w:type="dxa"/>
          </w:tblCellMar>
        </w:tblPrEx>
        <w:trPr>
          <w:trHeight w:val="939"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bookmarkStart w:id="54" w:name="RANGE!A1:G13"/>
            <w:r>
              <w:rPr>
                <w:rFonts w:hint="eastAsia" w:ascii="宋体" w:hAnsi="宋体" w:cs="宋体"/>
                <w:szCs w:val="21"/>
              </w:rPr>
              <w:t>序号</w:t>
            </w:r>
            <w:bookmarkEnd w:id="54"/>
          </w:p>
        </w:tc>
        <w:tc>
          <w:tcPr>
            <w:tcW w:w="152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货物名称</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品牌</w:t>
            </w:r>
          </w:p>
        </w:tc>
        <w:tc>
          <w:tcPr>
            <w:tcW w:w="555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规格型号</w:t>
            </w:r>
          </w:p>
        </w:tc>
      </w:tr>
      <w:tr>
        <w:tblPrEx>
          <w:tblCellMar>
            <w:top w:w="0" w:type="dxa"/>
            <w:left w:w="108" w:type="dxa"/>
            <w:bottom w:w="0" w:type="dxa"/>
            <w:right w:w="108" w:type="dxa"/>
          </w:tblCellMar>
        </w:tblPrEx>
        <w:trPr>
          <w:trHeight w:val="141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1</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机房环境</w:t>
            </w:r>
          </w:p>
          <w:p>
            <w:pPr>
              <w:widowControl/>
              <w:ind w:firstLine="0" w:firstLineChars="0"/>
              <w:jc w:val="center"/>
              <w:rPr>
                <w:rFonts w:ascii="宋体" w:hAnsi="宋体" w:cs="宋体"/>
                <w:szCs w:val="21"/>
              </w:rPr>
            </w:pPr>
            <w:r>
              <w:rPr>
                <w:rFonts w:hint="eastAsia" w:ascii="宋体" w:hAnsi="宋体" w:cs="宋体"/>
                <w:szCs w:val="21"/>
              </w:rPr>
              <w:t>监控系统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云麦</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包含精密空调5套、UPS2套、电池384套、</w:t>
            </w:r>
          </w:p>
          <w:p>
            <w:pPr>
              <w:widowControl/>
              <w:ind w:firstLine="0" w:firstLineChars="0"/>
              <w:jc w:val="center"/>
              <w:rPr>
                <w:rFonts w:ascii="宋体" w:hAnsi="宋体" w:cs="宋体"/>
                <w:szCs w:val="21"/>
              </w:rPr>
            </w:pPr>
            <w:r>
              <w:rPr>
                <w:rFonts w:hint="eastAsia" w:ascii="宋体" w:hAnsi="宋体" w:cs="宋体"/>
                <w:szCs w:val="21"/>
              </w:rPr>
              <w:t>视频接入、门禁系统接入、手机APP、远程浏览、电话语音报警、门禁22套、监控30套等；</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2</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机房UPS</w:t>
            </w:r>
          </w:p>
          <w:p>
            <w:pPr>
              <w:widowControl/>
              <w:ind w:firstLine="0" w:firstLineChars="0"/>
              <w:jc w:val="center"/>
              <w:rPr>
                <w:rFonts w:ascii="宋体" w:hAnsi="宋体" w:cs="宋体"/>
                <w:szCs w:val="21"/>
              </w:rPr>
            </w:pPr>
            <w:r>
              <w:rPr>
                <w:rFonts w:hint="eastAsia" w:ascii="宋体" w:hAnsi="宋体" w:cs="宋体"/>
                <w:szCs w:val="21"/>
              </w:rPr>
              <w:t>电源系统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艾默生</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UPS主机2台、电池384节</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3</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w:t>
            </w:r>
          </w:p>
          <w:p>
            <w:pPr>
              <w:widowControl/>
              <w:ind w:firstLine="0" w:firstLineChars="0"/>
              <w:jc w:val="center"/>
              <w:rPr>
                <w:rFonts w:ascii="宋体" w:hAnsi="宋体" w:cs="宋体"/>
                <w:szCs w:val="21"/>
              </w:rPr>
            </w:pPr>
            <w:r>
              <w:rPr>
                <w:rFonts w:hint="eastAsia" w:ascii="宋体" w:hAnsi="宋体" w:cs="宋体"/>
                <w:szCs w:val="21"/>
              </w:rPr>
              <w:t>空调系统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海洛斯</w:t>
            </w:r>
          </w:p>
          <w:p>
            <w:pPr>
              <w:widowControl/>
              <w:ind w:firstLine="0" w:firstLineChars="0"/>
              <w:jc w:val="center"/>
              <w:rPr>
                <w:rFonts w:ascii="宋体" w:hAnsi="宋体" w:cs="宋体"/>
                <w:szCs w:val="21"/>
              </w:rPr>
            </w:pPr>
            <w:r>
              <w:rPr>
                <w:rFonts w:hint="eastAsia" w:ascii="宋体" w:hAnsi="宋体" w:cs="宋体"/>
                <w:szCs w:val="21"/>
              </w:rPr>
              <w:t>格力等</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立柜式空调9台、精密空调5台</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4</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w:t>
            </w:r>
          </w:p>
          <w:p>
            <w:pPr>
              <w:widowControl/>
              <w:ind w:firstLine="0" w:firstLineChars="0"/>
              <w:jc w:val="center"/>
              <w:rPr>
                <w:rFonts w:ascii="宋体" w:hAnsi="宋体" w:cs="宋体"/>
                <w:szCs w:val="21"/>
              </w:rPr>
            </w:pPr>
            <w:r>
              <w:rPr>
                <w:rFonts w:hint="eastAsia" w:ascii="宋体" w:hAnsi="宋体" w:cs="宋体"/>
                <w:szCs w:val="21"/>
              </w:rPr>
              <w:t>配电系统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建奥</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ATS切换柜3台、配电柜3台、</w:t>
            </w:r>
          </w:p>
          <w:p>
            <w:pPr>
              <w:widowControl/>
              <w:ind w:firstLine="0" w:firstLineChars="0"/>
              <w:jc w:val="center"/>
              <w:rPr>
                <w:rFonts w:ascii="宋体" w:hAnsi="宋体" w:cs="宋体"/>
                <w:szCs w:val="21"/>
              </w:rPr>
            </w:pPr>
            <w:r>
              <w:rPr>
                <w:rFonts w:hint="eastAsia" w:ascii="宋体" w:hAnsi="宋体" w:cs="宋体"/>
                <w:szCs w:val="21"/>
              </w:rPr>
              <w:t>列头柜5台、配线箱2台</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5</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机房消防</w:t>
            </w:r>
          </w:p>
          <w:p>
            <w:pPr>
              <w:widowControl/>
              <w:ind w:firstLine="0" w:firstLineChars="0"/>
              <w:jc w:val="center"/>
              <w:rPr>
                <w:rFonts w:ascii="宋体" w:hAnsi="宋体" w:cs="宋体"/>
                <w:szCs w:val="21"/>
              </w:rPr>
            </w:pPr>
            <w:r>
              <w:rPr>
                <w:rFonts w:hint="eastAsia" w:ascii="宋体" w:hAnsi="宋体" w:cs="宋体"/>
                <w:szCs w:val="21"/>
              </w:rPr>
              <w:t>新风系统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国泰</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10套七氟丙烷屏组、烟感22只、温感20只、</w:t>
            </w:r>
          </w:p>
          <w:p>
            <w:pPr>
              <w:widowControl/>
              <w:ind w:firstLine="0" w:firstLineChars="0"/>
              <w:jc w:val="center"/>
              <w:rPr>
                <w:rFonts w:ascii="宋体" w:hAnsi="宋体" w:cs="宋体"/>
                <w:szCs w:val="21"/>
              </w:rPr>
            </w:pPr>
            <w:r>
              <w:rPr>
                <w:rFonts w:hint="eastAsia" w:ascii="宋体" w:hAnsi="宋体" w:cs="宋体"/>
                <w:szCs w:val="21"/>
              </w:rPr>
              <w:t>火灾报警控制器1台、气体灭火控制盘2台</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6</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大屏</w:t>
            </w:r>
          </w:p>
          <w:p>
            <w:pPr>
              <w:widowControl/>
              <w:ind w:firstLine="0" w:firstLineChars="0"/>
              <w:jc w:val="center"/>
              <w:rPr>
                <w:rFonts w:ascii="宋体" w:hAnsi="宋体" w:cs="宋体"/>
                <w:szCs w:val="21"/>
              </w:rPr>
            </w:pPr>
            <w:r>
              <w:rPr>
                <w:rFonts w:hint="eastAsia" w:ascii="宋体" w:hAnsi="宋体" w:cs="宋体"/>
                <w:szCs w:val="21"/>
              </w:rPr>
              <w:t>显示系统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锐丽</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46寸液晶拼接单元9台、LED显示屏1块</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7</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机房综合</w:t>
            </w:r>
          </w:p>
          <w:p>
            <w:pPr>
              <w:widowControl/>
              <w:ind w:firstLine="0" w:firstLineChars="0"/>
              <w:jc w:val="center"/>
              <w:rPr>
                <w:rFonts w:ascii="宋体" w:hAnsi="宋体" w:cs="宋体"/>
                <w:szCs w:val="21"/>
              </w:rPr>
            </w:pPr>
            <w:r>
              <w:rPr>
                <w:rFonts w:hint="eastAsia" w:ascii="宋体" w:hAnsi="宋体" w:cs="宋体"/>
                <w:szCs w:val="21"/>
              </w:rPr>
              <w:t>布线系统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康普</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24口配线架84个、12口光纤配线箱112个</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8</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w:t>
            </w:r>
          </w:p>
          <w:p>
            <w:pPr>
              <w:widowControl/>
              <w:ind w:firstLine="0" w:firstLineChars="0"/>
              <w:jc w:val="center"/>
              <w:rPr>
                <w:rFonts w:ascii="宋体" w:hAnsi="宋体" w:cs="宋体"/>
                <w:szCs w:val="21"/>
              </w:rPr>
            </w:pPr>
            <w:r>
              <w:rPr>
                <w:rFonts w:hint="eastAsia" w:ascii="宋体" w:hAnsi="宋体" w:cs="宋体"/>
                <w:szCs w:val="21"/>
              </w:rPr>
              <w:t>机柜系统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美露</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19"标准机柜49台</w:t>
            </w:r>
          </w:p>
        </w:tc>
      </w:tr>
      <w:tr>
        <w:tblPrEx>
          <w:tblCellMar>
            <w:top w:w="0" w:type="dxa"/>
            <w:left w:w="108" w:type="dxa"/>
            <w:bottom w:w="0" w:type="dxa"/>
            <w:right w:w="108" w:type="dxa"/>
          </w:tblCellMar>
        </w:tblPrEx>
        <w:trPr>
          <w:trHeight w:val="192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9</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机房</w:t>
            </w:r>
          </w:p>
          <w:p>
            <w:pPr>
              <w:widowControl/>
              <w:ind w:firstLine="0" w:firstLineChars="0"/>
              <w:jc w:val="center"/>
              <w:rPr>
                <w:rFonts w:ascii="宋体" w:hAnsi="宋体" w:cs="宋体"/>
                <w:szCs w:val="21"/>
              </w:rPr>
            </w:pPr>
            <w:r>
              <w:rPr>
                <w:rFonts w:hint="eastAsia" w:ascii="宋体" w:hAnsi="宋体" w:cs="宋体"/>
                <w:szCs w:val="21"/>
              </w:rPr>
              <w:t>屏蔽系统</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南屏</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100A电源滤波器（双线）12只、50A电源滤波器（双线）6只、32A电源滤波器（双线）6只、16A电源滤波器（双线）6只、门禁滤波器2只、烟感温感信号滤波器6只、消防联动信号滤波器6只等</w:t>
            </w:r>
          </w:p>
        </w:tc>
      </w:tr>
      <w:tr>
        <w:tblPrEx>
          <w:tblCellMar>
            <w:top w:w="0" w:type="dxa"/>
            <w:left w:w="108" w:type="dxa"/>
            <w:bottom w:w="0" w:type="dxa"/>
            <w:right w:w="108" w:type="dxa"/>
          </w:tblCellMar>
        </w:tblPrEx>
        <w:trPr>
          <w:trHeight w:val="939" w:hRule="atLeast"/>
        </w:trPr>
        <w:tc>
          <w:tcPr>
            <w:tcW w:w="75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10</w:t>
            </w:r>
          </w:p>
        </w:tc>
        <w:tc>
          <w:tcPr>
            <w:tcW w:w="152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装修</w:t>
            </w:r>
          </w:p>
        </w:tc>
        <w:tc>
          <w:tcPr>
            <w:tcW w:w="1134"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国产</w:t>
            </w:r>
          </w:p>
        </w:tc>
        <w:tc>
          <w:tcPr>
            <w:tcW w:w="5555"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szCs w:val="21"/>
              </w:rPr>
            </w:pPr>
            <w:r>
              <w:rPr>
                <w:rFonts w:hint="eastAsia" w:ascii="宋体" w:hAnsi="宋体" w:cs="宋体"/>
                <w:szCs w:val="21"/>
              </w:rPr>
              <w:t>防火门14套、防静电活动地板、</w:t>
            </w:r>
          </w:p>
          <w:p>
            <w:pPr>
              <w:widowControl/>
              <w:ind w:firstLine="0" w:firstLineChars="0"/>
              <w:jc w:val="center"/>
              <w:rPr>
                <w:rFonts w:ascii="宋体" w:hAnsi="宋体" w:cs="宋体"/>
                <w:szCs w:val="21"/>
              </w:rPr>
            </w:pPr>
            <w:r>
              <w:rPr>
                <w:rFonts w:hint="eastAsia" w:ascii="宋体" w:hAnsi="宋体" w:cs="宋体"/>
                <w:szCs w:val="21"/>
              </w:rPr>
              <w:t>墙面装饰板600×1200浅色冲孔铝板吊顶等</w:t>
            </w:r>
          </w:p>
        </w:tc>
      </w:tr>
    </w:tbl>
    <w:p>
      <w:pPr>
        <w:pStyle w:val="4"/>
        <w:ind w:firstLine="480"/>
      </w:pPr>
    </w:p>
    <w:p>
      <w:pPr>
        <w:pStyle w:val="5"/>
      </w:pPr>
      <w:r>
        <w:rPr>
          <w:rFonts w:hint="eastAsia"/>
        </w:rPr>
        <w:t>四、商务要求</w:t>
      </w:r>
    </w:p>
    <w:p>
      <w:pPr>
        <w:pStyle w:val="6"/>
        <w:numPr>
          <w:ilvl w:val="0"/>
          <w:numId w:val="2"/>
        </w:numPr>
      </w:pPr>
      <w:r>
        <w:rPr>
          <w:rFonts w:hint="eastAsia"/>
        </w:rPr>
        <w:t>服务期及项目地点</w:t>
      </w:r>
    </w:p>
    <w:p>
      <w:pPr>
        <w:ind w:firstLine="480"/>
        <w:rPr>
          <w:rFonts w:hAnsi="宋体"/>
        </w:rPr>
      </w:pPr>
      <w:r>
        <w:rPr>
          <w:rFonts w:hint="eastAsia" w:hAnsi="宋体"/>
        </w:rPr>
        <w:t>1.1</w:t>
      </w:r>
      <w:r>
        <w:rPr>
          <w:rFonts w:hAnsi="宋体"/>
        </w:rPr>
        <w:t>项目</w:t>
      </w:r>
      <w:r>
        <w:rPr>
          <w:rFonts w:hint="eastAsia" w:hAnsi="宋体"/>
        </w:rPr>
        <w:t>服务期：合同签订之日起</w:t>
      </w:r>
      <w:r>
        <w:rPr>
          <w:rFonts w:hAnsi="宋体"/>
        </w:rPr>
        <w:t>2</w:t>
      </w:r>
      <w:r>
        <w:rPr>
          <w:rFonts w:hint="eastAsia" w:hAnsi="宋体"/>
        </w:rPr>
        <w:t>年</w:t>
      </w:r>
      <w:r>
        <w:rPr>
          <w:rFonts w:hAnsi="宋体"/>
        </w:rPr>
        <w:t>。</w:t>
      </w:r>
    </w:p>
    <w:p>
      <w:pPr>
        <w:ind w:firstLine="480"/>
        <w:rPr>
          <w:rFonts w:hAnsi="宋体"/>
        </w:rPr>
      </w:pPr>
      <w:r>
        <w:rPr>
          <w:rFonts w:hint="eastAsia" w:hAnsi="宋体"/>
        </w:rPr>
        <w:t>1.2</w:t>
      </w:r>
      <w:r>
        <w:rPr>
          <w:rFonts w:hAnsi="宋体"/>
        </w:rPr>
        <w:t>项目地点</w:t>
      </w:r>
      <w:r>
        <w:rPr>
          <w:rFonts w:hint="eastAsia" w:hAnsi="宋体"/>
        </w:rPr>
        <w:t>：</w:t>
      </w:r>
      <w:r>
        <w:rPr>
          <w:rFonts w:hAnsi="宋体"/>
        </w:rPr>
        <w:t>浙江省</w:t>
      </w:r>
      <w:r>
        <w:rPr>
          <w:rFonts w:hint="eastAsia" w:hAnsi="宋体"/>
        </w:rPr>
        <w:t>福利彩票管理中心</w:t>
      </w:r>
      <w:r>
        <w:rPr>
          <w:rFonts w:hAnsi="宋体"/>
        </w:rPr>
        <w:t>。</w:t>
      </w:r>
    </w:p>
    <w:p>
      <w:pPr>
        <w:ind w:firstLine="480"/>
      </w:pPr>
      <w:r>
        <w:rPr>
          <w:rFonts w:hint="eastAsia" w:hAnsi="宋体"/>
        </w:rPr>
        <w:t>1.3项目主要所在地：浙江省杭州市</w:t>
      </w:r>
      <w:r>
        <w:rPr>
          <w:rFonts w:hint="eastAsia"/>
        </w:rPr>
        <w:t>。</w:t>
      </w:r>
    </w:p>
    <w:p>
      <w:pPr>
        <w:pStyle w:val="6"/>
        <w:numPr>
          <w:ilvl w:val="0"/>
          <w:numId w:val="2"/>
        </w:numPr>
      </w:pPr>
      <w:r>
        <w:rPr>
          <w:rFonts w:hint="eastAsia"/>
        </w:rPr>
        <w:t>服务保障响应时间要求</w:t>
      </w:r>
    </w:p>
    <w:p>
      <w:pPr>
        <w:ind w:firstLine="480"/>
        <w:rPr>
          <w:rFonts w:hAnsi="宋体"/>
        </w:rPr>
      </w:pPr>
      <w:r>
        <w:rPr>
          <w:rFonts w:hint="eastAsia" w:hAnsi="宋体"/>
        </w:rPr>
        <w:t>2.1</w:t>
      </w:r>
      <w:r>
        <w:rPr>
          <w:rFonts w:hint="eastAsia" w:hAnsi="宋体"/>
        </w:rPr>
        <w:tab/>
      </w:r>
      <w:r>
        <w:rPr>
          <w:rFonts w:hint="eastAsia" w:hAnsi="宋体"/>
        </w:rPr>
        <w:t>提供每周7×24小时电话咨询服务；</w:t>
      </w:r>
    </w:p>
    <w:p>
      <w:pPr>
        <w:ind w:firstLine="480"/>
        <w:rPr>
          <w:rFonts w:hAnsi="宋体"/>
        </w:rPr>
      </w:pPr>
      <w:r>
        <w:rPr>
          <w:rFonts w:hint="eastAsia" w:hAnsi="宋体"/>
        </w:rPr>
        <w:t>2.2中标方应每周7×24小时电话技术支持，针对所有硬件、软件的问题，提供技术咨询服务，</w:t>
      </w:r>
      <w:r>
        <w:rPr>
          <w:rFonts w:hint="eastAsia" w:ascii="宋体" w:hAnsi="宋体" w:cs="Helvetica"/>
          <w:kern w:val="0"/>
        </w:rPr>
        <w:t>1小时内到达现场进行故障处理</w:t>
      </w:r>
      <w:r>
        <w:rPr>
          <w:rFonts w:hint="eastAsia" w:hAnsi="宋体"/>
        </w:rPr>
        <w:t>。</w:t>
      </w:r>
    </w:p>
    <w:p>
      <w:pPr>
        <w:pStyle w:val="6"/>
        <w:numPr>
          <w:ilvl w:val="0"/>
          <w:numId w:val="2"/>
        </w:numPr>
      </w:pPr>
      <w:r>
        <w:rPr>
          <w:rFonts w:hint="eastAsia"/>
        </w:rPr>
        <w:t>服务承诺</w:t>
      </w:r>
    </w:p>
    <w:p>
      <w:pPr>
        <w:ind w:firstLine="480"/>
        <w:rPr>
          <w:rFonts w:hAnsi="宋体"/>
        </w:rPr>
      </w:pPr>
      <w:r>
        <w:rPr>
          <w:rFonts w:hint="eastAsia" w:hAnsi="宋体"/>
        </w:rPr>
        <w:t>3.1如保修设备发生故障需要维修或更换，则中标方工程师须至现场提供对维修或更换后设备进行免费安装调试服务；</w:t>
      </w:r>
    </w:p>
    <w:p>
      <w:pPr>
        <w:ind w:firstLine="480"/>
        <w:rPr>
          <w:rFonts w:hAnsi="宋体"/>
        </w:rPr>
      </w:pPr>
      <w:r>
        <w:rPr>
          <w:rFonts w:hint="eastAsia" w:hAnsi="宋体"/>
        </w:rPr>
        <w:t>3.2更换的配件或整机应能保证设备正常运行，不能改变原有设备的性能，符合制造商公布的质量标准，且具备原制造厂商的铭牌、标志，否则采购人有权退回；</w:t>
      </w:r>
    </w:p>
    <w:p>
      <w:pPr>
        <w:ind w:firstLine="480"/>
        <w:rPr>
          <w:rFonts w:hAnsi="宋体"/>
        </w:rPr>
      </w:pPr>
      <w:r>
        <w:rPr>
          <w:rFonts w:hint="eastAsia" w:hAnsi="宋体"/>
        </w:rPr>
        <w:t>3.3中标方服务工程师应在故障维护的同时，针对性的对故障的现象、分析、诊断、定位等向采购人技术人员进行现场指导培训，以提高采购人网络系统软硬件设备的运行率；</w:t>
      </w:r>
    </w:p>
    <w:p>
      <w:pPr>
        <w:ind w:firstLine="480"/>
        <w:rPr>
          <w:rFonts w:ascii="宋体" w:hAnsi="宋体"/>
          <w:b/>
        </w:rPr>
      </w:pPr>
      <w:r>
        <w:rPr>
          <w:rFonts w:hint="eastAsia" w:hAnsi="宋体"/>
        </w:rPr>
        <w:t>3.4在设备保修期内，中标方应根据采购人要求向保修设备提供软件新版本升级服务，所有费用包含在本次报价中，采购人不再另行支付。</w:t>
      </w:r>
    </w:p>
    <w:p>
      <w:pPr>
        <w:pStyle w:val="6"/>
        <w:numPr>
          <w:ilvl w:val="0"/>
          <w:numId w:val="2"/>
        </w:numPr>
      </w:pPr>
      <w:r>
        <w:rPr>
          <w:rFonts w:hint="eastAsia"/>
        </w:rPr>
        <w:t>付款方式</w:t>
      </w:r>
    </w:p>
    <w:p>
      <w:pPr>
        <w:ind w:right="26" w:rightChars="11" w:firstLine="480"/>
        <w:rPr>
          <w:rFonts w:hAnsi="宋体"/>
        </w:rPr>
      </w:pPr>
      <w:r>
        <w:rPr>
          <w:rFonts w:hint="eastAsia" w:hAnsi="宋体"/>
        </w:rPr>
        <w:t>合同签定后采购人支付合同总金额20%，合同签订之日起满一年后经采购人初验合格支付合同总金额40%，服务期满经采购人终验验收合格支付合同总金额40%。</w:t>
      </w:r>
    </w:p>
    <w:p>
      <w:pPr>
        <w:pStyle w:val="6"/>
      </w:pPr>
      <w:r>
        <w:rPr>
          <w:rFonts w:hint="eastAsia"/>
        </w:rPr>
        <w:t>5、履约保证金</w:t>
      </w:r>
    </w:p>
    <w:p>
      <w:pPr>
        <w:ind w:firstLine="480"/>
      </w:pPr>
      <w:r>
        <w:rPr>
          <w:rFonts w:hint="eastAsia"/>
        </w:rPr>
        <w:t>无</w:t>
      </w:r>
    </w:p>
    <w:p>
      <w:pPr>
        <w:pStyle w:val="6"/>
      </w:pPr>
      <w:r>
        <w:rPr>
          <w:rFonts w:hint="eastAsia"/>
        </w:rPr>
        <w:t>6、验收要求</w:t>
      </w:r>
    </w:p>
    <w:p>
      <w:pPr>
        <w:ind w:right="26" w:rightChars="11" w:firstLine="480"/>
        <w:rPr>
          <w:rFonts w:ascii="宋体" w:hAnsi="宋体" w:cs="宋体"/>
          <w:spacing w:val="-6"/>
        </w:rPr>
      </w:pPr>
      <w:r>
        <w:rPr>
          <w:rFonts w:hint="eastAsia" w:hAnsi="宋体"/>
        </w:rPr>
        <w:t>服务期到期后，按中标方提供双方确认的验收材料，必要时采用双方参加、采购人组织专家评审方式验收，由采购人出具项目验收证明，验收费用由采购人支付，若首次验收未通过，后续验收费用由中标方支付。</w:t>
      </w:r>
    </w:p>
    <w:p>
      <w:pPr>
        <w:pStyle w:val="6"/>
      </w:pPr>
      <w:r>
        <w:rPr>
          <w:rFonts w:hint="eastAsia"/>
        </w:rPr>
        <w:t>7、违约责任及争议解决方式</w:t>
      </w:r>
    </w:p>
    <w:p>
      <w:pPr>
        <w:ind w:right="26" w:rightChars="11" w:firstLine="480"/>
        <w:rPr>
          <w:rFonts w:ascii="宋体" w:hAnsi="宋体"/>
          <w:b/>
        </w:rPr>
      </w:pPr>
      <w:r>
        <w:rPr>
          <w:rFonts w:ascii="宋体" w:hAnsi="宋体"/>
        </w:rPr>
        <w:t>双方在执行合同中所发生的一切争议，应通过协商解决。如协商不成，可向采购人所在地法院起诉。</w:t>
      </w:r>
    </w:p>
    <w:p>
      <w:pPr>
        <w:tabs>
          <w:tab w:val="left" w:pos="0"/>
        </w:tabs>
        <w:ind w:firstLine="480"/>
        <w:rPr>
          <w:rFonts w:ascii="宋体" w:hAnsi="宋体" w:cs="宋体"/>
        </w:rPr>
      </w:pPr>
    </w:p>
    <w:p>
      <w:pPr>
        <w:tabs>
          <w:tab w:val="left" w:pos="0"/>
        </w:tabs>
        <w:ind w:firstLine="480"/>
        <w:rPr>
          <w:rFonts w:ascii="宋体" w:hAnsi="宋体" w:cs="宋体"/>
        </w:rPr>
      </w:pPr>
    </w:p>
    <w:p>
      <w:pPr>
        <w:pStyle w:val="2"/>
        <w:rPr>
          <w:rFonts w:ascii="宋体" w:hAnsi="宋体" w:cs="宋体"/>
          <w:szCs w:val="36"/>
        </w:rPr>
      </w:pPr>
      <w:r>
        <w:rPr>
          <w:rFonts w:hint="eastAsia" w:ascii="宋体" w:hAnsi="宋体" w:cs="宋体"/>
          <w:sz w:val="24"/>
        </w:rPr>
        <w:br w:type="page"/>
      </w:r>
      <w:bookmarkStart w:id="55" w:name="_Toc14870"/>
      <w:bookmarkStart w:id="56" w:name="_Toc27491"/>
      <w:bookmarkStart w:id="57" w:name="_Toc13039"/>
      <w:r>
        <w:rPr>
          <w:rFonts w:hint="eastAsia" w:ascii="宋体" w:hAnsi="宋体" w:cs="宋体"/>
          <w:szCs w:val="36"/>
        </w:rPr>
        <w:t xml:space="preserve">第四部分 </w:t>
      </w:r>
      <w:bookmarkStart w:id="58" w:name="_Toc184314466"/>
      <w:bookmarkEnd w:id="58"/>
      <w:bookmarkStart w:id="59" w:name="_Toc184312084"/>
      <w:bookmarkEnd w:id="59"/>
      <w:bookmarkStart w:id="60" w:name="_Toc184314416"/>
      <w:bookmarkEnd w:id="60"/>
      <w:bookmarkStart w:id="61" w:name="_Toc184312130"/>
      <w:bookmarkEnd w:id="61"/>
      <w:bookmarkStart w:id="62" w:name="_Toc184308088"/>
      <w:bookmarkEnd w:id="62"/>
      <w:bookmarkStart w:id="63" w:name="_Toc184308090"/>
      <w:bookmarkEnd w:id="63"/>
      <w:bookmarkStart w:id="64" w:name="_Toc184312070"/>
      <w:bookmarkEnd w:id="64"/>
      <w:bookmarkStart w:id="65" w:name="_Toc184313288"/>
      <w:bookmarkEnd w:id="65"/>
      <w:bookmarkStart w:id="66" w:name="_Toc184313303"/>
      <w:bookmarkEnd w:id="66"/>
      <w:bookmarkStart w:id="67" w:name="_Toc184312135"/>
      <w:bookmarkEnd w:id="67"/>
      <w:bookmarkStart w:id="68" w:name="_Toc184310304"/>
      <w:bookmarkEnd w:id="68"/>
      <w:bookmarkStart w:id="69" w:name="_Toc184310286"/>
      <w:bookmarkEnd w:id="69"/>
      <w:bookmarkStart w:id="70" w:name="_Toc184308094"/>
      <w:bookmarkEnd w:id="70"/>
      <w:bookmarkStart w:id="71" w:name="_Toc184312116"/>
      <w:bookmarkEnd w:id="71"/>
      <w:bookmarkStart w:id="72" w:name="_Toc184310328"/>
      <w:bookmarkEnd w:id="72"/>
      <w:bookmarkStart w:id="73" w:name="_Toc184313293"/>
      <w:bookmarkEnd w:id="73"/>
      <w:bookmarkStart w:id="74" w:name="_Toc184313283"/>
      <w:bookmarkEnd w:id="74"/>
      <w:bookmarkStart w:id="75" w:name="_Toc184310338"/>
      <w:bookmarkEnd w:id="75"/>
      <w:bookmarkStart w:id="76" w:name="_Toc184312067"/>
      <w:bookmarkEnd w:id="76"/>
      <w:bookmarkStart w:id="77" w:name="_Toc184312120"/>
      <w:bookmarkEnd w:id="77"/>
      <w:bookmarkStart w:id="78" w:name="_Toc184313280"/>
      <w:bookmarkEnd w:id="78"/>
      <w:bookmarkStart w:id="79" w:name="_Toc184313255"/>
      <w:bookmarkEnd w:id="79"/>
      <w:bookmarkStart w:id="80" w:name="_Toc184308098"/>
      <w:bookmarkEnd w:id="80"/>
      <w:bookmarkStart w:id="81" w:name="_Toc184312079"/>
      <w:bookmarkEnd w:id="81"/>
      <w:bookmarkStart w:id="82" w:name="_Toc184312139"/>
      <w:bookmarkEnd w:id="82"/>
      <w:bookmarkStart w:id="83" w:name="_Toc184308043"/>
      <w:bookmarkEnd w:id="83"/>
      <w:bookmarkStart w:id="84" w:name="_Toc184308108"/>
      <w:bookmarkEnd w:id="84"/>
      <w:bookmarkStart w:id="85" w:name="_Toc184312090"/>
      <w:bookmarkEnd w:id="85"/>
      <w:bookmarkStart w:id="86" w:name="_Toc184310335"/>
      <w:bookmarkEnd w:id="86"/>
      <w:bookmarkStart w:id="87" w:name="_Toc184314418"/>
      <w:bookmarkEnd w:id="87"/>
      <w:bookmarkStart w:id="88" w:name="_Toc184314421"/>
      <w:bookmarkEnd w:id="88"/>
      <w:bookmarkStart w:id="89" w:name="_Toc184313252"/>
      <w:bookmarkEnd w:id="89"/>
      <w:bookmarkStart w:id="90" w:name="_Toc184308054"/>
      <w:bookmarkEnd w:id="90"/>
      <w:bookmarkStart w:id="91" w:name="_Toc184313291"/>
      <w:bookmarkEnd w:id="91"/>
      <w:bookmarkStart w:id="92" w:name="_Toc184312086"/>
      <w:bookmarkEnd w:id="92"/>
      <w:bookmarkStart w:id="93" w:name="_Toc184310272"/>
      <w:bookmarkEnd w:id="93"/>
      <w:bookmarkStart w:id="94" w:name="_Toc184314422"/>
      <w:bookmarkEnd w:id="94"/>
      <w:bookmarkStart w:id="95" w:name="_Toc184308086"/>
      <w:bookmarkEnd w:id="95"/>
      <w:bookmarkStart w:id="96" w:name="_Toc184310279"/>
      <w:bookmarkEnd w:id="96"/>
      <w:bookmarkStart w:id="97" w:name="_Toc184313264"/>
      <w:bookmarkEnd w:id="97"/>
      <w:bookmarkStart w:id="98" w:name="_Toc184313294"/>
      <w:bookmarkEnd w:id="98"/>
      <w:bookmarkStart w:id="99" w:name="_Toc184308068"/>
      <w:bookmarkEnd w:id="99"/>
      <w:bookmarkStart w:id="100" w:name="_Toc184313300"/>
      <w:bookmarkEnd w:id="100"/>
      <w:bookmarkStart w:id="101" w:name="_Toc184308071"/>
      <w:bookmarkEnd w:id="101"/>
      <w:bookmarkStart w:id="102" w:name="_Toc184314436"/>
      <w:bookmarkEnd w:id="102"/>
      <w:bookmarkStart w:id="103" w:name="_Toc184314482"/>
      <w:bookmarkEnd w:id="103"/>
      <w:bookmarkStart w:id="104" w:name="_Toc184313299"/>
      <w:bookmarkEnd w:id="104"/>
      <w:bookmarkStart w:id="105" w:name="_Toc184312091"/>
      <w:bookmarkEnd w:id="105"/>
      <w:bookmarkStart w:id="106" w:name="_Toc184313310"/>
      <w:bookmarkEnd w:id="106"/>
      <w:bookmarkStart w:id="107" w:name="_Toc184314440"/>
      <w:bookmarkEnd w:id="107"/>
      <w:bookmarkStart w:id="108" w:name="_Toc184313296"/>
      <w:bookmarkEnd w:id="108"/>
      <w:bookmarkStart w:id="109" w:name="_Toc184312119"/>
      <w:bookmarkEnd w:id="109"/>
      <w:bookmarkStart w:id="110" w:name="_Toc184313269"/>
      <w:bookmarkEnd w:id="110"/>
      <w:bookmarkStart w:id="111" w:name="_Toc184314415"/>
      <w:bookmarkEnd w:id="111"/>
      <w:bookmarkStart w:id="112" w:name="_Toc184308106"/>
      <w:bookmarkEnd w:id="112"/>
      <w:bookmarkStart w:id="113" w:name="_Toc184314410"/>
      <w:bookmarkEnd w:id="113"/>
      <w:bookmarkStart w:id="114" w:name="_Toc184313270"/>
      <w:bookmarkEnd w:id="114"/>
      <w:bookmarkStart w:id="115" w:name="_Toc184308053"/>
      <w:bookmarkEnd w:id="115"/>
      <w:bookmarkStart w:id="116" w:name="_Toc184310289"/>
      <w:bookmarkEnd w:id="116"/>
      <w:bookmarkStart w:id="117" w:name="_Toc184313240"/>
      <w:bookmarkEnd w:id="117"/>
      <w:bookmarkStart w:id="118" w:name="_Toc184313268"/>
      <w:bookmarkEnd w:id="118"/>
      <w:bookmarkStart w:id="119" w:name="_Toc184310316"/>
      <w:bookmarkEnd w:id="119"/>
      <w:bookmarkStart w:id="120" w:name="_Toc184312072"/>
      <w:bookmarkEnd w:id="120"/>
      <w:bookmarkStart w:id="121" w:name="_Toc184308080"/>
      <w:bookmarkEnd w:id="121"/>
      <w:bookmarkStart w:id="122" w:name="_Toc184308093"/>
      <w:bookmarkEnd w:id="122"/>
      <w:bookmarkStart w:id="123" w:name="_Toc184310329"/>
      <w:bookmarkEnd w:id="123"/>
      <w:bookmarkStart w:id="124" w:name="_Toc184314434"/>
      <w:bookmarkEnd w:id="124"/>
      <w:bookmarkStart w:id="125" w:name="_Toc184310308"/>
      <w:bookmarkEnd w:id="125"/>
      <w:bookmarkStart w:id="126" w:name="_Toc184312081"/>
      <w:bookmarkEnd w:id="126"/>
      <w:bookmarkStart w:id="127" w:name="_Toc184312138"/>
      <w:bookmarkEnd w:id="127"/>
      <w:bookmarkStart w:id="128" w:name="_Toc184308041"/>
      <w:bookmarkEnd w:id="128"/>
      <w:bookmarkStart w:id="129" w:name="_Toc184312105"/>
      <w:bookmarkEnd w:id="129"/>
      <w:bookmarkStart w:id="130" w:name="_Toc184314458"/>
      <w:bookmarkEnd w:id="130"/>
      <w:bookmarkStart w:id="131" w:name="_Toc184312074"/>
      <w:bookmarkEnd w:id="131"/>
      <w:bookmarkStart w:id="132" w:name="_Toc184314429"/>
      <w:bookmarkEnd w:id="132"/>
      <w:bookmarkStart w:id="133" w:name="_Toc184310319"/>
      <w:bookmarkEnd w:id="133"/>
      <w:bookmarkStart w:id="134" w:name="_Toc184312095"/>
      <w:bookmarkEnd w:id="134"/>
      <w:bookmarkStart w:id="135" w:name="_Toc184313256"/>
      <w:bookmarkEnd w:id="135"/>
      <w:bookmarkStart w:id="136" w:name="_Toc184312102"/>
      <w:bookmarkEnd w:id="136"/>
      <w:bookmarkStart w:id="137" w:name="_Toc184312089"/>
      <w:bookmarkEnd w:id="137"/>
      <w:bookmarkStart w:id="138" w:name="_Toc184310321"/>
      <w:bookmarkEnd w:id="138"/>
      <w:bookmarkStart w:id="139" w:name="_Toc184312109"/>
      <w:bookmarkEnd w:id="139"/>
      <w:bookmarkStart w:id="140" w:name="_Toc184313276"/>
      <w:bookmarkEnd w:id="140"/>
      <w:bookmarkStart w:id="141" w:name="_Toc184312110"/>
      <w:bookmarkEnd w:id="141"/>
      <w:bookmarkStart w:id="142" w:name="_Toc184313249"/>
      <w:bookmarkEnd w:id="142"/>
      <w:bookmarkStart w:id="143" w:name="_Toc184313245"/>
      <w:bookmarkEnd w:id="143"/>
      <w:bookmarkStart w:id="144" w:name="_Toc184313274"/>
      <w:bookmarkEnd w:id="144"/>
      <w:bookmarkStart w:id="145" w:name="_Toc184312099"/>
      <w:bookmarkEnd w:id="145"/>
      <w:bookmarkStart w:id="146" w:name="_Toc184313273"/>
      <w:bookmarkEnd w:id="146"/>
      <w:bookmarkStart w:id="147" w:name="_Toc184312085"/>
      <w:bookmarkEnd w:id="147"/>
      <w:bookmarkStart w:id="148" w:name="_Toc184308055"/>
      <w:bookmarkEnd w:id="148"/>
      <w:bookmarkStart w:id="149" w:name="_Toc184308087"/>
      <w:bookmarkEnd w:id="149"/>
      <w:bookmarkStart w:id="150" w:name="_Toc184308059"/>
      <w:bookmarkEnd w:id="150"/>
      <w:bookmarkStart w:id="151" w:name="_Toc184314472"/>
      <w:bookmarkEnd w:id="151"/>
      <w:bookmarkStart w:id="152" w:name="_Toc184314451"/>
      <w:bookmarkEnd w:id="152"/>
      <w:bookmarkStart w:id="153" w:name="_Toc184308092"/>
      <w:bookmarkEnd w:id="153"/>
      <w:bookmarkStart w:id="154" w:name="_Toc184312123"/>
      <w:bookmarkEnd w:id="154"/>
      <w:bookmarkStart w:id="155" w:name="_Toc184312097"/>
      <w:bookmarkEnd w:id="155"/>
      <w:bookmarkStart w:id="156" w:name="_Toc184312071"/>
      <w:bookmarkEnd w:id="156"/>
      <w:bookmarkStart w:id="157" w:name="_Toc184308078"/>
      <w:bookmarkEnd w:id="157"/>
      <w:bookmarkStart w:id="158" w:name="_Toc184313304"/>
      <w:bookmarkEnd w:id="158"/>
      <w:bookmarkStart w:id="159" w:name="_Toc184308038"/>
      <w:bookmarkEnd w:id="159"/>
      <w:bookmarkStart w:id="160" w:name="_Toc184308073"/>
      <w:bookmarkEnd w:id="160"/>
      <w:bookmarkStart w:id="161" w:name="_Toc184314450"/>
      <w:bookmarkEnd w:id="161"/>
      <w:bookmarkStart w:id="162" w:name="_Toc184312128"/>
      <w:bookmarkEnd w:id="162"/>
      <w:bookmarkStart w:id="163" w:name="_Toc184310323"/>
      <w:bookmarkEnd w:id="163"/>
      <w:bookmarkStart w:id="164" w:name="_Toc184314478"/>
      <w:bookmarkEnd w:id="164"/>
      <w:bookmarkStart w:id="165" w:name="_Toc184308077"/>
      <w:bookmarkEnd w:id="165"/>
      <w:bookmarkStart w:id="166" w:name="_Toc184314438"/>
      <w:bookmarkEnd w:id="166"/>
      <w:bookmarkStart w:id="167" w:name="_Toc184313279"/>
      <w:bookmarkEnd w:id="167"/>
      <w:bookmarkStart w:id="168" w:name="_Toc184308065"/>
      <w:bookmarkEnd w:id="168"/>
      <w:bookmarkStart w:id="169" w:name="_Toc184310334"/>
      <w:bookmarkEnd w:id="169"/>
      <w:bookmarkStart w:id="170" w:name="_Toc184310288"/>
      <w:bookmarkEnd w:id="170"/>
      <w:bookmarkStart w:id="171" w:name="_Toc184308070"/>
      <w:bookmarkEnd w:id="171"/>
      <w:bookmarkStart w:id="172" w:name="_Toc184310315"/>
      <w:bookmarkEnd w:id="172"/>
      <w:bookmarkStart w:id="173" w:name="_Toc184312115"/>
      <w:bookmarkEnd w:id="173"/>
      <w:bookmarkStart w:id="174" w:name="_Toc184308075"/>
      <w:bookmarkEnd w:id="174"/>
      <w:bookmarkStart w:id="175" w:name="_Toc184312122"/>
      <w:bookmarkEnd w:id="175"/>
      <w:bookmarkStart w:id="176" w:name="_Toc184314463"/>
      <w:bookmarkEnd w:id="176"/>
      <w:bookmarkStart w:id="177" w:name="_Toc184310342"/>
      <w:bookmarkEnd w:id="177"/>
      <w:bookmarkStart w:id="178" w:name="_Toc184314471"/>
      <w:bookmarkEnd w:id="178"/>
      <w:bookmarkStart w:id="179" w:name="_Toc184310337"/>
      <w:bookmarkEnd w:id="179"/>
      <w:bookmarkStart w:id="180" w:name="_Toc184310301"/>
      <w:bookmarkEnd w:id="180"/>
      <w:bookmarkStart w:id="181" w:name="_Toc184308052"/>
      <w:bookmarkEnd w:id="181"/>
      <w:bookmarkStart w:id="182" w:name="_Toc184308057"/>
      <w:bookmarkEnd w:id="182"/>
      <w:bookmarkStart w:id="183" w:name="_Toc184308085"/>
      <w:bookmarkEnd w:id="183"/>
      <w:bookmarkStart w:id="184" w:name="_Toc184310297"/>
      <w:bookmarkEnd w:id="184"/>
      <w:bookmarkStart w:id="185" w:name="_Toc184308066"/>
      <w:bookmarkEnd w:id="185"/>
      <w:bookmarkStart w:id="186" w:name="_Toc184314420"/>
      <w:bookmarkEnd w:id="186"/>
      <w:bookmarkStart w:id="187" w:name="_Toc184312133"/>
      <w:bookmarkEnd w:id="187"/>
      <w:bookmarkStart w:id="188" w:name="_Toc184314474"/>
      <w:bookmarkEnd w:id="188"/>
      <w:bookmarkStart w:id="189" w:name="_Toc184313309"/>
      <w:bookmarkEnd w:id="189"/>
      <w:bookmarkStart w:id="190" w:name="_Toc184313260"/>
      <w:bookmarkEnd w:id="190"/>
      <w:bookmarkStart w:id="191" w:name="_Toc184310318"/>
      <w:bookmarkEnd w:id="191"/>
      <w:bookmarkStart w:id="192" w:name="_Toc184314475"/>
      <w:bookmarkEnd w:id="192"/>
      <w:bookmarkStart w:id="193" w:name="_Toc184312118"/>
      <w:bookmarkEnd w:id="193"/>
      <w:bookmarkStart w:id="194" w:name="_Toc184313272"/>
      <w:bookmarkEnd w:id="194"/>
      <w:bookmarkStart w:id="195" w:name="_Toc184310294"/>
      <w:bookmarkEnd w:id="195"/>
      <w:bookmarkStart w:id="196" w:name="_Toc184313298"/>
      <w:bookmarkEnd w:id="196"/>
      <w:bookmarkStart w:id="197" w:name="_Toc184308058"/>
      <w:bookmarkEnd w:id="197"/>
      <w:bookmarkStart w:id="198" w:name="_Toc184314412"/>
      <w:bookmarkEnd w:id="198"/>
      <w:bookmarkStart w:id="199" w:name="_Toc184314481"/>
      <w:bookmarkEnd w:id="199"/>
      <w:bookmarkStart w:id="200" w:name="_Toc184310305"/>
      <w:bookmarkEnd w:id="200"/>
      <w:bookmarkStart w:id="201" w:name="_Toc184313282"/>
      <w:bookmarkEnd w:id="201"/>
      <w:bookmarkStart w:id="202" w:name="_Toc184314442"/>
      <w:bookmarkEnd w:id="202"/>
      <w:bookmarkStart w:id="203" w:name="_Toc184310295"/>
      <w:bookmarkEnd w:id="203"/>
      <w:bookmarkStart w:id="204" w:name="_Toc184314417"/>
      <w:bookmarkEnd w:id="204"/>
      <w:bookmarkStart w:id="205" w:name="_Toc184314461"/>
      <w:bookmarkEnd w:id="205"/>
      <w:bookmarkStart w:id="206" w:name="_Toc184312068"/>
      <w:bookmarkEnd w:id="206"/>
      <w:bookmarkStart w:id="207" w:name="_Toc184308037"/>
      <w:bookmarkEnd w:id="207"/>
      <w:bookmarkStart w:id="208" w:name="_Toc184313250"/>
      <w:bookmarkEnd w:id="208"/>
      <w:bookmarkStart w:id="209" w:name="_Toc184314480"/>
      <w:bookmarkEnd w:id="209"/>
      <w:bookmarkStart w:id="210" w:name="_Toc184314470"/>
      <w:bookmarkEnd w:id="210"/>
      <w:bookmarkStart w:id="211" w:name="_Toc184313301"/>
      <w:bookmarkEnd w:id="211"/>
      <w:bookmarkStart w:id="212" w:name="_Toc184313265"/>
      <w:bookmarkEnd w:id="212"/>
      <w:bookmarkStart w:id="213" w:name="_Toc184308060"/>
      <w:bookmarkEnd w:id="213"/>
      <w:bookmarkStart w:id="214" w:name="_Toc184312114"/>
      <w:bookmarkEnd w:id="214"/>
      <w:bookmarkStart w:id="215" w:name="_Toc184310320"/>
      <w:bookmarkEnd w:id="215"/>
      <w:bookmarkStart w:id="216" w:name="_Toc184314437"/>
      <w:bookmarkEnd w:id="216"/>
      <w:bookmarkStart w:id="217" w:name="_Toc184310324"/>
      <w:bookmarkEnd w:id="217"/>
      <w:bookmarkStart w:id="218" w:name="_Toc184312088"/>
      <w:bookmarkEnd w:id="218"/>
      <w:bookmarkStart w:id="219" w:name="_Toc184310341"/>
      <w:bookmarkEnd w:id="219"/>
      <w:bookmarkStart w:id="220" w:name="_Toc184313266"/>
      <w:bookmarkEnd w:id="220"/>
      <w:bookmarkStart w:id="221" w:name="_Toc184313246"/>
      <w:bookmarkEnd w:id="221"/>
      <w:bookmarkStart w:id="222" w:name="_Toc184308091"/>
      <w:bookmarkEnd w:id="222"/>
      <w:bookmarkStart w:id="223" w:name="_Toc184314455"/>
      <w:bookmarkEnd w:id="223"/>
      <w:bookmarkStart w:id="224" w:name="_Toc184314425"/>
      <w:bookmarkEnd w:id="224"/>
      <w:bookmarkStart w:id="225" w:name="_Toc184312108"/>
      <w:bookmarkEnd w:id="225"/>
      <w:bookmarkStart w:id="226" w:name="_Toc184314445"/>
      <w:bookmarkEnd w:id="226"/>
      <w:bookmarkStart w:id="227" w:name="_Toc184310284"/>
      <w:bookmarkEnd w:id="227"/>
      <w:bookmarkStart w:id="228" w:name="_Toc184314457"/>
      <w:bookmarkEnd w:id="228"/>
      <w:bookmarkStart w:id="229" w:name="_Toc184314424"/>
      <w:bookmarkEnd w:id="229"/>
      <w:bookmarkStart w:id="230" w:name="_Toc184314435"/>
      <w:bookmarkEnd w:id="230"/>
      <w:bookmarkStart w:id="231" w:name="_Toc184310314"/>
      <w:bookmarkEnd w:id="231"/>
      <w:bookmarkStart w:id="232" w:name="_Toc184312096"/>
      <w:bookmarkEnd w:id="232"/>
      <w:bookmarkStart w:id="233" w:name="_Toc184310273"/>
      <w:bookmarkEnd w:id="233"/>
      <w:bookmarkStart w:id="234" w:name="_Toc184308100"/>
      <w:bookmarkEnd w:id="234"/>
      <w:bookmarkStart w:id="235" w:name="_Toc184310287"/>
      <w:bookmarkEnd w:id="235"/>
      <w:bookmarkStart w:id="236" w:name="_Toc184314467"/>
      <w:bookmarkEnd w:id="236"/>
      <w:bookmarkStart w:id="237" w:name="_Toc184313289"/>
      <w:bookmarkEnd w:id="237"/>
      <w:bookmarkStart w:id="238" w:name="_Toc184308062"/>
      <w:bookmarkEnd w:id="238"/>
      <w:bookmarkStart w:id="239" w:name="_Toc184310311"/>
      <w:bookmarkEnd w:id="239"/>
      <w:bookmarkStart w:id="240" w:name="_Toc184308099"/>
      <w:bookmarkEnd w:id="240"/>
      <w:bookmarkStart w:id="241" w:name="_Toc184313297"/>
      <w:bookmarkEnd w:id="241"/>
      <w:bookmarkStart w:id="242" w:name="_Toc184313281"/>
      <w:bookmarkEnd w:id="242"/>
      <w:bookmarkStart w:id="243" w:name="_Toc184308097"/>
      <w:bookmarkEnd w:id="243"/>
      <w:bookmarkStart w:id="244" w:name="_Toc184313307"/>
      <w:bookmarkEnd w:id="244"/>
      <w:bookmarkStart w:id="245" w:name="_Toc184313267"/>
      <w:bookmarkEnd w:id="245"/>
      <w:bookmarkStart w:id="246" w:name="_Toc184314476"/>
      <w:bookmarkEnd w:id="246"/>
      <w:bookmarkStart w:id="247" w:name="_Toc184313295"/>
      <w:bookmarkEnd w:id="247"/>
      <w:bookmarkStart w:id="248" w:name="_Toc184314447"/>
      <w:bookmarkEnd w:id="248"/>
      <w:bookmarkStart w:id="249" w:name="_Toc184310333"/>
      <w:bookmarkEnd w:id="249"/>
      <w:bookmarkStart w:id="250" w:name="_Toc184312124"/>
      <w:bookmarkEnd w:id="250"/>
      <w:bookmarkStart w:id="251" w:name="_Toc184312094"/>
      <w:bookmarkEnd w:id="251"/>
      <w:bookmarkStart w:id="252" w:name="_Toc184310300"/>
      <w:bookmarkEnd w:id="252"/>
      <w:bookmarkStart w:id="253" w:name="_Toc184310285"/>
      <w:bookmarkEnd w:id="253"/>
      <w:bookmarkStart w:id="254" w:name="_Toc184314426"/>
      <w:bookmarkEnd w:id="254"/>
      <w:bookmarkStart w:id="255" w:name="_Toc184313244"/>
      <w:bookmarkEnd w:id="255"/>
      <w:bookmarkStart w:id="256" w:name="_Toc184314452"/>
      <w:bookmarkEnd w:id="256"/>
      <w:bookmarkStart w:id="257" w:name="_Toc184310278"/>
      <w:bookmarkEnd w:id="257"/>
      <w:bookmarkStart w:id="258" w:name="_Toc184308064"/>
      <w:bookmarkEnd w:id="258"/>
      <w:bookmarkStart w:id="259" w:name="_Toc184313247"/>
      <w:bookmarkEnd w:id="259"/>
      <w:bookmarkStart w:id="260" w:name="_Toc184308048"/>
      <w:bookmarkEnd w:id="260"/>
      <w:bookmarkStart w:id="261" w:name="_Toc184310281"/>
      <w:bookmarkEnd w:id="261"/>
      <w:bookmarkStart w:id="262" w:name="_Toc184314462"/>
      <w:bookmarkEnd w:id="262"/>
      <w:bookmarkStart w:id="263" w:name="_Toc184313258"/>
      <w:bookmarkEnd w:id="263"/>
      <w:bookmarkStart w:id="264" w:name="_Toc184313308"/>
      <w:bookmarkEnd w:id="264"/>
      <w:bookmarkStart w:id="265" w:name="_Toc184313286"/>
      <w:bookmarkEnd w:id="265"/>
      <w:bookmarkStart w:id="266" w:name="_Toc184312087"/>
      <w:bookmarkEnd w:id="266"/>
      <w:bookmarkStart w:id="267" w:name="_Toc184308040"/>
      <w:bookmarkEnd w:id="267"/>
      <w:bookmarkStart w:id="268" w:name="_Toc184310330"/>
      <w:bookmarkEnd w:id="268"/>
      <w:bookmarkStart w:id="269" w:name="_Toc184312076"/>
      <w:bookmarkEnd w:id="269"/>
      <w:bookmarkStart w:id="270" w:name="_Toc184313259"/>
      <w:bookmarkEnd w:id="270"/>
      <w:bookmarkStart w:id="271" w:name="_Toc184310275"/>
      <w:bookmarkEnd w:id="271"/>
      <w:bookmarkStart w:id="272" w:name="_Toc184310340"/>
      <w:bookmarkEnd w:id="272"/>
      <w:bookmarkStart w:id="273" w:name="_Toc184314473"/>
      <w:bookmarkEnd w:id="273"/>
      <w:bookmarkStart w:id="274" w:name="_Toc184312093"/>
      <w:bookmarkEnd w:id="274"/>
      <w:bookmarkStart w:id="275" w:name="_Toc184310306"/>
      <w:bookmarkEnd w:id="275"/>
      <w:bookmarkStart w:id="276" w:name="_Toc184310325"/>
      <w:bookmarkEnd w:id="276"/>
      <w:bookmarkStart w:id="277" w:name="_Toc184308105"/>
      <w:bookmarkEnd w:id="277"/>
      <w:bookmarkStart w:id="278" w:name="_Toc184308063"/>
      <w:bookmarkEnd w:id="278"/>
      <w:bookmarkStart w:id="279" w:name="_Toc184308089"/>
      <w:bookmarkEnd w:id="279"/>
      <w:bookmarkStart w:id="280" w:name="_Toc184312121"/>
      <w:bookmarkEnd w:id="280"/>
      <w:bookmarkStart w:id="281" w:name="_Toc184308081"/>
      <w:bookmarkEnd w:id="281"/>
      <w:bookmarkStart w:id="282" w:name="_Toc184314431"/>
      <w:bookmarkEnd w:id="282"/>
      <w:bookmarkStart w:id="283" w:name="_Toc184308044"/>
      <w:bookmarkEnd w:id="283"/>
      <w:bookmarkStart w:id="284" w:name="_Toc184313257"/>
      <w:bookmarkEnd w:id="284"/>
      <w:bookmarkStart w:id="285" w:name="_Toc184312104"/>
      <w:bookmarkEnd w:id="285"/>
      <w:bookmarkStart w:id="286" w:name="_Toc184312082"/>
      <w:bookmarkEnd w:id="286"/>
      <w:bookmarkStart w:id="287" w:name="_Toc184314411"/>
      <w:bookmarkEnd w:id="287"/>
      <w:bookmarkStart w:id="288" w:name="_Toc184312137"/>
      <w:bookmarkEnd w:id="288"/>
      <w:bookmarkStart w:id="289" w:name="_Toc184308107"/>
      <w:bookmarkEnd w:id="289"/>
      <w:bookmarkStart w:id="290" w:name="_Toc184313243"/>
      <w:bookmarkEnd w:id="290"/>
      <w:bookmarkStart w:id="291" w:name="_Toc184314459"/>
      <w:bookmarkEnd w:id="291"/>
      <w:bookmarkStart w:id="292" w:name="_Toc184308051"/>
      <w:bookmarkEnd w:id="292"/>
      <w:bookmarkStart w:id="293" w:name="_Toc184308056"/>
      <w:bookmarkEnd w:id="293"/>
      <w:bookmarkStart w:id="294" w:name="_Toc184312101"/>
      <w:bookmarkEnd w:id="294"/>
      <w:bookmarkStart w:id="295" w:name="_Toc184313239"/>
      <w:bookmarkEnd w:id="295"/>
      <w:bookmarkStart w:id="296" w:name="_Toc184313271"/>
      <w:bookmarkEnd w:id="296"/>
      <w:bookmarkStart w:id="297" w:name="_Toc184314423"/>
      <w:bookmarkEnd w:id="297"/>
      <w:bookmarkStart w:id="298" w:name="_Toc184312100"/>
      <w:bookmarkEnd w:id="298"/>
      <w:bookmarkStart w:id="299" w:name="_Toc184310307"/>
      <w:bookmarkEnd w:id="299"/>
      <w:bookmarkStart w:id="300" w:name="_Toc184312127"/>
      <w:bookmarkEnd w:id="300"/>
      <w:bookmarkStart w:id="301" w:name="_Toc184310312"/>
      <w:bookmarkEnd w:id="301"/>
      <w:bookmarkStart w:id="302" w:name="_Toc184308049"/>
      <w:bookmarkEnd w:id="302"/>
      <w:bookmarkStart w:id="303" w:name="_Toc184314448"/>
      <w:bookmarkEnd w:id="303"/>
      <w:bookmarkStart w:id="304" w:name="_Toc184308047"/>
      <w:bookmarkEnd w:id="304"/>
      <w:bookmarkStart w:id="305" w:name="_Toc184310296"/>
      <w:bookmarkEnd w:id="305"/>
      <w:bookmarkStart w:id="306" w:name="_Toc184313242"/>
      <w:bookmarkEnd w:id="306"/>
      <w:bookmarkStart w:id="307" w:name="_Toc184312125"/>
      <w:bookmarkEnd w:id="307"/>
      <w:bookmarkStart w:id="308" w:name="_Toc184314432"/>
      <w:bookmarkEnd w:id="308"/>
      <w:bookmarkStart w:id="309" w:name="_Toc184314468"/>
      <w:bookmarkEnd w:id="309"/>
      <w:bookmarkStart w:id="310" w:name="_Toc184310332"/>
      <w:bookmarkEnd w:id="310"/>
      <w:bookmarkStart w:id="311" w:name="_Toc184312083"/>
      <w:bookmarkEnd w:id="311"/>
      <w:bookmarkStart w:id="312" w:name="_Toc184312107"/>
      <w:bookmarkEnd w:id="312"/>
      <w:bookmarkStart w:id="313" w:name="_Toc184312136"/>
      <w:bookmarkEnd w:id="313"/>
      <w:bookmarkStart w:id="314" w:name="_Toc184312131"/>
      <w:bookmarkEnd w:id="314"/>
      <w:bookmarkStart w:id="315" w:name="_Toc184312111"/>
      <w:bookmarkEnd w:id="315"/>
      <w:bookmarkStart w:id="316" w:name="_Toc184310274"/>
      <w:bookmarkEnd w:id="316"/>
      <w:bookmarkStart w:id="317" w:name="_Toc184313285"/>
      <w:bookmarkEnd w:id="317"/>
      <w:bookmarkStart w:id="318" w:name="_Toc184312126"/>
      <w:bookmarkEnd w:id="318"/>
      <w:bookmarkStart w:id="319" w:name="_Toc184313261"/>
      <w:bookmarkEnd w:id="319"/>
      <w:bookmarkStart w:id="320" w:name="_Toc184313302"/>
      <w:bookmarkEnd w:id="320"/>
      <w:bookmarkStart w:id="321" w:name="_Toc184314477"/>
      <w:bookmarkEnd w:id="321"/>
      <w:bookmarkStart w:id="322" w:name="_Toc184308079"/>
      <w:bookmarkEnd w:id="322"/>
      <w:bookmarkStart w:id="323" w:name="_Toc184314414"/>
      <w:bookmarkEnd w:id="323"/>
      <w:bookmarkStart w:id="324" w:name="_Toc184312113"/>
      <w:bookmarkEnd w:id="324"/>
      <w:bookmarkStart w:id="325" w:name="_Toc184308101"/>
      <w:bookmarkEnd w:id="325"/>
      <w:bookmarkStart w:id="326" w:name="_Toc184313305"/>
      <w:bookmarkEnd w:id="326"/>
      <w:bookmarkStart w:id="327" w:name="_Toc184308036"/>
      <w:bookmarkEnd w:id="327"/>
      <w:bookmarkStart w:id="328" w:name="_Toc184314443"/>
      <w:bookmarkEnd w:id="328"/>
      <w:bookmarkStart w:id="329" w:name="_Toc184312129"/>
      <w:bookmarkEnd w:id="329"/>
      <w:bookmarkStart w:id="330" w:name="_Toc184308103"/>
      <w:bookmarkEnd w:id="330"/>
      <w:bookmarkStart w:id="331" w:name="_Toc184313284"/>
      <w:bookmarkEnd w:id="331"/>
      <w:bookmarkStart w:id="332" w:name="_Toc184314428"/>
      <w:bookmarkEnd w:id="332"/>
      <w:bookmarkStart w:id="333" w:name="_Toc184314430"/>
      <w:bookmarkEnd w:id="333"/>
      <w:bookmarkStart w:id="334" w:name="_Toc184308076"/>
      <w:bookmarkEnd w:id="334"/>
      <w:bookmarkStart w:id="335" w:name="_Toc184308095"/>
      <w:bookmarkEnd w:id="335"/>
      <w:bookmarkStart w:id="336" w:name="_Toc184310303"/>
      <w:bookmarkEnd w:id="336"/>
      <w:bookmarkStart w:id="337" w:name="_Toc184308061"/>
      <w:bookmarkEnd w:id="337"/>
      <w:bookmarkStart w:id="338" w:name="_Toc184312132"/>
      <w:bookmarkEnd w:id="338"/>
      <w:bookmarkStart w:id="339" w:name="_Toc184313253"/>
      <w:bookmarkEnd w:id="339"/>
      <w:bookmarkStart w:id="340" w:name="_Toc184310327"/>
      <w:bookmarkEnd w:id="340"/>
      <w:bookmarkStart w:id="341" w:name="_Toc184310309"/>
      <w:bookmarkEnd w:id="341"/>
      <w:bookmarkStart w:id="342" w:name="_Toc184310302"/>
      <w:bookmarkEnd w:id="342"/>
      <w:bookmarkStart w:id="343" w:name="_Toc184312077"/>
      <w:bookmarkEnd w:id="343"/>
      <w:bookmarkStart w:id="344" w:name="_Toc184312073"/>
      <w:bookmarkEnd w:id="344"/>
      <w:bookmarkStart w:id="345" w:name="_Toc184314446"/>
      <w:bookmarkEnd w:id="345"/>
      <w:bookmarkStart w:id="346" w:name="_Toc184308069"/>
      <w:bookmarkEnd w:id="346"/>
      <w:bookmarkStart w:id="347" w:name="_Toc184313262"/>
      <w:bookmarkEnd w:id="347"/>
      <w:bookmarkStart w:id="348" w:name="_Toc184312103"/>
      <w:bookmarkEnd w:id="348"/>
      <w:bookmarkStart w:id="349" w:name="_Toc184314460"/>
      <w:bookmarkEnd w:id="349"/>
      <w:bookmarkStart w:id="350" w:name="_Toc184308067"/>
      <w:bookmarkEnd w:id="350"/>
      <w:bookmarkStart w:id="351" w:name="_Toc184313241"/>
      <w:bookmarkEnd w:id="351"/>
      <w:bookmarkStart w:id="352" w:name="_Toc184314419"/>
      <w:bookmarkEnd w:id="352"/>
      <w:bookmarkStart w:id="353" w:name="_Toc184312112"/>
      <w:bookmarkEnd w:id="353"/>
      <w:bookmarkStart w:id="354" w:name="_Toc184308045"/>
      <w:bookmarkEnd w:id="354"/>
      <w:bookmarkStart w:id="355" w:name="_Toc184312117"/>
      <w:bookmarkEnd w:id="355"/>
      <w:bookmarkStart w:id="356" w:name="_Toc184313248"/>
      <w:bookmarkEnd w:id="356"/>
      <w:bookmarkStart w:id="357" w:name="_Toc184310322"/>
      <w:bookmarkEnd w:id="357"/>
      <w:bookmarkStart w:id="358" w:name="_Toc184312092"/>
      <w:bookmarkEnd w:id="358"/>
      <w:bookmarkStart w:id="359" w:name="_Toc184313275"/>
      <w:bookmarkEnd w:id="359"/>
      <w:bookmarkStart w:id="360" w:name="_Toc184313263"/>
      <w:bookmarkEnd w:id="360"/>
      <w:bookmarkStart w:id="361" w:name="_Toc184313238"/>
      <w:bookmarkEnd w:id="361"/>
      <w:bookmarkStart w:id="362" w:name="_Toc184308046"/>
      <w:bookmarkEnd w:id="362"/>
      <w:bookmarkStart w:id="363" w:name="_Toc184308039"/>
      <w:bookmarkEnd w:id="363"/>
      <w:bookmarkStart w:id="364" w:name="_Toc184310326"/>
      <w:bookmarkEnd w:id="364"/>
      <w:bookmarkStart w:id="365" w:name="_Toc184313290"/>
      <w:bookmarkEnd w:id="365"/>
      <w:bookmarkStart w:id="366" w:name="_Toc184308104"/>
      <w:bookmarkEnd w:id="366"/>
      <w:bookmarkStart w:id="367" w:name="_Toc184314453"/>
      <w:bookmarkEnd w:id="367"/>
      <w:bookmarkStart w:id="368" w:name="_Toc184313277"/>
      <w:bookmarkEnd w:id="368"/>
      <w:bookmarkStart w:id="369" w:name="_Toc184310317"/>
      <w:bookmarkEnd w:id="369"/>
      <w:bookmarkStart w:id="370" w:name="_Toc184310313"/>
      <w:bookmarkEnd w:id="370"/>
      <w:bookmarkStart w:id="371" w:name="_Toc184310310"/>
      <w:bookmarkEnd w:id="371"/>
      <w:bookmarkStart w:id="372" w:name="_Toc184310344"/>
      <w:bookmarkEnd w:id="372"/>
      <w:bookmarkStart w:id="373" w:name="_Toc184314439"/>
      <w:bookmarkEnd w:id="373"/>
      <w:bookmarkStart w:id="374" w:name="_Toc184308074"/>
      <w:bookmarkEnd w:id="374"/>
      <w:bookmarkStart w:id="375" w:name="_Toc184310336"/>
      <w:bookmarkEnd w:id="375"/>
      <w:bookmarkStart w:id="376" w:name="_Toc184314464"/>
      <w:bookmarkEnd w:id="376"/>
      <w:bookmarkStart w:id="377" w:name="_Toc184312075"/>
      <w:bookmarkEnd w:id="377"/>
      <w:bookmarkStart w:id="378" w:name="_Toc184314456"/>
      <w:bookmarkEnd w:id="378"/>
      <w:bookmarkStart w:id="379" w:name="_Toc184310280"/>
      <w:bookmarkEnd w:id="379"/>
      <w:bookmarkStart w:id="380" w:name="_Toc184314449"/>
      <w:bookmarkEnd w:id="380"/>
      <w:bookmarkStart w:id="381" w:name="_Toc184312134"/>
      <w:bookmarkEnd w:id="381"/>
      <w:bookmarkStart w:id="382" w:name="_Toc184313278"/>
      <w:bookmarkEnd w:id="382"/>
      <w:bookmarkStart w:id="383" w:name="_Toc184310276"/>
      <w:bookmarkEnd w:id="383"/>
      <w:bookmarkStart w:id="384" w:name="_Toc184310282"/>
      <w:bookmarkEnd w:id="384"/>
      <w:bookmarkStart w:id="385" w:name="_Toc184308042"/>
      <w:bookmarkEnd w:id="385"/>
      <w:bookmarkStart w:id="386" w:name="_Toc184314413"/>
      <w:bookmarkEnd w:id="386"/>
      <w:bookmarkStart w:id="387" w:name="_Toc184313254"/>
      <w:bookmarkEnd w:id="387"/>
      <w:bookmarkStart w:id="388" w:name="_Toc184312106"/>
      <w:bookmarkEnd w:id="388"/>
      <w:bookmarkStart w:id="389" w:name="_Toc184308072"/>
      <w:bookmarkEnd w:id="389"/>
      <w:bookmarkStart w:id="390" w:name="_Toc184314444"/>
      <w:bookmarkEnd w:id="390"/>
      <w:bookmarkStart w:id="391" w:name="_Toc184308096"/>
      <w:bookmarkEnd w:id="391"/>
      <w:bookmarkStart w:id="392" w:name="_Toc184314479"/>
      <w:bookmarkEnd w:id="392"/>
      <w:bookmarkStart w:id="393" w:name="_Toc184308102"/>
      <w:bookmarkEnd w:id="393"/>
      <w:bookmarkStart w:id="394" w:name="_Toc184314427"/>
      <w:bookmarkEnd w:id="394"/>
      <w:bookmarkStart w:id="395" w:name="_Toc184314433"/>
      <w:bookmarkEnd w:id="395"/>
      <w:bookmarkStart w:id="396" w:name="_Toc184310343"/>
      <w:bookmarkEnd w:id="396"/>
      <w:bookmarkStart w:id="397" w:name="_Toc184313292"/>
      <w:bookmarkEnd w:id="397"/>
      <w:bookmarkStart w:id="398" w:name="_Toc184312098"/>
      <w:bookmarkEnd w:id="398"/>
      <w:bookmarkStart w:id="399" w:name="_Toc184312069"/>
      <w:bookmarkEnd w:id="399"/>
      <w:bookmarkStart w:id="400" w:name="_Toc184310299"/>
      <w:bookmarkEnd w:id="400"/>
      <w:bookmarkStart w:id="401" w:name="_Toc184314469"/>
      <w:bookmarkEnd w:id="401"/>
      <w:bookmarkStart w:id="402" w:name="_Toc184314454"/>
      <w:bookmarkEnd w:id="402"/>
      <w:bookmarkStart w:id="403" w:name="_Toc184310292"/>
      <w:bookmarkEnd w:id="403"/>
      <w:bookmarkStart w:id="404" w:name="_Toc184308082"/>
      <w:bookmarkEnd w:id="404"/>
      <w:bookmarkStart w:id="405" w:name="_Toc184310277"/>
      <w:bookmarkEnd w:id="405"/>
      <w:bookmarkStart w:id="406" w:name="_Toc184312078"/>
      <w:bookmarkEnd w:id="406"/>
      <w:bookmarkStart w:id="407" w:name="_Toc184310339"/>
      <w:bookmarkEnd w:id="407"/>
      <w:bookmarkStart w:id="408" w:name="_Toc184310290"/>
      <w:bookmarkEnd w:id="408"/>
      <w:bookmarkStart w:id="409" w:name="_Toc184310293"/>
      <w:bookmarkEnd w:id="409"/>
      <w:bookmarkStart w:id="410" w:name="_Toc184313251"/>
      <w:bookmarkEnd w:id="410"/>
      <w:bookmarkStart w:id="411" w:name="_Toc184310283"/>
      <w:bookmarkEnd w:id="411"/>
      <w:bookmarkStart w:id="412" w:name="_Toc184312080"/>
      <w:bookmarkEnd w:id="412"/>
      <w:bookmarkStart w:id="413" w:name="_Toc184310298"/>
      <w:bookmarkEnd w:id="413"/>
      <w:bookmarkStart w:id="414" w:name="_Toc184308050"/>
      <w:bookmarkEnd w:id="414"/>
      <w:bookmarkStart w:id="415" w:name="_Toc184314465"/>
      <w:bookmarkEnd w:id="415"/>
      <w:bookmarkStart w:id="416" w:name="_Toc184310291"/>
      <w:bookmarkEnd w:id="416"/>
      <w:bookmarkStart w:id="417" w:name="_Toc184308083"/>
      <w:bookmarkEnd w:id="417"/>
      <w:bookmarkStart w:id="418" w:name="_Toc184308084"/>
      <w:bookmarkEnd w:id="418"/>
      <w:bookmarkStart w:id="419" w:name="_Toc184310331"/>
      <w:bookmarkEnd w:id="419"/>
      <w:bookmarkStart w:id="420" w:name="_Toc184314441"/>
      <w:bookmarkEnd w:id="420"/>
      <w:bookmarkStart w:id="421" w:name="_Toc184313287"/>
      <w:bookmarkEnd w:id="421"/>
      <w:bookmarkStart w:id="422" w:name="_Toc184313306"/>
      <w:bookmarkEnd w:id="422"/>
      <w:r>
        <w:rPr>
          <w:rFonts w:hint="eastAsia" w:ascii="宋体" w:hAnsi="宋体" w:cs="宋体"/>
          <w:szCs w:val="36"/>
        </w:rPr>
        <w:t>评标办法</w:t>
      </w:r>
      <w:bookmarkEnd w:id="55"/>
      <w:bookmarkEnd w:id="56"/>
      <w:bookmarkEnd w:id="57"/>
    </w:p>
    <w:p>
      <w:pPr>
        <w:pStyle w:val="5"/>
      </w:pPr>
      <w:bookmarkStart w:id="423" w:name="_Toc19050"/>
      <w:bookmarkStart w:id="424" w:name="_Toc22464"/>
      <w:r>
        <w:rPr>
          <w:rFonts w:hint="eastAsia"/>
        </w:rPr>
        <w:t>一、评标方法</w:t>
      </w:r>
      <w:bookmarkEnd w:id="423"/>
      <w:bookmarkEnd w:id="424"/>
    </w:p>
    <w:p>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5"/>
        <w:numPr>
          <w:ilvl w:val="0"/>
          <w:numId w:val="3"/>
        </w:numPr>
      </w:pPr>
      <w:bookmarkStart w:id="425" w:name="_Toc30791"/>
      <w:bookmarkStart w:id="426" w:name="_Toc4726"/>
      <w:r>
        <w:rPr>
          <w:rFonts w:hint="eastAsia"/>
        </w:rPr>
        <w:t>评标标准</w:t>
      </w:r>
      <w:bookmarkEnd w:id="425"/>
      <w:bookmarkEnd w:id="426"/>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3"/>
        <w:gridCol w:w="12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b/>
                <w:bCs/>
              </w:rPr>
            </w:pPr>
            <w:r>
              <w:rPr>
                <w:rFonts w:hint="eastAsia"/>
                <w:b/>
                <w:bCs/>
              </w:rPr>
              <w:t>序号</w:t>
            </w:r>
          </w:p>
        </w:tc>
        <w:tc>
          <w:tcPr>
            <w:tcW w:w="592" w:type="pct"/>
            <w:vAlign w:val="center"/>
          </w:tcPr>
          <w:p>
            <w:pPr>
              <w:ind w:firstLine="0" w:firstLineChars="0"/>
              <w:jc w:val="center"/>
              <w:rPr>
                <w:b/>
                <w:bCs/>
              </w:rPr>
            </w:pPr>
            <w:r>
              <w:rPr>
                <w:rFonts w:hint="eastAsia"/>
                <w:b/>
                <w:bCs/>
              </w:rPr>
              <w:t>评分类型</w:t>
            </w:r>
          </w:p>
        </w:tc>
        <w:tc>
          <w:tcPr>
            <w:tcW w:w="2728" w:type="pct"/>
            <w:vAlign w:val="center"/>
          </w:tcPr>
          <w:p>
            <w:pPr>
              <w:ind w:firstLine="0" w:firstLineChars="0"/>
              <w:jc w:val="center"/>
              <w:rPr>
                <w:b/>
                <w:bCs/>
              </w:rPr>
            </w:pPr>
            <w:r>
              <w:rPr>
                <w:rFonts w:hint="eastAsia"/>
                <w:b/>
                <w:bCs/>
              </w:rPr>
              <w:t>评分标准</w:t>
            </w:r>
          </w:p>
        </w:tc>
        <w:tc>
          <w:tcPr>
            <w:tcW w:w="624" w:type="pct"/>
            <w:vAlign w:val="center"/>
          </w:tcPr>
          <w:p>
            <w:pPr>
              <w:ind w:firstLine="0" w:firstLineChars="0"/>
              <w:jc w:val="center"/>
              <w:rPr>
                <w:b/>
                <w:bCs/>
              </w:rPr>
            </w:pPr>
            <w:r>
              <w:rPr>
                <w:rFonts w:hint="eastAsia"/>
                <w:b/>
                <w:bCs/>
              </w:rPr>
              <w:t>分值范围</w:t>
            </w:r>
          </w:p>
        </w:tc>
        <w:tc>
          <w:tcPr>
            <w:tcW w:w="638" w:type="pct"/>
            <w:vAlign w:val="center"/>
          </w:tcPr>
          <w:p>
            <w:pPr>
              <w:ind w:firstLine="0" w:firstLineChars="0"/>
              <w:jc w:val="center"/>
              <w:rPr>
                <w:b/>
                <w:bCs/>
              </w:rPr>
            </w:pPr>
            <w:r>
              <w:rPr>
                <w:rFonts w:hint="eastAsia" w:ascii="宋体" w:hAnsi="宋体" w:cs="宋体"/>
                <w:b/>
                <w:bCs/>
              </w:rPr>
              <w:t>评分属性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w:t>
            </w:r>
          </w:p>
        </w:tc>
        <w:tc>
          <w:tcPr>
            <w:tcW w:w="592" w:type="pct"/>
            <w:vAlign w:val="center"/>
          </w:tcPr>
          <w:p>
            <w:pPr>
              <w:ind w:firstLine="0" w:firstLineChars="0"/>
              <w:jc w:val="center"/>
            </w:pPr>
            <w:r>
              <w:rPr>
                <w:rFonts w:hint="eastAsia"/>
              </w:rPr>
              <w:t>报价</w:t>
            </w:r>
          </w:p>
        </w:tc>
        <w:tc>
          <w:tcPr>
            <w:tcW w:w="2728" w:type="pct"/>
            <w:vAlign w:val="center"/>
          </w:tcPr>
          <w:p>
            <w:pPr>
              <w:ind w:firstLine="0" w:firstLineChars="0"/>
              <w:jc w:val="left"/>
            </w:pPr>
            <w:r>
              <w:rPr>
                <w:rFonts w:hint="eastAsia"/>
              </w:rPr>
              <w:t>价格分采用低价优先法计算，即有效投标报价的最低价为评审基准价，其最低报价为满分。其他投标人的报价分统一按照下列公式计算：</w:t>
            </w:r>
          </w:p>
          <w:p>
            <w:pPr>
              <w:ind w:firstLine="0" w:firstLineChars="0"/>
              <w:jc w:val="left"/>
            </w:pPr>
            <w:r>
              <w:rPr>
                <w:rFonts w:hint="eastAsia"/>
              </w:rPr>
              <w:t>报价得分=（评审基准价/投标报价）×20</w:t>
            </w:r>
          </w:p>
          <w:p>
            <w:pPr>
              <w:ind w:firstLine="0" w:firstLineChars="0"/>
            </w:pPr>
            <w:r>
              <w:rPr>
                <w:rFonts w:hint="eastAsia" w:ascii="宋体" w:hAnsi="宋体" w:cs="宋体"/>
                <w:b/>
                <w:bCs/>
                <w:szCs w:val="21"/>
              </w:rPr>
              <w:t>已预留份额专门面向中小微企业采购的项目，不再执行价格评审优惠的扶持政策。</w:t>
            </w:r>
          </w:p>
        </w:tc>
        <w:tc>
          <w:tcPr>
            <w:tcW w:w="624" w:type="pct"/>
            <w:vAlign w:val="center"/>
          </w:tcPr>
          <w:p>
            <w:pPr>
              <w:ind w:firstLine="0" w:firstLineChars="0"/>
              <w:jc w:val="center"/>
            </w:pPr>
            <w:r>
              <w:rPr>
                <w:rFonts w:hint="eastAsia"/>
              </w:rPr>
              <w:t>0-20</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2</w:t>
            </w:r>
          </w:p>
        </w:tc>
        <w:tc>
          <w:tcPr>
            <w:tcW w:w="592" w:type="pct"/>
            <w:vAlign w:val="center"/>
          </w:tcPr>
          <w:p>
            <w:pPr>
              <w:ind w:firstLine="0" w:firstLineChars="0"/>
              <w:jc w:val="center"/>
            </w:pPr>
            <w:r>
              <w:rPr>
                <w:rFonts w:hint="eastAsia"/>
              </w:rPr>
              <w:t>商务</w:t>
            </w:r>
          </w:p>
        </w:tc>
        <w:tc>
          <w:tcPr>
            <w:tcW w:w="2728" w:type="pct"/>
            <w:vAlign w:val="center"/>
          </w:tcPr>
          <w:p>
            <w:pPr>
              <w:ind w:firstLine="0" w:firstLineChars="0"/>
              <w:rPr>
                <w:rFonts w:ascii="宋体" w:hAnsi="宋体" w:cs="宋体"/>
                <w:b/>
                <w:bCs/>
              </w:rPr>
            </w:pPr>
            <w:r>
              <w:rPr>
                <w:rFonts w:hint="eastAsia" w:ascii="宋体" w:hAnsi="宋体" w:cs="宋体"/>
              </w:rPr>
              <w:t>投标人自2021年6月份以来承接过同类项目业绩，每个得0.5分，最高得</w:t>
            </w:r>
            <w:r>
              <w:rPr>
                <w:rFonts w:hint="eastAsia" w:ascii="宋体" w:hAnsi="宋体" w:cs="宋体"/>
                <w:lang w:val="en-US" w:eastAsia="zh-CN"/>
              </w:rPr>
              <w:t>2</w:t>
            </w:r>
            <w:r>
              <w:rPr>
                <w:rFonts w:hint="eastAsia" w:ascii="宋体" w:hAnsi="宋体" w:cs="宋体"/>
              </w:rPr>
              <w:t>分；（业绩必须提供相应的证明文件（合同复印件），时间以合同签订时间为准。）</w:t>
            </w:r>
          </w:p>
        </w:tc>
        <w:tc>
          <w:tcPr>
            <w:tcW w:w="624" w:type="pct"/>
            <w:vAlign w:val="center"/>
          </w:tcPr>
          <w:p>
            <w:pPr>
              <w:ind w:firstLine="0" w:firstLineChars="0"/>
              <w:jc w:val="center"/>
            </w:pPr>
            <w:r>
              <w:rPr>
                <w:rFonts w:hint="eastAsia"/>
              </w:rPr>
              <w:t>0-2</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3</w:t>
            </w:r>
          </w:p>
        </w:tc>
        <w:tc>
          <w:tcPr>
            <w:tcW w:w="592" w:type="pct"/>
            <w:vAlign w:val="center"/>
          </w:tcPr>
          <w:p>
            <w:pPr>
              <w:ind w:firstLine="0" w:firstLineChars="0"/>
              <w:jc w:val="center"/>
            </w:pPr>
            <w:r>
              <w:rPr>
                <w:rFonts w:hint="eastAsia"/>
              </w:rPr>
              <w:t>技术</w:t>
            </w:r>
          </w:p>
        </w:tc>
        <w:tc>
          <w:tcPr>
            <w:tcW w:w="2728" w:type="pct"/>
            <w:vAlign w:val="center"/>
          </w:tcPr>
          <w:p>
            <w:pPr>
              <w:pStyle w:val="144"/>
              <w:widowControl w:val="0"/>
              <w:jc w:val="left"/>
              <w:rPr>
                <w:rFonts w:ascii="Calibri" w:hAnsi="Calibri" w:cs="Calibri"/>
              </w:rPr>
            </w:pPr>
            <w:r>
              <w:rPr>
                <w:rFonts w:ascii="宋体" w:hAnsi="宋体" w:cs="宋体"/>
                <w:szCs w:val="21"/>
              </w:rPr>
              <w:t>投标人对</w:t>
            </w:r>
            <w:r>
              <w:rPr>
                <w:rFonts w:hint="eastAsia" w:ascii="宋体" w:hAnsi="宋体" w:cs="宋体"/>
                <w:szCs w:val="21"/>
              </w:rPr>
              <w:t>本项目采购需求的理解与分析</w:t>
            </w:r>
            <w:r>
              <w:rPr>
                <w:rFonts w:hint="eastAsia"/>
              </w:rPr>
              <w:t>（评分范围：4,3,2,1,0）</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4</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rPr>
                <w:rFonts w:ascii="Calibri" w:hAnsi="Calibri" w:cs="Calibri"/>
                <w:szCs w:val="22"/>
              </w:rPr>
            </w:pPr>
            <w:r>
              <w:rPr>
                <w:rFonts w:hint="eastAsia"/>
                <w:szCs w:val="21"/>
              </w:rPr>
              <w:t>针对本项目实施的重点、难点分析</w:t>
            </w:r>
            <w:r>
              <w:rPr>
                <w:rFonts w:hint="eastAsia"/>
              </w:rPr>
              <w:t>（评分范围：4,3,2,1,0）</w:t>
            </w:r>
          </w:p>
        </w:tc>
        <w:tc>
          <w:tcPr>
            <w:tcW w:w="624" w:type="pct"/>
            <w:vAlign w:val="center"/>
          </w:tcPr>
          <w:p>
            <w:pPr>
              <w:ind w:firstLine="0" w:firstLineChars="0"/>
              <w:jc w:val="center"/>
              <w:rPr>
                <w:kern w:val="0"/>
              </w:rP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5</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kern w:val="0"/>
              </w:rPr>
            </w:pPr>
            <w:r>
              <w:rPr>
                <w:rFonts w:hint="eastAsia"/>
                <w:szCs w:val="21"/>
              </w:rPr>
              <w:t>针对本项目实施的重点、难点</w:t>
            </w:r>
            <w:r>
              <w:rPr>
                <w:rFonts w:hint="eastAsia" w:ascii="宋体" w:hAnsi="宋体" w:cs="宋体"/>
                <w:szCs w:val="21"/>
                <w:lang w:val="zh-CN"/>
              </w:rPr>
              <w:t>提出具体解决措施</w:t>
            </w:r>
            <w:r>
              <w:rPr>
                <w:rFonts w:hint="eastAsia"/>
              </w:rPr>
              <w:t>（评分范围：4,3,2,1,0）</w:t>
            </w:r>
          </w:p>
        </w:tc>
        <w:tc>
          <w:tcPr>
            <w:tcW w:w="624" w:type="pct"/>
            <w:vAlign w:val="center"/>
          </w:tcPr>
          <w:p>
            <w:pPr>
              <w:ind w:firstLine="0" w:firstLineChars="0"/>
              <w:jc w:val="center"/>
              <w:rPr>
                <w:kern w:val="0"/>
              </w:rP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6</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rFonts w:cs="宋体"/>
                <w:color w:val="000000"/>
                <w:kern w:val="0"/>
              </w:rPr>
            </w:pPr>
            <w:r>
              <w:rPr>
                <w:rFonts w:hint="eastAsia" w:cs="宋体"/>
                <w:color w:val="000000"/>
                <w:kern w:val="0"/>
              </w:rPr>
              <w:t>维保方案</w:t>
            </w:r>
          </w:p>
          <w:p>
            <w:pPr>
              <w:ind w:firstLine="0" w:firstLineChars="0"/>
              <w:jc w:val="left"/>
            </w:pPr>
            <w:r>
              <w:rPr>
                <w:rFonts w:hint="eastAsia"/>
              </w:rPr>
              <w:t>1、项目总体实施计划方案（包括但不限于工作时间进度表、工作程序和步骤、管理和协调方法））（0-5分）（评分范围：5,4,3,2,1,0）</w:t>
            </w:r>
          </w:p>
          <w:p>
            <w:pPr>
              <w:ind w:firstLine="0" w:firstLineChars="0"/>
              <w:jc w:val="left"/>
            </w:pPr>
            <w:r>
              <w:rPr>
                <w:rFonts w:hint="eastAsia"/>
              </w:rPr>
              <w:t>2、装修系统维保方案（包括但不限于日常维护及巡检方案、维保服务内容及要点）（0-3分）（评分范围：3,2,1,0）</w:t>
            </w:r>
          </w:p>
          <w:p>
            <w:pPr>
              <w:ind w:firstLine="0" w:firstLineChars="0"/>
              <w:jc w:val="left"/>
            </w:pPr>
            <w:r>
              <w:rPr>
                <w:rFonts w:hint="eastAsia"/>
              </w:rPr>
              <w:t>3、电气系统维保方案（包括但不限于日常维护及巡检方案、维保服务内容及要点）（0-3分）（评分范围：3,2,1,0）</w:t>
            </w:r>
          </w:p>
          <w:p>
            <w:pPr>
              <w:ind w:firstLine="0" w:firstLineChars="0"/>
              <w:jc w:val="left"/>
            </w:pPr>
            <w:r>
              <w:rPr>
                <w:rFonts w:hint="eastAsia" w:cs="宋体"/>
                <w:color w:val="000000"/>
                <w:kern w:val="0"/>
              </w:rPr>
              <w:t>4、防雷接地系统维保方案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5、消防系统维保方案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6、机房内综合布线系统维保方案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7、机房机柜维保方案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8、机房空调系统维保方案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9、机房UPS电源系统维保方案</w:t>
            </w:r>
            <w:r>
              <w:rPr>
                <w:rFonts w:hint="eastAsia"/>
              </w:rPr>
              <w:t>（包括但不限于日常维护及巡检方案、维保服务内容及要点）（0-3分）（评分范围：3,2,1,0）</w:t>
            </w:r>
          </w:p>
          <w:p>
            <w:pPr>
              <w:ind w:firstLine="0" w:firstLineChars="0"/>
              <w:jc w:val="left"/>
            </w:pPr>
            <w:r>
              <w:rPr>
                <w:rFonts w:hint="eastAsia" w:cs="宋体"/>
                <w:color w:val="000000"/>
                <w:kern w:val="0"/>
              </w:rPr>
              <w:t>10、机房环境监控系统维保方案</w:t>
            </w:r>
            <w:r>
              <w:rPr>
                <w:rFonts w:hint="eastAsia"/>
              </w:rPr>
              <w:t>（包括但不限于日常维护及巡检方案、维保服务内容及要点）（0-3分）（评分范围：3,2,1,0）</w:t>
            </w:r>
          </w:p>
          <w:p>
            <w:pPr>
              <w:ind w:firstLine="0" w:firstLineChars="0"/>
              <w:jc w:val="left"/>
            </w:pPr>
            <w:r>
              <w:rPr>
                <w:rFonts w:hint="eastAsia"/>
              </w:rPr>
              <w:t>11、信息化管理方案（包括</w:t>
            </w:r>
            <w:r>
              <w:rPr>
                <w:rFonts w:hint="eastAsia" w:ascii="宋体" w:hAnsi="宋体" w:cs="Helvetica"/>
                <w:kern w:val="0"/>
              </w:rPr>
              <w:t>投标人须建立维护管理台账，每月初向采购人提交一份上月故障及服务报告。可查询包括但不限于日常维护情况、故障维修情况、备品备件更换情况、清洁保养情况等</w:t>
            </w:r>
            <w:r>
              <w:rPr>
                <w:rFonts w:hint="eastAsia"/>
              </w:rPr>
              <w:t>）</w:t>
            </w:r>
            <w:r>
              <w:rPr>
                <w:rFonts w:hint="eastAsia" w:ascii="宋体" w:hAnsi="宋体" w:cs="Helvetica"/>
                <w:kern w:val="0"/>
              </w:rPr>
              <w:t>。</w:t>
            </w:r>
            <w:r>
              <w:rPr>
                <w:rFonts w:hint="eastAsia"/>
              </w:rPr>
              <w:t>（0-3分）（评分范围：3,2,1,0）</w:t>
            </w:r>
          </w:p>
        </w:tc>
        <w:tc>
          <w:tcPr>
            <w:tcW w:w="624" w:type="pct"/>
            <w:vAlign w:val="center"/>
          </w:tcPr>
          <w:p>
            <w:pPr>
              <w:ind w:firstLine="0" w:firstLineChars="0"/>
              <w:jc w:val="center"/>
            </w:pPr>
            <w:r>
              <w:rPr>
                <w:rFonts w:hint="eastAsia"/>
              </w:rPr>
              <w:t>0-35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7</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pPr>
            <w:r>
              <w:rPr>
                <w:rFonts w:hint="eastAsia"/>
              </w:rPr>
              <w:t>针对本项目的</w:t>
            </w:r>
            <w:r>
              <w:rPr>
                <w:rFonts w:hint="eastAsia" w:ascii="Calibri" w:hAnsi="Calibri" w:cs="Calibri"/>
                <w:szCs w:val="22"/>
              </w:rPr>
              <w:t>文档信息管理方案（包括但不限于文档编制方法、文档样式和汇报计划，定期提供相应的维保服务报告、维保质量管理和流程规范程度（管理制度、流程图、记录、表单等））</w:t>
            </w:r>
            <w:r>
              <w:rPr>
                <w:rFonts w:hint="eastAsia"/>
              </w:rPr>
              <w:t>（评分范围：5,4,3,2,1,0）</w:t>
            </w:r>
          </w:p>
        </w:tc>
        <w:tc>
          <w:tcPr>
            <w:tcW w:w="624" w:type="pct"/>
            <w:vAlign w:val="center"/>
          </w:tcPr>
          <w:p>
            <w:pPr>
              <w:ind w:firstLine="0" w:firstLineChars="0"/>
              <w:jc w:val="center"/>
            </w:pPr>
            <w:r>
              <w:rPr>
                <w:rFonts w:hint="eastAsia"/>
              </w:rPr>
              <w:t>0-5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8</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rFonts w:ascii="宋体" w:hAnsi="宋体" w:cs="宋体"/>
                <w:lang w:bidi="ar"/>
              </w:rPr>
            </w:pPr>
            <w:r>
              <w:rPr>
                <w:rFonts w:hint="eastAsia" w:ascii="宋体" w:hAnsi="宋体" w:cs="宋体"/>
                <w:lang w:bidi="ar"/>
              </w:rPr>
              <w:t>质量保障：</w:t>
            </w:r>
          </w:p>
          <w:p>
            <w:pPr>
              <w:numPr>
                <w:ilvl w:val="0"/>
                <w:numId w:val="4"/>
              </w:numPr>
              <w:ind w:firstLine="0" w:firstLineChars="0"/>
              <w:jc w:val="left"/>
            </w:pPr>
            <w:r>
              <w:rPr>
                <w:rFonts w:hint="eastAsia" w:ascii="宋体" w:hAnsi="宋体" w:cs="宋体"/>
                <w:lang w:bidi="ar"/>
              </w:rPr>
              <w:t>确保技术服务质量的保障措施及承诺（0-2分）</w:t>
            </w:r>
            <w:r>
              <w:rPr>
                <w:rFonts w:hint="eastAsia"/>
              </w:rPr>
              <w:t>（评分范围：2,1,0）</w:t>
            </w:r>
          </w:p>
          <w:p>
            <w:pPr>
              <w:numPr>
                <w:ilvl w:val="0"/>
                <w:numId w:val="4"/>
              </w:numPr>
              <w:ind w:firstLine="0" w:firstLineChars="0"/>
              <w:jc w:val="left"/>
            </w:pPr>
            <w:r>
              <w:rPr>
                <w:rFonts w:hint="eastAsia"/>
              </w:rPr>
              <w:t>原厂质量保障：</w:t>
            </w:r>
          </w:p>
          <w:p>
            <w:pPr>
              <w:ind w:firstLine="0" w:firstLineChars="0"/>
              <w:jc w:val="left"/>
              <w:rPr>
                <w:rFonts w:ascii="宋体" w:hAnsi="宋体" w:cs="宋体"/>
                <w:kern w:val="0"/>
              </w:rPr>
            </w:pPr>
            <w:r>
              <w:rPr>
                <w:rFonts w:hint="eastAsia"/>
              </w:rPr>
              <w:t>2.1投标人承诺中标后10个工作日内向采购人提供机房环境监控系统原厂家出具的针对本项目的授权和质保证明文件的得1分，提供承诺函，否则不得分。（0-1分）</w:t>
            </w:r>
          </w:p>
          <w:p>
            <w:pPr>
              <w:ind w:firstLine="0" w:firstLineChars="0"/>
              <w:jc w:val="left"/>
            </w:pPr>
            <w:r>
              <w:rPr>
                <w:rFonts w:hint="eastAsia"/>
              </w:rPr>
              <w:t>2.2投标人承诺中标后10个工作日内向采购人提供UPS电源系统原厂家出具的针对本项目的授权和质保证明文件的得1分，提供承诺函，否则不得分。（0-1分）</w:t>
            </w:r>
          </w:p>
          <w:p>
            <w:pPr>
              <w:ind w:firstLine="0" w:firstLineChars="0"/>
              <w:jc w:val="left"/>
              <w:rPr>
                <w:rFonts w:ascii="宋体" w:hAnsi="宋体" w:cs="宋体"/>
                <w:kern w:val="0"/>
              </w:rPr>
            </w:pPr>
            <w:r>
              <w:rPr>
                <w:rFonts w:hint="eastAsia"/>
              </w:rPr>
              <w:t>2.3投标人承诺中标后10个工作日内向采购人提供精密空调系统原厂家出具的针对本项目的授权和质保证明文件的得1分，提供承诺函，否则不得分。（0-1分）</w:t>
            </w:r>
          </w:p>
          <w:p>
            <w:pPr>
              <w:ind w:firstLine="0" w:firstLineChars="0"/>
              <w:jc w:val="left"/>
              <w:rPr>
                <w:rFonts w:ascii="宋体" w:hAnsi="宋体" w:cs="宋体"/>
                <w:kern w:val="0"/>
              </w:rPr>
            </w:pPr>
            <w:r>
              <w:rPr>
                <w:rFonts w:hint="eastAsia"/>
              </w:rPr>
              <w:t>2.4投标人承诺中标后10个工作日内向采购人提供大屏显示系统原厂家出具的针对本项目的授权和质保证明文件的得1分，提供承诺函，否则不得分。（0-1分）</w:t>
            </w:r>
          </w:p>
        </w:tc>
        <w:tc>
          <w:tcPr>
            <w:tcW w:w="624" w:type="pct"/>
            <w:vAlign w:val="center"/>
          </w:tcPr>
          <w:p>
            <w:pPr>
              <w:ind w:firstLine="0" w:firstLineChars="0"/>
              <w:jc w:val="center"/>
            </w:pPr>
            <w:r>
              <w:rPr>
                <w:rFonts w:hint="eastAsia"/>
              </w:rPr>
              <w:t>0-6</w:t>
            </w:r>
          </w:p>
        </w:tc>
        <w:tc>
          <w:tcPr>
            <w:tcW w:w="638" w:type="pct"/>
            <w:vAlign w:val="center"/>
          </w:tcPr>
          <w:p>
            <w:pPr>
              <w:ind w:firstLine="0" w:firstLineChars="0"/>
              <w:jc w:val="center"/>
            </w:pPr>
            <w:r>
              <w:rPr>
                <w:rFonts w:hint="eastAsia"/>
              </w:rPr>
              <w:t>1主观分</w:t>
            </w:r>
          </w:p>
          <w:p>
            <w:pPr>
              <w:ind w:firstLine="0" w:firstLineChars="0"/>
              <w:jc w:val="center"/>
            </w:pPr>
            <w:r>
              <w:rPr>
                <w:rFonts w:hint="eastAsia"/>
              </w:rPr>
              <w:t>2客观分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9</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pPr>
            <w:r>
              <w:rPr>
                <w:rFonts w:hint="eastAsia"/>
              </w:rPr>
              <w:t>针对本项目的常用耗材准备方案（评分范围：4,3,2,1,0）</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10</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rFonts w:ascii="宋体" w:hAnsi="宋体" w:cs="宋体"/>
              </w:rPr>
            </w:pPr>
            <w:r>
              <w:rPr>
                <w:rFonts w:hint="eastAsia"/>
              </w:rPr>
              <w:t>服务响应到位时间时效性：承诺1小时内响应并到位得2分，提供承诺函，否则不得分。</w:t>
            </w:r>
          </w:p>
        </w:tc>
        <w:tc>
          <w:tcPr>
            <w:tcW w:w="624" w:type="pct"/>
            <w:vAlign w:val="center"/>
          </w:tcPr>
          <w:p>
            <w:pPr>
              <w:ind w:firstLine="0" w:firstLineChars="0"/>
              <w:jc w:val="center"/>
            </w:pPr>
            <w:r>
              <w:rPr>
                <w:rFonts w:hint="eastAsia"/>
              </w:rPr>
              <w:t>0-2</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11</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pPr>
            <w:r>
              <w:rPr>
                <w:rFonts w:hint="eastAsia" w:ascii="Calibri" w:hAnsi="Calibri" w:cs="Calibri"/>
                <w:szCs w:val="22"/>
              </w:rPr>
              <w:t>针对该项目应急预案与处理</w:t>
            </w:r>
            <w:r>
              <w:rPr>
                <w:rFonts w:hint="eastAsia" w:ascii="宋体" w:hAnsi="宋体" w:cs="宋体"/>
              </w:rPr>
              <w:t>方案</w:t>
            </w:r>
            <w:r>
              <w:rPr>
                <w:rFonts w:hint="eastAsia"/>
              </w:rPr>
              <w:t>（评分范围：5，4,3,2,1,0）</w:t>
            </w:r>
          </w:p>
        </w:tc>
        <w:tc>
          <w:tcPr>
            <w:tcW w:w="624" w:type="pct"/>
            <w:vAlign w:val="center"/>
          </w:tcPr>
          <w:p>
            <w:pPr>
              <w:ind w:firstLine="0" w:firstLineChars="0"/>
              <w:jc w:val="center"/>
              <w:rPr>
                <w:rFonts w:ascii="宋体" w:hAnsi="宋体" w:cs="宋体"/>
              </w:rPr>
            </w:pPr>
            <w:r>
              <w:rPr>
                <w:rFonts w:hint="eastAsia"/>
              </w:rPr>
              <w:t>0-5</w:t>
            </w:r>
          </w:p>
        </w:tc>
        <w:tc>
          <w:tcPr>
            <w:tcW w:w="638" w:type="pct"/>
            <w:vAlign w:val="center"/>
          </w:tcPr>
          <w:p>
            <w:pPr>
              <w:ind w:firstLine="0" w:firstLineChars="0"/>
              <w:jc w:val="center"/>
              <w:rPr>
                <w:rFonts w:ascii="宋体" w:hAnsi="宋体" w:cs="宋体"/>
              </w:rP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12</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rPr>
                <w:rFonts w:ascii="宋体" w:hAnsi="宋体" w:cs="宋体"/>
                <w:color w:val="FF0000"/>
              </w:rPr>
            </w:pPr>
            <w:r>
              <w:rPr>
                <w:rFonts w:hint="eastAsia" w:ascii="宋体" w:hAnsi="宋体" w:cs="宋体"/>
              </w:rPr>
              <w:t>项目负责人（提供</w:t>
            </w:r>
            <w:r>
              <w:rPr>
                <w:rFonts w:hint="eastAsia"/>
                <w:lang w:val="zh-CN"/>
              </w:rPr>
              <w:t>项目负责人</w:t>
            </w:r>
            <w:r>
              <w:rPr>
                <w:rFonts w:hint="eastAsia"/>
              </w:rPr>
              <w:t>最近</w:t>
            </w:r>
            <w:r>
              <w:rPr>
                <w:rFonts w:hint="eastAsia"/>
                <w:lang w:val="zh-CN"/>
              </w:rPr>
              <w:t>三</w:t>
            </w:r>
            <w:r>
              <w:rPr>
                <w:rFonts w:hint="eastAsia"/>
                <w:kern w:val="0"/>
                <w:lang w:val="zh-CN"/>
              </w:rPr>
              <w:t>个月内任意一个月的社保缴纳证明，否则不得分</w:t>
            </w:r>
            <w:r>
              <w:rPr>
                <w:rFonts w:hint="eastAsia" w:ascii="宋体" w:hAnsi="宋体" w:cs="宋体"/>
              </w:rPr>
              <w:t>）</w:t>
            </w:r>
          </w:p>
          <w:p>
            <w:pPr>
              <w:numPr>
                <w:ilvl w:val="0"/>
                <w:numId w:val="5"/>
              </w:numPr>
              <w:ind w:firstLine="0" w:firstLineChars="0"/>
              <w:rPr>
                <w:rFonts w:ascii="宋体" w:hAnsi="宋体" w:cs="宋体"/>
              </w:rPr>
            </w:pPr>
            <w:r>
              <w:rPr>
                <w:rFonts w:hint="eastAsia" w:cs="宋体"/>
                <w:caps/>
                <w:color w:val="000000"/>
                <w:kern w:val="0"/>
              </w:rPr>
              <w:t>项目负责人具</w:t>
            </w:r>
            <w:r>
              <w:rPr>
                <w:rFonts w:hint="eastAsia" w:cs="宋体"/>
                <w:caps/>
                <w:kern w:val="0"/>
              </w:rPr>
              <w:t>有相关专业高级技术职称的得2分，具有相关专业中级</w:t>
            </w:r>
            <w:r>
              <w:rPr>
                <w:rFonts w:hint="eastAsia" w:cs="宋体"/>
                <w:caps/>
                <w:color w:val="000000"/>
                <w:kern w:val="0"/>
              </w:rPr>
              <w:t>技术职称的得1分，提供职称证明，否则不得分。（0-2分）</w:t>
            </w:r>
          </w:p>
          <w:p>
            <w:pPr>
              <w:numPr>
                <w:ilvl w:val="0"/>
                <w:numId w:val="5"/>
              </w:numPr>
              <w:ind w:firstLine="0" w:firstLineChars="0"/>
              <w:rPr>
                <w:kern w:val="0"/>
              </w:rPr>
            </w:pPr>
            <w:r>
              <w:rPr>
                <w:rFonts w:hint="eastAsia" w:cs="宋体"/>
                <w:caps/>
                <w:color w:val="000000"/>
                <w:kern w:val="0"/>
              </w:rPr>
              <w:t>项目负责人自</w:t>
            </w:r>
            <w:r>
              <w:rPr>
                <w:rFonts w:cs="宋体"/>
                <w:caps/>
                <w:color w:val="000000"/>
                <w:kern w:val="0"/>
              </w:rPr>
              <w:t>2021年</w:t>
            </w:r>
            <w:r>
              <w:rPr>
                <w:rFonts w:hint="eastAsia" w:cs="宋体"/>
                <w:caps/>
                <w:color w:val="000000"/>
                <w:kern w:val="0"/>
              </w:rPr>
              <w:t>6</w:t>
            </w:r>
            <w:r>
              <w:rPr>
                <w:rFonts w:cs="宋体"/>
                <w:caps/>
                <w:color w:val="000000"/>
                <w:kern w:val="0"/>
              </w:rPr>
              <w:t>月份以来</w:t>
            </w:r>
            <w:r>
              <w:rPr>
                <w:rFonts w:hint="eastAsia" w:cs="宋体"/>
                <w:caps/>
                <w:color w:val="000000"/>
                <w:kern w:val="0"/>
              </w:rPr>
              <w:t>承接过的同类项目业绩，每个业绩得1分，最高得2分，业绩必须提供相应的证明文件（证明文件要求能体现评审要素，提供合同复印件（时间以合同签订时间为准）或用户单位证明（证明中需体现业绩承接时间）），否则不得分。（0-2分）</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13</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rPr>
                <w:rFonts w:ascii="宋体" w:hAnsi="宋体" w:cs="宋体"/>
              </w:rPr>
            </w:pPr>
            <w:r>
              <w:rPr>
                <w:rFonts w:hint="eastAsia" w:ascii="宋体" w:hAnsi="宋体" w:cs="宋体"/>
              </w:rPr>
              <w:t>拟投入本项目项目组成员（除项目负责人）配置情况（提供项目组成员</w:t>
            </w:r>
            <w:r>
              <w:rPr>
                <w:rFonts w:hint="eastAsia"/>
                <w:lang w:val="zh-CN"/>
              </w:rPr>
              <w:t>近三</w:t>
            </w:r>
            <w:r>
              <w:rPr>
                <w:rFonts w:hint="eastAsia"/>
                <w:kern w:val="0"/>
                <w:lang w:val="zh-CN"/>
              </w:rPr>
              <w:t>个月内任意一个月的社保缴纳证明，否则此项不得分</w:t>
            </w:r>
            <w:r>
              <w:rPr>
                <w:rFonts w:hint="eastAsia" w:ascii="宋体" w:hAnsi="宋体" w:cs="宋体"/>
              </w:rPr>
              <w:t>）</w:t>
            </w:r>
          </w:p>
          <w:p>
            <w:pPr>
              <w:ind w:firstLine="0" w:firstLineChars="0"/>
            </w:pPr>
            <w:r>
              <w:rPr>
                <w:rFonts w:hint="eastAsia" w:ascii="宋体" w:hAnsi="宋体" w:cs="宋体"/>
                <w:lang w:val="en-US" w:eastAsia="zh-CN"/>
              </w:rPr>
              <w:t>1、</w:t>
            </w:r>
            <w:r>
              <w:rPr>
                <w:rFonts w:hint="eastAsia" w:ascii="宋体" w:hAnsi="宋体" w:cs="宋体"/>
              </w:rPr>
              <w:t>拟投入本项目组织管理架构</w:t>
            </w:r>
            <w:r>
              <w:rPr>
                <w:rFonts w:hint="eastAsia"/>
              </w:rPr>
              <w:t>（0-2分）（评分范围：2,1,0.5,0）</w:t>
            </w:r>
          </w:p>
          <w:p>
            <w:pPr>
              <w:ind w:firstLine="0" w:firstLineChars="0"/>
              <w:rPr>
                <w:kern w:val="0"/>
              </w:rPr>
            </w:pPr>
            <w:r>
              <w:rPr>
                <w:rFonts w:hint="eastAsia"/>
                <w:lang w:val="en-US" w:eastAsia="zh-CN"/>
              </w:rPr>
              <w:t>2、</w:t>
            </w:r>
            <w:bookmarkStart w:id="487" w:name="_GoBack"/>
            <w:bookmarkEnd w:id="487"/>
            <w:r>
              <w:rPr>
                <w:rFonts w:hint="eastAsia" w:ascii="宋体" w:hAnsi="宋体" w:cs="宋体"/>
              </w:rPr>
              <w:t>拟投入本项目项目组人员分工</w:t>
            </w:r>
            <w:r>
              <w:rPr>
                <w:rFonts w:hint="eastAsia"/>
              </w:rPr>
              <w:t>（0-3分）（评分范围：3,2,1,0）</w:t>
            </w:r>
          </w:p>
        </w:tc>
        <w:tc>
          <w:tcPr>
            <w:tcW w:w="624" w:type="pct"/>
            <w:vAlign w:val="center"/>
          </w:tcPr>
          <w:p>
            <w:pPr>
              <w:ind w:firstLine="0" w:firstLineChars="0"/>
              <w:jc w:val="center"/>
            </w:pPr>
            <w:r>
              <w:rPr>
                <w:rFonts w:hint="eastAsia"/>
              </w:rPr>
              <w:t>0-5</w:t>
            </w:r>
          </w:p>
        </w:tc>
        <w:tc>
          <w:tcPr>
            <w:tcW w:w="638" w:type="pct"/>
            <w:vAlign w:val="center"/>
          </w:tcPr>
          <w:p>
            <w:pPr>
              <w:pStyle w:val="518"/>
              <w:ind w:firstLine="0" w:firstLineChars="0"/>
              <w:jc w:val="center"/>
              <w:rPr>
                <w:rFonts w:ascii="Times New Roman" w:hAnsi="Times New Roman" w:cs="Times New Roman"/>
              </w:rPr>
            </w:pPr>
            <w:r>
              <w:rPr>
                <w:rFonts w:hint="eastAsia" w:ascii="Times New Roman" w:hAnsi="Times New Roman" w:cs="Times New Roman"/>
              </w:rPr>
              <w:t>主观分</w:t>
            </w:r>
          </w:p>
        </w:tc>
      </w:tr>
    </w:tbl>
    <w:p>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pPr>
      <w:r>
        <w:rPr>
          <w:rFonts w:hint="eastAsia" w:ascii="宋体" w:hAnsi="宋体" w:cs="仿宋_GB2312"/>
        </w:rPr>
        <w:t>（2）投标人评审综合得分=商务分+技术分+报价分</w:t>
      </w:r>
    </w:p>
    <w:p>
      <w:pPr>
        <w:pStyle w:val="5"/>
      </w:pPr>
      <w:bookmarkStart w:id="427" w:name="_Toc24517"/>
      <w:bookmarkStart w:id="428" w:name="_Toc12882"/>
      <w:r>
        <w:rPr>
          <w:rFonts w:hint="eastAsia"/>
        </w:rPr>
        <w:t>三、评标程序</w:t>
      </w:r>
      <w:bookmarkEnd w:id="427"/>
      <w:bookmarkEnd w:id="428"/>
    </w:p>
    <w:p>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ascii="宋体" w:hAnsi="宋体" w:cs="宋体"/>
          <w:b/>
          <w:kern w:val="0"/>
        </w:rPr>
      </w:pPr>
      <w:r>
        <w:rPr>
          <w:rFonts w:hint="eastAsia" w:ascii="宋体" w:hAnsi="宋体" w:cs="宋体"/>
          <w:b/>
          <w:kern w:val="0"/>
        </w:rPr>
        <w:t>3.4报价评审。</w:t>
      </w:r>
    </w:p>
    <w:p>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pPr>
      <w:bookmarkStart w:id="429" w:name="_Toc22719"/>
      <w:bookmarkStart w:id="430" w:name="_Toc21677"/>
      <w:r>
        <w:rPr>
          <w:rFonts w:hint="eastAsia"/>
        </w:rPr>
        <w:t>四、评标中的其他事项</w:t>
      </w:r>
      <w:bookmarkEnd w:id="429"/>
      <w:bookmarkEnd w:id="430"/>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ascii="宋体" w:hAnsi="宋体"/>
        </w:rPr>
      </w:pPr>
      <w:r>
        <w:rPr>
          <w:rFonts w:hint="eastAsia" w:ascii="宋体" w:hAnsi="宋体"/>
        </w:rPr>
        <w:t>（3）提供的有效的资格证明材料或材料不全的，或者不具备招标文件中规定的资格要求的；</w:t>
      </w:r>
    </w:p>
    <w:p>
      <w:pPr>
        <w:snapToGrid/>
        <w:ind w:firstLine="480"/>
        <w:rPr>
          <w:rFonts w:ascii="宋体" w:hAnsi="宋体" w:cs="宋体"/>
        </w:rPr>
      </w:pPr>
      <w:r>
        <w:rPr>
          <w:rFonts w:hint="eastAsia" w:ascii="宋体" w:hAnsi="宋体"/>
        </w:rPr>
        <w:t>（4）如以联合体形式参加政府采购活动的，未提供联合协议的。</w:t>
      </w:r>
    </w:p>
    <w:p>
      <w:pPr>
        <w:snapToGrid/>
        <w:rPr>
          <w:rFonts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ascii="宋体" w:hAnsi="宋体" w:cs="仿宋_GB2312"/>
          <w:szCs w:val="21"/>
        </w:rPr>
      </w:pPr>
      <w:r>
        <w:rPr>
          <w:rFonts w:hint="eastAsia" w:ascii="宋体" w:hAnsi="宋体" w:cs="仿宋_GB2312"/>
          <w:szCs w:val="21"/>
        </w:rPr>
        <w:t>（1）投标文件未按招标文件要求签署、盖章的；</w:t>
      </w:r>
    </w:p>
    <w:p>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ascii="宋体" w:hAnsi="宋体" w:cs="仿宋_GB2312"/>
          <w:szCs w:val="21"/>
        </w:rPr>
      </w:pPr>
      <w:r>
        <w:rPr>
          <w:rFonts w:hint="eastAsia" w:ascii="宋体" w:hAnsi="宋体" w:cs="仿宋_GB2312"/>
          <w:szCs w:val="21"/>
        </w:rPr>
        <w:t>（6）投标文件含有采购人不能接受的附加条件的；</w:t>
      </w:r>
    </w:p>
    <w:p>
      <w:pPr>
        <w:snapToGrid/>
        <w:ind w:firstLine="480"/>
        <w:rPr>
          <w:rFonts w:ascii="宋体" w:hAnsi="宋体" w:cs="仿宋_GB2312"/>
          <w:szCs w:val="21"/>
        </w:rPr>
      </w:pPr>
      <w:r>
        <w:rPr>
          <w:rFonts w:hint="eastAsia" w:ascii="宋体" w:hAnsi="宋体" w:cs="仿宋_GB2312"/>
          <w:szCs w:val="21"/>
        </w:rPr>
        <w:t>（7）供应商存在串通行为或虚假响应的；</w:t>
      </w:r>
    </w:p>
    <w:p>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napToGrid/>
        <w:rPr>
          <w:rFonts w:ascii="宋体" w:hAnsi="宋体" w:cs="宋体"/>
          <w:b/>
        </w:rPr>
      </w:pPr>
      <w:r>
        <w:rPr>
          <w:rFonts w:hint="eastAsia" w:ascii="宋体" w:hAnsi="宋体" w:cs="宋体"/>
          <w:b/>
        </w:rPr>
        <w:t>4.2.3在报价评审时，如发现下列情形之一的，投标文件将被视为无效：</w:t>
      </w:r>
    </w:p>
    <w:p>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kern w:val="0"/>
          <w:highlight w:val="yellow"/>
        </w:rPr>
      </w:pPr>
      <w:r>
        <w:rPr>
          <w:rFonts w:hint="eastAsia" w:ascii="宋体" w:hAnsi="宋体"/>
        </w:rPr>
        <w:t>（6）法律、法规和招标文件规定的其他无效情形。</w:t>
      </w:r>
    </w:p>
    <w:p>
      <w:pPr>
        <w:pStyle w:val="27"/>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pacing w:line="360" w:lineRule="auto"/>
        <w:rPr>
          <w:rFonts w:cs="宋体"/>
        </w:rPr>
      </w:pPr>
      <w:r>
        <w:rPr>
          <w:rFonts w:hint="eastAsia" w:cs="宋体"/>
        </w:rPr>
        <w:t>5.1符合专业条件的供应商或者对招标文件作实质响应的供应商不足3家的；</w:t>
      </w:r>
    </w:p>
    <w:p>
      <w:pPr>
        <w:pStyle w:val="27"/>
        <w:spacing w:line="360" w:lineRule="auto"/>
        <w:rPr>
          <w:rFonts w:cs="宋体"/>
        </w:rPr>
      </w:pPr>
      <w:r>
        <w:rPr>
          <w:rFonts w:hint="eastAsia" w:cs="宋体"/>
        </w:rPr>
        <w:t>5.2出现影响采购公正的违法、违规行为的；</w:t>
      </w:r>
    </w:p>
    <w:p>
      <w:pPr>
        <w:pStyle w:val="27"/>
        <w:spacing w:line="360" w:lineRule="auto"/>
        <w:rPr>
          <w:rFonts w:cs="宋体"/>
        </w:rPr>
      </w:pPr>
      <w:r>
        <w:rPr>
          <w:rFonts w:hint="eastAsia" w:cs="宋体"/>
        </w:rPr>
        <w:t>5.3投标人的报价均超过了采购预算，采购人不能支付的；</w:t>
      </w:r>
    </w:p>
    <w:p>
      <w:pPr>
        <w:pStyle w:val="27"/>
        <w:spacing w:line="360" w:lineRule="auto"/>
        <w:rPr>
          <w:rFonts w:cs="宋体"/>
        </w:rPr>
      </w:pPr>
      <w:r>
        <w:rPr>
          <w:rFonts w:hint="eastAsia" w:cs="宋体"/>
        </w:rPr>
        <w:t>5.4因重大变故，采购任务取消的。</w:t>
      </w:r>
    </w:p>
    <w:p>
      <w:pPr>
        <w:pStyle w:val="27"/>
        <w:spacing w:line="360" w:lineRule="auto"/>
        <w:rPr>
          <w:rFonts w:cs="宋体"/>
        </w:rPr>
      </w:pPr>
      <w:r>
        <w:rPr>
          <w:rFonts w:hint="eastAsia" w:cs="宋体"/>
        </w:rPr>
        <w:t>废标后，采购代理机构应当将废标理由通知所有投标人。</w:t>
      </w:r>
    </w:p>
    <w:p>
      <w:pPr>
        <w:pStyle w:val="27"/>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pacing w:line="360" w:lineRule="auto"/>
        <w:rPr>
          <w:rFonts w:cs="宋体"/>
        </w:rPr>
      </w:pPr>
      <w:r>
        <w:rPr>
          <w:rFonts w:hint="eastAsia" w:cs="宋体"/>
        </w:rPr>
        <w:t>7.1未确定中标供应商的，终止本次政府采购活动，重新开展政府采购活动。</w:t>
      </w:r>
    </w:p>
    <w:p>
      <w:pPr>
        <w:pStyle w:val="27"/>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pacing w:line="360" w:lineRule="auto"/>
        <w:rPr>
          <w:rFonts w:cs="宋体"/>
        </w:rPr>
      </w:pPr>
      <w:r>
        <w:rPr>
          <w:rFonts w:hint="eastAsia" w:cs="宋体"/>
        </w:rPr>
        <w:t>7.4政府采购合同已经履行，给采购人、供应商造成损失的，由责任人承担赔偿责任。</w:t>
      </w:r>
    </w:p>
    <w:p>
      <w:pPr>
        <w:pStyle w:val="27"/>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1" w:name="第五部分"/>
      <w:bookmarkStart w:id="432" w:name="_Toc86217003"/>
    </w:p>
    <w:p>
      <w:pPr>
        <w:ind w:firstLine="480"/>
      </w:pPr>
      <w:r>
        <w:rPr>
          <w:rFonts w:hint="eastAsia"/>
        </w:rPr>
        <w:t xml:space="preserve">    </w:t>
      </w:r>
    </w:p>
    <w:p>
      <w:pPr>
        <w:pStyle w:val="2"/>
        <w:sectPr>
          <w:pgSz w:w="11905" w:h="16838"/>
          <w:pgMar w:top="1440" w:right="1797" w:bottom="1440" w:left="1797" w:header="851" w:footer="992" w:gutter="0"/>
          <w:cols w:space="0" w:num="1"/>
          <w:titlePg/>
        </w:sectPr>
      </w:pPr>
    </w:p>
    <w:p>
      <w:pPr>
        <w:pStyle w:val="2"/>
      </w:pPr>
      <w:bookmarkStart w:id="433" w:name="_Toc8165"/>
      <w:bookmarkStart w:id="434" w:name="_Toc18817"/>
      <w:bookmarkStart w:id="435" w:name="_Toc25422"/>
      <w:r>
        <w:rPr>
          <w:rFonts w:hint="eastAsia"/>
        </w:rPr>
        <w:t>第五部分 拟签订的合同文本</w:t>
      </w:r>
      <w:bookmarkEnd w:id="433"/>
      <w:bookmarkEnd w:id="434"/>
      <w:bookmarkEnd w:id="435"/>
    </w:p>
    <w:p>
      <w:pPr>
        <w:jc w:val="center"/>
        <w:rPr>
          <w:rFonts w:ascii="宋体" w:hAnsi="宋体"/>
          <w:bCs/>
        </w:rPr>
      </w:pPr>
      <w:r>
        <w:rPr>
          <w:rFonts w:hint="eastAsia" w:ascii="宋体" w:hAnsi="宋体"/>
          <w:b/>
        </w:rPr>
        <w:t>（仅供参考）</w:t>
      </w:r>
    </w:p>
    <w:p>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5"/>
        <w:spacing w:before="120" w:after="120"/>
        <w:ind w:right="600" w:firstLine="480"/>
        <w:jc w:val="center"/>
        <w:rPr>
          <w:rFonts w:hAnsi="宋体"/>
        </w:rPr>
      </w:pPr>
      <w:r>
        <w:rPr>
          <w:rFonts w:hint="eastAsia" w:hAnsi="宋体"/>
        </w:rPr>
        <w:t xml:space="preserve">                                  </w:t>
      </w:r>
    </w:p>
    <w:p>
      <w:pPr>
        <w:ind w:firstLine="602"/>
        <w:jc w:val="center"/>
        <w:rPr>
          <w:rFonts w:ascii="仿宋" w:hAnsi="仿宋" w:eastAsia="仿宋"/>
          <w:b/>
          <w:bCs/>
          <w:sz w:val="30"/>
          <w:szCs w:val="30"/>
        </w:rPr>
      </w:pPr>
      <w:bookmarkStart w:id="436" w:name="_Toc26124"/>
      <w:bookmarkStart w:id="437" w:name="_Toc16158"/>
      <w:r>
        <w:rPr>
          <w:rFonts w:hint="eastAsia" w:ascii="仿宋" w:hAnsi="仿宋" w:eastAsia="仿宋"/>
          <w:b/>
          <w:bCs/>
          <w:sz w:val="30"/>
          <w:szCs w:val="30"/>
        </w:rPr>
        <w:t>浙江省福利彩票管理中心采购合同</w:t>
      </w:r>
    </w:p>
    <w:p>
      <w:pPr>
        <w:ind w:firstLine="0" w:firstLineChars="0"/>
        <w:rPr>
          <w:szCs w:val="32"/>
        </w:rPr>
      </w:pPr>
      <w:r>
        <w:rPr>
          <w:rFonts w:hint="eastAsia" w:ascii="仿宋" w:hAnsi="仿宋" w:eastAsia="仿宋"/>
          <w:sz w:val="30"/>
          <w:szCs w:val="30"/>
        </w:rPr>
        <w:t xml:space="preserve">                         </w:t>
      </w:r>
      <w:r>
        <w:rPr>
          <w:rFonts w:hint="eastAsia"/>
          <w:szCs w:val="32"/>
        </w:rPr>
        <w:t xml:space="preserve">    </w:t>
      </w:r>
    </w:p>
    <w:p>
      <w:pPr>
        <w:ind w:firstLine="0" w:firstLineChars="0"/>
        <w:rPr>
          <w:rFonts w:ascii="宋体" w:hAnsi="宋体" w:cs="宋体"/>
          <w:b/>
          <w:bCs/>
          <w:spacing w:val="-6"/>
        </w:rPr>
      </w:pPr>
      <w:r>
        <w:rPr>
          <w:rFonts w:hint="eastAsia" w:ascii="宋体" w:hAnsi="宋体" w:cs="宋体"/>
          <w:b/>
          <w:bCs/>
          <w:spacing w:val="-6"/>
        </w:rPr>
        <w:t>项目名称：机房动力环境维保服务项目</w:t>
      </w:r>
    </w:p>
    <w:p>
      <w:pPr>
        <w:ind w:firstLine="0" w:firstLineChars="0"/>
        <w:rPr>
          <w:rFonts w:ascii="宋体" w:hAnsi="宋体" w:cs="宋体"/>
          <w:b/>
          <w:bCs/>
          <w:spacing w:val="-6"/>
        </w:rPr>
      </w:pPr>
      <w:r>
        <w:rPr>
          <w:rFonts w:hint="eastAsia" w:ascii="宋体" w:hAnsi="宋体" w:cs="宋体"/>
          <w:b/>
          <w:bCs/>
          <w:spacing w:val="-6"/>
        </w:rPr>
        <w:t>项目编号：ZJXL-FCZX-202410</w:t>
      </w:r>
    </w:p>
    <w:p>
      <w:pPr>
        <w:ind w:firstLine="0" w:firstLineChars="0"/>
        <w:rPr>
          <w:rFonts w:ascii="宋体" w:hAnsi="宋体" w:cs="宋体"/>
          <w:b/>
          <w:bCs/>
          <w:spacing w:val="-6"/>
        </w:rPr>
      </w:pPr>
      <w:r>
        <w:rPr>
          <w:rFonts w:hint="eastAsia" w:ascii="宋体" w:hAnsi="宋体" w:cs="宋体"/>
          <w:b/>
          <w:bCs/>
          <w:spacing w:val="-6"/>
        </w:rPr>
        <w:t>采购计划书：</w:t>
      </w:r>
    </w:p>
    <w:p>
      <w:pPr>
        <w:ind w:firstLine="0" w:firstLineChars="0"/>
        <w:rPr>
          <w:rFonts w:ascii="宋体" w:hAnsi="宋体" w:cs="宋体"/>
          <w:b/>
          <w:bCs/>
          <w:spacing w:val="-6"/>
        </w:rPr>
      </w:pPr>
      <w:r>
        <w:rPr>
          <w:rFonts w:hint="eastAsia" w:ascii="宋体" w:hAnsi="宋体" w:cs="宋体"/>
          <w:b/>
          <w:bCs/>
          <w:spacing w:val="-6"/>
        </w:rPr>
        <w:t>甲方（需方）：浙江省福利彩票管理中心</w:t>
      </w:r>
    </w:p>
    <w:p>
      <w:pPr>
        <w:ind w:firstLine="0" w:firstLineChars="0"/>
        <w:rPr>
          <w:rFonts w:ascii="宋体" w:hAnsi="宋体" w:cs="宋体"/>
          <w:b/>
          <w:bCs/>
          <w:spacing w:val="-6"/>
        </w:rPr>
      </w:pPr>
      <w:r>
        <w:rPr>
          <w:rFonts w:hint="eastAsia" w:ascii="宋体" w:hAnsi="宋体" w:cs="宋体"/>
          <w:b/>
          <w:bCs/>
          <w:spacing w:val="-6"/>
        </w:rPr>
        <w:t>乙方（供方）：</w:t>
      </w:r>
    </w:p>
    <w:p>
      <w:pPr>
        <w:ind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ind w:firstLine="0" w:firstLineChars="0"/>
        <w:rPr>
          <w:rFonts w:ascii="宋体" w:hAnsi="宋体" w:cs="宋体"/>
          <w:b/>
          <w:bCs/>
          <w:spacing w:val="-6"/>
        </w:rPr>
      </w:pPr>
      <w:r>
        <w:rPr>
          <w:rFonts w:hint="eastAsia" w:ascii="宋体" w:hAnsi="宋体" w:cs="宋体"/>
          <w:b/>
          <w:bCs/>
          <w:spacing w:val="-6"/>
        </w:rPr>
        <w:t>签约时间、地点：2024年    月    日，杭州市余杭区</w:t>
      </w:r>
    </w:p>
    <w:p>
      <w:pPr>
        <w:ind w:firstLine="458"/>
        <w:rPr>
          <w:rFonts w:ascii="宋体" w:hAnsi="宋体" w:cs="宋体"/>
          <w:b/>
          <w:bCs/>
          <w:spacing w:val="-6"/>
        </w:rPr>
      </w:pPr>
    </w:p>
    <w:p>
      <w:pPr>
        <w:ind w:firstLine="456"/>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ind w:right="26" w:rightChars="11" w:firstLine="456"/>
        <w:rPr>
          <w:rFonts w:ascii="宋体" w:hAnsi="宋体" w:cs="宋体"/>
          <w:spacing w:val="-6"/>
        </w:rPr>
      </w:pPr>
    </w:p>
    <w:p>
      <w:pPr>
        <w:ind w:firstLine="458"/>
        <w:rPr>
          <w:rFonts w:ascii="宋体" w:hAnsi="宋体" w:cs="宋体"/>
          <w:b/>
          <w:spacing w:val="-6"/>
        </w:rPr>
      </w:pPr>
      <w:r>
        <w:rPr>
          <w:rFonts w:hint="eastAsia" w:ascii="宋体" w:hAnsi="宋体" w:cs="宋体"/>
          <w:b/>
          <w:spacing w:val="-6"/>
        </w:rPr>
        <w:t>第一条：采购服务清单及合同价格</w:t>
      </w:r>
    </w:p>
    <w:tbl>
      <w:tblPr>
        <w:tblStyle w:val="63"/>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序号</w:t>
            </w:r>
          </w:p>
        </w:tc>
        <w:tc>
          <w:tcPr>
            <w:tcW w:w="2163"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名称</w:t>
            </w:r>
          </w:p>
        </w:tc>
        <w:tc>
          <w:tcPr>
            <w:tcW w:w="2027"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描述</w:t>
            </w:r>
          </w:p>
        </w:tc>
        <w:tc>
          <w:tcPr>
            <w:tcW w:w="70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数量</w:t>
            </w:r>
          </w:p>
        </w:tc>
        <w:tc>
          <w:tcPr>
            <w:tcW w:w="708"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单位</w:t>
            </w:r>
          </w:p>
        </w:tc>
        <w:tc>
          <w:tcPr>
            <w:tcW w:w="1418"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单价（元）</w:t>
            </w:r>
          </w:p>
        </w:tc>
        <w:tc>
          <w:tcPr>
            <w:tcW w:w="1300"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1</w:t>
            </w:r>
          </w:p>
        </w:tc>
        <w:tc>
          <w:tcPr>
            <w:tcW w:w="2163" w:type="dxa"/>
            <w:vAlign w:val="center"/>
          </w:tcPr>
          <w:p>
            <w:pPr>
              <w:ind w:firstLine="0" w:firstLineChars="0"/>
              <w:jc w:val="center"/>
              <w:rPr>
                <w:rFonts w:ascii="宋体" w:hAnsi="宋体" w:cs="宋体"/>
                <w:spacing w:val="-6"/>
                <w:lang w:val="zh-CN"/>
              </w:rPr>
            </w:pPr>
          </w:p>
        </w:tc>
        <w:tc>
          <w:tcPr>
            <w:tcW w:w="2027" w:type="dxa"/>
            <w:vAlign w:val="center"/>
          </w:tcPr>
          <w:p>
            <w:pPr>
              <w:ind w:firstLine="0" w:firstLineChars="0"/>
              <w:jc w:val="center"/>
              <w:rPr>
                <w:rFonts w:ascii="宋体" w:hAnsi="宋体" w:cs="宋体"/>
                <w:spacing w:val="-6"/>
                <w:lang w:val="zh-CN"/>
              </w:rPr>
            </w:pPr>
          </w:p>
        </w:tc>
        <w:tc>
          <w:tcPr>
            <w:tcW w:w="709" w:type="dxa"/>
            <w:vAlign w:val="center"/>
          </w:tcPr>
          <w:p>
            <w:pPr>
              <w:ind w:firstLine="0" w:firstLineChars="0"/>
              <w:jc w:val="center"/>
              <w:rPr>
                <w:rFonts w:ascii="宋体" w:hAnsi="宋体" w:cs="宋体"/>
                <w:spacing w:val="-6"/>
                <w:lang w:val="zh-CN"/>
              </w:rPr>
            </w:pPr>
          </w:p>
        </w:tc>
        <w:tc>
          <w:tcPr>
            <w:tcW w:w="708" w:type="dxa"/>
            <w:vAlign w:val="center"/>
          </w:tcPr>
          <w:p>
            <w:pPr>
              <w:ind w:firstLine="0" w:firstLineChars="0"/>
              <w:jc w:val="center"/>
              <w:rPr>
                <w:rFonts w:ascii="宋体" w:hAnsi="宋体" w:cs="宋体"/>
                <w:spacing w:val="-6"/>
                <w:lang w:val="zh-CN"/>
              </w:rPr>
            </w:pPr>
          </w:p>
        </w:tc>
        <w:tc>
          <w:tcPr>
            <w:tcW w:w="1418" w:type="dxa"/>
            <w:vAlign w:val="center"/>
          </w:tcPr>
          <w:p>
            <w:pPr>
              <w:ind w:firstLine="0" w:firstLineChars="0"/>
              <w:jc w:val="center"/>
              <w:rPr>
                <w:rFonts w:ascii="宋体" w:hAnsi="宋体" w:cs="宋体"/>
                <w:spacing w:val="-6"/>
                <w:lang w:val="zh-CN"/>
              </w:rPr>
            </w:pPr>
          </w:p>
        </w:tc>
        <w:tc>
          <w:tcPr>
            <w:tcW w:w="1300" w:type="dxa"/>
            <w:vAlign w:val="center"/>
          </w:tcPr>
          <w:p>
            <w:pPr>
              <w:ind w:firstLine="0" w:firstLineChars="0"/>
              <w:jc w:val="center"/>
              <w:rPr>
                <w:rFonts w:ascii="宋体" w:hAnsi="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2</w:t>
            </w:r>
          </w:p>
        </w:tc>
        <w:tc>
          <w:tcPr>
            <w:tcW w:w="2163" w:type="dxa"/>
            <w:vAlign w:val="center"/>
          </w:tcPr>
          <w:p>
            <w:pPr>
              <w:ind w:firstLine="0" w:firstLineChars="0"/>
              <w:jc w:val="center"/>
              <w:rPr>
                <w:rFonts w:ascii="宋体" w:hAnsi="宋体" w:cs="宋体"/>
                <w:spacing w:val="-6"/>
                <w:lang w:val="zh-CN"/>
              </w:rPr>
            </w:pPr>
          </w:p>
        </w:tc>
        <w:tc>
          <w:tcPr>
            <w:tcW w:w="2027" w:type="dxa"/>
            <w:vAlign w:val="center"/>
          </w:tcPr>
          <w:p>
            <w:pPr>
              <w:ind w:firstLine="0" w:firstLineChars="0"/>
              <w:jc w:val="center"/>
              <w:rPr>
                <w:rFonts w:ascii="宋体" w:hAnsi="宋体" w:cs="宋体"/>
                <w:spacing w:val="-6"/>
                <w:lang w:val="zh-CN"/>
              </w:rPr>
            </w:pPr>
          </w:p>
        </w:tc>
        <w:tc>
          <w:tcPr>
            <w:tcW w:w="709" w:type="dxa"/>
            <w:vAlign w:val="center"/>
          </w:tcPr>
          <w:p>
            <w:pPr>
              <w:ind w:firstLine="0" w:firstLineChars="0"/>
              <w:jc w:val="center"/>
              <w:rPr>
                <w:rFonts w:ascii="宋体" w:hAnsi="宋体" w:cs="宋体"/>
                <w:spacing w:val="-6"/>
                <w:lang w:val="zh-CN"/>
              </w:rPr>
            </w:pPr>
          </w:p>
        </w:tc>
        <w:tc>
          <w:tcPr>
            <w:tcW w:w="708" w:type="dxa"/>
            <w:vAlign w:val="center"/>
          </w:tcPr>
          <w:p>
            <w:pPr>
              <w:ind w:firstLine="0" w:firstLineChars="0"/>
              <w:jc w:val="center"/>
              <w:rPr>
                <w:rFonts w:ascii="宋体" w:hAnsi="宋体" w:cs="宋体"/>
                <w:spacing w:val="-6"/>
                <w:lang w:val="zh-CN"/>
              </w:rPr>
            </w:pPr>
          </w:p>
        </w:tc>
        <w:tc>
          <w:tcPr>
            <w:tcW w:w="1418" w:type="dxa"/>
            <w:vAlign w:val="center"/>
          </w:tcPr>
          <w:p>
            <w:pPr>
              <w:ind w:firstLine="0" w:firstLineChars="0"/>
              <w:jc w:val="center"/>
              <w:rPr>
                <w:rFonts w:ascii="宋体" w:hAnsi="宋体" w:cs="宋体"/>
                <w:spacing w:val="-6"/>
                <w:lang w:val="zh-CN"/>
              </w:rPr>
            </w:pPr>
          </w:p>
        </w:tc>
        <w:tc>
          <w:tcPr>
            <w:tcW w:w="1300" w:type="dxa"/>
            <w:vAlign w:val="center"/>
          </w:tcPr>
          <w:p>
            <w:pPr>
              <w:ind w:firstLine="0" w:firstLineChars="0"/>
              <w:jc w:val="center"/>
              <w:rPr>
                <w:rFonts w:ascii="宋体" w:hAnsi="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spacing w:val="-6"/>
                <w:lang w:val="zh-CN"/>
              </w:rPr>
            </w:pPr>
            <w:r>
              <w:rPr>
                <w:rFonts w:hint="eastAsia" w:ascii="宋体" w:hAnsi="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spacing w:val="-6"/>
                <w:lang w:val="zh-CN"/>
              </w:rPr>
            </w:pPr>
            <w:r>
              <w:rPr>
                <w:rFonts w:hint="eastAsia" w:ascii="宋体" w:hAnsi="宋体" w:cs="宋体"/>
                <w:spacing w:val="-6"/>
                <w:lang w:val="zh-CN"/>
              </w:rPr>
              <w:t>合同总价（大写，人民币元）：</w:t>
            </w:r>
          </w:p>
          <w:p>
            <w:pPr>
              <w:ind w:firstLine="0" w:firstLineChars="0"/>
              <w:jc w:val="left"/>
              <w:rPr>
                <w:rFonts w:ascii="宋体" w:hAnsi="宋体" w:cs="宋体"/>
                <w:spacing w:val="-6"/>
                <w:lang w:val="zh-CN"/>
              </w:rPr>
            </w:pPr>
            <w:r>
              <w:rPr>
                <w:rFonts w:hint="eastAsia" w:ascii="宋体" w:hAnsi="宋体" w:cs="宋体"/>
                <w:spacing w:val="-6"/>
                <w:lang w:val="zh-CN"/>
              </w:rPr>
              <w:t>注：</w:t>
            </w:r>
          </w:p>
          <w:p>
            <w:pPr>
              <w:ind w:firstLine="0" w:firstLineChars="0"/>
              <w:jc w:val="left"/>
              <w:rPr>
                <w:rFonts w:ascii="宋体" w:hAnsi="宋体" w:cs="宋体"/>
                <w:spacing w:val="-6"/>
                <w:lang w:val="zh-CN"/>
              </w:rPr>
            </w:pPr>
            <w:r>
              <w:rPr>
                <w:rFonts w:hint="eastAsia" w:ascii="宋体" w:hAnsi="宋体" w:cs="宋体"/>
                <w:spacing w:val="-6"/>
              </w:rPr>
              <w:t>1、</w:t>
            </w:r>
            <w:r>
              <w:rPr>
                <w:rFonts w:hint="eastAsia" w:ascii="宋体" w:hAnsi="宋体" w:cs="宋体"/>
                <w:spacing w:val="-6"/>
                <w:lang w:val="zh-CN"/>
              </w:rPr>
              <w:t>以上合同总价包含履行本项目服务所需的一切费用，包括</w:t>
            </w:r>
            <w:r>
              <w:rPr>
                <w:rFonts w:hint="eastAsia" w:ascii="宋体" w:hAnsi="宋体" w:cs="宋体"/>
                <w:spacing w:val="-6"/>
              </w:rPr>
              <w:t>但不限于履行所有规定服务所产生的人工、物料、配件费以及</w:t>
            </w:r>
            <w:r>
              <w:rPr>
                <w:rFonts w:hint="eastAsia" w:ascii="宋体" w:hAnsi="宋体" w:cs="宋体"/>
                <w:spacing w:val="-6"/>
                <w:lang w:val="zh-CN"/>
              </w:rPr>
              <w:t>税费</w:t>
            </w:r>
            <w:r>
              <w:rPr>
                <w:rFonts w:hint="eastAsia" w:ascii="宋体" w:hAnsi="宋体" w:cs="宋体"/>
                <w:spacing w:val="-6"/>
                <w:lang w:val="zh-CN" w:eastAsia="zh-Hans"/>
              </w:rPr>
              <w:t>，合同价格不因国家税率调整而变动</w:t>
            </w:r>
            <w:r>
              <w:rPr>
                <w:rFonts w:hint="eastAsia" w:ascii="宋体" w:hAnsi="宋体" w:cs="宋体"/>
                <w:spacing w:val="-6"/>
                <w:lang w:val="zh-CN"/>
              </w:rPr>
              <w:t>。</w:t>
            </w:r>
          </w:p>
          <w:p>
            <w:pPr>
              <w:ind w:firstLine="0" w:firstLineChars="0"/>
              <w:jc w:val="left"/>
              <w:rPr>
                <w:rFonts w:ascii="宋体" w:hAnsi="宋体" w:cs="宋体"/>
                <w:spacing w:val="-6"/>
              </w:rPr>
            </w:pPr>
            <w:r>
              <w:rPr>
                <w:rFonts w:hint="eastAsia" w:ascii="宋体" w:hAnsi="宋体" w:cs="宋体"/>
                <w:spacing w:val="-6"/>
              </w:rPr>
              <w:t>2、未服务或未验收通过的项目不予结算费用。</w:t>
            </w:r>
          </w:p>
        </w:tc>
      </w:tr>
    </w:tbl>
    <w:p>
      <w:pPr>
        <w:ind w:firstLine="0" w:firstLineChars="0"/>
        <w:rPr>
          <w:rFonts w:ascii="宋体" w:hAnsi="宋体" w:cs="宋体"/>
          <w:b/>
          <w:spacing w:val="-6"/>
        </w:rPr>
      </w:pPr>
    </w:p>
    <w:p>
      <w:pPr>
        <w:ind w:firstLine="458"/>
        <w:rPr>
          <w:rFonts w:ascii="宋体" w:hAnsi="宋体" w:cs="宋体"/>
          <w:b/>
          <w:spacing w:val="-6"/>
        </w:rPr>
      </w:pPr>
      <w:r>
        <w:rPr>
          <w:rFonts w:hint="eastAsia" w:ascii="宋体" w:hAnsi="宋体" w:cs="宋体"/>
          <w:b/>
          <w:spacing w:val="-6"/>
        </w:rPr>
        <w:t>第二条：服务时间</w:t>
      </w:r>
    </w:p>
    <w:p>
      <w:pPr>
        <w:ind w:firstLine="480"/>
      </w:pPr>
      <w:r>
        <w:rPr>
          <w:rFonts w:hint="eastAsia" w:hAnsi="宋体"/>
        </w:rPr>
        <w:t>合同签订之日起</w:t>
      </w:r>
      <w:r>
        <w:rPr>
          <w:rFonts w:hAnsi="宋体"/>
        </w:rPr>
        <w:t>2</w:t>
      </w:r>
      <w:r>
        <w:rPr>
          <w:rFonts w:hint="eastAsia" w:hAnsi="宋体"/>
        </w:rPr>
        <w:t>年</w:t>
      </w:r>
      <w:r>
        <w:rPr>
          <w:rFonts w:hAnsi="宋体"/>
        </w:rPr>
        <w:t>。</w:t>
      </w:r>
    </w:p>
    <w:p>
      <w:pPr>
        <w:ind w:firstLine="458"/>
        <w:rPr>
          <w:rFonts w:ascii="宋体" w:hAnsi="宋体" w:cs="宋体"/>
          <w:b/>
          <w:spacing w:val="-6"/>
        </w:rPr>
      </w:pPr>
      <w:r>
        <w:rPr>
          <w:rFonts w:hint="eastAsia" w:ascii="宋体" w:hAnsi="宋体" w:cs="宋体"/>
          <w:b/>
          <w:spacing w:val="-6"/>
        </w:rPr>
        <w:t>第三条：付款方式</w:t>
      </w:r>
    </w:p>
    <w:p>
      <w:pPr>
        <w:pStyle w:val="261"/>
        <w:numPr>
          <w:ilvl w:val="255"/>
          <w:numId w:val="0"/>
        </w:numPr>
        <w:ind w:firstLine="480" w:firstLineChars="200"/>
        <w:rPr>
          <w:rFonts w:ascii="宋体" w:hAnsi="宋体" w:eastAsia="宋体" w:cs="Times New Roman"/>
          <w:szCs w:val="21"/>
        </w:rPr>
      </w:pPr>
      <w:r>
        <w:rPr>
          <w:rFonts w:hint="eastAsia" w:ascii="宋体" w:hAnsi="宋体"/>
          <w:szCs w:val="21"/>
        </w:rPr>
        <w:t>1、</w:t>
      </w:r>
      <w:r>
        <w:rPr>
          <w:rFonts w:hint="eastAsia" w:ascii="宋体" w:hAnsi="宋体" w:eastAsia="宋体" w:cs="Times New Roman"/>
          <w:szCs w:val="21"/>
        </w:rPr>
        <w:t>合同签定后甲方支付合同总金额20%，合同签订之日起满一年后经甲方初验合格后支付合同总金额40%，服务期满经甲方终验验收合格后支付合同总金额40%。</w:t>
      </w:r>
    </w:p>
    <w:p>
      <w:pPr>
        <w:numPr>
          <w:ilvl w:val="255"/>
          <w:numId w:val="0"/>
        </w:numPr>
        <w:ind w:firstLine="480" w:firstLineChars="200"/>
        <w:rPr>
          <w:rFonts w:ascii="宋体" w:hAnsi="宋体"/>
          <w:szCs w:val="21"/>
          <w:lang w:eastAsia="zh-Hans"/>
        </w:rPr>
      </w:pPr>
      <w:r>
        <w:rPr>
          <w:rFonts w:hint="eastAsia" w:ascii="宋体" w:hAnsi="宋体"/>
          <w:szCs w:val="21"/>
        </w:rPr>
        <w:t>以上付款时间是指甲方完成向财政部门申报支付手续的时间，财政部门审查及实际支付可能造成的时间延误不视为甲方违约。</w:t>
      </w:r>
    </w:p>
    <w:p>
      <w:pPr>
        <w:numPr>
          <w:ilvl w:val="255"/>
          <w:numId w:val="0"/>
        </w:numPr>
        <w:ind w:firstLine="480"/>
        <w:rPr>
          <w:rFonts w:ascii="宋体" w:hAnsi="宋体"/>
          <w:szCs w:val="21"/>
        </w:rPr>
      </w:pPr>
      <w:r>
        <w:rPr>
          <w:rFonts w:hint="eastAsia" w:ascii="宋体" w:hAnsi="宋体"/>
          <w:szCs w:val="21"/>
        </w:rPr>
        <w:t>2、</w:t>
      </w:r>
      <w:r>
        <w:rPr>
          <w:rFonts w:ascii="宋体" w:hAnsi="宋体"/>
          <w:szCs w:val="21"/>
        </w:rPr>
        <w:t xml:space="preserve">乙方确认收款账户信息为：户名：         ；账号：        ；开户行：        </w:t>
      </w:r>
    </w:p>
    <w:p>
      <w:pPr>
        <w:numPr>
          <w:ilvl w:val="255"/>
          <w:numId w:val="0"/>
        </w:numPr>
        <w:ind w:firstLine="480"/>
        <w:rPr>
          <w:rFonts w:ascii="宋体" w:hAnsi="宋体"/>
          <w:szCs w:val="21"/>
        </w:rPr>
      </w:pPr>
      <w:r>
        <w:rPr>
          <w:rFonts w:hint="eastAsia" w:ascii="宋体" w:hAnsi="宋体"/>
          <w:szCs w:val="21"/>
        </w:rPr>
        <w:t>3、甲方支付每笔款项前，乙方均应按照本条第1款约定向甲方开具真实、等额且税率为【】%的增值税专用发票，乙方逾期提供导致甲方未能按期付款的不视为甲方违约</w:t>
      </w:r>
      <w:r>
        <w:rPr>
          <w:rFonts w:ascii="宋体" w:hAnsi="宋体"/>
          <w:szCs w:val="21"/>
        </w:rPr>
        <w:t>。</w:t>
      </w:r>
    </w:p>
    <w:p>
      <w:pPr>
        <w:ind w:firstLine="458"/>
        <w:rPr>
          <w:rFonts w:ascii="宋体" w:hAnsi="宋体" w:cs="宋体"/>
          <w:b/>
          <w:spacing w:val="-6"/>
          <w:lang w:val="zh-CN"/>
        </w:rPr>
      </w:pPr>
      <w:r>
        <w:rPr>
          <w:rFonts w:hint="eastAsia" w:ascii="宋体" w:hAnsi="宋体" w:cs="宋体"/>
          <w:b/>
          <w:spacing w:val="-6"/>
        </w:rPr>
        <w:t>第四条：</w:t>
      </w:r>
      <w:r>
        <w:rPr>
          <w:rFonts w:hint="eastAsia" w:ascii="宋体" w:hAnsi="宋体" w:cs="宋体"/>
          <w:b/>
          <w:spacing w:val="-6"/>
          <w:lang w:val="zh-CN"/>
        </w:rPr>
        <w:t>维保服务要求</w:t>
      </w:r>
    </w:p>
    <w:p>
      <w:pPr>
        <w:ind w:left="480" w:leftChars="200" w:firstLine="0" w:firstLineChars="0"/>
        <w:rPr>
          <w:b/>
          <w:bCs/>
        </w:rPr>
      </w:pPr>
      <w:r>
        <w:rPr>
          <w:rFonts w:hint="eastAsia"/>
          <w:b/>
          <w:bCs/>
        </w:rPr>
        <w:t>1、</w:t>
      </w:r>
      <w:r>
        <w:rPr>
          <w:rFonts w:hint="eastAsia"/>
          <w:b/>
          <w:bCs/>
          <w:lang w:val="zh-CN"/>
        </w:rPr>
        <w:t>装修系统维保要求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1</w:t>
      </w:r>
      <w:r>
        <w:rPr>
          <w:rFonts w:hint="eastAsia"/>
        </w:rPr>
        <w:t>.</w:t>
      </w:r>
      <w:r>
        <w:rPr>
          <w:rFonts w:hint="eastAsia" w:ascii="宋体" w:hAnsi="宋体" w:cs="Helvetica"/>
          <w:kern w:val="0"/>
        </w:rPr>
        <w:t>1乙方提供保修期内在系统正常使用情况下出现故障所需的维修服务。</w:t>
      </w:r>
    </w:p>
    <w:p>
      <w:pPr>
        <w:ind w:firstLine="480"/>
      </w:pPr>
      <w:r>
        <w:rPr>
          <w:rFonts w:hint="eastAsia"/>
        </w:rPr>
        <w:t>1.2</w:t>
      </w:r>
      <w:r>
        <w:rPr>
          <w:rFonts w:hint="eastAsia" w:ascii="宋体" w:hAnsi="宋体" w:cs="Helvetica"/>
          <w:kern w:val="0"/>
        </w:rPr>
        <w:t>乙方</w:t>
      </w:r>
      <w:r>
        <w:rPr>
          <w:rFonts w:hint="eastAsia"/>
        </w:rPr>
        <w:t>接到甲方设备故障通知后应迅速作出反应，在指导甲方作简单的应急处理的同时，1小时内到达现场进行故障处理，节假日和业余时间不加收服务费。</w:t>
      </w:r>
    </w:p>
    <w:p>
      <w:pPr>
        <w:ind w:firstLine="480"/>
      </w:pPr>
      <w:r>
        <w:rPr>
          <w:rFonts w:hint="eastAsia"/>
        </w:rPr>
        <w:t>1.3每周巡检：</w:t>
      </w:r>
      <w:r>
        <w:rPr>
          <w:rFonts w:hint="eastAsia" w:ascii="宋体" w:hAnsi="宋体" w:cs="Helvetica"/>
          <w:kern w:val="0"/>
        </w:rPr>
        <w:t>乙方</w:t>
      </w:r>
      <w:r>
        <w:rPr>
          <w:rFonts w:hint="eastAsia"/>
        </w:rPr>
        <w:t>对机房装修系统进行每周巡检并提供巡检报告，巡检工作内容包括：</w:t>
      </w:r>
    </w:p>
    <w:p>
      <w:pPr>
        <w:ind w:firstLine="480"/>
      </w:pPr>
      <w:r>
        <w:rPr>
          <w:rFonts w:hint="eastAsia"/>
        </w:rPr>
        <w:t>每周检查的具体项目：</w:t>
      </w:r>
    </w:p>
    <w:p>
      <w:pPr>
        <w:ind w:firstLine="480"/>
      </w:pPr>
      <w:r>
        <w:rPr>
          <w:rFonts w:hint="eastAsia"/>
        </w:rPr>
        <w:t>1.3.1检查地板是否不平，并有异响，并进行调整；</w:t>
      </w:r>
    </w:p>
    <w:p>
      <w:pPr>
        <w:ind w:firstLine="480"/>
      </w:pPr>
      <w:r>
        <w:rPr>
          <w:rFonts w:hint="eastAsia"/>
        </w:rPr>
        <w:t>1.3.2调整、固定墙插、地插、信息面板等；</w:t>
      </w:r>
    </w:p>
    <w:p>
      <w:pPr>
        <w:ind w:firstLine="480"/>
      </w:pPr>
      <w:r>
        <w:rPr>
          <w:rFonts w:hint="eastAsia"/>
        </w:rPr>
        <w:t>1.3.3检查门是否变形，闭门器是否合理，并调整；</w:t>
      </w:r>
    </w:p>
    <w:p>
      <w:pPr>
        <w:ind w:firstLine="480"/>
      </w:pPr>
      <w:r>
        <w:rPr>
          <w:rFonts w:hint="eastAsia"/>
        </w:rPr>
        <w:t>1.3.4检查机房内是否有漏水情况，并处理；</w:t>
      </w:r>
    </w:p>
    <w:p>
      <w:pPr>
        <w:ind w:firstLine="480"/>
      </w:pPr>
      <w:r>
        <w:rPr>
          <w:rFonts w:hint="eastAsia"/>
        </w:rPr>
        <w:t>1.3.5检查彩钢板墙面、吊顶，并进行补充调整；</w:t>
      </w:r>
    </w:p>
    <w:p>
      <w:pPr>
        <w:ind w:firstLine="480"/>
      </w:pPr>
      <w:r>
        <w:rPr>
          <w:rFonts w:hint="eastAsia"/>
        </w:rPr>
        <w:t>1.3.6清理隔断、机房、电池间、操作间的清洁卫生等。</w:t>
      </w:r>
    </w:p>
    <w:p>
      <w:pPr>
        <w:ind w:firstLine="480"/>
      </w:pPr>
      <w:r>
        <w:rPr>
          <w:rFonts w:hint="eastAsia"/>
        </w:rPr>
        <w:t>1.4常用耗材：一切配件的更换均由</w:t>
      </w:r>
      <w:r>
        <w:rPr>
          <w:rFonts w:hint="eastAsia" w:ascii="宋体" w:hAnsi="宋体" w:cs="Helvetica"/>
          <w:kern w:val="0"/>
        </w:rPr>
        <w:t>乙方</w:t>
      </w:r>
      <w:r>
        <w:rPr>
          <w:rFonts w:hint="eastAsia"/>
        </w:rPr>
        <w:t>负责，所有费用包含在本次报价中，甲方不再另行支付。（包括门锁、彩钢板、吊顶板、闭门器等）。</w:t>
      </w:r>
    </w:p>
    <w:p>
      <w:pPr>
        <w:ind w:left="480" w:leftChars="200" w:firstLine="0" w:firstLineChars="0"/>
        <w:rPr>
          <w:b/>
          <w:bCs/>
        </w:rPr>
      </w:pPr>
      <w:r>
        <w:rPr>
          <w:rFonts w:hint="eastAsia"/>
          <w:b/>
          <w:bCs/>
          <w:lang w:val="zh-CN"/>
        </w:rPr>
        <w:t>2、电气系统维保要求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2.1乙方提供保修期内在系统正常使用情况下出现故障所需的维修服务。</w:t>
      </w:r>
    </w:p>
    <w:p>
      <w:pPr>
        <w:tabs>
          <w:tab w:val="left" w:pos="0"/>
        </w:tabs>
        <w:ind w:firstLine="480"/>
        <w:rPr>
          <w:rFonts w:ascii="宋体" w:hAnsi="宋体" w:cs="Helvetica"/>
          <w:color w:val="FF0000"/>
          <w:kern w:val="0"/>
          <w:highlight w:val="yellow"/>
        </w:rPr>
      </w:pPr>
      <w:r>
        <w:rPr>
          <w:rFonts w:hint="eastAsia" w:ascii="宋体" w:hAnsi="宋体" w:cs="Helvetica"/>
          <w:kern w:val="0"/>
        </w:rPr>
        <w:t>2.2乙方接到甲方故障通知后应迅速作出反应，在指导甲方作简单的应急处理的同时，</w:t>
      </w:r>
      <w:r>
        <w:rPr>
          <w:rFonts w:hint="eastAsia"/>
        </w:rPr>
        <w:t>1小时内到达现场进行故障处理，节假日和业余时间不加收服务费。</w:t>
      </w:r>
    </w:p>
    <w:p>
      <w:pPr>
        <w:ind w:firstLine="480"/>
      </w:pPr>
      <w:r>
        <w:rPr>
          <w:rFonts w:hint="eastAsia"/>
        </w:rPr>
        <w:t>2.3每周巡检：</w:t>
      </w:r>
      <w:r>
        <w:rPr>
          <w:rFonts w:hint="eastAsia" w:ascii="宋体" w:hAnsi="宋体" w:cs="Helvetica"/>
          <w:kern w:val="0"/>
        </w:rPr>
        <w:t>乙方</w:t>
      </w:r>
      <w:r>
        <w:rPr>
          <w:rFonts w:hint="eastAsia"/>
        </w:rPr>
        <w:t>对机房电气系统进行每周巡检并提供巡检报告，巡检工作内容包括：</w:t>
      </w:r>
    </w:p>
    <w:p>
      <w:pPr>
        <w:ind w:firstLine="480"/>
      </w:pPr>
      <w:r>
        <w:rPr>
          <w:rFonts w:hint="eastAsia"/>
        </w:rPr>
        <w:t xml:space="preserve">    每周检查的具体项目：</w:t>
      </w:r>
    </w:p>
    <w:p>
      <w:pPr>
        <w:ind w:firstLine="480"/>
      </w:pPr>
      <w:r>
        <w:rPr>
          <w:rFonts w:hint="eastAsia"/>
        </w:rPr>
        <w:t>2.3.1检查配电箱开关是否正常，是否有变色、异味等；</w:t>
      </w:r>
    </w:p>
    <w:p>
      <w:pPr>
        <w:ind w:firstLine="480"/>
      </w:pPr>
      <w:r>
        <w:rPr>
          <w:rFonts w:hint="eastAsia"/>
        </w:rPr>
        <w:t>2.3.2检查配电箱门锁是否正常，并进行调整；</w:t>
      </w:r>
    </w:p>
    <w:p>
      <w:pPr>
        <w:ind w:firstLine="480"/>
      </w:pPr>
      <w:r>
        <w:rPr>
          <w:rFonts w:hint="eastAsia"/>
        </w:rPr>
        <w:t>2.3.3检查配电箱配线是否合理；</w:t>
      </w:r>
    </w:p>
    <w:p>
      <w:pPr>
        <w:ind w:firstLine="480"/>
      </w:pPr>
      <w:r>
        <w:rPr>
          <w:rFonts w:hint="eastAsia"/>
        </w:rPr>
        <w:t>2.3.4检查墙面插座是否正常；</w:t>
      </w:r>
    </w:p>
    <w:p>
      <w:pPr>
        <w:ind w:firstLine="480"/>
      </w:pPr>
      <w:r>
        <w:rPr>
          <w:rFonts w:hint="eastAsia"/>
        </w:rPr>
        <w:t>2.3.5检查机房线路是否正常；</w:t>
      </w:r>
    </w:p>
    <w:p>
      <w:pPr>
        <w:ind w:firstLine="480"/>
      </w:pPr>
      <w:r>
        <w:rPr>
          <w:rFonts w:hint="eastAsia"/>
        </w:rPr>
        <w:t>2.3.6检查墙面开关是否正常；</w:t>
      </w:r>
    </w:p>
    <w:p>
      <w:pPr>
        <w:ind w:firstLine="480"/>
      </w:pPr>
      <w:r>
        <w:rPr>
          <w:rFonts w:hint="eastAsia"/>
        </w:rPr>
        <w:t>2.3.7检查灯管并更换；</w:t>
      </w:r>
    </w:p>
    <w:p>
      <w:pPr>
        <w:ind w:firstLine="480"/>
      </w:pPr>
      <w:r>
        <w:rPr>
          <w:rFonts w:hint="eastAsia"/>
        </w:rPr>
        <w:t>2.4常用耗材：</w:t>
      </w:r>
      <w:r>
        <w:rPr>
          <w:rFonts w:hint="eastAsia" w:ascii="宋体" w:hAnsi="宋体" w:cs="Helvetica"/>
          <w:kern w:val="0"/>
        </w:rPr>
        <w:t>乙方</w:t>
      </w:r>
      <w:r>
        <w:rPr>
          <w:rFonts w:hint="eastAsia"/>
        </w:rPr>
        <w:t>应保证配件的供应，一切配件的更换均由</w:t>
      </w:r>
      <w:r>
        <w:rPr>
          <w:rFonts w:hint="eastAsia" w:ascii="宋体" w:hAnsi="宋体" w:cs="Helvetica"/>
          <w:kern w:val="0"/>
        </w:rPr>
        <w:t>乙方</w:t>
      </w:r>
      <w:r>
        <w:rPr>
          <w:rFonts w:hint="eastAsia"/>
        </w:rPr>
        <w:t>负责，所有费用包含在本次报价中，甲方不再另行支付（包括灯具、灯源、开关、墙插、地插、线缆等）。</w:t>
      </w:r>
    </w:p>
    <w:p>
      <w:pPr>
        <w:ind w:left="480" w:leftChars="200" w:firstLine="0" w:firstLineChars="0"/>
        <w:rPr>
          <w:b/>
          <w:bCs/>
        </w:rPr>
      </w:pPr>
      <w:r>
        <w:rPr>
          <w:rFonts w:hint="eastAsia"/>
          <w:b/>
          <w:bCs/>
        </w:rPr>
        <w:t>3、防雷接地系统维保要求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3.1乙方提供保修期内在系统正常使用情况下出现故障所需的维修服务。</w:t>
      </w:r>
    </w:p>
    <w:p>
      <w:pPr>
        <w:ind w:firstLine="480"/>
      </w:pPr>
      <w:r>
        <w:rPr>
          <w:rFonts w:hint="eastAsia"/>
        </w:rPr>
        <w:t>3.2</w:t>
      </w:r>
      <w:r>
        <w:rPr>
          <w:rFonts w:hint="eastAsia" w:ascii="宋体" w:hAnsi="宋体" w:cs="Helvetica"/>
          <w:kern w:val="0"/>
        </w:rPr>
        <w:t>乙方</w:t>
      </w:r>
      <w:r>
        <w:rPr>
          <w:rFonts w:hint="eastAsia"/>
        </w:rPr>
        <w:t>接到甲方故障通知后应迅速作出反应，在指导甲方作简单的应急处理的同时，1小时内到达现场进行故障处理，节假日和业余时间不加收服务费。</w:t>
      </w:r>
    </w:p>
    <w:p>
      <w:pPr>
        <w:ind w:firstLine="480"/>
      </w:pPr>
      <w:r>
        <w:rPr>
          <w:rFonts w:hint="eastAsia"/>
        </w:rPr>
        <w:t>3.3每周巡检：</w:t>
      </w:r>
      <w:r>
        <w:rPr>
          <w:rFonts w:hint="eastAsia" w:ascii="宋体" w:hAnsi="宋体" w:cs="Helvetica"/>
          <w:kern w:val="0"/>
        </w:rPr>
        <w:t>乙方</w:t>
      </w:r>
      <w:r>
        <w:rPr>
          <w:rFonts w:hint="eastAsia"/>
        </w:rPr>
        <w:t>对机房防雷接地系统进行每周巡检并提供巡检报告，巡检工作内容包括：</w:t>
      </w:r>
    </w:p>
    <w:p>
      <w:pPr>
        <w:ind w:firstLine="480"/>
      </w:pPr>
      <w:r>
        <w:rPr>
          <w:rFonts w:hint="eastAsia"/>
        </w:rPr>
        <w:t xml:space="preserve">    每周检查的具体项目：</w:t>
      </w:r>
    </w:p>
    <w:p>
      <w:pPr>
        <w:ind w:firstLine="480"/>
      </w:pPr>
      <w:r>
        <w:rPr>
          <w:rFonts w:hint="eastAsia"/>
        </w:rPr>
        <w:t>（1）检查防雷模块是否击穿，并进行更换；</w:t>
      </w:r>
    </w:p>
    <w:p>
      <w:pPr>
        <w:ind w:firstLine="480"/>
      </w:pPr>
      <w:r>
        <w:rPr>
          <w:rFonts w:hint="eastAsia"/>
        </w:rPr>
        <w:t>（2）检查配电箱接地线是否正常，并进行整理；</w:t>
      </w:r>
    </w:p>
    <w:p>
      <w:pPr>
        <w:ind w:firstLine="480"/>
      </w:pPr>
      <w:r>
        <w:rPr>
          <w:rFonts w:hint="eastAsia"/>
        </w:rPr>
        <w:t>（3）检查配电箱与箱盖连接线是否正常，并进行整理；</w:t>
      </w:r>
    </w:p>
    <w:p>
      <w:pPr>
        <w:ind w:firstLine="480"/>
      </w:pPr>
      <w:r>
        <w:rPr>
          <w:rFonts w:hint="eastAsia"/>
        </w:rPr>
        <w:t>（4）检查等电位网格是否合理，并进行整理；</w:t>
      </w:r>
    </w:p>
    <w:p>
      <w:pPr>
        <w:ind w:firstLine="480"/>
      </w:pPr>
      <w:r>
        <w:rPr>
          <w:rFonts w:hint="eastAsia"/>
        </w:rPr>
        <w:t>（5）检查机房接地是否合理，并进行整理；</w:t>
      </w:r>
    </w:p>
    <w:p>
      <w:pPr>
        <w:ind w:firstLine="480"/>
      </w:pPr>
      <w:r>
        <w:rPr>
          <w:rFonts w:hint="eastAsia"/>
        </w:rPr>
        <w:t>（6）检查机房防静电泄露是否合理，并进行整理.</w:t>
      </w:r>
    </w:p>
    <w:p>
      <w:pPr>
        <w:ind w:firstLine="480"/>
      </w:pPr>
      <w:r>
        <w:rPr>
          <w:rFonts w:hint="eastAsia"/>
        </w:rPr>
        <w:t>3.4常用耗材：</w:t>
      </w:r>
      <w:r>
        <w:rPr>
          <w:rFonts w:hint="eastAsia" w:ascii="宋体" w:hAnsi="宋体" w:cs="Helvetica"/>
          <w:kern w:val="0"/>
        </w:rPr>
        <w:t>乙方</w:t>
      </w:r>
      <w:r>
        <w:rPr>
          <w:rFonts w:hint="eastAsia"/>
        </w:rPr>
        <w:t>应保证配件的供应，一切配件的更换均由</w:t>
      </w:r>
      <w:r>
        <w:rPr>
          <w:rFonts w:hint="eastAsia" w:ascii="宋体" w:hAnsi="宋体" w:cs="Helvetica"/>
          <w:kern w:val="0"/>
        </w:rPr>
        <w:t>乙方</w:t>
      </w:r>
      <w:r>
        <w:rPr>
          <w:rFonts w:hint="eastAsia"/>
        </w:rPr>
        <w:t>负责，所有费用包含在本次报价中，甲方不再另行支付（包括防雷模块、接地端子、接地线缆等）。</w:t>
      </w:r>
    </w:p>
    <w:p>
      <w:pPr>
        <w:ind w:left="480" w:leftChars="200" w:firstLine="0" w:firstLineChars="0"/>
        <w:rPr>
          <w:b/>
          <w:bCs/>
        </w:rPr>
      </w:pPr>
      <w:r>
        <w:rPr>
          <w:rFonts w:hint="eastAsia"/>
          <w:b/>
          <w:bCs/>
        </w:rPr>
        <w:t>4、</w:t>
      </w:r>
      <w:r>
        <w:rPr>
          <w:rFonts w:hint="eastAsia"/>
          <w:b/>
          <w:bCs/>
          <w:lang w:val="zh-CN"/>
        </w:rPr>
        <w:t>消防系统维保要求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4.1乙方提供保修期内在系统正常使用情况下出现故障所需的维修服务。</w:t>
      </w:r>
    </w:p>
    <w:p>
      <w:pPr>
        <w:ind w:firstLine="480"/>
      </w:pPr>
      <w:r>
        <w:rPr>
          <w:rFonts w:hint="eastAsia"/>
        </w:rPr>
        <w:t>4.2</w:t>
      </w:r>
      <w:r>
        <w:rPr>
          <w:rFonts w:hint="eastAsia" w:ascii="宋体" w:hAnsi="宋体" w:cs="Helvetica"/>
          <w:kern w:val="0"/>
        </w:rPr>
        <w:t>乙方</w:t>
      </w:r>
      <w:r>
        <w:rPr>
          <w:rFonts w:hint="eastAsia"/>
        </w:rPr>
        <w:t>接到甲方设备故障通知后应迅速作出反应，在指导甲方作简单的应急处理的同时，1小时内到达现场进行故障处理，节假日和业余时间不加收服务费。</w:t>
      </w:r>
    </w:p>
    <w:p>
      <w:pPr>
        <w:ind w:firstLine="480"/>
      </w:pPr>
      <w:r>
        <w:rPr>
          <w:rFonts w:hint="eastAsia"/>
        </w:rPr>
        <w:t>4.3每周巡检：</w:t>
      </w:r>
      <w:r>
        <w:rPr>
          <w:rFonts w:hint="eastAsia" w:ascii="宋体" w:hAnsi="宋体" w:cs="Helvetica"/>
          <w:kern w:val="0"/>
        </w:rPr>
        <w:t>乙方</w:t>
      </w:r>
      <w:r>
        <w:rPr>
          <w:rFonts w:hint="eastAsia"/>
        </w:rPr>
        <w:t>对消防系统进行每周巡检并提供巡检报告，巡检工作内容包括：</w:t>
      </w:r>
    </w:p>
    <w:p>
      <w:pPr>
        <w:ind w:firstLine="480"/>
      </w:pPr>
      <w:r>
        <w:rPr>
          <w:rFonts w:hint="eastAsia"/>
        </w:rPr>
        <w:t>每周检查的具体项目：</w:t>
      </w:r>
    </w:p>
    <w:p>
      <w:pPr>
        <w:ind w:firstLine="480"/>
      </w:pPr>
      <w:r>
        <w:rPr>
          <w:rFonts w:hint="eastAsia"/>
        </w:rPr>
        <w:t>4.3.1清理灭火设备和报警控制设备表面清洁无尘；</w:t>
      </w:r>
    </w:p>
    <w:p>
      <w:pPr>
        <w:ind w:firstLine="480"/>
      </w:pPr>
      <w:r>
        <w:rPr>
          <w:rFonts w:hint="eastAsia"/>
        </w:rPr>
        <w:t>4.3.2检查手提灭火器是否超过保质期，并进行更换；</w:t>
      </w:r>
    </w:p>
    <w:p>
      <w:pPr>
        <w:ind w:firstLine="480"/>
      </w:pPr>
      <w:r>
        <w:rPr>
          <w:rFonts w:hint="eastAsia"/>
        </w:rPr>
        <w:t>4.3.3检查报警探测器与底座安装是否合理；</w:t>
      </w:r>
    </w:p>
    <w:p>
      <w:pPr>
        <w:ind w:firstLine="480"/>
      </w:pPr>
      <w:r>
        <w:rPr>
          <w:rFonts w:hint="eastAsia"/>
        </w:rPr>
        <w:t>4.3.4检查报警控制器安装是否松动，并进行调整；</w:t>
      </w:r>
    </w:p>
    <w:p>
      <w:pPr>
        <w:ind w:firstLine="480"/>
      </w:pPr>
      <w:r>
        <w:rPr>
          <w:rFonts w:hint="eastAsia"/>
        </w:rPr>
        <w:t>4.3.5检查报警控制器输出信号是否合理，是否有故障指示等，并进行调整；</w:t>
      </w:r>
    </w:p>
    <w:p>
      <w:pPr>
        <w:ind w:firstLine="480"/>
      </w:pPr>
      <w:r>
        <w:rPr>
          <w:rFonts w:hint="eastAsia"/>
        </w:rPr>
        <w:t>4.3.6检查报警探测器指示灯是否正常，并进行调整；</w:t>
      </w:r>
    </w:p>
    <w:p>
      <w:pPr>
        <w:ind w:firstLine="480"/>
      </w:pPr>
      <w:r>
        <w:rPr>
          <w:rFonts w:hint="eastAsia"/>
        </w:rPr>
        <w:t>4.3.7检查报警探测器是否对出入口方向，并进行调整；</w:t>
      </w:r>
    </w:p>
    <w:p>
      <w:pPr>
        <w:ind w:firstLine="480"/>
      </w:pPr>
      <w:r>
        <w:rPr>
          <w:rFonts w:hint="eastAsia"/>
        </w:rPr>
        <w:t>4.3.8对系统进行报警模拟试验，火灾探测、报警按其产品说明书进行；</w:t>
      </w:r>
    </w:p>
    <w:p>
      <w:pPr>
        <w:ind w:firstLine="480"/>
      </w:pPr>
      <w:r>
        <w:rPr>
          <w:rFonts w:hint="eastAsia"/>
        </w:rPr>
        <w:t>4.3.9现场声光报警等应正常。</w:t>
      </w:r>
    </w:p>
    <w:p>
      <w:pPr>
        <w:ind w:firstLine="480"/>
      </w:pPr>
      <w:r>
        <w:rPr>
          <w:rFonts w:hint="eastAsia"/>
        </w:rPr>
        <w:t>4.4常用耗材：</w:t>
      </w:r>
      <w:r>
        <w:rPr>
          <w:rFonts w:hint="eastAsia" w:ascii="宋体" w:hAnsi="宋体" w:cs="Helvetica"/>
          <w:kern w:val="0"/>
        </w:rPr>
        <w:t>乙方</w:t>
      </w:r>
      <w:r>
        <w:rPr>
          <w:rFonts w:hint="eastAsia"/>
        </w:rPr>
        <w:t>应保证（感烟、感温、声光报警器等）配件的供应，一切配件的更换均由</w:t>
      </w:r>
      <w:r>
        <w:rPr>
          <w:rFonts w:hint="eastAsia" w:ascii="宋体" w:hAnsi="宋体" w:cs="Helvetica"/>
          <w:kern w:val="0"/>
        </w:rPr>
        <w:t>乙方</w:t>
      </w:r>
      <w:r>
        <w:rPr>
          <w:rFonts w:hint="eastAsia"/>
        </w:rPr>
        <w:t>负责，所有费用包含在本次报价中，甲方不再另行支付。（包括设备列表中所列所有内容）。</w:t>
      </w:r>
    </w:p>
    <w:p>
      <w:pPr>
        <w:ind w:left="480" w:leftChars="200" w:firstLine="0" w:firstLineChars="0"/>
        <w:rPr>
          <w:b/>
          <w:bCs/>
        </w:rPr>
      </w:pPr>
      <w:r>
        <w:rPr>
          <w:rFonts w:hint="eastAsia"/>
          <w:b/>
          <w:bCs/>
          <w:lang w:val="zh-CN"/>
        </w:rPr>
        <w:t>5、机房内综合布线系统维保要求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5.1乙方提供保修期内在系统正常使用情况下出现故障所需的维修服务。</w:t>
      </w:r>
    </w:p>
    <w:p>
      <w:pPr>
        <w:ind w:firstLine="480"/>
      </w:pPr>
      <w:r>
        <w:rPr>
          <w:rFonts w:hint="eastAsia"/>
        </w:rPr>
        <w:t>5.2</w:t>
      </w:r>
      <w:r>
        <w:rPr>
          <w:rFonts w:hint="eastAsia" w:ascii="宋体" w:hAnsi="宋体" w:cs="Helvetica"/>
          <w:kern w:val="0"/>
        </w:rPr>
        <w:t>乙方</w:t>
      </w:r>
      <w:r>
        <w:rPr>
          <w:rFonts w:hint="eastAsia"/>
        </w:rPr>
        <w:t>接到甲方设备故障通知后应迅速作出反应，在指导甲方作简单的应急处理的同时，1小时内到达现场进行故障处理，节假日和业余时间不加收服务费。</w:t>
      </w:r>
    </w:p>
    <w:p>
      <w:pPr>
        <w:ind w:firstLine="480"/>
      </w:pPr>
      <w:r>
        <w:rPr>
          <w:rFonts w:hint="eastAsia"/>
        </w:rPr>
        <w:t>5.3每周巡检：</w:t>
      </w:r>
      <w:r>
        <w:rPr>
          <w:rFonts w:hint="eastAsia" w:ascii="宋体" w:hAnsi="宋体" w:cs="Helvetica"/>
          <w:kern w:val="0"/>
        </w:rPr>
        <w:t>乙方</w:t>
      </w:r>
      <w:r>
        <w:rPr>
          <w:rFonts w:hint="eastAsia"/>
        </w:rPr>
        <w:t>对机房内布线系统进行每周巡检并提供巡检报告，巡检工作内容包括：</w:t>
      </w:r>
    </w:p>
    <w:p>
      <w:pPr>
        <w:ind w:firstLine="480"/>
      </w:pPr>
      <w:r>
        <w:rPr>
          <w:rFonts w:hint="eastAsia"/>
        </w:rPr>
        <w:t>每周检查的具体项目：</w:t>
      </w:r>
    </w:p>
    <w:p>
      <w:pPr>
        <w:ind w:firstLine="480"/>
      </w:pPr>
      <w:r>
        <w:rPr>
          <w:rFonts w:hint="eastAsia"/>
        </w:rPr>
        <w:t>5.3.1检查机房内综合布线是否由于添加线缆，比较乱，并重新进行捆扎；</w:t>
      </w:r>
    </w:p>
    <w:p>
      <w:pPr>
        <w:ind w:firstLine="480"/>
      </w:pPr>
      <w:r>
        <w:rPr>
          <w:rFonts w:hint="eastAsia"/>
        </w:rPr>
        <w:t>5.3.2检查机房机柜综合布线标签，并进行补充；</w:t>
      </w:r>
    </w:p>
    <w:p>
      <w:pPr>
        <w:ind w:firstLine="480"/>
      </w:pPr>
      <w:r>
        <w:rPr>
          <w:rFonts w:hint="eastAsia"/>
        </w:rPr>
        <w:t>5.3.3检查机房布线面板是否合理，并进行整理。</w:t>
      </w:r>
    </w:p>
    <w:p>
      <w:pPr>
        <w:ind w:firstLine="480"/>
      </w:pPr>
      <w:r>
        <w:rPr>
          <w:rFonts w:hint="eastAsia"/>
        </w:rPr>
        <w:t>5.4常用耗材：</w:t>
      </w:r>
      <w:r>
        <w:rPr>
          <w:rFonts w:hint="eastAsia" w:ascii="宋体" w:hAnsi="宋体" w:cs="Helvetica"/>
          <w:kern w:val="0"/>
        </w:rPr>
        <w:t>乙方</w:t>
      </w:r>
      <w:r>
        <w:rPr>
          <w:rFonts w:hint="eastAsia"/>
        </w:rPr>
        <w:t>应保证（模块、面板、跳线）配件的供应，一切配件的更换均由</w:t>
      </w:r>
      <w:r>
        <w:rPr>
          <w:rFonts w:hint="eastAsia" w:ascii="宋体" w:hAnsi="宋体" w:cs="Helvetica"/>
          <w:kern w:val="0"/>
        </w:rPr>
        <w:t>乙方</w:t>
      </w:r>
      <w:r>
        <w:rPr>
          <w:rFonts w:hint="eastAsia"/>
        </w:rPr>
        <w:t>负责，所有费用包含在本次报价中，甲方不再另行支付。（包括设备列表中所列所有内容）。</w:t>
      </w:r>
    </w:p>
    <w:p>
      <w:pPr>
        <w:ind w:left="480" w:leftChars="200" w:firstLine="0" w:firstLineChars="0"/>
        <w:rPr>
          <w:b/>
          <w:bCs/>
        </w:rPr>
      </w:pPr>
      <w:r>
        <w:rPr>
          <w:rFonts w:hint="eastAsia"/>
          <w:b/>
          <w:bCs/>
        </w:rPr>
        <w:t>6、</w:t>
      </w:r>
      <w:r>
        <w:rPr>
          <w:rFonts w:hint="eastAsia"/>
          <w:b/>
          <w:bCs/>
          <w:lang w:val="zh-CN"/>
        </w:rPr>
        <w:t>机房机柜维保要求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6.1乙方提供保修期内在系统正常使用情况下出现故障所需的维修服务。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6.2每周巡检：乙方对机柜系统进行每周巡检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每周检查的具体项目：</w:t>
      </w:r>
    </w:p>
    <w:p>
      <w:pPr>
        <w:tabs>
          <w:tab w:val="left" w:pos="0"/>
        </w:tabs>
        <w:ind w:firstLine="720" w:firstLineChars="300"/>
        <w:rPr>
          <w:rFonts w:ascii="宋体" w:hAnsi="宋体" w:cs="Helvetica"/>
          <w:kern w:val="0"/>
        </w:rPr>
      </w:pPr>
      <w:r>
        <w:rPr>
          <w:rFonts w:hint="eastAsia" w:ascii="宋体" w:hAnsi="宋体" w:cs="Helvetica"/>
          <w:kern w:val="0"/>
        </w:rPr>
        <w:t>6.2.1检查机柜表面有无变形；</w:t>
      </w:r>
    </w:p>
    <w:p>
      <w:pPr>
        <w:tabs>
          <w:tab w:val="left" w:pos="0"/>
        </w:tabs>
        <w:ind w:firstLine="720" w:firstLineChars="300"/>
        <w:rPr>
          <w:rFonts w:ascii="宋体" w:hAnsi="宋体" w:cs="Helvetica"/>
          <w:kern w:val="0"/>
        </w:rPr>
      </w:pPr>
      <w:r>
        <w:rPr>
          <w:rFonts w:hint="eastAsia" w:ascii="宋体" w:hAnsi="宋体" w:cs="Helvetica"/>
          <w:kern w:val="0"/>
        </w:rPr>
        <w:t>6.2.2检查机柜机柜门扇是否正常；</w:t>
      </w:r>
    </w:p>
    <w:p>
      <w:pPr>
        <w:tabs>
          <w:tab w:val="left" w:pos="0"/>
        </w:tabs>
        <w:ind w:firstLine="720" w:firstLineChars="300"/>
        <w:rPr>
          <w:rFonts w:ascii="宋体" w:hAnsi="宋体" w:cs="Helvetica"/>
          <w:kern w:val="0"/>
        </w:rPr>
      </w:pPr>
      <w:r>
        <w:rPr>
          <w:rFonts w:hint="eastAsia" w:ascii="宋体" w:hAnsi="宋体" w:cs="Helvetica"/>
          <w:kern w:val="0"/>
        </w:rPr>
        <w:t>6.2.3检查机柜门锁是否正常；</w:t>
      </w:r>
    </w:p>
    <w:p>
      <w:pPr>
        <w:tabs>
          <w:tab w:val="left" w:pos="0"/>
        </w:tabs>
        <w:ind w:firstLine="720" w:firstLineChars="300"/>
        <w:rPr>
          <w:rFonts w:ascii="宋体" w:hAnsi="宋体" w:cs="Helvetica"/>
          <w:kern w:val="0"/>
        </w:rPr>
      </w:pPr>
      <w:r>
        <w:rPr>
          <w:rFonts w:hint="eastAsia" w:ascii="宋体" w:hAnsi="宋体" w:cs="Helvetica"/>
          <w:kern w:val="0"/>
        </w:rPr>
        <w:t>6.2.4对机柜内线缆进行整理；</w:t>
      </w:r>
    </w:p>
    <w:p>
      <w:pPr>
        <w:tabs>
          <w:tab w:val="left" w:pos="0"/>
        </w:tabs>
        <w:ind w:firstLine="720" w:firstLineChars="300"/>
        <w:rPr>
          <w:rFonts w:ascii="宋体" w:hAnsi="宋体" w:cs="Helvetica"/>
          <w:kern w:val="0"/>
        </w:rPr>
      </w:pPr>
      <w:r>
        <w:rPr>
          <w:rFonts w:hint="eastAsia" w:ascii="宋体" w:hAnsi="宋体" w:cs="Helvetica"/>
          <w:kern w:val="0"/>
        </w:rPr>
        <w:t>6.2.5对机柜进行卫生清理工作；</w:t>
      </w:r>
    </w:p>
    <w:p>
      <w:pPr>
        <w:tabs>
          <w:tab w:val="left" w:pos="0"/>
        </w:tabs>
        <w:ind w:firstLine="720" w:firstLineChars="300"/>
        <w:rPr>
          <w:rFonts w:ascii="宋体" w:hAnsi="宋体" w:cs="Helvetica"/>
          <w:kern w:val="0"/>
        </w:rPr>
      </w:pPr>
      <w:r>
        <w:rPr>
          <w:rFonts w:hint="eastAsia" w:ascii="宋体" w:hAnsi="宋体" w:cs="Helvetica"/>
          <w:kern w:val="0"/>
        </w:rPr>
        <w:t>6.2.6检查机柜接地线缆是否牢固，并保证安全接地。</w:t>
      </w:r>
    </w:p>
    <w:p>
      <w:pPr>
        <w:ind w:left="480" w:leftChars="200" w:firstLine="0" w:firstLineChars="0"/>
        <w:rPr>
          <w:b/>
          <w:bCs/>
        </w:rPr>
      </w:pPr>
      <w:r>
        <w:rPr>
          <w:rFonts w:hint="eastAsia"/>
          <w:b/>
          <w:bCs/>
        </w:rPr>
        <w:t>7、</w:t>
      </w:r>
      <w:r>
        <w:rPr>
          <w:rFonts w:hint="eastAsia"/>
          <w:b/>
          <w:bCs/>
          <w:lang w:val="zh-CN"/>
        </w:rPr>
        <w:t>机房空调系统维保要求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7.1每周巡检：乙方对空调进行每周巡检</w:t>
      </w:r>
      <w:r>
        <w:rPr>
          <w:rFonts w:hint="eastAsia"/>
        </w:rPr>
        <w:t>并提供巡检报告</w:t>
      </w:r>
      <w:r>
        <w:rPr>
          <w:rFonts w:hint="eastAsia" w:ascii="宋体" w:hAnsi="宋体" w:cs="Helvetica"/>
          <w:kern w:val="0"/>
        </w:rPr>
        <w:t>，巡检工作内容包括：</w:t>
      </w:r>
    </w:p>
    <w:p>
      <w:pPr>
        <w:tabs>
          <w:tab w:val="left" w:pos="0"/>
        </w:tabs>
        <w:ind w:firstLine="480"/>
        <w:rPr>
          <w:rFonts w:ascii="宋体" w:hAnsi="宋体" w:cs="Helvetica"/>
          <w:kern w:val="0"/>
        </w:rPr>
      </w:pPr>
      <w:r>
        <w:rPr>
          <w:rFonts w:hint="eastAsia" w:ascii="宋体" w:hAnsi="宋体" w:cs="Helvetica"/>
          <w:kern w:val="0"/>
        </w:rPr>
        <w:t xml:space="preserve">  7.1.1精密空调检测内容：</w:t>
      </w:r>
    </w:p>
    <w:p>
      <w:pPr>
        <w:tabs>
          <w:tab w:val="left" w:pos="0"/>
        </w:tabs>
        <w:ind w:firstLine="480"/>
        <w:rPr>
          <w:rFonts w:ascii="宋体" w:hAnsi="宋体" w:cs="Helvetica"/>
          <w:kern w:val="0"/>
        </w:rPr>
      </w:pPr>
      <w:r>
        <w:rPr>
          <w:rFonts w:hint="eastAsia" w:ascii="宋体" w:hAnsi="宋体" w:cs="Helvetica"/>
          <w:kern w:val="0"/>
        </w:rPr>
        <w:t xml:space="preserve">     7.1.1.1 静态检查</w:t>
      </w:r>
    </w:p>
    <w:p>
      <w:pPr>
        <w:tabs>
          <w:tab w:val="left" w:pos="0"/>
        </w:tabs>
        <w:ind w:firstLine="960" w:firstLineChars="400"/>
        <w:rPr>
          <w:rFonts w:ascii="宋体" w:hAnsi="宋体" w:cs="Helvetica"/>
          <w:kern w:val="0"/>
        </w:rPr>
      </w:pPr>
      <w:r>
        <w:rPr>
          <w:rFonts w:hint="eastAsia" w:ascii="宋体" w:hAnsi="宋体" w:cs="Helvetica"/>
          <w:kern w:val="0"/>
        </w:rPr>
        <w:t>（1）面板显示是否正常；</w:t>
      </w:r>
    </w:p>
    <w:p>
      <w:pPr>
        <w:tabs>
          <w:tab w:val="left" w:pos="0"/>
        </w:tabs>
        <w:ind w:firstLine="960" w:firstLineChars="400"/>
        <w:rPr>
          <w:rFonts w:ascii="宋体" w:hAnsi="宋体" w:cs="Helvetica"/>
          <w:kern w:val="0"/>
        </w:rPr>
      </w:pPr>
      <w:r>
        <w:rPr>
          <w:rFonts w:hint="eastAsia" w:ascii="宋体" w:hAnsi="宋体" w:cs="Helvetica"/>
          <w:kern w:val="0"/>
        </w:rPr>
        <w:t>（2）参数设置及操作是否正常；</w:t>
      </w:r>
    </w:p>
    <w:p>
      <w:pPr>
        <w:tabs>
          <w:tab w:val="left" w:pos="0"/>
        </w:tabs>
        <w:ind w:firstLine="960" w:firstLineChars="400"/>
        <w:rPr>
          <w:rFonts w:ascii="宋体" w:hAnsi="宋体" w:cs="Helvetica"/>
          <w:kern w:val="0"/>
        </w:rPr>
      </w:pPr>
      <w:r>
        <w:rPr>
          <w:rFonts w:hint="eastAsia" w:ascii="宋体" w:hAnsi="宋体" w:cs="Helvetica"/>
          <w:kern w:val="0"/>
        </w:rPr>
        <w:t>（3）室内/外电机是否正常；</w:t>
      </w:r>
    </w:p>
    <w:p>
      <w:pPr>
        <w:tabs>
          <w:tab w:val="left" w:pos="0"/>
        </w:tabs>
        <w:ind w:firstLine="960" w:firstLineChars="400"/>
        <w:rPr>
          <w:rFonts w:ascii="宋体" w:hAnsi="宋体" w:cs="Helvetica"/>
          <w:kern w:val="0"/>
        </w:rPr>
      </w:pPr>
      <w:r>
        <w:rPr>
          <w:rFonts w:hint="eastAsia" w:ascii="宋体" w:hAnsi="宋体" w:cs="Helvetica"/>
          <w:kern w:val="0"/>
        </w:rPr>
        <w:t>（4）室外机翅片是否正常；</w:t>
      </w:r>
    </w:p>
    <w:p>
      <w:pPr>
        <w:tabs>
          <w:tab w:val="left" w:pos="0"/>
        </w:tabs>
        <w:ind w:firstLine="960" w:firstLineChars="400"/>
        <w:rPr>
          <w:rFonts w:ascii="宋体" w:hAnsi="宋体" w:cs="Helvetica"/>
          <w:kern w:val="0"/>
        </w:rPr>
      </w:pPr>
      <w:r>
        <w:rPr>
          <w:rFonts w:hint="eastAsia" w:ascii="宋体" w:hAnsi="宋体" w:cs="Helvetica"/>
          <w:kern w:val="0"/>
        </w:rPr>
        <w:t>（5）过滤器清洁度</w:t>
      </w:r>
    </w:p>
    <w:p>
      <w:pPr>
        <w:tabs>
          <w:tab w:val="left" w:pos="0"/>
        </w:tabs>
        <w:ind w:firstLine="960" w:firstLineChars="400"/>
        <w:rPr>
          <w:rFonts w:ascii="宋体" w:hAnsi="宋体" w:cs="Helvetica"/>
          <w:kern w:val="0"/>
        </w:rPr>
      </w:pPr>
      <w:r>
        <w:rPr>
          <w:rFonts w:hint="eastAsia" w:ascii="宋体" w:hAnsi="宋体" w:cs="Helvetica"/>
          <w:kern w:val="0"/>
        </w:rPr>
        <w:t>（6）氟视镜颜色</w:t>
      </w:r>
    </w:p>
    <w:p>
      <w:pPr>
        <w:tabs>
          <w:tab w:val="left" w:pos="0"/>
        </w:tabs>
        <w:ind w:firstLine="960" w:firstLineChars="400"/>
        <w:rPr>
          <w:rFonts w:ascii="宋体" w:hAnsi="宋体" w:cs="Helvetica"/>
          <w:kern w:val="0"/>
        </w:rPr>
      </w:pPr>
      <w:r>
        <w:rPr>
          <w:rFonts w:hint="eastAsia" w:ascii="宋体" w:hAnsi="宋体" w:cs="Helvetica"/>
          <w:kern w:val="0"/>
        </w:rPr>
        <w:t>（7）总体工况</w:t>
      </w:r>
    </w:p>
    <w:p>
      <w:pPr>
        <w:tabs>
          <w:tab w:val="left" w:pos="0"/>
        </w:tabs>
        <w:ind w:firstLine="480"/>
        <w:rPr>
          <w:rFonts w:ascii="宋体" w:hAnsi="宋体" w:cs="Helvetica"/>
          <w:kern w:val="0"/>
        </w:rPr>
      </w:pPr>
      <w:r>
        <w:rPr>
          <w:rFonts w:hint="eastAsia" w:ascii="宋体" w:hAnsi="宋体" w:cs="Helvetica"/>
          <w:kern w:val="0"/>
        </w:rPr>
        <w:t xml:space="preserve">     7.1.1.2 精密空调运行状态检查：</w:t>
      </w:r>
    </w:p>
    <w:p>
      <w:pPr>
        <w:tabs>
          <w:tab w:val="left" w:pos="0"/>
        </w:tabs>
        <w:ind w:firstLine="960" w:firstLineChars="400"/>
        <w:rPr>
          <w:rFonts w:ascii="宋体" w:hAnsi="宋体" w:cs="Helvetica"/>
          <w:kern w:val="0"/>
        </w:rPr>
      </w:pPr>
      <w:r>
        <w:rPr>
          <w:rFonts w:hint="eastAsia" w:ascii="宋体" w:hAnsi="宋体" w:cs="Helvetica"/>
          <w:kern w:val="0"/>
        </w:rPr>
        <w:t>（1）电源电压：AB/BC/AC；</w:t>
      </w:r>
    </w:p>
    <w:p>
      <w:pPr>
        <w:tabs>
          <w:tab w:val="left" w:pos="0"/>
        </w:tabs>
        <w:ind w:firstLine="960" w:firstLineChars="400"/>
        <w:rPr>
          <w:rFonts w:ascii="宋体" w:hAnsi="宋体" w:cs="Helvetica"/>
          <w:kern w:val="0"/>
        </w:rPr>
      </w:pPr>
      <w:r>
        <w:rPr>
          <w:rFonts w:hint="eastAsia" w:ascii="宋体" w:hAnsi="宋体" w:cs="Helvetica"/>
          <w:kern w:val="0"/>
        </w:rPr>
        <w:t>（2）室内/外温度：℃；</w:t>
      </w:r>
    </w:p>
    <w:p>
      <w:pPr>
        <w:tabs>
          <w:tab w:val="left" w:pos="0"/>
        </w:tabs>
        <w:ind w:firstLine="960" w:firstLineChars="400"/>
        <w:rPr>
          <w:rFonts w:ascii="宋体" w:hAnsi="宋体" w:cs="Helvetica"/>
          <w:kern w:val="0"/>
        </w:rPr>
      </w:pPr>
      <w:r>
        <w:rPr>
          <w:rFonts w:hint="eastAsia" w:ascii="宋体" w:hAnsi="宋体" w:cs="Helvetica"/>
          <w:kern w:val="0"/>
        </w:rPr>
        <w:t>（3）控制电压：V；</w:t>
      </w:r>
    </w:p>
    <w:p>
      <w:pPr>
        <w:tabs>
          <w:tab w:val="left" w:pos="0"/>
        </w:tabs>
        <w:ind w:firstLine="960" w:firstLineChars="400"/>
        <w:rPr>
          <w:rFonts w:ascii="宋体" w:hAnsi="宋体" w:cs="Helvetica"/>
          <w:kern w:val="0"/>
        </w:rPr>
      </w:pPr>
      <w:r>
        <w:rPr>
          <w:rFonts w:hint="eastAsia" w:ascii="宋体" w:hAnsi="宋体" w:cs="Helvetica"/>
          <w:kern w:val="0"/>
        </w:rPr>
        <w:t>（4）压缩机电流：A；</w:t>
      </w:r>
    </w:p>
    <w:p>
      <w:pPr>
        <w:tabs>
          <w:tab w:val="left" w:pos="0"/>
        </w:tabs>
        <w:ind w:firstLine="960" w:firstLineChars="400"/>
        <w:rPr>
          <w:rFonts w:ascii="宋体" w:hAnsi="宋体" w:cs="Helvetica"/>
          <w:kern w:val="0"/>
        </w:rPr>
      </w:pPr>
      <w:r>
        <w:rPr>
          <w:rFonts w:hint="eastAsia" w:ascii="宋体" w:hAnsi="宋体" w:cs="Helvetica"/>
          <w:kern w:val="0"/>
        </w:rPr>
        <w:t>（5）主风机电流：A;</w:t>
      </w:r>
    </w:p>
    <w:p>
      <w:pPr>
        <w:tabs>
          <w:tab w:val="left" w:pos="0"/>
        </w:tabs>
        <w:ind w:firstLine="960" w:firstLineChars="400"/>
        <w:rPr>
          <w:rFonts w:ascii="宋体" w:hAnsi="宋体" w:cs="Helvetica"/>
          <w:kern w:val="0"/>
        </w:rPr>
      </w:pPr>
      <w:r>
        <w:rPr>
          <w:rFonts w:hint="eastAsia" w:ascii="宋体" w:hAnsi="宋体" w:cs="Helvetica"/>
          <w:kern w:val="0"/>
        </w:rPr>
        <w:t>（6）加热电流：A;</w:t>
      </w:r>
    </w:p>
    <w:p>
      <w:pPr>
        <w:tabs>
          <w:tab w:val="left" w:pos="0"/>
        </w:tabs>
        <w:ind w:firstLine="480"/>
        <w:rPr>
          <w:rFonts w:ascii="宋体" w:hAnsi="宋体" w:cs="Helvetica"/>
          <w:kern w:val="0"/>
        </w:rPr>
      </w:pPr>
      <w:r>
        <w:rPr>
          <w:rFonts w:hint="eastAsia" w:ascii="宋体" w:hAnsi="宋体" w:cs="Helvetica"/>
          <w:kern w:val="0"/>
        </w:rPr>
        <w:t xml:space="preserve">     7.1.1.3 精密空调控制及制冷系统检查：</w:t>
      </w:r>
    </w:p>
    <w:p>
      <w:pPr>
        <w:tabs>
          <w:tab w:val="left" w:pos="0"/>
        </w:tabs>
        <w:ind w:firstLine="960" w:firstLineChars="400"/>
        <w:rPr>
          <w:rFonts w:ascii="宋体" w:hAnsi="宋体" w:cs="Helvetica"/>
          <w:kern w:val="0"/>
        </w:rPr>
      </w:pPr>
      <w:r>
        <w:rPr>
          <w:rFonts w:hint="eastAsia" w:ascii="宋体" w:hAnsi="宋体" w:cs="Helvetica"/>
          <w:kern w:val="0"/>
        </w:rPr>
        <w:t>（1）主风机控制是否正常；</w:t>
      </w:r>
    </w:p>
    <w:p>
      <w:pPr>
        <w:tabs>
          <w:tab w:val="left" w:pos="0"/>
        </w:tabs>
        <w:ind w:firstLine="960" w:firstLineChars="400"/>
        <w:rPr>
          <w:rFonts w:ascii="宋体" w:hAnsi="宋体" w:cs="Helvetica"/>
          <w:kern w:val="0"/>
        </w:rPr>
      </w:pPr>
      <w:r>
        <w:rPr>
          <w:rFonts w:hint="eastAsia" w:ascii="宋体" w:hAnsi="宋体" w:cs="Helvetica"/>
          <w:kern w:val="0"/>
        </w:rPr>
        <w:t>（2）加热控制状态是否正常；</w:t>
      </w:r>
    </w:p>
    <w:p>
      <w:pPr>
        <w:tabs>
          <w:tab w:val="left" w:pos="0"/>
        </w:tabs>
        <w:ind w:firstLine="960" w:firstLineChars="400"/>
        <w:rPr>
          <w:rFonts w:ascii="宋体" w:hAnsi="宋体" w:cs="Helvetica"/>
          <w:kern w:val="0"/>
        </w:rPr>
      </w:pPr>
      <w:r>
        <w:rPr>
          <w:rFonts w:hint="eastAsia" w:ascii="宋体" w:hAnsi="宋体" w:cs="Helvetica"/>
          <w:kern w:val="0"/>
        </w:rPr>
        <w:t>（3）压缩机压力高/低压是否正常；</w:t>
      </w:r>
    </w:p>
    <w:p>
      <w:pPr>
        <w:tabs>
          <w:tab w:val="left" w:pos="0"/>
        </w:tabs>
        <w:ind w:firstLine="960" w:firstLineChars="400"/>
        <w:rPr>
          <w:rFonts w:ascii="宋体" w:hAnsi="宋体" w:cs="Helvetica"/>
          <w:kern w:val="0"/>
        </w:rPr>
      </w:pPr>
      <w:r>
        <w:rPr>
          <w:rFonts w:hint="eastAsia" w:ascii="宋体" w:hAnsi="宋体" w:cs="Helvetica"/>
          <w:kern w:val="0"/>
        </w:rPr>
        <w:t>（4）高/低压开关动作是否正常；</w:t>
      </w:r>
    </w:p>
    <w:p>
      <w:pPr>
        <w:tabs>
          <w:tab w:val="left" w:pos="0"/>
        </w:tabs>
        <w:ind w:firstLine="960" w:firstLineChars="400"/>
        <w:rPr>
          <w:rFonts w:ascii="宋体" w:hAnsi="宋体" w:cs="Helvetica"/>
          <w:kern w:val="0"/>
        </w:rPr>
      </w:pPr>
      <w:r>
        <w:rPr>
          <w:rFonts w:hint="eastAsia" w:ascii="宋体" w:hAnsi="宋体" w:cs="Helvetica"/>
          <w:kern w:val="0"/>
        </w:rPr>
        <w:t>（5）膨胀阀是否正常;</w:t>
      </w:r>
    </w:p>
    <w:p>
      <w:pPr>
        <w:tabs>
          <w:tab w:val="left" w:pos="0"/>
        </w:tabs>
        <w:ind w:firstLine="960" w:firstLineChars="400"/>
        <w:rPr>
          <w:rFonts w:ascii="宋体" w:hAnsi="宋体" w:cs="Helvetica"/>
          <w:kern w:val="0"/>
        </w:rPr>
      </w:pPr>
      <w:r>
        <w:rPr>
          <w:rFonts w:hint="eastAsia" w:ascii="宋体" w:hAnsi="宋体" w:cs="Helvetica"/>
          <w:kern w:val="0"/>
        </w:rPr>
        <w:t>（6）压缩机震动情况是否正常;</w:t>
      </w:r>
    </w:p>
    <w:p>
      <w:pPr>
        <w:tabs>
          <w:tab w:val="left" w:pos="0"/>
        </w:tabs>
        <w:ind w:firstLine="480"/>
        <w:rPr>
          <w:rFonts w:ascii="宋体" w:hAnsi="宋体" w:cs="Helvetica"/>
          <w:kern w:val="0"/>
        </w:rPr>
      </w:pPr>
      <w:r>
        <w:rPr>
          <w:rFonts w:hint="eastAsia" w:ascii="宋体" w:hAnsi="宋体" w:cs="Helvetica"/>
          <w:kern w:val="0"/>
        </w:rPr>
        <w:t xml:space="preserve">  7.1.2 立柜空调检查内容：</w:t>
      </w:r>
    </w:p>
    <w:p>
      <w:pPr>
        <w:tabs>
          <w:tab w:val="left" w:pos="0"/>
        </w:tabs>
        <w:ind w:firstLine="480"/>
        <w:rPr>
          <w:rFonts w:ascii="宋体" w:hAnsi="宋体" w:cs="Helvetica"/>
          <w:kern w:val="0"/>
        </w:rPr>
      </w:pPr>
      <w:r>
        <w:rPr>
          <w:rFonts w:hint="eastAsia" w:ascii="宋体" w:hAnsi="宋体" w:cs="Helvetica"/>
          <w:kern w:val="0"/>
        </w:rPr>
        <w:t xml:space="preserve">    7.1.2.1 检查立柜空调检查内容：</w:t>
      </w:r>
    </w:p>
    <w:p>
      <w:pPr>
        <w:tabs>
          <w:tab w:val="left" w:pos="0"/>
        </w:tabs>
        <w:ind w:firstLine="960" w:firstLineChars="400"/>
        <w:rPr>
          <w:rFonts w:ascii="宋体" w:hAnsi="宋体" w:cs="Helvetica"/>
          <w:kern w:val="0"/>
        </w:rPr>
      </w:pPr>
      <w:r>
        <w:rPr>
          <w:rFonts w:hint="eastAsia" w:ascii="宋体" w:hAnsi="宋体" w:cs="Helvetica"/>
          <w:kern w:val="0"/>
        </w:rPr>
        <w:t>（1）面板显示是否正常；</w:t>
      </w:r>
    </w:p>
    <w:p>
      <w:pPr>
        <w:tabs>
          <w:tab w:val="left" w:pos="0"/>
        </w:tabs>
        <w:ind w:firstLine="960" w:firstLineChars="400"/>
        <w:rPr>
          <w:rFonts w:ascii="宋体" w:hAnsi="宋体" w:cs="Helvetica"/>
          <w:kern w:val="0"/>
        </w:rPr>
      </w:pPr>
      <w:r>
        <w:rPr>
          <w:rFonts w:hint="eastAsia" w:ascii="宋体" w:hAnsi="宋体" w:cs="Helvetica"/>
          <w:kern w:val="0"/>
        </w:rPr>
        <w:t>（2）室内/外电机是否正常；</w:t>
      </w:r>
    </w:p>
    <w:p>
      <w:pPr>
        <w:tabs>
          <w:tab w:val="left" w:pos="0"/>
        </w:tabs>
        <w:ind w:firstLine="480"/>
        <w:rPr>
          <w:rFonts w:ascii="宋体" w:hAnsi="宋体" w:cs="Helvetica"/>
          <w:kern w:val="0"/>
        </w:rPr>
      </w:pPr>
      <w:r>
        <w:rPr>
          <w:rFonts w:hint="eastAsia" w:ascii="宋体" w:hAnsi="宋体" w:cs="Helvetica"/>
          <w:kern w:val="0"/>
        </w:rPr>
        <w:t>7.2室外冷凝器及室内机滤网的清洗：乙方应在每年的5月和9月安排清洗工作，精密空调过滤网按使用情况及时更换。</w:t>
      </w:r>
    </w:p>
    <w:p>
      <w:pPr>
        <w:tabs>
          <w:tab w:val="left" w:pos="0"/>
        </w:tabs>
        <w:ind w:firstLine="480"/>
        <w:rPr>
          <w:rFonts w:ascii="宋体" w:hAnsi="宋体" w:cs="Helvetica"/>
          <w:kern w:val="0"/>
        </w:rPr>
      </w:pPr>
      <w:r>
        <w:rPr>
          <w:rFonts w:hint="eastAsia" w:ascii="宋体" w:hAnsi="宋体" w:cs="Helvetica"/>
          <w:kern w:val="0"/>
        </w:rPr>
        <w:t>7.3常用耗材：乙方应提供维护机房空调常用耗材并存放于甲方指定地点。</w:t>
      </w:r>
    </w:p>
    <w:p>
      <w:pPr>
        <w:tabs>
          <w:tab w:val="left" w:pos="0"/>
        </w:tabs>
        <w:ind w:firstLine="480"/>
        <w:rPr>
          <w:rFonts w:ascii="宋体" w:hAnsi="宋体" w:cs="Helvetica"/>
          <w:kern w:val="0"/>
        </w:rPr>
      </w:pPr>
      <w:r>
        <w:rPr>
          <w:rFonts w:hint="eastAsia" w:ascii="宋体" w:hAnsi="宋体" w:cs="Helvetica"/>
          <w:kern w:val="0"/>
        </w:rPr>
        <w:t>7.4组织安排原厂家技术人员半年一次现场实施维保。</w:t>
      </w:r>
    </w:p>
    <w:p>
      <w:pPr>
        <w:ind w:left="480" w:leftChars="200" w:firstLine="0" w:firstLineChars="0"/>
        <w:rPr>
          <w:b/>
          <w:bCs/>
        </w:rPr>
      </w:pPr>
      <w:r>
        <w:rPr>
          <w:rFonts w:hint="eastAsia"/>
          <w:b/>
          <w:bCs/>
        </w:rPr>
        <w:t>8、</w:t>
      </w:r>
      <w:r>
        <w:rPr>
          <w:rFonts w:hint="eastAsia"/>
          <w:b/>
          <w:bCs/>
          <w:lang w:val="zh-CN"/>
        </w:rPr>
        <w:t>机房UPS电源系统维保要求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8.1乙方提供保修期内在系统正常使用情况下出现故障所需的维修服务。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8.2乙方接到甲方设备故障通知后应迅速作出反应，在指导甲方作简单的应急处理的同时，1小时内到达现场进行故障处理，节假日和业余时间不加收服务费。</w:t>
      </w:r>
    </w:p>
    <w:p>
      <w:pPr>
        <w:tabs>
          <w:tab w:val="left" w:pos="0"/>
        </w:tabs>
        <w:ind w:firstLine="480"/>
        <w:rPr>
          <w:rFonts w:ascii="宋体" w:hAnsi="宋体" w:cs="Helvetica"/>
          <w:kern w:val="0"/>
        </w:rPr>
      </w:pPr>
      <w:r>
        <w:rPr>
          <w:rFonts w:hint="eastAsia" w:ascii="宋体" w:hAnsi="宋体" w:cs="Helvetica"/>
          <w:kern w:val="0"/>
        </w:rPr>
        <w:t>8.3每周巡检：乙方对UPS电源及蓄电池进行每周巡检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 xml:space="preserve">每周检查的具体项目： </w:t>
      </w:r>
    </w:p>
    <w:p>
      <w:pPr>
        <w:tabs>
          <w:tab w:val="left" w:pos="0"/>
        </w:tabs>
        <w:ind w:firstLine="720" w:firstLineChars="300"/>
        <w:rPr>
          <w:rFonts w:ascii="宋体" w:hAnsi="宋体" w:cs="Helvetica"/>
          <w:kern w:val="0"/>
        </w:rPr>
      </w:pPr>
      <w:r>
        <w:rPr>
          <w:rFonts w:hint="eastAsia" w:ascii="宋体" w:hAnsi="宋体" w:cs="Helvetica"/>
          <w:kern w:val="0"/>
        </w:rPr>
        <w:t xml:space="preserve">8.3.1检查所有电气连接 </w:t>
      </w:r>
    </w:p>
    <w:p>
      <w:pPr>
        <w:tabs>
          <w:tab w:val="left" w:pos="0"/>
        </w:tabs>
        <w:ind w:firstLine="720" w:firstLineChars="300"/>
        <w:rPr>
          <w:rFonts w:ascii="宋体" w:hAnsi="宋体" w:cs="Helvetica"/>
          <w:kern w:val="0"/>
        </w:rPr>
      </w:pPr>
      <w:r>
        <w:rPr>
          <w:rFonts w:hint="eastAsia" w:ascii="宋体" w:hAnsi="宋体" w:cs="Helvetica"/>
          <w:kern w:val="0"/>
        </w:rPr>
        <w:t>8.3.2检测市电输入电压：R/S/T；</w:t>
      </w:r>
    </w:p>
    <w:p>
      <w:pPr>
        <w:tabs>
          <w:tab w:val="left" w:pos="0"/>
        </w:tabs>
        <w:ind w:firstLine="720" w:firstLineChars="300"/>
        <w:rPr>
          <w:rFonts w:ascii="宋体" w:hAnsi="宋体" w:cs="Helvetica"/>
          <w:kern w:val="0"/>
        </w:rPr>
      </w:pPr>
      <w:r>
        <w:rPr>
          <w:rFonts w:hint="eastAsia" w:ascii="宋体" w:hAnsi="宋体" w:cs="Helvetica"/>
          <w:kern w:val="0"/>
        </w:rPr>
        <w:t xml:space="preserve">8.3.3检测市电输入配线：R/S/T/N/G项； </w:t>
      </w:r>
    </w:p>
    <w:p>
      <w:pPr>
        <w:tabs>
          <w:tab w:val="left" w:pos="0"/>
        </w:tabs>
        <w:ind w:firstLine="720" w:firstLineChars="300"/>
        <w:rPr>
          <w:rFonts w:ascii="宋体" w:hAnsi="宋体" w:cs="Helvetica"/>
          <w:kern w:val="0"/>
        </w:rPr>
      </w:pPr>
      <w:r>
        <w:rPr>
          <w:rFonts w:hint="eastAsia" w:ascii="宋体" w:hAnsi="宋体" w:cs="Helvetica"/>
          <w:kern w:val="0"/>
        </w:rPr>
        <w:t>8.3.4检测UPS输出电压：R/S/T；</w:t>
      </w:r>
    </w:p>
    <w:p>
      <w:pPr>
        <w:tabs>
          <w:tab w:val="left" w:pos="0"/>
        </w:tabs>
        <w:ind w:firstLine="720" w:firstLineChars="300"/>
        <w:rPr>
          <w:rFonts w:ascii="宋体" w:hAnsi="宋体" w:cs="Helvetica"/>
          <w:kern w:val="0"/>
        </w:rPr>
      </w:pPr>
      <w:r>
        <w:rPr>
          <w:rFonts w:hint="eastAsia" w:ascii="宋体" w:hAnsi="宋体" w:cs="Helvetica"/>
          <w:kern w:val="0"/>
        </w:rPr>
        <w:t>8.3.5检测UPS输入配线：R/S/T/N/G项；</w:t>
      </w:r>
    </w:p>
    <w:p>
      <w:pPr>
        <w:tabs>
          <w:tab w:val="left" w:pos="0"/>
        </w:tabs>
        <w:ind w:firstLine="720" w:firstLineChars="300"/>
        <w:rPr>
          <w:rFonts w:ascii="宋体" w:hAnsi="宋体" w:cs="Helvetica"/>
          <w:kern w:val="0"/>
        </w:rPr>
      </w:pPr>
      <w:r>
        <w:rPr>
          <w:rFonts w:hint="eastAsia" w:ascii="宋体" w:hAnsi="宋体" w:cs="Helvetica"/>
          <w:kern w:val="0"/>
        </w:rPr>
        <w:t>8.3.6检测UPS输出电流：R/S/T；</w:t>
      </w:r>
    </w:p>
    <w:p>
      <w:pPr>
        <w:tabs>
          <w:tab w:val="left" w:pos="0"/>
        </w:tabs>
        <w:ind w:firstLine="720" w:firstLineChars="300"/>
        <w:rPr>
          <w:rFonts w:ascii="宋体" w:hAnsi="宋体" w:cs="Helvetica"/>
          <w:kern w:val="0"/>
        </w:rPr>
      </w:pPr>
      <w:r>
        <w:rPr>
          <w:rFonts w:hint="eastAsia" w:ascii="宋体" w:hAnsi="宋体" w:cs="Helvetica"/>
          <w:kern w:val="0"/>
        </w:rPr>
        <w:t>8.3.7检测UPS带载率：R/S/T；</w:t>
      </w:r>
    </w:p>
    <w:p>
      <w:pPr>
        <w:tabs>
          <w:tab w:val="left" w:pos="0"/>
        </w:tabs>
        <w:ind w:firstLine="720" w:firstLineChars="300"/>
        <w:rPr>
          <w:rFonts w:ascii="宋体" w:hAnsi="宋体" w:cs="Helvetica"/>
          <w:kern w:val="0"/>
        </w:rPr>
      </w:pPr>
      <w:r>
        <w:rPr>
          <w:rFonts w:hint="eastAsia" w:ascii="宋体" w:hAnsi="宋体" w:cs="Helvetica"/>
          <w:kern w:val="0"/>
        </w:rPr>
        <w:t>8.3.8检测充电电压：</w:t>
      </w:r>
    </w:p>
    <w:p>
      <w:pPr>
        <w:tabs>
          <w:tab w:val="left" w:pos="0"/>
        </w:tabs>
        <w:ind w:firstLine="720" w:firstLineChars="300"/>
        <w:rPr>
          <w:rFonts w:ascii="宋体" w:hAnsi="宋体" w:cs="Helvetica"/>
          <w:kern w:val="0"/>
        </w:rPr>
      </w:pPr>
      <w:r>
        <w:rPr>
          <w:rFonts w:hint="eastAsia" w:ascii="宋体" w:hAnsi="宋体" w:cs="Helvetica"/>
          <w:kern w:val="0"/>
        </w:rPr>
        <w:t>8.3.9检测电池电压；</w:t>
      </w:r>
    </w:p>
    <w:p>
      <w:pPr>
        <w:tabs>
          <w:tab w:val="left" w:pos="0"/>
        </w:tabs>
        <w:ind w:firstLine="720" w:firstLineChars="300"/>
        <w:rPr>
          <w:rFonts w:ascii="宋体" w:hAnsi="宋体" w:cs="Helvetica"/>
          <w:kern w:val="0"/>
        </w:rPr>
      </w:pPr>
      <w:r>
        <w:rPr>
          <w:rFonts w:hint="eastAsia" w:ascii="宋体" w:hAnsi="宋体" w:cs="Helvetica"/>
          <w:kern w:val="0"/>
        </w:rPr>
        <w:t xml:space="preserve">8.3.10检测零地电压； </w:t>
      </w:r>
    </w:p>
    <w:p>
      <w:pPr>
        <w:tabs>
          <w:tab w:val="left" w:pos="0"/>
        </w:tabs>
        <w:ind w:firstLine="720" w:firstLineChars="300"/>
        <w:rPr>
          <w:rFonts w:ascii="宋体" w:hAnsi="宋体" w:cs="Helvetica"/>
          <w:kern w:val="0"/>
        </w:rPr>
      </w:pPr>
      <w:r>
        <w:rPr>
          <w:rFonts w:hint="eastAsia" w:ascii="宋体" w:hAnsi="宋体" w:cs="Helvetica"/>
          <w:kern w:val="0"/>
        </w:rPr>
        <w:t xml:space="preserve">8.3.11每半年进行放电测试 </w:t>
      </w:r>
    </w:p>
    <w:p>
      <w:pPr>
        <w:tabs>
          <w:tab w:val="left" w:pos="0"/>
        </w:tabs>
        <w:ind w:firstLine="720" w:firstLineChars="300"/>
        <w:rPr>
          <w:rFonts w:ascii="宋体" w:hAnsi="宋体" w:cs="Helvetica"/>
          <w:kern w:val="0"/>
        </w:rPr>
      </w:pPr>
      <w:r>
        <w:rPr>
          <w:rFonts w:hint="eastAsia" w:ascii="宋体" w:hAnsi="宋体" w:cs="Helvetica"/>
          <w:kern w:val="0"/>
        </w:rPr>
        <w:t xml:space="preserve">8.3.12每半年进行蓄电池参数测试，用专用电池测量仪表测量每块蓄电池的电压、内阻等参数，出具电池参数报告供甲方参考。 </w:t>
      </w:r>
    </w:p>
    <w:p>
      <w:pPr>
        <w:tabs>
          <w:tab w:val="left" w:pos="0"/>
        </w:tabs>
        <w:ind w:firstLine="480"/>
        <w:rPr>
          <w:rFonts w:ascii="宋体" w:hAnsi="宋体" w:cs="Helvetica"/>
          <w:kern w:val="0"/>
        </w:rPr>
      </w:pPr>
      <w:r>
        <w:rPr>
          <w:rFonts w:hint="eastAsia" w:ascii="宋体" w:hAnsi="宋体" w:cs="Helvetica"/>
          <w:kern w:val="0"/>
        </w:rPr>
        <w:t>8.4维修用备品备件：乙方应保证配件的供应，一切配件的更换均由乙方负责，所有费用包含在本次报价中，甲方不再另行支付（包括设备列表中所列所有内容），电池费用不包含在本次报价内。</w:t>
      </w:r>
    </w:p>
    <w:p>
      <w:pPr>
        <w:tabs>
          <w:tab w:val="left" w:pos="0"/>
        </w:tabs>
        <w:ind w:firstLine="480"/>
        <w:rPr>
          <w:rFonts w:ascii="宋体" w:hAnsi="宋体" w:cs="Helvetica"/>
          <w:kern w:val="0"/>
        </w:rPr>
      </w:pPr>
      <w:r>
        <w:rPr>
          <w:rFonts w:hint="eastAsia" w:ascii="宋体" w:hAnsi="宋体" w:cs="Helvetica"/>
          <w:kern w:val="0"/>
        </w:rPr>
        <w:t>8.5组织安排原厂家技术人员半年一次现场实施维保。</w:t>
      </w:r>
    </w:p>
    <w:p>
      <w:pPr>
        <w:pStyle w:val="261"/>
        <w:numPr>
          <w:ilvl w:val="255"/>
          <w:numId w:val="0"/>
        </w:numPr>
        <w:ind w:left="420"/>
        <w:rPr>
          <w:rFonts w:ascii="宋体" w:hAnsi="宋体" w:cs="宋体"/>
          <w:szCs w:val="21"/>
        </w:rPr>
      </w:pPr>
      <w:r>
        <w:rPr>
          <w:rFonts w:hint="eastAsia" w:eastAsia="宋体" w:cs="Times New Roman"/>
          <w:b/>
          <w:bCs/>
        </w:rPr>
        <w:t>9、</w:t>
      </w:r>
      <w:r>
        <w:rPr>
          <w:rFonts w:hint="eastAsia" w:eastAsia="宋体" w:cs="Times New Roman"/>
          <w:b/>
          <w:bCs/>
          <w:lang w:val="zh-CN"/>
        </w:rPr>
        <w:t>机房环境监控系统维保要求</w:t>
      </w:r>
    </w:p>
    <w:p>
      <w:pPr>
        <w:tabs>
          <w:tab w:val="left" w:pos="0"/>
        </w:tabs>
        <w:ind w:firstLine="480"/>
        <w:rPr>
          <w:rFonts w:ascii="宋体" w:hAnsi="宋体" w:cs="Helvetica"/>
          <w:kern w:val="0"/>
        </w:rPr>
      </w:pPr>
      <w:r>
        <w:rPr>
          <w:rFonts w:hint="eastAsia" w:ascii="宋体" w:hAnsi="宋体" w:cs="Helvetica"/>
          <w:kern w:val="0"/>
        </w:rPr>
        <w:t>乙方应按下述要求为甲方的设备提供维护服务，并对发现的问题及时处理，具体要求如下：</w:t>
      </w:r>
    </w:p>
    <w:p>
      <w:pPr>
        <w:tabs>
          <w:tab w:val="left" w:pos="0"/>
        </w:tabs>
        <w:ind w:firstLine="480"/>
        <w:rPr>
          <w:rFonts w:ascii="宋体" w:hAnsi="宋体" w:cs="Helvetica"/>
          <w:kern w:val="0"/>
        </w:rPr>
      </w:pPr>
      <w:r>
        <w:rPr>
          <w:rFonts w:hint="eastAsia" w:ascii="宋体" w:hAnsi="宋体" w:cs="Helvetica"/>
          <w:kern w:val="0"/>
        </w:rPr>
        <w:t>9.1乙方提供保修期内在系统正常使用情况下出现故障所需的维修服务。</w:t>
      </w:r>
    </w:p>
    <w:p>
      <w:pPr>
        <w:tabs>
          <w:tab w:val="left" w:pos="0"/>
        </w:tabs>
        <w:ind w:firstLine="480"/>
        <w:rPr>
          <w:rFonts w:ascii="宋体" w:hAnsi="宋体" w:cs="Helvetica"/>
          <w:kern w:val="0"/>
        </w:rPr>
      </w:pPr>
      <w:r>
        <w:rPr>
          <w:rFonts w:hint="eastAsia" w:ascii="宋体" w:hAnsi="宋体" w:cs="Helvetica"/>
          <w:kern w:val="0"/>
        </w:rPr>
        <w:t>9.2乙方接到甲方设备故障通知后应迅速作出反应，在指导甲方作简单的应急处理的同时，1小时内到达现场进行故障处理，节假日和业余时间不加收服务费。</w:t>
      </w:r>
    </w:p>
    <w:p>
      <w:pPr>
        <w:tabs>
          <w:tab w:val="left" w:pos="0"/>
        </w:tabs>
        <w:ind w:firstLine="480"/>
        <w:rPr>
          <w:rFonts w:ascii="宋体" w:hAnsi="宋体" w:cs="Helvetica"/>
          <w:kern w:val="0"/>
        </w:rPr>
      </w:pPr>
      <w:r>
        <w:rPr>
          <w:rFonts w:hint="eastAsia" w:ascii="宋体" w:hAnsi="宋体" w:cs="Helvetica"/>
          <w:kern w:val="0"/>
        </w:rPr>
        <w:t>9.3每周巡检：乙方对环境监控系统进行每周巡检</w:t>
      </w:r>
      <w:r>
        <w:rPr>
          <w:rFonts w:hint="eastAsia"/>
        </w:rPr>
        <w:t>并提供巡检报告</w:t>
      </w:r>
      <w:r>
        <w:rPr>
          <w:rFonts w:hint="eastAsia" w:ascii="宋体" w:hAnsi="宋体" w:cs="Helvetica"/>
          <w:kern w:val="0"/>
        </w:rPr>
        <w:t>，巡检工作内容包括：</w:t>
      </w:r>
    </w:p>
    <w:p>
      <w:pPr>
        <w:tabs>
          <w:tab w:val="left" w:pos="0"/>
        </w:tabs>
        <w:ind w:firstLine="720" w:firstLineChars="300"/>
        <w:rPr>
          <w:rFonts w:ascii="宋体" w:hAnsi="宋体" w:cs="Helvetica"/>
          <w:kern w:val="0"/>
        </w:rPr>
      </w:pPr>
      <w:r>
        <w:rPr>
          <w:rFonts w:hint="eastAsia" w:ascii="宋体" w:hAnsi="宋体" w:cs="Helvetica"/>
          <w:kern w:val="0"/>
        </w:rPr>
        <w:t xml:space="preserve">每周检查的具体项目： </w:t>
      </w:r>
    </w:p>
    <w:p>
      <w:pPr>
        <w:tabs>
          <w:tab w:val="left" w:pos="0"/>
        </w:tabs>
        <w:ind w:firstLine="720" w:firstLineChars="300"/>
        <w:rPr>
          <w:rFonts w:ascii="宋体" w:hAnsi="宋体" w:cs="Helvetica"/>
          <w:kern w:val="0"/>
        </w:rPr>
      </w:pPr>
      <w:r>
        <w:rPr>
          <w:rFonts w:hint="eastAsia" w:ascii="宋体" w:hAnsi="宋体" w:cs="Helvetica"/>
          <w:kern w:val="0"/>
        </w:rPr>
        <w:t>9.3.1 检查动力环境监控系统</w:t>
      </w:r>
    </w:p>
    <w:p>
      <w:pPr>
        <w:tabs>
          <w:tab w:val="left" w:pos="0"/>
        </w:tabs>
        <w:ind w:firstLine="960" w:firstLineChars="400"/>
        <w:rPr>
          <w:rFonts w:ascii="宋体" w:hAnsi="宋体" w:cs="Helvetica"/>
          <w:kern w:val="0"/>
        </w:rPr>
      </w:pPr>
      <w:r>
        <w:rPr>
          <w:rFonts w:hint="eastAsia" w:ascii="宋体" w:hAnsi="宋体" w:cs="Helvetica"/>
          <w:kern w:val="0"/>
        </w:rPr>
        <w:t>（1）服务器软件是否正常；</w:t>
      </w:r>
    </w:p>
    <w:p>
      <w:pPr>
        <w:tabs>
          <w:tab w:val="left" w:pos="0"/>
        </w:tabs>
        <w:ind w:firstLine="960" w:firstLineChars="400"/>
        <w:rPr>
          <w:rFonts w:ascii="宋体" w:hAnsi="宋体" w:cs="Helvetica"/>
          <w:kern w:val="0"/>
        </w:rPr>
      </w:pPr>
      <w:r>
        <w:rPr>
          <w:rFonts w:hint="eastAsia" w:ascii="宋体" w:hAnsi="宋体" w:cs="Helvetica"/>
          <w:kern w:val="0"/>
        </w:rPr>
        <w:t>（2）客户端软件是否正常；</w:t>
      </w:r>
    </w:p>
    <w:p>
      <w:pPr>
        <w:tabs>
          <w:tab w:val="left" w:pos="0"/>
        </w:tabs>
        <w:ind w:firstLine="960" w:firstLineChars="400"/>
        <w:rPr>
          <w:rFonts w:ascii="宋体" w:hAnsi="宋体" w:cs="Helvetica"/>
          <w:kern w:val="0"/>
        </w:rPr>
      </w:pPr>
      <w:r>
        <w:rPr>
          <w:rFonts w:hint="eastAsia" w:ascii="宋体" w:hAnsi="宋体" w:cs="Helvetica"/>
          <w:kern w:val="0"/>
        </w:rPr>
        <w:t>（3）图形定位告警界面是否正常；</w:t>
      </w:r>
    </w:p>
    <w:p>
      <w:pPr>
        <w:tabs>
          <w:tab w:val="left" w:pos="0"/>
        </w:tabs>
        <w:ind w:firstLine="960" w:firstLineChars="400"/>
        <w:rPr>
          <w:rFonts w:ascii="宋体" w:hAnsi="宋体" w:cs="Helvetica"/>
          <w:kern w:val="0"/>
        </w:rPr>
      </w:pPr>
      <w:r>
        <w:rPr>
          <w:rFonts w:hint="eastAsia" w:ascii="宋体" w:hAnsi="宋体" w:cs="Helvetica"/>
          <w:kern w:val="0"/>
        </w:rPr>
        <w:t>（4）3D仿真图示定位告警界面是否正常；</w:t>
      </w:r>
    </w:p>
    <w:p>
      <w:pPr>
        <w:tabs>
          <w:tab w:val="left" w:pos="0"/>
        </w:tabs>
        <w:ind w:firstLine="960" w:firstLineChars="400"/>
        <w:rPr>
          <w:rFonts w:ascii="宋体" w:hAnsi="宋体" w:cs="Helvetica"/>
          <w:kern w:val="0"/>
        </w:rPr>
      </w:pPr>
      <w:r>
        <w:rPr>
          <w:rFonts w:hint="eastAsia" w:ascii="宋体" w:hAnsi="宋体" w:cs="Helvetica"/>
          <w:kern w:val="0"/>
        </w:rPr>
        <w:t>（5）服务器远程监控是否正常；</w:t>
      </w:r>
    </w:p>
    <w:p>
      <w:pPr>
        <w:tabs>
          <w:tab w:val="left" w:pos="0"/>
        </w:tabs>
        <w:ind w:firstLine="960" w:firstLineChars="400"/>
        <w:rPr>
          <w:rFonts w:ascii="宋体" w:hAnsi="宋体" w:cs="Helvetica"/>
          <w:kern w:val="0"/>
        </w:rPr>
      </w:pPr>
      <w:r>
        <w:rPr>
          <w:rFonts w:hint="eastAsia" w:ascii="宋体" w:hAnsi="宋体" w:cs="Helvetica"/>
          <w:kern w:val="0"/>
        </w:rPr>
        <w:t>（6）交换机远程管理是否正常；</w:t>
      </w:r>
    </w:p>
    <w:p>
      <w:pPr>
        <w:tabs>
          <w:tab w:val="left" w:pos="0"/>
        </w:tabs>
        <w:ind w:firstLine="720" w:firstLineChars="300"/>
        <w:rPr>
          <w:rFonts w:ascii="宋体" w:hAnsi="宋体" w:cs="Helvetica"/>
          <w:kern w:val="0"/>
        </w:rPr>
      </w:pPr>
      <w:r>
        <w:rPr>
          <w:rFonts w:hint="eastAsia" w:ascii="宋体" w:hAnsi="宋体" w:cs="Helvetica"/>
          <w:kern w:val="0"/>
        </w:rPr>
        <w:t>9.3.2 检查监控系统硬件设备</w:t>
      </w:r>
    </w:p>
    <w:p>
      <w:pPr>
        <w:tabs>
          <w:tab w:val="left" w:pos="0"/>
        </w:tabs>
        <w:ind w:firstLine="960" w:firstLineChars="400"/>
        <w:rPr>
          <w:rFonts w:ascii="宋体" w:hAnsi="宋体" w:cs="Helvetica"/>
          <w:kern w:val="0"/>
        </w:rPr>
      </w:pPr>
      <w:r>
        <w:rPr>
          <w:rFonts w:hint="eastAsia" w:ascii="宋体" w:hAnsi="宋体" w:cs="Helvetica"/>
          <w:kern w:val="0"/>
        </w:rPr>
        <w:t>（1）环境检测调控服务器主机是否正常；</w:t>
      </w:r>
    </w:p>
    <w:p>
      <w:pPr>
        <w:tabs>
          <w:tab w:val="left" w:pos="0"/>
        </w:tabs>
        <w:ind w:firstLine="960" w:firstLineChars="400"/>
        <w:rPr>
          <w:rFonts w:ascii="宋体" w:hAnsi="宋体" w:cs="Helvetica"/>
          <w:kern w:val="0"/>
        </w:rPr>
      </w:pPr>
      <w:r>
        <w:rPr>
          <w:rFonts w:hint="eastAsia" w:ascii="宋体" w:hAnsi="宋体" w:cs="Helvetica"/>
          <w:kern w:val="0"/>
        </w:rPr>
        <w:t>（2）动力、环境视频综合监控工作站主机是否正常；</w:t>
      </w:r>
    </w:p>
    <w:p>
      <w:pPr>
        <w:tabs>
          <w:tab w:val="left" w:pos="0"/>
        </w:tabs>
        <w:ind w:firstLine="960" w:firstLineChars="400"/>
        <w:rPr>
          <w:rFonts w:ascii="宋体" w:hAnsi="宋体" w:cs="Helvetica"/>
          <w:kern w:val="0"/>
        </w:rPr>
      </w:pPr>
      <w:r>
        <w:rPr>
          <w:rFonts w:hint="eastAsia" w:ascii="宋体" w:hAnsi="宋体" w:cs="Helvetica"/>
          <w:kern w:val="0"/>
        </w:rPr>
        <w:t>（3）后备电源是否正常；</w:t>
      </w:r>
    </w:p>
    <w:p>
      <w:pPr>
        <w:tabs>
          <w:tab w:val="left" w:pos="0"/>
        </w:tabs>
        <w:ind w:firstLine="960" w:firstLineChars="400"/>
        <w:rPr>
          <w:rFonts w:ascii="宋体" w:hAnsi="宋体" w:cs="Helvetica"/>
          <w:kern w:val="0"/>
        </w:rPr>
      </w:pPr>
      <w:r>
        <w:rPr>
          <w:rFonts w:hint="eastAsia" w:ascii="宋体" w:hAnsi="宋体" w:cs="Helvetica"/>
          <w:kern w:val="0"/>
        </w:rPr>
        <w:t>（4）短信告警模块是否正常；</w:t>
      </w:r>
    </w:p>
    <w:p>
      <w:pPr>
        <w:tabs>
          <w:tab w:val="left" w:pos="0"/>
        </w:tabs>
        <w:ind w:firstLine="960" w:firstLineChars="400"/>
        <w:rPr>
          <w:rFonts w:ascii="宋体" w:hAnsi="宋体" w:cs="Helvetica"/>
          <w:kern w:val="0"/>
        </w:rPr>
      </w:pPr>
      <w:r>
        <w:rPr>
          <w:rFonts w:hint="eastAsia" w:ascii="宋体" w:hAnsi="宋体" w:cs="Helvetica"/>
          <w:kern w:val="0"/>
        </w:rPr>
        <w:t>（5）双冗余电源断电监控模块是否正常；</w:t>
      </w:r>
    </w:p>
    <w:p>
      <w:pPr>
        <w:tabs>
          <w:tab w:val="left" w:pos="0"/>
        </w:tabs>
        <w:ind w:firstLine="960" w:firstLineChars="400"/>
        <w:rPr>
          <w:rFonts w:ascii="宋体" w:hAnsi="宋体" w:cs="Helvetica"/>
          <w:kern w:val="0"/>
        </w:rPr>
      </w:pPr>
      <w:r>
        <w:rPr>
          <w:rFonts w:hint="eastAsia" w:ascii="宋体" w:hAnsi="宋体" w:cs="Helvetica"/>
          <w:kern w:val="0"/>
        </w:rPr>
        <w:t>（6）三相电力检测仪是否正常；</w:t>
      </w:r>
    </w:p>
    <w:p>
      <w:pPr>
        <w:tabs>
          <w:tab w:val="left" w:pos="0"/>
        </w:tabs>
        <w:ind w:firstLine="960" w:firstLineChars="400"/>
        <w:rPr>
          <w:rFonts w:ascii="宋体" w:hAnsi="宋体" w:cs="Helvetica"/>
          <w:kern w:val="0"/>
        </w:rPr>
      </w:pPr>
      <w:r>
        <w:rPr>
          <w:rFonts w:hint="eastAsia" w:ascii="宋体" w:hAnsi="宋体" w:cs="Helvetica"/>
          <w:kern w:val="0"/>
        </w:rPr>
        <w:t>（7）数字化温、湿度传感器是否正常；</w:t>
      </w:r>
    </w:p>
    <w:p>
      <w:pPr>
        <w:tabs>
          <w:tab w:val="left" w:pos="0"/>
        </w:tabs>
        <w:ind w:firstLine="960" w:firstLineChars="400"/>
        <w:rPr>
          <w:rFonts w:ascii="宋体" w:hAnsi="宋体" w:cs="Helvetica"/>
          <w:kern w:val="0"/>
        </w:rPr>
      </w:pPr>
      <w:r>
        <w:rPr>
          <w:rFonts w:hint="eastAsia" w:ascii="宋体" w:hAnsi="宋体" w:cs="Helvetica"/>
          <w:kern w:val="0"/>
        </w:rPr>
        <w:t>（8）UPS联动模块是否正常；</w:t>
      </w:r>
    </w:p>
    <w:p>
      <w:pPr>
        <w:tabs>
          <w:tab w:val="left" w:pos="0"/>
        </w:tabs>
        <w:ind w:firstLine="960" w:firstLineChars="400"/>
        <w:rPr>
          <w:rFonts w:ascii="宋体" w:hAnsi="宋体" w:cs="Helvetica"/>
          <w:kern w:val="0"/>
        </w:rPr>
      </w:pPr>
      <w:r>
        <w:rPr>
          <w:rFonts w:hint="eastAsia" w:ascii="宋体" w:hAnsi="宋体" w:cs="Helvetica"/>
          <w:kern w:val="0"/>
        </w:rPr>
        <w:t>（9）水浸传感器是否正常；</w:t>
      </w:r>
    </w:p>
    <w:p>
      <w:pPr>
        <w:tabs>
          <w:tab w:val="left" w:pos="0"/>
        </w:tabs>
        <w:ind w:firstLine="960" w:firstLineChars="400"/>
        <w:rPr>
          <w:rFonts w:ascii="宋体" w:hAnsi="宋体" w:cs="Helvetica"/>
          <w:kern w:val="0"/>
        </w:rPr>
      </w:pPr>
      <w:r>
        <w:rPr>
          <w:rFonts w:hint="eastAsia" w:ascii="宋体" w:hAnsi="宋体" w:cs="Helvetica"/>
          <w:kern w:val="0"/>
        </w:rPr>
        <w:t>（10）双鉴探测器是否正常；</w:t>
      </w:r>
    </w:p>
    <w:p>
      <w:pPr>
        <w:tabs>
          <w:tab w:val="left" w:pos="0"/>
        </w:tabs>
        <w:ind w:firstLine="960" w:firstLineChars="400"/>
        <w:rPr>
          <w:rFonts w:ascii="宋体" w:hAnsi="宋体" w:cs="Helvetica"/>
          <w:kern w:val="0"/>
        </w:rPr>
      </w:pPr>
      <w:r>
        <w:rPr>
          <w:rFonts w:hint="eastAsia" w:ascii="宋体" w:hAnsi="宋体" w:cs="Helvetica"/>
          <w:kern w:val="0"/>
        </w:rPr>
        <w:t>（11）精密空调联动模块是否正常；</w:t>
      </w:r>
    </w:p>
    <w:p>
      <w:pPr>
        <w:tabs>
          <w:tab w:val="left" w:pos="0"/>
        </w:tabs>
        <w:ind w:firstLine="960" w:firstLineChars="400"/>
        <w:rPr>
          <w:rFonts w:ascii="宋体" w:hAnsi="宋体" w:cs="Helvetica"/>
          <w:kern w:val="0"/>
        </w:rPr>
      </w:pPr>
      <w:r>
        <w:rPr>
          <w:rFonts w:hint="eastAsia" w:ascii="宋体" w:hAnsi="宋体" w:cs="Helvetica"/>
          <w:kern w:val="0"/>
        </w:rPr>
        <w:t>（12）门禁管理模块组是否正常；</w:t>
      </w:r>
    </w:p>
    <w:p>
      <w:pPr>
        <w:tabs>
          <w:tab w:val="left" w:pos="0"/>
        </w:tabs>
        <w:ind w:firstLine="960" w:firstLineChars="400"/>
        <w:rPr>
          <w:rFonts w:ascii="宋体" w:hAnsi="宋体" w:cs="Helvetica"/>
          <w:kern w:val="0"/>
        </w:rPr>
      </w:pPr>
      <w:r>
        <w:rPr>
          <w:rFonts w:hint="eastAsia" w:ascii="宋体" w:hAnsi="宋体" w:cs="Helvetica"/>
          <w:kern w:val="0"/>
        </w:rPr>
        <w:t>（13）消防报警联动模块是否正常；</w:t>
      </w:r>
    </w:p>
    <w:p>
      <w:pPr>
        <w:tabs>
          <w:tab w:val="left" w:pos="0"/>
        </w:tabs>
        <w:ind w:firstLine="960" w:firstLineChars="400"/>
        <w:rPr>
          <w:rFonts w:ascii="宋体" w:hAnsi="宋体" w:cs="Helvetica"/>
          <w:kern w:val="0"/>
        </w:rPr>
      </w:pPr>
      <w:r>
        <w:rPr>
          <w:rFonts w:hint="eastAsia" w:ascii="宋体" w:hAnsi="宋体" w:cs="Helvetica"/>
          <w:kern w:val="0"/>
        </w:rPr>
        <w:t>（14）新风联动模块是否正常；</w:t>
      </w:r>
    </w:p>
    <w:p>
      <w:pPr>
        <w:tabs>
          <w:tab w:val="left" w:pos="0"/>
        </w:tabs>
        <w:ind w:firstLine="960" w:firstLineChars="400"/>
        <w:rPr>
          <w:rFonts w:ascii="宋体" w:hAnsi="宋体" w:cs="Helvetica"/>
          <w:kern w:val="0"/>
        </w:rPr>
      </w:pPr>
      <w:r>
        <w:rPr>
          <w:rFonts w:hint="eastAsia" w:ascii="宋体" w:hAnsi="宋体" w:cs="Helvetica"/>
          <w:kern w:val="0"/>
        </w:rPr>
        <w:t>（15）信息采集交换机是否正常；</w:t>
      </w:r>
    </w:p>
    <w:p>
      <w:pPr>
        <w:tabs>
          <w:tab w:val="left" w:pos="0"/>
        </w:tabs>
        <w:ind w:firstLine="960" w:firstLineChars="400"/>
        <w:rPr>
          <w:rFonts w:ascii="宋体" w:hAnsi="宋体" w:cs="Helvetica"/>
          <w:kern w:val="0"/>
        </w:rPr>
      </w:pPr>
      <w:r>
        <w:rPr>
          <w:rFonts w:hint="eastAsia" w:ascii="宋体" w:hAnsi="宋体" w:cs="Helvetica"/>
          <w:kern w:val="0"/>
        </w:rPr>
        <w:t>（16）通讯线路是否正常；</w:t>
      </w:r>
    </w:p>
    <w:p>
      <w:pPr>
        <w:tabs>
          <w:tab w:val="left" w:pos="0"/>
        </w:tabs>
        <w:ind w:firstLine="960" w:firstLineChars="400"/>
        <w:rPr>
          <w:rFonts w:ascii="宋体" w:hAnsi="宋体" w:cs="Helvetica"/>
          <w:kern w:val="0"/>
        </w:rPr>
      </w:pPr>
      <w:r>
        <w:rPr>
          <w:rFonts w:hint="eastAsia" w:ascii="宋体" w:hAnsi="宋体" w:cs="Helvetica"/>
          <w:kern w:val="0"/>
        </w:rPr>
        <w:t>（17）检查短信功能是否正常；</w:t>
      </w:r>
    </w:p>
    <w:p>
      <w:pPr>
        <w:tabs>
          <w:tab w:val="left" w:pos="0"/>
        </w:tabs>
        <w:ind w:firstLine="720" w:firstLineChars="300"/>
        <w:rPr>
          <w:rFonts w:ascii="宋体" w:hAnsi="宋体" w:cs="Helvetica"/>
          <w:kern w:val="0"/>
        </w:rPr>
      </w:pPr>
      <w:r>
        <w:rPr>
          <w:rFonts w:hint="eastAsia" w:ascii="宋体" w:hAnsi="宋体" w:cs="Helvetica"/>
          <w:kern w:val="0"/>
        </w:rPr>
        <w:t>9.3.3 检查虚拟机服务器</w:t>
      </w:r>
    </w:p>
    <w:p>
      <w:pPr>
        <w:tabs>
          <w:tab w:val="left" w:pos="0"/>
        </w:tabs>
        <w:ind w:firstLine="960" w:firstLineChars="400"/>
        <w:rPr>
          <w:rFonts w:ascii="宋体" w:hAnsi="宋体" w:cs="Helvetica"/>
          <w:kern w:val="0"/>
        </w:rPr>
      </w:pPr>
      <w:r>
        <w:rPr>
          <w:rFonts w:hint="eastAsia" w:ascii="宋体" w:hAnsi="宋体" w:cs="Helvetica"/>
          <w:kern w:val="0"/>
        </w:rPr>
        <w:t>（1）CPU资源是否充足，资源管理器中查看使用率；</w:t>
      </w:r>
    </w:p>
    <w:p>
      <w:pPr>
        <w:tabs>
          <w:tab w:val="left" w:pos="0"/>
        </w:tabs>
        <w:ind w:firstLine="960" w:firstLineChars="400"/>
        <w:rPr>
          <w:rFonts w:ascii="宋体" w:hAnsi="宋体" w:cs="Helvetica"/>
          <w:kern w:val="0"/>
        </w:rPr>
      </w:pPr>
      <w:r>
        <w:rPr>
          <w:rFonts w:hint="eastAsia" w:ascii="宋体" w:hAnsi="宋体" w:cs="Helvetica"/>
          <w:kern w:val="0"/>
        </w:rPr>
        <w:t>（2）内存资源是否充足，资源管理器中查看使用率；</w:t>
      </w:r>
    </w:p>
    <w:p>
      <w:pPr>
        <w:tabs>
          <w:tab w:val="left" w:pos="0"/>
        </w:tabs>
        <w:ind w:firstLine="960" w:firstLineChars="400"/>
        <w:rPr>
          <w:rFonts w:ascii="宋体" w:hAnsi="宋体" w:cs="Helvetica"/>
          <w:kern w:val="0"/>
        </w:rPr>
      </w:pPr>
      <w:r>
        <w:rPr>
          <w:rFonts w:hint="eastAsia" w:ascii="宋体" w:hAnsi="宋体" w:cs="Helvetica"/>
          <w:kern w:val="0"/>
        </w:rPr>
        <w:t>（3）硬盘资源是否充足，查看现有数据的占用量；</w:t>
      </w:r>
    </w:p>
    <w:p>
      <w:pPr>
        <w:tabs>
          <w:tab w:val="left" w:pos="0"/>
        </w:tabs>
        <w:ind w:firstLine="960" w:firstLineChars="400"/>
        <w:rPr>
          <w:rFonts w:ascii="宋体" w:hAnsi="宋体" w:cs="Helvetica"/>
          <w:kern w:val="0"/>
        </w:rPr>
      </w:pPr>
      <w:r>
        <w:rPr>
          <w:rFonts w:hint="eastAsia" w:ascii="宋体" w:hAnsi="宋体" w:cs="Helvetica"/>
          <w:kern w:val="0"/>
        </w:rPr>
        <w:t>（4）服务器响应是否正常，查看客户端访问服务器的响应速度；</w:t>
      </w:r>
    </w:p>
    <w:p>
      <w:pPr>
        <w:tabs>
          <w:tab w:val="left" w:pos="0"/>
        </w:tabs>
        <w:ind w:firstLine="960" w:firstLineChars="400"/>
        <w:rPr>
          <w:rFonts w:ascii="宋体" w:hAnsi="宋体" w:cs="Helvetica"/>
          <w:kern w:val="0"/>
        </w:rPr>
      </w:pPr>
      <w:r>
        <w:rPr>
          <w:rFonts w:hint="eastAsia" w:ascii="宋体" w:hAnsi="宋体" w:cs="Helvetica"/>
          <w:kern w:val="0"/>
        </w:rPr>
        <w:t>（5）探测器通信是否正常，各种探测器到服务器是否通信正常；</w:t>
      </w:r>
    </w:p>
    <w:p>
      <w:pPr>
        <w:tabs>
          <w:tab w:val="left" w:pos="0"/>
        </w:tabs>
        <w:ind w:firstLine="960" w:firstLineChars="400"/>
        <w:rPr>
          <w:rFonts w:ascii="宋体" w:hAnsi="宋体" w:cs="Helvetica"/>
          <w:kern w:val="0"/>
        </w:rPr>
      </w:pPr>
      <w:r>
        <w:rPr>
          <w:rFonts w:hint="eastAsia" w:ascii="宋体" w:hAnsi="宋体" w:cs="Helvetica"/>
          <w:kern w:val="0"/>
        </w:rPr>
        <w:t>（6）数据库是否正常，数据处理调用及报警数据查询是否正常；</w:t>
      </w:r>
    </w:p>
    <w:p>
      <w:pPr>
        <w:tabs>
          <w:tab w:val="left" w:pos="0"/>
        </w:tabs>
        <w:ind w:firstLine="960" w:firstLineChars="400"/>
        <w:rPr>
          <w:rFonts w:ascii="宋体" w:hAnsi="宋体" w:cs="Helvetica"/>
          <w:kern w:val="0"/>
        </w:rPr>
      </w:pPr>
      <w:r>
        <w:rPr>
          <w:rFonts w:hint="eastAsia" w:ascii="宋体" w:hAnsi="宋体" w:cs="Helvetica"/>
          <w:kern w:val="0"/>
        </w:rPr>
        <w:t>（7）服务器系统是否有备份，系统备份可以保证系统故障及时回复；</w:t>
      </w:r>
    </w:p>
    <w:p>
      <w:pPr>
        <w:tabs>
          <w:tab w:val="left" w:pos="0"/>
        </w:tabs>
        <w:ind w:firstLine="480"/>
        <w:rPr>
          <w:rFonts w:ascii="宋体" w:hAnsi="宋体" w:cs="Helvetica"/>
          <w:kern w:val="0"/>
        </w:rPr>
      </w:pPr>
      <w:r>
        <w:rPr>
          <w:rFonts w:hint="eastAsia" w:ascii="宋体" w:hAnsi="宋体" w:cs="Helvetica"/>
          <w:kern w:val="0"/>
        </w:rPr>
        <w:t>9.4常用耗材：乙方应保证配件的供应，一切配件的更换均由乙方负责，所有费用包含在本次报价中，甲方不再另行支付（包括设备列表中所列所有内容），如果电池过保质期，电池费用不包含在本次报价内；</w:t>
      </w:r>
    </w:p>
    <w:p>
      <w:pPr>
        <w:tabs>
          <w:tab w:val="left" w:pos="0"/>
        </w:tabs>
        <w:ind w:firstLine="480"/>
        <w:rPr>
          <w:rFonts w:ascii="宋体" w:hAnsi="宋体" w:cs="Helvetica"/>
          <w:kern w:val="0"/>
        </w:rPr>
      </w:pPr>
      <w:r>
        <w:rPr>
          <w:rFonts w:hint="eastAsia" w:ascii="宋体" w:hAnsi="宋体" w:cs="Helvetica"/>
          <w:kern w:val="0"/>
        </w:rPr>
        <w:t>9.5组织安排原厂家技术人员半年一次现场实施维保。</w:t>
      </w:r>
    </w:p>
    <w:p>
      <w:pPr>
        <w:tabs>
          <w:tab w:val="left" w:pos="0"/>
        </w:tabs>
        <w:ind w:firstLine="480"/>
        <w:rPr>
          <w:rFonts w:ascii="宋体" w:hAnsi="宋体" w:cs="Helvetica"/>
          <w:kern w:val="0"/>
        </w:rPr>
      </w:pPr>
      <w:r>
        <w:rPr>
          <w:rFonts w:ascii="宋体" w:hAnsi="宋体" w:cs="Helvetica"/>
          <w:kern w:val="0"/>
        </w:rPr>
        <w:t>10、</w:t>
      </w:r>
      <w:r>
        <w:rPr>
          <w:rFonts w:hint="eastAsia" w:ascii="宋体" w:hAnsi="宋体" w:cs="Helvetica"/>
          <w:kern w:val="0"/>
        </w:rPr>
        <w:t>乙方须建立维护管理台账，每月初向甲方提交一份上月故障及服务报告。可查询包括但不限于日常维护情况、故障维修情况、备品备件更换情况、清洁保养情况等。</w:t>
      </w:r>
    </w:p>
    <w:p>
      <w:pPr>
        <w:ind w:firstLine="480"/>
        <w:rPr>
          <w:rFonts w:ascii="宋体" w:hAnsi="宋体" w:cs="宋体"/>
          <w:szCs w:val="21"/>
        </w:rPr>
      </w:pPr>
      <w:r>
        <w:rPr>
          <w:rFonts w:ascii="宋体" w:hAnsi="宋体" w:cs="宋体"/>
          <w:szCs w:val="21"/>
        </w:rPr>
        <w:t>11、</w:t>
      </w:r>
      <w:r>
        <w:rPr>
          <w:rFonts w:hint="eastAsia" w:ascii="宋体" w:hAnsi="宋体" w:cs="Helvetica"/>
          <w:kern w:val="0"/>
        </w:rPr>
        <w:t>乙方</w:t>
      </w:r>
      <w:r>
        <w:rPr>
          <w:rFonts w:hint="eastAsia" w:ascii="宋体" w:hAnsi="宋体" w:cs="宋体"/>
          <w:szCs w:val="21"/>
        </w:rPr>
        <w:t>在每年</w:t>
      </w:r>
      <w:r>
        <w:rPr>
          <w:rFonts w:ascii="宋体" w:hAnsi="宋体" w:cs="宋体"/>
          <w:szCs w:val="21"/>
        </w:rPr>
        <w:t>7、8、9三个月内需提供每周二次的巡检服务。</w:t>
      </w:r>
    </w:p>
    <w:p>
      <w:pPr>
        <w:ind w:firstLine="458"/>
        <w:rPr>
          <w:rFonts w:ascii="宋体" w:hAnsi="宋体" w:cs="宋体"/>
          <w:b/>
          <w:spacing w:val="-6"/>
        </w:rPr>
      </w:pPr>
      <w:r>
        <w:rPr>
          <w:rFonts w:hint="eastAsia" w:ascii="宋体" w:hAnsi="宋体" w:cs="宋体"/>
          <w:b/>
          <w:spacing w:val="-6"/>
        </w:rPr>
        <w:t>第五条：其他技术、服务要求</w:t>
      </w:r>
    </w:p>
    <w:p>
      <w:pPr>
        <w:ind w:right="26" w:rightChars="11" w:firstLine="456"/>
        <w:rPr>
          <w:rFonts w:ascii="宋体" w:hAnsi="宋体" w:cs="宋体"/>
          <w:spacing w:val="-6"/>
        </w:rPr>
      </w:pPr>
      <w:r>
        <w:rPr>
          <w:rFonts w:hint="eastAsia" w:ascii="宋体" w:hAnsi="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保密期限为本协议签署之日起至专有信息进入公有领域之日止。</w:t>
      </w:r>
    </w:p>
    <w:p>
      <w:pPr>
        <w:ind w:right="26" w:rightChars="11" w:firstLine="456"/>
        <w:rPr>
          <w:rFonts w:ascii="宋体" w:hAnsi="宋体" w:cs="宋体"/>
          <w:spacing w:val="-6"/>
        </w:rPr>
      </w:pPr>
      <w:r>
        <w:rPr>
          <w:rFonts w:hint="eastAsia" w:ascii="宋体" w:hAnsi="宋体" w:cs="宋体"/>
          <w:spacing w:val="-6"/>
        </w:rPr>
        <w:t>2.乙方应保证所提供的服务或其中任何一部分均不会侵犯第三方的知识产权或其他合法权益。</w:t>
      </w:r>
    </w:p>
    <w:p>
      <w:pPr>
        <w:ind w:right="26" w:rightChars="11" w:firstLine="456"/>
        <w:rPr>
          <w:rFonts w:ascii="宋体" w:hAnsi="宋体" w:cs="宋体"/>
          <w:spacing w:val="-6"/>
        </w:rPr>
      </w:pPr>
      <w:r>
        <w:rPr>
          <w:rFonts w:hint="eastAsia" w:ascii="宋体" w:hAnsi="宋体" w:cs="宋体"/>
          <w:spacing w:val="-6"/>
        </w:rPr>
        <w:t>3.乙方根据本合同为甲方提供的服务所产生的一切工作成果，包括但不限于数据、报告等，知识产权均归属于甲方所有。未经甲方书面同意，乙方不得擅自使用或提供给任何第三方使用。</w:t>
      </w:r>
    </w:p>
    <w:p>
      <w:pPr>
        <w:ind w:right="26" w:rightChars="11" w:firstLine="456"/>
        <w:rPr>
          <w:rFonts w:ascii="宋体" w:hAnsi="宋体" w:cs="宋体"/>
          <w:spacing w:val="-6"/>
        </w:rPr>
      </w:pPr>
      <w:r>
        <w:rPr>
          <w:rFonts w:hint="eastAsia" w:ascii="宋体" w:hAnsi="宋体" w:cs="宋体"/>
          <w:spacing w:val="-6"/>
        </w:rPr>
        <w:t>4.乙方在组织服务过程中，应当负责采取适当安全保障措施，负责现场安全管理，若在活动过程中发生安全事故造成人身或财产损失的，由乙方负责处理并承担经济责任。若给甲方造成损失的，甲方有权向乙方追偿。</w:t>
      </w:r>
    </w:p>
    <w:p>
      <w:pPr>
        <w:ind w:right="26" w:rightChars="11" w:firstLine="456"/>
        <w:rPr>
          <w:rFonts w:ascii="宋体" w:hAnsi="宋体" w:cs="宋体"/>
          <w:spacing w:val="-6"/>
        </w:rPr>
      </w:pPr>
      <w:r>
        <w:rPr>
          <w:rFonts w:hint="eastAsia" w:ascii="宋体" w:hAnsi="宋体" w:cs="宋体"/>
          <w:spacing w:val="-6"/>
        </w:rPr>
        <w:t>5.乙方承诺遵守国家相关法律法规，不进行危害网络安全的活动。</w:t>
      </w:r>
    </w:p>
    <w:p>
      <w:pPr>
        <w:ind w:firstLine="458"/>
        <w:rPr>
          <w:rFonts w:ascii="宋体" w:hAnsi="宋体" w:cs="宋体"/>
          <w:b/>
          <w:spacing w:val="-6"/>
        </w:rPr>
      </w:pPr>
      <w:r>
        <w:rPr>
          <w:rFonts w:hint="eastAsia" w:ascii="宋体" w:hAnsi="宋体" w:cs="宋体"/>
          <w:b/>
          <w:spacing w:val="-6"/>
        </w:rPr>
        <w:t>第六条：验收标准</w:t>
      </w:r>
    </w:p>
    <w:p>
      <w:pPr>
        <w:ind w:right="26" w:rightChars="11" w:firstLine="456"/>
        <w:rPr>
          <w:rFonts w:ascii="宋体" w:hAnsi="宋体" w:cs="宋体"/>
          <w:spacing w:val="-6"/>
        </w:rPr>
      </w:pPr>
      <w:r>
        <w:rPr>
          <w:rFonts w:hint="eastAsia" w:ascii="宋体" w:hAnsi="宋体" w:cs="宋体"/>
          <w:spacing w:val="-6"/>
        </w:rPr>
        <w:t>1.验收由甲方负责实施；</w:t>
      </w:r>
    </w:p>
    <w:p>
      <w:pPr>
        <w:ind w:right="26" w:rightChars="11" w:firstLine="456"/>
        <w:rPr>
          <w:rFonts w:ascii="宋体" w:hAnsi="宋体" w:cs="宋体"/>
          <w:spacing w:val="-6"/>
        </w:rPr>
      </w:pPr>
      <w:r>
        <w:rPr>
          <w:rFonts w:hint="eastAsia" w:ascii="宋体" w:hAnsi="宋体" w:cs="宋体"/>
          <w:spacing w:val="-6"/>
        </w:rPr>
        <w:t>2.验收依据：</w:t>
      </w:r>
    </w:p>
    <w:p>
      <w:pPr>
        <w:ind w:right="26" w:rightChars="11" w:firstLine="456"/>
        <w:rPr>
          <w:rFonts w:ascii="宋体" w:hAnsi="宋体" w:cs="宋体"/>
          <w:spacing w:val="-6"/>
        </w:rPr>
      </w:pPr>
      <w:r>
        <w:rPr>
          <w:rFonts w:hint="eastAsia" w:ascii="宋体" w:hAnsi="宋体" w:cs="宋体"/>
          <w:spacing w:val="-6"/>
        </w:rPr>
        <w:t>2.1合同、采购文件、投标文件；</w:t>
      </w:r>
    </w:p>
    <w:p>
      <w:pPr>
        <w:ind w:right="26" w:rightChars="11" w:firstLine="456"/>
        <w:rPr>
          <w:rFonts w:ascii="宋体" w:hAnsi="宋体" w:cs="宋体"/>
          <w:spacing w:val="-6"/>
        </w:rPr>
      </w:pPr>
      <w:r>
        <w:rPr>
          <w:rFonts w:hint="eastAsia" w:ascii="宋体" w:hAnsi="宋体" w:cs="宋体"/>
          <w:spacing w:val="-6"/>
        </w:rPr>
        <w:t>2.2于【】年【】月【】日前，乙方向甲方提供与采购文件相符的初步验收材料供甲方进行初步验收，以合作内容的落实情况报告为主。于【】年【】月【】日前，乙方向甲方提供与采购文件相符的终验验收材料供甲方进行终验。双方对具体验收材料的提交有不同意见的，以甲方要求为准。</w:t>
      </w:r>
    </w:p>
    <w:p>
      <w:pPr>
        <w:ind w:right="26" w:rightChars="11" w:firstLine="456"/>
        <w:rPr>
          <w:rFonts w:ascii="宋体" w:hAnsi="宋体" w:cs="宋体"/>
          <w:spacing w:val="-6"/>
        </w:rPr>
      </w:pPr>
      <w:r>
        <w:rPr>
          <w:rFonts w:hint="eastAsia" w:ascii="宋体" w:hAnsi="宋体" w:cs="宋体"/>
          <w:spacing w:val="-6"/>
        </w:rPr>
        <w:t>3.甲方于收到验收材料之日起7日内对乙方服务进行初步验收和终验，针对乙方服务不符合本合同、采购文件、投标承诺要求的，每一项甲方有权从合同尾款中扣除</w:t>
      </w:r>
      <w:r>
        <w:rPr>
          <w:rFonts w:hint="eastAsia" w:ascii="宋体" w:hAnsi="宋体" w:cs="宋体"/>
          <w:spacing w:val="-6"/>
          <w:lang w:eastAsia="zh-Hans"/>
        </w:rPr>
        <w:t>单项金额并按第七条追究乙方违约责任</w:t>
      </w:r>
      <w:r>
        <w:rPr>
          <w:rFonts w:hint="eastAsia" w:ascii="宋体" w:hAnsi="宋体" w:cs="宋体"/>
          <w:spacing w:val="-6"/>
        </w:rPr>
        <w:t>。</w:t>
      </w:r>
    </w:p>
    <w:p>
      <w:pPr>
        <w:ind w:right="26" w:rightChars="11" w:firstLine="456"/>
        <w:rPr>
          <w:rFonts w:ascii="宋体" w:hAnsi="宋体" w:cs="宋体"/>
          <w:spacing w:val="-6"/>
        </w:rPr>
      </w:pPr>
      <w:r>
        <w:rPr>
          <w:rFonts w:hint="eastAsia" w:ascii="宋体" w:hAnsi="宋体" w:cs="宋体"/>
          <w:spacing w:val="-6"/>
        </w:rPr>
        <w:t>4.验收合格的条件：</w:t>
      </w:r>
    </w:p>
    <w:p>
      <w:pPr>
        <w:ind w:right="26" w:rightChars="11" w:firstLine="456"/>
        <w:rPr>
          <w:rFonts w:ascii="宋体" w:hAnsi="宋体" w:cs="宋体"/>
          <w:spacing w:val="-6"/>
        </w:rPr>
      </w:pPr>
      <w:r>
        <w:rPr>
          <w:rFonts w:hint="eastAsia" w:ascii="宋体" w:hAnsi="宋体" w:cs="宋体"/>
          <w:spacing w:val="-6"/>
        </w:rPr>
        <w:t>4.1所供服务符合国家标准、行业标准、采购文件要求、投标文件要求和合同的要求；</w:t>
      </w:r>
    </w:p>
    <w:p>
      <w:pPr>
        <w:ind w:right="26" w:rightChars="11" w:firstLine="456"/>
        <w:rPr>
          <w:rFonts w:ascii="宋体" w:hAnsi="宋体" w:cs="宋体"/>
          <w:spacing w:val="-6"/>
        </w:rPr>
      </w:pPr>
      <w:r>
        <w:rPr>
          <w:rFonts w:hint="eastAsia" w:ascii="宋体" w:hAnsi="宋体" w:cs="宋体"/>
          <w:spacing w:val="-6"/>
        </w:rPr>
        <w:t>4.2在进行验收过程中发现的问题已被解决并得到甲方的</w:t>
      </w:r>
      <w:r>
        <w:rPr>
          <w:rFonts w:hint="eastAsia" w:ascii="宋体" w:hAnsi="宋体" w:cs="宋体"/>
          <w:spacing w:val="-6"/>
          <w:lang w:eastAsia="zh-Hans"/>
        </w:rPr>
        <w:t>书面</w:t>
      </w:r>
      <w:r>
        <w:rPr>
          <w:rFonts w:hint="eastAsia" w:ascii="宋体" w:hAnsi="宋体" w:cs="宋体"/>
          <w:spacing w:val="-6"/>
        </w:rPr>
        <w:t>认可；</w:t>
      </w:r>
    </w:p>
    <w:p>
      <w:pPr>
        <w:ind w:right="26" w:rightChars="11" w:firstLine="456"/>
        <w:rPr>
          <w:rFonts w:ascii="宋体" w:hAnsi="宋体" w:cs="宋体"/>
          <w:spacing w:val="-6"/>
        </w:rPr>
      </w:pPr>
      <w:r>
        <w:rPr>
          <w:rFonts w:hint="eastAsia" w:ascii="宋体" w:hAnsi="宋体" w:cs="宋体"/>
          <w:spacing w:val="-6"/>
        </w:rPr>
        <w:t>4.3合同中规定的所有服务和材料均已交付；</w:t>
      </w:r>
    </w:p>
    <w:p>
      <w:pPr>
        <w:ind w:right="26" w:rightChars="11" w:firstLine="456"/>
        <w:rPr>
          <w:rFonts w:ascii="宋体" w:hAnsi="宋体" w:cs="宋体"/>
          <w:spacing w:val="-6"/>
        </w:rPr>
      </w:pPr>
      <w:r>
        <w:rPr>
          <w:rFonts w:hint="eastAsia" w:ascii="宋体" w:hAnsi="宋体" w:cs="宋体"/>
          <w:spacing w:val="-6"/>
        </w:rPr>
        <w:t>4.4所有相关的技术文件及资料均已提交并得到接受。</w:t>
      </w:r>
    </w:p>
    <w:p>
      <w:pPr>
        <w:ind w:right="-588" w:rightChars="-245" w:firstLine="458"/>
        <w:rPr>
          <w:rFonts w:ascii="宋体" w:hAnsi="宋体" w:cs="宋体"/>
          <w:b/>
          <w:spacing w:val="-6"/>
        </w:rPr>
      </w:pPr>
      <w:r>
        <w:rPr>
          <w:rFonts w:hint="eastAsia" w:ascii="宋体" w:hAnsi="宋体" w:cs="宋体"/>
          <w:b/>
          <w:spacing w:val="-6"/>
        </w:rPr>
        <w:t>第七条：违约责任</w:t>
      </w:r>
    </w:p>
    <w:p>
      <w:pPr>
        <w:ind w:right="26" w:rightChars="11" w:firstLine="456"/>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ind w:right="26" w:rightChars="11" w:firstLine="456"/>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ind w:right="26" w:rightChars="11" w:firstLine="456"/>
        <w:rPr>
          <w:rFonts w:ascii="宋体" w:hAnsi="宋体" w:cs="宋体"/>
          <w:spacing w:val="-6"/>
        </w:rPr>
      </w:pPr>
      <w:r>
        <w:rPr>
          <w:rFonts w:hint="eastAsia" w:ascii="宋体" w:hAnsi="宋体" w:cs="宋体"/>
          <w:spacing w:val="-6"/>
        </w:rPr>
        <w:t>3.乙方提供的验收材料未能验收合格（包括初步验收和终验）的，乙方除应按照验收要求进行整改外，还应按照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ind w:right="26" w:rightChars="11" w:firstLine="456"/>
        <w:rPr>
          <w:rFonts w:ascii="宋体" w:hAnsi="宋体" w:cs="宋体"/>
          <w:spacing w:val="-6"/>
        </w:rPr>
      </w:pPr>
      <w:r>
        <w:rPr>
          <w:rFonts w:ascii="宋体" w:hAnsi="宋体" w:cs="宋体"/>
          <w:spacing w:val="-6"/>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ind w:right="26" w:rightChars="11" w:firstLine="456"/>
        <w:rPr>
          <w:rFonts w:ascii="宋体" w:hAnsi="宋体" w:cs="宋体"/>
          <w:spacing w:val="-6"/>
        </w:rPr>
      </w:pPr>
      <w:r>
        <w:rPr>
          <w:rFonts w:ascii="宋体" w:hAnsi="宋体" w:cs="宋体"/>
          <w:spacing w:val="-6"/>
        </w:rPr>
        <w:t>5</w:t>
      </w:r>
      <w:r>
        <w:rPr>
          <w:rFonts w:hint="eastAsia" w:ascii="宋体" w:hAnsi="宋体" w:cs="宋体"/>
          <w:spacing w:val="-6"/>
        </w:rPr>
        <w:t>.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r>
        <w:rPr>
          <w:rFonts w:hint="eastAsia" w:ascii="宋体" w:hAnsi="宋体" w:cs="宋体"/>
          <w:spacing w:val="-6"/>
          <w:lang w:eastAsia="zh-Hans"/>
        </w:rPr>
        <w:t>服务费用扣除乙方应支付的违约金及赔偿金后结算至解除之日</w:t>
      </w:r>
    </w:p>
    <w:p>
      <w:pPr>
        <w:ind w:right="26" w:rightChars="11" w:firstLine="456"/>
        <w:rPr>
          <w:rFonts w:ascii="宋体" w:hAnsi="宋体" w:cs="宋体"/>
          <w:spacing w:val="-6"/>
        </w:rPr>
      </w:pPr>
      <w:r>
        <w:rPr>
          <w:rFonts w:hint="eastAsia" w:ascii="宋体" w:hAnsi="宋体" w:cs="宋体"/>
          <w:spacing w:val="-6"/>
        </w:rPr>
        <w:t>6.乙方应严格按照维保设备清单提供配件，且保证所提供的配件为全新未使用过的原厂配件。一经发现所提供的配件为非原厂正规渠道产品，乙方除应立即予以更换外，每发生一次应按合同总金额的1%向甲方支付违约金。前述违约情况出现3次及以上的，甲方有权单方解除本合同，乙方应按照合同总额的10%向甲方支付违约金。</w:t>
      </w:r>
      <w:r>
        <w:rPr>
          <w:rFonts w:hint="eastAsia" w:ascii="宋体" w:hAnsi="宋体" w:cs="宋体"/>
          <w:spacing w:val="-6"/>
          <w:lang w:eastAsia="zh-Hans"/>
        </w:rPr>
        <w:t>服务费用扣除乙方应支付的违约金及赔偿金后结算至解除之日</w:t>
      </w:r>
      <w:r>
        <w:rPr>
          <w:rFonts w:hint="eastAsia" w:ascii="宋体" w:hAnsi="宋体" w:cs="宋体"/>
          <w:spacing w:val="-6"/>
        </w:rPr>
        <w:t>。</w:t>
      </w:r>
    </w:p>
    <w:p>
      <w:pPr>
        <w:ind w:right="26" w:rightChars="11" w:firstLine="456"/>
        <w:rPr>
          <w:rFonts w:ascii="宋体" w:hAnsi="宋体" w:cs="宋体"/>
          <w:spacing w:val="-6"/>
        </w:rPr>
      </w:pPr>
      <w:r>
        <w:rPr>
          <w:rFonts w:hint="eastAsia" w:ascii="宋体" w:hAnsi="宋体" w:cs="宋体"/>
          <w:spacing w:val="-6"/>
        </w:rPr>
        <w:t>6.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ind w:right="26" w:rightChars="11" w:firstLine="456"/>
        <w:rPr>
          <w:rFonts w:ascii="宋体" w:hAnsi="宋体" w:cs="宋体"/>
          <w:spacing w:val="-6"/>
        </w:rPr>
      </w:pPr>
      <w:r>
        <w:rPr>
          <w:rFonts w:hint="eastAsia" w:ascii="宋体" w:hAnsi="宋体" w:cs="宋体"/>
          <w:spacing w:val="-6"/>
        </w:rPr>
        <w:t>7.协议履行过程中若因国家重大法律、政策发生变动或不可抗拒的事件发生，造成协议不能政策履行，甲乙双方共同协商解决。</w:t>
      </w:r>
    </w:p>
    <w:p>
      <w:pPr>
        <w:ind w:firstLine="458"/>
        <w:rPr>
          <w:rFonts w:ascii="宋体" w:hAnsi="宋体" w:cs="宋体"/>
          <w:b/>
          <w:spacing w:val="-6"/>
        </w:rPr>
      </w:pPr>
      <w:r>
        <w:rPr>
          <w:rFonts w:hint="eastAsia" w:ascii="宋体" w:hAnsi="宋体" w:cs="宋体"/>
          <w:b/>
          <w:spacing w:val="-6"/>
        </w:rPr>
        <w:t>第八条：不可抗力事件处理</w:t>
      </w:r>
    </w:p>
    <w:p>
      <w:pPr>
        <w:ind w:right="26" w:rightChars="11" w:firstLine="456"/>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ind w:right="26" w:rightChars="11" w:firstLine="456"/>
        <w:rPr>
          <w:rFonts w:ascii="宋体" w:hAnsi="宋体" w:cs="宋体"/>
          <w:spacing w:val="-6"/>
        </w:rPr>
      </w:pPr>
      <w:r>
        <w:rPr>
          <w:rFonts w:hint="eastAsia" w:ascii="宋体" w:hAnsi="宋体" w:cs="宋体"/>
          <w:spacing w:val="-6"/>
        </w:rPr>
        <w:t>2.不可抗力事件发生后，应立即通知对方，并寄送有关权威机构出具的证明。</w:t>
      </w:r>
    </w:p>
    <w:p>
      <w:pPr>
        <w:ind w:right="26" w:rightChars="11" w:firstLine="456"/>
        <w:rPr>
          <w:rFonts w:ascii="宋体" w:hAnsi="宋体" w:cs="宋体"/>
          <w:spacing w:val="-6"/>
        </w:rPr>
      </w:pPr>
      <w:r>
        <w:rPr>
          <w:rFonts w:hint="eastAsia" w:ascii="宋体" w:hAnsi="宋体" w:cs="宋体"/>
          <w:spacing w:val="-6"/>
        </w:rPr>
        <w:t>3.不可抗力事件延续120天以上，双方应通过友好协商，确定是否继续履行合同。</w:t>
      </w:r>
    </w:p>
    <w:p>
      <w:pPr>
        <w:ind w:right="-588" w:rightChars="-245" w:firstLine="458"/>
        <w:rPr>
          <w:rFonts w:ascii="宋体" w:hAnsi="宋体" w:cs="宋体"/>
          <w:b/>
          <w:spacing w:val="-6"/>
        </w:rPr>
      </w:pPr>
      <w:r>
        <w:rPr>
          <w:rFonts w:hint="eastAsia" w:ascii="宋体" w:hAnsi="宋体" w:cs="宋体"/>
          <w:b/>
          <w:spacing w:val="-6"/>
        </w:rPr>
        <w:t>第九条：争议解决</w:t>
      </w:r>
    </w:p>
    <w:p>
      <w:pPr>
        <w:ind w:right="26" w:rightChars="11" w:firstLine="456"/>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ind w:right="-588" w:rightChars="-245" w:firstLine="458"/>
        <w:rPr>
          <w:rFonts w:ascii="宋体" w:hAnsi="宋体" w:cs="宋体"/>
          <w:b/>
          <w:spacing w:val="-6"/>
        </w:rPr>
      </w:pPr>
      <w:r>
        <w:rPr>
          <w:rFonts w:hint="eastAsia" w:ascii="宋体" w:hAnsi="宋体" w:cs="宋体"/>
          <w:b/>
          <w:spacing w:val="-6"/>
        </w:rPr>
        <w:t>第十条：合同生效</w:t>
      </w:r>
    </w:p>
    <w:p>
      <w:pPr>
        <w:ind w:firstLine="456"/>
        <w:rPr>
          <w:rFonts w:ascii="宋体" w:hAnsi="宋体" w:cs="宋体"/>
          <w:spacing w:val="-6"/>
        </w:rPr>
      </w:pPr>
      <w:r>
        <w:rPr>
          <w:rFonts w:hint="eastAsia" w:ascii="宋体" w:hAnsi="宋体" w:cs="宋体"/>
          <w:spacing w:val="-6"/>
        </w:rPr>
        <w:t>1.合同经甲、乙双方法定代表人或经办人签字并加盖单位公章后生效。</w:t>
      </w:r>
    </w:p>
    <w:p>
      <w:pPr>
        <w:ind w:firstLine="456"/>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2.本合同附件、招标文件、投标文件、询标澄清、中标通知书均为合同的组成部分，与本合同具有同等法律效力。如有约定不一致的，以标准较高者为准。</w:t>
      </w:r>
    </w:p>
    <w:p>
      <w:pPr>
        <w:ind w:firstLine="458"/>
        <w:rPr>
          <w:rFonts w:ascii="宋体" w:hAnsi="宋体" w:cs="宋体"/>
          <w:b/>
          <w:spacing w:val="-6"/>
        </w:rPr>
      </w:pPr>
      <w:r>
        <w:rPr>
          <w:rFonts w:hint="eastAsia" w:ascii="宋体" w:hAnsi="宋体" w:cs="宋体"/>
          <w:b/>
          <w:spacing w:val="-6"/>
        </w:rPr>
        <w:t>第十一条：合同份数</w:t>
      </w:r>
    </w:p>
    <w:p>
      <w:pPr>
        <w:ind w:firstLine="456"/>
        <w:rPr>
          <w:rFonts w:ascii="宋体" w:hAnsi="宋体" w:cs="宋体"/>
          <w:spacing w:val="-6"/>
        </w:rPr>
      </w:pPr>
      <w:r>
        <w:rPr>
          <w:rFonts w:hint="eastAsia" w:ascii="宋体" w:hAnsi="宋体" w:cs="宋体"/>
          <w:spacing w:val="-6"/>
        </w:rPr>
        <w:t>本合同一式五份，甲方执二份，乙方执二份，采购代理机构执一份。</w:t>
      </w:r>
    </w:p>
    <w:tbl>
      <w:tblPr>
        <w:tblStyle w:val="6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ind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甲方代表：</w:t>
            </w:r>
          </w:p>
          <w:p>
            <w:pPr>
              <w:ind w:firstLine="0" w:firstLineChars="0"/>
              <w:rPr>
                <w:rFonts w:ascii="宋体" w:hAnsi="宋体" w:cs="宋体"/>
                <w:spacing w:val="-6"/>
              </w:rPr>
            </w:pPr>
            <w:r>
              <w:rPr>
                <w:rFonts w:hint="eastAsia" w:ascii="宋体" w:hAnsi="宋体" w:cs="宋体"/>
                <w:spacing w:val="-6"/>
              </w:rPr>
              <w:t>（签字）</w:t>
            </w:r>
          </w:p>
        </w:tc>
        <w:tc>
          <w:tcPr>
            <w:tcW w:w="4678" w:type="dxa"/>
            <w:vAlign w:val="center"/>
          </w:tcPr>
          <w:p>
            <w:pPr>
              <w:ind w:firstLine="0" w:firstLineChars="0"/>
              <w:rPr>
                <w:rFonts w:ascii="宋体" w:hAnsi="宋体" w:cs="宋体"/>
                <w:spacing w:val="-6"/>
              </w:rPr>
            </w:pPr>
            <w:r>
              <w:rPr>
                <w:rFonts w:hint="eastAsia" w:ascii="宋体" w:hAnsi="宋体" w:cs="宋体"/>
                <w:spacing w:val="-6"/>
              </w:rPr>
              <w:t>乙方代表：</w:t>
            </w:r>
          </w:p>
          <w:p>
            <w:pPr>
              <w:ind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地址：</w:t>
            </w:r>
          </w:p>
        </w:tc>
        <w:tc>
          <w:tcPr>
            <w:tcW w:w="4678" w:type="dxa"/>
            <w:vAlign w:val="center"/>
          </w:tcPr>
          <w:p>
            <w:pPr>
              <w:ind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电话：</w:t>
            </w:r>
          </w:p>
        </w:tc>
        <w:tc>
          <w:tcPr>
            <w:tcW w:w="4678" w:type="dxa"/>
            <w:vAlign w:val="center"/>
          </w:tcPr>
          <w:p>
            <w:pPr>
              <w:ind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开户银行：</w:t>
            </w:r>
          </w:p>
        </w:tc>
        <w:tc>
          <w:tcPr>
            <w:tcW w:w="4678" w:type="dxa"/>
            <w:vAlign w:val="center"/>
          </w:tcPr>
          <w:p>
            <w:pPr>
              <w:ind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帐号：</w:t>
            </w:r>
          </w:p>
        </w:tc>
        <w:tc>
          <w:tcPr>
            <w:tcW w:w="4678" w:type="dxa"/>
            <w:vAlign w:val="center"/>
          </w:tcPr>
          <w:p>
            <w:pPr>
              <w:ind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ind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spacing w:val="-6"/>
              </w:rPr>
              <w:t>采购代理机构代表：</w:t>
            </w:r>
          </w:p>
          <w:p>
            <w:pPr>
              <w:ind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鉴证日期：      年    月    日</w:t>
            </w:r>
          </w:p>
        </w:tc>
      </w:tr>
    </w:tbl>
    <w:p>
      <w:pPr>
        <w:ind w:firstLine="456"/>
        <w:rPr>
          <w:rFonts w:ascii="宋体" w:hAnsi="宋体" w:cs="宋体"/>
          <w:spacing w:val="-6"/>
        </w:rPr>
      </w:pPr>
    </w:p>
    <w:p>
      <w:pPr>
        <w:pStyle w:val="2"/>
        <w:sectPr>
          <w:headerReference r:id="rId14" w:type="first"/>
          <w:footerReference r:id="rId16" w:type="first"/>
          <w:headerReference r:id="rId13" w:type="default"/>
          <w:footerReference r:id="rId15" w:type="default"/>
          <w:pgSz w:w="11905" w:h="16838"/>
          <w:pgMar w:top="1440" w:right="1797" w:bottom="1440" w:left="1797" w:header="851" w:footer="992" w:gutter="0"/>
          <w:cols w:space="0" w:num="1"/>
          <w:titlePg/>
          <w:docGrid w:linePitch="312" w:charSpace="0"/>
        </w:sectPr>
      </w:pPr>
    </w:p>
    <w:p>
      <w:pPr>
        <w:pStyle w:val="2"/>
      </w:pPr>
      <w:bookmarkStart w:id="438" w:name="_Toc7621"/>
      <w:r>
        <w:rPr>
          <w:rFonts w:hint="eastAsia"/>
        </w:rPr>
        <w:t>第六部分</w:t>
      </w:r>
      <w:bookmarkEnd w:id="431"/>
      <w:r>
        <w:rPr>
          <w:rFonts w:hint="eastAsia"/>
        </w:rPr>
        <w:t xml:space="preserve"> </w:t>
      </w:r>
      <w:bookmarkEnd w:id="432"/>
      <w:r>
        <w:rPr>
          <w:rFonts w:hint="eastAsia"/>
        </w:rPr>
        <w:t>应提交的有关格式范例</w:t>
      </w:r>
      <w:bookmarkEnd w:id="436"/>
      <w:bookmarkEnd w:id="437"/>
      <w:bookmarkEnd w:id="438"/>
    </w:p>
    <w:p>
      <w:pPr>
        <w:ind w:firstLine="480"/>
      </w:pPr>
    </w:p>
    <w:p>
      <w:pPr>
        <w:pStyle w:val="3"/>
      </w:pPr>
      <w:bookmarkStart w:id="439" w:name="_Toc13095"/>
      <w:bookmarkStart w:id="440" w:name="_Toc8900"/>
      <w:r>
        <w:rPr>
          <w:rFonts w:hint="eastAsia"/>
        </w:rPr>
        <w:t>资格文件部分</w:t>
      </w:r>
      <w:bookmarkEnd w:id="439"/>
      <w:bookmarkEnd w:id="440"/>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（1）符合参加政府采购活动应当具备的一般条件的承诺函……………（页码）</w:t>
      </w:r>
    </w:p>
    <w:p>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ascii="宋体" w:hAnsi="宋体" w:cs="宋体"/>
        </w:rPr>
      </w:pPr>
    </w:p>
    <w:p>
      <w:pPr>
        <w:ind w:firstLine="480"/>
        <w:rPr>
          <w:rFonts w:ascii="宋体" w:hAnsi="宋体" w:cs="宋体"/>
        </w:rPr>
      </w:pPr>
    </w:p>
    <w:p>
      <w:pPr>
        <w:pStyle w:val="3"/>
        <w:numPr>
          <w:ilvl w:val="0"/>
          <w:numId w:val="6"/>
        </w:numPr>
      </w:pPr>
      <w:r>
        <w:rPr>
          <w:rFonts w:hint="eastAsia" w:ascii="宋体" w:hAnsi="宋体" w:cs="宋体"/>
          <w:kern w:val="0"/>
          <w:sz w:val="24"/>
        </w:rPr>
        <w:br w:type="page"/>
      </w:r>
      <w:bookmarkStart w:id="441" w:name="_Toc10261"/>
      <w:bookmarkStart w:id="442" w:name="_Toc22040"/>
      <w:r>
        <w:rPr>
          <w:rFonts w:hint="eastAsia"/>
        </w:rPr>
        <w:t>符合参加政府采购活动应当具备的一般条件的承诺函</w:t>
      </w:r>
      <w:bookmarkEnd w:id="441"/>
      <w:bookmarkEnd w:id="442"/>
    </w:p>
    <w:p>
      <w:pPr>
        <w:ind w:firstLine="480"/>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43"/>
        <w:jc w:val="center"/>
        <w:rPr>
          <w:rFonts w:ascii="宋体" w:hAnsi="宋体" w:cs="宋体"/>
          <w:b/>
          <w:kern w:val="0"/>
          <w:sz w:val="32"/>
          <w:szCs w:val="32"/>
        </w:rPr>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ascii="宋体" w:hAnsi="宋体" w:cs="宋体"/>
        </w:rPr>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3"/>
      </w:pPr>
      <w:bookmarkStart w:id="443" w:name="_Toc27338"/>
      <w:bookmarkStart w:id="444" w:name="_Toc14124"/>
      <w:r>
        <w:rPr>
          <w:rFonts w:hint="eastAsia"/>
        </w:rPr>
        <w:t>二、联合协议（如有）</w:t>
      </w:r>
      <w:bookmarkEnd w:id="443"/>
      <w:bookmarkEnd w:id="444"/>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3"/>
      </w:pPr>
      <w:bookmarkStart w:id="445" w:name="_Toc15398"/>
      <w:bookmarkStart w:id="446" w:name="_Toc16477"/>
      <w:r>
        <w:rPr>
          <w:rFonts w:hint="eastAsia"/>
        </w:rPr>
        <w:t>三、落实政府采购政策需满足的资格要求</w:t>
      </w:r>
      <w:bookmarkEnd w:id="445"/>
      <w:bookmarkEnd w:id="446"/>
    </w:p>
    <w:p>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ascii="宋体" w:hAnsi="宋体" w:cs="宋体"/>
        </w:rPr>
      </w:pPr>
    </w:p>
    <w:p>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ascii="宋体" w:hAnsi="宋体" w:cs="宋体"/>
        </w:rPr>
      </w:pPr>
      <w:r>
        <w:rPr>
          <w:rFonts w:hint="eastAsia" w:ascii="宋体" w:hAnsi="宋体" w:cs="宋体"/>
          <w:b/>
        </w:rPr>
        <w:t xml:space="preserve">    </w:t>
      </w:r>
    </w:p>
    <w:p>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widowControl/>
        <w:ind w:left="150" w:firstLine="643"/>
        <w:jc w:val="center"/>
        <w:rPr>
          <w:rFonts w:ascii="宋体" w:hAnsi="宋体" w:cs="宋体"/>
          <w:b/>
          <w:kern w:val="0"/>
          <w:sz w:val="32"/>
          <w:szCs w:val="32"/>
        </w:rPr>
      </w:pPr>
    </w:p>
    <w:p>
      <w:pPr>
        <w:pStyle w:val="2"/>
        <w:sectPr>
          <w:pgSz w:w="11905" w:h="16838"/>
          <w:pgMar w:top="1440" w:right="1797" w:bottom="1440" w:left="1797" w:header="851" w:footer="992" w:gutter="0"/>
          <w:cols w:space="0" w:num="1"/>
          <w:titlePg/>
          <w:docGrid w:linePitch="312" w:charSpace="0"/>
        </w:sectPr>
      </w:pPr>
    </w:p>
    <w:p>
      <w:pPr>
        <w:pStyle w:val="3"/>
      </w:pPr>
      <w:bookmarkStart w:id="447" w:name="_Toc25288"/>
      <w:bookmarkStart w:id="448" w:name="_Toc25980"/>
      <w:r>
        <w:rPr>
          <w:rFonts w:hint="eastAsia"/>
        </w:rPr>
        <w:t>四、本项目的特定资格要求</w:t>
      </w:r>
      <w:bookmarkEnd w:id="447"/>
      <w:bookmarkEnd w:id="448"/>
    </w:p>
    <w:p>
      <w:pPr>
        <w:ind w:firstLine="480"/>
        <w:jc w:val="center"/>
        <w:rPr>
          <w:rFonts w:ascii="宋体" w:hAnsi="宋体" w:cs="宋体"/>
        </w:rPr>
      </w:pPr>
      <w:r>
        <w:rPr>
          <w:rFonts w:hint="eastAsia" w:ascii="宋体" w:hAnsi="宋体" w:cs="宋体"/>
        </w:rPr>
        <w:t>（根据招标公告本项目的特定资格要求提供相应的材料；未要求的，无需提供）</w:t>
      </w:r>
    </w:p>
    <w:p>
      <w:pPr>
        <w:ind w:firstLine="48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firstLine="480"/>
      </w:pPr>
    </w:p>
    <w:p>
      <w:pPr>
        <w:ind w:right="480" w:firstLine="643"/>
        <w:jc w:val="center"/>
        <w:rPr>
          <w:rFonts w:ascii="宋体" w:hAnsi="宋体" w:cs="宋体"/>
          <w:b/>
          <w:kern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2"/>
        <w:sectPr>
          <w:pgSz w:w="11905" w:h="16838"/>
          <w:pgMar w:top="1440" w:right="1797" w:bottom="1440" w:left="1797" w:header="851" w:footer="992" w:gutter="0"/>
          <w:cols w:space="0" w:num="1"/>
          <w:titlePg/>
          <w:docGrid w:linePitch="312" w:charSpace="0"/>
        </w:sectPr>
      </w:pPr>
    </w:p>
    <w:p>
      <w:pPr>
        <w:pStyle w:val="3"/>
      </w:pPr>
      <w:bookmarkStart w:id="449" w:name="_Toc933"/>
      <w:bookmarkStart w:id="450" w:name="_Toc18377"/>
      <w:r>
        <w:rPr>
          <w:rFonts w:hint="eastAsia"/>
        </w:rPr>
        <w:t>商务技术文件部分</w:t>
      </w:r>
      <w:bookmarkEnd w:id="449"/>
      <w:bookmarkEnd w:id="450"/>
    </w:p>
    <w:p>
      <w:pPr>
        <w:ind w:firstLine="480"/>
      </w:pPr>
    </w:p>
    <w:p>
      <w:pPr>
        <w:ind w:firstLine="0" w:firstLineChars="0"/>
        <w:jc w:val="center"/>
        <w:rPr>
          <w:b/>
          <w:bCs/>
          <w:sz w:val="36"/>
          <w:szCs w:val="36"/>
        </w:rPr>
      </w:pPr>
      <w:r>
        <w:rPr>
          <w:rFonts w:hint="eastAsia"/>
          <w:b/>
          <w:bCs/>
          <w:sz w:val="36"/>
          <w:szCs w:val="36"/>
        </w:rPr>
        <w:t>目录</w:t>
      </w:r>
    </w:p>
    <w:p>
      <w:pPr>
        <w:numPr>
          <w:ilvl w:val="0"/>
          <w:numId w:val="7"/>
        </w:numPr>
        <w:ind w:left="7" w:hanging="7" w:firstLineChars="0"/>
        <w:jc w:val="left"/>
        <w:rPr>
          <w:rFonts w:ascii="宋体" w:hAnsi="宋体" w:cs="宋体"/>
        </w:rPr>
      </w:pPr>
      <w:r>
        <w:rPr>
          <w:rFonts w:hint="eastAsia" w:ascii="宋体" w:hAnsi="宋体" w:cs="宋体"/>
        </w:rPr>
        <w:t>投标函……………………………………………………………………（页码）</w:t>
      </w:r>
    </w:p>
    <w:p>
      <w:pPr>
        <w:numPr>
          <w:ilvl w:val="0"/>
          <w:numId w:val="7"/>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ascii="宋体" w:hAnsi="宋体" w:cs="宋体"/>
        </w:rPr>
      </w:pPr>
      <w:r>
        <w:rPr>
          <w:rFonts w:hint="eastAsia" w:ascii="宋体" w:hAnsi="宋体" w:cs="宋体"/>
        </w:rPr>
        <w:t>（3）联合协议…………………………………………………………………（页码）</w:t>
      </w:r>
    </w:p>
    <w:p>
      <w:pPr>
        <w:ind w:left="7" w:hanging="7" w:firstLineChars="0"/>
        <w:jc w:val="left"/>
        <w:rPr>
          <w:rFonts w:ascii="宋体" w:hAnsi="宋体" w:cs="宋体"/>
        </w:rPr>
      </w:pPr>
      <w:r>
        <w:rPr>
          <w:rFonts w:hint="eastAsia" w:ascii="宋体" w:hAnsi="宋体" w:cs="宋体"/>
        </w:rPr>
        <w:t>（4）分包意向协议……………………………………………………………（页码）</w:t>
      </w:r>
    </w:p>
    <w:p>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pPr>
        <w:ind w:left="7" w:hanging="7" w:firstLineChars="0"/>
        <w:jc w:val="left"/>
        <w:rPr>
          <w:rFonts w:ascii="宋体" w:hAnsi="宋体" w:cs="宋体"/>
        </w:rPr>
      </w:pPr>
    </w:p>
    <w:p>
      <w:pPr>
        <w:ind w:firstLine="480"/>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pStyle w:val="3"/>
      </w:pPr>
      <w:bookmarkStart w:id="451" w:name="_Toc8786"/>
      <w:bookmarkStart w:id="452" w:name="_Toc624"/>
      <w:r>
        <w:rPr>
          <w:rFonts w:hint="eastAsia"/>
        </w:rPr>
        <w:t>一、投标函</w:t>
      </w:r>
      <w:bookmarkEnd w:id="451"/>
      <w:bookmarkEnd w:id="452"/>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ascii="宋体" w:hAnsi="宋体" w:cs="宋体"/>
        </w:rPr>
      </w:pPr>
      <w:r>
        <w:rPr>
          <w:rFonts w:hint="eastAsia" w:ascii="宋体" w:hAnsi="宋体" w:cs="宋体"/>
        </w:rPr>
        <w:t>2、我方的投标文件包括以下内容：</w:t>
      </w:r>
    </w:p>
    <w:p>
      <w:pPr>
        <w:ind w:left="240" w:leftChars="100" w:firstLine="480"/>
        <w:rPr>
          <w:rFonts w:ascii="宋体" w:hAnsi="宋体" w:cs="宋体"/>
        </w:rPr>
      </w:pPr>
      <w:r>
        <w:rPr>
          <w:rFonts w:hint="eastAsia" w:ascii="宋体" w:hAnsi="宋体" w:cs="宋体"/>
        </w:rPr>
        <w:t>2.1资格文件：</w:t>
      </w:r>
    </w:p>
    <w:p>
      <w:pPr>
        <w:ind w:left="480" w:leftChars="200" w:firstLine="480"/>
        <w:rPr>
          <w:rFonts w:ascii="宋体" w:hAnsi="宋体" w:cs="宋体"/>
        </w:rPr>
      </w:pPr>
      <w:r>
        <w:rPr>
          <w:rFonts w:hint="eastAsia" w:ascii="宋体" w:hAnsi="宋体" w:cs="宋体"/>
        </w:rPr>
        <w:t>2.1.1承诺函；</w:t>
      </w:r>
    </w:p>
    <w:p>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3" w:name="_Hlk101257010"/>
      <w:r>
        <w:rPr>
          <w:rFonts w:hint="eastAsia" w:ascii="宋体" w:hAnsi="宋体" w:cs="宋体"/>
          <w:snapToGrid w:val="0"/>
          <w:kern w:val="28"/>
          <w:szCs w:val="20"/>
        </w:rPr>
        <w:t>（如有)</w:t>
      </w:r>
      <w:bookmarkEnd w:id="453"/>
    </w:p>
    <w:p>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ascii="宋体" w:hAnsi="宋体" w:cs="宋体"/>
        </w:rPr>
      </w:pPr>
      <w:r>
        <w:rPr>
          <w:rFonts w:hint="eastAsia" w:ascii="宋体" w:hAnsi="宋体" w:cs="宋体"/>
        </w:rPr>
        <w:t>2.2.2授权委托书或法定代表人（单位负责人）身份证明；</w:t>
      </w:r>
    </w:p>
    <w:p>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ascii="宋体" w:hAnsi="宋体" w:cs="宋体"/>
        </w:rPr>
      </w:pPr>
      <w:r>
        <w:rPr>
          <w:rFonts w:hint="eastAsia" w:ascii="宋体" w:hAnsi="宋体" w:cs="宋体"/>
        </w:rPr>
        <w:t>2.2.4分包意向协议（如有）；</w:t>
      </w:r>
    </w:p>
    <w:p>
      <w:pPr>
        <w:ind w:left="480" w:leftChars="200" w:firstLine="480"/>
        <w:rPr>
          <w:rFonts w:ascii="宋体" w:hAnsi="宋体" w:cs="宋体"/>
        </w:rPr>
      </w:pPr>
      <w:r>
        <w:rPr>
          <w:rFonts w:hint="eastAsia" w:ascii="宋体" w:hAnsi="宋体" w:cs="宋体"/>
        </w:rPr>
        <w:t>2.2.5评标标准相应的商务技术资料；</w:t>
      </w:r>
    </w:p>
    <w:p>
      <w:pPr>
        <w:ind w:left="480" w:leftChars="200" w:firstLine="480"/>
        <w:rPr>
          <w:rFonts w:ascii="宋体" w:hAnsi="宋体" w:cs="宋体"/>
        </w:rPr>
      </w:pPr>
      <w:r>
        <w:rPr>
          <w:rFonts w:hint="eastAsia" w:ascii="宋体" w:hAnsi="宋体" w:cs="宋体"/>
        </w:rPr>
        <w:t>2.2.6商务偏离表；</w:t>
      </w:r>
    </w:p>
    <w:p>
      <w:pPr>
        <w:ind w:left="480" w:leftChars="200" w:firstLine="480"/>
      </w:pPr>
      <w:r>
        <w:rPr>
          <w:rFonts w:hint="eastAsia" w:ascii="宋体" w:hAnsi="宋体" w:cs="宋体"/>
        </w:rPr>
        <w:t>2.2.7技术偏离表；</w:t>
      </w:r>
    </w:p>
    <w:p>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ascii="宋体" w:hAnsi="宋体" w:cs="宋体"/>
        </w:rPr>
      </w:pPr>
      <w:r>
        <w:rPr>
          <w:rFonts w:hint="eastAsia" w:ascii="宋体" w:hAnsi="宋体" w:cs="宋体"/>
        </w:rPr>
        <w:t>2.3.1开标一览表（报价表）；</w:t>
      </w:r>
    </w:p>
    <w:p>
      <w:pPr>
        <w:ind w:left="480" w:leftChars="200" w:firstLine="480"/>
        <w:rPr>
          <w:rFonts w:ascii="宋体" w:hAnsi="宋体" w:cs="宋体"/>
        </w:rPr>
      </w:pPr>
      <w:r>
        <w:rPr>
          <w:rFonts w:hint="eastAsia" w:ascii="宋体" w:hAnsi="宋体" w:cs="宋体"/>
        </w:rPr>
        <w:t>2.3.2中小企业声明函（如适用）。</w:t>
      </w:r>
    </w:p>
    <w:p>
      <w:pPr>
        <w:ind w:firstLine="480"/>
        <w:rPr>
          <w:rFonts w:ascii="宋体" w:hAnsi="宋体" w:cs="宋体"/>
        </w:rPr>
      </w:pPr>
      <w:r>
        <w:rPr>
          <w:rFonts w:hint="eastAsia" w:ascii="宋体" w:hAnsi="宋体" w:cs="宋体"/>
        </w:rPr>
        <w:t>3、我方承诺除商务技术偏离表列出的偏离外，我方响应招标文件的全部要求。</w:t>
      </w:r>
    </w:p>
    <w:p>
      <w:pPr>
        <w:ind w:firstLine="480"/>
        <w:rPr>
          <w:rFonts w:ascii="宋体" w:hAnsi="宋体" w:cs="宋体"/>
        </w:rPr>
      </w:pPr>
      <w:r>
        <w:rPr>
          <w:rFonts w:hint="eastAsia" w:ascii="宋体" w:hAnsi="宋体" w:cs="宋体"/>
        </w:rPr>
        <w:t>4、如我方中标，我方承诺：</w:t>
      </w:r>
    </w:p>
    <w:p>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ascii="宋体" w:hAnsi="宋体" w:cs="宋体"/>
        </w:rPr>
      </w:pPr>
      <w:r>
        <w:rPr>
          <w:rFonts w:hint="eastAsia" w:ascii="宋体" w:hAnsi="宋体" w:cs="宋体"/>
        </w:rPr>
        <w:t xml:space="preserve">4.2在签订合同时不向你方提出附加条件； </w:t>
      </w:r>
    </w:p>
    <w:p>
      <w:pPr>
        <w:ind w:left="240" w:leftChars="100" w:firstLine="480"/>
        <w:rPr>
          <w:rFonts w:ascii="宋体" w:hAnsi="宋体" w:cs="宋体"/>
        </w:rPr>
      </w:pPr>
      <w:r>
        <w:rPr>
          <w:rFonts w:hint="eastAsia" w:ascii="宋体" w:hAnsi="宋体" w:cs="宋体"/>
        </w:rPr>
        <w:t xml:space="preserve">4.3按照招标文件要求提交履约保证金； </w:t>
      </w:r>
    </w:p>
    <w:p>
      <w:pPr>
        <w:ind w:left="240" w:leftChars="100" w:firstLine="480"/>
        <w:rPr>
          <w:rFonts w:ascii="宋体" w:hAnsi="宋体" w:cs="宋体"/>
        </w:rPr>
      </w:pPr>
      <w:r>
        <w:rPr>
          <w:rFonts w:hint="eastAsia" w:ascii="宋体" w:hAnsi="宋体" w:cs="宋体"/>
        </w:rPr>
        <w:t xml:space="preserve">4.4在合同约定的期限内完成合同规定的全部义务。 </w:t>
      </w:r>
    </w:p>
    <w:p>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24"/>
        <w:ind w:firstLine="0" w:firstLineChars="0"/>
      </w:pPr>
    </w:p>
    <w:p>
      <w:pPr>
        <w:pStyle w:val="25"/>
        <w:ind w:firstLine="480"/>
      </w:pPr>
    </w:p>
    <w:p>
      <w:pPr>
        <w:ind w:firstLine="480"/>
      </w:pPr>
    </w:p>
    <w:p>
      <w:pPr>
        <w:ind w:firstLine="3840" w:firstLineChars="1600"/>
        <w:rPr>
          <w:rFonts w:ascii="宋体" w:hAnsi="宋体" w:cs="宋体"/>
        </w:rPr>
      </w:pPr>
      <w:r>
        <w:rPr>
          <w:rFonts w:hint="eastAsia" w:ascii="宋体" w:hAnsi="宋体" w:cs="宋体"/>
        </w:rPr>
        <w:t xml:space="preserve">投标人名称（电子签名）：                          </w:t>
      </w:r>
    </w:p>
    <w:p>
      <w:pPr>
        <w:ind w:firstLine="480"/>
        <w:jc w:val="center"/>
        <w:rPr>
          <w:rFonts w:ascii="宋体" w:hAnsi="宋体" w:cs="宋体"/>
        </w:rPr>
      </w:pPr>
      <w:r>
        <w:rPr>
          <w:rFonts w:hint="eastAsia" w:ascii="宋体" w:hAnsi="宋体" w:cs="宋体"/>
        </w:rPr>
        <w:t xml:space="preserve">           日期：  年   月   日</w:t>
      </w:r>
    </w:p>
    <w:p>
      <w:pPr>
        <w:ind w:left="480" w:leftChars="200" w:firstLine="4200" w:firstLineChars="1750"/>
        <w:rPr>
          <w:rFonts w:ascii="宋体" w:hAnsi="宋体" w:cs="宋体"/>
          <w:kern w:val="0"/>
          <w:u w:val="single"/>
        </w:rPr>
      </w:pPr>
    </w:p>
    <w:p>
      <w:pPr>
        <w:ind w:right="420" w:firstLine="480"/>
        <w:rPr>
          <w:rFonts w:ascii="宋体" w:hAnsi="宋体" w:cs="宋体"/>
        </w:rPr>
      </w:pPr>
      <w:r>
        <w:rPr>
          <w:rFonts w:hint="eastAsia" w:ascii="宋体" w:hAnsi="宋体" w:cs="宋体"/>
        </w:rPr>
        <w:t>注：按本格式和要求提供。</w:t>
      </w:r>
    </w:p>
    <w:p>
      <w:pPr>
        <w:ind w:firstLine="643"/>
        <w:jc w:val="center"/>
        <w:rPr>
          <w:rFonts w:ascii="宋体" w:hAnsi="宋体" w:cs="宋体"/>
          <w:b/>
          <w:kern w:val="0"/>
          <w:sz w:val="32"/>
          <w:szCs w:val="32"/>
        </w:rPr>
      </w:pPr>
    </w:p>
    <w:p>
      <w:pPr>
        <w:ind w:firstLine="480"/>
        <w:rPr>
          <w:rFonts w:ascii="宋体" w:hAnsi="宋体" w:cs="宋体"/>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3"/>
      </w:pPr>
      <w:bookmarkStart w:id="454" w:name="_Toc27417"/>
      <w:bookmarkStart w:id="455" w:name="_Toc17110"/>
      <w:r>
        <w:rPr>
          <w:rFonts w:hint="eastAsia"/>
        </w:rPr>
        <w:t>二、授权委托书或法定代表人（单位负责人、自然人本人）身份证明</w:t>
      </w:r>
      <w:bookmarkEnd w:id="454"/>
      <w:bookmarkEnd w:id="455"/>
    </w:p>
    <w:p>
      <w:pPr>
        <w:ind w:firstLine="480"/>
        <w:rPr>
          <w:rFonts w:ascii="宋体" w:hAnsi="宋体" w:cs="宋体"/>
        </w:rPr>
      </w:pPr>
      <w:r>
        <w:rPr>
          <w:rFonts w:hint="eastAsia" w:ascii="宋体" w:hAnsi="宋体" w:cs="宋体"/>
        </w:rPr>
        <w:t xml:space="preserve">                                </w:t>
      </w:r>
    </w:p>
    <w:p>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3"/>
        <w:spacing w:line="360" w:lineRule="auto"/>
        <w:rPr>
          <w:rFonts w:hAnsi="宋体" w:cs="宋体"/>
          <w:kern w:val="0"/>
          <w:sz w:val="24"/>
          <w:lang w:val="zh-CN"/>
        </w:rPr>
      </w:pPr>
      <w:r>
        <w:rPr>
          <w:rFonts w:hint="eastAsia" w:hAnsi="宋体" w:cs="宋体"/>
          <w:kern w:val="0"/>
          <w:sz w:val="24"/>
          <w:lang w:val="zh-CN"/>
        </w:rPr>
        <w:t xml:space="preserve">   </w:t>
      </w:r>
    </w:p>
    <w:p>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ind w:firstLine="480"/>
        <w:rPr>
          <w:rFonts w:ascii="宋体" w:hAnsi="宋体" w:cs="宋体"/>
          <w:kern w:val="0"/>
          <w:lang w:val="zh-CN"/>
        </w:rPr>
      </w:pPr>
      <w:r>
        <w:rPr>
          <w:rFonts w:hint="eastAsia" w:ascii="宋体" w:hAnsi="宋体" w:cs="宋体"/>
          <w:kern w:val="0"/>
          <w:lang w:val="zh-CN"/>
        </w:rPr>
        <w:t xml:space="preserve">                                             </w:t>
      </w:r>
    </w:p>
    <w:p>
      <w:pPr>
        <w:pStyle w:val="24"/>
        <w:ind w:firstLine="480"/>
      </w:pPr>
    </w:p>
    <w:p>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签发日期：  年  月   日</w:t>
      </w:r>
    </w:p>
    <w:p>
      <w:pPr>
        <w:ind w:firstLine="480"/>
        <w:rPr>
          <w:rFonts w:ascii="宋体" w:hAnsi="宋体" w:cs="宋体"/>
        </w:rPr>
      </w:pPr>
    </w:p>
    <w:p>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lang w:val="zh-CN"/>
        </w:rPr>
        <w:t>特此告知。</w:t>
      </w:r>
    </w:p>
    <w:p>
      <w:pPr>
        <w:pStyle w:val="153"/>
        <w:spacing w:line="360" w:lineRule="auto"/>
        <w:rPr>
          <w:rFonts w:hAnsi="宋体" w:cs="宋体"/>
          <w:kern w:val="0"/>
          <w:sz w:val="24"/>
          <w:lang w:val="zh-CN"/>
        </w:rPr>
      </w:pPr>
    </w:p>
    <w:p>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ind w:firstLine="643"/>
        <w:jc w:val="center"/>
        <w:rPr>
          <w:rFonts w:ascii="宋体" w:hAnsi="宋体" w:cs="宋体"/>
          <w:b/>
          <w:kern w:val="0"/>
          <w:sz w:val="32"/>
          <w:szCs w:val="32"/>
        </w:rPr>
      </w:pPr>
    </w:p>
    <w:p>
      <w:pPr>
        <w:ind w:firstLine="480"/>
        <w:rPr>
          <w:rFonts w:ascii="宋体" w:hAnsi="宋体" w:cs="宋体"/>
        </w:rPr>
      </w:pPr>
    </w:p>
    <w:p>
      <w:pPr>
        <w:pStyle w:val="24"/>
        <w:ind w:firstLine="480"/>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43"/>
        <w:jc w:val="center"/>
        <w:rPr>
          <w:rFonts w:ascii="宋体" w:hAnsi="宋体" w:cs="宋体"/>
          <w:b/>
          <w:kern w:val="0"/>
          <w:sz w:val="32"/>
          <w:szCs w:val="32"/>
          <w:lang w:val="zh-CN"/>
        </w:rPr>
      </w:pPr>
    </w:p>
    <w:p>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3"/>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ind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ascii="宋体" w:hAnsi="宋体" w:cs="宋体"/>
          <w:kern w:val="0"/>
          <w:lang w:val="zh-CN"/>
        </w:rPr>
      </w:pPr>
      <w:r>
        <w:rPr>
          <w:rFonts w:hint="eastAsia" w:ascii="宋体" w:hAnsi="宋体" w:cs="宋体"/>
          <w:kern w:val="0"/>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3"/>
      </w:pPr>
      <w:bookmarkStart w:id="456" w:name="_Toc12686"/>
      <w:bookmarkStart w:id="457" w:name="_Toc26755"/>
      <w:r>
        <w:rPr>
          <w:rFonts w:hint="eastAsia"/>
          <w:lang w:val="en-US"/>
        </w:rPr>
        <w:t>三</w:t>
      </w:r>
      <w:r>
        <w:rPr>
          <w:rFonts w:hint="eastAsia"/>
        </w:rPr>
        <w:t>、联合协议（如有）</w:t>
      </w:r>
      <w:bookmarkEnd w:id="456"/>
      <w:bookmarkEnd w:id="457"/>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2"/>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pPr>
        <w:pStyle w:val="3"/>
      </w:pPr>
      <w:bookmarkStart w:id="458" w:name="_Toc11086"/>
      <w:bookmarkStart w:id="459" w:name="_Toc15871"/>
      <w:r>
        <w:rPr>
          <w:rFonts w:hint="eastAsia"/>
          <w:lang w:val="en-US"/>
        </w:rPr>
        <w:t>四</w:t>
      </w:r>
      <w:r>
        <w:rPr>
          <w:rFonts w:hint="eastAsia"/>
        </w:rPr>
        <w:t>、分包意向协议（如有）</w:t>
      </w:r>
      <w:bookmarkEnd w:id="458"/>
      <w:bookmarkEnd w:id="459"/>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2"/>
        <w:sectPr>
          <w:pgSz w:w="11905" w:h="16838"/>
          <w:pgMar w:top="1440" w:right="1797" w:bottom="1440" w:left="1797" w:header="851" w:footer="992" w:gutter="0"/>
          <w:cols w:space="0" w:num="1"/>
          <w:titlePg/>
          <w:docGrid w:linePitch="312" w:charSpace="0"/>
        </w:sectPr>
      </w:pPr>
    </w:p>
    <w:p>
      <w:pPr>
        <w:pStyle w:val="3"/>
      </w:pPr>
      <w:bookmarkStart w:id="460" w:name="_Toc20008"/>
      <w:bookmarkStart w:id="461" w:name="_Toc29359"/>
      <w:r>
        <w:rPr>
          <w:rFonts w:hint="eastAsia"/>
          <w:lang w:val="en-US"/>
        </w:rPr>
        <w:t>五</w:t>
      </w:r>
      <w:r>
        <w:rPr>
          <w:rFonts w:hint="eastAsia"/>
        </w:rPr>
        <w:t>、评标标准相应的商务技术资料</w:t>
      </w:r>
      <w:bookmarkEnd w:id="460"/>
      <w:bookmarkEnd w:id="461"/>
    </w:p>
    <w:p>
      <w:pPr>
        <w:jc w:val="center"/>
        <w:rPr>
          <w:rFonts w:ascii="宋体" w:hAnsi="宋体" w:cs="宋体"/>
          <w:b/>
        </w:rPr>
      </w:pPr>
      <w:r>
        <w:rPr>
          <w:rFonts w:hint="eastAsia" w:ascii="宋体" w:hAnsi="宋体" w:cs="宋体"/>
          <w:b/>
        </w:rPr>
        <w:t>（按招标文件第四部分评标办法中评标标准提供资料。）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2"/>
        <w:sectPr>
          <w:pgSz w:w="11905" w:h="16838"/>
          <w:pgMar w:top="1440" w:right="1797" w:bottom="1440" w:left="1797" w:header="851" w:footer="992" w:gutter="0"/>
          <w:cols w:space="0" w:num="1"/>
          <w:titlePg/>
          <w:docGrid w:linePitch="312" w:charSpace="0"/>
        </w:sectPr>
      </w:pPr>
    </w:p>
    <w:p>
      <w:pPr>
        <w:pStyle w:val="3"/>
      </w:pPr>
      <w:bookmarkStart w:id="462" w:name="_Toc10001"/>
      <w:bookmarkStart w:id="463" w:name="_Toc18478"/>
      <w:bookmarkStart w:id="464" w:name="_Toc5985"/>
      <w:r>
        <w:rPr>
          <w:rFonts w:hint="eastAsia"/>
          <w:lang w:val="en-US"/>
        </w:rPr>
        <w:t>六、</w:t>
      </w:r>
      <w:r>
        <w:rPr>
          <w:rFonts w:hint="eastAsia"/>
        </w:rPr>
        <w:t>商务</w:t>
      </w:r>
      <w:r>
        <w:rPr>
          <w:rFonts w:hint="eastAsia"/>
          <w:lang w:val="en-US"/>
        </w:rPr>
        <w:t>偏离</w:t>
      </w:r>
      <w:r>
        <w:rPr>
          <w:rFonts w:hint="eastAsia"/>
        </w:rPr>
        <w:t>表</w:t>
      </w:r>
      <w:bookmarkEnd w:id="462"/>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序号</w:t>
            </w:r>
          </w:p>
        </w:tc>
        <w:tc>
          <w:tcPr>
            <w:tcW w:w="3683" w:type="dxa"/>
          </w:tcPr>
          <w:p>
            <w:pPr>
              <w:pStyle w:val="144"/>
              <w:widowControl w:val="0"/>
              <w:rPr>
                <w:b/>
                <w:bCs/>
              </w:rPr>
            </w:pPr>
            <w:r>
              <w:rPr>
                <w:rFonts w:hint="eastAsia"/>
                <w:b/>
                <w:bCs/>
              </w:rPr>
              <w:t>招标文件要求</w:t>
            </w:r>
          </w:p>
        </w:tc>
        <w:tc>
          <w:tcPr>
            <w:tcW w:w="3546" w:type="dxa"/>
          </w:tcPr>
          <w:p>
            <w:pPr>
              <w:pStyle w:val="144"/>
              <w:widowControl w:val="0"/>
              <w:rPr>
                <w:b/>
                <w:bCs/>
              </w:rPr>
            </w:pPr>
            <w:r>
              <w:rPr>
                <w:rFonts w:hint="eastAsia"/>
                <w:b/>
                <w:bCs/>
              </w:rPr>
              <w:t>投标文件响应</w:t>
            </w:r>
          </w:p>
        </w:tc>
        <w:tc>
          <w:tcPr>
            <w:tcW w:w="1276" w:type="dxa"/>
          </w:tcPr>
          <w:p>
            <w:pPr>
              <w:pStyle w:val="144"/>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1</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2</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bl>
    <w:p>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3"/>
      </w:pPr>
      <w:bookmarkStart w:id="465" w:name="_Toc13710"/>
      <w:bookmarkStart w:id="466" w:name="_Toc29279"/>
      <w:r>
        <w:rPr>
          <w:rFonts w:hint="eastAsia"/>
          <w:lang w:val="en-US"/>
        </w:rPr>
        <w:t>七、技术偏离</w:t>
      </w:r>
      <w:r>
        <w:rPr>
          <w:rFonts w:hint="eastAsia"/>
        </w:rPr>
        <w:t>表</w:t>
      </w:r>
      <w:bookmarkEnd w:id="465"/>
      <w:bookmarkEnd w:id="46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序号</w:t>
            </w:r>
          </w:p>
        </w:tc>
        <w:tc>
          <w:tcPr>
            <w:tcW w:w="3683" w:type="dxa"/>
          </w:tcPr>
          <w:p>
            <w:pPr>
              <w:pStyle w:val="144"/>
              <w:widowControl w:val="0"/>
              <w:rPr>
                <w:b/>
                <w:bCs/>
              </w:rPr>
            </w:pPr>
            <w:r>
              <w:rPr>
                <w:rFonts w:hint="eastAsia"/>
                <w:b/>
                <w:bCs/>
              </w:rPr>
              <w:t>招标文件要求</w:t>
            </w:r>
          </w:p>
        </w:tc>
        <w:tc>
          <w:tcPr>
            <w:tcW w:w="3546" w:type="dxa"/>
          </w:tcPr>
          <w:p>
            <w:pPr>
              <w:pStyle w:val="144"/>
              <w:widowControl w:val="0"/>
              <w:rPr>
                <w:b/>
                <w:bCs/>
              </w:rPr>
            </w:pPr>
            <w:r>
              <w:rPr>
                <w:rFonts w:hint="eastAsia"/>
                <w:b/>
                <w:bCs/>
              </w:rPr>
              <w:t>投标文件响应</w:t>
            </w:r>
          </w:p>
        </w:tc>
        <w:tc>
          <w:tcPr>
            <w:tcW w:w="1276" w:type="dxa"/>
          </w:tcPr>
          <w:p>
            <w:pPr>
              <w:pStyle w:val="144"/>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1</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2</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4"/>
              <w:widowControl w:val="0"/>
              <w:rPr>
                <w:b/>
                <w:bCs/>
              </w:rPr>
            </w:pPr>
            <w:r>
              <w:rPr>
                <w:rFonts w:hint="eastAsia"/>
                <w:b/>
                <w:bCs/>
              </w:rPr>
              <w:t>……</w:t>
            </w:r>
          </w:p>
        </w:tc>
        <w:tc>
          <w:tcPr>
            <w:tcW w:w="3683" w:type="dxa"/>
          </w:tcPr>
          <w:p>
            <w:pPr>
              <w:pStyle w:val="144"/>
              <w:widowControl w:val="0"/>
              <w:rPr>
                <w:b/>
                <w:bCs/>
              </w:rPr>
            </w:pPr>
          </w:p>
        </w:tc>
        <w:tc>
          <w:tcPr>
            <w:tcW w:w="3546" w:type="dxa"/>
          </w:tcPr>
          <w:p>
            <w:pPr>
              <w:pStyle w:val="144"/>
              <w:widowControl w:val="0"/>
              <w:rPr>
                <w:b/>
                <w:bCs/>
              </w:rPr>
            </w:pPr>
          </w:p>
        </w:tc>
        <w:tc>
          <w:tcPr>
            <w:tcW w:w="1276" w:type="dxa"/>
          </w:tcPr>
          <w:p>
            <w:pPr>
              <w:pStyle w:val="144"/>
              <w:widowControl w:val="0"/>
              <w:rPr>
                <w:b/>
                <w:bCs/>
              </w:rPr>
            </w:pPr>
          </w:p>
        </w:tc>
      </w:tr>
    </w:tbl>
    <w:p>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3"/>
        <w:rPr>
          <w:rFonts w:ascii="宋体" w:hAnsi="宋体" w:cs="宋体"/>
          <w:kern w:val="0"/>
          <w:sz w:val="32"/>
        </w:rPr>
      </w:pPr>
      <w:bookmarkStart w:id="467" w:name="_Toc1831"/>
      <w:bookmarkStart w:id="468"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67"/>
      <w:bookmarkEnd w:id="468"/>
    </w:p>
    <w:p>
      <w:pPr>
        <w:ind w:firstLine="480"/>
        <w:rPr>
          <w:rFonts w:ascii="宋体" w:hAnsi="宋体" w:cs="宋体"/>
        </w:rPr>
      </w:pP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ascii="宋体" w:hAnsi="宋体" w:cs="宋体"/>
          <w:b/>
          <w:bCs/>
        </w:rPr>
      </w:pPr>
    </w:p>
    <w:p>
      <w:pPr>
        <w:ind w:right="420" w:firstLine="480"/>
        <w:rPr>
          <w:rFonts w:ascii="宋体" w:hAnsi="宋体" w:cs="宋体"/>
        </w:rPr>
      </w:pPr>
      <w:r>
        <w:rPr>
          <w:rFonts w:hint="eastAsia" w:ascii="宋体" w:hAnsi="宋体" w:cs="宋体"/>
        </w:rPr>
        <w:t>注：按本格式和要求提供。</w:t>
      </w:r>
    </w:p>
    <w:p>
      <w:pPr>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3"/>
        <w:rPr>
          <w:lang w:val="en-US"/>
        </w:rPr>
      </w:pPr>
      <w:bookmarkStart w:id="469" w:name="_Toc2224"/>
      <w:bookmarkStart w:id="470" w:name="_Toc24979"/>
      <w:r>
        <w:rPr>
          <w:rFonts w:hint="eastAsia"/>
          <w:lang w:val="en-US"/>
        </w:rPr>
        <w:t>九、代理服务费支付承诺书</w:t>
      </w:r>
      <w:bookmarkEnd w:id="469"/>
      <w:bookmarkEnd w:id="470"/>
    </w:p>
    <w:p>
      <w:pPr>
        <w:spacing w:before="50" w:after="50"/>
        <w:ind w:firstLine="560"/>
        <w:rPr>
          <w:spacing w:val="20"/>
          <w:u w:val="single"/>
        </w:rPr>
      </w:pPr>
    </w:p>
    <w:p>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50" w:after="50"/>
        <w:ind w:firstLine="480"/>
        <w:rPr>
          <w:rFonts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开票信息</w:t>
            </w:r>
          </w:p>
        </w:tc>
        <w:tc>
          <w:tcPr>
            <w:tcW w:w="3433" w:type="dxa"/>
            <w:vAlign w:val="center"/>
          </w:tcPr>
          <w:p>
            <w:pPr>
              <w:spacing w:before="50" w:after="50"/>
              <w:ind w:firstLine="0" w:firstLineChars="0"/>
              <w:jc w:val="left"/>
              <w:rPr>
                <w:rFonts w:hAnsi="宋体"/>
              </w:rPr>
            </w:pPr>
            <w:r>
              <w:rPr>
                <w:rFonts w:hint="eastAsia" w:hAnsi="宋体"/>
              </w:rPr>
              <w:t>发票抬头：</w:t>
            </w:r>
          </w:p>
        </w:tc>
        <w:tc>
          <w:tcPr>
            <w:tcW w:w="3147" w:type="dxa"/>
            <w:vAlign w:val="center"/>
          </w:tcPr>
          <w:p>
            <w:pPr>
              <w:spacing w:before="50" w:after="50"/>
              <w:ind w:firstLine="0" w:firstLineChars="0"/>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地址：</w:t>
            </w:r>
          </w:p>
        </w:tc>
        <w:tc>
          <w:tcPr>
            <w:tcW w:w="3147" w:type="dxa"/>
            <w:vAlign w:val="center"/>
          </w:tcPr>
          <w:p>
            <w:pPr>
              <w:spacing w:before="50" w:after="50"/>
              <w:ind w:firstLine="0" w:firstLineChars="0"/>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税号：</w:t>
            </w:r>
          </w:p>
        </w:tc>
        <w:tc>
          <w:tcPr>
            <w:tcW w:w="3147" w:type="dxa"/>
            <w:vAlign w:val="center"/>
          </w:tcPr>
          <w:p>
            <w:pPr>
              <w:spacing w:before="50" w:after="50"/>
              <w:ind w:firstLine="0" w:firstLineChars="0"/>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联系方式</w:t>
            </w:r>
          </w:p>
        </w:tc>
        <w:tc>
          <w:tcPr>
            <w:tcW w:w="3433" w:type="dxa"/>
            <w:vAlign w:val="center"/>
          </w:tcPr>
          <w:p>
            <w:pPr>
              <w:spacing w:before="50" w:after="50"/>
              <w:ind w:firstLine="0" w:firstLineChars="0"/>
              <w:jc w:val="left"/>
              <w:rPr>
                <w:rFonts w:hAnsi="宋体"/>
              </w:rPr>
            </w:pPr>
            <w:r>
              <w:rPr>
                <w:rFonts w:hint="eastAsia" w:hAnsi="宋体"/>
              </w:rPr>
              <w:t>联系人：</w:t>
            </w:r>
          </w:p>
        </w:tc>
        <w:tc>
          <w:tcPr>
            <w:tcW w:w="3147" w:type="dxa"/>
            <w:vAlign w:val="center"/>
          </w:tcPr>
          <w:p>
            <w:pPr>
              <w:spacing w:before="50" w:after="50"/>
              <w:ind w:firstLine="0" w:firstLineChars="0"/>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邮箱：</w:t>
            </w:r>
          </w:p>
        </w:tc>
        <w:tc>
          <w:tcPr>
            <w:tcW w:w="3147" w:type="dxa"/>
            <w:vAlign w:val="center"/>
          </w:tcPr>
          <w:p>
            <w:pPr>
              <w:spacing w:before="50" w:after="50"/>
              <w:ind w:firstLine="0" w:firstLineChars="0"/>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jc w:val="center"/>
              <w:rPr>
                <w:rFonts w:hAnsi="宋体"/>
              </w:rPr>
            </w:pPr>
            <w:r>
              <w:rPr>
                <w:rFonts w:hint="eastAsia" w:hAnsi="宋体"/>
              </w:rPr>
              <w:t>需开票类型</w:t>
            </w:r>
          </w:p>
        </w:tc>
        <w:tc>
          <w:tcPr>
            <w:tcW w:w="6580" w:type="dxa"/>
            <w:gridSpan w:val="2"/>
          </w:tcPr>
          <w:p>
            <w:pPr>
              <w:spacing w:before="50" w:after="50"/>
              <w:ind w:firstLine="0" w:firstLineChars="0"/>
              <w:jc w:val="left"/>
              <w:rPr>
                <w:rFonts w:hAnsi="宋体"/>
              </w:rPr>
            </w:pPr>
            <w:r>
              <w:rPr>
                <w:rFonts w:hint="eastAsia" w:hAnsi="宋体"/>
              </w:rPr>
              <w:t>请在括号里打勾选择：增值税普票（   ）  增值税专票（  ）</w:t>
            </w:r>
          </w:p>
          <w:p>
            <w:pPr>
              <w:spacing w:before="50" w:after="50"/>
              <w:ind w:firstLine="0" w:firstLineChars="0"/>
              <w:rPr>
                <w:rFonts w:hAnsi="宋体"/>
              </w:rPr>
            </w:pPr>
            <w:r>
              <w:rPr>
                <w:rFonts w:hint="eastAsia" w:hAnsi="宋体"/>
              </w:rPr>
              <w:t>备注：若不选择开票类型，默认开具增值税普票。</w:t>
            </w:r>
          </w:p>
        </w:tc>
      </w:tr>
    </w:tbl>
    <w:p>
      <w:pPr>
        <w:spacing w:before="50" w:after="5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50" w:after="50"/>
        <w:ind w:firstLine="480"/>
        <w:rPr>
          <w:rFonts w:hAnsi="宋体"/>
        </w:rPr>
      </w:pPr>
    </w:p>
    <w:p>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pPr>
        <w:pStyle w:val="3"/>
      </w:pPr>
      <w:bookmarkStart w:id="471" w:name="_Toc8380"/>
      <w:bookmarkStart w:id="472" w:name="_Toc28938"/>
      <w:r>
        <w:rPr>
          <w:rFonts w:hint="eastAsia"/>
        </w:rPr>
        <w:t>报价文件部分</w:t>
      </w:r>
      <w:bookmarkEnd w:id="471"/>
      <w:bookmarkEnd w:id="472"/>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（1）开标一览表（报价表）…………………………………………………（页码）</w:t>
      </w:r>
    </w:p>
    <w:p>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pPr>
        <w:ind w:firstLine="0" w:firstLineChars="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3"/>
      </w:pPr>
      <w:bookmarkStart w:id="473" w:name="_Toc16712"/>
      <w:bookmarkStart w:id="474" w:name="_Toc28115"/>
      <w:r>
        <w:rPr>
          <w:rFonts w:hint="eastAsia"/>
        </w:rPr>
        <w:t>一、开标一览表（报价表）</w:t>
      </w:r>
      <w:bookmarkEnd w:id="473"/>
      <w:bookmarkEnd w:id="474"/>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pPr>
              <w:pStyle w:val="486"/>
              <w:ind w:firstLine="0" w:firstLineChars="0"/>
              <w:jc w:val="center"/>
              <w:rPr>
                <w:b/>
                <w:bCs/>
              </w:rPr>
            </w:pPr>
            <w:r>
              <w:rPr>
                <w:rFonts w:hint="eastAsia"/>
                <w:b/>
                <w:bCs/>
              </w:rPr>
              <w:t>序号</w:t>
            </w:r>
          </w:p>
        </w:tc>
        <w:tc>
          <w:tcPr>
            <w:tcW w:w="2762" w:type="dxa"/>
            <w:vAlign w:val="center"/>
          </w:tcPr>
          <w:p>
            <w:pPr>
              <w:pStyle w:val="486"/>
              <w:ind w:firstLine="0" w:firstLineChars="0"/>
              <w:jc w:val="center"/>
              <w:rPr>
                <w:b/>
                <w:bCs/>
              </w:rPr>
            </w:pPr>
            <w:r>
              <w:rPr>
                <w:rFonts w:hint="eastAsia"/>
                <w:b/>
                <w:bCs/>
              </w:rPr>
              <w:t>费用名称</w:t>
            </w:r>
          </w:p>
        </w:tc>
        <w:tc>
          <w:tcPr>
            <w:tcW w:w="1796" w:type="dxa"/>
            <w:vAlign w:val="center"/>
          </w:tcPr>
          <w:p>
            <w:pPr>
              <w:pStyle w:val="486"/>
              <w:ind w:firstLine="0" w:firstLineChars="0"/>
              <w:jc w:val="center"/>
              <w:rPr>
                <w:b/>
                <w:bCs/>
              </w:rPr>
            </w:pPr>
            <w:r>
              <w:rPr>
                <w:rFonts w:hint="eastAsia"/>
                <w:b/>
                <w:bCs/>
              </w:rPr>
              <w:t>数量</w:t>
            </w:r>
          </w:p>
        </w:tc>
        <w:tc>
          <w:tcPr>
            <w:tcW w:w="1225" w:type="dxa"/>
            <w:vAlign w:val="center"/>
          </w:tcPr>
          <w:p>
            <w:pPr>
              <w:pStyle w:val="486"/>
              <w:ind w:firstLine="0" w:firstLineChars="0"/>
              <w:jc w:val="center"/>
              <w:rPr>
                <w:b/>
                <w:bCs/>
              </w:rPr>
            </w:pPr>
            <w:r>
              <w:rPr>
                <w:rFonts w:hint="eastAsia"/>
                <w:b/>
                <w:bCs/>
              </w:rPr>
              <w:t>单价</w:t>
            </w:r>
          </w:p>
        </w:tc>
        <w:tc>
          <w:tcPr>
            <w:tcW w:w="1890" w:type="dxa"/>
            <w:vAlign w:val="center"/>
          </w:tcPr>
          <w:p>
            <w:pPr>
              <w:pStyle w:val="486"/>
              <w:ind w:firstLine="0" w:firstLineChars="0"/>
              <w:jc w:val="center"/>
              <w:rPr>
                <w:b/>
                <w:bCs/>
              </w:rPr>
            </w:pPr>
            <w:r>
              <w:rPr>
                <w:rFonts w:hint="eastAsia"/>
                <w:b/>
                <w:bCs/>
              </w:rPr>
              <w:t>总价</w:t>
            </w:r>
          </w:p>
        </w:tc>
        <w:tc>
          <w:tcPr>
            <w:tcW w:w="1220" w:type="dxa"/>
            <w:vAlign w:val="center"/>
          </w:tcPr>
          <w:p>
            <w:pPr>
              <w:pStyle w:val="486"/>
              <w:ind w:firstLine="0" w:firstLineChars="0"/>
              <w:jc w:val="center"/>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pPr>
              <w:pStyle w:val="486"/>
              <w:ind w:firstLine="0" w:firstLineChars="0"/>
              <w:jc w:val="center"/>
              <w:rPr>
                <w:b/>
                <w:bCs/>
              </w:rPr>
            </w:pPr>
          </w:p>
        </w:tc>
        <w:tc>
          <w:tcPr>
            <w:tcW w:w="2762" w:type="dxa"/>
            <w:vAlign w:val="center"/>
          </w:tcPr>
          <w:p>
            <w:pPr>
              <w:pStyle w:val="486"/>
              <w:ind w:firstLine="0" w:firstLineChars="0"/>
              <w:jc w:val="center"/>
              <w:rPr>
                <w:b/>
                <w:bCs/>
              </w:rPr>
            </w:pPr>
          </w:p>
        </w:tc>
        <w:tc>
          <w:tcPr>
            <w:tcW w:w="1796" w:type="dxa"/>
            <w:vAlign w:val="center"/>
          </w:tcPr>
          <w:p>
            <w:pPr>
              <w:pStyle w:val="486"/>
              <w:ind w:firstLine="0" w:firstLineChars="0"/>
              <w:jc w:val="center"/>
              <w:rPr>
                <w:b/>
                <w:bCs/>
              </w:rPr>
            </w:pPr>
          </w:p>
        </w:tc>
        <w:tc>
          <w:tcPr>
            <w:tcW w:w="1225" w:type="dxa"/>
            <w:vAlign w:val="center"/>
          </w:tcPr>
          <w:p>
            <w:pPr>
              <w:pStyle w:val="486"/>
              <w:ind w:firstLine="0" w:firstLineChars="0"/>
              <w:jc w:val="center"/>
              <w:rPr>
                <w:b/>
                <w:bCs/>
              </w:rPr>
            </w:pPr>
          </w:p>
        </w:tc>
        <w:tc>
          <w:tcPr>
            <w:tcW w:w="1890" w:type="dxa"/>
            <w:vAlign w:val="center"/>
          </w:tcPr>
          <w:p>
            <w:pPr>
              <w:pStyle w:val="486"/>
              <w:ind w:firstLine="0" w:firstLineChars="0"/>
              <w:jc w:val="center"/>
              <w:rPr>
                <w:b/>
                <w:bCs/>
              </w:rPr>
            </w:pPr>
          </w:p>
        </w:tc>
        <w:tc>
          <w:tcPr>
            <w:tcW w:w="1220" w:type="dxa"/>
            <w:vAlign w:val="center"/>
          </w:tcPr>
          <w:p>
            <w:pPr>
              <w:pStyle w:val="486"/>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6"/>
              <w:ind w:firstLine="0" w:firstLineChars="0"/>
              <w:jc w:val="center"/>
              <w:rPr>
                <w:b/>
                <w:bCs/>
              </w:rPr>
            </w:pPr>
          </w:p>
        </w:tc>
        <w:tc>
          <w:tcPr>
            <w:tcW w:w="2762" w:type="dxa"/>
            <w:vAlign w:val="center"/>
          </w:tcPr>
          <w:p>
            <w:pPr>
              <w:pStyle w:val="486"/>
              <w:ind w:firstLine="0" w:firstLineChars="0"/>
              <w:jc w:val="center"/>
              <w:rPr>
                <w:b/>
                <w:bCs/>
              </w:rPr>
            </w:pPr>
          </w:p>
        </w:tc>
        <w:tc>
          <w:tcPr>
            <w:tcW w:w="1796" w:type="dxa"/>
            <w:vAlign w:val="center"/>
          </w:tcPr>
          <w:p>
            <w:pPr>
              <w:pStyle w:val="486"/>
              <w:ind w:firstLine="0" w:firstLineChars="0"/>
              <w:jc w:val="center"/>
              <w:rPr>
                <w:b/>
                <w:bCs/>
              </w:rPr>
            </w:pPr>
          </w:p>
        </w:tc>
        <w:tc>
          <w:tcPr>
            <w:tcW w:w="1225" w:type="dxa"/>
            <w:vAlign w:val="center"/>
          </w:tcPr>
          <w:p>
            <w:pPr>
              <w:pStyle w:val="486"/>
              <w:ind w:firstLine="0" w:firstLineChars="0"/>
              <w:jc w:val="center"/>
              <w:rPr>
                <w:b/>
                <w:bCs/>
              </w:rPr>
            </w:pPr>
          </w:p>
        </w:tc>
        <w:tc>
          <w:tcPr>
            <w:tcW w:w="1890" w:type="dxa"/>
            <w:vAlign w:val="center"/>
          </w:tcPr>
          <w:p>
            <w:pPr>
              <w:pStyle w:val="486"/>
              <w:ind w:firstLine="0" w:firstLineChars="0"/>
              <w:jc w:val="center"/>
              <w:rPr>
                <w:b/>
                <w:bCs/>
              </w:rPr>
            </w:pPr>
          </w:p>
        </w:tc>
        <w:tc>
          <w:tcPr>
            <w:tcW w:w="1220" w:type="dxa"/>
            <w:vAlign w:val="center"/>
          </w:tcPr>
          <w:p>
            <w:pPr>
              <w:pStyle w:val="486"/>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6"/>
              <w:ind w:firstLine="0" w:firstLineChars="0"/>
              <w:jc w:val="center"/>
              <w:rPr>
                <w:b/>
                <w:bCs/>
              </w:rPr>
            </w:pPr>
            <w:r>
              <w:rPr>
                <w:rFonts w:hint="eastAsia"/>
                <w:b/>
                <w:bCs/>
              </w:rPr>
              <w:t>......</w:t>
            </w:r>
          </w:p>
        </w:tc>
        <w:tc>
          <w:tcPr>
            <w:tcW w:w="2762" w:type="dxa"/>
            <w:vAlign w:val="center"/>
          </w:tcPr>
          <w:p>
            <w:pPr>
              <w:pStyle w:val="486"/>
              <w:ind w:firstLine="0" w:firstLineChars="0"/>
              <w:jc w:val="center"/>
              <w:rPr>
                <w:b/>
                <w:bCs/>
              </w:rPr>
            </w:pPr>
          </w:p>
        </w:tc>
        <w:tc>
          <w:tcPr>
            <w:tcW w:w="1796" w:type="dxa"/>
            <w:vAlign w:val="center"/>
          </w:tcPr>
          <w:p>
            <w:pPr>
              <w:pStyle w:val="486"/>
              <w:ind w:firstLine="0" w:firstLineChars="0"/>
              <w:jc w:val="center"/>
              <w:rPr>
                <w:b/>
                <w:bCs/>
              </w:rPr>
            </w:pPr>
          </w:p>
        </w:tc>
        <w:tc>
          <w:tcPr>
            <w:tcW w:w="1225" w:type="dxa"/>
            <w:vAlign w:val="center"/>
          </w:tcPr>
          <w:p>
            <w:pPr>
              <w:pStyle w:val="486"/>
              <w:ind w:firstLine="0" w:firstLineChars="0"/>
              <w:jc w:val="center"/>
              <w:rPr>
                <w:b/>
                <w:bCs/>
              </w:rPr>
            </w:pPr>
          </w:p>
        </w:tc>
        <w:tc>
          <w:tcPr>
            <w:tcW w:w="1890" w:type="dxa"/>
            <w:vAlign w:val="center"/>
          </w:tcPr>
          <w:p>
            <w:pPr>
              <w:pStyle w:val="486"/>
              <w:ind w:firstLine="0" w:firstLineChars="0"/>
              <w:jc w:val="center"/>
              <w:rPr>
                <w:b/>
                <w:bCs/>
              </w:rPr>
            </w:pPr>
          </w:p>
        </w:tc>
        <w:tc>
          <w:tcPr>
            <w:tcW w:w="1220" w:type="dxa"/>
            <w:vAlign w:val="center"/>
          </w:tcPr>
          <w:p>
            <w:pPr>
              <w:pStyle w:val="486"/>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pPr>
              <w:pStyle w:val="486"/>
              <w:ind w:firstLine="0" w:firstLineChars="0"/>
              <w:jc w:val="center"/>
              <w:rPr>
                <w:b/>
                <w:bCs/>
              </w:rPr>
            </w:pPr>
            <w:r>
              <w:rPr>
                <w:rFonts w:hint="eastAsia"/>
                <w:b/>
                <w:bCs/>
              </w:rPr>
              <w:t>报价总价（小写）</w:t>
            </w:r>
          </w:p>
        </w:tc>
        <w:tc>
          <w:tcPr>
            <w:tcW w:w="6131" w:type="dxa"/>
            <w:gridSpan w:val="4"/>
            <w:vAlign w:val="center"/>
          </w:tcPr>
          <w:p>
            <w:pPr>
              <w:pStyle w:val="486"/>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pPr>
              <w:pStyle w:val="486"/>
              <w:ind w:firstLine="0" w:firstLineChars="0"/>
              <w:jc w:val="center"/>
              <w:rPr>
                <w:b/>
                <w:bCs/>
              </w:rPr>
            </w:pPr>
            <w:r>
              <w:rPr>
                <w:rFonts w:hint="eastAsia"/>
                <w:b/>
                <w:bCs/>
              </w:rPr>
              <w:t>报价总价（大写）</w:t>
            </w:r>
          </w:p>
        </w:tc>
        <w:tc>
          <w:tcPr>
            <w:tcW w:w="6131" w:type="dxa"/>
            <w:gridSpan w:val="4"/>
            <w:vAlign w:val="center"/>
          </w:tcPr>
          <w:p>
            <w:pPr>
              <w:pStyle w:val="486"/>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pPr>
              <w:pStyle w:val="486"/>
              <w:ind w:firstLine="0" w:firstLineChars="0"/>
              <w:jc w:val="center"/>
              <w:rPr>
                <w:b/>
                <w:bCs/>
              </w:rPr>
            </w:pPr>
            <w:r>
              <w:rPr>
                <w:rFonts w:hint="eastAsia"/>
                <w:b/>
                <w:bCs/>
              </w:rPr>
              <w:t>服务期</w:t>
            </w:r>
          </w:p>
        </w:tc>
        <w:tc>
          <w:tcPr>
            <w:tcW w:w="6131" w:type="dxa"/>
            <w:gridSpan w:val="4"/>
            <w:vAlign w:val="center"/>
          </w:tcPr>
          <w:p>
            <w:pPr>
              <w:pStyle w:val="486"/>
              <w:ind w:firstLine="0" w:firstLineChars="0"/>
              <w:jc w:val="center"/>
              <w:rPr>
                <w:b/>
                <w:bCs/>
              </w:rPr>
            </w:pPr>
          </w:p>
        </w:tc>
      </w:tr>
    </w:tbl>
    <w:p>
      <w:pPr>
        <w:ind w:firstLine="0" w:firstLineChars="0"/>
        <w:rPr>
          <w:rFonts w:ascii="宋体" w:hAnsi="宋体" w:cs="宋体"/>
          <w:b/>
          <w:kern w:val="0"/>
          <w:lang w:val="zh-CN"/>
        </w:rPr>
      </w:pPr>
      <w:r>
        <w:rPr>
          <w:rFonts w:hint="eastAsia" w:ascii="宋体" w:hAnsi="宋体" w:cs="宋体"/>
          <w:b/>
          <w:kern w:val="0"/>
          <w:lang w:val="zh-CN"/>
        </w:rPr>
        <w:t>注：</w:t>
      </w:r>
    </w:p>
    <w:p>
      <w:pPr>
        <w:ind w:left="-2" w:leftChars="-1" w:firstLine="480"/>
        <w:rPr>
          <w:rFonts w:ascii="宋体" w:hAnsi="宋体" w:cs="宋体"/>
          <w:kern w:val="0"/>
          <w:lang w:val="zh-CN"/>
        </w:rPr>
      </w:pPr>
      <w:r>
        <w:rPr>
          <w:rFonts w:hint="eastAsia" w:ascii="宋体" w:hAnsi="宋体" w:cs="宋体"/>
          <w:kern w:val="0"/>
          <w:lang w:val="zh-CN"/>
        </w:rPr>
        <w:t>1、投标人需按本表格式填写，要求列明报价组成明细。</w:t>
      </w:r>
    </w:p>
    <w:p>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3"/>
      </w:pPr>
      <w:bookmarkStart w:id="475" w:name="_Toc19337"/>
      <w:bookmarkStart w:id="476" w:name="_Toc1047"/>
      <w:r>
        <w:rPr>
          <w:rFonts w:hint="eastAsia"/>
        </w:rPr>
        <w:t>二、报价情况说明（如果有）</w:t>
      </w:r>
    </w:p>
    <w:p>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pPr>
        <w:pStyle w:val="3"/>
        <w:jc w:val="both"/>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pPr>
        <w:pStyle w:val="3"/>
      </w:pPr>
      <w:r>
        <w:rPr>
          <w:rFonts w:hint="eastAsia"/>
        </w:rPr>
        <w:t>三、中小企业声明函（如果有）</w:t>
      </w:r>
      <w:bookmarkEnd w:id="475"/>
      <w:bookmarkEnd w:id="476"/>
    </w:p>
    <w:p>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5"/>
        <w:keepNext w:val="0"/>
        <w:pageBreakBefore w:val="0"/>
        <w:tabs>
          <w:tab w:val="clear" w:pos="720"/>
        </w:tabs>
        <w:spacing w:before="120" w:after="120"/>
        <w:ind w:firstLine="640"/>
        <w:outlineLvl w:val="9"/>
        <w:rPr>
          <w:rFonts w:ascii="宋体" w:hAnsi="宋体" w:eastAsia="宋体" w:cs="宋体"/>
          <w:b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3"/>
      </w:pPr>
      <w:bookmarkStart w:id="477" w:name="_Toc29378"/>
      <w:bookmarkStart w:id="478" w:name="_Toc30052"/>
      <w:bookmarkStart w:id="479" w:name="_Toc465665161"/>
      <w:r>
        <w:rPr>
          <w:rFonts w:hint="eastAsia"/>
        </w:rPr>
        <w:t>附件</w:t>
      </w:r>
      <w:bookmarkEnd w:id="477"/>
      <w:bookmarkEnd w:id="478"/>
      <w:bookmarkEnd w:id="479"/>
    </w:p>
    <w:p>
      <w:pPr>
        <w:pStyle w:val="5"/>
      </w:pPr>
      <w:r>
        <w:rPr>
          <w:rFonts w:hint="eastAsia"/>
        </w:rPr>
        <w:t>附件1：残疾人福利性单位声明函</w:t>
      </w:r>
    </w:p>
    <w:p>
      <w:pPr>
        <w:ind w:firstLine="667"/>
        <w:rPr>
          <w:rFonts w:ascii="宋体" w:hAnsi="宋体" w:cs="宋体"/>
          <w:b/>
          <w:spacing w:val="6"/>
          <w:sz w:val="32"/>
          <w:szCs w:val="32"/>
        </w:rPr>
      </w:pPr>
    </w:p>
    <w:p>
      <w:pPr>
        <w:ind w:firstLine="667"/>
        <w:jc w:val="center"/>
        <w:rPr>
          <w:rFonts w:ascii="宋体" w:hAnsi="宋体" w:cs="宋体"/>
          <w:b/>
          <w:spacing w:val="6"/>
          <w:sz w:val="32"/>
          <w:szCs w:val="32"/>
        </w:rPr>
      </w:pPr>
      <w:bookmarkStart w:id="480" w:name="OLE_LINK13"/>
      <w:bookmarkStart w:id="481" w:name="OLE_LINK14"/>
      <w:r>
        <w:rPr>
          <w:rFonts w:hint="eastAsia" w:ascii="宋体" w:hAnsi="宋体" w:cs="宋体"/>
          <w:b/>
          <w:spacing w:val="6"/>
          <w:sz w:val="32"/>
          <w:szCs w:val="32"/>
        </w:rPr>
        <w:t>残疾人福利性单位声明函</w:t>
      </w:r>
    </w:p>
    <w:bookmarkEnd w:id="480"/>
    <w:bookmarkEnd w:id="481"/>
    <w:p>
      <w:pPr>
        <w:ind w:firstLine="626"/>
        <w:rPr>
          <w:rFonts w:ascii="宋体" w:hAnsi="宋体" w:cs="宋体"/>
          <w:b/>
          <w:spacing w:val="6"/>
          <w:sz w:val="30"/>
          <w:szCs w:val="30"/>
        </w:rPr>
      </w:pPr>
    </w:p>
    <w:p>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ascii="宋体" w:hAnsi="宋体" w:cs="宋体"/>
        </w:rPr>
      </w:pPr>
      <w:r>
        <w:rPr>
          <w:rFonts w:hint="eastAsia" w:ascii="宋体" w:hAnsi="宋体" w:cs="宋体"/>
        </w:rPr>
        <w:t xml:space="preserve">       日  期：</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pPr>
        <w:pStyle w:val="5"/>
      </w:pPr>
      <w:r>
        <w:rPr>
          <w:rFonts w:hint="eastAsia"/>
        </w:rPr>
        <w:t>附件2：质疑函范本及制作说明</w:t>
      </w:r>
    </w:p>
    <w:p>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ascii="宋体" w:hAnsi="宋体" w:cs="宋体"/>
          <w:bCs/>
        </w:rPr>
      </w:pPr>
      <w:r>
        <w:rPr>
          <w:rFonts w:hint="eastAsia" w:ascii="宋体" w:hAnsi="宋体" w:cs="宋体"/>
          <w:bCs/>
        </w:rPr>
        <w:t>一、质疑供应商基本信息</w:t>
      </w:r>
    </w:p>
    <w:p>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二、质疑项目基本情况</w:t>
      </w:r>
    </w:p>
    <w:p>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三、质疑事项具体内容</w:t>
      </w:r>
    </w:p>
    <w:p>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质疑事项2</w:t>
      </w:r>
    </w:p>
    <w:p>
      <w:pPr>
        <w:ind w:firstLine="480"/>
        <w:rPr>
          <w:rFonts w:ascii="宋体" w:hAnsi="宋体" w:cs="宋体"/>
        </w:rPr>
      </w:pPr>
      <w:r>
        <w:rPr>
          <w:rFonts w:hint="eastAsia" w:ascii="宋体" w:hAnsi="宋体" w:cs="宋体"/>
        </w:rPr>
        <w:t>……</w:t>
      </w:r>
    </w:p>
    <w:p>
      <w:pPr>
        <w:ind w:firstLine="480"/>
        <w:rPr>
          <w:rFonts w:ascii="宋体" w:hAnsi="宋体" w:cs="宋体"/>
          <w:bCs/>
        </w:rPr>
      </w:pPr>
      <w:r>
        <w:rPr>
          <w:rFonts w:hint="eastAsia" w:ascii="宋体" w:hAnsi="宋体" w:cs="宋体"/>
          <w:bCs/>
        </w:rPr>
        <w:t>四、与质疑事项相关的质疑请求</w:t>
      </w:r>
    </w:p>
    <w:p>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jc w:val="center"/>
        <w:rPr>
          <w:rFonts w:ascii="宋体" w:hAnsi="宋体" w:cs="宋体"/>
          <w:b/>
          <w:bCs/>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质疑函制作说明：</w:t>
      </w:r>
    </w:p>
    <w:p>
      <w:pPr>
        <w:widowControl/>
        <w:ind w:firstLine="480"/>
        <w:jc w:val="left"/>
        <w:rPr>
          <w:rFonts w:ascii="宋体" w:hAnsi="宋体" w:cs="宋体"/>
        </w:rPr>
      </w:pPr>
      <w:r>
        <w:rPr>
          <w:rFonts w:hint="eastAsia" w:ascii="宋体" w:hAnsi="宋体" w:cs="宋体"/>
        </w:rPr>
        <w:t>1.供应商提出质疑时，应提交质疑函和必要的证明材料。</w:t>
      </w:r>
    </w:p>
    <w:p>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ascii="宋体" w:hAnsi="宋体" w:cs="宋体"/>
        </w:rPr>
      </w:pPr>
      <w:r>
        <w:rPr>
          <w:rFonts w:hint="eastAsia" w:ascii="宋体" w:hAnsi="宋体" w:cs="宋体"/>
        </w:rPr>
        <w:t>4.质疑函的质疑事项应具体、明确，并有必要的事实依据和法律依据。</w:t>
      </w:r>
    </w:p>
    <w:p>
      <w:pPr>
        <w:widowControl/>
        <w:ind w:firstLine="480"/>
        <w:jc w:val="left"/>
        <w:rPr>
          <w:rFonts w:ascii="宋体" w:hAnsi="宋体" w:cs="宋体"/>
        </w:rPr>
      </w:pPr>
      <w:r>
        <w:rPr>
          <w:rFonts w:hint="eastAsia" w:ascii="宋体" w:hAnsi="宋体" w:cs="宋体"/>
        </w:rPr>
        <w:t>5.质疑函的质疑请求应与质疑事项相关。</w:t>
      </w:r>
    </w:p>
    <w:p>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sz w:val="30"/>
          <w:szCs w:val="30"/>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left"/>
        <w:rPr>
          <w:rFonts w:ascii="宋体" w:hAnsi="宋体" w:cs="宋体"/>
          <w:b/>
          <w:spacing w:val="6"/>
          <w:sz w:val="32"/>
          <w:szCs w:val="32"/>
        </w:rPr>
      </w:pPr>
    </w:p>
    <w:p>
      <w:pPr>
        <w:pStyle w:val="5"/>
      </w:pPr>
      <w:r>
        <w:rPr>
          <w:rFonts w:hint="eastAsia"/>
        </w:rPr>
        <w:t>附件3：投诉书范本及制作说明</w:t>
      </w:r>
    </w:p>
    <w:p>
      <w:pPr>
        <w:jc w:val="center"/>
        <w:rPr>
          <w:rFonts w:ascii="宋体" w:hAnsi="宋体" w:cs="宋体"/>
          <w:b/>
        </w:rPr>
      </w:pPr>
    </w:p>
    <w:p>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ind w:firstLine="480"/>
        <w:rPr>
          <w:rFonts w:ascii="宋体" w:hAnsi="宋体" w:cs="宋体"/>
        </w:rPr>
      </w:pPr>
      <w:r>
        <w:rPr>
          <w:rFonts w:hint="eastAsia" w:ascii="宋体" w:hAnsi="宋体" w:cs="宋体"/>
        </w:rPr>
        <w:t>一、投诉相关主体基本情况</w:t>
      </w:r>
    </w:p>
    <w:p>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被投诉人2</w:t>
      </w:r>
    </w:p>
    <w:p>
      <w:pPr>
        <w:ind w:firstLine="480"/>
        <w:rPr>
          <w:rFonts w:ascii="宋体" w:hAnsi="宋体" w:cs="宋体"/>
          <w:u w:val="dotted"/>
        </w:rPr>
      </w:pPr>
      <w:r>
        <w:rPr>
          <w:rFonts w:hint="eastAsia" w:ascii="宋体" w:hAnsi="宋体" w:cs="宋体"/>
        </w:rPr>
        <w:t>……</w:t>
      </w:r>
    </w:p>
    <w:p>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二、投诉项目基本情况</w:t>
      </w:r>
    </w:p>
    <w:p>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三、质疑基本情况</w:t>
      </w:r>
    </w:p>
    <w:p>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ascii="宋体" w:hAnsi="宋体" w:cs="宋体"/>
        </w:rPr>
      </w:pPr>
      <w:r>
        <w:rPr>
          <w:rFonts w:hint="eastAsia" w:ascii="宋体" w:hAnsi="宋体" w:cs="宋体"/>
        </w:rPr>
        <w:t>四、投诉事项具体内容</w:t>
      </w:r>
    </w:p>
    <w:p>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rPr>
      </w:pPr>
      <w:r>
        <w:rPr>
          <w:rFonts w:hint="eastAsia" w:ascii="宋体" w:hAnsi="宋体" w:cs="宋体"/>
        </w:rPr>
        <w:t>投诉事项2</w:t>
      </w:r>
    </w:p>
    <w:p>
      <w:pPr>
        <w:ind w:firstLine="480"/>
        <w:rPr>
          <w:rFonts w:ascii="宋体" w:hAnsi="宋体" w:cs="宋体"/>
          <w:u w:val="dotted"/>
        </w:rPr>
      </w:pPr>
      <w:r>
        <w:rPr>
          <w:rFonts w:hint="eastAsia" w:ascii="宋体" w:hAnsi="宋体" w:cs="宋体"/>
        </w:rPr>
        <w:t>……</w:t>
      </w:r>
    </w:p>
    <w:p>
      <w:pPr>
        <w:ind w:firstLine="480"/>
        <w:rPr>
          <w:rFonts w:ascii="宋体" w:hAnsi="宋体" w:cs="宋体"/>
        </w:rPr>
      </w:pPr>
      <w:r>
        <w:rPr>
          <w:rFonts w:hint="eastAsia" w:ascii="宋体" w:hAnsi="宋体" w:cs="宋体"/>
        </w:rPr>
        <w:t>五、与投诉事项相关的投诉请求</w:t>
      </w:r>
    </w:p>
    <w:p>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rPr>
          <w:rFonts w:ascii="宋体" w:hAnsi="宋体" w:cs="宋体"/>
          <w:b/>
        </w:rPr>
      </w:pPr>
    </w:p>
    <w:p>
      <w:pPr>
        <w:rPr>
          <w:rFonts w:ascii="宋体" w:hAnsi="宋体" w:cs="宋体"/>
          <w:b/>
        </w:rPr>
      </w:pPr>
    </w:p>
    <w:p>
      <w:pPr>
        <w:rPr>
          <w:rFonts w:ascii="宋体" w:hAnsi="宋体" w:cs="宋体"/>
          <w:b/>
        </w:rPr>
        <w:sectPr>
          <w:pgSz w:w="11905" w:h="16838"/>
          <w:pgMar w:top="1440" w:right="1797" w:bottom="1440" w:left="1797" w:header="851" w:footer="992" w:gutter="0"/>
          <w:cols w:space="0" w:num="1"/>
          <w:titlePg/>
          <w:docGrid w:linePitch="312" w:charSpace="0"/>
        </w:sectPr>
      </w:pPr>
    </w:p>
    <w:p>
      <w:pPr>
        <w:rPr>
          <w:rFonts w:ascii="宋体" w:hAnsi="宋体" w:cs="宋体"/>
          <w:b/>
        </w:rPr>
      </w:pPr>
      <w:r>
        <w:rPr>
          <w:rFonts w:hint="eastAsia" w:ascii="宋体" w:hAnsi="宋体" w:cs="宋体"/>
          <w:b/>
        </w:rPr>
        <w:t>投诉书制作说明：</w:t>
      </w:r>
    </w:p>
    <w:p>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ascii="宋体" w:hAnsi="宋体" w:cs="宋体"/>
        </w:rPr>
      </w:pPr>
      <w:r>
        <w:rPr>
          <w:rFonts w:hint="eastAsia" w:ascii="宋体" w:hAnsi="宋体" w:cs="宋体"/>
        </w:rPr>
        <w:t>3.投诉人若对项目的某一分包进行投诉，投诉书应列明具体分包号。</w:t>
      </w:r>
    </w:p>
    <w:p>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ascii="宋体" w:hAnsi="宋体" w:cs="宋体"/>
        </w:rPr>
      </w:pPr>
      <w:r>
        <w:rPr>
          <w:rFonts w:hint="eastAsia" w:ascii="宋体" w:hAnsi="宋体" w:cs="宋体"/>
        </w:rPr>
        <w:t>5.投诉书的投诉事项应具体、明确，并有必要的事实依据和法律依据。</w:t>
      </w:r>
    </w:p>
    <w:p>
      <w:pPr>
        <w:widowControl/>
        <w:ind w:firstLine="480"/>
        <w:jc w:val="left"/>
        <w:rPr>
          <w:rFonts w:ascii="宋体" w:hAnsi="宋体" w:cs="宋体"/>
        </w:rPr>
      </w:pPr>
      <w:r>
        <w:rPr>
          <w:rFonts w:hint="eastAsia" w:ascii="宋体" w:hAnsi="宋体" w:cs="宋体"/>
        </w:rPr>
        <w:t>6.投诉书的投诉请求应与投诉事项相关。</w:t>
      </w:r>
    </w:p>
    <w:p>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rPr>
          <w:rFonts w:ascii="宋体" w:hAnsi="宋体" w:cs="宋体"/>
          <w:b/>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5"/>
      </w:pPr>
      <w:r>
        <w:rPr>
          <w:rFonts w:hint="eastAsia"/>
        </w:rPr>
        <w:t>附件4：业务专用章使用说明函</w:t>
      </w:r>
    </w:p>
    <w:p>
      <w:pPr>
        <w:ind w:firstLine="480"/>
        <w:rPr>
          <w:rFonts w:ascii="宋体" w:hAnsi="宋体" w:cs="宋体"/>
        </w:rPr>
      </w:pPr>
      <w:r>
        <w:rPr>
          <w:rFonts w:hint="eastAsia" w:ascii="宋体" w:hAnsi="宋体" w:cs="宋体"/>
          <w:u w:val="single"/>
        </w:rPr>
        <w:t>（采购人）、（采购代理机构）</w:t>
      </w:r>
    </w:p>
    <w:p>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ascii="宋体" w:hAnsi="宋体" w:cs="宋体"/>
        </w:rPr>
      </w:pPr>
      <w:r>
        <w:rPr>
          <w:rFonts w:hint="eastAsia" w:ascii="宋体" w:hAnsi="宋体" w:cs="宋体"/>
        </w:rPr>
        <w:t>特此说明。</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right="480" w:firstLine="4080" w:firstLineChars="1700"/>
        <w:rPr>
          <w:rFonts w:ascii="宋体" w:hAnsi="宋体" w:cs="宋体"/>
        </w:rPr>
      </w:pPr>
      <w:r>
        <w:rPr>
          <w:rFonts w:hint="eastAsia" w:ascii="宋体" w:hAnsi="宋体" w:cs="宋体"/>
        </w:rPr>
        <w:t>投标单位（法定名称章）：</w:t>
      </w:r>
    </w:p>
    <w:p>
      <w:pPr>
        <w:ind w:right="1440" w:firstLine="480"/>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5"/>
        <w:rPr>
          <w:lang w:val="zh-CN"/>
        </w:rPr>
      </w:pPr>
      <w:r>
        <w:rPr>
          <w:rFonts w:hint="eastAsia"/>
        </w:rPr>
        <w:t>附件5：</w:t>
      </w:r>
      <w:r>
        <w:rPr>
          <w:rFonts w:hint="eastAsia"/>
          <w:lang w:val="zh-CN"/>
        </w:rPr>
        <w:t>联合协议</w:t>
      </w:r>
    </w:p>
    <w:p>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kern w:val="0"/>
          <w:lang w:val="zh-CN"/>
        </w:rPr>
      </w:pPr>
      <w:r>
        <w:rPr>
          <w:rFonts w:hint="eastAsia" w:ascii="宋体" w:hAnsi="宋体" w:cs="宋体"/>
          <w:kern w:val="0"/>
          <w:lang w:val="zh-CN"/>
        </w:rPr>
        <w:t>三、本次联合投标中，分工如下：</w:t>
      </w:r>
    </w:p>
    <w:p>
      <w:pPr>
        <w:ind w:firstLine="480"/>
        <w:rPr>
          <w:rFonts w:ascii="宋体" w:hAnsi="宋体" w:cs="宋体"/>
          <w:kern w:val="0"/>
          <w:lang w:val="zh-CN"/>
        </w:rPr>
      </w:pPr>
      <w:bookmarkStart w:id="48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w:t>
      </w:r>
    </w:p>
    <w:bookmarkEnd w:id="482"/>
    <w:p>
      <w:pPr>
        <w:ind w:firstLine="480"/>
        <w:rPr>
          <w:rFonts w:ascii="宋体" w:hAnsi="宋体" w:cs="宋体"/>
          <w:kern w:val="0"/>
          <w:lang w:val="zh-CN"/>
        </w:rPr>
      </w:pPr>
      <w:r>
        <w:rPr>
          <w:rFonts w:hint="eastAsia" w:ascii="宋体" w:hAnsi="宋体" w:cs="宋体"/>
          <w:kern w:val="0"/>
          <w:lang w:val="zh-CN"/>
        </w:rPr>
        <w:t>四、联合体成员中小企业合同份额。</w:t>
      </w:r>
    </w:p>
    <w:p>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ascii="宋体" w:hAnsi="宋体" w:cs="宋体"/>
          <w:kern w:val="0"/>
          <w:lang w:val="zh-CN"/>
        </w:rPr>
      </w:pPr>
      <w:r>
        <w:rPr>
          <w:rFonts w:hint="eastAsia" w:ascii="宋体" w:hAnsi="宋体" w:cs="宋体"/>
          <w:kern w:val="0"/>
          <w:lang w:val="zh-CN"/>
        </w:rPr>
        <w:t>六、有关本次联合投标的其他事宜：</w:t>
      </w:r>
    </w:p>
    <w:p>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ascii="宋体" w:hAnsi="宋体" w:cs="宋体"/>
          <w:kern w:val="0"/>
          <w:lang w:val="zh-CN"/>
        </w:rPr>
      </w:pP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ascii="宋体" w:hAnsi="宋体" w:cs="宋体"/>
        </w:rPr>
      </w:pPr>
      <w:r>
        <w:rPr>
          <w:rFonts w:hint="eastAsia" w:ascii="宋体" w:hAnsi="宋体" w:cs="宋体"/>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rPr>
          <w:rFonts w:ascii="宋体" w:hAnsi="宋体" w:cs="宋体"/>
          <w:b/>
          <w:spacing w:val="6"/>
          <w:sz w:val="32"/>
          <w:szCs w:val="32"/>
        </w:rPr>
      </w:pPr>
    </w:p>
    <w:p>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5"/>
      </w:pPr>
      <w:r>
        <w:rPr>
          <w:rFonts w:hint="eastAsia"/>
        </w:rPr>
        <w:t>附件6：分包意向协议</w:t>
      </w:r>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ascii="宋体" w:hAnsi="宋体" w:cs="宋体"/>
          <w:u w:val="single"/>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numPr>
          <w:ilvl w:val="0"/>
          <w:numId w:val="8"/>
        </w:numPr>
        <w:spacing w:line="420" w:lineRule="atLeast"/>
        <w:ind w:firstLine="480"/>
        <w:rPr>
          <w:rFonts w:ascii="宋体" w:hAnsi="宋体" w:cs="宋体"/>
          <w:kern w:val="0"/>
        </w:rPr>
      </w:pPr>
      <w:r>
        <w:rPr>
          <w:rFonts w:hint="eastAsia" w:ascii="宋体" w:hAnsi="宋体" w:cs="宋体"/>
          <w:kern w:val="0"/>
        </w:rPr>
        <w:t>其他</w:t>
      </w:r>
    </w:p>
    <w:p>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pPr>
        <w:pStyle w:val="5"/>
      </w:pPr>
      <w:r>
        <w:rPr>
          <w:rFonts w:hint="eastAsia"/>
        </w:rPr>
        <w:t>附件7：中小企业声明函</w:t>
      </w:r>
    </w:p>
    <w:p>
      <w:pPr>
        <w:ind w:firstLine="480"/>
        <w:jc w:val="center"/>
        <w:rPr>
          <w:rFonts w:ascii="宋体" w:hAnsi="宋体" w:cs="宋体"/>
          <w:u w:val="single"/>
        </w:rPr>
      </w:pPr>
    </w:p>
    <w:p>
      <w:pPr>
        <w:ind w:firstLine="643"/>
        <w:jc w:val="center"/>
        <w:rPr>
          <w:rFonts w:ascii="宋体" w:hAnsi="宋体" w:cs="宋体"/>
          <w:b/>
          <w:sz w:val="32"/>
          <w:szCs w:val="32"/>
        </w:rPr>
      </w:pPr>
      <w:r>
        <w:rPr>
          <w:rFonts w:hint="eastAsia" w:ascii="宋体" w:hAnsi="宋体" w:cs="宋体"/>
          <w:b/>
          <w:sz w:val="32"/>
          <w:szCs w:val="32"/>
        </w:rPr>
        <w:t>中小企业声明函（服务）</w:t>
      </w:r>
    </w:p>
    <w:p>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w:t>
      </w:r>
    </w:p>
    <w:p>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jc w:val="left"/>
        <w:rPr>
          <w:rFonts w:ascii="宋体" w:hAnsi="宋体" w:cs="宋体"/>
        </w:rPr>
      </w:pPr>
      <w:r>
        <w:rPr>
          <w:rFonts w:hint="eastAsia" w:ascii="宋体" w:hAnsi="宋体" w:cs="宋体"/>
        </w:rPr>
        <w:t>本企业对上述声明内容的真实性负责。如有虚假，将依法承担相应责任。</w:t>
      </w: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ascii="宋体" w:hAnsi="宋体" w:cs="宋体"/>
        </w:rPr>
      </w:pPr>
      <w:r>
        <w:rPr>
          <w:rFonts w:hint="eastAsia" w:ascii="宋体" w:hAnsi="宋体" w:cs="宋体"/>
        </w:rPr>
        <w:t>注：</w:t>
      </w:r>
    </w:p>
    <w:p>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right="420" w:firstLine="480"/>
        <w:rPr>
          <w:rFonts w:ascii="宋体" w:hAnsi="宋体" w:cs="宋体"/>
        </w:rPr>
      </w:pPr>
    </w:p>
    <w:p>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83" w:name="_Toc91899912"/>
    <w:bookmarkStart w:id="484" w:name="_Toc36110187"/>
    <w:bookmarkStart w:id="485" w:name="_Toc164085800"/>
    <w:bookmarkStart w:id="486" w:name="_Toc131845147"/>
    <w:r>
      <w:rPr>
        <w:rFonts w:hint="eastAsia" w:ascii="仿宋_GB2312" w:eastAsia="仿宋_GB2312"/>
        <w:kern w:val="0"/>
        <w:szCs w:val="21"/>
      </w:rPr>
      <w:t xml:space="preserve"> 页</w:t>
    </w:r>
    <w:bookmarkEnd w:id="483"/>
    <w:bookmarkEnd w:id="484"/>
    <w:bookmarkEnd w:id="485"/>
    <w:bookmarkEnd w:id="48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2"/>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0"/>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59C06"/>
    <w:multiLevelType w:val="singleLevel"/>
    <w:tmpl w:val="A7D59C06"/>
    <w:lvl w:ilvl="0" w:tentative="0">
      <w:start w:val="1"/>
      <w:numFmt w:val="decimal"/>
      <w:suff w:val="nothing"/>
      <w:lvlText w:val="%1、"/>
      <w:lvlJc w:val="left"/>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ED70B397"/>
    <w:multiLevelType w:val="singleLevel"/>
    <w:tmpl w:val="ED70B397"/>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2C8F140C"/>
    <w:multiLevelType w:val="multilevel"/>
    <w:tmpl w:val="2C8F140C"/>
    <w:lvl w:ilvl="0" w:tentative="0">
      <w:start w:val="9"/>
      <w:numFmt w:val="decimal"/>
      <w:lvlText w:val="%1、"/>
      <w:lvlJc w:val="left"/>
      <w:pPr>
        <w:ind w:left="780" w:hanging="36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E8F73EA"/>
    <w:multiLevelType w:val="singleLevel"/>
    <w:tmpl w:val="2E8F73EA"/>
    <w:lvl w:ilvl="0" w:tentative="0">
      <w:start w:val="1"/>
      <w:numFmt w:val="decimal"/>
      <w:suff w:val="nothing"/>
      <w:lvlText w:val="%1、"/>
      <w:lvlJc w:val="left"/>
    </w:lvl>
  </w:abstractNum>
  <w:abstractNum w:abstractNumId="7">
    <w:nsid w:val="3991CAFD"/>
    <w:multiLevelType w:val="singleLevel"/>
    <w:tmpl w:val="3991CAFD"/>
    <w:lvl w:ilvl="0" w:tentative="0">
      <w:start w:val="1"/>
      <w:numFmt w:val="decimal"/>
      <w:suff w:val="nothing"/>
      <w:lvlText w:val="%1、"/>
      <w:lvlJc w:val="left"/>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6E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E57"/>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0F7DF5"/>
    <w:rsid w:val="0010118C"/>
    <w:rsid w:val="0010125E"/>
    <w:rsid w:val="001015F8"/>
    <w:rsid w:val="00101967"/>
    <w:rsid w:val="00103251"/>
    <w:rsid w:val="00103509"/>
    <w:rsid w:val="0010393D"/>
    <w:rsid w:val="00103EBD"/>
    <w:rsid w:val="00104699"/>
    <w:rsid w:val="00104E5B"/>
    <w:rsid w:val="00104EEC"/>
    <w:rsid w:val="001050DC"/>
    <w:rsid w:val="00105482"/>
    <w:rsid w:val="001054FE"/>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0D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042"/>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DD5"/>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ACE"/>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AC7"/>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2F4"/>
    <w:rsid w:val="0050790B"/>
    <w:rsid w:val="00507FDF"/>
    <w:rsid w:val="0051037C"/>
    <w:rsid w:val="0051050F"/>
    <w:rsid w:val="0051058B"/>
    <w:rsid w:val="00510DDC"/>
    <w:rsid w:val="00511166"/>
    <w:rsid w:val="00512217"/>
    <w:rsid w:val="00512459"/>
    <w:rsid w:val="005131A2"/>
    <w:rsid w:val="005137E4"/>
    <w:rsid w:val="00513BB9"/>
    <w:rsid w:val="00514094"/>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CC6"/>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D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3B3"/>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374"/>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54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B2C"/>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93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BC4"/>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7E2"/>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E2F"/>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94"/>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191"/>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13B"/>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B06"/>
    <w:rsid w:val="00C72F44"/>
    <w:rsid w:val="00C73670"/>
    <w:rsid w:val="00C737D1"/>
    <w:rsid w:val="00C738A0"/>
    <w:rsid w:val="00C73DE0"/>
    <w:rsid w:val="00C74609"/>
    <w:rsid w:val="00C749AB"/>
    <w:rsid w:val="00C75A8F"/>
    <w:rsid w:val="00C76129"/>
    <w:rsid w:val="00C7677B"/>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EF2"/>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54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87B"/>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F7A"/>
    <w:rsid w:val="00E2449B"/>
    <w:rsid w:val="00E24A62"/>
    <w:rsid w:val="00E24F52"/>
    <w:rsid w:val="00E255CC"/>
    <w:rsid w:val="00E25612"/>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385327"/>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20313"/>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540CC"/>
    <w:rsid w:val="0DF702FE"/>
    <w:rsid w:val="0E060E51"/>
    <w:rsid w:val="0E207BB1"/>
    <w:rsid w:val="0E5604B2"/>
    <w:rsid w:val="0E6D5D79"/>
    <w:rsid w:val="0E7117D9"/>
    <w:rsid w:val="0E7A68BA"/>
    <w:rsid w:val="0E9D0089"/>
    <w:rsid w:val="0EA828D8"/>
    <w:rsid w:val="0EB803EE"/>
    <w:rsid w:val="0ED87C76"/>
    <w:rsid w:val="0ED9097C"/>
    <w:rsid w:val="0EE57BBF"/>
    <w:rsid w:val="0EF94D4B"/>
    <w:rsid w:val="0F0A12A1"/>
    <w:rsid w:val="0F225DA6"/>
    <w:rsid w:val="0F4958DC"/>
    <w:rsid w:val="0F4C27CC"/>
    <w:rsid w:val="0F4E2742"/>
    <w:rsid w:val="0F515DF7"/>
    <w:rsid w:val="0F596BA8"/>
    <w:rsid w:val="0F5A2BFE"/>
    <w:rsid w:val="0F5B4403"/>
    <w:rsid w:val="0F6248D2"/>
    <w:rsid w:val="0F693536"/>
    <w:rsid w:val="0F7B0511"/>
    <w:rsid w:val="0F7B76D9"/>
    <w:rsid w:val="0F816ACD"/>
    <w:rsid w:val="0F8B220C"/>
    <w:rsid w:val="0F9228F7"/>
    <w:rsid w:val="0F9832DB"/>
    <w:rsid w:val="0FBF3FD2"/>
    <w:rsid w:val="0FBF7FF3"/>
    <w:rsid w:val="0FD8769D"/>
    <w:rsid w:val="0FE663C2"/>
    <w:rsid w:val="10433B10"/>
    <w:rsid w:val="10646583"/>
    <w:rsid w:val="107D4B15"/>
    <w:rsid w:val="1081433D"/>
    <w:rsid w:val="108A3C80"/>
    <w:rsid w:val="10A67900"/>
    <w:rsid w:val="10C26171"/>
    <w:rsid w:val="10DC3AFF"/>
    <w:rsid w:val="10F33360"/>
    <w:rsid w:val="10FC16EA"/>
    <w:rsid w:val="110F1D40"/>
    <w:rsid w:val="111570BC"/>
    <w:rsid w:val="111D4066"/>
    <w:rsid w:val="1122342A"/>
    <w:rsid w:val="11266F33"/>
    <w:rsid w:val="11302E58"/>
    <w:rsid w:val="11477335"/>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D925F2"/>
    <w:rsid w:val="12E14FB0"/>
    <w:rsid w:val="12F5292A"/>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A8729C"/>
    <w:rsid w:val="16B33777"/>
    <w:rsid w:val="16B921CE"/>
    <w:rsid w:val="16BC70A7"/>
    <w:rsid w:val="16C6339E"/>
    <w:rsid w:val="16E74130"/>
    <w:rsid w:val="16FC7537"/>
    <w:rsid w:val="172F2D79"/>
    <w:rsid w:val="17557BEF"/>
    <w:rsid w:val="179911E2"/>
    <w:rsid w:val="17D349C1"/>
    <w:rsid w:val="17F36AF9"/>
    <w:rsid w:val="1830729E"/>
    <w:rsid w:val="18360D3C"/>
    <w:rsid w:val="184F5964"/>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A071A03"/>
    <w:rsid w:val="1A0F6516"/>
    <w:rsid w:val="1A1F16AE"/>
    <w:rsid w:val="1A3B5C77"/>
    <w:rsid w:val="1A5E71D6"/>
    <w:rsid w:val="1A7F48BE"/>
    <w:rsid w:val="1A8F6F11"/>
    <w:rsid w:val="1A9609E5"/>
    <w:rsid w:val="1A984BAD"/>
    <w:rsid w:val="1AB8220E"/>
    <w:rsid w:val="1AE4166C"/>
    <w:rsid w:val="1AE914E9"/>
    <w:rsid w:val="1AF06CFB"/>
    <w:rsid w:val="1AF11B8D"/>
    <w:rsid w:val="1B104EA7"/>
    <w:rsid w:val="1B11359C"/>
    <w:rsid w:val="1B196286"/>
    <w:rsid w:val="1B1A33C4"/>
    <w:rsid w:val="1B251A22"/>
    <w:rsid w:val="1B2A271F"/>
    <w:rsid w:val="1B4346C9"/>
    <w:rsid w:val="1B4D42B7"/>
    <w:rsid w:val="1B530544"/>
    <w:rsid w:val="1B6237D6"/>
    <w:rsid w:val="1B682203"/>
    <w:rsid w:val="1B713184"/>
    <w:rsid w:val="1BA209CF"/>
    <w:rsid w:val="1BB4777D"/>
    <w:rsid w:val="1BD75AB8"/>
    <w:rsid w:val="1C0459C2"/>
    <w:rsid w:val="1C0B75F6"/>
    <w:rsid w:val="1C1B3B4A"/>
    <w:rsid w:val="1C6F7740"/>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1D56A5"/>
    <w:rsid w:val="1E3D060F"/>
    <w:rsid w:val="1E3F7D2E"/>
    <w:rsid w:val="1E4134E4"/>
    <w:rsid w:val="1E5062B3"/>
    <w:rsid w:val="1E523514"/>
    <w:rsid w:val="1E5F47EA"/>
    <w:rsid w:val="1E714A66"/>
    <w:rsid w:val="1E7C6FB9"/>
    <w:rsid w:val="1E802593"/>
    <w:rsid w:val="1E8474D2"/>
    <w:rsid w:val="1E8B6156"/>
    <w:rsid w:val="1EA703CC"/>
    <w:rsid w:val="1EB7330C"/>
    <w:rsid w:val="1EBB1037"/>
    <w:rsid w:val="1EBD6790"/>
    <w:rsid w:val="1EE008AE"/>
    <w:rsid w:val="1EF31DBD"/>
    <w:rsid w:val="1F0A0FF3"/>
    <w:rsid w:val="1F291D4B"/>
    <w:rsid w:val="1F38206B"/>
    <w:rsid w:val="1F5771FF"/>
    <w:rsid w:val="1F6146A4"/>
    <w:rsid w:val="1FB44357"/>
    <w:rsid w:val="1FD013DE"/>
    <w:rsid w:val="1FD2426D"/>
    <w:rsid w:val="1FD67D2B"/>
    <w:rsid w:val="1FE52DEB"/>
    <w:rsid w:val="1FE868A9"/>
    <w:rsid w:val="1FF52CDF"/>
    <w:rsid w:val="20034907"/>
    <w:rsid w:val="200A052C"/>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AA0D09"/>
    <w:rsid w:val="22BE6801"/>
    <w:rsid w:val="230B49BF"/>
    <w:rsid w:val="232F4EF8"/>
    <w:rsid w:val="233500BF"/>
    <w:rsid w:val="23377FF7"/>
    <w:rsid w:val="236B425F"/>
    <w:rsid w:val="236C43ED"/>
    <w:rsid w:val="23811D37"/>
    <w:rsid w:val="23836192"/>
    <w:rsid w:val="23901F29"/>
    <w:rsid w:val="239C0061"/>
    <w:rsid w:val="23B162F7"/>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5C4E86"/>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D87C8B"/>
    <w:rsid w:val="26F47146"/>
    <w:rsid w:val="27044A29"/>
    <w:rsid w:val="2705294F"/>
    <w:rsid w:val="271D34C8"/>
    <w:rsid w:val="274F6984"/>
    <w:rsid w:val="275053D0"/>
    <w:rsid w:val="27514BC5"/>
    <w:rsid w:val="27606603"/>
    <w:rsid w:val="276142BF"/>
    <w:rsid w:val="27702CEA"/>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ED6D51"/>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0E487F"/>
    <w:rsid w:val="2C191F85"/>
    <w:rsid w:val="2C3D7BB8"/>
    <w:rsid w:val="2C4747CF"/>
    <w:rsid w:val="2C750989"/>
    <w:rsid w:val="2CA73354"/>
    <w:rsid w:val="2CE82D6F"/>
    <w:rsid w:val="2D031F0A"/>
    <w:rsid w:val="2D12214D"/>
    <w:rsid w:val="2D343236"/>
    <w:rsid w:val="2D771A84"/>
    <w:rsid w:val="2DAA74E0"/>
    <w:rsid w:val="2DCE5BE2"/>
    <w:rsid w:val="2DD15014"/>
    <w:rsid w:val="2DF72DE4"/>
    <w:rsid w:val="2DF75BE0"/>
    <w:rsid w:val="2E0220AF"/>
    <w:rsid w:val="2E4B082A"/>
    <w:rsid w:val="2E5D4E86"/>
    <w:rsid w:val="2E5D6C6C"/>
    <w:rsid w:val="2E5D790B"/>
    <w:rsid w:val="2E9A3C18"/>
    <w:rsid w:val="2EA80FBB"/>
    <w:rsid w:val="2EAA1469"/>
    <w:rsid w:val="2EBB0FEE"/>
    <w:rsid w:val="2EC63002"/>
    <w:rsid w:val="2F0A6B38"/>
    <w:rsid w:val="2F0F0341"/>
    <w:rsid w:val="2F3FA380"/>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236BAB"/>
    <w:rsid w:val="32430FFB"/>
    <w:rsid w:val="32462AB5"/>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A94C8A"/>
    <w:rsid w:val="34AF62C9"/>
    <w:rsid w:val="34B85E70"/>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6672B4"/>
    <w:rsid w:val="37985945"/>
    <w:rsid w:val="37DF4236"/>
    <w:rsid w:val="37EE7094"/>
    <w:rsid w:val="37F23F5C"/>
    <w:rsid w:val="38196A86"/>
    <w:rsid w:val="38296C89"/>
    <w:rsid w:val="383002EB"/>
    <w:rsid w:val="383218F5"/>
    <w:rsid w:val="384A10CB"/>
    <w:rsid w:val="385555E4"/>
    <w:rsid w:val="385616DA"/>
    <w:rsid w:val="38586797"/>
    <w:rsid w:val="38653F8D"/>
    <w:rsid w:val="38B44A00"/>
    <w:rsid w:val="38B642D4"/>
    <w:rsid w:val="38BC0149"/>
    <w:rsid w:val="38D87D1C"/>
    <w:rsid w:val="390E65D0"/>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C01EFC"/>
    <w:rsid w:val="3BCA786A"/>
    <w:rsid w:val="3BD31E2F"/>
    <w:rsid w:val="3BF12E62"/>
    <w:rsid w:val="3BF15831"/>
    <w:rsid w:val="3BFE786B"/>
    <w:rsid w:val="3C041233"/>
    <w:rsid w:val="3C105946"/>
    <w:rsid w:val="3C3F64CE"/>
    <w:rsid w:val="3C471448"/>
    <w:rsid w:val="3C5F759A"/>
    <w:rsid w:val="3C6C18CE"/>
    <w:rsid w:val="3C6C525A"/>
    <w:rsid w:val="3C7B17B2"/>
    <w:rsid w:val="3C922C1B"/>
    <w:rsid w:val="3CB13978"/>
    <w:rsid w:val="3CC64D02"/>
    <w:rsid w:val="3CCE23CB"/>
    <w:rsid w:val="3CD17D17"/>
    <w:rsid w:val="3CFB75AA"/>
    <w:rsid w:val="3D3103CE"/>
    <w:rsid w:val="3D385C00"/>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709FB"/>
    <w:rsid w:val="3E0D48F6"/>
    <w:rsid w:val="3E131A40"/>
    <w:rsid w:val="3E1868B4"/>
    <w:rsid w:val="3E377251"/>
    <w:rsid w:val="3E42664B"/>
    <w:rsid w:val="3E5659BB"/>
    <w:rsid w:val="3E5A7334"/>
    <w:rsid w:val="3E7B5D6B"/>
    <w:rsid w:val="3E843E66"/>
    <w:rsid w:val="3E8F51FE"/>
    <w:rsid w:val="3E926F87"/>
    <w:rsid w:val="3E9A59DE"/>
    <w:rsid w:val="3E9B4876"/>
    <w:rsid w:val="3EAF4836"/>
    <w:rsid w:val="3EB219E2"/>
    <w:rsid w:val="3EC33DFA"/>
    <w:rsid w:val="3F0264C5"/>
    <w:rsid w:val="3F060E16"/>
    <w:rsid w:val="3F1D1096"/>
    <w:rsid w:val="3F1D32A0"/>
    <w:rsid w:val="3F2D1834"/>
    <w:rsid w:val="3F2F0234"/>
    <w:rsid w:val="3F4C3C26"/>
    <w:rsid w:val="3F6363FE"/>
    <w:rsid w:val="3F756B8F"/>
    <w:rsid w:val="3F95482B"/>
    <w:rsid w:val="3F9A3CA2"/>
    <w:rsid w:val="3F9C1CE6"/>
    <w:rsid w:val="3FA94F62"/>
    <w:rsid w:val="3FC0345D"/>
    <w:rsid w:val="3FFC538D"/>
    <w:rsid w:val="4019356B"/>
    <w:rsid w:val="401C4AEF"/>
    <w:rsid w:val="401D0186"/>
    <w:rsid w:val="40421A8A"/>
    <w:rsid w:val="404544F3"/>
    <w:rsid w:val="404552A0"/>
    <w:rsid w:val="40592157"/>
    <w:rsid w:val="406E1CAE"/>
    <w:rsid w:val="40890521"/>
    <w:rsid w:val="40955117"/>
    <w:rsid w:val="40A0133A"/>
    <w:rsid w:val="40AC64D2"/>
    <w:rsid w:val="40C31A53"/>
    <w:rsid w:val="40C615C5"/>
    <w:rsid w:val="40FF545D"/>
    <w:rsid w:val="410067C8"/>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5641DE"/>
    <w:rsid w:val="4360274F"/>
    <w:rsid w:val="43756E57"/>
    <w:rsid w:val="438A6373"/>
    <w:rsid w:val="43977AB6"/>
    <w:rsid w:val="43A3342B"/>
    <w:rsid w:val="43A63197"/>
    <w:rsid w:val="43BE0DBB"/>
    <w:rsid w:val="43C77C27"/>
    <w:rsid w:val="43D602EB"/>
    <w:rsid w:val="43D877F5"/>
    <w:rsid w:val="43DE09EE"/>
    <w:rsid w:val="44002FAD"/>
    <w:rsid w:val="44566306"/>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3158E2"/>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5F1574"/>
    <w:rsid w:val="475F1DC4"/>
    <w:rsid w:val="47644757"/>
    <w:rsid w:val="476A01DA"/>
    <w:rsid w:val="476C2789"/>
    <w:rsid w:val="47706278"/>
    <w:rsid w:val="477B778F"/>
    <w:rsid w:val="478203EC"/>
    <w:rsid w:val="47B025FA"/>
    <w:rsid w:val="47D3281F"/>
    <w:rsid w:val="4809698F"/>
    <w:rsid w:val="4811697D"/>
    <w:rsid w:val="485B6724"/>
    <w:rsid w:val="487A3E25"/>
    <w:rsid w:val="4886512D"/>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C76815"/>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1C659D"/>
    <w:rsid w:val="4C245A30"/>
    <w:rsid w:val="4C2E2EBF"/>
    <w:rsid w:val="4C80445A"/>
    <w:rsid w:val="4C871B54"/>
    <w:rsid w:val="4CB14CA1"/>
    <w:rsid w:val="4CB6685F"/>
    <w:rsid w:val="4CC367FE"/>
    <w:rsid w:val="4D077F3C"/>
    <w:rsid w:val="4D123355"/>
    <w:rsid w:val="4D2A3B31"/>
    <w:rsid w:val="4D312C52"/>
    <w:rsid w:val="4D6150D9"/>
    <w:rsid w:val="4D905305"/>
    <w:rsid w:val="4D964A72"/>
    <w:rsid w:val="4D9C1254"/>
    <w:rsid w:val="4DC40DEA"/>
    <w:rsid w:val="4DE050BD"/>
    <w:rsid w:val="4DF74D1B"/>
    <w:rsid w:val="4E091428"/>
    <w:rsid w:val="4E1F6637"/>
    <w:rsid w:val="4E793892"/>
    <w:rsid w:val="4E800872"/>
    <w:rsid w:val="4E8D1FA1"/>
    <w:rsid w:val="4E9751B5"/>
    <w:rsid w:val="4E9D1D67"/>
    <w:rsid w:val="4EC569ED"/>
    <w:rsid w:val="4ED50EA1"/>
    <w:rsid w:val="4EEC050C"/>
    <w:rsid w:val="4EF54F8F"/>
    <w:rsid w:val="4EFE20DA"/>
    <w:rsid w:val="4F104EC3"/>
    <w:rsid w:val="4F47354A"/>
    <w:rsid w:val="4F911C54"/>
    <w:rsid w:val="4F912F4E"/>
    <w:rsid w:val="4FA03191"/>
    <w:rsid w:val="4FAB72E8"/>
    <w:rsid w:val="4FB81CB8"/>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A4028"/>
    <w:rsid w:val="51010FDA"/>
    <w:rsid w:val="510D65B7"/>
    <w:rsid w:val="511157AB"/>
    <w:rsid w:val="5142540C"/>
    <w:rsid w:val="514C5AD9"/>
    <w:rsid w:val="51501312"/>
    <w:rsid w:val="51674AAB"/>
    <w:rsid w:val="517D4C16"/>
    <w:rsid w:val="518832C8"/>
    <w:rsid w:val="518A1BE1"/>
    <w:rsid w:val="518F1137"/>
    <w:rsid w:val="519D3C50"/>
    <w:rsid w:val="51A0432A"/>
    <w:rsid w:val="51A477D8"/>
    <w:rsid w:val="51A86090"/>
    <w:rsid w:val="51AD6B85"/>
    <w:rsid w:val="51B01DB1"/>
    <w:rsid w:val="51B7396D"/>
    <w:rsid w:val="51B853AA"/>
    <w:rsid w:val="51CB2747"/>
    <w:rsid w:val="521265C8"/>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363FB"/>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1251C"/>
    <w:rsid w:val="54B3506A"/>
    <w:rsid w:val="54B434F8"/>
    <w:rsid w:val="54CA0D16"/>
    <w:rsid w:val="54DA46BE"/>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CD48F6"/>
    <w:rsid w:val="55DC29B6"/>
    <w:rsid w:val="55DD4241"/>
    <w:rsid w:val="55FF5C53"/>
    <w:rsid w:val="56646524"/>
    <w:rsid w:val="566B6D1E"/>
    <w:rsid w:val="568338FF"/>
    <w:rsid w:val="568A2F88"/>
    <w:rsid w:val="56B544E7"/>
    <w:rsid w:val="56CB7313"/>
    <w:rsid w:val="56F444EE"/>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73229"/>
    <w:rsid w:val="5A6D33BA"/>
    <w:rsid w:val="5A792B1F"/>
    <w:rsid w:val="5A874767"/>
    <w:rsid w:val="5AA85BE2"/>
    <w:rsid w:val="5AAD6F28"/>
    <w:rsid w:val="5AB04370"/>
    <w:rsid w:val="5ABE3BC9"/>
    <w:rsid w:val="5AD21814"/>
    <w:rsid w:val="5AD63A24"/>
    <w:rsid w:val="5B2E1A1D"/>
    <w:rsid w:val="5B2F5A9E"/>
    <w:rsid w:val="5B330FD0"/>
    <w:rsid w:val="5B3E21DC"/>
    <w:rsid w:val="5B4269DA"/>
    <w:rsid w:val="5B541042"/>
    <w:rsid w:val="5B843A1C"/>
    <w:rsid w:val="5B873E3F"/>
    <w:rsid w:val="5B8B7D36"/>
    <w:rsid w:val="5B8F6EDB"/>
    <w:rsid w:val="5BA770FE"/>
    <w:rsid w:val="5BDF040F"/>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891B7B"/>
    <w:rsid w:val="5D8B1FAD"/>
    <w:rsid w:val="5DA84041"/>
    <w:rsid w:val="5DAD38EE"/>
    <w:rsid w:val="5DB0788B"/>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0F2C25"/>
    <w:rsid w:val="5F3A3602"/>
    <w:rsid w:val="5F4104EC"/>
    <w:rsid w:val="5F45733B"/>
    <w:rsid w:val="5F6277C6"/>
    <w:rsid w:val="5F6D0B1D"/>
    <w:rsid w:val="5F7D7A6E"/>
    <w:rsid w:val="5F8D0B82"/>
    <w:rsid w:val="5FB44916"/>
    <w:rsid w:val="5FCC5339"/>
    <w:rsid w:val="5FE34A5B"/>
    <w:rsid w:val="5FFE1E36"/>
    <w:rsid w:val="600E4517"/>
    <w:rsid w:val="60232584"/>
    <w:rsid w:val="6063353A"/>
    <w:rsid w:val="6065283C"/>
    <w:rsid w:val="607330CE"/>
    <w:rsid w:val="60825176"/>
    <w:rsid w:val="608C04CF"/>
    <w:rsid w:val="608D10A6"/>
    <w:rsid w:val="608E5C6A"/>
    <w:rsid w:val="60937EE0"/>
    <w:rsid w:val="609F2AC4"/>
    <w:rsid w:val="60AB19C3"/>
    <w:rsid w:val="60D93E32"/>
    <w:rsid w:val="60E903BA"/>
    <w:rsid w:val="60F44FE8"/>
    <w:rsid w:val="60FA2EE8"/>
    <w:rsid w:val="61054A27"/>
    <w:rsid w:val="610A52BC"/>
    <w:rsid w:val="610C28A7"/>
    <w:rsid w:val="611D2366"/>
    <w:rsid w:val="6138591F"/>
    <w:rsid w:val="61421856"/>
    <w:rsid w:val="61496234"/>
    <w:rsid w:val="615227C4"/>
    <w:rsid w:val="61654E3F"/>
    <w:rsid w:val="6182292A"/>
    <w:rsid w:val="618229A0"/>
    <w:rsid w:val="61953654"/>
    <w:rsid w:val="619F7F92"/>
    <w:rsid w:val="61B01959"/>
    <w:rsid w:val="61F94C26"/>
    <w:rsid w:val="62000E56"/>
    <w:rsid w:val="622D1623"/>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9E5D35"/>
    <w:rsid w:val="64B13A1E"/>
    <w:rsid w:val="64C158BF"/>
    <w:rsid w:val="64CE2EAA"/>
    <w:rsid w:val="64E624BC"/>
    <w:rsid w:val="650A5C8A"/>
    <w:rsid w:val="652F4898"/>
    <w:rsid w:val="653C3090"/>
    <w:rsid w:val="653C4FAA"/>
    <w:rsid w:val="65425461"/>
    <w:rsid w:val="65854376"/>
    <w:rsid w:val="658767BE"/>
    <w:rsid w:val="65892531"/>
    <w:rsid w:val="658F6D0E"/>
    <w:rsid w:val="65951872"/>
    <w:rsid w:val="65AB25E7"/>
    <w:rsid w:val="65B33BEC"/>
    <w:rsid w:val="65E322FD"/>
    <w:rsid w:val="65FC516D"/>
    <w:rsid w:val="661204ED"/>
    <w:rsid w:val="66195831"/>
    <w:rsid w:val="662E75B1"/>
    <w:rsid w:val="66342C2E"/>
    <w:rsid w:val="663E784C"/>
    <w:rsid w:val="6678210A"/>
    <w:rsid w:val="668B6A45"/>
    <w:rsid w:val="66A40E14"/>
    <w:rsid w:val="66C85FD6"/>
    <w:rsid w:val="66D6776C"/>
    <w:rsid w:val="670578C8"/>
    <w:rsid w:val="671A7381"/>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F1009"/>
    <w:rsid w:val="69B83AA1"/>
    <w:rsid w:val="69CA10DE"/>
    <w:rsid w:val="69CC2BFF"/>
    <w:rsid w:val="69D03A8B"/>
    <w:rsid w:val="69FC6594"/>
    <w:rsid w:val="69FD55B8"/>
    <w:rsid w:val="6A042526"/>
    <w:rsid w:val="6A06256A"/>
    <w:rsid w:val="6A0B1C62"/>
    <w:rsid w:val="6A2358EB"/>
    <w:rsid w:val="6A2406C8"/>
    <w:rsid w:val="6A326C8F"/>
    <w:rsid w:val="6A3603B7"/>
    <w:rsid w:val="6A6F1742"/>
    <w:rsid w:val="6A9001BE"/>
    <w:rsid w:val="6AB165E0"/>
    <w:rsid w:val="6AD17EDC"/>
    <w:rsid w:val="6ADE0BD1"/>
    <w:rsid w:val="6ADE4FDB"/>
    <w:rsid w:val="6AE508C6"/>
    <w:rsid w:val="6AE96859"/>
    <w:rsid w:val="6AF47095"/>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7352BE"/>
    <w:rsid w:val="6F8331F1"/>
    <w:rsid w:val="6FAE1A09"/>
    <w:rsid w:val="6FB43569"/>
    <w:rsid w:val="6FCE5D0B"/>
    <w:rsid w:val="6FD75BF8"/>
    <w:rsid w:val="6FF15617"/>
    <w:rsid w:val="707723D0"/>
    <w:rsid w:val="70AB7EBB"/>
    <w:rsid w:val="70BE583B"/>
    <w:rsid w:val="70C44A43"/>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12642"/>
    <w:rsid w:val="723A0474"/>
    <w:rsid w:val="725923E4"/>
    <w:rsid w:val="72686882"/>
    <w:rsid w:val="72864BF7"/>
    <w:rsid w:val="729023FC"/>
    <w:rsid w:val="733A1083"/>
    <w:rsid w:val="73426BA3"/>
    <w:rsid w:val="73720D0C"/>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5067759"/>
    <w:rsid w:val="750A6C10"/>
    <w:rsid w:val="752E6DCD"/>
    <w:rsid w:val="753541F8"/>
    <w:rsid w:val="7551380D"/>
    <w:rsid w:val="75600BE5"/>
    <w:rsid w:val="7564475C"/>
    <w:rsid w:val="757F1917"/>
    <w:rsid w:val="7583797F"/>
    <w:rsid w:val="75B03B6C"/>
    <w:rsid w:val="75D20F1D"/>
    <w:rsid w:val="75D94B83"/>
    <w:rsid w:val="75DA2C18"/>
    <w:rsid w:val="75F43EC6"/>
    <w:rsid w:val="75F54412"/>
    <w:rsid w:val="761D08E0"/>
    <w:rsid w:val="76360227"/>
    <w:rsid w:val="764F1A43"/>
    <w:rsid w:val="765D347C"/>
    <w:rsid w:val="766B1082"/>
    <w:rsid w:val="766C6052"/>
    <w:rsid w:val="76826699"/>
    <w:rsid w:val="768947FB"/>
    <w:rsid w:val="76A71A13"/>
    <w:rsid w:val="76C87133"/>
    <w:rsid w:val="76CD08D5"/>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7BF1C3"/>
    <w:rsid w:val="7B974734"/>
    <w:rsid w:val="7BA13B58"/>
    <w:rsid w:val="7BA656AB"/>
    <w:rsid w:val="7BC425AA"/>
    <w:rsid w:val="7BEE0103"/>
    <w:rsid w:val="7BF15121"/>
    <w:rsid w:val="7C0A0FE4"/>
    <w:rsid w:val="7C254906"/>
    <w:rsid w:val="7C376AA7"/>
    <w:rsid w:val="7C590818"/>
    <w:rsid w:val="7C7C10F6"/>
    <w:rsid w:val="7C813471"/>
    <w:rsid w:val="7C853BEA"/>
    <w:rsid w:val="7C881368"/>
    <w:rsid w:val="7C8968A0"/>
    <w:rsid w:val="7CB023B6"/>
    <w:rsid w:val="7CB84D20"/>
    <w:rsid w:val="7CD06DFF"/>
    <w:rsid w:val="7CE27788"/>
    <w:rsid w:val="7CE62623"/>
    <w:rsid w:val="7D0C32F1"/>
    <w:rsid w:val="7D0F408D"/>
    <w:rsid w:val="7D1D5F09"/>
    <w:rsid w:val="7D2343BE"/>
    <w:rsid w:val="7D2D17A9"/>
    <w:rsid w:val="7D491C6C"/>
    <w:rsid w:val="7D5429C0"/>
    <w:rsid w:val="7D6E6D43"/>
    <w:rsid w:val="7D711B45"/>
    <w:rsid w:val="7D77201B"/>
    <w:rsid w:val="7D973E19"/>
    <w:rsid w:val="7DB57A34"/>
    <w:rsid w:val="7DE60973"/>
    <w:rsid w:val="7DEF0916"/>
    <w:rsid w:val="7E102FFF"/>
    <w:rsid w:val="7E1322BB"/>
    <w:rsid w:val="7E1E5218"/>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627FF"/>
    <w:rsid w:val="7FDB3BED"/>
    <w:rsid w:val="AEEE04A0"/>
    <w:rsid w:val="BB7FA927"/>
    <w:rsid w:val="E6E59622"/>
    <w:rsid w:val="F55A87C9"/>
    <w:rsid w:val="F5FFD31F"/>
    <w:rsid w:val="F6FFD613"/>
    <w:rsid w:val="F7FF7FF5"/>
    <w:rsid w:val="FAFF423D"/>
    <w:rsid w:val="FBF53274"/>
    <w:rsid w:val="FDF75D51"/>
    <w:rsid w:val="FFE2802F"/>
    <w:rsid w:val="FFEF6B56"/>
    <w:rsid w:val="FFFF8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4"/>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5">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6">
    <w:name w:val="heading 4"/>
    <w:basedOn w:val="1"/>
    <w:next w:val="1"/>
    <w:link w:val="330"/>
    <w:autoRedefine/>
    <w:qFormat/>
    <w:uiPriority w:val="0"/>
    <w:pPr>
      <w:keepNext/>
      <w:keepLines/>
      <w:tabs>
        <w:tab w:val="left" w:pos="864"/>
      </w:tabs>
      <w:ind w:left="482" w:firstLine="0" w:firstLineChars="0"/>
      <w:jc w:val="left"/>
      <w:outlineLvl w:val="3"/>
    </w:pPr>
    <w:rPr>
      <w:rFonts w:ascii="宋体" w:hAnsi="宋体" w:cs="宋体"/>
      <w:szCs w:val="28"/>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next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ind w:left="360" w:right="238" w:hanging="360"/>
      <w:contextualSpacing/>
    </w:pPr>
  </w:style>
  <w:style w:type="paragraph" w:styleId="24">
    <w:name w:val="Body Text"/>
    <w:basedOn w:val="1"/>
    <w:next w:val="25"/>
    <w:link w:val="433"/>
    <w:autoRedefine/>
    <w:qFormat/>
    <w:uiPriority w:val="0"/>
    <w:pPr>
      <w:autoSpaceDE w:val="0"/>
      <w:autoSpaceDN w:val="0"/>
    </w:pPr>
    <w:rPr>
      <w:rFonts w:ascii="宋体" w:hAnsi="Arial" w:cs="Arial"/>
      <w:snapToGrid w:val="0"/>
      <w:szCs w:val="21"/>
      <w:lang w:val="zh-CN"/>
    </w:rPr>
  </w:style>
  <w:style w:type="paragraph" w:styleId="25">
    <w:name w:val="Body Text First Indent"/>
    <w:basedOn w:val="24"/>
    <w:next w:val="26"/>
    <w:link w:val="324"/>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1"/>
    <w:link w:val="268"/>
    <w:autoRedefine/>
    <w:qFormat/>
    <w:uiPriority w:val="0"/>
    <w:pPr>
      <w:spacing w:line="480" w:lineRule="exact"/>
      <w:ind w:firstLine="480"/>
    </w:pPr>
    <w:rPr>
      <w:rFonts w:ascii="宋体" w:hAnsi="宋体"/>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autoRedefine/>
    <w:qFormat/>
    <w:uiPriority w:val="0"/>
    <w:pPr>
      <w:adjustRightInd/>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3"/>
    <w:autoRedefine/>
    <w:qFormat/>
    <w:uiPriority w:val="0"/>
    <w:pPr>
      <w:widowControl/>
      <w:adjustRightInd/>
      <w:ind w:firstLine="200"/>
      <w:jc w:val="left"/>
    </w:pPr>
    <w:rPr>
      <w:rFonts w:ascii="宋体" w:hAnsi="宋体"/>
      <w:i/>
      <w:iCs/>
      <w:kern w:val="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5">
    <w:name w:val="Plain Text"/>
    <w:basedOn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Cs w:val="21"/>
      <w:lang w:val="zh-CN"/>
    </w:rPr>
  </w:style>
  <w:style w:type="paragraph" w:styleId="39">
    <w:name w:val="Body Text Indent 2"/>
    <w:basedOn w:val="1"/>
    <w:link w:val="311"/>
    <w:autoRedefine/>
    <w:qFormat/>
    <w:uiPriority w:val="0"/>
    <w:pPr>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6"/>
    <w:autoRedefine/>
    <w:qFormat/>
    <w:uiPriority w:val="99"/>
    <w:pPr>
      <w:tabs>
        <w:tab w:val="center" w:pos="4153"/>
        <w:tab w:val="right" w:pos="8306"/>
      </w:tabs>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pPr>
  </w:style>
  <w:style w:type="paragraph" w:styleId="48">
    <w:name w:val="index 1"/>
    <w:basedOn w:val="1"/>
    <w:next w:val="1"/>
    <w:autoRedefine/>
    <w:qFormat/>
    <w:uiPriority w:val="0"/>
    <w:pPr>
      <w:adjustRightInd/>
      <w:ind w:firstLine="200"/>
      <w:jc w:val="center"/>
    </w:pPr>
    <w:rPr>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100"/>
    <w:autoRedefine/>
    <w:qFormat/>
    <w:uiPriority w:val="0"/>
    <w:rPr>
      <w:b/>
      <w:bCs/>
    </w:rPr>
  </w:style>
  <w:style w:type="paragraph" w:styleId="62">
    <w:name w:val="Body Text First Indent 2"/>
    <w:basedOn w:val="27"/>
    <w:next w:val="25"/>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8"/>
    <w:autoRedefine/>
    <w:qFormat/>
    <w:uiPriority w:val="0"/>
    <w:rPr>
      <w:rFonts w:ascii="宋体"/>
      <w:kern w:val="2"/>
      <w:sz w:val="24"/>
      <w:szCs w:val="21"/>
      <w:lang w:val="zh-CN"/>
    </w:rPr>
  </w:style>
  <w:style w:type="character" w:customStyle="1" w:styleId="186">
    <w:name w:val="标题 9 字符"/>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8"/>
    <w:autoRedefine/>
    <w:qFormat/>
    <w:uiPriority w:val="0"/>
    <w:rPr>
      <w:rFonts w:ascii="黑体" w:hAnsi="Courier New" w:eastAsia="黑体"/>
    </w:rPr>
  </w:style>
  <w:style w:type="character" w:customStyle="1" w:styleId="305">
    <w:name w:val="正文文本 2 字符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9"/>
    <w:autoRedefine/>
    <w:qFormat/>
    <w:uiPriority w:val="0"/>
    <w:rPr>
      <w:b/>
      <w:bCs/>
      <w:kern w:val="2"/>
      <w:sz w:val="24"/>
      <w:szCs w:val="24"/>
    </w:rPr>
  </w:style>
  <w:style w:type="character" w:customStyle="1" w:styleId="311">
    <w:name w:val="正文文本缩进 2 字符"/>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6"/>
    <w:autoRedefine/>
    <w:qFormat/>
    <w:uiPriority w:val="0"/>
    <w:rPr>
      <w:rFonts w:ascii="宋体" w:hAnsi="宋体" w:cs="宋体"/>
      <w:kern w:val="2"/>
      <w:sz w:val="24"/>
      <w:szCs w:val="28"/>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autoRedefine/>
    <w:qFormat/>
    <w:uiPriority w:val="99"/>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6"/>
    <w:autoRedefine/>
    <w:qFormat/>
    <w:uiPriority w:val="0"/>
    <w:pPr>
      <w:adjustRightInd/>
    </w:pPr>
    <w:rPr>
      <w:rFonts w:ascii="Verdana" w:eastAsia="Verdana"/>
      <w:sz w:val="21"/>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35"/>
    <w:next w:val="24"/>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7"/>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5"/>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pacing w:line="300" w:lineRule="auto"/>
    </w:pPr>
    <w:rPr>
      <w:rFonts w:ascii="Arial Narrow" w:hAnsi="Arial Narrow" w:eastAsia="仿宋_GB2312"/>
      <w:bCs/>
      <w:color w:val="000000"/>
      <w:kern w:val="0"/>
      <w:szCs w:val="32"/>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7"/>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9"/>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5"/>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4"/>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6"/>
    <w:autoRedefine/>
    <w:qFormat/>
    <w:uiPriority w:val="0"/>
    <w:pPr>
      <w:tabs>
        <w:tab w:val="left" w:pos="0"/>
        <w:tab w:val="clear" w:pos="864"/>
      </w:tabs>
      <w:ind w:left="1"/>
    </w:pPr>
    <w:rPr>
      <w:rFonts w:eastAsia="仿宋_GB2312" w:cs="Arial"/>
      <w:b/>
      <w:bCs/>
      <w:color w:val="000000"/>
      <w:kern w:val="0"/>
      <w:szCs w:val="24"/>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4"/>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19"/>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1"/>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5"/>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70"/>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修订5"/>
    <w:hidden/>
    <w:unhideWhenUsed/>
    <w:uiPriority w:val="99"/>
    <w:rPr>
      <w:rFonts w:ascii="Times New Roman" w:hAnsi="Times New Roman" w:eastAsia="宋体" w:cs="Times New Roman"/>
      <w:kern w:val="2"/>
      <w:sz w:val="24"/>
      <w:szCs w:val="24"/>
      <w:lang w:val="en-US" w:eastAsia="zh-CN" w:bidi="ar-SA"/>
    </w:rPr>
  </w:style>
  <w:style w:type="paragraph" w:customStyle="1" w:styleId="971">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41858</Words>
  <Characters>44565</Characters>
  <Lines>371</Lines>
  <Paragraphs>104</Paragraphs>
  <TotalTime>37</TotalTime>
  <ScaleCrop>false</ScaleCrop>
  <LinksUpToDate>false</LinksUpToDate>
  <CharactersWithSpaces>50053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2024-07-10T02:52:00Z</dcterms:created>
  <dc:creator>玥</dc:creator>
  <cp:lastModifiedBy>Stacey郑</cp:lastModifiedBy>
  <cp:lastPrinted>2024-05-17T20:51:00Z</cp:lastPrinted>
  <dcterms:modified xsi:type="dcterms:W3CDTF">2024-08-05T05:50:25Z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8032DBA346484BEB89F87E71D9D0555F_13</vt:lpwstr>
  </property>
</Properties>
</file>