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743111">
      <w:pPr>
        <w:pStyle w:val="2"/>
        <w:rPr>
          <w:rFonts w:hint="eastAsia" w:ascii="仿宋" w:hAnsi="仿宋" w:eastAsia="仿宋" w:cs="仿宋"/>
        </w:rPr>
      </w:pPr>
      <w:bookmarkStart w:id="0" w:name="_top"/>
      <w:bookmarkEnd w:id="0"/>
    </w:p>
    <w:p w14:paraId="536D0066">
      <w:pPr>
        <w:tabs>
          <w:tab w:val="left" w:pos="5220"/>
        </w:tabs>
        <w:jc w:val="center"/>
        <w:rPr>
          <w:rFonts w:ascii="仿宋" w:hAnsi="仿宋" w:eastAsia="仿宋" w:cs="仿宋"/>
          <w:b/>
          <w:spacing w:val="-4"/>
          <w:sz w:val="48"/>
          <w:szCs w:val="48"/>
        </w:rPr>
      </w:pPr>
      <w:r>
        <w:rPr>
          <w:rFonts w:hint="eastAsia" w:ascii="仿宋" w:hAnsi="仿宋" w:eastAsia="仿宋" w:cs="仿宋"/>
          <w:b/>
          <w:spacing w:val="-4"/>
          <w:sz w:val="48"/>
          <w:szCs w:val="48"/>
        </w:rPr>
        <w:t>双林镇镇域战略规划研究暨镇区总体城市设计项目</w:t>
      </w:r>
    </w:p>
    <w:p w14:paraId="1696DD4A">
      <w:pPr>
        <w:tabs>
          <w:tab w:val="left" w:pos="5220"/>
        </w:tabs>
        <w:jc w:val="center"/>
        <w:rPr>
          <w:rFonts w:ascii="仿宋" w:hAnsi="仿宋" w:eastAsia="仿宋" w:cs="仿宋"/>
          <w:b/>
          <w:spacing w:val="-4"/>
          <w:sz w:val="48"/>
          <w:szCs w:val="48"/>
        </w:rPr>
      </w:pPr>
    </w:p>
    <w:p w14:paraId="598FEFA3">
      <w:pPr>
        <w:tabs>
          <w:tab w:val="left" w:pos="5220"/>
        </w:tabs>
        <w:spacing w:line="400" w:lineRule="exact"/>
        <w:jc w:val="center"/>
        <w:rPr>
          <w:rFonts w:ascii="仿宋" w:hAnsi="仿宋" w:eastAsia="仿宋" w:cs="仿宋"/>
          <w:b/>
          <w:bCs/>
          <w:sz w:val="28"/>
          <w:szCs w:val="28"/>
        </w:rPr>
      </w:pPr>
    </w:p>
    <w:p w14:paraId="1960B9EE">
      <w:pPr>
        <w:tabs>
          <w:tab w:val="left" w:pos="5220"/>
        </w:tabs>
        <w:spacing w:line="400" w:lineRule="exact"/>
        <w:jc w:val="center"/>
        <w:rPr>
          <w:rFonts w:ascii="仿宋" w:hAnsi="仿宋" w:eastAsia="仿宋" w:cs="仿宋"/>
          <w:b/>
          <w:bCs/>
          <w:sz w:val="28"/>
          <w:szCs w:val="28"/>
        </w:rPr>
      </w:pPr>
    </w:p>
    <w:p w14:paraId="7D4F687D">
      <w:pPr>
        <w:tabs>
          <w:tab w:val="left" w:pos="5220"/>
        </w:tabs>
        <w:spacing w:line="400" w:lineRule="exact"/>
        <w:jc w:val="center"/>
        <w:rPr>
          <w:rFonts w:ascii="仿宋" w:hAnsi="仿宋" w:eastAsia="仿宋" w:cs="仿宋"/>
          <w:b/>
          <w:bCs/>
          <w:sz w:val="28"/>
          <w:szCs w:val="28"/>
        </w:rPr>
      </w:pPr>
      <w:r>
        <w:rPr>
          <w:rFonts w:hint="eastAsia" w:ascii="仿宋" w:hAnsi="仿宋" w:eastAsia="仿宋" w:cs="仿宋"/>
          <w:b/>
          <w:bCs/>
          <w:sz w:val="28"/>
          <w:szCs w:val="28"/>
        </w:rPr>
        <w:t>（财政审批编号：浔政采网申[2024]856号）</w:t>
      </w:r>
    </w:p>
    <w:p w14:paraId="585A4AA1">
      <w:pPr>
        <w:spacing w:line="400" w:lineRule="exact"/>
        <w:rPr>
          <w:rFonts w:ascii="仿宋" w:hAnsi="仿宋" w:eastAsia="仿宋" w:cs="仿宋"/>
          <w:b/>
          <w:bCs/>
          <w:sz w:val="48"/>
        </w:rPr>
      </w:pPr>
    </w:p>
    <w:p w14:paraId="5D9968B3">
      <w:pPr>
        <w:snapToGrid w:val="0"/>
        <w:spacing w:before="156" w:beforeLines="50" w:line="400" w:lineRule="exact"/>
        <w:jc w:val="center"/>
        <w:rPr>
          <w:rFonts w:ascii="仿宋" w:hAnsi="仿宋" w:eastAsia="仿宋" w:cs="仿宋"/>
          <w:sz w:val="30"/>
          <w:szCs w:val="72"/>
        </w:rPr>
      </w:pPr>
    </w:p>
    <w:p w14:paraId="51FEF8EC">
      <w:pPr>
        <w:pStyle w:val="39"/>
        <w:rPr>
          <w:rFonts w:ascii="仿宋" w:hAnsi="仿宋" w:eastAsia="仿宋" w:cs="仿宋"/>
          <w:sz w:val="30"/>
          <w:szCs w:val="72"/>
        </w:rPr>
      </w:pPr>
    </w:p>
    <w:p w14:paraId="0D6576CB">
      <w:pPr>
        <w:pStyle w:val="9"/>
      </w:pPr>
    </w:p>
    <w:p w14:paraId="7C722C70">
      <w:pPr>
        <w:spacing w:before="156" w:beforeLines="50"/>
        <w:jc w:val="center"/>
        <w:rPr>
          <w:rFonts w:ascii="仿宋" w:hAnsi="仿宋" w:eastAsia="仿宋" w:cs="仿宋"/>
          <w:b/>
          <w:bCs/>
          <w:sz w:val="52"/>
          <w:szCs w:val="52"/>
        </w:rPr>
      </w:pPr>
      <w:r>
        <w:rPr>
          <w:rFonts w:hint="eastAsia" w:ascii="仿宋" w:hAnsi="仿宋" w:eastAsia="仿宋" w:cs="仿宋"/>
          <w:b/>
          <w:bCs/>
          <w:sz w:val="72"/>
          <w:szCs w:val="72"/>
        </w:rPr>
        <w:t>竞争性磋商文件</w:t>
      </w:r>
    </w:p>
    <w:p w14:paraId="626AAD57">
      <w:pPr>
        <w:widowControl/>
        <w:spacing w:line="600" w:lineRule="exact"/>
        <w:ind w:right="-2"/>
        <w:jc w:val="center"/>
        <w:rPr>
          <w:rFonts w:ascii="仿宋" w:hAnsi="仿宋" w:eastAsia="仿宋" w:cs="仿宋"/>
          <w:b/>
          <w:sz w:val="52"/>
          <w:szCs w:val="52"/>
        </w:rPr>
      </w:pPr>
      <w:r>
        <w:rPr>
          <w:rFonts w:hint="eastAsia" w:ascii="仿宋" w:hAnsi="仿宋" w:eastAsia="仿宋" w:cs="仿宋"/>
          <w:b/>
          <w:sz w:val="52"/>
          <w:szCs w:val="52"/>
        </w:rPr>
        <w:t xml:space="preserve"> （线上电子招投标）</w:t>
      </w:r>
    </w:p>
    <w:p w14:paraId="3B7CCF42">
      <w:pPr>
        <w:snapToGrid w:val="0"/>
        <w:spacing w:before="156" w:beforeLines="50" w:line="400" w:lineRule="exact"/>
        <w:rPr>
          <w:rFonts w:ascii="仿宋" w:hAnsi="仿宋" w:eastAsia="仿宋" w:cs="仿宋"/>
          <w:sz w:val="30"/>
          <w:szCs w:val="72"/>
        </w:rPr>
      </w:pPr>
    </w:p>
    <w:p w14:paraId="6B0CF4FE">
      <w:pPr>
        <w:snapToGrid w:val="0"/>
        <w:spacing w:before="156" w:beforeLines="50" w:line="400" w:lineRule="exact"/>
        <w:rPr>
          <w:rFonts w:ascii="仿宋" w:hAnsi="仿宋" w:eastAsia="仿宋" w:cs="仿宋"/>
          <w:sz w:val="30"/>
          <w:szCs w:val="72"/>
        </w:rPr>
      </w:pPr>
    </w:p>
    <w:p w14:paraId="7A7DCAE4">
      <w:pPr>
        <w:snapToGrid w:val="0"/>
        <w:spacing w:before="156" w:beforeLines="50" w:line="400" w:lineRule="exact"/>
        <w:rPr>
          <w:rFonts w:ascii="仿宋" w:hAnsi="仿宋" w:eastAsia="仿宋" w:cs="仿宋"/>
          <w:sz w:val="30"/>
          <w:szCs w:val="72"/>
        </w:rPr>
      </w:pPr>
    </w:p>
    <w:p w14:paraId="33A4DF78">
      <w:pPr>
        <w:snapToGrid w:val="0"/>
        <w:spacing w:before="156" w:beforeLines="50" w:line="400" w:lineRule="exact"/>
        <w:rPr>
          <w:rFonts w:ascii="仿宋" w:hAnsi="仿宋" w:eastAsia="仿宋" w:cs="仿宋"/>
          <w:sz w:val="30"/>
          <w:szCs w:val="72"/>
        </w:rPr>
      </w:pPr>
    </w:p>
    <w:p w14:paraId="6017E2AF">
      <w:pPr>
        <w:pStyle w:val="17"/>
        <w:snapToGrid w:val="0"/>
        <w:spacing w:before="120" w:after="120" w:line="400" w:lineRule="exact"/>
        <w:rPr>
          <w:rFonts w:ascii="仿宋" w:hAnsi="仿宋" w:eastAsia="仿宋" w:cs="仿宋"/>
          <w:b/>
          <w:spacing w:val="-4"/>
          <w:sz w:val="28"/>
          <w:szCs w:val="28"/>
          <w:u w:val="single"/>
        </w:rPr>
      </w:pPr>
      <w:r>
        <w:rPr>
          <w:rFonts w:hint="eastAsia" w:ascii="仿宋" w:hAnsi="仿宋" w:eastAsia="仿宋" w:cs="仿宋"/>
          <w:b/>
          <w:bCs/>
          <w:sz w:val="28"/>
          <w:szCs w:val="28"/>
        </w:rPr>
        <w:t>项目编号：</w:t>
      </w:r>
      <w:r>
        <w:rPr>
          <w:rFonts w:hint="eastAsia" w:ascii="仿宋" w:hAnsi="仿宋" w:eastAsia="仿宋" w:cs="仿宋"/>
          <w:b/>
          <w:bCs/>
          <w:w w:val="95"/>
          <w:sz w:val="28"/>
          <w:szCs w:val="28"/>
          <w:u w:val="single"/>
        </w:rPr>
        <w:t xml:space="preserve"> </w:t>
      </w:r>
      <w:r>
        <w:rPr>
          <w:rFonts w:hint="eastAsia" w:ascii="仿宋" w:hAnsi="仿宋" w:eastAsia="仿宋" w:cs="仿宋"/>
          <w:b/>
          <w:spacing w:val="-4"/>
          <w:sz w:val="28"/>
          <w:szCs w:val="28"/>
          <w:u w:val="single"/>
        </w:rPr>
        <w:t xml:space="preserve">永信恒昌采字[2024]-018号                                       </w:t>
      </w:r>
    </w:p>
    <w:p w14:paraId="75BEDADD">
      <w:pPr>
        <w:snapToGrid w:val="0"/>
        <w:spacing w:before="156" w:beforeLines="50" w:line="400" w:lineRule="exact"/>
        <w:jc w:val="left"/>
        <w:rPr>
          <w:rFonts w:ascii="仿宋" w:hAnsi="仿宋" w:eastAsia="仿宋" w:cs="仿宋"/>
          <w:b/>
          <w:spacing w:val="-4"/>
          <w:sz w:val="28"/>
          <w:szCs w:val="28"/>
          <w:u w:val="single"/>
        </w:rPr>
      </w:pPr>
      <w:r>
        <w:rPr>
          <w:rFonts w:hint="eastAsia" w:ascii="仿宋" w:hAnsi="仿宋" w:eastAsia="仿宋" w:cs="仿宋"/>
          <w:b/>
          <w:bCs/>
          <w:w w:val="95"/>
          <w:sz w:val="28"/>
          <w:szCs w:val="28"/>
        </w:rPr>
        <w:t>采购单位：</w:t>
      </w:r>
      <w:r>
        <w:rPr>
          <w:rFonts w:hint="eastAsia" w:ascii="仿宋" w:hAnsi="仿宋" w:eastAsia="仿宋" w:cs="仿宋"/>
          <w:b/>
          <w:bCs/>
          <w:w w:val="95"/>
          <w:sz w:val="28"/>
          <w:szCs w:val="28"/>
          <w:u w:val="single"/>
        </w:rPr>
        <w:t xml:space="preserve"> </w:t>
      </w:r>
      <w:r>
        <w:rPr>
          <w:rFonts w:hint="eastAsia" w:ascii="仿宋" w:hAnsi="仿宋" w:eastAsia="仿宋" w:cs="仿宋"/>
          <w:b/>
          <w:spacing w:val="-4"/>
          <w:sz w:val="28"/>
          <w:szCs w:val="28"/>
          <w:u w:val="single"/>
        </w:rPr>
        <w:t xml:space="preserve">湖州市南浔区双林镇人民政府                                   </w:t>
      </w:r>
    </w:p>
    <w:p w14:paraId="67691859">
      <w:pPr>
        <w:pStyle w:val="17"/>
        <w:snapToGrid w:val="0"/>
        <w:spacing w:before="120" w:after="120" w:line="400" w:lineRule="exact"/>
        <w:rPr>
          <w:rFonts w:ascii="仿宋" w:hAnsi="仿宋" w:eastAsia="仿宋" w:cs="仿宋"/>
          <w:b/>
          <w:bCs/>
          <w:w w:val="95"/>
          <w:sz w:val="28"/>
          <w:szCs w:val="28"/>
          <w:u w:val="single"/>
        </w:rPr>
      </w:pPr>
      <w:r>
        <w:rPr>
          <w:rFonts w:hint="eastAsia" w:ascii="仿宋" w:hAnsi="仿宋" w:eastAsia="仿宋" w:cs="仿宋"/>
          <w:b/>
          <w:bCs/>
          <w:w w:val="95"/>
          <w:sz w:val="28"/>
          <w:szCs w:val="28"/>
        </w:rPr>
        <w:t>代理机构：</w:t>
      </w:r>
      <w:r>
        <w:rPr>
          <w:rFonts w:hint="eastAsia" w:ascii="仿宋" w:hAnsi="仿宋" w:eastAsia="仿宋" w:cs="仿宋"/>
          <w:b/>
          <w:bCs/>
          <w:w w:val="95"/>
          <w:sz w:val="28"/>
          <w:szCs w:val="28"/>
          <w:u w:val="single"/>
        </w:rPr>
        <w:t xml:space="preserve"> </w:t>
      </w:r>
      <w:r>
        <w:rPr>
          <w:rFonts w:hint="eastAsia" w:ascii="仿宋" w:hAnsi="仿宋" w:eastAsia="仿宋" w:cs="仿宋"/>
          <w:b/>
          <w:sz w:val="28"/>
          <w:szCs w:val="28"/>
          <w:u w:val="single"/>
        </w:rPr>
        <w:t xml:space="preserve">永信恒昌工程管理有限公司                         </w:t>
      </w:r>
      <w:r>
        <w:rPr>
          <w:rFonts w:hint="eastAsia" w:ascii="仿宋" w:hAnsi="仿宋" w:eastAsia="仿宋" w:cs="仿宋"/>
          <w:b/>
          <w:spacing w:val="-4"/>
          <w:sz w:val="28"/>
          <w:szCs w:val="28"/>
          <w:u w:val="single"/>
        </w:rPr>
        <w:t xml:space="preserve">          </w:t>
      </w:r>
    </w:p>
    <w:p w14:paraId="00AC47B4">
      <w:pPr>
        <w:snapToGrid w:val="0"/>
        <w:spacing w:before="156" w:beforeLines="50" w:line="400" w:lineRule="exact"/>
        <w:ind w:left="384" w:leftChars="183" w:firstLine="4599" w:firstLineChars="1607"/>
        <w:rPr>
          <w:rFonts w:ascii="仿宋" w:hAnsi="仿宋" w:eastAsia="仿宋" w:cs="仿宋"/>
          <w:b/>
          <w:bCs/>
          <w:w w:val="95"/>
          <w:sz w:val="30"/>
          <w:szCs w:val="30"/>
        </w:rPr>
      </w:pPr>
    </w:p>
    <w:p w14:paraId="74E44EDF">
      <w:pPr>
        <w:snapToGrid w:val="0"/>
        <w:spacing w:before="156" w:beforeLines="50" w:line="400" w:lineRule="exact"/>
        <w:rPr>
          <w:rFonts w:ascii="仿宋" w:hAnsi="仿宋" w:eastAsia="仿宋" w:cs="仿宋"/>
          <w:b/>
          <w:bCs/>
          <w:w w:val="95"/>
          <w:sz w:val="30"/>
          <w:szCs w:val="30"/>
        </w:rPr>
      </w:pPr>
    </w:p>
    <w:p w14:paraId="6C8E5CBA">
      <w:pPr>
        <w:adjustRightInd w:val="0"/>
        <w:snapToGrid w:val="0"/>
        <w:spacing w:line="400" w:lineRule="exact"/>
        <w:jc w:val="center"/>
        <w:rPr>
          <w:rFonts w:hint="eastAsia" w:ascii="仿宋" w:hAnsi="仿宋" w:eastAsia="仿宋" w:cs="仿宋"/>
          <w:sz w:val="30"/>
          <w:szCs w:val="30"/>
          <w:lang w:eastAsia="zh-CN"/>
        </w:rPr>
      </w:pPr>
      <w:r>
        <w:rPr>
          <w:rFonts w:hint="eastAsia" w:ascii="仿宋" w:hAnsi="仿宋" w:eastAsia="仿宋" w:cs="仿宋"/>
          <w:b/>
          <w:snapToGrid w:val="0"/>
          <w:sz w:val="30"/>
          <w:szCs w:val="30"/>
        </w:rPr>
        <w:t>日   期：</w:t>
      </w:r>
      <w:r>
        <w:rPr>
          <w:rFonts w:hint="eastAsia" w:ascii="仿宋" w:hAnsi="仿宋" w:eastAsia="仿宋" w:cs="仿宋"/>
          <w:b/>
          <w:snapToGrid w:val="0"/>
          <w:sz w:val="30"/>
          <w:szCs w:val="30"/>
          <w:lang w:eastAsia="zh-CN"/>
        </w:rPr>
        <w:t>2024年6月</w:t>
      </w:r>
    </w:p>
    <w:p w14:paraId="4E3B8F01">
      <w:pPr>
        <w:spacing w:line="360" w:lineRule="exact"/>
        <w:rPr>
          <w:rFonts w:ascii="仿宋" w:hAnsi="仿宋" w:eastAsia="仿宋" w:cs="仿宋"/>
          <w:sz w:val="24"/>
        </w:rPr>
      </w:pPr>
      <w:r>
        <w:rPr>
          <w:rFonts w:hint="eastAsia" w:ascii="仿宋" w:hAnsi="仿宋" w:eastAsia="仿宋" w:cs="仿宋"/>
          <w:sz w:val="24"/>
        </w:rPr>
        <w:br w:type="page"/>
      </w:r>
    </w:p>
    <w:p w14:paraId="2A24C7CD">
      <w:pPr>
        <w:spacing w:line="360" w:lineRule="auto"/>
        <w:jc w:val="center"/>
        <w:rPr>
          <w:rFonts w:ascii="仿宋" w:hAnsi="仿宋" w:eastAsia="仿宋" w:cs="仿宋"/>
          <w:b/>
          <w:sz w:val="44"/>
          <w:szCs w:val="44"/>
        </w:rPr>
      </w:pPr>
      <w:r>
        <w:rPr>
          <w:rFonts w:hint="eastAsia" w:ascii="仿宋" w:hAnsi="仿宋" w:eastAsia="仿宋" w:cs="仿宋"/>
          <w:b/>
          <w:sz w:val="44"/>
          <w:szCs w:val="44"/>
        </w:rPr>
        <w:t>目   录</w:t>
      </w:r>
    </w:p>
    <w:p w14:paraId="705ABFC0">
      <w:pPr>
        <w:pStyle w:val="23"/>
        <w:tabs>
          <w:tab w:val="right" w:leader="dot" w:pos="9638"/>
          <w:tab w:val="clear" w:pos="8494"/>
        </w:tabs>
        <w:rPr>
          <w:rFonts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TOC \o "1-3" \h \z \u </w:instrText>
      </w:r>
      <w:r>
        <w:rPr>
          <w:rFonts w:hint="eastAsia" w:ascii="仿宋" w:hAnsi="仿宋" w:eastAsia="仿宋" w:cs="仿宋"/>
          <w:sz w:val="28"/>
          <w:szCs w:val="28"/>
        </w:rPr>
        <w:fldChar w:fldCharType="separate"/>
      </w:r>
      <w:r>
        <w:fldChar w:fldCharType="begin"/>
      </w:r>
      <w:r>
        <w:instrText xml:space="preserve"> HYPERLINK \l "_Toc22181" </w:instrText>
      </w:r>
      <w:r>
        <w:fldChar w:fldCharType="separate"/>
      </w:r>
      <w:r>
        <w:rPr>
          <w:rFonts w:hint="eastAsia" w:ascii="仿宋" w:hAnsi="仿宋" w:eastAsia="仿宋" w:cs="仿宋"/>
          <w:sz w:val="28"/>
          <w:szCs w:val="28"/>
        </w:rPr>
        <w:t>第一章 竞争性磋商公告</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_Toc22181 \h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699E6148">
      <w:pPr>
        <w:pStyle w:val="23"/>
        <w:tabs>
          <w:tab w:val="right" w:leader="dot" w:pos="9638"/>
          <w:tab w:val="clear" w:pos="8494"/>
        </w:tabs>
        <w:rPr>
          <w:rFonts w:ascii="仿宋" w:hAnsi="仿宋" w:eastAsia="仿宋" w:cs="仿宋"/>
          <w:sz w:val="28"/>
          <w:szCs w:val="28"/>
        </w:rPr>
      </w:pPr>
      <w:r>
        <w:fldChar w:fldCharType="begin"/>
      </w:r>
      <w:r>
        <w:instrText xml:space="preserve"> HYPERLINK \l "_Toc11337" </w:instrText>
      </w:r>
      <w:r>
        <w:fldChar w:fldCharType="separate"/>
      </w:r>
      <w:r>
        <w:rPr>
          <w:rFonts w:hint="eastAsia" w:ascii="仿宋" w:hAnsi="仿宋" w:eastAsia="仿宋" w:cs="仿宋"/>
          <w:sz w:val="28"/>
          <w:szCs w:val="28"/>
        </w:rPr>
        <w:t>第二章 供应商须知</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_Toc11337 \h </w:instrText>
      </w:r>
      <w:r>
        <w:rPr>
          <w:rFonts w:hint="eastAsia" w:ascii="仿宋" w:hAnsi="仿宋" w:eastAsia="仿宋" w:cs="仿宋"/>
          <w:sz w:val="28"/>
          <w:szCs w:val="28"/>
        </w:rPr>
        <w:fldChar w:fldCharType="separate"/>
      </w:r>
      <w:r>
        <w:rPr>
          <w:rFonts w:hint="eastAsia" w:ascii="仿宋" w:hAnsi="仿宋" w:eastAsia="仿宋" w:cs="仿宋"/>
          <w:sz w:val="28"/>
          <w:szCs w:val="28"/>
        </w:rPr>
        <w:t>5</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289BDA61">
      <w:pPr>
        <w:pStyle w:val="23"/>
        <w:tabs>
          <w:tab w:val="right" w:leader="dot" w:pos="9638"/>
          <w:tab w:val="clear" w:pos="8494"/>
        </w:tabs>
        <w:rPr>
          <w:rFonts w:ascii="仿宋" w:hAnsi="仿宋" w:eastAsia="仿宋" w:cs="仿宋"/>
          <w:sz w:val="28"/>
          <w:szCs w:val="28"/>
        </w:rPr>
      </w:pPr>
      <w:r>
        <w:fldChar w:fldCharType="begin"/>
      </w:r>
      <w:r>
        <w:instrText xml:space="preserve"> HYPERLINK \l "_Toc10361" </w:instrText>
      </w:r>
      <w:r>
        <w:fldChar w:fldCharType="separate"/>
      </w:r>
      <w:r>
        <w:rPr>
          <w:rFonts w:hint="eastAsia" w:ascii="仿宋" w:hAnsi="仿宋" w:eastAsia="仿宋" w:cs="仿宋"/>
          <w:bCs/>
          <w:sz w:val="28"/>
          <w:szCs w:val="28"/>
        </w:rPr>
        <w:t>第三章 采购需求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_Toc10361 \h </w:instrText>
      </w:r>
      <w:r>
        <w:rPr>
          <w:rFonts w:hint="eastAsia" w:ascii="仿宋" w:hAnsi="仿宋" w:eastAsia="仿宋" w:cs="仿宋"/>
          <w:sz w:val="28"/>
          <w:szCs w:val="28"/>
        </w:rPr>
        <w:fldChar w:fldCharType="separate"/>
      </w:r>
      <w:r>
        <w:rPr>
          <w:rFonts w:hint="eastAsia" w:ascii="仿宋" w:hAnsi="仿宋" w:eastAsia="仿宋" w:cs="仿宋"/>
          <w:sz w:val="28"/>
          <w:szCs w:val="28"/>
        </w:rPr>
        <w:t>15</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77BF8B65">
      <w:pPr>
        <w:pStyle w:val="23"/>
        <w:tabs>
          <w:tab w:val="right" w:leader="dot" w:pos="9638"/>
          <w:tab w:val="clear" w:pos="8494"/>
        </w:tabs>
        <w:rPr>
          <w:rFonts w:ascii="仿宋" w:hAnsi="仿宋" w:eastAsia="仿宋" w:cs="仿宋"/>
          <w:sz w:val="28"/>
          <w:szCs w:val="28"/>
        </w:rPr>
      </w:pPr>
      <w:r>
        <w:fldChar w:fldCharType="begin"/>
      </w:r>
      <w:r>
        <w:instrText xml:space="preserve"> HYPERLINK \l "_Toc26917" </w:instrText>
      </w:r>
      <w:r>
        <w:fldChar w:fldCharType="separate"/>
      </w:r>
      <w:r>
        <w:rPr>
          <w:rFonts w:hint="eastAsia" w:ascii="仿宋" w:hAnsi="仿宋" w:eastAsia="仿宋" w:cs="仿宋"/>
          <w:sz w:val="28"/>
          <w:szCs w:val="28"/>
        </w:rPr>
        <w:t>第四章 磋商原则和程序</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_Toc26917 \h </w:instrText>
      </w:r>
      <w:r>
        <w:rPr>
          <w:rFonts w:hint="eastAsia" w:ascii="仿宋" w:hAnsi="仿宋" w:eastAsia="仿宋" w:cs="仿宋"/>
          <w:sz w:val="28"/>
          <w:szCs w:val="28"/>
        </w:rPr>
        <w:fldChar w:fldCharType="separate"/>
      </w:r>
      <w:r>
        <w:rPr>
          <w:rFonts w:hint="eastAsia" w:ascii="仿宋" w:hAnsi="仿宋" w:eastAsia="仿宋" w:cs="仿宋"/>
          <w:sz w:val="28"/>
          <w:szCs w:val="28"/>
        </w:rPr>
        <w:t>17</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2A319D97">
      <w:pPr>
        <w:pStyle w:val="26"/>
        <w:tabs>
          <w:tab w:val="right" w:leader="dot" w:pos="9638"/>
          <w:tab w:val="clear" w:pos="8494"/>
        </w:tabs>
        <w:rPr>
          <w:rFonts w:ascii="仿宋" w:hAnsi="仿宋" w:eastAsia="仿宋" w:cs="仿宋"/>
          <w:sz w:val="28"/>
          <w:szCs w:val="28"/>
        </w:rPr>
      </w:pPr>
      <w:r>
        <w:fldChar w:fldCharType="begin"/>
      </w:r>
      <w:r>
        <w:instrText xml:space="preserve"> HYPERLINK \l "_Toc20262" </w:instrText>
      </w:r>
      <w:r>
        <w:fldChar w:fldCharType="separate"/>
      </w:r>
      <w:r>
        <w:rPr>
          <w:rFonts w:hint="eastAsia" w:ascii="仿宋" w:hAnsi="仿宋" w:eastAsia="仿宋" w:cs="仿宋"/>
          <w:sz w:val="28"/>
          <w:szCs w:val="28"/>
        </w:rPr>
        <w:t>一、拆封响应文件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_Toc20262 \h </w:instrText>
      </w:r>
      <w:r>
        <w:rPr>
          <w:rFonts w:hint="eastAsia" w:ascii="仿宋" w:hAnsi="仿宋" w:eastAsia="仿宋" w:cs="仿宋"/>
          <w:sz w:val="28"/>
          <w:szCs w:val="28"/>
        </w:rPr>
        <w:fldChar w:fldCharType="separate"/>
      </w:r>
      <w:r>
        <w:rPr>
          <w:rFonts w:hint="eastAsia" w:ascii="仿宋" w:hAnsi="仿宋" w:eastAsia="仿宋" w:cs="仿宋"/>
          <w:sz w:val="28"/>
          <w:szCs w:val="28"/>
        </w:rPr>
        <w:t>17</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2AF6C8F6">
      <w:pPr>
        <w:pStyle w:val="26"/>
        <w:tabs>
          <w:tab w:val="right" w:leader="dot" w:pos="9638"/>
          <w:tab w:val="clear" w:pos="8494"/>
        </w:tabs>
        <w:rPr>
          <w:rFonts w:ascii="仿宋" w:hAnsi="仿宋" w:eastAsia="仿宋" w:cs="仿宋"/>
          <w:sz w:val="28"/>
          <w:szCs w:val="28"/>
        </w:rPr>
      </w:pPr>
      <w:r>
        <w:fldChar w:fldCharType="begin"/>
      </w:r>
      <w:r>
        <w:instrText xml:space="preserve"> HYPERLINK \l "_Toc16963" </w:instrText>
      </w:r>
      <w:r>
        <w:fldChar w:fldCharType="separate"/>
      </w:r>
      <w:r>
        <w:rPr>
          <w:rFonts w:hint="eastAsia" w:ascii="仿宋" w:hAnsi="仿宋" w:eastAsia="仿宋" w:cs="仿宋"/>
          <w:sz w:val="28"/>
          <w:szCs w:val="28"/>
        </w:rPr>
        <w:t>二、磋商小组</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_Toc16963 \h </w:instrText>
      </w:r>
      <w:r>
        <w:rPr>
          <w:rFonts w:hint="eastAsia" w:ascii="仿宋" w:hAnsi="仿宋" w:eastAsia="仿宋" w:cs="仿宋"/>
          <w:sz w:val="28"/>
          <w:szCs w:val="28"/>
        </w:rPr>
        <w:fldChar w:fldCharType="separate"/>
      </w:r>
      <w:r>
        <w:rPr>
          <w:rFonts w:hint="eastAsia" w:ascii="仿宋" w:hAnsi="仿宋" w:eastAsia="仿宋" w:cs="仿宋"/>
          <w:sz w:val="28"/>
          <w:szCs w:val="28"/>
        </w:rPr>
        <w:t>17</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72948D60">
      <w:pPr>
        <w:pStyle w:val="26"/>
        <w:tabs>
          <w:tab w:val="right" w:leader="dot" w:pos="9638"/>
          <w:tab w:val="clear" w:pos="8494"/>
        </w:tabs>
        <w:rPr>
          <w:rFonts w:ascii="仿宋" w:hAnsi="仿宋" w:eastAsia="仿宋" w:cs="仿宋"/>
          <w:sz w:val="28"/>
          <w:szCs w:val="28"/>
        </w:rPr>
      </w:pPr>
      <w:r>
        <w:fldChar w:fldCharType="begin"/>
      </w:r>
      <w:r>
        <w:instrText xml:space="preserve"> HYPERLINK \l "_Toc25085" </w:instrText>
      </w:r>
      <w:r>
        <w:fldChar w:fldCharType="separate"/>
      </w:r>
      <w:r>
        <w:rPr>
          <w:rFonts w:hint="eastAsia" w:ascii="仿宋" w:hAnsi="仿宋" w:eastAsia="仿宋" w:cs="仿宋"/>
          <w:sz w:val="28"/>
          <w:szCs w:val="28"/>
        </w:rPr>
        <w:t>三、竞争性磋商原则与方法</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_Toc25085 \h </w:instrText>
      </w:r>
      <w:r>
        <w:rPr>
          <w:rFonts w:hint="eastAsia" w:ascii="仿宋" w:hAnsi="仿宋" w:eastAsia="仿宋" w:cs="仿宋"/>
          <w:sz w:val="28"/>
          <w:szCs w:val="28"/>
        </w:rPr>
        <w:fldChar w:fldCharType="separate"/>
      </w:r>
      <w:r>
        <w:rPr>
          <w:rFonts w:hint="eastAsia" w:ascii="仿宋" w:hAnsi="仿宋" w:eastAsia="仿宋" w:cs="仿宋"/>
          <w:sz w:val="28"/>
          <w:szCs w:val="28"/>
        </w:rPr>
        <w:t>17</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12BED7ED">
      <w:pPr>
        <w:pStyle w:val="26"/>
        <w:tabs>
          <w:tab w:val="right" w:leader="dot" w:pos="9638"/>
          <w:tab w:val="clear" w:pos="8494"/>
        </w:tabs>
        <w:rPr>
          <w:rFonts w:ascii="仿宋" w:hAnsi="仿宋" w:eastAsia="仿宋" w:cs="仿宋"/>
          <w:sz w:val="28"/>
          <w:szCs w:val="28"/>
        </w:rPr>
      </w:pPr>
      <w:r>
        <w:fldChar w:fldCharType="begin"/>
      </w:r>
      <w:r>
        <w:instrText xml:space="preserve"> HYPERLINK \l "_Toc7754" </w:instrText>
      </w:r>
      <w:r>
        <w:fldChar w:fldCharType="separate"/>
      </w:r>
      <w:r>
        <w:rPr>
          <w:rFonts w:hint="eastAsia" w:ascii="仿宋" w:hAnsi="仿宋" w:eastAsia="仿宋" w:cs="仿宋"/>
          <w:sz w:val="28"/>
          <w:szCs w:val="28"/>
        </w:rPr>
        <w:t>四、磋商程序</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_Toc7754 \h </w:instrText>
      </w:r>
      <w:r>
        <w:rPr>
          <w:rFonts w:hint="eastAsia" w:ascii="仿宋" w:hAnsi="仿宋" w:eastAsia="仿宋" w:cs="仿宋"/>
          <w:sz w:val="28"/>
          <w:szCs w:val="28"/>
        </w:rPr>
        <w:fldChar w:fldCharType="separate"/>
      </w:r>
      <w:r>
        <w:rPr>
          <w:rFonts w:hint="eastAsia" w:ascii="仿宋" w:hAnsi="仿宋" w:eastAsia="仿宋" w:cs="仿宋"/>
          <w:sz w:val="28"/>
          <w:szCs w:val="28"/>
        </w:rPr>
        <w:t>17</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2316F68D">
      <w:pPr>
        <w:pStyle w:val="26"/>
        <w:tabs>
          <w:tab w:val="right" w:leader="dot" w:pos="9638"/>
          <w:tab w:val="clear" w:pos="8494"/>
        </w:tabs>
        <w:rPr>
          <w:rFonts w:ascii="仿宋" w:hAnsi="仿宋" w:eastAsia="仿宋" w:cs="仿宋"/>
          <w:sz w:val="28"/>
          <w:szCs w:val="28"/>
        </w:rPr>
      </w:pPr>
      <w:r>
        <w:fldChar w:fldCharType="begin"/>
      </w:r>
      <w:r>
        <w:instrText xml:space="preserve"> HYPERLINK \l "_Toc17124" </w:instrText>
      </w:r>
      <w:r>
        <w:fldChar w:fldCharType="separate"/>
      </w:r>
      <w:r>
        <w:rPr>
          <w:rFonts w:hint="eastAsia" w:ascii="仿宋" w:hAnsi="仿宋" w:eastAsia="仿宋" w:cs="仿宋"/>
          <w:sz w:val="28"/>
          <w:szCs w:val="28"/>
        </w:rPr>
        <w:t>五、磋商文件的澄清</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_Toc17124 \h </w:instrText>
      </w:r>
      <w:r>
        <w:rPr>
          <w:rFonts w:hint="eastAsia" w:ascii="仿宋" w:hAnsi="仿宋" w:eastAsia="仿宋" w:cs="仿宋"/>
          <w:sz w:val="28"/>
          <w:szCs w:val="28"/>
        </w:rPr>
        <w:fldChar w:fldCharType="separate"/>
      </w:r>
      <w:r>
        <w:rPr>
          <w:rFonts w:hint="eastAsia" w:ascii="仿宋" w:hAnsi="仿宋" w:eastAsia="仿宋" w:cs="仿宋"/>
          <w:sz w:val="28"/>
          <w:szCs w:val="28"/>
        </w:rPr>
        <w:t>18</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39E2421A">
      <w:pPr>
        <w:pStyle w:val="26"/>
        <w:tabs>
          <w:tab w:val="right" w:leader="dot" w:pos="9638"/>
          <w:tab w:val="clear" w:pos="8494"/>
        </w:tabs>
        <w:rPr>
          <w:rFonts w:ascii="仿宋" w:hAnsi="仿宋" w:eastAsia="仿宋" w:cs="仿宋"/>
          <w:sz w:val="28"/>
          <w:szCs w:val="28"/>
        </w:rPr>
      </w:pPr>
      <w:r>
        <w:fldChar w:fldCharType="begin"/>
      </w:r>
      <w:r>
        <w:instrText xml:space="preserve"> HYPERLINK \l "_Toc1217" </w:instrText>
      </w:r>
      <w:r>
        <w:fldChar w:fldCharType="separate"/>
      </w:r>
      <w:r>
        <w:rPr>
          <w:rFonts w:hint="eastAsia" w:ascii="仿宋" w:hAnsi="仿宋" w:eastAsia="仿宋" w:cs="仿宋"/>
          <w:sz w:val="28"/>
          <w:szCs w:val="28"/>
        </w:rPr>
        <w:t>六、确定供应商办法</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_Toc1217 \h </w:instrText>
      </w:r>
      <w:r>
        <w:rPr>
          <w:rFonts w:hint="eastAsia" w:ascii="仿宋" w:hAnsi="仿宋" w:eastAsia="仿宋" w:cs="仿宋"/>
          <w:sz w:val="28"/>
          <w:szCs w:val="28"/>
        </w:rPr>
        <w:fldChar w:fldCharType="separate"/>
      </w:r>
      <w:r>
        <w:rPr>
          <w:rFonts w:hint="eastAsia" w:ascii="仿宋" w:hAnsi="仿宋" w:eastAsia="仿宋" w:cs="仿宋"/>
          <w:sz w:val="28"/>
          <w:szCs w:val="28"/>
        </w:rPr>
        <w:t>18</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04FAE7F5">
      <w:pPr>
        <w:pStyle w:val="26"/>
        <w:tabs>
          <w:tab w:val="right" w:leader="dot" w:pos="9638"/>
          <w:tab w:val="clear" w:pos="8494"/>
        </w:tabs>
        <w:rPr>
          <w:rFonts w:ascii="仿宋" w:hAnsi="仿宋" w:eastAsia="仿宋" w:cs="仿宋"/>
          <w:sz w:val="28"/>
          <w:szCs w:val="28"/>
        </w:rPr>
      </w:pPr>
      <w:r>
        <w:fldChar w:fldCharType="begin"/>
      </w:r>
      <w:r>
        <w:instrText xml:space="preserve"> HYPERLINK \l "_Toc15254" </w:instrText>
      </w:r>
      <w:r>
        <w:fldChar w:fldCharType="separate"/>
      </w:r>
      <w:r>
        <w:rPr>
          <w:rFonts w:hint="eastAsia" w:ascii="仿宋" w:hAnsi="仿宋" w:eastAsia="仿宋" w:cs="仿宋"/>
          <w:sz w:val="28"/>
          <w:szCs w:val="28"/>
        </w:rPr>
        <w:t>七、综合评分法</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_Toc15254 \h </w:instrText>
      </w:r>
      <w:r>
        <w:rPr>
          <w:rFonts w:hint="eastAsia" w:ascii="仿宋" w:hAnsi="仿宋" w:eastAsia="仿宋" w:cs="仿宋"/>
          <w:sz w:val="28"/>
          <w:szCs w:val="28"/>
        </w:rPr>
        <w:fldChar w:fldCharType="separate"/>
      </w:r>
      <w:r>
        <w:rPr>
          <w:rFonts w:hint="eastAsia" w:ascii="仿宋" w:hAnsi="仿宋" w:eastAsia="仿宋" w:cs="仿宋"/>
          <w:sz w:val="28"/>
          <w:szCs w:val="28"/>
        </w:rPr>
        <w:t>18</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4CFC449A">
      <w:pPr>
        <w:pStyle w:val="26"/>
        <w:tabs>
          <w:tab w:val="right" w:leader="dot" w:pos="9638"/>
          <w:tab w:val="clear" w:pos="8494"/>
        </w:tabs>
        <w:rPr>
          <w:rFonts w:ascii="仿宋" w:hAnsi="仿宋" w:eastAsia="仿宋" w:cs="仿宋"/>
          <w:sz w:val="28"/>
          <w:szCs w:val="28"/>
        </w:rPr>
      </w:pPr>
      <w:r>
        <w:fldChar w:fldCharType="begin"/>
      </w:r>
      <w:r>
        <w:instrText xml:space="preserve"> HYPERLINK \l "_Toc16261" </w:instrText>
      </w:r>
      <w:r>
        <w:fldChar w:fldCharType="separate"/>
      </w:r>
      <w:r>
        <w:rPr>
          <w:rFonts w:hint="eastAsia" w:ascii="仿宋" w:hAnsi="仿宋" w:eastAsia="仿宋" w:cs="仿宋"/>
          <w:sz w:val="28"/>
          <w:szCs w:val="28"/>
        </w:rPr>
        <w:t>八、资格审查</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_Toc16261 \h </w:instrText>
      </w:r>
      <w:r>
        <w:rPr>
          <w:rFonts w:hint="eastAsia" w:ascii="仿宋" w:hAnsi="仿宋" w:eastAsia="仿宋" w:cs="仿宋"/>
          <w:sz w:val="28"/>
          <w:szCs w:val="28"/>
        </w:rPr>
        <w:fldChar w:fldCharType="separate"/>
      </w:r>
      <w:r>
        <w:rPr>
          <w:rFonts w:hint="eastAsia" w:ascii="仿宋" w:hAnsi="仿宋" w:eastAsia="仿宋" w:cs="仿宋"/>
          <w:sz w:val="28"/>
          <w:szCs w:val="28"/>
        </w:rPr>
        <w:t>21</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79F2E101">
      <w:pPr>
        <w:pStyle w:val="26"/>
        <w:tabs>
          <w:tab w:val="right" w:leader="dot" w:pos="9638"/>
          <w:tab w:val="clear" w:pos="8494"/>
        </w:tabs>
        <w:rPr>
          <w:rFonts w:ascii="仿宋" w:hAnsi="仿宋" w:eastAsia="仿宋" w:cs="仿宋"/>
          <w:sz w:val="28"/>
          <w:szCs w:val="28"/>
        </w:rPr>
      </w:pPr>
      <w:r>
        <w:fldChar w:fldCharType="begin"/>
      </w:r>
      <w:r>
        <w:instrText xml:space="preserve"> HYPERLINK \l "_Toc8547" </w:instrText>
      </w:r>
      <w:r>
        <w:fldChar w:fldCharType="separate"/>
      </w:r>
      <w:r>
        <w:rPr>
          <w:rFonts w:hint="eastAsia" w:ascii="仿宋" w:hAnsi="仿宋" w:eastAsia="仿宋" w:cs="仿宋"/>
          <w:sz w:val="28"/>
          <w:szCs w:val="28"/>
        </w:rPr>
        <w:t>九、 成交通知、授予合同</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_Toc8547 \h </w:instrText>
      </w:r>
      <w:r>
        <w:rPr>
          <w:rFonts w:hint="eastAsia" w:ascii="仿宋" w:hAnsi="仿宋" w:eastAsia="仿宋" w:cs="仿宋"/>
          <w:sz w:val="28"/>
          <w:szCs w:val="28"/>
        </w:rPr>
        <w:fldChar w:fldCharType="separate"/>
      </w:r>
      <w:r>
        <w:rPr>
          <w:rFonts w:hint="eastAsia" w:ascii="仿宋" w:hAnsi="仿宋" w:eastAsia="仿宋" w:cs="仿宋"/>
          <w:sz w:val="28"/>
          <w:szCs w:val="28"/>
        </w:rPr>
        <w:t>21</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3525915F">
      <w:pPr>
        <w:pStyle w:val="23"/>
        <w:tabs>
          <w:tab w:val="right" w:leader="dot" w:pos="9638"/>
          <w:tab w:val="clear" w:pos="8494"/>
        </w:tabs>
        <w:rPr>
          <w:rFonts w:ascii="仿宋" w:hAnsi="仿宋" w:eastAsia="仿宋" w:cs="仿宋"/>
          <w:sz w:val="28"/>
          <w:szCs w:val="28"/>
        </w:rPr>
      </w:pPr>
      <w:r>
        <w:fldChar w:fldCharType="begin"/>
      </w:r>
      <w:r>
        <w:instrText xml:space="preserve"> HYPERLINK \l "_Toc15870" </w:instrText>
      </w:r>
      <w:r>
        <w:fldChar w:fldCharType="separate"/>
      </w:r>
      <w:r>
        <w:rPr>
          <w:rFonts w:hint="eastAsia" w:ascii="仿宋" w:hAnsi="仿宋" w:eastAsia="仿宋" w:cs="仿宋"/>
          <w:sz w:val="28"/>
          <w:szCs w:val="28"/>
        </w:rPr>
        <w:t>第五章 合同主要条款（仅供参考）</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_Toc15870 \h </w:instrText>
      </w:r>
      <w:r>
        <w:rPr>
          <w:rFonts w:hint="eastAsia" w:ascii="仿宋" w:hAnsi="仿宋" w:eastAsia="仿宋" w:cs="仿宋"/>
          <w:sz w:val="28"/>
          <w:szCs w:val="28"/>
        </w:rPr>
        <w:fldChar w:fldCharType="separate"/>
      </w:r>
      <w:r>
        <w:rPr>
          <w:rFonts w:hint="eastAsia" w:ascii="仿宋" w:hAnsi="仿宋" w:eastAsia="仿宋" w:cs="仿宋"/>
          <w:sz w:val="28"/>
          <w:szCs w:val="28"/>
        </w:rPr>
        <w:t>22</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60F27F02">
      <w:pPr>
        <w:pStyle w:val="23"/>
        <w:tabs>
          <w:tab w:val="right" w:leader="dot" w:pos="9638"/>
          <w:tab w:val="clear" w:pos="8494"/>
        </w:tabs>
        <w:rPr>
          <w:rFonts w:ascii="仿宋" w:hAnsi="仿宋" w:eastAsia="仿宋" w:cs="仿宋"/>
          <w:sz w:val="28"/>
          <w:szCs w:val="28"/>
        </w:rPr>
      </w:pPr>
      <w:r>
        <w:fldChar w:fldCharType="begin"/>
      </w:r>
      <w:r>
        <w:instrText xml:space="preserve"> HYPERLINK \l "_Toc16382" </w:instrText>
      </w:r>
      <w:r>
        <w:fldChar w:fldCharType="separate"/>
      </w:r>
      <w:r>
        <w:rPr>
          <w:rFonts w:hint="eastAsia" w:ascii="仿宋" w:hAnsi="仿宋" w:eastAsia="仿宋" w:cs="仿宋"/>
          <w:sz w:val="28"/>
          <w:szCs w:val="28"/>
        </w:rPr>
        <w:t>第六章 响应文件格式</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_Toc16382 \h </w:instrText>
      </w:r>
      <w:r>
        <w:rPr>
          <w:rFonts w:hint="eastAsia" w:ascii="仿宋" w:hAnsi="仿宋" w:eastAsia="仿宋" w:cs="仿宋"/>
          <w:sz w:val="28"/>
          <w:szCs w:val="28"/>
        </w:rPr>
        <w:fldChar w:fldCharType="separate"/>
      </w:r>
      <w:r>
        <w:rPr>
          <w:rFonts w:hint="eastAsia" w:ascii="仿宋" w:hAnsi="仿宋" w:eastAsia="仿宋" w:cs="仿宋"/>
          <w:sz w:val="28"/>
          <w:szCs w:val="28"/>
        </w:rPr>
        <w:t>26</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45E27916">
      <w:pPr>
        <w:pStyle w:val="23"/>
        <w:tabs>
          <w:tab w:val="right" w:leader="dot" w:pos="9638"/>
          <w:tab w:val="clear" w:pos="8494"/>
        </w:tabs>
        <w:rPr>
          <w:rFonts w:ascii="仿宋" w:hAnsi="仿宋" w:eastAsia="仿宋" w:cs="仿宋"/>
          <w:sz w:val="28"/>
          <w:szCs w:val="28"/>
        </w:rPr>
      </w:pPr>
      <w:r>
        <w:fldChar w:fldCharType="begin"/>
      </w:r>
      <w:r>
        <w:instrText xml:space="preserve"> HYPERLINK \l "_Toc5945" </w:instrText>
      </w:r>
      <w:r>
        <w:fldChar w:fldCharType="separate"/>
      </w:r>
      <w:r>
        <w:rPr>
          <w:rFonts w:hint="eastAsia" w:ascii="仿宋" w:hAnsi="仿宋" w:eastAsia="仿宋" w:cs="仿宋"/>
          <w:sz w:val="28"/>
          <w:szCs w:val="28"/>
        </w:rPr>
        <w:t>第七章 自评表</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_Toc5945 \h </w:instrText>
      </w:r>
      <w:r>
        <w:rPr>
          <w:rFonts w:hint="eastAsia" w:ascii="仿宋" w:hAnsi="仿宋" w:eastAsia="仿宋" w:cs="仿宋"/>
          <w:sz w:val="28"/>
          <w:szCs w:val="28"/>
        </w:rPr>
        <w:fldChar w:fldCharType="separate"/>
      </w:r>
      <w:r>
        <w:rPr>
          <w:rFonts w:hint="eastAsia" w:ascii="仿宋" w:hAnsi="仿宋" w:eastAsia="仿宋" w:cs="仿宋"/>
          <w:sz w:val="28"/>
          <w:szCs w:val="28"/>
        </w:rPr>
        <w:t>43</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19302613">
      <w:pPr>
        <w:spacing w:line="360" w:lineRule="exact"/>
        <w:rPr>
          <w:rFonts w:ascii="仿宋" w:hAnsi="仿宋" w:eastAsia="仿宋" w:cs="仿宋"/>
          <w:szCs w:val="21"/>
        </w:rPr>
      </w:pPr>
      <w:r>
        <w:rPr>
          <w:rFonts w:hint="eastAsia" w:ascii="仿宋" w:hAnsi="仿宋" w:eastAsia="仿宋" w:cs="仿宋"/>
          <w:sz w:val="28"/>
          <w:szCs w:val="28"/>
        </w:rPr>
        <w:fldChar w:fldCharType="end"/>
      </w:r>
    </w:p>
    <w:p w14:paraId="27B8DF49">
      <w:pPr>
        <w:pStyle w:val="2"/>
        <w:spacing w:line="360" w:lineRule="exact"/>
        <w:jc w:val="center"/>
        <w:rPr>
          <w:rFonts w:ascii="仿宋" w:hAnsi="仿宋" w:eastAsia="仿宋" w:cs="仿宋"/>
          <w:sz w:val="32"/>
          <w:szCs w:val="32"/>
        </w:rPr>
        <w:sectPr>
          <w:headerReference r:id="rId6" w:type="first"/>
          <w:headerReference r:id="rId5" w:type="default"/>
          <w:pgSz w:w="11906" w:h="16838"/>
          <w:pgMar w:top="1134" w:right="1134" w:bottom="1134" w:left="1134" w:header="567" w:footer="567" w:gutter="0"/>
          <w:pgNumType w:start="1"/>
          <w:cols w:space="720" w:num="1"/>
          <w:titlePg/>
          <w:docGrid w:type="lines" w:linePitch="312" w:charSpace="0"/>
        </w:sectPr>
      </w:pPr>
    </w:p>
    <w:p w14:paraId="66225C44">
      <w:pPr>
        <w:pStyle w:val="2"/>
        <w:spacing w:line="360" w:lineRule="exact"/>
        <w:jc w:val="center"/>
        <w:rPr>
          <w:rFonts w:ascii="仿宋" w:hAnsi="仿宋" w:eastAsia="仿宋" w:cs="仿宋"/>
          <w:sz w:val="32"/>
          <w:szCs w:val="32"/>
        </w:rPr>
      </w:pPr>
      <w:bookmarkStart w:id="1" w:name="_Toc22181"/>
      <w:bookmarkStart w:id="2" w:name="_Toc8907"/>
      <w:r>
        <w:rPr>
          <w:rFonts w:hint="eastAsia" w:ascii="仿宋" w:hAnsi="仿宋" w:eastAsia="仿宋" w:cs="仿宋"/>
          <w:sz w:val="32"/>
          <w:szCs w:val="32"/>
        </w:rPr>
        <w:t>第一章 竞争性磋商公告</w:t>
      </w:r>
      <w:bookmarkEnd w:id="1"/>
      <w:bookmarkEnd w:id="2"/>
    </w:p>
    <w:p w14:paraId="1C59B332">
      <w:pPr>
        <w:widowControl/>
        <w:spacing w:after="75"/>
        <w:ind w:firstLine="480" w:firstLineChars="200"/>
        <w:jc w:val="left"/>
        <w:rPr>
          <w:rFonts w:ascii="仿宋" w:hAnsi="仿宋" w:eastAsia="仿宋" w:cs="仿宋"/>
          <w:b/>
          <w:kern w:val="0"/>
          <w:sz w:val="24"/>
          <w:u w:val="single"/>
        </w:rPr>
      </w:pPr>
      <w:r>
        <w:rPr>
          <w:rFonts w:hint="eastAsia" w:ascii="仿宋" w:hAnsi="仿宋" w:eastAsia="仿宋" w:cs="仿宋"/>
          <w:kern w:val="0"/>
          <w:sz w:val="24"/>
        </w:rPr>
        <w:t>根据《中华人民共和国政府采购法》等规定，经湖州市南浔区财政局政府采购监管处批准的编号：浔政采网申[2024]856号，现就</w:t>
      </w:r>
      <w:r>
        <w:fldChar w:fldCharType="begin"/>
      </w:r>
      <w:r>
        <w:instrText xml:space="preserve"> HYPERLINK "https://bidding.zcygov.cn/xmgl/projectQuery/queryDetail?projectUuid=5cc8c7b85bc46b0b&amp;utm=bidding-open-front.111932f1.0.0.9ab00780bf5e11ea865599feadc12d1d" \t "https://www.zcygov.cn/bidding-open/myProject/_blank" </w:instrText>
      </w:r>
      <w:r>
        <w:fldChar w:fldCharType="separate"/>
      </w:r>
      <w:r>
        <w:rPr>
          <w:rFonts w:hint="eastAsia" w:ascii="仿宋" w:hAnsi="仿宋" w:eastAsia="仿宋" w:cs="仿宋"/>
          <w:b/>
          <w:bCs/>
          <w:kern w:val="0"/>
          <w:sz w:val="24"/>
        </w:rPr>
        <w:t>双林镇镇域战略规划研究暨镇区总体城市设计项目</w:t>
      </w:r>
      <w:r>
        <w:rPr>
          <w:rFonts w:hint="eastAsia" w:ascii="仿宋" w:hAnsi="仿宋" w:eastAsia="仿宋" w:cs="仿宋"/>
          <w:b/>
          <w:bCs/>
          <w:kern w:val="0"/>
          <w:sz w:val="24"/>
        </w:rPr>
        <w:fldChar w:fldCharType="end"/>
      </w:r>
      <w:r>
        <w:rPr>
          <w:rFonts w:hint="eastAsia" w:ascii="仿宋" w:hAnsi="仿宋" w:eastAsia="仿宋" w:cs="仿宋"/>
          <w:kern w:val="0"/>
          <w:sz w:val="24"/>
        </w:rPr>
        <w:t>进行</w:t>
      </w:r>
      <w:r>
        <w:rPr>
          <w:rFonts w:hint="eastAsia" w:ascii="仿宋" w:hAnsi="仿宋" w:eastAsia="仿宋" w:cs="仿宋"/>
          <w:b/>
          <w:bCs/>
          <w:kern w:val="0"/>
          <w:sz w:val="24"/>
        </w:rPr>
        <w:t>竞争性磋商</w:t>
      </w:r>
      <w:r>
        <w:rPr>
          <w:rFonts w:hint="eastAsia" w:ascii="仿宋" w:hAnsi="仿宋" w:eastAsia="仿宋" w:cs="仿宋"/>
          <w:kern w:val="0"/>
          <w:sz w:val="24"/>
        </w:rPr>
        <w:t>采购，欢迎符合要求的供应商前来磋商。</w:t>
      </w:r>
    </w:p>
    <w:p w14:paraId="70E19111">
      <w:pPr>
        <w:widowControl/>
        <w:spacing w:after="75"/>
        <w:jc w:val="left"/>
        <w:rPr>
          <w:rFonts w:ascii="仿宋" w:hAnsi="仿宋" w:eastAsia="仿宋" w:cs="仿宋"/>
          <w:kern w:val="0"/>
          <w:sz w:val="24"/>
        </w:rPr>
      </w:pPr>
      <w:r>
        <w:rPr>
          <w:rFonts w:hint="eastAsia" w:ascii="仿宋" w:hAnsi="仿宋" w:eastAsia="仿宋" w:cs="仿宋"/>
          <w:b/>
          <w:bCs/>
          <w:kern w:val="0"/>
          <w:sz w:val="24"/>
        </w:rPr>
        <w:t>一．项目编号：</w:t>
      </w:r>
      <w:r>
        <w:rPr>
          <w:rFonts w:hint="eastAsia" w:ascii="仿宋" w:hAnsi="仿宋" w:eastAsia="仿宋" w:cs="仿宋"/>
          <w:sz w:val="24"/>
        </w:rPr>
        <w:t>永信恒昌采字[2024]-018号</w:t>
      </w:r>
      <w:r>
        <w:rPr>
          <w:rFonts w:hint="eastAsia" w:ascii="仿宋" w:hAnsi="仿宋" w:eastAsia="仿宋" w:cs="仿宋"/>
          <w:kern w:val="0"/>
          <w:sz w:val="24"/>
        </w:rPr>
        <w:tab/>
      </w:r>
    </w:p>
    <w:p w14:paraId="5A315866">
      <w:pPr>
        <w:widowControl/>
        <w:spacing w:after="75"/>
        <w:jc w:val="left"/>
        <w:rPr>
          <w:rFonts w:ascii="仿宋" w:hAnsi="仿宋" w:eastAsia="仿宋" w:cs="仿宋"/>
          <w:kern w:val="0"/>
          <w:sz w:val="24"/>
        </w:rPr>
      </w:pPr>
      <w:r>
        <w:rPr>
          <w:rFonts w:hint="eastAsia" w:ascii="仿宋" w:hAnsi="仿宋" w:eastAsia="仿宋" w:cs="仿宋"/>
          <w:b/>
          <w:bCs/>
          <w:kern w:val="0"/>
          <w:sz w:val="24"/>
        </w:rPr>
        <w:t>二．组织类型：</w:t>
      </w:r>
      <w:r>
        <w:rPr>
          <w:rFonts w:hint="eastAsia" w:ascii="仿宋" w:hAnsi="仿宋" w:eastAsia="仿宋" w:cs="仿宋"/>
          <w:kern w:val="0"/>
          <w:sz w:val="24"/>
        </w:rPr>
        <w:t>分散采购-委托代理</w:t>
      </w:r>
    </w:p>
    <w:p w14:paraId="73B09895">
      <w:pPr>
        <w:widowControl/>
        <w:spacing w:before="75" w:line="360" w:lineRule="auto"/>
        <w:jc w:val="left"/>
        <w:rPr>
          <w:rFonts w:ascii="仿宋" w:hAnsi="仿宋" w:eastAsia="仿宋" w:cs="仿宋"/>
          <w:kern w:val="0"/>
          <w:sz w:val="24"/>
        </w:rPr>
      </w:pPr>
      <w:r>
        <w:rPr>
          <w:rFonts w:hint="eastAsia" w:ascii="仿宋" w:hAnsi="仿宋" w:eastAsia="仿宋" w:cs="仿宋"/>
          <w:b/>
          <w:bCs/>
          <w:kern w:val="0"/>
          <w:sz w:val="24"/>
        </w:rPr>
        <w:t>三．项目概况</w:t>
      </w:r>
      <w:r>
        <w:rPr>
          <w:rFonts w:hint="eastAsia" w:ascii="仿宋" w:hAnsi="仿宋" w:eastAsia="仿宋" w:cs="仿宋"/>
          <w:kern w:val="0"/>
          <w:sz w:val="24"/>
        </w:rPr>
        <w:t>：</w:t>
      </w:r>
    </w:p>
    <w:tbl>
      <w:tblPr>
        <w:tblStyle w:val="2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95"/>
        <w:gridCol w:w="4667"/>
        <w:gridCol w:w="940"/>
        <w:gridCol w:w="1034"/>
        <w:gridCol w:w="2618"/>
      </w:tblGrid>
      <w:tr w14:paraId="167FC3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4" w:hRule="atLeast"/>
          <w:jc w:val="center"/>
        </w:trPr>
        <w:tc>
          <w:tcPr>
            <w:tcW w:w="595" w:type="dxa"/>
            <w:tcBorders>
              <w:top w:val="single" w:color="auto" w:sz="4" w:space="0"/>
              <w:left w:val="single" w:color="auto" w:sz="4" w:space="0"/>
              <w:bottom w:val="single" w:color="auto" w:sz="4" w:space="0"/>
              <w:right w:val="single" w:color="auto" w:sz="4" w:space="0"/>
            </w:tcBorders>
            <w:vAlign w:val="center"/>
          </w:tcPr>
          <w:p w14:paraId="27567A9D">
            <w:pPr>
              <w:snapToGrid w:val="0"/>
              <w:jc w:val="center"/>
              <w:rPr>
                <w:rFonts w:ascii="仿宋" w:hAnsi="仿宋" w:eastAsia="仿宋" w:cs="仿宋"/>
                <w:bCs/>
                <w:sz w:val="24"/>
              </w:rPr>
            </w:pPr>
            <w:r>
              <w:rPr>
                <w:rFonts w:hint="eastAsia" w:ascii="仿宋" w:hAnsi="仿宋" w:eastAsia="仿宋" w:cs="仿宋"/>
                <w:bCs/>
                <w:sz w:val="24"/>
              </w:rPr>
              <w:t>序号</w:t>
            </w:r>
          </w:p>
        </w:tc>
        <w:tc>
          <w:tcPr>
            <w:tcW w:w="4667" w:type="dxa"/>
            <w:tcBorders>
              <w:top w:val="single" w:color="auto" w:sz="4" w:space="0"/>
              <w:left w:val="single" w:color="auto" w:sz="4" w:space="0"/>
              <w:bottom w:val="single" w:color="auto" w:sz="4" w:space="0"/>
              <w:right w:val="single" w:color="auto" w:sz="4" w:space="0"/>
            </w:tcBorders>
            <w:vAlign w:val="center"/>
          </w:tcPr>
          <w:p w14:paraId="4A4C30FB">
            <w:pPr>
              <w:snapToGrid w:val="0"/>
              <w:jc w:val="center"/>
              <w:rPr>
                <w:rFonts w:ascii="仿宋" w:hAnsi="仿宋" w:eastAsia="仿宋" w:cs="仿宋"/>
                <w:bCs/>
                <w:sz w:val="24"/>
              </w:rPr>
            </w:pPr>
            <w:r>
              <w:rPr>
                <w:rFonts w:hint="eastAsia" w:ascii="仿宋" w:hAnsi="仿宋" w:eastAsia="仿宋" w:cs="仿宋"/>
                <w:bCs/>
                <w:sz w:val="24"/>
              </w:rPr>
              <w:t>采购内容</w:t>
            </w:r>
          </w:p>
        </w:tc>
        <w:tc>
          <w:tcPr>
            <w:tcW w:w="940" w:type="dxa"/>
            <w:tcBorders>
              <w:top w:val="single" w:color="auto" w:sz="4" w:space="0"/>
              <w:left w:val="single" w:color="auto" w:sz="4" w:space="0"/>
              <w:bottom w:val="single" w:color="auto" w:sz="4" w:space="0"/>
              <w:right w:val="single" w:color="auto" w:sz="4" w:space="0"/>
            </w:tcBorders>
            <w:vAlign w:val="center"/>
          </w:tcPr>
          <w:p w14:paraId="254DF4D5">
            <w:pPr>
              <w:snapToGrid w:val="0"/>
              <w:jc w:val="center"/>
              <w:rPr>
                <w:rFonts w:ascii="仿宋" w:hAnsi="仿宋" w:eastAsia="仿宋" w:cs="仿宋"/>
                <w:bCs/>
                <w:sz w:val="24"/>
              </w:rPr>
            </w:pPr>
            <w:r>
              <w:rPr>
                <w:rFonts w:hint="eastAsia" w:ascii="仿宋" w:hAnsi="仿宋" w:eastAsia="仿宋" w:cs="仿宋"/>
                <w:bCs/>
                <w:sz w:val="24"/>
              </w:rPr>
              <w:t>数量</w:t>
            </w:r>
          </w:p>
        </w:tc>
        <w:tc>
          <w:tcPr>
            <w:tcW w:w="1034" w:type="dxa"/>
            <w:tcBorders>
              <w:top w:val="single" w:color="auto" w:sz="4" w:space="0"/>
              <w:left w:val="single" w:color="auto" w:sz="4" w:space="0"/>
              <w:bottom w:val="single" w:color="auto" w:sz="4" w:space="0"/>
              <w:right w:val="single" w:color="auto" w:sz="4" w:space="0"/>
            </w:tcBorders>
            <w:vAlign w:val="center"/>
          </w:tcPr>
          <w:p w14:paraId="32FFC484">
            <w:pPr>
              <w:snapToGrid w:val="0"/>
              <w:jc w:val="center"/>
              <w:rPr>
                <w:rFonts w:ascii="仿宋" w:hAnsi="仿宋" w:eastAsia="仿宋" w:cs="仿宋"/>
                <w:bCs/>
                <w:sz w:val="24"/>
              </w:rPr>
            </w:pPr>
            <w:r>
              <w:rPr>
                <w:rFonts w:hint="eastAsia" w:ascii="仿宋" w:hAnsi="仿宋" w:eastAsia="仿宋" w:cs="仿宋"/>
                <w:bCs/>
                <w:sz w:val="24"/>
              </w:rPr>
              <w:t>单位</w:t>
            </w:r>
          </w:p>
        </w:tc>
        <w:tc>
          <w:tcPr>
            <w:tcW w:w="2618" w:type="dxa"/>
            <w:tcBorders>
              <w:top w:val="single" w:color="auto" w:sz="4" w:space="0"/>
              <w:left w:val="single" w:color="auto" w:sz="4" w:space="0"/>
              <w:bottom w:val="single" w:color="auto" w:sz="4" w:space="0"/>
              <w:right w:val="single" w:color="auto" w:sz="4" w:space="0"/>
            </w:tcBorders>
            <w:vAlign w:val="center"/>
          </w:tcPr>
          <w:p w14:paraId="5E202C94">
            <w:pPr>
              <w:snapToGrid w:val="0"/>
              <w:jc w:val="center"/>
              <w:rPr>
                <w:rFonts w:ascii="仿宋" w:hAnsi="仿宋" w:eastAsia="仿宋" w:cs="仿宋"/>
                <w:bCs/>
                <w:sz w:val="24"/>
              </w:rPr>
            </w:pPr>
            <w:r>
              <w:rPr>
                <w:rFonts w:hint="eastAsia" w:ascii="仿宋" w:hAnsi="仿宋" w:eastAsia="仿宋" w:cs="仿宋"/>
                <w:bCs/>
                <w:sz w:val="24"/>
              </w:rPr>
              <w:t>预算金额</w:t>
            </w:r>
          </w:p>
          <w:p w14:paraId="22C497E5">
            <w:pPr>
              <w:snapToGrid w:val="0"/>
              <w:jc w:val="center"/>
              <w:rPr>
                <w:rFonts w:ascii="仿宋" w:hAnsi="仿宋" w:eastAsia="仿宋" w:cs="仿宋"/>
                <w:bCs/>
                <w:sz w:val="24"/>
              </w:rPr>
            </w:pPr>
            <w:r>
              <w:rPr>
                <w:rFonts w:hint="eastAsia" w:ascii="仿宋" w:hAnsi="仿宋" w:eastAsia="仿宋" w:cs="仿宋"/>
                <w:bCs/>
                <w:sz w:val="24"/>
              </w:rPr>
              <w:t>（人民币：万元）</w:t>
            </w:r>
          </w:p>
        </w:tc>
      </w:tr>
      <w:tr w14:paraId="6A87D8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8" w:hRule="atLeast"/>
          <w:jc w:val="center"/>
        </w:trPr>
        <w:tc>
          <w:tcPr>
            <w:tcW w:w="595" w:type="dxa"/>
            <w:tcBorders>
              <w:top w:val="single" w:color="auto" w:sz="4" w:space="0"/>
              <w:left w:val="single" w:color="auto" w:sz="4" w:space="0"/>
              <w:bottom w:val="single" w:color="auto" w:sz="4" w:space="0"/>
              <w:right w:val="single" w:color="auto" w:sz="4" w:space="0"/>
            </w:tcBorders>
            <w:vAlign w:val="center"/>
          </w:tcPr>
          <w:p w14:paraId="340C90D4">
            <w:pPr>
              <w:snapToGrid w:val="0"/>
              <w:jc w:val="center"/>
              <w:rPr>
                <w:rFonts w:ascii="仿宋" w:hAnsi="仿宋" w:eastAsia="仿宋" w:cs="仿宋"/>
                <w:bCs/>
                <w:sz w:val="24"/>
              </w:rPr>
            </w:pPr>
            <w:r>
              <w:rPr>
                <w:rFonts w:hint="eastAsia" w:ascii="仿宋" w:hAnsi="仿宋" w:eastAsia="仿宋" w:cs="仿宋"/>
                <w:bCs/>
                <w:sz w:val="24"/>
              </w:rPr>
              <w:t>1</w:t>
            </w:r>
          </w:p>
        </w:tc>
        <w:tc>
          <w:tcPr>
            <w:tcW w:w="4667" w:type="dxa"/>
            <w:tcBorders>
              <w:top w:val="single" w:color="auto" w:sz="4" w:space="0"/>
              <w:left w:val="single" w:color="auto" w:sz="4" w:space="0"/>
              <w:bottom w:val="single" w:color="auto" w:sz="4" w:space="0"/>
              <w:right w:val="single" w:color="auto" w:sz="4" w:space="0"/>
            </w:tcBorders>
            <w:vAlign w:val="center"/>
          </w:tcPr>
          <w:p w14:paraId="417E7352">
            <w:pPr>
              <w:snapToGrid w:val="0"/>
              <w:jc w:val="center"/>
              <w:rPr>
                <w:rFonts w:ascii="仿宋" w:hAnsi="仿宋" w:eastAsia="仿宋" w:cs="仿宋"/>
                <w:bCs/>
                <w:sz w:val="24"/>
              </w:rPr>
            </w:pPr>
            <w:r>
              <w:rPr>
                <w:rFonts w:hint="eastAsia" w:ascii="仿宋" w:hAnsi="仿宋" w:eastAsia="仿宋" w:cs="仿宋"/>
                <w:bCs/>
                <w:sz w:val="24"/>
              </w:rPr>
              <w:t>以新一轮的国土空间规划为指导，结合南浔区的未来发展、两翼北进的政策方向、双林镇的资源本底，从整个镇域层面，统筹谋划双林镇的发展思路和总体战略。同时在镇域战略规划研究的基础上，对双林镇区进行城市设计，明确总体框架和重要节点，为双林镇区的下一步建设做出空间指引。</w:t>
            </w:r>
          </w:p>
        </w:tc>
        <w:tc>
          <w:tcPr>
            <w:tcW w:w="940" w:type="dxa"/>
            <w:tcBorders>
              <w:top w:val="single" w:color="auto" w:sz="4" w:space="0"/>
              <w:left w:val="single" w:color="auto" w:sz="4" w:space="0"/>
              <w:bottom w:val="single" w:color="auto" w:sz="4" w:space="0"/>
              <w:right w:val="single" w:color="auto" w:sz="4" w:space="0"/>
            </w:tcBorders>
            <w:vAlign w:val="center"/>
          </w:tcPr>
          <w:p w14:paraId="3541223B">
            <w:pPr>
              <w:snapToGrid w:val="0"/>
              <w:jc w:val="center"/>
              <w:rPr>
                <w:rFonts w:ascii="仿宋" w:hAnsi="仿宋" w:eastAsia="仿宋" w:cs="仿宋"/>
                <w:bCs/>
                <w:sz w:val="24"/>
              </w:rPr>
            </w:pPr>
            <w:r>
              <w:rPr>
                <w:rFonts w:hint="eastAsia" w:ascii="仿宋" w:hAnsi="仿宋" w:eastAsia="仿宋" w:cs="仿宋"/>
                <w:bCs/>
                <w:sz w:val="24"/>
              </w:rPr>
              <w:t>1</w:t>
            </w:r>
          </w:p>
        </w:tc>
        <w:tc>
          <w:tcPr>
            <w:tcW w:w="1034" w:type="dxa"/>
            <w:tcBorders>
              <w:top w:val="single" w:color="auto" w:sz="4" w:space="0"/>
              <w:left w:val="single" w:color="auto" w:sz="4" w:space="0"/>
              <w:bottom w:val="single" w:color="auto" w:sz="4" w:space="0"/>
              <w:right w:val="single" w:color="auto" w:sz="4" w:space="0"/>
            </w:tcBorders>
            <w:vAlign w:val="center"/>
          </w:tcPr>
          <w:p w14:paraId="7587602A">
            <w:pPr>
              <w:snapToGrid w:val="0"/>
              <w:jc w:val="center"/>
              <w:rPr>
                <w:rFonts w:ascii="仿宋" w:hAnsi="仿宋" w:eastAsia="仿宋" w:cs="仿宋"/>
                <w:bCs/>
                <w:sz w:val="24"/>
              </w:rPr>
            </w:pPr>
            <w:r>
              <w:rPr>
                <w:rFonts w:hint="eastAsia" w:ascii="仿宋" w:hAnsi="仿宋" w:eastAsia="仿宋" w:cs="仿宋"/>
                <w:bCs/>
                <w:sz w:val="24"/>
              </w:rPr>
              <w:t>项</w:t>
            </w:r>
          </w:p>
        </w:tc>
        <w:tc>
          <w:tcPr>
            <w:tcW w:w="2618" w:type="dxa"/>
            <w:tcBorders>
              <w:top w:val="single" w:color="auto" w:sz="4" w:space="0"/>
              <w:left w:val="single" w:color="auto" w:sz="4" w:space="0"/>
              <w:bottom w:val="single" w:color="auto" w:sz="4" w:space="0"/>
              <w:right w:val="single" w:color="auto" w:sz="4" w:space="0"/>
            </w:tcBorders>
            <w:vAlign w:val="center"/>
          </w:tcPr>
          <w:p w14:paraId="2F95E310">
            <w:pPr>
              <w:snapToGrid w:val="0"/>
              <w:jc w:val="center"/>
              <w:rPr>
                <w:rFonts w:ascii="仿宋" w:hAnsi="仿宋" w:eastAsia="仿宋" w:cs="仿宋"/>
                <w:bCs/>
                <w:sz w:val="24"/>
              </w:rPr>
            </w:pPr>
            <w:r>
              <w:rPr>
                <w:rFonts w:hint="eastAsia" w:ascii="仿宋" w:hAnsi="仿宋" w:eastAsia="仿宋" w:cs="仿宋"/>
                <w:bCs/>
                <w:sz w:val="24"/>
              </w:rPr>
              <w:t>120</w:t>
            </w:r>
          </w:p>
        </w:tc>
      </w:tr>
      <w:tr w14:paraId="300250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1" w:hRule="atLeast"/>
          <w:jc w:val="center"/>
        </w:trPr>
        <w:tc>
          <w:tcPr>
            <w:tcW w:w="595" w:type="dxa"/>
            <w:tcBorders>
              <w:top w:val="single" w:color="auto" w:sz="4" w:space="0"/>
              <w:left w:val="single" w:color="auto" w:sz="4" w:space="0"/>
              <w:bottom w:val="single" w:color="auto" w:sz="4" w:space="0"/>
              <w:right w:val="single" w:color="auto" w:sz="4" w:space="0"/>
            </w:tcBorders>
            <w:vAlign w:val="center"/>
          </w:tcPr>
          <w:p w14:paraId="23993B0B">
            <w:pPr>
              <w:snapToGrid w:val="0"/>
              <w:jc w:val="center"/>
              <w:rPr>
                <w:rFonts w:ascii="仿宋" w:hAnsi="仿宋" w:eastAsia="仿宋" w:cs="仿宋"/>
                <w:bCs/>
                <w:sz w:val="24"/>
              </w:rPr>
            </w:pPr>
            <w:r>
              <w:rPr>
                <w:rFonts w:hint="eastAsia" w:ascii="仿宋" w:hAnsi="仿宋" w:eastAsia="仿宋" w:cs="仿宋"/>
                <w:bCs/>
                <w:sz w:val="24"/>
              </w:rPr>
              <w:t>注</w:t>
            </w:r>
          </w:p>
        </w:tc>
        <w:tc>
          <w:tcPr>
            <w:tcW w:w="9259" w:type="dxa"/>
            <w:gridSpan w:val="4"/>
            <w:tcBorders>
              <w:top w:val="single" w:color="auto" w:sz="4" w:space="0"/>
              <w:left w:val="single" w:color="auto" w:sz="4" w:space="0"/>
              <w:bottom w:val="single" w:color="auto" w:sz="4" w:space="0"/>
              <w:right w:val="single" w:color="auto" w:sz="4" w:space="0"/>
            </w:tcBorders>
            <w:vAlign w:val="center"/>
          </w:tcPr>
          <w:p w14:paraId="2BDA0A16">
            <w:pPr>
              <w:snapToGrid w:val="0"/>
              <w:rPr>
                <w:rFonts w:ascii="仿宋" w:hAnsi="仿宋" w:eastAsia="仿宋" w:cs="仿宋"/>
                <w:sz w:val="24"/>
              </w:rPr>
            </w:pPr>
            <w:r>
              <w:rPr>
                <w:rFonts w:hint="eastAsia" w:ascii="仿宋" w:hAnsi="仿宋" w:eastAsia="仿宋" w:cs="仿宋"/>
                <w:sz w:val="24"/>
              </w:rPr>
              <w:t>磋商报价超预算金额为无效报价。</w:t>
            </w:r>
          </w:p>
        </w:tc>
      </w:tr>
    </w:tbl>
    <w:p w14:paraId="50BA2726">
      <w:pPr>
        <w:widowControl/>
        <w:spacing w:before="75" w:after="75" w:line="360" w:lineRule="auto"/>
        <w:jc w:val="left"/>
        <w:rPr>
          <w:rFonts w:ascii="仿宋" w:hAnsi="仿宋" w:eastAsia="仿宋" w:cs="仿宋"/>
          <w:kern w:val="0"/>
          <w:sz w:val="24"/>
        </w:rPr>
      </w:pPr>
      <w:r>
        <w:rPr>
          <w:rFonts w:hint="eastAsia" w:ascii="仿宋" w:hAnsi="仿宋" w:eastAsia="仿宋" w:cs="仿宋"/>
          <w:b/>
          <w:bCs/>
          <w:kern w:val="0"/>
          <w:sz w:val="24"/>
        </w:rPr>
        <w:t>四．磋商供应商资格要求</w:t>
      </w:r>
      <w:r>
        <w:rPr>
          <w:rFonts w:hint="eastAsia" w:ascii="仿宋" w:hAnsi="仿宋" w:eastAsia="仿宋" w:cs="仿宋"/>
          <w:kern w:val="0"/>
          <w:sz w:val="24"/>
        </w:rPr>
        <w:t>：</w:t>
      </w:r>
    </w:p>
    <w:p w14:paraId="0FAD4808">
      <w:pPr>
        <w:widowControl/>
        <w:spacing w:before="75" w:after="75"/>
        <w:ind w:left="479" w:leftChars="114" w:hanging="240" w:hangingChars="100"/>
        <w:jc w:val="left"/>
        <w:rPr>
          <w:rFonts w:ascii="仿宋" w:hAnsi="仿宋" w:eastAsia="仿宋" w:cs="仿宋"/>
          <w:kern w:val="0"/>
          <w:sz w:val="24"/>
        </w:rPr>
      </w:pPr>
      <w:r>
        <w:rPr>
          <w:rFonts w:hint="eastAsia" w:ascii="仿宋" w:hAnsi="仿宋" w:eastAsia="仿宋" w:cs="仿宋"/>
          <w:kern w:val="0"/>
          <w:sz w:val="24"/>
        </w:rPr>
        <w:t>1、符合《政府采购法》第二十二条规定：具有独立承担民事责任的能力；具有良好的商业信誉和健全的财务会计制度；具有履行合同所必需的设备和专业技术能力；有依法缴纳税收和社会保障资金的良好记录；近三年内在经营活动中无重大违法记录；</w:t>
      </w:r>
    </w:p>
    <w:p w14:paraId="1A60FD5D">
      <w:pPr>
        <w:widowControl/>
        <w:spacing w:before="75" w:after="75"/>
        <w:ind w:left="479" w:leftChars="114" w:hanging="240" w:hangingChars="100"/>
        <w:jc w:val="left"/>
        <w:rPr>
          <w:rFonts w:ascii="仿宋" w:hAnsi="仿宋" w:eastAsia="仿宋" w:cs="仿宋"/>
          <w:kern w:val="0"/>
          <w:sz w:val="24"/>
        </w:rPr>
      </w:pPr>
      <w:r>
        <w:rPr>
          <w:rFonts w:hint="eastAsia" w:ascii="仿宋" w:hAnsi="仿宋" w:eastAsia="仿宋" w:cs="仿宋"/>
          <w:kern w:val="0"/>
          <w:sz w:val="24"/>
        </w:rPr>
        <w:t>2、至本项目投标响应截止时间前，供应商未列入失信被执行人、重大税收违法案件当事人名单、政府采购严重违法失信行为记录名单的（以“信用中国”网站www.creditchina.gov.cn、“中国政府采购网”www.ccgp.gov.cn）查询结果为准）；</w:t>
      </w:r>
    </w:p>
    <w:p w14:paraId="1F5A141A">
      <w:pPr>
        <w:widowControl/>
        <w:spacing w:before="75" w:after="75"/>
        <w:ind w:left="239" w:leftChars="114"/>
        <w:jc w:val="left"/>
        <w:rPr>
          <w:rFonts w:ascii="仿宋" w:hAnsi="仿宋" w:eastAsia="仿宋" w:cs="仿宋"/>
          <w:kern w:val="0"/>
          <w:sz w:val="24"/>
        </w:rPr>
      </w:pPr>
      <w:r>
        <w:rPr>
          <w:rFonts w:hint="eastAsia" w:ascii="仿宋" w:hAnsi="仿宋" w:eastAsia="仿宋" w:cs="仿宋"/>
          <w:kern w:val="0"/>
          <w:sz w:val="24"/>
        </w:rPr>
        <w:t>3、特定资格：供应商具备城乡规划编制乙级及以上资质</w:t>
      </w:r>
    </w:p>
    <w:p w14:paraId="106BDD96">
      <w:pPr>
        <w:widowControl/>
        <w:spacing w:before="75" w:after="75"/>
        <w:ind w:left="239" w:leftChars="114"/>
        <w:jc w:val="left"/>
        <w:rPr>
          <w:rFonts w:ascii="仿宋" w:hAnsi="仿宋" w:eastAsia="仿宋" w:cs="仿宋"/>
          <w:kern w:val="0"/>
          <w:sz w:val="24"/>
        </w:rPr>
      </w:pPr>
      <w:r>
        <w:rPr>
          <w:rFonts w:hint="eastAsia" w:ascii="仿宋" w:hAnsi="仿宋" w:eastAsia="仿宋" w:cs="仿宋"/>
          <w:kern w:val="0"/>
          <w:sz w:val="24"/>
        </w:rPr>
        <w:t>4、本项目不接受联合体投标，禁止转包或分包。</w:t>
      </w:r>
    </w:p>
    <w:p w14:paraId="1884CFAB">
      <w:pPr>
        <w:widowControl/>
        <w:spacing w:before="75" w:after="75" w:line="360" w:lineRule="auto"/>
        <w:jc w:val="left"/>
        <w:rPr>
          <w:rFonts w:ascii="仿宋" w:hAnsi="仿宋" w:eastAsia="仿宋" w:cs="仿宋"/>
          <w:b/>
          <w:bCs/>
          <w:kern w:val="0"/>
          <w:sz w:val="24"/>
        </w:rPr>
      </w:pPr>
      <w:r>
        <w:rPr>
          <w:rFonts w:hint="eastAsia" w:ascii="仿宋" w:hAnsi="仿宋" w:eastAsia="仿宋" w:cs="仿宋"/>
          <w:b/>
          <w:bCs/>
          <w:kern w:val="0"/>
          <w:sz w:val="24"/>
        </w:rPr>
        <w:t>五．报名及获取磋商文件时间：</w:t>
      </w:r>
    </w:p>
    <w:p w14:paraId="620A74DC">
      <w:pPr>
        <w:widowControl/>
        <w:spacing w:before="75" w:after="75" w:line="240" w:lineRule="atLeast"/>
        <w:ind w:firstLine="480" w:firstLineChars="200"/>
        <w:jc w:val="left"/>
        <w:rPr>
          <w:rFonts w:ascii="仿宋" w:hAnsi="仿宋" w:eastAsia="仿宋" w:cs="仿宋"/>
          <w:b/>
          <w:bCs/>
          <w:kern w:val="0"/>
          <w:sz w:val="24"/>
        </w:rPr>
      </w:pPr>
      <w:r>
        <w:rPr>
          <w:rFonts w:hint="eastAsia" w:ascii="仿宋" w:hAnsi="仿宋" w:eastAsia="仿宋" w:cs="仿宋"/>
          <w:kern w:val="0"/>
          <w:sz w:val="24"/>
        </w:rPr>
        <w:t>1、报名及获取磋商文件时间：</w:t>
      </w:r>
      <w:r>
        <w:rPr>
          <w:rFonts w:hint="eastAsia" w:ascii="仿宋" w:hAnsi="仿宋" w:eastAsia="仿宋" w:cs="仿宋"/>
          <w:b/>
          <w:bCs/>
          <w:kern w:val="0"/>
          <w:sz w:val="24"/>
          <w:lang w:eastAsia="zh-CN"/>
        </w:rPr>
        <w:t>2024年6月24日</w:t>
      </w:r>
    </w:p>
    <w:p w14:paraId="00B92005">
      <w:pPr>
        <w:widowControl/>
        <w:spacing w:before="75" w:after="75" w:line="240" w:lineRule="atLeast"/>
        <w:ind w:left="239" w:leftChars="114" w:firstLine="240" w:firstLineChars="100"/>
        <w:jc w:val="left"/>
        <w:rPr>
          <w:rFonts w:ascii="仿宋" w:hAnsi="仿宋" w:eastAsia="仿宋" w:cs="仿宋"/>
          <w:kern w:val="0"/>
          <w:sz w:val="24"/>
        </w:rPr>
      </w:pPr>
      <w:r>
        <w:rPr>
          <w:rFonts w:hint="eastAsia" w:ascii="仿宋" w:hAnsi="仿宋" w:eastAsia="仿宋" w:cs="仿宋"/>
          <w:kern w:val="0"/>
          <w:sz w:val="24"/>
        </w:rPr>
        <w:t>(潜在供应商报名及获取磋商文件前应当在政采云电子交易平台上注册账号并登录，截止时间后不再接受潜在供应商报名及获取磋商文件)。</w:t>
      </w:r>
    </w:p>
    <w:p w14:paraId="7A6D8FCF">
      <w:pPr>
        <w:widowControl/>
        <w:spacing w:before="75" w:after="75" w:line="240" w:lineRule="atLeast"/>
        <w:ind w:left="239" w:leftChars="114" w:firstLine="240" w:firstLineChars="100"/>
        <w:jc w:val="left"/>
        <w:rPr>
          <w:rFonts w:ascii="仿宋" w:hAnsi="仿宋" w:eastAsia="仿宋" w:cs="仿宋"/>
          <w:kern w:val="0"/>
          <w:sz w:val="24"/>
        </w:rPr>
      </w:pPr>
      <w:r>
        <w:rPr>
          <w:rFonts w:hint="eastAsia" w:ascii="仿宋" w:hAnsi="仿宋" w:eastAsia="仿宋" w:cs="仿宋"/>
          <w:kern w:val="0"/>
          <w:sz w:val="24"/>
        </w:rPr>
        <w:t>2、本次磋商文件实行网上获取，不接受供应商现场报名，供应商须登录浙江政府采购网（http://zfcg.czt.zj.gov.cn/）进入政采云系统“项目采购”模块“获取采购文件”菜单，进行网上获取磋商文件（“政采云”注册账号、密码登录系统后获取磋商文件）。</w:t>
      </w:r>
    </w:p>
    <w:p w14:paraId="7773AEDD">
      <w:pPr>
        <w:widowControl/>
        <w:spacing w:before="75" w:after="75" w:line="240" w:lineRule="atLeast"/>
        <w:ind w:firstLine="480" w:firstLineChars="200"/>
        <w:jc w:val="left"/>
        <w:rPr>
          <w:rFonts w:ascii="仿宋" w:hAnsi="仿宋" w:eastAsia="仿宋" w:cs="仿宋"/>
          <w:kern w:val="0"/>
          <w:sz w:val="24"/>
        </w:rPr>
      </w:pPr>
      <w:r>
        <w:rPr>
          <w:rFonts w:hint="eastAsia" w:ascii="仿宋" w:hAnsi="仿宋" w:eastAsia="仿宋" w:cs="仿宋"/>
          <w:kern w:val="0"/>
          <w:sz w:val="24"/>
        </w:rPr>
        <w:t>3、免费注册网址：浙江政府采购网（供应商注册页面）：https://middle.zcygov.cn/settle-front/#/registry“政采云”，咨询电话：95763。已经注册成功的供应商无需重复注册。</w:t>
      </w:r>
    </w:p>
    <w:p w14:paraId="283754ED">
      <w:pPr>
        <w:widowControl/>
        <w:spacing w:before="75" w:after="75" w:line="240" w:lineRule="atLeast"/>
        <w:jc w:val="left"/>
        <w:rPr>
          <w:rFonts w:ascii="仿宋" w:hAnsi="仿宋" w:eastAsia="仿宋" w:cs="仿宋"/>
          <w:b/>
          <w:bCs/>
          <w:kern w:val="0"/>
          <w:sz w:val="24"/>
        </w:rPr>
      </w:pPr>
      <w:r>
        <w:rPr>
          <w:rFonts w:hint="eastAsia" w:ascii="仿宋" w:hAnsi="仿宋" w:eastAsia="仿宋" w:cs="仿宋"/>
          <w:b/>
          <w:bCs/>
          <w:kern w:val="0"/>
          <w:sz w:val="24"/>
        </w:rPr>
        <w:t>六、响应文件的递交及相关事宜：</w:t>
      </w:r>
    </w:p>
    <w:p w14:paraId="03A51CC8">
      <w:pPr>
        <w:widowControl/>
        <w:spacing w:before="75" w:after="75" w:line="240" w:lineRule="atLeast"/>
        <w:ind w:firstLine="482" w:firstLineChars="200"/>
        <w:jc w:val="left"/>
        <w:rPr>
          <w:rFonts w:ascii="仿宋" w:hAnsi="仿宋" w:eastAsia="仿宋" w:cs="仿宋"/>
          <w:kern w:val="0"/>
          <w:sz w:val="24"/>
        </w:rPr>
      </w:pPr>
      <w:r>
        <w:rPr>
          <w:rFonts w:hint="eastAsia" w:ascii="仿宋" w:hAnsi="仿宋" w:eastAsia="仿宋" w:cs="仿宋"/>
          <w:b/>
          <w:bCs/>
          <w:kern w:val="0"/>
          <w:sz w:val="24"/>
        </w:rPr>
        <w:t>1、响应文件递交的截止时间（投标截止时间，下同）</w:t>
      </w:r>
      <w:r>
        <w:rPr>
          <w:rFonts w:hint="eastAsia" w:ascii="仿宋" w:hAnsi="仿宋" w:eastAsia="仿宋" w:cs="仿宋"/>
          <w:kern w:val="0"/>
          <w:sz w:val="24"/>
        </w:rPr>
        <w:t>：</w:t>
      </w:r>
      <w:r>
        <w:rPr>
          <w:rFonts w:hint="eastAsia" w:ascii="仿宋" w:hAnsi="仿宋" w:eastAsia="仿宋" w:cs="仿宋"/>
          <w:b/>
          <w:bCs/>
          <w:kern w:val="0"/>
          <w:sz w:val="24"/>
          <w:lang w:eastAsia="zh-CN"/>
        </w:rPr>
        <w:t>2024年7月9日 09:30</w:t>
      </w:r>
      <w:r>
        <w:rPr>
          <w:rFonts w:hint="eastAsia" w:ascii="仿宋" w:hAnsi="仿宋" w:eastAsia="仿宋" w:cs="仿宋"/>
          <w:kern w:val="0"/>
          <w:sz w:val="24"/>
        </w:rPr>
        <w:t>前。</w:t>
      </w:r>
    </w:p>
    <w:p w14:paraId="766EB7D4">
      <w:pPr>
        <w:widowControl/>
        <w:spacing w:before="75" w:after="75" w:line="240" w:lineRule="atLeast"/>
        <w:ind w:firstLine="482" w:firstLineChars="200"/>
        <w:jc w:val="left"/>
        <w:rPr>
          <w:rFonts w:ascii="仿宋" w:hAnsi="仿宋" w:eastAsia="仿宋" w:cs="仿宋"/>
          <w:kern w:val="0"/>
          <w:sz w:val="24"/>
        </w:rPr>
      </w:pPr>
      <w:r>
        <w:rPr>
          <w:rFonts w:hint="eastAsia" w:ascii="仿宋" w:hAnsi="仿宋" w:eastAsia="仿宋" w:cs="仿宋"/>
          <w:b/>
          <w:bCs/>
          <w:kern w:val="0"/>
          <w:sz w:val="24"/>
        </w:rPr>
        <w:t>2、响应文件的递交方式</w:t>
      </w:r>
      <w:r>
        <w:rPr>
          <w:rFonts w:hint="eastAsia" w:ascii="仿宋" w:hAnsi="仿宋" w:eastAsia="仿宋" w:cs="仿宋"/>
          <w:kern w:val="0"/>
          <w:sz w:val="24"/>
        </w:rPr>
        <w:t>：</w:t>
      </w:r>
    </w:p>
    <w:p w14:paraId="45BEA63B">
      <w:pPr>
        <w:widowControl/>
        <w:spacing w:before="75" w:after="75" w:line="240" w:lineRule="atLeast"/>
        <w:ind w:left="239" w:leftChars="114" w:firstLine="482" w:firstLineChars="200"/>
        <w:jc w:val="left"/>
        <w:rPr>
          <w:rFonts w:ascii="仿宋" w:hAnsi="仿宋" w:eastAsia="仿宋" w:cs="仿宋"/>
          <w:kern w:val="0"/>
          <w:sz w:val="24"/>
        </w:rPr>
      </w:pPr>
      <w:r>
        <w:rPr>
          <w:rFonts w:hint="eastAsia" w:ascii="仿宋" w:hAnsi="仿宋" w:eastAsia="仿宋" w:cs="仿宋"/>
          <w:b/>
          <w:bCs/>
          <w:kern w:val="0"/>
          <w:sz w:val="24"/>
        </w:rPr>
        <w:t>2.1电子响应文件：</w:t>
      </w:r>
      <w:r>
        <w:rPr>
          <w:rFonts w:hint="eastAsia" w:ascii="仿宋" w:hAnsi="仿宋" w:eastAsia="仿宋" w:cs="仿宋"/>
          <w:kern w:val="0"/>
          <w:sz w:val="24"/>
        </w:rPr>
        <w:t>按政采云平台项目采购-电子交易操作指南及本磋商文件要求制作、加密并递交。</w:t>
      </w:r>
      <w:r>
        <w:rPr>
          <w:rFonts w:hint="eastAsia" w:ascii="仿宋" w:hAnsi="仿宋" w:eastAsia="仿宋" w:cs="仿宋"/>
          <w:b/>
          <w:bCs/>
          <w:kern w:val="0"/>
          <w:sz w:val="24"/>
        </w:rPr>
        <w:t>供应商应于</w:t>
      </w:r>
      <w:r>
        <w:rPr>
          <w:rFonts w:hint="eastAsia" w:ascii="仿宋" w:hAnsi="仿宋" w:eastAsia="仿宋" w:cs="仿宋"/>
          <w:b/>
          <w:bCs/>
          <w:kern w:val="0"/>
          <w:sz w:val="24"/>
          <w:lang w:eastAsia="zh-CN"/>
        </w:rPr>
        <w:t>2024年7月9日 09:30</w:t>
      </w:r>
      <w:r>
        <w:rPr>
          <w:rFonts w:hint="eastAsia" w:ascii="仿宋" w:hAnsi="仿宋" w:eastAsia="仿宋" w:cs="仿宋"/>
          <w:kern w:val="0"/>
          <w:sz w:val="24"/>
        </w:rPr>
        <w:t>前（北京时间）前将制作、加密的电子版响应文件上传到政采云系统中（未准时上传的视为放弃磋商资格，作无效标处理）；</w:t>
      </w:r>
    </w:p>
    <w:p w14:paraId="0F8F6B85">
      <w:pPr>
        <w:widowControl/>
        <w:spacing w:before="75" w:after="75" w:line="240" w:lineRule="atLeast"/>
        <w:ind w:left="239" w:leftChars="114" w:firstLine="482" w:firstLineChars="200"/>
        <w:jc w:val="left"/>
        <w:rPr>
          <w:rFonts w:ascii="仿宋" w:hAnsi="仿宋" w:eastAsia="仿宋" w:cs="仿宋"/>
          <w:kern w:val="0"/>
          <w:sz w:val="24"/>
        </w:rPr>
      </w:pPr>
      <w:r>
        <w:rPr>
          <w:rFonts w:hint="eastAsia" w:ascii="仿宋" w:hAnsi="仿宋" w:eastAsia="仿宋" w:cs="仿宋"/>
          <w:b/>
          <w:bCs/>
          <w:kern w:val="0"/>
          <w:sz w:val="24"/>
        </w:rPr>
        <w:t>2.2数据电子备份响应文件（U盘）</w:t>
      </w:r>
      <w:r>
        <w:rPr>
          <w:rFonts w:hint="eastAsia" w:ascii="仿宋" w:hAnsi="仿宋" w:eastAsia="仿宋" w:cs="仿宋"/>
          <w:kern w:val="0"/>
          <w:sz w:val="24"/>
        </w:rPr>
        <w:t>：以U盘形式提供的数据电子备份响应文件格式及内容须与政采云平台项目采购-电子交易操作指南中制作、加密并递交的电子响应文件格式及内容一致。递交方式：本项目原则上采用不见面的形式开标，投标供应商可以邮寄形式在投标截止时间前递交以介质（U 盘）存储的数据电文形式的“备份投标文件”，供应商应对提供的数据电子备份投标文件（U 盘）进行加密处理，若需要启用数据电子备份投标文件（U 盘）时，再由供应商告知采购人及采购代理机构加密信息进行解密。“备份投标文件”应当密封包装并在包装上标注投标项目名称、投标单位名称、联系电话并加盖公章。</w:t>
      </w:r>
      <w:r>
        <w:rPr>
          <w:rFonts w:hint="eastAsia" w:ascii="仿宋" w:hAnsi="仿宋" w:eastAsia="仿宋" w:cs="仿宋"/>
          <w:b/>
          <w:bCs/>
          <w:kern w:val="0"/>
          <w:sz w:val="24"/>
        </w:rPr>
        <w:t>（原则上邮寄公司统一采用顺丰）邮寄地址为：永信恒昌工程管理有限公司（浙江省湖州市吴兴区红旗路384号凯欣名座3楼301室），联系人：小张，联系电话：13905723261，电子邮箱：</w:t>
      </w:r>
      <w:r>
        <w:fldChar w:fldCharType="begin"/>
      </w:r>
      <w:r>
        <w:instrText xml:space="preserve"> HYPERLINK "mailto:huayaohz@163.com" \h </w:instrText>
      </w:r>
      <w:r>
        <w:fldChar w:fldCharType="separate"/>
      </w:r>
      <w:r>
        <w:rPr>
          <w:rFonts w:hint="eastAsia" w:ascii="仿宋" w:hAnsi="仿宋" w:eastAsia="仿宋" w:cs="仿宋"/>
          <w:b/>
          <w:bCs/>
          <w:kern w:val="0"/>
          <w:sz w:val="24"/>
          <w:u w:val="single"/>
        </w:rPr>
        <w:t>867464832@qq.com</w:t>
      </w:r>
      <w:r>
        <w:rPr>
          <w:rFonts w:hint="eastAsia" w:ascii="仿宋" w:hAnsi="仿宋" w:eastAsia="仿宋" w:cs="仿宋"/>
          <w:b/>
          <w:bCs/>
          <w:kern w:val="0"/>
          <w:sz w:val="24"/>
          <w:u w:val="single"/>
        </w:rPr>
        <w:fldChar w:fldCharType="end"/>
      </w:r>
      <w:r>
        <w:rPr>
          <w:rFonts w:hint="eastAsia" w:ascii="仿宋" w:hAnsi="仿宋" w:eastAsia="仿宋" w:cs="仿宋"/>
          <w:b/>
          <w:bCs/>
          <w:kern w:val="0"/>
          <w:sz w:val="24"/>
        </w:rPr>
        <w:t>。供应商应于</w:t>
      </w:r>
      <w:r>
        <w:rPr>
          <w:rFonts w:hint="eastAsia" w:ascii="仿宋" w:hAnsi="仿宋" w:eastAsia="仿宋" w:cs="仿宋"/>
          <w:b/>
          <w:bCs/>
          <w:kern w:val="0"/>
          <w:sz w:val="24"/>
          <w:lang w:eastAsia="zh-CN"/>
        </w:rPr>
        <w:t>2024年</w:t>
      </w:r>
      <w:r>
        <w:rPr>
          <w:rFonts w:hint="eastAsia" w:ascii="仿宋" w:hAnsi="仿宋" w:eastAsia="仿宋" w:cs="仿宋"/>
          <w:b/>
          <w:bCs/>
          <w:kern w:val="0"/>
          <w:sz w:val="24"/>
          <w:lang w:val="en-US" w:eastAsia="zh-CN"/>
        </w:rPr>
        <w:t>7</w:t>
      </w:r>
      <w:r>
        <w:rPr>
          <w:rFonts w:hint="eastAsia" w:ascii="仿宋" w:hAnsi="仿宋" w:eastAsia="仿宋" w:cs="仿宋"/>
          <w:b/>
          <w:bCs/>
          <w:kern w:val="0"/>
          <w:sz w:val="24"/>
          <w:lang w:eastAsia="zh-CN"/>
        </w:rPr>
        <w:t>月</w:t>
      </w:r>
      <w:r>
        <w:rPr>
          <w:rFonts w:hint="eastAsia" w:ascii="仿宋" w:hAnsi="仿宋" w:eastAsia="仿宋" w:cs="仿宋"/>
          <w:b/>
          <w:bCs/>
          <w:kern w:val="0"/>
          <w:sz w:val="24"/>
          <w:lang w:val="en-US" w:eastAsia="zh-CN"/>
        </w:rPr>
        <w:t>8</w:t>
      </w:r>
      <w:bookmarkStart w:id="230" w:name="_GoBack"/>
      <w:bookmarkEnd w:id="230"/>
      <w:r>
        <w:rPr>
          <w:rFonts w:hint="eastAsia" w:ascii="仿宋" w:hAnsi="仿宋" w:eastAsia="仿宋" w:cs="仿宋"/>
          <w:b/>
          <w:bCs/>
          <w:kern w:val="0"/>
          <w:sz w:val="24"/>
        </w:rPr>
        <w:t>日 下午17:00 时前准时送达，拒绝到付。</w:t>
      </w:r>
      <w:r>
        <w:rPr>
          <w:rFonts w:hint="eastAsia" w:ascii="仿宋" w:hAnsi="仿宋" w:eastAsia="仿宋" w:cs="仿宋"/>
          <w:kern w:val="0"/>
          <w:sz w:val="24"/>
        </w:rPr>
        <w:t>（以收件人实际签收时间为准，收件人签收后将予以回执，回执单采用图片形式发送给供应商确认，该回执单仅作为供应商邮寄的包裹送达时间的依据），</w:t>
      </w:r>
      <w:r>
        <w:rPr>
          <w:rFonts w:hint="eastAsia" w:ascii="仿宋" w:hAnsi="仿宋" w:eastAsia="仿宋" w:cs="仿宋"/>
          <w:b/>
          <w:bCs/>
          <w:kern w:val="0"/>
          <w:sz w:val="24"/>
        </w:rPr>
        <w:t>逾期送达的将拒绝接收。</w:t>
      </w:r>
    </w:p>
    <w:p w14:paraId="535DC98F">
      <w:pPr>
        <w:widowControl/>
        <w:spacing w:before="75" w:after="75" w:line="240" w:lineRule="atLeast"/>
        <w:ind w:left="239" w:leftChars="114" w:firstLine="480" w:firstLineChars="200"/>
        <w:jc w:val="left"/>
        <w:rPr>
          <w:rFonts w:ascii="仿宋" w:hAnsi="仿宋" w:eastAsia="仿宋" w:cs="仿宋"/>
          <w:kern w:val="0"/>
          <w:sz w:val="24"/>
        </w:rPr>
      </w:pPr>
      <w:r>
        <w:rPr>
          <w:rFonts w:hint="eastAsia" w:ascii="仿宋" w:hAnsi="仿宋" w:eastAsia="仿宋" w:cs="仿宋"/>
          <w:kern w:val="0"/>
          <w:sz w:val="24"/>
        </w:rPr>
        <w:t>注：1）供应商应权衡利弊考虑是否提供数据电子备份响应文件（U盘），采购人及采购代理机构不做强制性要求，若因下一条款（第3条）原因须启用数据电子备份响应文件（U盘）时，而供应商未提供的，视为放弃磋商资格，作无效标处理；2）供应商应对提供的数据电子备份响应文件（U盘）进行加密处理，若需要启用数据电子备份响应文件（U盘）时，再由供应商告知采购人及采购代理机构加密信息进行解密；3）若供应商未提供数据电子备份响应文件（U盘），招标公告及招标文件中关于数据电子备份响应文件（U盘）的要求及内容不再适用。</w:t>
      </w:r>
    </w:p>
    <w:p w14:paraId="52B6151E">
      <w:pPr>
        <w:widowControl/>
        <w:spacing w:before="75" w:after="75" w:line="240" w:lineRule="atLeast"/>
        <w:ind w:left="239" w:leftChars="114" w:firstLine="480" w:firstLineChars="200"/>
        <w:jc w:val="left"/>
        <w:rPr>
          <w:rFonts w:ascii="仿宋" w:hAnsi="仿宋" w:eastAsia="仿宋" w:cs="仿宋"/>
          <w:kern w:val="0"/>
          <w:sz w:val="24"/>
        </w:rPr>
      </w:pPr>
      <w:r>
        <w:rPr>
          <w:rFonts w:hint="eastAsia" w:ascii="仿宋" w:hAnsi="仿宋" w:eastAsia="仿宋" w:cs="仿宋"/>
          <w:kern w:val="0"/>
          <w:sz w:val="24"/>
        </w:rPr>
        <w:t>3、CA锁解密时间为开标当日磋商截止时间后，各供应商须提供符合要求的CA加密后的电子响应文件、有效的CA锁供开标现场解密，磋商截止时间止未完成上传的电子响应文件或未按磋商文件要求密封、包装的数据电子备份响应文件（U盘）将拒绝接收，作无效标处理。整个磋商过程中若因供应商问题造成电子响应文件无法正常解密的，均认定为未提交电子响应文件，作无效标处理。若因网络或者其他非供应商问题造成电子响应文件无法正常解密的，启用数据电子备份响应文件（U盘），因供应商自身原因造成数据电子备份响应文件（U盘）无法打开的，作无效标处理。若正常解密成功，则数据电子备份响应文件（U盘）不予开启。在下一顺位的响应文件启用时，前一顺位的响应文件自动失效。</w:t>
      </w:r>
    </w:p>
    <w:p w14:paraId="49DAF7CB">
      <w:pPr>
        <w:widowControl/>
        <w:spacing w:before="75" w:after="75" w:line="240" w:lineRule="atLeast"/>
        <w:ind w:left="239" w:leftChars="114" w:firstLine="480" w:firstLineChars="200"/>
        <w:jc w:val="left"/>
        <w:rPr>
          <w:rFonts w:ascii="仿宋" w:hAnsi="仿宋" w:eastAsia="仿宋" w:cs="仿宋"/>
          <w:kern w:val="0"/>
          <w:sz w:val="24"/>
        </w:rPr>
      </w:pPr>
      <w:r>
        <w:rPr>
          <w:rFonts w:hint="eastAsia" w:ascii="仿宋" w:hAnsi="仿宋" w:eastAsia="仿宋" w:cs="仿宋"/>
          <w:kern w:val="0"/>
          <w:sz w:val="24"/>
        </w:rPr>
        <w:t>4、供应商须在线获取CA数字证书（完成CA数字证书办理预计一周左右，建议各供应商自行把握时间，办理流程详见http://www.zjzfcg.gov.cn/bidClientTemplate/2019-05-27/12945.html），并登陆“浙江政府采购网”（http://zfcg.czt.zj.gov.cn/），进入“下载专区”下载“电子交易客户端”，制作响应文件。</w:t>
      </w:r>
    </w:p>
    <w:p w14:paraId="70EB808B">
      <w:pPr>
        <w:widowControl/>
        <w:spacing w:before="75" w:after="75" w:line="240" w:lineRule="atLeast"/>
        <w:ind w:left="239" w:leftChars="114" w:firstLine="480" w:firstLineChars="200"/>
        <w:jc w:val="left"/>
        <w:rPr>
          <w:rFonts w:ascii="仿宋" w:hAnsi="仿宋" w:eastAsia="仿宋" w:cs="仿宋"/>
          <w:kern w:val="0"/>
          <w:sz w:val="24"/>
        </w:rPr>
      </w:pPr>
      <w:r>
        <w:rPr>
          <w:rFonts w:hint="eastAsia" w:ascii="仿宋" w:hAnsi="仿宋" w:eastAsia="仿宋" w:cs="仿宋"/>
          <w:kern w:val="0"/>
          <w:sz w:val="24"/>
        </w:rPr>
        <w:t>5、供应商须将制作、加密后的电子版响应文件于磋商截止时间前上传到政采云系统中，超过磋商截止时间上传的，均按无效标处理。</w:t>
      </w:r>
    </w:p>
    <w:p w14:paraId="06B575CD">
      <w:pPr>
        <w:widowControl/>
        <w:spacing w:before="75" w:after="75" w:line="240" w:lineRule="atLeast"/>
        <w:ind w:left="239" w:leftChars="114" w:firstLine="480" w:firstLineChars="200"/>
        <w:jc w:val="left"/>
        <w:rPr>
          <w:rFonts w:ascii="仿宋" w:hAnsi="仿宋" w:eastAsia="仿宋" w:cs="仿宋"/>
          <w:kern w:val="0"/>
          <w:sz w:val="24"/>
        </w:rPr>
      </w:pPr>
      <w:r>
        <w:rPr>
          <w:rFonts w:hint="eastAsia" w:ascii="仿宋" w:hAnsi="仿宋" w:eastAsia="仿宋" w:cs="仿宋"/>
          <w:kern w:val="0"/>
          <w:sz w:val="24"/>
        </w:rPr>
        <w:t>6、供应商通过政采云平台电子投标工具制作响应文件，电子投标工具请供应商自行前往浙江省政府采购网下载并安装，（下载网址：http://www.zjzfcg.gov.cn/bidClientTemplate/2019-09-24/12975.html），供应商电子交易操作指南详见网址：</w:t>
      </w:r>
      <w:r>
        <w:fldChar w:fldCharType="begin"/>
      </w:r>
      <w:r>
        <w:instrText xml:space="preserve"> HYPERLINK "https://help.zcygov.cn/web/site_2/2018/12-28/2573.html" </w:instrText>
      </w:r>
      <w:r>
        <w:fldChar w:fldCharType="separate"/>
      </w:r>
      <w:r>
        <w:rPr>
          <w:rFonts w:hint="eastAsia" w:ascii="仿宋" w:hAnsi="仿宋" w:eastAsia="仿宋" w:cs="仿宋"/>
          <w:kern w:val="0"/>
          <w:sz w:val="24"/>
        </w:rPr>
        <w:t>https://help.zcygov.cn/web/site_2/2018/12-28/2573.html</w:t>
      </w:r>
      <w:r>
        <w:rPr>
          <w:rFonts w:hint="eastAsia" w:ascii="仿宋" w:hAnsi="仿宋" w:eastAsia="仿宋" w:cs="仿宋"/>
          <w:kern w:val="0"/>
          <w:sz w:val="24"/>
        </w:rPr>
        <w:fldChar w:fldCharType="end"/>
      </w:r>
      <w:r>
        <w:rPr>
          <w:rFonts w:hint="eastAsia" w:ascii="仿宋" w:hAnsi="仿宋" w:eastAsia="仿宋" w:cs="仿宋"/>
          <w:kern w:val="0"/>
          <w:sz w:val="24"/>
        </w:rPr>
        <w:t>）。</w:t>
      </w:r>
    </w:p>
    <w:p w14:paraId="40D1EAE1">
      <w:pPr>
        <w:widowControl/>
        <w:spacing w:before="75" w:after="75" w:line="240" w:lineRule="atLeast"/>
        <w:ind w:left="239" w:leftChars="114" w:firstLine="480" w:firstLineChars="200"/>
        <w:jc w:val="left"/>
        <w:rPr>
          <w:rFonts w:ascii="仿宋" w:hAnsi="仿宋" w:eastAsia="仿宋" w:cs="仿宋"/>
          <w:kern w:val="0"/>
          <w:sz w:val="24"/>
        </w:rPr>
      </w:pPr>
      <w:r>
        <w:rPr>
          <w:rFonts w:hint="eastAsia" w:ascii="仿宋" w:hAnsi="仿宋" w:eastAsia="仿宋" w:cs="仿宋"/>
          <w:kern w:val="0"/>
          <w:sz w:val="24"/>
        </w:rPr>
        <w:t>7、按照“不见面、少接触”的原则，本项目采取“不见面”形式进行开评标活动,法定代表人或其授权代表无须到场，在线响应即可（通过指定的电子邮箱、传真等）。</w:t>
      </w:r>
    </w:p>
    <w:p w14:paraId="5A28E56A">
      <w:pPr>
        <w:widowControl/>
        <w:spacing w:before="75" w:after="75" w:line="240" w:lineRule="atLeast"/>
        <w:ind w:left="241" w:hanging="241" w:hangingChars="100"/>
        <w:jc w:val="left"/>
        <w:rPr>
          <w:rFonts w:ascii="仿宋" w:hAnsi="仿宋" w:eastAsia="仿宋" w:cs="仿宋"/>
          <w:kern w:val="0"/>
          <w:sz w:val="24"/>
        </w:rPr>
      </w:pPr>
      <w:r>
        <w:rPr>
          <w:rFonts w:hint="eastAsia" w:ascii="仿宋" w:hAnsi="仿宋" w:eastAsia="仿宋" w:cs="仿宋"/>
          <w:b/>
          <w:bCs/>
          <w:kern w:val="0"/>
          <w:sz w:val="24"/>
        </w:rPr>
        <w:t>七、响应文件提交地点</w:t>
      </w:r>
      <w:r>
        <w:rPr>
          <w:rFonts w:hint="eastAsia" w:ascii="仿宋" w:hAnsi="仿宋" w:eastAsia="仿宋" w:cs="仿宋"/>
          <w:kern w:val="0"/>
          <w:sz w:val="24"/>
        </w:rPr>
        <w:t>：湖州市公共资源交易中心2号楼二楼开标室（湖州市仁皇山片区金盖山路66号2号楼，届时详见二楼休息区电子显示屏）。</w:t>
      </w:r>
    </w:p>
    <w:p w14:paraId="27FC57E1">
      <w:pPr>
        <w:widowControl/>
        <w:spacing w:before="75" w:after="75" w:line="240" w:lineRule="atLeast"/>
        <w:jc w:val="left"/>
        <w:rPr>
          <w:rFonts w:ascii="仿宋" w:hAnsi="仿宋" w:eastAsia="仿宋" w:cs="仿宋"/>
          <w:kern w:val="0"/>
          <w:sz w:val="24"/>
        </w:rPr>
      </w:pPr>
      <w:r>
        <w:rPr>
          <w:rFonts w:hint="eastAsia" w:ascii="仿宋" w:hAnsi="仿宋" w:eastAsia="仿宋" w:cs="仿宋"/>
          <w:b/>
          <w:bCs/>
          <w:kern w:val="0"/>
          <w:sz w:val="24"/>
        </w:rPr>
        <w:t>八、磋商时间：</w:t>
      </w:r>
      <w:r>
        <w:rPr>
          <w:rFonts w:hint="eastAsia" w:ascii="仿宋" w:hAnsi="仿宋" w:eastAsia="仿宋" w:cs="仿宋"/>
          <w:b/>
          <w:bCs/>
          <w:kern w:val="0"/>
          <w:sz w:val="24"/>
          <w:lang w:eastAsia="zh-CN"/>
        </w:rPr>
        <w:t>2024年7月9日 09:30</w:t>
      </w:r>
      <w:r>
        <w:rPr>
          <w:rFonts w:hint="eastAsia" w:ascii="仿宋" w:hAnsi="仿宋" w:eastAsia="仿宋" w:cs="仿宋"/>
          <w:b/>
          <w:bCs/>
          <w:kern w:val="0"/>
          <w:sz w:val="24"/>
        </w:rPr>
        <w:t>整</w:t>
      </w:r>
    </w:p>
    <w:p w14:paraId="07F2C057">
      <w:pPr>
        <w:widowControl/>
        <w:spacing w:before="75" w:after="75" w:line="240" w:lineRule="atLeast"/>
        <w:ind w:left="241" w:hanging="241" w:hangingChars="100"/>
        <w:jc w:val="left"/>
        <w:rPr>
          <w:rFonts w:ascii="仿宋" w:hAnsi="仿宋" w:eastAsia="仿宋" w:cs="仿宋"/>
          <w:color w:val="000000"/>
          <w:kern w:val="0"/>
          <w:sz w:val="24"/>
        </w:rPr>
      </w:pPr>
      <w:r>
        <w:rPr>
          <w:rFonts w:hint="eastAsia" w:ascii="仿宋" w:hAnsi="仿宋" w:eastAsia="仿宋" w:cs="仿宋"/>
          <w:b/>
          <w:bCs/>
          <w:kern w:val="0"/>
          <w:sz w:val="24"/>
        </w:rPr>
        <w:t>九、磋商地点：</w:t>
      </w:r>
      <w:r>
        <w:rPr>
          <w:rFonts w:hint="eastAsia" w:ascii="仿宋" w:hAnsi="仿宋" w:eastAsia="仿宋" w:cs="仿宋"/>
          <w:kern w:val="0"/>
          <w:sz w:val="24"/>
        </w:rPr>
        <w:t>湖州市公共资源交易中心2号楼二楼开标室（湖州市仁皇山片区金盖山路66号2号楼，届时详见二楼休息区电子显示屏）。未按时上传电子响应文件的</w:t>
      </w:r>
      <w:r>
        <w:rPr>
          <w:rFonts w:hint="eastAsia" w:ascii="仿宋" w:hAnsi="仿宋" w:eastAsia="仿宋" w:cs="仿宋"/>
          <w:sz w:val="24"/>
        </w:rPr>
        <w:t>将拒绝接收，作无效标处理。</w:t>
      </w:r>
    </w:p>
    <w:p w14:paraId="4E39550A">
      <w:pPr>
        <w:snapToGrid w:val="0"/>
        <w:spacing w:line="500" w:lineRule="exact"/>
        <w:rPr>
          <w:rFonts w:ascii="仿宋" w:hAnsi="仿宋" w:eastAsia="仿宋" w:cs="仿宋"/>
          <w:color w:val="000000"/>
          <w:kern w:val="0"/>
          <w:sz w:val="24"/>
        </w:rPr>
      </w:pPr>
      <w:r>
        <w:rPr>
          <w:rFonts w:hint="eastAsia" w:ascii="仿宋" w:hAnsi="仿宋" w:eastAsia="仿宋" w:cs="仿宋"/>
          <w:b/>
          <w:bCs/>
          <w:color w:val="000000"/>
          <w:kern w:val="0"/>
          <w:sz w:val="24"/>
        </w:rPr>
        <w:t>十、公告期限：</w:t>
      </w:r>
      <w:r>
        <w:rPr>
          <w:rFonts w:hint="eastAsia" w:ascii="仿宋" w:hAnsi="仿宋" w:eastAsia="仿宋" w:cs="仿宋"/>
          <w:bCs/>
          <w:color w:val="000000"/>
          <w:kern w:val="0"/>
          <w:sz w:val="24"/>
        </w:rPr>
        <w:t>5个工作日</w:t>
      </w:r>
    </w:p>
    <w:p w14:paraId="37D55703">
      <w:pPr>
        <w:widowControl/>
        <w:spacing w:before="75" w:after="75" w:line="240" w:lineRule="atLeast"/>
        <w:jc w:val="left"/>
        <w:rPr>
          <w:rFonts w:ascii="仿宋" w:hAnsi="仿宋" w:eastAsia="仿宋" w:cs="仿宋"/>
          <w:b/>
          <w:bCs/>
          <w:kern w:val="0"/>
          <w:sz w:val="24"/>
        </w:rPr>
      </w:pPr>
      <w:r>
        <w:rPr>
          <w:rFonts w:hint="eastAsia" w:ascii="仿宋" w:hAnsi="仿宋" w:eastAsia="仿宋" w:cs="仿宋"/>
          <w:b/>
          <w:bCs/>
          <w:kern w:val="0"/>
          <w:sz w:val="24"/>
        </w:rPr>
        <w:t>十一、其他事项：</w:t>
      </w:r>
    </w:p>
    <w:p w14:paraId="5A54E529">
      <w:pPr>
        <w:widowControl/>
        <w:spacing w:before="75" w:after="75" w:line="240" w:lineRule="atLeast"/>
        <w:ind w:left="239" w:leftChars="114" w:firstLine="480" w:firstLineChars="200"/>
        <w:jc w:val="left"/>
        <w:rPr>
          <w:rFonts w:ascii="仿宋" w:hAnsi="仿宋" w:eastAsia="仿宋" w:cs="仿宋"/>
          <w:kern w:val="0"/>
          <w:sz w:val="24"/>
        </w:rPr>
      </w:pPr>
      <w:r>
        <w:rPr>
          <w:rFonts w:hint="eastAsia" w:ascii="仿宋" w:hAnsi="仿宋" w:eastAsia="仿宋" w:cs="仿宋"/>
          <w:kern w:val="0"/>
          <w:sz w:val="24"/>
        </w:rPr>
        <w:t>1、本项目为电子招投标项目，实行网上招投标，应按照本磋商文件及政采云平台的要求编制、加密并要求供应商通过政采云系统在线投标响应，磋商截止时间前须完成电子响应文件的上传，同时供应商须随身携带制作在线投标响应文件时所用的CA锁，供应商在使用系统进行投标的过程中遇到涉及平台使用的任何问题，可致电政采云平台</w:t>
      </w:r>
      <w:r>
        <w:rPr>
          <w:rFonts w:hint="eastAsia" w:ascii="仿宋" w:hAnsi="仿宋" w:eastAsia="仿宋" w:cs="仿宋"/>
          <w:b/>
          <w:bCs/>
          <w:kern w:val="0"/>
          <w:sz w:val="24"/>
        </w:rPr>
        <w:t>技术支持热线咨询，联系方式：95763</w:t>
      </w:r>
      <w:r>
        <w:rPr>
          <w:rFonts w:hint="eastAsia" w:ascii="仿宋" w:hAnsi="仿宋" w:eastAsia="仿宋" w:cs="仿宋"/>
          <w:kern w:val="0"/>
          <w:sz w:val="24"/>
        </w:rPr>
        <w:t>。其中数据电子备份响应文件（U盘）在磋商截止时间前于开标现场以密封、包装的形式提供。</w:t>
      </w:r>
    </w:p>
    <w:p w14:paraId="3690201B">
      <w:pPr>
        <w:widowControl/>
        <w:spacing w:before="75" w:after="75" w:line="240" w:lineRule="atLeast"/>
        <w:ind w:left="239" w:leftChars="114" w:firstLine="480" w:firstLineChars="200"/>
        <w:jc w:val="left"/>
        <w:rPr>
          <w:rFonts w:ascii="仿宋" w:hAnsi="仿宋" w:eastAsia="仿宋" w:cs="仿宋"/>
          <w:kern w:val="0"/>
          <w:sz w:val="24"/>
        </w:rPr>
      </w:pPr>
      <w:r>
        <w:rPr>
          <w:rFonts w:hint="eastAsia" w:ascii="仿宋" w:hAnsi="仿宋" w:eastAsia="仿宋" w:cs="仿宋"/>
          <w:kern w:val="0"/>
          <w:sz w:val="24"/>
        </w:rPr>
        <w:t>2、本项目公告期限为5个工作日，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E3B060F">
      <w:pPr>
        <w:widowControl/>
        <w:spacing w:before="75" w:after="75" w:line="240" w:lineRule="atLeast"/>
        <w:ind w:left="239" w:leftChars="114" w:firstLine="480" w:firstLineChars="200"/>
        <w:jc w:val="left"/>
        <w:rPr>
          <w:rFonts w:ascii="仿宋" w:hAnsi="仿宋" w:eastAsia="仿宋" w:cs="仿宋"/>
          <w:b/>
          <w:bCs/>
          <w:kern w:val="0"/>
          <w:sz w:val="24"/>
        </w:rPr>
      </w:pPr>
      <w:r>
        <w:rPr>
          <w:rFonts w:hint="eastAsia" w:ascii="仿宋" w:hAnsi="仿宋" w:eastAsia="仿宋" w:cs="仿宋"/>
          <w:kern w:val="0"/>
          <w:sz w:val="24"/>
        </w:rPr>
        <w:t>3、</w:t>
      </w:r>
      <w:r>
        <w:rPr>
          <w:rFonts w:hint="eastAsia" w:ascii="仿宋" w:hAnsi="仿宋" w:eastAsia="仿宋" w:cs="仿宋"/>
          <w:b/>
          <w:bCs/>
          <w:kern w:val="0"/>
          <w:sz w:val="24"/>
        </w:rPr>
        <w:t>供应商对磋商文件有异议的，质疑投诉根据《中华人民共和国财政部令第94号-政府采购质疑和投诉办法》规定,供应商须在法定质疑期内一次性提出针对同一采购程序环节的质疑。质疑函范本、投诉书范本请到浙江政府采购网下载专区下载。</w:t>
      </w:r>
    </w:p>
    <w:p w14:paraId="6016C293">
      <w:pPr>
        <w:widowControl/>
        <w:spacing w:before="75" w:after="75" w:line="240" w:lineRule="atLeast"/>
        <w:ind w:left="239" w:leftChars="114" w:firstLine="480" w:firstLineChars="200"/>
        <w:jc w:val="left"/>
        <w:rPr>
          <w:rFonts w:ascii="仿宋" w:hAnsi="仿宋" w:eastAsia="仿宋" w:cs="仿宋"/>
          <w:kern w:val="0"/>
          <w:sz w:val="24"/>
        </w:rPr>
      </w:pPr>
      <w:r>
        <w:rPr>
          <w:rFonts w:hint="eastAsia" w:ascii="仿宋" w:hAnsi="仿宋" w:eastAsia="仿宋" w:cs="仿宋"/>
          <w:kern w:val="0"/>
          <w:sz w:val="24"/>
        </w:rPr>
        <w:t>4、答疑内容是磋商文件的组成部分，并将在网上发布补充（答疑、澄清）文件，潜在供应商应自行关注网站公告，采购人不再一一通知，供应商因自身贻误行为导致投标失效的，责任自负。</w:t>
      </w:r>
    </w:p>
    <w:p w14:paraId="5394218C">
      <w:pPr>
        <w:widowControl/>
        <w:spacing w:before="75" w:after="75" w:line="240" w:lineRule="atLeast"/>
        <w:ind w:left="239" w:leftChars="114" w:firstLine="480" w:firstLineChars="200"/>
        <w:jc w:val="left"/>
        <w:rPr>
          <w:rFonts w:ascii="仿宋" w:hAnsi="仿宋" w:eastAsia="仿宋" w:cs="仿宋"/>
          <w:kern w:val="0"/>
          <w:sz w:val="24"/>
        </w:rPr>
      </w:pPr>
      <w:r>
        <w:rPr>
          <w:rFonts w:hint="eastAsia" w:ascii="仿宋" w:hAnsi="仿宋" w:eastAsia="仿宋" w:cs="仿宋"/>
          <w:kern w:val="0"/>
          <w:sz w:val="24"/>
        </w:rPr>
        <w:t>5、参与政府采购项目的注册供应商，需登录浙江政府采购云平（http://www.zcygov.cn）进行网上报名，尚未注册的供应商应当先在浙江政府采购云平台上申请注册，注册终审通过后再进行网上报名。</w:t>
      </w:r>
    </w:p>
    <w:p w14:paraId="56C63B3E">
      <w:pPr>
        <w:widowControl/>
        <w:spacing w:before="75" w:after="75" w:line="240" w:lineRule="atLeast"/>
        <w:ind w:left="239" w:leftChars="114" w:firstLine="480" w:firstLineChars="200"/>
        <w:jc w:val="left"/>
        <w:rPr>
          <w:rFonts w:ascii="仿宋" w:hAnsi="仿宋" w:eastAsia="仿宋" w:cs="仿宋"/>
          <w:kern w:val="0"/>
          <w:sz w:val="24"/>
        </w:rPr>
      </w:pPr>
      <w:r>
        <w:rPr>
          <w:rFonts w:hint="eastAsia" w:ascii="仿宋" w:hAnsi="仿宋" w:eastAsia="仿宋" w:cs="仿宋"/>
          <w:kern w:val="0"/>
          <w:sz w:val="24"/>
        </w:rPr>
        <w:t>6、为有效破解当前中小微企业面临的“融资难、融资贵”困局，充分发挥好政府采购扶持小微企业发展的政策功能，本项目中标供应商可凭中标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w:t>
      </w:r>
    </w:p>
    <w:p w14:paraId="3789D509">
      <w:pPr>
        <w:widowControl/>
        <w:spacing w:line="360" w:lineRule="auto"/>
        <w:ind w:right="60" w:firstLine="482" w:firstLineChars="200"/>
        <w:jc w:val="left"/>
        <w:rPr>
          <w:rFonts w:ascii="仿宋" w:hAnsi="仿宋" w:eastAsia="仿宋" w:cs="仿宋"/>
          <w:b/>
          <w:bCs/>
          <w:color w:val="000000"/>
          <w:sz w:val="24"/>
        </w:rPr>
      </w:pPr>
      <w:r>
        <w:rPr>
          <w:rFonts w:hint="eastAsia" w:ascii="仿宋" w:hAnsi="仿宋" w:eastAsia="仿宋" w:cs="仿宋"/>
          <w:b/>
          <w:bCs/>
          <w:color w:val="000000"/>
          <w:sz w:val="24"/>
        </w:rPr>
        <w:t>7、本项目是否专门面向中小企业采购：否。</w:t>
      </w:r>
    </w:p>
    <w:p w14:paraId="670B0212">
      <w:pPr>
        <w:widowControl/>
        <w:spacing w:line="360" w:lineRule="auto"/>
        <w:ind w:right="60" w:firstLine="482" w:firstLineChars="200"/>
        <w:jc w:val="left"/>
        <w:rPr>
          <w:rFonts w:ascii="仿宋" w:hAnsi="仿宋" w:eastAsia="仿宋" w:cs="仿宋"/>
          <w:b/>
          <w:bCs/>
          <w:color w:val="000000"/>
          <w:sz w:val="24"/>
        </w:rPr>
      </w:pPr>
      <w:r>
        <w:rPr>
          <w:rFonts w:hint="eastAsia" w:ascii="仿宋" w:hAnsi="仿宋" w:eastAsia="仿宋" w:cs="仿宋"/>
          <w:b/>
          <w:bCs/>
          <w:color w:val="000000"/>
          <w:sz w:val="24"/>
        </w:rPr>
        <w:t>8、本项目采购标的对应的中小企业划分标准所属行业为其他未列明行业。</w:t>
      </w:r>
    </w:p>
    <w:p w14:paraId="6324758B">
      <w:pPr>
        <w:widowControl/>
        <w:spacing w:before="75" w:after="75" w:line="240" w:lineRule="atLeast"/>
        <w:ind w:firstLine="482" w:firstLineChars="200"/>
        <w:jc w:val="left"/>
        <w:rPr>
          <w:rFonts w:ascii="仿宋" w:hAnsi="仿宋" w:eastAsia="仿宋" w:cs="仿宋"/>
          <w:kern w:val="0"/>
          <w:sz w:val="24"/>
        </w:rPr>
      </w:pPr>
      <w:r>
        <w:rPr>
          <w:rFonts w:hint="eastAsia" w:ascii="仿宋" w:hAnsi="仿宋" w:eastAsia="仿宋" w:cs="仿宋"/>
          <w:b/>
          <w:bCs/>
          <w:kern w:val="0"/>
          <w:sz w:val="24"/>
        </w:rPr>
        <w:t>9、本次磋商有关信息刊登在：</w:t>
      </w:r>
    </w:p>
    <w:p w14:paraId="765FAF18">
      <w:pPr>
        <w:widowControl/>
        <w:spacing w:before="75" w:after="75" w:line="240" w:lineRule="atLeast"/>
        <w:ind w:firstLine="720" w:firstLineChars="300"/>
        <w:jc w:val="left"/>
        <w:rPr>
          <w:rFonts w:ascii="仿宋" w:hAnsi="仿宋" w:eastAsia="仿宋" w:cs="仿宋"/>
          <w:kern w:val="0"/>
          <w:sz w:val="24"/>
        </w:rPr>
      </w:pPr>
      <w:r>
        <w:rPr>
          <w:rFonts w:hint="eastAsia" w:ascii="仿宋" w:hAnsi="仿宋" w:eastAsia="仿宋" w:cs="仿宋"/>
          <w:kern w:val="0"/>
          <w:sz w:val="24"/>
        </w:rPr>
        <w:t>9.1浙江政府采购网：http://zfcg.czt.zj.gov.cn/</w:t>
      </w:r>
    </w:p>
    <w:p w14:paraId="569A0933">
      <w:pPr>
        <w:widowControl/>
        <w:spacing w:before="75" w:after="75" w:line="240" w:lineRule="atLeast"/>
        <w:ind w:firstLine="720" w:firstLineChars="300"/>
        <w:jc w:val="left"/>
        <w:rPr>
          <w:rFonts w:ascii="仿宋" w:hAnsi="仿宋" w:eastAsia="仿宋" w:cs="仿宋"/>
          <w:kern w:val="0"/>
          <w:sz w:val="24"/>
        </w:rPr>
      </w:pPr>
      <w:r>
        <w:rPr>
          <w:rFonts w:hint="eastAsia" w:ascii="仿宋" w:hAnsi="仿宋" w:eastAsia="仿宋" w:cs="仿宋"/>
          <w:kern w:val="0"/>
          <w:sz w:val="24"/>
        </w:rPr>
        <w:t>9.2湖州市公共资源交易信息网：http://ggzy.huzhou.gov.cn/HZfront/-</w:t>
      </w:r>
    </w:p>
    <w:p w14:paraId="4798ABAE">
      <w:pPr>
        <w:widowControl/>
        <w:spacing w:before="75" w:after="75" w:line="240" w:lineRule="atLeast"/>
        <w:ind w:firstLine="482" w:firstLineChars="200"/>
        <w:jc w:val="left"/>
        <w:rPr>
          <w:rFonts w:ascii="仿宋" w:hAnsi="仿宋" w:eastAsia="仿宋" w:cs="仿宋"/>
          <w:b/>
          <w:bCs/>
          <w:kern w:val="0"/>
          <w:sz w:val="24"/>
        </w:rPr>
      </w:pPr>
      <w:r>
        <w:rPr>
          <w:rFonts w:hint="eastAsia" w:ascii="仿宋" w:hAnsi="仿宋" w:eastAsia="仿宋" w:cs="仿宋"/>
          <w:b/>
          <w:bCs/>
          <w:kern w:val="0"/>
          <w:sz w:val="24"/>
        </w:rPr>
        <w:t>10、本项目招标代理服务费为5810元，由采购人支付。</w:t>
      </w:r>
    </w:p>
    <w:p w14:paraId="1651EBF1">
      <w:pPr>
        <w:widowControl/>
        <w:spacing w:before="75" w:after="75" w:line="360" w:lineRule="auto"/>
        <w:jc w:val="left"/>
        <w:rPr>
          <w:rFonts w:ascii="仿宋" w:hAnsi="仿宋" w:eastAsia="仿宋" w:cs="仿宋"/>
          <w:kern w:val="0"/>
          <w:sz w:val="24"/>
        </w:rPr>
      </w:pPr>
      <w:r>
        <w:rPr>
          <w:rFonts w:hint="eastAsia" w:ascii="仿宋" w:hAnsi="仿宋" w:eastAsia="仿宋" w:cs="仿宋"/>
          <w:b/>
          <w:bCs/>
          <w:kern w:val="0"/>
          <w:sz w:val="24"/>
        </w:rPr>
        <w:t>十三. 联系方式</w:t>
      </w:r>
    </w:p>
    <w:p w14:paraId="5F6935C4">
      <w:pPr>
        <w:widowControl/>
        <w:spacing w:before="75" w:after="75"/>
        <w:ind w:firstLine="480" w:firstLineChars="200"/>
        <w:jc w:val="left"/>
        <w:rPr>
          <w:rFonts w:ascii="仿宋" w:hAnsi="仿宋" w:eastAsia="仿宋" w:cs="仿宋"/>
          <w:kern w:val="0"/>
          <w:sz w:val="24"/>
        </w:rPr>
      </w:pPr>
      <w:r>
        <w:rPr>
          <w:rFonts w:hint="eastAsia" w:ascii="仿宋" w:hAnsi="仿宋" w:eastAsia="仿宋" w:cs="仿宋"/>
          <w:kern w:val="0"/>
          <w:sz w:val="24"/>
        </w:rPr>
        <w:t>1.代理机构名称：永信恒昌工程管理有限公司</w:t>
      </w:r>
    </w:p>
    <w:p w14:paraId="2190271F">
      <w:pPr>
        <w:widowControl/>
        <w:spacing w:before="75" w:after="75"/>
        <w:ind w:firstLine="720" w:firstLineChars="300"/>
        <w:jc w:val="left"/>
        <w:rPr>
          <w:rFonts w:ascii="仿宋" w:hAnsi="仿宋" w:eastAsia="仿宋" w:cs="仿宋"/>
          <w:kern w:val="0"/>
          <w:sz w:val="24"/>
        </w:rPr>
      </w:pPr>
      <w:r>
        <w:rPr>
          <w:rFonts w:hint="eastAsia" w:ascii="仿宋" w:hAnsi="仿宋" w:eastAsia="仿宋" w:cs="仿宋"/>
          <w:kern w:val="0"/>
          <w:sz w:val="24"/>
        </w:rPr>
        <w:t>联系人：张  工           联系电话：</w:t>
      </w:r>
      <w:r>
        <w:rPr>
          <w:rFonts w:hint="eastAsia" w:ascii="仿宋" w:hAnsi="仿宋" w:eastAsia="仿宋" w:cs="仿宋"/>
          <w:sz w:val="24"/>
        </w:rPr>
        <w:t>0572-2505377</w:t>
      </w:r>
    </w:p>
    <w:p w14:paraId="23B43344">
      <w:pPr>
        <w:widowControl/>
        <w:spacing w:before="75" w:after="75"/>
        <w:ind w:firstLine="720" w:firstLineChars="300"/>
        <w:jc w:val="left"/>
        <w:rPr>
          <w:rFonts w:ascii="仿宋" w:hAnsi="仿宋" w:eastAsia="仿宋" w:cs="仿宋"/>
          <w:kern w:val="0"/>
          <w:sz w:val="24"/>
        </w:rPr>
      </w:pPr>
      <w:r>
        <w:rPr>
          <w:rFonts w:hint="eastAsia" w:ascii="仿宋" w:hAnsi="仿宋" w:eastAsia="仿宋" w:cs="仿宋"/>
          <w:kern w:val="0"/>
          <w:sz w:val="24"/>
        </w:rPr>
        <w:t>地  址：湖州市红旗路384号凯欣名座3楼301室</w:t>
      </w:r>
    </w:p>
    <w:p w14:paraId="2598F258">
      <w:pPr>
        <w:autoSpaceDE w:val="0"/>
        <w:autoSpaceDN w:val="0"/>
        <w:adjustRightInd w:val="0"/>
        <w:spacing w:line="400" w:lineRule="exact"/>
        <w:ind w:firstLine="480" w:firstLineChars="200"/>
        <w:jc w:val="left"/>
        <w:rPr>
          <w:rFonts w:ascii="仿宋" w:hAnsi="仿宋" w:eastAsia="仿宋" w:cs="仿宋"/>
          <w:kern w:val="0"/>
          <w:sz w:val="24"/>
        </w:rPr>
      </w:pPr>
      <w:r>
        <w:rPr>
          <w:rFonts w:hint="eastAsia" w:ascii="仿宋" w:hAnsi="仿宋" w:eastAsia="仿宋" w:cs="仿宋"/>
          <w:kern w:val="0"/>
          <w:sz w:val="24"/>
        </w:rPr>
        <w:t>2.采购人名称：湖州市南浔区双林镇人民政府</w:t>
      </w:r>
    </w:p>
    <w:p w14:paraId="646BE578">
      <w:pPr>
        <w:widowControl/>
        <w:spacing w:before="75" w:after="75"/>
        <w:ind w:firstLine="720" w:firstLineChars="300"/>
        <w:jc w:val="left"/>
        <w:rPr>
          <w:rFonts w:ascii="仿宋" w:hAnsi="仿宋" w:eastAsia="仿宋" w:cs="仿宋"/>
          <w:kern w:val="0"/>
          <w:sz w:val="24"/>
          <w:lang w:val="zh-CN"/>
        </w:rPr>
      </w:pPr>
      <w:r>
        <w:rPr>
          <w:rFonts w:hint="eastAsia" w:ascii="仿宋" w:hAnsi="仿宋" w:eastAsia="仿宋" w:cs="仿宋"/>
          <w:kern w:val="0"/>
          <w:sz w:val="24"/>
          <w:lang w:val="zh-CN"/>
        </w:rPr>
        <w:t>联系人：</w:t>
      </w:r>
      <w:r>
        <w:rPr>
          <w:rFonts w:hint="eastAsia" w:ascii="仿宋" w:hAnsi="仿宋" w:eastAsia="仿宋" w:cs="仿宋"/>
          <w:kern w:val="0"/>
          <w:sz w:val="24"/>
        </w:rPr>
        <w:t xml:space="preserve">顾先生           </w:t>
      </w:r>
      <w:r>
        <w:rPr>
          <w:rFonts w:hint="eastAsia" w:ascii="仿宋" w:hAnsi="仿宋" w:eastAsia="仿宋" w:cs="仿宋"/>
          <w:kern w:val="0"/>
          <w:sz w:val="24"/>
          <w:lang w:val="zh-CN"/>
        </w:rPr>
        <w:t>联系电话：13857283583</w:t>
      </w:r>
    </w:p>
    <w:p w14:paraId="7DF07D3D">
      <w:pPr>
        <w:widowControl/>
        <w:spacing w:before="75" w:after="75"/>
        <w:ind w:firstLine="720" w:firstLineChars="300"/>
        <w:jc w:val="left"/>
        <w:rPr>
          <w:rFonts w:ascii="仿宋" w:hAnsi="仿宋" w:eastAsia="仿宋" w:cs="仿宋"/>
          <w:kern w:val="0"/>
          <w:sz w:val="24"/>
        </w:rPr>
      </w:pPr>
      <w:r>
        <w:rPr>
          <w:rFonts w:hint="eastAsia" w:ascii="仿宋" w:hAnsi="仿宋" w:eastAsia="仿宋" w:cs="仿宋"/>
          <w:kern w:val="0"/>
          <w:sz w:val="24"/>
          <w:lang w:val="zh-CN"/>
        </w:rPr>
        <w:t>地</w:t>
      </w:r>
      <w:r>
        <w:rPr>
          <w:rFonts w:hint="eastAsia" w:ascii="仿宋" w:hAnsi="仿宋" w:eastAsia="仿宋" w:cs="仿宋"/>
          <w:kern w:val="0"/>
          <w:sz w:val="24"/>
        </w:rPr>
        <w:t xml:space="preserve">  </w:t>
      </w:r>
      <w:r>
        <w:rPr>
          <w:rFonts w:hint="eastAsia" w:ascii="仿宋" w:hAnsi="仿宋" w:eastAsia="仿宋" w:cs="仿宋"/>
          <w:kern w:val="0"/>
          <w:sz w:val="24"/>
          <w:lang w:val="zh-CN"/>
        </w:rPr>
        <w:t>址：</w:t>
      </w:r>
      <w:r>
        <w:rPr>
          <w:rFonts w:hint="eastAsia" w:ascii="仿宋" w:hAnsi="仿宋" w:eastAsia="仿宋" w:cs="仿宋"/>
          <w:kern w:val="0"/>
          <w:sz w:val="24"/>
        </w:rPr>
        <w:t>湖州市南浔区双林镇人民政府</w:t>
      </w:r>
    </w:p>
    <w:p w14:paraId="7426CDE1">
      <w:pPr>
        <w:autoSpaceDE w:val="0"/>
        <w:autoSpaceDN w:val="0"/>
        <w:adjustRightInd w:val="0"/>
        <w:spacing w:line="400" w:lineRule="exact"/>
        <w:ind w:firstLine="480" w:firstLineChars="200"/>
        <w:jc w:val="left"/>
        <w:rPr>
          <w:rFonts w:ascii="仿宋" w:hAnsi="仿宋" w:eastAsia="仿宋" w:cs="仿宋"/>
          <w:sz w:val="24"/>
          <w:lang w:val="zh-CN"/>
        </w:rPr>
      </w:pPr>
      <w:r>
        <w:rPr>
          <w:rFonts w:hint="eastAsia" w:ascii="仿宋" w:hAnsi="仿宋" w:eastAsia="仿宋" w:cs="仿宋"/>
          <w:kern w:val="0"/>
          <w:sz w:val="24"/>
        </w:rPr>
        <w:t>3.</w:t>
      </w:r>
      <w:r>
        <w:rPr>
          <w:rFonts w:hint="eastAsia" w:ascii="仿宋" w:hAnsi="仿宋" w:eastAsia="仿宋" w:cs="仿宋"/>
          <w:sz w:val="24"/>
          <w:lang w:val="zh-CN"/>
        </w:rPr>
        <w:t>政府采购监督管理部门名称：</w:t>
      </w:r>
      <w:r>
        <w:rPr>
          <w:rFonts w:hint="eastAsia" w:ascii="仿宋" w:hAnsi="仿宋" w:eastAsia="仿宋" w:cs="仿宋"/>
          <w:kern w:val="0"/>
          <w:sz w:val="24"/>
        </w:rPr>
        <w:t>湖州市南浔区财政局政府采购监管科</w:t>
      </w:r>
    </w:p>
    <w:p w14:paraId="1DD04994">
      <w:pPr>
        <w:autoSpaceDE w:val="0"/>
        <w:autoSpaceDN w:val="0"/>
        <w:adjustRightInd w:val="0"/>
        <w:spacing w:line="400" w:lineRule="exact"/>
        <w:ind w:firstLine="720" w:firstLineChars="300"/>
        <w:rPr>
          <w:rFonts w:ascii="仿宋" w:hAnsi="仿宋" w:eastAsia="仿宋" w:cs="仿宋"/>
          <w:sz w:val="24"/>
          <w:lang w:val="zh-CN"/>
        </w:rPr>
      </w:pPr>
      <w:r>
        <w:rPr>
          <w:rFonts w:hint="eastAsia" w:ascii="仿宋" w:hAnsi="仿宋" w:eastAsia="仿宋" w:cs="仿宋"/>
          <w:sz w:val="24"/>
          <w:lang w:val="zh-CN"/>
        </w:rPr>
        <w:t>联系人：</w:t>
      </w:r>
      <w:r>
        <w:rPr>
          <w:rFonts w:hint="eastAsia" w:ascii="仿宋" w:hAnsi="仿宋" w:eastAsia="仿宋" w:cs="仿宋"/>
          <w:sz w:val="24"/>
        </w:rPr>
        <w:t>孙先生</w:t>
      </w:r>
      <w:r>
        <w:rPr>
          <w:rFonts w:hint="eastAsia" w:ascii="仿宋" w:hAnsi="仿宋" w:eastAsia="仿宋" w:cs="仿宋"/>
          <w:sz w:val="24"/>
          <w:lang w:val="zh-CN"/>
        </w:rPr>
        <w:t xml:space="preserve">           联系电话：0572-3026731 </w:t>
      </w:r>
    </w:p>
    <w:p w14:paraId="027F078A">
      <w:pPr>
        <w:autoSpaceDE w:val="0"/>
        <w:autoSpaceDN w:val="0"/>
        <w:adjustRightInd w:val="0"/>
        <w:spacing w:line="400" w:lineRule="exact"/>
        <w:ind w:firstLine="720" w:firstLineChars="300"/>
        <w:rPr>
          <w:rFonts w:ascii="仿宋" w:hAnsi="仿宋" w:eastAsia="仿宋" w:cs="仿宋"/>
          <w:sz w:val="24"/>
        </w:rPr>
      </w:pPr>
      <w:r>
        <w:rPr>
          <w:rFonts w:hint="eastAsia" w:ascii="仿宋" w:hAnsi="仿宋" w:eastAsia="仿宋" w:cs="仿宋"/>
          <w:sz w:val="24"/>
          <w:lang w:val="zh-CN"/>
        </w:rPr>
        <w:t>地</w:t>
      </w:r>
      <w:r>
        <w:rPr>
          <w:rFonts w:hint="eastAsia" w:ascii="仿宋" w:hAnsi="仿宋" w:eastAsia="仿宋" w:cs="仿宋"/>
          <w:sz w:val="24"/>
        </w:rPr>
        <w:t xml:space="preserve">  </w:t>
      </w:r>
      <w:r>
        <w:rPr>
          <w:rFonts w:hint="eastAsia" w:ascii="仿宋" w:hAnsi="仿宋" w:eastAsia="仿宋" w:cs="仿宋"/>
          <w:sz w:val="24"/>
          <w:lang w:val="zh-CN"/>
        </w:rPr>
        <w:t>址：浙江省湖州市南浔区向阳路</w:t>
      </w:r>
    </w:p>
    <w:p w14:paraId="432355C8">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 xml:space="preserve">4.质疑函接收人：谢先生     </w:t>
      </w:r>
      <w:r>
        <w:rPr>
          <w:rFonts w:hint="eastAsia" w:ascii="仿宋" w:hAnsi="仿宋" w:eastAsia="仿宋" w:cs="仿宋"/>
          <w:sz w:val="24"/>
          <w:lang w:val="zh-CN"/>
        </w:rPr>
        <w:t>联系电话</w:t>
      </w:r>
      <w:r>
        <w:rPr>
          <w:rFonts w:hint="eastAsia" w:ascii="仿宋" w:hAnsi="仿宋" w:eastAsia="仿宋" w:cs="仿宋"/>
          <w:sz w:val="24"/>
        </w:rPr>
        <w:t>：0572-2505377</w:t>
      </w:r>
    </w:p>
    <w:p w14:paraId="5C90E4C4">
      <w:pPr>
        <w:spacing w:line="360" w:lineRule="auto"/>
        <w:ind w:right="560" w:firstLine="480" w:firstLineChars="200"/>
        <w:rPr>
          <w:rFonts w:ascii="仿宋" w:hAnsi="仿宋" w:eastAsia="仿宋" w:cs="仿宋"/>
          <w:kern w:val="0"/>
          <w:sz w:val="24"/>
        </w:rPr>
      </w:pPr>
      <w:r>
        <w:rPr>
          <w:rFonts w:hint="eastAsia" w:ascii="仿宋" w:hAnsi="仿宋" w:eastAsia="仿宋" w:cs="仿宋"/>
          <w:kern w:val="0"/>
          <w:sz w:val="24"/>
        </w:rPr>
        <w:t>5.政采云平台技术支持热线咨询：联系方式：95763</w:t>
      </w:r>
    </w:p>
    <w:p w14:paraId="499874F7">
      <w:pPr>
        <w:ind w:right="560"/>
        <w:jc w:val="right"/>
        <w:rPr>
          <w:rFonts w:ascii="仿宋" w:hAnsi="仿宋" w:eastAsia="仿宋" w:cs="仿宋"/>
          <w:kern w:val="0"/>
          <w:sz w:val="24"/>
        </w:rPr>
      </w:pPr>
    </w:p>
    <w:p w14:paraId="51122258">
      <w:pPr>
        <w:ind w:right="560"/>
        <w:jc w:val="right"/>
        <w:rPr>
          <w:rFonts w:ascii="仿宋" w:hAnsi="仿宋" w:eastAsia="仿宋" w:cs="仿宋"/>
          <w:kern w:val="0"/>
          <w:sz w:val="24"/>
        </w:rPr>
      </w:pPr>
    </w:p>
    <w:p w14:paraId="32BC4127">
      <w:pPr>
        <w:spacing w:line="360" w:lineRule="auto"/>
        <w:ind w:right="560"/>
        <w:jc w:val="right"/>
        <w:rPr>
          <w:rFonts w:ascii="仿宋" w:hAnsi="仿宋" w:eastAsia="仿宋" w:cs="仿宋"/>
          <w:kern w:val="0"/>
          <w:sz w:val="24"/>
        </w:rPr>
      </w:pPr>
      <w:r>
        <w:rPr>
          <w:rFonts w:hint="eastAsia" w:ascii="仿宋" w:hAnsi="仿宋" w:eastAsia="仿宋" w:cs="仿宋"/>
          <w:kern w:val="0"/>
          <w:sz w:val="24"/>
        </w:rPr>
        <w:t>湖州市南浔区双林镇人民政府</w:t>
      </w:r>
    </w:p>
    <w:p w14:paraId="21C2DC1D">
      <w:pPr>
        <w:spacing w:line="360" w:lineRule="auto"/>
        <w:ind w:right="560"/>
        <w:jc w:val="right"/>
        <w:rPr>
          <w:rFonts w:ascii="仿宋" w:hAnsi="仿宋" w:eastAsia="仿宋" w:cs="仿宋"/>
          <w:kern w:val="0"/>
          <w:sz w:val="24"/>
        </w:rPr>
      </w:pPr>
      <w:r>
        <w:rPr>
          <w:rFonts w:hint="eastAsia" w:ascii="仿宋" w:hAnsi="仿宋" w:eastAsia="仿宋" w:cs="仿宋"/>
          <w:kern w:val="0"/>
          <w:sz w:val="24"/>
        </w:rPr>
        <w:t>永信恒昌工程管理有限公司</w:t>
      </w:r>
    </w:p>
    <w:p w14:paraId="618EDA02">
      <w:pPr>
        <w:pStyle w:val="45"/>
        <w:ind w:right="560"/>
        <w:jc w:val="right"/>
        <w:rPr>
          <w:rFonts w:ascii="仿宋" w:hAnsi="仿宋" w:eastAsia="仿宋" w:cs="仿宋"/>
          <w:b w:val="0"/>
          <w:sz w:val="24"/>
          <w:szCs w:val="24"/>
        </w:rPr>
      </w:pPr>
      <w:r>
        <w:rPr>
          <w:rFonts w:hint="eastAsia" w:ascii="仿宋" w:hAnsi="仿宋" w:eastAsia="仿宋" w:cs="仿宋"/>
          <w:b w:val="0"/>
          <w:sz w:val="24"/>
          <w:szCs w:val="24"/>
          <w:lang w:eastAsia="zh-CN"/>
        </w:rPr>
        <w:t>2024年6月24日</w:t>
      </w:r>
    </w:p>
    <w:p w14:paraId="5156F57C">
      <w:pPr>
        <w:pStyle w:val="2"/>
        <w:spacing w:before="0" w:after="0" w:line="360" w:lineRule="auto"/>
        <w:jc w:val="center"/>
        <w:rPr>
          <w:rFonts w:ascii="仿宋" w:hAnsi="仿宋" w:eastAsia="仿宋" w:cs="仿宋"/>
          <w:sz w:val="32"/>
          <w:szCs w:val="32"/>
        </w:rPr>
      </w:pPr>
      <w:r>
        <w:rPr>
          <w:rFonts w:hint="eastAsia" w:ascii="仿宋" w:hAnsi="仿宋" w:eastAsia="仿宋" w:cs="仿宋"/>
          <w:sz w:val="32"/>
          <w:szCs w:val="32"/>
        </w:rPr>
        <w:br w:type="page"/>
      </w:r>
      <w:bookmarkStart w:id="3" w:name="_Toc11337"/>
      <w:bookmarkStart w:id="4" w:name="_Toc20657"/>
      <w:r>
        <w:rPr>
          <w:rFonts w:hint="eastAsia" w:ascii="仿宋" w:hAnsi="仿宋" w:eastAsia="仿宋" w:cs="仿宋"/>
          <w:sz w:val="32"/>
          <w:szCs w:val="32"/>
        </w:rPr>
        <w:t>第二章  供应商须知</w:t>
      </w:r>
      <w:bookmarkEnd w:id="3"/>
      <w:bookmarkEnd w:id="4"/>
    </w:p>
    <w:p w14:paraId="731065F0">
      <w:pPr>
        <w:spacing w:line="500" w:lineRule="exact"/>
        <w:jc w:val="center"/>
        <w:rPr>
          <w:rFonts w:ascii="仿宋" w:hAnsi="仿宋" w:eastAsia="仿宋" w:cs="仿宋"/>
          <w:sz w:val="30"/>
          <w:szCs w:val="30"/>
        </w:rPr>
      </w:pPr>
      <w:bookmarkStart w:id="5" w:name="_Toc30213"/>
      <w:bookmarkStart w:id="6" w:name="_Toc32234"/>
      <w:r>
        <w:rPr>
          <w:rFonts w:hint="eastAsia" w:ascii="仿宋" w:hAnsi="仿宋" w:eastAsia="仿宋" w:cs="仿宋"/>
          <w:sz w:val="30"/>
          <w:szCs w:val="30"/>
        </w:rPr>
        <w:t>前 附 表</w:t>
      </w:r>
      <w:bookmarkEnd w:id="5"/>
      <w:bookmarkEnd w:id="6"/>
    </w:p>
    <w:tbl>
      <w:tblPr>
        <w:tblStyle w:val="29"/>
        <w:tblW w:w="1006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1"/>
        <w:gridCol w:w="2585"/>
        <w:gridCol w:w="6729"/>
      </w:tblGrid>
      <w:tr w14:paraId="5DAE2B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27579313">
            <w:pPr>
              <w:spacing w:line="320" w:lineRule="exact"/>
              <w:jc w:val="center"/>
              <w:rPr>
                <w:rFonts w:ascii="仿宋" w:hAnsi="仿宋" w:eastAsia="仿宋" w:cs="仿宋"/>
                <w:sz w:val="24"/>
              </w:rPr>
            </w:pPr>
            <w:r>
              <w:rPr>
                <w:rFonts w:hint="eastAsia" w:ascii="仿宋" w:hAnsi="仿宋" w:eastAsia="仿宋" w:cs="仿宋"/>
                <w:sz w:val="24"/>
              </w:rPr>
              <w:t>序号</w:t>
            </w:r>
          </w:p>
        </w:tc>
        <w:tc>
          <w:tcPr>
            <w:tcW w:w="2585" w:type="dxa"/>
            <w:tcBorders>
              <w:top w:val="single" w:color="auto" w:sz="4" w:space="0"/>
              <w:left w:val="single" w:color="auto" w:sz="4" w:space="0"/>
              <w:bottom w:val="single" w:color="auto" w:sz="4" w:space="0"/>
              <w:right w:val="single" w:color="auto" w:sz="4" w:space="0"/>
            </w:tcBorders>
            <w:vAlign w:val="center"/>
          </w:tcPr>
          <w:p w14:paraId="4F0137BE">
            <w:pPr>
              <w:spacing w:line="320" w:lineRule="exact"/>
              <w:jc w:val="center"/>
              <w:rPr>
                <w:rFonts w:ascii="仿宋" w:hAnsi="仿宋" w:eastAsia="仿宋" w:cs="仿宋"/>
                <w:sz w:val="24"/>
              </w:rPr>
            </w:pPr>
            <w:r>
              <w:rPr>
                <w:rFonts w:hint="eastAsia" w:ascii="仿宋" w:hAnsi="仿宋" w:eastAsia="仿宋" w:cs="仿宋"/>
                <w:sz w:val="24"/>
              </w:rPr>
              <w:t>项  目</w:t>
            </w:r>
          </w:p>
        </w:tc>
        <w:tc>
          <w:tcPr>
            <w:tcW w:w="6729" w:type="dxa"/>
            <w:tcBorders>
              <w:top w:val="single" w:color="auto" w:sz="4" w:space="0"/>
              <w:left w:val="single" w:color="auto" w:sz="4" w:space="0"/>
              <w:bottom w:val="single" w:color="auto" w:sz="4" w:space="0"/>
              <w:right w:val="single" w:color="auto" w:sz="4" w:space="0"/>
            </w:tcBorders>
            <w:vAlign w:val="center"/>
          </w:tcPr>
          <w:p w14:paraId="125EA8A8">
            <w:pPr>
              <w:spacing w:line="320" w:lineRule="exact"/>
              <w:jc w:val="center"/>
              <w:rPr>
                <w:rFonts w:ascii="仿宋" w:hAnsi="仿宋" w:eastAsia="仿宋" w:cs="仿宋"/>
                <w:sz w:val="24"/>
              </w:rPr>
            </w:pPr>
            <w:r>
              <w:rPr>
                <w:rFonts w:hint="eastAsia" w:ascii="仿宋" w:hAnsi="仿宋" w:eastAsia="仿宋" w:cs="仿宋"/>
                <w:sz w:val="24"/>
              </w:rPr>
              <w:t>内容与要求</w:t>
            </w:r>
          </w:p>
        </w:tc>
      </w:tr>
      <w:tr w14:paraId="22DF0E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5576315C">
            <w:pPr>
              <w:spacing w:line="320" w:lineRule="exact"/>
              <w:jc w:val="center"/>
              <w:rPr>
                <w:rFonts w:ascii="仿宋" w:hAnsi="仿宋" w:eastAsia="仿宋" w:cs="仿宋"/>
                <w:sz w:val="24"/>
              </w:rPr>
            </w:pPr>
            <w:r>
              <w:rPr>
                <w:rFonts w:hint="eastAsia" w:ascii="仿宋" w:hAnsi="仿宋" w:eastAsia="仿宋" w:cs="仿宋"/>
                <w:sz w:val="24"/>
              </w:rPr>
              <w:t>1</w:t>
            </w:r>
          </w:p>
        </w:tc>
        <w:tc>
          <w:tcPr>
            <w:tcW w:w="2585" w:type="dxa"/>
            <w:tcBorders>
              <w:top w:val="single" w:color="auto" w:sz="4" w:space="0"/>
              <w:left w:val="single" w:color="auto" w:sz="4" w:space="0"/>
              <w:bottom w:val="single" w:color="auto" w:sz="4" w:space="0"/>
              <w:right w:val="single" w:color="auto" w:sz="4" w:space="0"/>
            </w:tcBorders>
            <w:vAlign w:val="center"/>
          </w:tcPr>
          <w:p w14:paraId="6F67D67D">
            <w:pPr>
              <w:spacing w:line="320" w:lineRule="exact"/>
              <w:jc w:val="center"/>
              <w:rPr>
                <w:rFonts w:ascii="仿宋" w:hAnsi="仿宋" w:eastAsia="仿宋" w:cs="仿宋"/>
                <w:bCs/>
                <w:sz w:val="24"/>
              </w:rPr>
            </w:pPr>
            <w:r>
              <w:rPr>
                <w:rFonts w:hint="eastAsia" w:ascii="仿宋" w:hAnsi="仿宋" w:eastAsia="仿宋" w:cs="仿宋"/>
                <w:bCs/>
                <w:sz w:val="24"/>
              </w:rPr>
              <w:t>项目名称</w:t>
            </w:r>
          </w:p>
        </w:tc>
        <w:tc>
          <w:tcPr>
            <w:tcW w:w="6729" w:type="dxa"/>
            <w:tcBorders>
              <w:top w:val="single" w:color="auto" w:sz="4" w:space="0"/>
              <w:left w:val="single" w:color="auto" w:sz="4" w:space="0"/>
              <w:bottom w:val="single" w:color="auto" w:sz="4" w:space="0"/>
              <w:right w:val="single" w:color="auto" w:sz="4" w:space="0"/>
            </w:tcBorders>
            <w:vAlign w:val="center"/>
          </w:tcPr>
          <w:p w14:paraId="53729EFC">
            <w:pPr>
              <w:spacing w:line="320" w:lineRule="exact"/>
              <w:rPr>
                <w:rFonts w:ascii="仿宋" w:hAnsi="仿宋" w:eastAsia="仿宋" w:cs="仿宋"/>
                <w:bCs/>
                <w:spacing w:val="-4"/>
                <w:sz w:val="24"/>
              </w:rPr>
            </w:pPr>
            <w:r>
              <w:rPr>
                <w:rFonts w:hint="eastAsia" w:ascii="仿宋" w:hAnsi="仿宋" w:eastAsia="仿宋" w:cs="仿宋"/>
                <w:kern w:val="0"/>
                <w:sz w:val="24"/>
              </w:rPr>
              <w:t>双林镇镇域战略规划研究暨镇区总体城市设计项目</w:t>
            </w:r>
          </w:p>
        </w:tc>
      </w:tr>
      <w:tr w14:paraId="681586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49704805">
            <w:pPr>
              <w:spacing w:line="320" w:lineRule="exact"/>
              <w:jc w:val="center"/>
              <w:rPr>
                <w:rFonts w:ascii="仿宋" w:hAnsi="仿宋" w:eastAsia="仿宋" w:cs="仿宋"/>
                <w:sz w:val="24"/>
              </w:rPr>
            </w:pPr>
            <w:r>
              <w:rPr>
                <w:rFonts w:hint="eastAsia" w:ascii="仿宋" w:hAnsi="仿宋" w:eastAsia="仿宋" w:cs="仿宋"/>
                <w:sz w:val="24"/>
              </w:rPr>
              <w:t>2</w:t>
            </w:r>
          </w:p>
        </w:tc>
        <w:tc>
          <w:tcPr>
            <w:tcW w:w="2585" w:type="dxa"/>
            <w:tcBorders>
              <w:top w:val="single" w:color="auto" w:sz="4" w:space="0"/>
              <w:left w:val="single" w:color="auto" w:sz="4" w:space="0"/>
              <w:bottom w:val="single" w:color="auto" w:sz="4" w:space="0"/>
              <w:right w:val="single" w:color="auto" w:sz="4" w:space="0"/>
            </w:tcBorders>
            <w:vAlign w:val="center"/>
          </w:tcPr>
          <w:p w14:paraId="63127CA7">
            <w:pPr>
              <w:spacing w:line="320" w:lineRule="exact"/>
              <w:jc w:val="center"/>
              <w:rPr>
                <w:rFonts w:ascii="仿宋" w:hAnsi="仿宋" w:eastAsia="仿宋" w:cs="仿宋"/>
                <w:bCs/>
                <w:sz w:val="24"/>
              </w:rPr>
            </w:pPr>
            <w:r>
              <w:rPr>
                <w:rFonts w:hint="eastAsia" w:ascii="仿宋" w:hAnsi="仿宋" w:eastAsia="仿宋" w:cs="仿宋"/>
                <w:bCs/>
                <w:spacing w:val="-4"/>
                <w:sz w:val="24"/>
              </w:rPr>
              <w:t>项目编号</w:t>
            </w:r>
          </w:p>
        </w:tc>
        <w:tc>
          <w:tcPr>
            <w:tcW w:w="6729" w:type="dxa"/>
            <w:tcBorders>
              <w:top w:val="single" w:color="auto" w:sz="4" w:space="0"/>
              <w:left w:val="single" w:color="auto" w:sz="4" w:space="0"/>
              <w:bottom w:val="single" w:color="auto" w:sz="4" w:space="0"/>
              <w:right w:val="single" w:color="auto" w:sz="4" w:space="0"/>
            </w:tcBorders>
            <w:vAlign w:val="center"/>
          </w:tcPr>
          <w:p w14:paraId="3AE7E256">
            <w:pPr>
              <w:spacing w:line="320" w:lineRule="exact"/>
              <w:rPr>
                <w:rFonts w:ascii="仿宋" w:hAnsi="仿宋" w:eastAsia="仿宋" w:cs="仿宋"/>
                <w:sz w:val="24"/>
              </w:rPr>
            </w:pPr>
            <w:r>
              <w:rPr>
                <w:rFonts w:hint="eastAsia" w:ascii="仿宋" w:hAnsi="仿宋" w:eastAsia="仿宋" w:cs="仿宋"/>
                <w:sz w:val="24"/>
              </w:rPr>
              <w:t>永信恒昌采字[2024]-018号</w:t>
            </w:r>
            <w:r>
              <w:rPr>
                <w:rFonts w:hint="eastAsia" w:ascii="仿宋" w:hAnsi="仿宋" w:eastAsia="仿宋" w:cs="仿宋"/>
                <w:sz w:val="24"/>
              </w:rPr>
              <w:tab/>
            </w:r>
          </w:p>
        </w:tc>
      </w:tr>
      <w:tr w14:paraId="3D0D10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2E619B41">
            <w:pPr>
              <w:spacing w:line="320" w:lineRule="exact"/>
              <w:jc w:val="center"/>
              <w:rPr>
                <w:rFonts w:ascii="仿宋" w:hAnsi="仿宋" w:eastAsia="仿宋" w:cs="仿宋"/>
                <w:sz w:val="24"/>
              </w:rPr>
            </w:pPr>
            <w:r>
              <w:rPr>
                <w:rFonts w:hint="eastAsia" w:ascii="仿宋" w:hAnsi="仿宋" w:eastAsia="仿宋" w:cs="仿宋"/>
                <w:sz w:val="24"/>
              </w:rPr>
              <w:t>3</w:t>
            </w:r>
          </w:p>
        </w:tc>
        <w:tc>
          <w:tcPr>
            <w:tcW w:w="2585" w:type="dxa"/>
            <w:tcBorders>
              <w:top w:val="single" w:color="auto" w:sz="4" w:space="0"/>
              <w:left w:val="single" w:color="auto" w:sz="4" w:space="0"/>
              <w:bottom w:val="single" w:color="auto" w:sz="4" w:space="0"/>
              <w:right w:val="single" w:color="auto" w:sz="4" w:space="0"/>
            </w:tcBorders>
            <w:vAlign w:val="center"/>
          </w:tcPr>
          <w:p w14:paraId="1922B274">
            <w:pPr>
              <w:spacing w:line="320" w:lineRule="exact"/>
              <w:jc w:val="center"/>
              <w:rPr>
                <w:rFonts w:ascii="仿宋" w:hAnsi="仿宋" w:eastAsia="仿宋" w:cs="仿宋"/>
                <w:bCs/>
                <w:sz w:val="24"/>
              </w:rPr>
            </w:pPr>
            <w:r>
              <w:rPr>
                <w:rFonts w:hint="eastAsia" w:ascii="仿宋" w:hAnsi="仿宋" w:eastAsia="仿宋" w:cs="仿宋"/>
                <w:bCs/>
                <w:sz w:val="24"/>
              </w:rPr>
              <w:t>招标代理服务费</w:t>
            </w:r>
          </w:p>
        </w:tc>
        <w:tc>
          <w:tcPr>
            <w:tcW w:w="6729" w:type="dxa"/>
            <w:tcBorders>
              <w:top w:val="single" w:color="auto" w:sz="4" w:space="0"/>
              <w:left w:val="single" w:color="auto" w:sz="4" w:space="0"/>
              <w:bottom w:val="single" w:color="auto" w:sz="4" w:space="0"/>
              <w:right w:val="single" w:color="auto" w:sz="4" w:space="0"/>
            </w:tcBorders>
            <w:vAlign w:val="center"/>
          </w:tcPr>
          <w:p w14:paraId="6753DE4F">
            <w:pPr>
              <w:spacing w:line="320" w:lineRule="exact"/>
              <w:rPr>
                <w:rFonts w:ascii="仿宋" w:hAnsi="仿宋" w:eastAsia="仿宋" w:cs="仿宋"/>
                <w:sz w:val="24"/>
              </w:rPr>
            </w:pPr>
            <w:r>
              <w:rPr>
                <w:rFonts w:hint="eastAsia" w:ascii="仿宋" w:hAnsi="仿宋" w:eastAsia="仿宋" w:cs="仿宋"/>
                <w:kern w:val="0"/>
                <w:sz w:val="24"/>
              </w:rPr>
              <w:t>招标代理服务费为5810元，由采购人支付。</w:t>
            </w:r>
          </w:p>
        </w:tc>
      </w:tr>
      <w:tr w14:paraId="030F0B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022A9516">
            <w:pPr>
              <w:spacing w:line="320" w:lineRule="exact"/>
              <w:jc w:val="center"/>
              <w:rPr>
                <w:rFonts w:ascii="仿宋" w:hAnsi="仿宋" w:eastAsia="仿宋" w:cs="仿宋"/>
                <w:sz w:val="24"/>
              </w:rPr>
            </w:pPr>
            <w:r>
              <w:rPr>
                <w:rFonts w:hint="eastAsia" w:ascii="仿宋" w:hAnsi="仿宋" w:eastAsia="仿宋" w:cs="仿宋"/>
                <w:sz w:val="24"/>
              </w:rPr>
              <w:t>4</w:t>
            </w:r>
          </w:p>
        </w:tc>
        <w:tc>
          <w:tcPr>
            <w:tcW w:w="2585" w:type="dxa"/>
            <w:tcBorders>
              <w:top w:val="single" w:color="auto" w:sz="4" w:space="0"/>
              <w:left w:val="single" w:color="auto" w:sz="4" w:space="0"/>
              <w:bottom w:val="single" w:color="auto" w:sz="4" w:space="0"/>
              <w:right w:val="single" w:color="auto" w:sz="4" w:space="0"/>
            </w:tcBorders>
            <w:vAlign w:val="center"/>
          </w:tcPr>
          <w:p w14:paraId="7B1A0659">
            <w:pPr>
              <w:spacing w:line="320" w:lineRule="exact"/>
              <w:jc w:val="center"/>
              <w:rPr>
                <w:rFonts w:ascii="仿宋" w:hAnsi="仿宋" w:eastAsia="仿宋" w:cs="仿宋"/>
                <w:bCs/>
                <w:sz w:val="24"/>
              </w:rPr>
            </w:pPr>
            <w:r>
              <w:rPr>
                <w:rFonts w:hint="eastAsia" w:ascii="仿宋" w:hAnsi="仿宋" w:eastAsia="仿宋" w:cs="仿宋"/>
                <w:bCs/>
                <w:sz w:val="24"/>
              </w:rPr>
              <w:t>代理费交纳方式</w:t>
            </w:r>
          </w:p>
        </w:tc>
        <w:tc>
          <w:tcPr>
            <w:tcW w:w="6729" w:type="dxa"/>
            <w:tcBorders>
              <w:top w:val="single" w:color="auto" w:sz="4" w:space="0"/>
              <w:left w:val="single" w:color="auto" w:sz="4" w:space="0"/>
              <w:bottom w:val="single" w:color="auto" w:sz="4" w:space="0"/>
              <w:right w:val="single" w:color="auto" w:sz="4" w:space="0"/>
            </w:tcBorders>
            <w:vAlign w:val="center"/>
          </w:tcPr>
          <w:p w14:paraId="79895C3F">
            <w:pPr>
              <w:spacing w:line="320" w:lineRule="exact"/>
              <w:rPr>
                <w:rFonts w:ascii="仿宋" w:hAnsi="仿宋" w:eastAsia="仿宋" w:cs="仿宋"/>
                <w:sz w:val="24"/>
              </w:rPr>
            </w:pPr>
            <w:r>
              <w:rPr>
                <w:rFonts w:hint="eastAsia" w:ascii="仿宋" w:hAnsi="仿宋" w:eastAsia="仿宋" w:cs="仿宋"/>
                <w:sz w:val="24"/>
              </w:rPr>
              <w:t>代理费交纳方式：汇款或转账形式；</w:t>
            </w:r>
          </w:p>
          <w:p w14:paraId="6C8DE3C6">
            <w:pPr>
              <w:spacing w:line="320" w:lineRule="exact"/>
              <w:rPr>
                <w:rFonts w:ascii="仿宋" w:hAnsi="仿宋" w:eastAsia="仿宋" w:cs="仿宋"/>
                <w:sz w:val="24"/>
              </w:rPr>
            </w:pPr>
            <w:r>
              <w:rPr>
                <w:rFonts w:hint="eastAsia" w:ascii="仿宋" w:hAnsi="仿宋" w:eastAsia="仿宋" w:cs="仿宋"/>
                <w:sz w:val="24"/>
              </w:rPr>
              <w:t>收款人名称：永信恒昌工程管理有限公司湖州分公司；</w:t>
            </w:r>
          </w:p>
          <w:p w14:paraId="3433E3C3">
            <w:pPr>
              <w:spacing w:line="320" w:lineRule="exact"/>
              <w:rPr>
                <w:rFonts w:ascii="仿宋" w:hAnsi="仿宋" w:eastAsia="仿宋" w:cs="仿宋"/>
                <w:sz w:val="24"/>
              </w:rPr>
            </w:pPr>
            <w:r>
              <w:rPr>
                <w:rFonts w:hint="eastAsia" w:ascii="仿宋" w:hAnsi="仿宋" w:eastAsia="仿宋" w:cs="仿宋"/>
                <w:sz w:val="24"/>
              </w:rPr>
              <w:t>开户银行：湖州银行股份有限公司营业部；</w:t>
            </w:r>
          </w:p>
          <w:p w14:paraId="4973BFB7">
            <w:pPr>
              <w:spacing w:line="320" w:lineRule="exact"/>
              <w:rPr>
                <w:rFonts w:ascii="仿宋" w:hAnsi="仿宋" w:eastAsia="仿宋" w:cs="仿宋"/>
                <w:kern w:val="0"/>
                <w:sz w:val="24"/>
              </w:rPr>
            </w:pPr>
            <w:r>
              <w:rPr>
                <w:rFonts w:hint="eastAsia" w:ascii="仿宋" w:hAnsi="仿宋" w:eastAsia="仿宋" w:cs="仿宋"/>
                <w:sz w:val="24"/>
              </w:rPr>
              <w:t>银行账号：811285291000208</w:t>
            </w:r>
          </w:p>
        </w:tc>
      </w:tr>
      <w:tr w14:paraId="4F9802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208C8E3B">
            <w:pPr>
              <w:spacing w:line="320" w:lineRule="exact"/>
              <w:jc w:val="center"/>
              <w:rPr>
                <w:rFonts w:ascii="仿宋" w:hAnsi="仿宋" w:eastAsia="仿宋" w:cs="仿宋"/>
                <w:sz w:val="24"/>
              </w:rPr>
            </w:pPr>
            <w:r>
              <w:rPr>
                <w:rFonts w:hint="eastAsia" w:ascii="仿宋" w:hAnsi="仿宋" w:eastAsia="仿宋" w:cs="仿宋"/>
                <w:sz w:val="24"/>
              </w:rPr>
              <w:t>5</w:t>
            </w:r>
          </w:p>
        </w:tc>
        <w:tc>
          <w:tcPr>
            <w:tcW w:w="2585" w:type="dxa"/>
            <w:tcBorders>
              <w:top w:val="single" w:color="auto" w:sz="4" w:space="0"/>
              <w:left w:val="single" w:color="auto" w:sz="4" w:space="0"/>
              <w:bottom w:val="single" w:color="auto" w:sz="4" w:space="0"/>
              <w:right w:val="single" w:color="auto" w:sz="4" w:space="0"/>
            </w:tcBorders>
            <w:vAlign w:val="center"/>
          </w:tcPr>
          <w:p w14:paraId="49C67D16">
            <w:pPr>
              <w:spacing w:line="320" w:lineRule="exact"/>
              <w:jc w:val="center"/>
              <w:rPr>
                <w:rFonts w:ascii="仿宋" w:hAnsi="仿宋" w:eastAsia="仿宋" w:cs="仿宋"/>
                <w:bCs/>
                <w:sz w:val="24"/>
              </w:rPr>
            </w:pPr>
            <w:r>
              <w:rPr>
                <w:rFonts w:hint="eastAsia" w:ascii="仿宋" w:hAnsi="仿宋" w:eastAsia="仿宋" w:cs="仿宋"/>
                <w:bCs/>
                <w:sz w:val="24"/>
              </w:rPr>
              <w:t>项目实施地点</w:t>
            </w:r>
          </w:p>
        </w:tc>
        <w:tc>
          <w:tcPr>
            <w:tcW w:w="6729" w:type="dxa"/>
            <w:tcBorders>
              <w:top w:val="single" w:color="auto" w:sz="4" w:space="0"/>
              <w:left w:val="single" w:color="auto" w:sz="4" w:space="0"/>
              <w:bottom w:val="single" w:color="auto" w:sz="4" w:space="0"/>
              <w:right w:val="single" w:color="auto" w:sz="4" w:space="0"/>
            </w:tcBorders>
            <w:vAlign w:val="center"/>
          </w:tcPr>
          <w:p w14:paraId="41476517">
            <w:pPr>
              <w:spacing w:line="320" w:lineRule="exact"/>
              <w:rPr>
                <w:rFonts w:ascii="仿宋" w:hAnsi="仿宋" w:eastAsia="仿宋" w:cs="仿宋"/>
                <w:sz w:val="24"/>
              </w:rPr>
            </w:pPr>
            <w:r>
              <w:rPr>
                <w:rFonts w:hint="eastAsia" w:ascii="仿宋" w:hAnsi="仿宋" w:eastAsia="仿宋" w:cs="仿宋"/>
                <w:sz w:val="24"/>
              </w:rPr>
              <w:t>双林镇</w:t>
            </w:r>
          </w:p>
        </w:tc>
      </w:tr>
      <w:tr w14:paraId="745FC5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64F53F78">
            <w:pPr>
              <w:spacing w:line="320" w:lineRule="exact"/>
              <w:jc w:val="center"/>
              <w:rPr>
                <w:rFonts w:ascii="仿宋" w:hAnsi="仿宋" w:eastAsia="仿宋" w:cs="仿宋"/>
                <w:sz w:val="24"/>
              </w:rPr>
            </w:pPr>
            <w:r>
              <w:rPr>
                <w:rFonts w:hint="eastAsia" w:ascii="仿宋" w:hAnsi="仿宋" w:eastAsia="仿宋" w:cs="仿宋"/>
                <w:sz w:val="24"/>
              </w:rPr>
              <w:t>6</w:t>
            </w:r>
          </w:p>
        </w:tc>
        <w:tc>
          <w:tcPr>
            <w:tcW w:w="2585" w:type="dxa"/>
            <w:tcBorders>
              <w:top w:val="single" w:color="auto" w:sz="4" w:space="0"/>
              <w:left w:val="single" w:color="auto" w:sz="4" w:space="0"/>
              <w:bottom w:val="single" w:color="auto" w:sz="4" w:space="0"/>
              <w:right w:val="single" w:color="auto" w:sz="4" w:space="0"/>
            </w:tcBorders>
            <w:vAlign w:val="center"/>
          </w:tcPr>
          <w:p w14:paraId="7B6417F9">
            <w:pPr>
              <w:spacing w:line="320" w:lineRule="exact"/>
              <w:jc w:val="center"/>
              <w:rPr>
                <w:rFonts w:ascii="仿宋" w:hAnsi="仿宋" w:eastAsia="仿宋" w:cs="仿宋"/>
                <w:bCs/>
                <w:sz w:val="24"/>
              </w:rPr>
            </w:pPr>
            <w:r>
              <w:rPr>
                <w:rFonts w:hint="eastAsia" w:ascii="仿宋" w:hAnsi="仿宋" w:eastAsia="仿宋" w:cs="仿宋"/>
                <w:bCs/>
                <w:sz w:val="24"/>
              </w:rPr>
              <w:t>服务期</w:t>
            </w:r>
          </w:p>
        </w:tc>
        <w:tc>
          <w:tcPr>
            <w:tcW w:w="6729" w:type="dxa"/>
            <w:tcBorders>
              <w:top w:val="single" w:color="auto" w:sz="4" w:space="0"/>
              <w:left w:val="single" w:color="auto" w:sz="4" w:space="0"/>
              <w:bottom w:val="single" w:color="auto" w:sz="4" w:space="0"/>
              <w:right w:val="single" w:color="auto" w:sz="4" w:space="0"/>
            </w:tcBorders>
            <w:vAlign w:val="center"/>
          </w:tcPr>
          <w:p w14:paraId="035B8313">
            <w:pPr>
              <w:spacing w:line="320" w:lineRule="exact"/>
              <w:rPr>
                <w:rFonts w:ascii="仿宋" w:hAnsi="仿宋" w:eastAsia="仿宋" w:cs="仿宋"/>
                <w:sz w:val="24"/>
              </w:rPr>
            </w:pPr>
            <w:r>
              <w:rPr>
                <w:rFonts w:hint="eastAsia" w:ascii="仿宋" w:hAnsi="仿宋" w:eastAsia="仿宋" w:cs="仿宋"/>
                <w:sz w:val="24"/>
              </w:rPr>
              <w:t>详见采购需求</w:t>
            </w:r>
          </w:p>
        </w:tc>
      </w:tr>
      <w:tr w14:paraId="683B61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8"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225BF33E">
            <w:pPr>
              <w:spacing w:line="320" w:lineRule="exact"/>
              <w:jc w:val="center"/>
              <w:rPr>
                <w:rFonts w:ascii="仿宋" w:hAnsi="仿宋" w:eastAsia="仿宋" w:cs="仿宋"/>
                <w:sz w:val="24"/>
              </w:rPr>
            </w:pPr>
            <w:r>
              <w:rPr>
                <w:rFonts w:hint="eastAsia" w:ascii="仿宋" w:hAnsi="仿宋" w:eastAsia="仿宋" w:cs="仿宋"/>
                <w:sz w:val="24"/>
              </w:rPr>
              <w:t>7</w:t>
            </w:r>
          </w:p>
        </w:tc>
        <w:tc>
          <w:tcPr>
            <w:tcW w:w="2585" w:type="dxa"/>
            <w:tcBorders>
              <w:top w:val="single" w:color="auto" w:sz="4" w:space="0"/>
              <w:left w:val="single" w:color="auto" w:sz="4" w:space="0"/>
              <w:bottom w:val="single" w:color="auto" w:sz="4" w:space="0"/>
              <w:right w:val="single" w:color="auto" w:sz="4" w:space="0"/>
            </w:tcBorders>
            <w:vAlign w:val="center"/>
          </w:tcPr>
          <w:p w14:paraId="554B3DC4">
            <w:pPr>
              <w:spacing w:line="320" w:lineRule="exact"/>
              <w:jc w:val="center"/>
              <w:rPr>
                <w:rFonts w:ascii="仿宋" w:hAnsi="仿宋" w:eastAsia="仿宋" w:cs="仿宋"/>
                <w:bCs/>
                <w:sz w:val="24"/>
              </w:rPr>
            </w:pPr>
            <w:r>
              <w:rPr>
                <w:rFonts w:hint="eastAsia" w:ascii="仿宋" w:hAnsi="仿宋" w:eastAsia="仿宋" w:cs="仿宋"/>
                <w:bCs/>
                <w:sz w:val="24"/>
              </w:rPr>
              <w:t>磋商答疑时间</w:t>
            </w:r>
          </w:p>
        </w:tc>
        <w:tc>
          <w:tcPr>
            <w:tcW w:w="6729" w:type="dxa"/>
            <w:tcBorders>
              <w:top w:val="single" w:color="auto" w:sz="4" w:space="0"/>
              <w:left w:val="single" w:color="auto" w:sz="4" w:space="0"/>
              <w:bottom w:val="single" w:color="auto" w:sz="4" w:space="0"/>
              <w:right w:val="single" w:color="auto" w:sz="4" w:space="0"/>
            </w:tcBorders>
            <w:vAlign w:val="center"/>
          </w:tcPr>
          <w:p w14:paraId="6840413E">
            <w:pPr>
              <w:spacing w:line="320" w:lineRule="exact"/>
              <w:rPr>
                <w:rFonts w:ascii="仿宋" w:hAnsi="仿宋" w:eastAsia="仿宋" w:cs="仿宋"/>
                <w:kern w:val="0"/>
                <w:sz w:val="24"/>
              </w:rPr>
            </w:pPr>
            <w:r>
              <w:rPr>
                <w:rFonts w:hint="eastAsia" w:ascii="仿宋" w:hAnsi="仿宋" w:eastAsia="仿宋" w:cs="仿宋"/>
                <w:sz w:val="24"/>
              </w:rPr>
              <w:t>供货商如认为招标文件表述不清晰、存在歧视性或者其他违法内容的，可以在知道或者应知其权益受到损害之日起7个工作日内以书面形式要求采购人作出书面解释、澄清或者向采购人提出书面质疑，根据《中华人民共和国财政部令第 94 号-政府采购质疑和投诉办法》第十条第二款规定，供应商在法定质疑期内须一次性提出针对同一采购程序环节的质疑，否则采购代理机构有权拒绝第一次质疑以外其他所有质疑。答疑内容是招标文件的组成部份，并将以书面形式送达所有已报名的供货商。</w:t>
            </w:r>
          </w:p>
        </w:tc>
      </w:tr>
      <w:tr w14:paraId="7662FF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1"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6CC318D1">
            <w:pPr>
              <w:spacing w:line="320" w:lineRule="exact"/>
              <w:jc w:val="center"/>
              <w:rPr>
                <w:rFonts w:ascii="仿宋" w:hAnsi="仿宋" w:eastAsia="仿宋" w:cs="仿宋"/>
                <w:sz w:val="24"/>
              </w:rPr>
            </w:pPr>
            <w:r>
              <w:rPr>
                <w:rFonts w:hint="eastAsia" w:ascii="仿宋" w:hAnsi="仿宋" w:eastAsia="仿宋" w:cs="仿宋"/>
                <w:sz w:val="24"/>
              </w:rPr>
              <w:t>8</w:t>
            </w:r>
          </w:p>
        </w:tc>
        <w:tc>
          <w:tcPr>
            <w:tcW w:w="2585" w:type="dxa"/>
            <w:tcBorders>
              <w:top w:val="single" w:color="auto" w:sz="4" w:space="0"/>
              <w:left w:val="single" w:color="auto" w:sz="4" w:space="0"/>
              <w:bottom w:val="single" w:color="auto" w:sz="4" w:space="0"/>
              <w:right w:val="single" w:color="auto" w:sz="4" w:space="0"/>
            </w:tcBorders>
            <w:vAlign w:val="center"/>
          </w:tcPr>
          <w:p w14:paraId="5F074230">
            <w:pPr>
              <w:spacing w:line="320" w:lineRule="exact"/>
              <w:jc w:val="center"/>
              <w:rPr>
                <w:rFonts w:ascii="仿宋" w:hAnsi="仿宋" w:eastAsia="仿宋" w:cs="仿宋"/>
                <w:bCs/>
                <w:sz w:val="24"/>
              </w:rPr>
            </w:pPr>
            <w:r>
              <w:rPr>
                <w:rFonts w:hint="eastAsia" w:ascii="仿宋" w:hAnsi="仿宋" w:eastAsia="仿宋" w:cs="仿宋"/>
                <w:bCs/>
                <w:sz w:val="24"/>
              </w:rPr>
              <w:t>磋商响应文件组成</w:t>
            </w:r>
          </w:p>
        </w:tc>
        <w:tc>
          <w:tcPr>
            <w:tcW w:w="6729" w:type="dxa"/>
            <w:tcBorders>
              <w:top w:val="single" w:color="auto" w:sz="4" w:space="0"/>
              <w:left w:val="single" w:color="auto" w:sz="4" w:space="0"/>
              <w:bottom w:val="single" w:color="auto" w:sz="4" w:space="0"/>
              <w:right w:val="single" w:color="auto" w:sz="4" w:space="0"/>
            </w:tcBorders>
            <w:vAlign w:val="center"/>
          </w:tcPr>
          <w:p w14:paraId="7426CDF5">
            <w:pPr>
              <w:autoSpaceDE w:val="0"/>
              <w:autoSpaceDN w:val="0"/>
              <w:adjustRightInd w:val="0"/>
              <w:snapToGrid w:val="0"/>
              <w:spacing w:line="400" w:lineRule="exact"/>
              <w:textAlignment w:val="bottom"/>
              <w:rPr>
                <w:rFonts w:ascii="仿宋" w:hAnsi="仿宋" w:eastAsia="仿宋" w:cs="仿宋"/>
                <w:bCs/>
                <w:sz w:val="24"/>
              </w:rPr>
            </w:pPr>
            <w:r>
              <w:rPr>
                <w:rFonts w:hint="eastAsia" w:ascii="仿宋" w:hAnsi="仿宋" w:eastAsia="仿宋" w:cs="仿宋"/>
                <w:bCs/>
                <w:sz w:val="24"/>
              </w:rPr>
              <w:t>响应文件组成：</w:t>
            </w:r>
          </w:p>
          <w:p w14:paraId="62081545">
            <w:pPr>
              <w:autoSpaceDE w:val="0"/>
              <w:autoSpaceDN w:val="0"/>
              <w:adjustRightInd w:val="0"/>
              <w:snapToGrid w:val="0"/>
              <w:spacing w:line="400" w:lineRule="exact"/>
              <w:textAlignment w:val="bottom"/>
              <w:rPr>
                <w:rFonts w:ascii="仿宋" w:hAnsi="仿宋" w:eastAsia="仿宋" w:cs="仿宋"/>
                <w:bCs/>
                <w:sz w:val="24"/>
              </w:rPr>
            </w:pPr>
            <w:r>
              <w:rPr>
                <w:rFonts w:hint="eastAsia" w:ascii="仿宋" w:hAnsi="仿宋" w:eastAsia="仿宋" w:cs="仿宋"/>
                <w:bCs/>
                <w:sz w:val="24"/>
              </w:rPr>
              <w:t>1、电子响应文件（包括“电子加密响应文件”和“备份响应文件”，在响应文件编制完成后同时生成）</w:t>
            </w:r>
          </w:p>
          <w:p w14:paraId="70FACE1A">
            <w:pPr>
              <w:autoSpaceDE w:val="0"/>
              <w:autoSpaceDN w:val="0"/>
              <w:adjustRightInd w:val="0"/>
              <w:snapToGrid w:val="0"/>
              <w:spacing w:line="400" w:lineRule="exact"/>
              <w:textAlignment w:val="bottom"/>
              <w:rPr>
                <w:rFonts w:ascii="仿宋" w:hAnsi="仿宋" w:eastAsia="仿宋" w:cs="仿宋"/>
                <w:bCs/>
                <w:sz w:val="24"/>
              </w:rPr>
            </w:pPr>
            <w:r>
              <w:rPr>
                <w:rFonts w:hint="eastAsia" w:ascii="仿宋" w:hAnsi="仿宋" w:eastAsia="仿宋" w:cs="仿宋"/>
                <w:bCs/>
                <w:sz w:val="24"/>
              </w:rPr>
              <w:t>2、“电子加密响应文件”是指通过“政采云电子交易客户端”完成响应文件编制后生成并加密的数据电文形式的响应文件。</w:t>
            </w:r>
          </w:p>
          <w:p w14:paraId="6370A363">
            <w:pPr>
              <w:autoSpaceDE w:val="0"/>
              <w:autoSpaceDN w:val="0"/>
              <w:adjustRightInd w:val="0"/>
              <w:snapToGrid w:val="0"/>
              <w:spacing w:line="400" w:lineRule="exact"/>
              <w:textAlignment w:val="bottom"/>
              <w:rPr>
                <w:rFonts w:ascii="仿宋" w:hAnsi="仿宋" w:eastAsia="仿宋" w:cs="仿宋"/>
                <w:bCs/>
                <w:sz w:val="24"/>
              </w:rPr>
            </w:pPr>
            <w:r>
              <w:rPr>
                <w:rFonts w:hint="eastAsia" w:ascii="仿宋" w:hAnsi="仿宋" w:eastAsia="仿宋" w:cs="仿宋"/>
                <w:bCs/>
                <w:sz w:val="24"/>
              </w:rPr>
              <w:t>3、“备份响应文件”是指与“电子加密响应文件”同时生成的数据电文形式的电子文件（备份标书），其他方式编制的备份响应文件视为无效备份响应文件。仅在出现解密异常情况下使用。</w:t>
            </w:r>
          </w:p>
          <w:p w14:paraId="13AB5E95">
            <w:pPr>
              <w:autoSpaceDE w:val="0"/>
              <w:autoSpaceDN w:val="0"/>
              <w:adjustRightInd w:val="0"/>
              <w:snapToGrid w:val="0"/>
              <w:spacing w:line="400" w:lineRule="exact"/>
              <w:textAlignment w:val="bottom"/>
              <w:rPr>
                <w:rFonts w:ascii="仿宋" w:hAnsi="仿宋" w:eastAsia="仿宋" w:cs="仿宋"/>
                <w:kern w:val="0"/>
                <w:sz w:val="24"/>
              </w:rPr>
            </w:pPr>
            <w:r>
              <w:rPr>
                <w:rFonts w:hint="eastAsia" w:ascii="仿宋" w:hAnsi="仿宋" w:eastAsia="仿宋" w:cs="仿宋"/>
                <w:bCs/>
                <w:sz w:val="24"/>
              </w:rPr>
              <w:t>4、中标后，中标单位需在领取中标通知书时，向招标代理机构提交与磋商时电子响应文件一致的纸质版本一式三份（按照磋商文件要求签字盖章）。</w:t>
            </w:r>
          </w:p>
        </w:tc>
      </w:tr>
      <w:tr w14:paraId="6FF66E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1"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7ABB273B">
            <w:pPr>
              <w:spacing w:line="320" w:lineRule="exact"/>
              <w:jc w:val="center"/>
              <w:rPr>
                <w:rFonts w:ascii="仿宋" w:hAnsi="仿宋" w:eastAsia="仿宋" w:cs="仿宋"/>
                <w:sz w:val="24"/>
              </w:rPr>
            </w:pPr>
            <w:r>
              <w:rPr>
                <w:rFonts w:hint="eastAsia" w:ascii="仿宋" w:hAnsi="仿宋" w:eastAsia="仿宋" w:cs="仿宋"/>
                <w:sz w:val="24"/>
              </w:rPr>
              <w:t>9</w:t>
            </w:r>
          </w:p>
        </w:tc>
        <w:tc>
          <w:tcPr>
            <w:tcW w:w="2585" w:type="dxa"/>
            <w:tcBorders>
              <w:top w:val="single" w:color="auto" w:sz="4" w:space="0"/>
              <w:left w:val="single" w:color="auto" w:sz="4" w:space="0"/>
              <w:bottom w:val="single" w:color="auto" w:sz="4" w:space="0"/>
              <w:right w:val="single" w:color="auto" w:sz="4" w:space="0"/>
            </w:tcBorders>
            <w:vAlign w:val="center"/>
          </w:tcPr>
          <w:p w14:paraId="44E50538">
            <w:pPr>
              <w:spacing w:line="320" w:lineRule="exact"/>
              <w:jc w:val="center"/>
              <w:rPr>
                <w:rFonts w:ascii="仿宋" w:hAnsi="仿宋" w:eastAsia="仿宋" w:cs="仿宋"/>
                <w:bCs/>
                <w:sz w:val="24"/>
              </w:rPr>
            </w:pPr>
            <w:r>
              <w:rPr>
                <w:rFonts w:hint="eastAsia" w:ascii="仿宋" w:hAnsi="仿宋" w:eastAsia="仿宋" w:cs="仿宋"/>
                <w:bCs/>
                <w:sz w:val="24"/>
              </w:rPr>
              <w:t xml:space="preserve">  响应文件份数  </w:t>
            </w:r>
            <w:r>
              <w:rPr>
                <w:rFonts w:hint="eastAsia" w:ascii="仿宋" w:hAnsi="仿宋" w:eastAsia="仿宋" w:cs="仿宋"/>
                <w:bCs/>
                <w:sz w:val="24"/>
              </w:rPr>
              <w:tab/>
            </w:r>
          </w:p>
        </w:tc>
        <w:tc>
          <w:tcPr>
            <w:tcW w:w="6729" w:type="dxa"/>
            <w:tcBorders>
              <w:top w:val="single" w:color="auto" w:sz="4" w:space="0"/>
              <w:left w:val="single" w:color="auto" w:sz="4" w:space="0"/>
              <w:bottom w:val="single" w:color="auto" w:sz="4" w:space="0"/>
              <w:right w:val="single" w:color="auto" w:sz="4" w:space="0"/>
            </w:tcBorders>
            <w:vAlign w:val="center"/>
          </w:tcPr>
          <w:p w14:paraId="0C373125">
            <w:pPr>
              <w:rPr>
                <w:rFonts w:ascii="仿宋" w:hAnsi="仿宋" w:eastAsia="仿宋" w:cs="仿宋"/>
                <w:bCs/>
                <w:sz w:val="24"/>
              </w:rPr>
            </w:pPr>
            <w:r>
              <w:rPr>
                <w:rFonts w:hint="eastAsia" w:ascii="仿宋" w:hAnsi="仿宋" w:eastAsia="仿宋" w:cs="仿宋"/>
                <w:bCs/>
                <w:sz w:val="24"/>
              </w:rPr>
              <w:t>响应文件份数：</w:t>
            </w:r>
          </w:p>
          <w:p w14:paraId="73EB122F">
            <w:pPr>
              <w:rPr>
                <w:rFonts w:ascii="仿宋" w:hAnsi="仿宋" w:eastAsia="仿宋" w:cs="仿宋"/>
                <w:bCs/>
                <w:sz w:val="24"/>
              </w:rPr>
            </w:pPr>
            <w:r>
              <w:rPr>
                <w:rFonts w:hint="eastAsia" w:ascii="仿宋" w:hAnsi="仿宋" w:eastAsia="仿宋" w:cs="仿宋"/>
                <w:bCs/>
                <w:sz w:val="24"/>
              </w:rPr>
              <w:t>1、“电子加密响应文件”：在线上传递交一份。</w:t>
            </w:r>
          </w:p>
          <w:p w14:paraId="2535D141">
            <w:pPr>
              <w:rPr>
                <w:rFonts w:ascii="仿宋" w:hAnsi="仿宋" w:eastAsia="仿宋" w:cs="仿宋"/>
                <w:bCs/>
                <w:sz w:val="24"/>
              </w:rPr>
            </w:pPr>
            <w:r>
              <w:rPr>
                <w:rFonts w:hint="eastAsia" w:ascii="仿宋" w:hAnsi="仿宋" w:eastAsia="仿宋" w:cs="仿宋"/>
                <w:bCs/>
                <w:sz w:val="24"/>
              </w:rPr>
              <w:t>2、“备份响应文件”：密封包装后（邮寄形式）磋商截止时间前递交、一份数据电子备份响应文件（U 盘）：以 U 盘形式提供的数据电子备份响应文件格式及内容须与政采云平台项目采购-电子交易操作指南中制作、加密并递交的电子响应文件格式及内容一致。递交主要有以下两种方式：</w:t>
            </w:r>
          </w:p>
          <w:p w14:paraId="7FC1DF18">
            <w:pPr>
              <w:rPr>
                <w:rFonts w:ascii="仿宋" w:hAnsi="仿宋" w:eastAsia="仿宋" w:cs="仿宋"/>
                <w:bCs/>
                <w:sz w:val="24"/>
              </w:rPr>
            </w:pPr>
            <w:r>
              <w:rPr>
                <w:rFonts w:hint="eastAsia" w:ascii="仿宋" w:hAnsi="仿宋" w:eastAsia="仿宋" w:cs="仿宋"/>
                <w:bCs/>
                <w:sz w:val="24"/>
              </w:rPr>
              <w:t>（1）</w:t>
            </w:r>
            <w:r>
              <w:rPr>
                <w:rFonts w:hint="eastAsia" w:ascii="仿宋" w:hAnsi="仿宋" w:eastAsia="仿宋" w:cs="仿宋"/>
                <w:b/>
                <w:sz w:val="24"/>
              </w:rPr>
              <w:t>本项目原则上采用不见面的形式开标，供应商可以邮寄形式在磋商截止时间前递交以介质（U 盘）存储的数据电文形式的“备份响应文件”，供应商应对提供的数据电子备份响应文件（U 盘）进行加密处理，若需要启用数据电子备份响应文件（U 盘）时，再由供应商告知采购人及采购代理机构加密信息进行解密。“备份响应文件”应当密封包装并在包装上标注项目名称、单位名称、联系电话并加盖公章。</w:t>
            </w:r>
            <w:r>
              <w:rPr>
                <w:rFonts w:hint="eastAsia" w:ascii="仿宋" w:hAnsi="仿宋" w:eastAsia="仿宋" w:cs="仿宋"/>
                <w:b/>
                <w:kern w:val="0"/>
                <w:sz w:val="24"/>
              </w:rPr>
              <w:t>通过邮寄的方式送达（原则上邮寄公司统一采用顺丰）</w:t>
            </w:r>
            <w:r>
              <w:rPr>
                <w:rFonts w:hint="eastAsia" w:ascii="仿宋" w:hAnsi="仿宋" w:eastAsia="仿宋" w:cs="仿宋"/>
                <w:b/>
                <w:sz w:val="24"/>
              </w:rPr>
              <w:t>邮寄地址为：</w:t>
            </w:r>
            <w:r>
              <w:rPr>
                <w:rFonts w:hint="eastAsia" w:ascii="仿宋" w:hAnsi="仿宋" w:eastAsia="仿宋" w:cs="仿宋"/>
                <w:b/>
                <w:kern w:val="0"/>
                <w:sz w:val="24"/>
              </w:rPr>
              <w:t>永信恒昌工程管理有限公司（浙江省湖州市吴兴区红旗路384号凯欣名座3楼301室），</w:t>
            </w:r>
            <w:r>
              <w:rPr>
                <w:rFonts w:hint="eastAsia" w:ascii="仿宋" w:hAnsi="仿宋" w:eastAsia="仿宋" w:cs="仿宋"/>
                <w:b/>
                <w:sz w:val="24"/>
              </w:rPr>
              <w:t>邮寄截止时间</w:t>
            </w:r>
            <w:r>
              <w:rPr>
                <w:rFonts w:hint="eastAsia" w:ascii="仿宋" w:hAnsi="仿宋" w:eastAsia="仿宋" w:cs="仿宋"/>
                <w:b/>
                <w:color w:val="000000"/>
                <w:sz w:val="24"/>
              </w:rPr>
              <w:t>详见磋商公告，</w:t>
            </w:r>
            <w:r>
              <w:rPr>
                <w:rFonts w:hint="eastAsia" w:ascii="仿宋" w:hAnsi="仿宋" w:eastAsia="仿宋" w:cs="仿宋"/>
                <w:bCs/>
                <w:sz w:val="24"/>
              </w:rPr>
              <w:t>拒绝到付。（以收件人实际签收时间为准，收件人签收后将予以回执，回执单采用图片形式发送给供应商确认，该回执单仅作为供应商邮寄的包裹送达时间的依据），逾期送达的将拒绝接收。</w:t>
            </w:r>
          </w:p>
          <w:p w14:paraId="58D1B629">
            <w:pPr>
              <w:rPr>
                <w:rFonts w:ascii="仿宋" w:hAnsi="仿宋" w:eastAsia="仿宋" w:cs="仿宋"/>
                <w:bCs/>
                <w:sz w:val="24"/>
              </w:rPr>
            </w:pPr>
            <w:r>
              <w:rPr>
                <w:rFonts w:hint="eastAsia" w:ascii="仿宋" w:hAnsi="仿宋" w:eastAsia="仿宋" w:cs="仿宋"/>
                <w:bCs/>
                <w:sz w:val="24"/>
              </w:rPr>
              <w:t>（2）若供应商派授权代表出席开标会议（授权代表必须携带身份证、法人授权委托书或法人身份证明文书等有效证明文件以及近3个月中任意一个月的社保缴费证明文件。未携带有效证明文件或未提供社保缴纳证明文件的，其响应文件将被拒绝），数据电子备份响应文件（U 盘）应在磋商截止时间前送达，</w:t>
            </w:r>
            <w:r>
              <w:rPr>
                <w:rFonts w:hint="eastAsia" w:ascii="仿宋" w:hAnsi="仿宋" w:eastAsia="仿宋" w:cs="仿宋"/>
                <w:b/>
                <w:sz w:val="24"/>
              </w:rPr>
              <w:t>超过磋商截止时间前送达的，按未提供处理。</w:t>
            </w:r>
          </w:p>
        </w:tc>
      </w:tr>
      <w:tr w14:paraId="22571F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1"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7BA8149E">
            <w:pPr>
              <w:spacing w:line="320" w:lineRule="exact"/>
              <w:jc w:val="center"/>
              <w:rPr>
                <w:rFonts w:ascii="仿宋" w:hAnsi="仿宋" w:eastAsia="仿宋" w:cs="仿宋"/>
                <w:sz w:val="24"/>
              </w:rPr>
            </w:pPr>
            <w:r>
              <w:rPr>
                <w:rFonts w:hint="eastAsia" w:ascii="仿宋" w:hAnsi="仿宋" w:eastAsia="仿宋" w:cs="仿宋"/>
                <w:sz w:val="24"/>
              </w:rPr>
              <w:t>10</w:t>
            </w:r>
          </w:p>
        </w:tc>
        <w:tc>
          <w:tcPr>
            <w:tcW w:w="2585" w:type="dxa"/>
            <w:tcBorders>
              <w:top w:val="single" w:color="auto" w:sz="4" w:space="0"/>
              <w:left w:val="single" w:color="auto" w:sz="4" w:space="0"/>
              <w:bottom w:val="single" w:color="auto" w:sz="4" w:space="0"/>
              <w:right w:val="single" w:color="auto" w:sz="4" w:space="0"/>
            </w:tcBorders>
            <w:vAlign w:val="center"/>
          </w:tcPr>
          <w:p w14:paraId="16A5374A">
            <w:pPr>
              <w:spacing w:line="320" w:lineRule="exact"/>
              <w:jc w:val="center"/>
              <w:rPr>
                <w:rFonts w:ascii="仿宋" w:hAnsi="仿宋" w:eastAsia="仿宋" w:cs="仿宋"/>
                <w:bCs/>
                <w:sz w:val="24"/>
              </w:rPr>
            </w:pPr>
            <w:r>
              <w:rPr>
                <w:rFonts w:hint="eastAsia" w:ascii="仿宋" w:hAnsi="仿宋" w:eastAsia="仿宋" w:cs="仿宋"/>
                <w:bCs/>
                <w:sz w:val="24"/>
              </w:rPr>
              <w:t>电子加密响应文件的解密和异常情况处理</w:t>
            </w:r>
          </w:p>
        </w:tc>
        <w:tc>
          <w:tcPr>
            <w:tcW w:w="6729" w:type="dxa"/>
            <w:tcBorders>
              <w:top w:val="single" w:color="auto" w:sz="4" w:space="0"/>
              <w:left w:val="single" w:color="auto" w:sz="4" w:space="0"/>
              <w:bottom w:val="single" w:color="auto" w:sz="4" w:space="0"/>
              <w:right w:val="single" w:color="auto" w:sz="4" w:space="0"/>
            </w:tcBorders>
            <w:vAlign w:val="center"/>
          </w:tcPr>
          <w:p w14:paraId="1EA91F39">
            <w:pPr>
              <w:rPr>
                <w:rFonts w:ascii="仿宋" w:hAnsi="仿宋" w:eastAsia="仿宋" w:cs="仿宋"/>
                <w:bCs/>
                <w:sz w:val="24"/>
              </w:rPr>
            </w:pPr>
            <w:r>
              <w:rPr>
                <w:rFonts w:hint="eastAsia" w:ascii="仿宋" w:hAnsi="仿宋" w:eastAsia="仿宋" w:cs="仿宋"/>
                <w:bCs/>
                <w:sz w:val="24"/>
              </w:rPr>
              <w:t>（1）开标后，采购组织机构将向各供应商发出“电子加密响应文件”的解密通知，各供应商代表应当在接到解密通知后 30 分钟内自行完成“电子加密响应文件”的在线解密。</w:t>
            </w:r>
          </w:p>
          <w:p w14:paraId="1D7D1CCA">
            <w:pPr>
              <w:rPr>
                <w:rFonts w:ascii="仿宋" w:hAnsi="仿宋" w:eastAsia="仿宋" w:cs="仿宋"/>
                <w:bCs/>
                <w:sz w:val="24"/>
              </w:rPr>
            </w:pPr>
            <w:r>
              <w:rPr>
                <w:rFonts w:hint="eastAsia" w:ascii="仿宋" w:hAnsi="仿宋" w:eastAsia="仿宋" w:cs="仿宋"/>
                <w:bCs/>
                <w:sz w:val="24"/>
              </w:rPr>
              <w:t>（2）通过“政府采购云平台”成功上传递交的“电子加密响应文件”无法按时解密， 供应商如按规定递交了“备份响应文件”的，以“备份响应文件”为依据（由采购组织机构按“政府采购云平台”操作规范将“备份响应文件”上传至“政府采购云平台”，上传成功后，“电子加密响应文件”自动失效），否则视为响应文件撤回。</w:t>
            </w:r>
          </w:p>
          <w:p w14:paraId="1F83B334">
            <w:pPr>
              <w:rPr>
                <w:rFonts w:ascii="仿宋" w:hAnsi="仿宋" w:eastAsia="仿宋" w:cs="仿宋"/>
                <w:b/>
                <w:bCs/>
                <w:kern w:val="0"/>
                <w:sz w:val="24"/>
              </w:rPr>
            </w:pPr>
            <w:r>
              <w:rPr>
                <w:rFonts w:hint="eastAsia" w:ascii="仿宋" w:hAnsi="仿宋" w:eastAsia="仿宋" w:cs="仿宋"/>
                <w:bCs/>
                <w:sz w:val="24"/>
              </w:rPr>
              <w:t>（3）磋商截止时间前，供应商仅递交了“备份响应文件”而未将电子加密响应文件上传至“政府采购云平台”的，响应无效。</w:t>
            </w:r>
          </w:p>
        </w:tc>
      </w:tr>
      <w:tr w14:paraId="564602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1"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439D7438">
            <w:pPr>
              <w:spacing w:line="320" w:lineRule="exact"/>
              <w:jc w:val="center"/>
              <w:rPr>
                <w:rFonts w:ascii="仿宋" w:hAnsi="仿宋" w:eastAsia="仿宋" w:cs="仿宋"/>
                <w:sz w:val="24"/>
              </w:rPr>
            </w:pPr>
            <w:r>
              <w:rPr>
                <w:rFonts w:hint="eastAsia" w:ascii="仿宋" w:hAnsi="仿宋" w:eastAsia="仿宋" w:cs="仿宋"/>
                <w:sz w:val="24"/>
              </w:rPr>
              <w:t>11</w:t>
            </w:r>
          </w:p>
        </w:tc>
        <w:tc>
          <w:tcPr>
            <w:tcW w:w="2585" w:type="dxa"/>
            <w:tcBorders>
              <w:top w:val="single" w:color="auto" w:sz="4" w:space="0"/>
              <w:left w:val="single" w:color="auto" w:sz="4" w:space="0"/>
              <w:bottom w:val="single" w:color="auto" w:sz="4" w:space="0"/>
              <w:right w:val="single" w:color="auto" w:sz="4" w:space="0"/>
            </w:tcBorders>
            <w:vAlign w:val="center"/>
          </w:tcPr>
          <w:p w14:paraId="6F5CA83E">
            <w:pPr>
              <w:spacing w:line="320" w:lineRule="exact"/>
              <w:jc w:val="center"/>
              <w:rPr>
                <w:rFonts w:ascii="仿宋" w:hAnsi="仿宋" w:eastAsia="仿宋" w:cs="仿宋"/>
                <w:bCs/>
                <w:sz w:val="24"/>
              </w:rPr>
            </w:pPr>
            <w:r>
              <w:rPr>
                <w:rFonts w:hint="eastAsia" w:ascii="仿宋" w:hAnsi="仿宋" w:eastAsia="仿宋" w:cs="仿宋"/>
                <w:bCs/>
                <w:sz w:val="24"/>
              </w:rPr>
              <w:t>资格审查须递交的资料</w:t>
            </w:r>
          </w:p>
        </w:tc>
        <w:tc>
          <w:tcPr>
            <w:tcW w:w="6729" w:type="dxa"/>
            <w:tcBorders>
              <w:top w:val="single" w:color="auto" w:sz="4" w:space="0"/>
              <w:left w:val="single" w:color="auto" w:sz="4" w:space="0"/>
              <w:bottom w:val="single" w:color="auto" w:sz="4" w:space="0"/>
              <w:right w:val="single" w:color="auto" w:sz="4" w:space="0"/>
            </w:tcBorders>
            <w:vAlign w:val="center"/>
          </w:tcPr>
          <w:p w14:paraId="7E67E9BF">
            <w:pPr>
              <w:widowControl/>
              <w:spacing w:before="75" w:after="75"/>
              <w:ind w:left="240" w:hanging="240" w:hangingChars="100"/>
              <w:jc w:val="left"/>
              <w:rPr>
                <w:rFonts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z w:val="24"/>
              </w:rPr>
              <w:t>磋商声明书</w:t>
            </w:r>
            <w:r>
              <w:rPr>
                <w:rFonts w:hint="eastAsia" w:ascii="仿宋" w:hAnsi="仿宋" w:eastAsia="仿宋" w:cs="仿宋"/>
                <w:kern w:val="0"/>
                <w:sz w:val="24"/>
              </w:rPr>
              <w:t>；</w:t>
            </w:r>
          </w:p>
          <w:p w14:paraId="07A115C2">
            <w:pPr>
              <w:widowControl/>
              <w:spacing w:before="75" w:after="75"/>
              <w:jc w:val="left"/>
              <w:rPr>
                <w:rFonts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z w:val="24"/>
              </w:rPr>
              <w:t>企业资料</w:t>
            </w:r>
            <w:r>
              <w:rPr>
                <w:rFonts w:hint="eastAsia" w:ascii="仿宋" w:hAnsi="仿宋" w:eastAsia="仿宋" w:cs="仿宋"/>
                <w:kern w:val="0"/>
                <w:sz w:val="24"/>
              </w:rPr>
              <w:t>；</w:t>
            </w:r>
          </w:p>
          <w:p w14:paraId="0E11C890">
            <w:pPr>
              <w:widowControl/>
              <w:spacing w:before="75" w:after="75"/>
              <w:jc w:val="left"/>
              <w:rPr>
                <w:rFonts w:ascii="仿宋" w:hAnsi="仿宋" w:eastAsia="仿宋" w:cs="仿宋"/>
                <w:kern w:val="0"/>
                <w:sz w:val="24"/>
              </w:rPr>
            </w:pPr>
            <w:r>
              <w:rPr>
                <w:rFonts w:hint="eastAsia" w:ascii="仿宋" w:hAnsi="仿宋" w:eastAsia="仿宋" w:cs="仿宋"/>
                <w:kern w:val="0"/>
                <w:sz w:val="24"/>
              </w:rPr>
              <w:t>3、</w:t>
            </w:r>
            <w:r>
              <w:rPr>
                <w:rFonts w:hint="eastAsia" w:ascii="仿宋" w:hAnsi="仿宋" w:eastAsia="仿宋" w:cs="仿宋"/>
                <w:sz w:val="24"/>
              </w:rPr>
              <w:t>法定代表人身份证明书</w:t>
            </w:r>
            <w:r>
              <w:rPr>
                <w:rFonts w:hint="eastAsia" w:ascii="仿宋" w:hAnsi="仿宋" w:eastAsia="仿宋" w:cs="仿宋"/>
                <w:kern w:val="0"/>
                <w:sz w:val="24"/>
              </w:rPr>
              <w:t>；</w:t>
            </w:r>
          </w:p>
          <w:p w14:paraId="455F4450">
            <w:pPr>
              <w:widowControl/>
              <w:spacing w:before="75" w:after="75"/>
              <w:ind w:left="240" w:hanging="240" w:hangingChars="100"/>
              <w:jc w:val="left"/>
              <w:rPr>
                <w:rFonts w:ascii="仿宋" w:hAnsi="仿宋" w:eastAsia="仿宋" w:cs="仿宋"/>
                <w:kern w:val="0"/>
                <w:sz w:val="24"/>
              </w:rPr>
            </w:pPr>
            <w:r>
              <w:rPr>
                <w:rFonts w:hint="eastAsia" w:ascii="仿宋" w:hAnsi="仿宋" w:eastAsia="仿宋" w:cs="仿宋"/>
                <w:kern w:val="0"/>
                <w:sz w:val="24"/>
              </w:rPr>
              <w:t>4、</w:t>
            </w:r>
            <w:r>
              <w:rPr>
                <w:rFonts w:hint="eastAsia" w:ascii="仿宋" w:hAnsi="仿宋" w:eastAsia="仿宋" w:cs="仿宋"/>
                <w:sz w:val="24"/>
              </w:rPr>
              <w:t>授权委托书和授权代表社保缴费凭证</w:t>
            </w:r>
            <w:r>
              <w:rPr>
                <w:rFonts w:hint="eastAsia" w:ascii="仿宋" w:hAnsi="仿宋" w:eastAsia="仿宋" w:cs="仿宋"/>
                <w:kern w:val="0"/>
                <w:sz w:val="24"/>
              </w:rPr>
              <w:t>；</w:t>
            </w:r>
          </w:p>
          <w:p w14:paraId="44D5B344">
            <w:pPr>
              <w:widowControl/>
              <w:spacing w:before="75" w:after="75"/>
              <w:jc w:val="left"/>
              <w:rPr>
                <w:rFonts w:ascii="仿宋" w:hAnsi="仿宋" w:eastAsia="仿宋" w:cs="仿宋"/>
                <w:kern w:val="0"/>
                <w:sz w:val="24"/>
              </w:rPr>
            </w:pPr>
            <w:r>
              <w:rPr>
                <w:rFonts w:hint="eastAsia" w:ascii="仿宋" w:hAnsi="仿宋" w:eastAsia="仿宋" w:cs="仿宋"/>
                <w:kern w:val="0"/>
                <w:sz w:val="24"/>
              </w:rPr>
              <w:t>5、信用承诺书；</w:t>
            </w:r>
          </w:p>
          <w:p w14:paraId="134BB01A">
            <w:pPr>
              <w:widowControl/>
              <w:spacing w:before="75" w:after="75"/>
              <w:ind w:left="240" w:hanging="240" w:hangingChars="100"/>
              <w:jc w:val="left"/>
              <w:rPr>
                <w:rFonts w:ascii="仿宋" w:hAnsi="仿宋" w:eastAsia="仿宋"/>
                <w:kern w:val="0"/>
                <w:sz w:val="24"/>
              </w:rPr>
            </w:pPr>
            <w:r>
              <w:rPr>
                <w:rFonts w:hint="eastAsia" w:ascii="仿宋" w:hAnsi="仿宋" w:eastAsia="仿宋" w:cs="仿宋"/>
                <w:kern w:val="0"/>
                <w:sz w:val="24"/>
              </w:rPr>
              <w:t>6、</w:t>
            </w:r>
            <w:r>
              <w:rPr>
                <w:rFonts w:hint="eastAsia" w:ascii="仿宋" w:hAnsi="仿宋" w:eastAsia="仿宋" w:cs="仿宋"/>
                <w:bCs/>
                <w:sz w:val="24"/>
              </w:rPr>
              <w:t>中小企业声明函或</w:t>
            </w:r>
            <w:r>
              <w:rPr>
                <w:rFonts w:hint="eastAsia" w:ascii="仿宋" w:hAnsi="仿宋" w:eastAsia="仿宋"/>
                <w:kern w:val="0"/>
                <w:sz w:val="24"/>
              </w:rPr>
              <w:t>监狱企业声明函或残疾人福利性单位声明函；</w:t>
            </w:r>
          </w:p>
          <w:p w14:paraId="34996E1C">
            <w:pPr>
              <w:ind w:left="240" w:hanging="240" w:hangingChars="100"/>
              <w:jc w:val="left"/>
              <w:rPr>
                <w:rFonts w:ascii="仿宋" w:hAnsi="仿宋" w:eastAsia="仿宋"/>
                <w:kern w:val="0"/>
                <w:sz w:val="24"/>
              </w:rPr>
            </w:pPr>
            <w:r>
              <w:rPr>
                <w:rFonts w:hint="eastAsia" w:ascii="仿宋" w:hAnsi="仿宋" w:eastAsia="仿宋"/>
                <w:kern w:val="0"/>
                <w:sz w:val="24"/>
              </w:rPr>
              <w:t>7、承诺书（后附</w:t>
            </w:r>
            <w:r>
              <w:rPr>
                <w:rFonts w:hint="eastAsia" w:ascii="仿宋" w:hAnsi="仿宋" w:eastAsia="仿宋" w:cs="仿宋"/>
                <w:kern w:val="0"/>
                <w:sz w:val="24"/>
              </w:rPr>
              <w:t>“信用中国”网站www.creditchina.gov.cn、“中国政府采购网”www.ccgp.gov.cn）查询结果截图</w:t>
            </w:r>
            <w:r>
              <w:rPr>
                <w:rFonts w:hint="eastAsia" w:ascii="仿宋" w:hAnsi="仿宋" w:eastAsia="仿宋"/>
                <w:kern w:val="0"/>
                <w:sz w:val="24"/>
              </w:rPr>
              <w:t>）。</w:t>
            </w:r>
          </w:p>
          <w:p w14:paraId="394FD383">
            <w:pPr>
              <w:jc w:val="left"/>
              <w:rPr>
                <w:rFonts w:ascii="仿宋" w:hAnsi="仿宋" w:eastAsia="仿宋" w:cs="仿宋"/>
                <w:kern w:val="0"/>
                <w:sz w:val="24"/>
              </w:rPr>
            </w:pPr>
            <w:r>
              <w:rPr>
                <w:rFonts w:hint="eastAsia" w:ascii="仿宋" w:hAnsi="仿宋" w:eastAsia="仿宋" w:cs="仿宋"/>
                <w:b/>
                <w:bCs/>
                <w:kern w:val="0"/>
                <w:sz w:val="24"/>
              </w:rPr>
              <w:t>备注:</w:t>
            </w:r>
            <w:r>
              <w:rPr>
                <w:rFonts w:hint="eastAsia" w:ascii="仿宋" w:hAnsi="仿宋" w:eastAsia="仿宋" w:cs="仿宋"/>
                <w:b/>
                <w:sz w:val="24"/>
              </w:rPr>
              <w:t>供应商未按要求提供相应资格文件的，资格审查将视为不通过。</w:t>
            </w:r>
          </w:p>
        </w:tc>
      </w:tr>
      <w:tr w14:paraId="54B803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250C5052">
            <w:pPr>
              <w:spacing w:line="320" w:lineRule="exact"/>
              <w:jc w:val="center"/>
              <w:rPr>
                <w:rFonts w:ascii="仿宋" w:hAnsi="仿宋" w:eastAsia="仿宋" w:cs="仿宋"/>
                <w:sz w:val="24"/>
              </w:rPr>
            </w:pPr>
            <w:r>
              <w:rPr>
                <w:rFonts w:hint="eastAsia" w:ascii="仿宋" w:hAnsi="仿宋" w:eastAsia="仿宋" w:cs="仿宋"/>
                <w:sz w:val="24"/>
              </w:rPr>
              <w:t>12</w:t>
            </w:r>
          </w:p>
        </w:tc>
        <w:tc>
          <w:tcPr>
            <w:tcW w:w="2585" w:type="dxa"/>
            <w:tcBorders>
              <w:top w:val="single" w:color="auto" w:sz="4" w:space="0"/>
              <w:left w:val="single" w:color="auto" w:sz="4" w:space="0"/>
              <w:bottom w:val="single" w:color="auto" w:sz="4" w:space="0"/>
              <w:right w:val="single" w:color="auto" w:sz="4" w:space="0"/>
            </w:tcBorders>
            <w:vAlign w:val="center"/>
          </w:tcPr>
          <w:p w14:paraId="6BB57C3D">
            <w:pPr>
              <w:spacing w:line="320" w:lineRule="exact"/>
              <w:jc w:val="center"/>
              <w:rPr>
                <w:rFonts w:ascii="仿宋" w:hAnsi="仿宋" w:eastAsia="仿宋" w:cs="仿宋"/>
                <w:sz w:val="24"/>
              </w:rPr>
            </w:pPr>
            <w:r>
              <w:rPr>
                <w:rFonts w:hint="eastAsia" w:ascii="仿宋" w:hAnsi="仿宋" w:eastAsia="仿宋" w:cs="仿宋"/>
                <w:sz w:val="24"/>
              </w:rPr>
              <w:t>磋商时间</w:t>
            </w:r>
          </w:p>
          <w:p w14:paraId="41AF8141">
            <w:pPr>
              <w:spacing w:line="320" w:lineRule="exact"/>
              <w:jc w:val="center"/>
              <w:rPr>
                <w:rFonts w:ascii="仿宋" w:hAnsi="仿宋" w:eastAsia="仿宋" w:cs="仿宋"/>
                <w:sz w:val="24"/>
              </w:rPr>
            </w:pPr>
            <w:r>
              <w:rPr>
                <w:rFonts w:hint="eastAsia" w:ascii="仿宋" w:hAnsi="仿宋" w:eastAsia="仿宋" w:cs="仿宋"/>
                <w:sz w:val="24"/>
              </w:rPr>
              <w:t>（磋商截止时间）</w:t>
            </w:r>
          </w:p>
        </w:tc>
        <w:tc>
          <w:tcPr>
            <w:tcW w:w="6729" w:type="dxa"/>
            <w:tcBorders>
              <w:top w:val="single" w:color="auto" w:sz="4" w:space="0"/>
              <w:left w:val="single" w:color="auto" w:sz="4" w:space="0"/>
              <w:bottom w:val="single" w:color="auto" w:sz="4" w:space="0"/>
              <w:right w:val="single" w:color="auto" w:sz="4" w:space="0"/>
            </w:tcBorders>
            <w:vAlign w:val="center"/>
          </w:tcPr>
          <w:p w14:paraId="4769CE82">
            <w:pPr>
              <w:snapToGrid w:val="0"/>
              <w:spacing w:line="320" w:lineRule="exact"/>
              <w:rPr>
                <w:rFonts w:ascii="仿宋" w:hAnsi="仿宋" w:eastAsia="仿宋" w:cs="仿宋"/>
                <w:kern w:val="0"/>
                <w:sz w:val="24"/>
              </w:rPr>
            </w:pPr>
            <w:r>
              <w:rPr>
                <w:rFonts w:hint="eastAsia" w:ascii="仿宋" w:hAnsi="仿宋" w:eastAsia="仿宋" w:cs="仿宋"/>
                <w:b/>
                <w:bCs/>
                <w:kern w:val="0"/>
                <w:sz w:val="24"/>
                <w:lang w:eastAsia="zh-CN"/>
              </w:rPr>
              <w:t>2024年7月9日 09:30</w:t>
            </w:r>
          </w:p>
        </w:tc>
      </w:tr>
      <w:tr w14:paraId="58B649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29C3ABC8">
            <w:pPr>
              <w:spacing w:line="320" w:lineRule="exact"/>
              <w:jc w:val="center"/>
              <w:rPr>
                <w:rFonts w:ascii="仿宋" w:hAnsi="仿宋" w:eastAsia="仿宋" w:cs="仿宋"/>
                <w:sz w:val="24"/>
              </w:rPr>
            </w:pPr>
            <w:r>
              <w:rPr>
                <w:rFonts w:hint="eastAsia" w:ascii="仿宋" w:hAnsi="仿宋" w:eastAsia="仿宋" w:cs="仿宋"/>
                <w:sz w:val="24"/>
              </w:rPr>
              <w:t>13</w:t>
            </w:r>
          </w:p>
        </w:tc>
        <w:tc>
          <w:tcPr>
            <w:tcW w:w="2585" w:type="dxa"/>
            <w:tcBorders>
              <w:top w:val="single" w:color="auto" w:sz="4" w:space="0"/>
              <w:left w:val="single" w:color="auto" w:sz="4" w:space="0"/>
              <w:bottom w:val="single" w:color="auto" w:sz="4" w:space="0"/>
              <w:right w:val="single" w:color="auto" w:sz="4" w:space="0"/>
            </w:tcBorders>
            <w:vAlign w:val="center"/>
          </w:tcPr>
          <w:p w14:paraId="0E98C0BC">
            <w:pPr>
              <w:spacing w:line="320" w:lineRule="exact"/>
              <w:jc w:val="center"/>
              <w:rPr>
                <w:rFonts w:ascii="仿宋" w:hAnsi="仿宋" w:eastAsia="仿宋" w:cs="仿宋"/>
                <w:kern w:val="0"/>
                <w:sz w:val="24"/>
              </w:rPr>
            </w:pPr>
            <w:r>
              <w:rPr>
                <w:rFonts w:hint="eastAsia" w:ascii="仿宋" w:hAnsi="仿宋" w:eastAsia="仿宋" w:cs="仿宋"/>
                <w:kern w:val="0"/>
                <w:sz w:val="24"/>
              </w:rPr>
              <w:t>磋商地点</w:t>
            </w:r>
          </w:p>
        </w:tc>
        <w:tc>
          <w:tcPr>
            <w:tcW w:w="6729" w:type="dxa"/>
            <w:tcBorders>
              <w:top w:val="single" w:color="auto" w:sz="4" w:space="0"/>
              <w:left w:val="single" w:color="auto" w:sz="4" w:space="0"/>
              <w:bottom w:val="single" w:color="auto" w:sz="4" w:space="0"/>
              <w:right w:val="single" w:color="auto" w:sz="4" w:space="0"/>
            </w:tcBorders>
            <w:vAlign w:val="center"/>
          </w:tcPr>
          <w:p w14:paraId="58C7E2EB">
            <w:pPr>
              <w:adjustRightInd w:val="0"/>
              <w:snapToGrid w:val="0"/>
              <w:spacing w:line="400" w:lineRule="exact"/>
              <w:rPr>
                <w:rFonts w:ascii="仿宋" w:hAnsi="仿宋" w:eastAsia="仿宋" w:cs="仿宋"/>
                <w:b/>
                <w:bCs/>
                <w:sz w:val="24"/>
                <w:u w:val="single"/>
              </w:rPr>
            </w:pPr>
            <w:r>
              <w:rPr>
                <w:rFonts w:hint="eastAsia" w:ascii="仿宋" w:hAnsi="仿宋" w:eastAsia="仿宋" w:cs="仿宋"/>
                <w:bCs/>
                <w:kern w:val="0"/>
                <w:sz w:val="24"/>
              </w:rPr>
              <w:t>湖州市公共资源交易中心（湖州市仁皇山片区金盖山路66号2号楼2楼）</w:t>
            </w:r>
            <w:r>
              <w:rPr>
                <w:rFonts w:hint="eastAsia" w:ascii="仿宋" w:hAnsi="仿宋" w:eastAsia="仿宋" w:cs="仿宋"/>
                <w:kern w:val="0"/>
                <w:sz w:val="24"/>
              </w:rPr>
              <w:t>,具体详见二楼休息区大屏幕，</w:t>
            </w:r>
            <w:r>
              <w:rPr>
                <w:rFonts w:hint="eastAsia" w:ascii="仿宋" w:hAnsi="仿宋" w:eastAsia="仿宋" w:cs="仿宋"/>
                <w:b/>
                <w:bCs/>
                <w:sz w:val="24"/>
                <w:u w:val="single"/>
              </w:rPr>
              <w:t>仅提供备份响应文件的，响应无效。</w:t>
            </w:r>
          </w:p>
          <w:p w14:paraId="34AE7D13">
            <w:pPr>
              <w:widowControl/>
              <w:spacing w:line="360" w:lineRule="exact"/>
              <w:jc w:val="left"/>
              <w:rPr>
                <w:rFonts w:ascii="仿宋" w:hAnsi="仿宋" w:eastAsia="仿宋" w:cs="仿宋"/>
                <w:kern w:val="0"/>
                <w:sz w:val="24"/>
              </w:rPr>
            </w:pPr>
            <w:r>
              <w:rPr>
                <w:rFonts w:hint="eastAsia" w:ascii="仿宋" w:hAnsi="仿宋" w:eastAsia="仿宋" w:cs="仿宋"/>
                <w:b/>
                <w:bCs/>
                <w:sz w:val="24"/>
                <w:u w:val="single"/>
              </w:rPr>
              <w:t>未提供备份响应文件，造成项目开评标活动无法进行下去的，相关风险由供应商自行承担。</w:t>
            </w:r>
          </w:p>
        </w:tc>
      </w:tr>
      <w:tr w14:paraId="425331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6418CFD4">
            <w:pPr>
              <w:spacing w:line="320" w:lineRule="exact"/>
              <w:jc w:val="center"/>
              <w:rPr>
                <w:rFonts w:ascii="仿宋" w:hAnsi="仿宋" w:eastAsia="仿宋" w:cs="仿宋"/>
                <w:sz w:val="24"/>
              </w:rPr>
            </w:pPr>
            <w:r>
              <w:rPr>
                <w:rFonts w:hint="eastAsia" w:ascii="仿宋" w:hAnsi="仿宋" w:eastAsia="仿宋" w:cs="仿宋"/>
                <w:sz w:val="24"/>
              </w:rPr>
              <w:t>14</w:t>
            </w:r>
          </w:p>
        </w:tc>
        <w:tc>
          <w:tcPr>
            <w:tcW w:w="2585" w:type="dxa"/>
            <w:tcBorders>
              <w:top w:val="single" w:color="auto" w:sz="4" w:space="0"/>
              <w:left w:val="single" w:color="auto" w:sz="4" w:space="0"/>
              <w:bottom w:val="single" w:color="auto" w:sz="4" w:space="0"/>
              <w:right w:val="single" w:color="auto" w:sz="4" w:space="0"/>
            </w:tcBorders>
            <w:vAlign w:val="center"/>
          </w:tcPr>
          <w:p w14:paraId="5C33E5E2">
            <w:pPr>
              <w:spacing w:line="320" w:lineRule="exact"/>
              <w:jc w:val="center"/>
              <w:rPr>
                <w:rFonts w:ascii="仿宋" w:hAnsi="仿宋" w:eastAsia="仿宋" w:cs="仿宋"/>
                <w:kern w:val="0"/>
                <w:sz w:val="24"/>
              </w:rPr>
            </w:pPr>
            <w:r>
              <w:rPr>
                <w:rFonts w:hint="eastAsia" w:ascii="仿宋" w:hAnsi="仿宋" w:eastAsia="仿宋" w:cs="仿宋"/>
                <w:kern w:val="0"/>
                <w:sz w:val="24"/>
              </w:rPr>
              <w:t>磋商响应文件有效期</w:t>
            </w:r>
          </w:p>
        </w:tc>
        <w:tc>
          <w:tcPr>
            <w:tcW w:w="6729" w:type="dxa"/>
            <w:tcBorders>
              <w:top w:val="single" w:color="auto" w:sz="4" w:space="0"/>
              <w:left w:val="single" w:color="auto" w:sz="4" w:space="0"/>
              <w:bottom w:val="single" w:color="auto" w:sz="4" w:space="0"/>
              <w:right w:val="single" w:color="auto" w:sz="4" w:space="0"/>
            </w:tcBorders>
            <w:vAlign w:val="center"/>
          </w:tcPr>
          <w:p w14:paraId="4E8A600B">
            <w:pPr>
              <w:spacing w:line="320" w:lineRule="exact"/>
              <w:rPr>
                <w:rFonts w:ascii="仿宋" w:hAnsi="仿宋" w:eastAsia="仿宋" w:cs="仿宋"/>
                <w:sz w:val="24"/>
              </w:rPr>
            </w:pPr>
            <w:r>
              <w:rPr>
                <w:rFonts w:hint="eastAsia" w:ascii="仿宋" w:hAnsi="仿宋" w:eastAsia="仿宋" w:cs="仿宋"/>
                <w:sz w:val="24"/>
              </w:rPr>
              <w:t xml:space="preserve">60天（日历天）  </w:t>
            </w:r>
          </w:p>
        </w:tc>
      </w:tr>
      <w:tr w14:paraId="628B5C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76032FC5">
            <w:pPr>
              <w:spacing w:line="320" w:lineRule="exact"/>
              <w:jc w:val="center"/>
              <w:rPr>
                <w:rFonts w:ascii="仿宋" w:hAnsi="仿宋" w:eastAsia="仿宋" w:cs="仿宋"/>
                <w:sz w:val="24"/>
              </w:rPr>
            </w:pPr>
            <w:r>
              <w:rPr>
                <w:rFonts w:hint="eastAsia" w:ascii="仿宋" w:hAnsi="仿宋" w:eastAsia="仿宋" w:cs="仿宋"/>
                <w:sz w:val="24"/>
              </w:rPr>
              <w:t>15</w:t>
            </w:r>
          </w:p>
        </w:tc>
        <w:tc>
          <w:tcPr>
            <w:tcW w:w="2585" w:type="dxa"/>
            <w:tcBorders>
              <w:top w:val="single" w:color="auto" w:sz="4" w:space="0"/>
              <w:left w:val="single" w:color="auto" w:sz="4" w:space="0"/>
              <w:bottom w:val="single" w:color="auto" w:sz="4" w:space="0"/>
              <w:right w:val="single" w:color="auto" w:sz="4" w:space="0"/>
            </w:tcBorders>
            <w:vAlign w:val="center"/>
          </w:tcPr>
          <w:p w14:paraId="45C7EB1D">
            <w:pPr>
              <w:spacing w:line="320" w:lineRule="exact"/>
              <w:jc w:val="center"/>
              <w:rPr>
                <w:rFonts w:ascii="仿宋" w:hAnsi="仿宋" w:eastAsia="仿宋" w:cs="仿宋"/>
                <w:sz w:val="24"/>
              </w:rPr>
            </w:pPr>
            <w:r>
              <w:rPr>
                <w:rFonts w:hint="eastAsia" w:ascii="仿宋" w:hAnsi="仿宋" w:eastAsia="仿宋" w:cs="仿宋"/>
                <w:sz w:val="24"/>
              </w:rPr>
              <w:t>签订合同</w:t>
            </w:r>
          </w:p>
        </w:tc>
        <w:tc>
          <w:tcPr>
            <w:tcW w:w="6729" w:type="dxa"/>
            <w:tcBorders>
              <w:top w:val="single" w:color="auto" w:sz="4" w:space="0"/>
              <w:left w:val="single" w:color="auto" w:sz="4" w:space="0"/>
              <w:bottom w:val="single" w:color="auto" w:sz="4" w:space="0"/>
              <w:right w:val="single" w:color="auto" w:sz="4" w:space="0"/>
            </w:tcBorders>
            <w:vAlign w:val="center"/>
          </w:tcPr>
          <w:p w14:paraId="7E9401D7">
            <w:pPr>
              <w:spacing w:line="320" w:lineRule="exact"/>
              <w:rPr>
                <w:rFonts w:ascii="仿宋" w:hAnsi="仿宋" w:eastAsia="仿宋" w:cs="仿宋"/>
                <w:sz w:val="24"/>
              </w:rPr>
            </w:pPr>
            <w:r>
              <w:rPr>
                <w:rFonts w:hint="eastAsia" w:ascii="仿宋" w:hAnsi="仿宋" w:eastAsia="仿宋" w:cs="仿宋"/>
                <w:sz w:val="24"/>
              </w:rPr>
              <w:t>成交通知书发出后30天内</w:t>
            </w:r>
          </w:p>
        </w:tc>
      </w:tr>
      <w:tr w14:paraId="3A059F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524C5129">
            <w:pPr>
              <w:spacing w:line="320" w:lineRule="exact"/>
              <w:jc w:val="center"/>
              <w:rPr>
                <w:rFonts w:ascii="仿宋" w:hAnsi="仿宋" w:eastAsia="仿宋" w:cs="仿宋"/>
                <w:sz w:val="24"/>
              </w:rPr>
            </w:pPr>
            <w:r>
              <w:rPr>
                <w:rFonts w:hint="eastAsia" w:ascii="仿宋" w:hAnsi="仿宋" w:eastAsia="仿宋" w:cs="仿宋"/>
                <w:sz w:val="24"/>
              </w:rPr>
              <w:t>16</w:t>
            </w:r>
          </w:p>
        </w:tc>
        <w:tc>
          <w:tcPr>
            <w:tcW w:w="2585" w:type="dxa"/>
            <w:tcBorders>
              <w:top w:val="single" w:color="auto" w:sz="4" w:space="0"/>
              <w:left w:val="single" w:color="auto" w:sz="4" w:space="0"/>
              <w:bottom w:val="single" w:color="auto" w:sz="4" w:space="0"/>
              <w:right w:val="single" w:color="auto" w:sz="4" w:space="0"/>
            </w:tcBorders>
            <w:vAlign w:val="center"/>
          </w:tcPr>
          <w:p w14:paraId="13F51671">
            <w:pPr>
              <w:spacing w:line="320" w:lineRule="exact"/>
              <w:jc w:val="center"/>
              <w:rPr>
                <w:rFonts w:ascii="仿宋" w:hAnsi="仿宋" w:eastAsia="仿宋" w:cs="仿宋"/>
                <w:bCs/>
                <w:sz w:val="24"/>
              </w:rPr>
            </w:pPr>
            <w:r>
              <w:rPr>
                <w:rFonts w:hint="eastAsia" w:ascii="仿宋" w:hAnsi="仿宋" w:eastAsia="仿宋" w:cs="仿宋"/>
                <w:bCs/>
                <w:sz w:val="24"/>
              </w:rPr>
              <w:t>磋商办法及标准</w:t>
            </w:r>
          </w:p>
        </w:tc>
        <w:tc>
          <w:tcPr>
            <w:tcW w:w="6729" w:type="dxa"/>
            <w:tcBorders>
              <w:top w:val="single" w:color="auto" w:sz="4" w:space="0"/>
              <w:left w:val="single" w:color="auto" w:sz="4" w:space="0"/>
              <w:bottom w:val="single" w:color="auto" w:sz="4" w:space="0"/>
              <w:right w:val="single" w:color="auto" w:sz="4" w:space="0"/>
            </w:tcBorders>
            <w:vAlign w:val="center"/>
          </w:tcPr>
          <w:p w14:paraId="6CF7FE4A">
            <w:pPr>
              <w:spacing w:line="320" w:lineRule="exact"/>
              <w:rPr>
                <w:rFonts w:ascii="仿宋" w:hAnsi="仿宋" w:eastAsia="仿宋" w:cs="仿宋"/>
                <w:bCs/>
                <w:sz w:val="24"/>
              </w:rPr>
            </w:pPr>
            <w:r>
              <w:rPr>
                <w:rFonts w:hint="eastAsia" w:ascii="仿宋" w:hAnsi="仿宋" w:eastAsia="仿宋" w:cs="仿宋"/>
                <w:bCs/>
                <w:sz w:val="24"/>
              </w:rPr>
              <w:t>详见磋商文件第五章</w:t>
            </w:r>
          </w:p>
        </w:tc>
      </w:tr>
      <w:tr w14:paraId="6AB57E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61B67B44">
            <w:pPr>
              <w:spacing w:line="320" w:lineRule="exact"/>
              <w:jc w:val="center"/>
              <w:rPr>
                <w:rFonts w:ascii="仿宋" w:hAnsi="仿宋" w:eastAsia="仿宋" w:cs="仿宋"/>
                <w:bCs/>
                <w:sz w:val="24"/>
              </w:rPr>
            </w:pPr>
            <w:r>
              <w:rPr>
                <w:rFonts w:hint="eastAsia" w:ascii="仿宋" w:hAnsi="仿宋" w:eastAsia="仿宋" w:cs="仿宋"/>
                <w:bCs/>
                <w:sz w:val="24"/>
              </w:rPr>
              <w:t>17</w:t>
            </w:r>
          </w:p>
        </w:tc>
        <w:tc>
          <w:tcPr>
            <w:tcW w:w="2585" w:type="dxa"/>
            <w:tcBorders>
              <w:top w:val="single" w:color="auto" w:sz="4" w:space="0"/>
              <w:left w:val="single" w:color="auto" w:sz="4" w:space="0"/>
              <w:bottom w:val="single" w:color="auto" w:sz="4" w:space="0"/>
              <w:right w:val="single" w:color="auto" w:sz="4" w:space="0"/>
            </w:tcBorders>
            <w:vAlign w:val="center"/>
          </w:tcPr>
          <w:p w14:paraId="58C3DE90">
            <w:pPr>
              <w:spacing w:line="320" w:lineRule="exact"/>
              <w:jc w:val="center"/>
              <w:rPr>
                <w:rFonts w:ascii="仿宋" w:hAnsi="仿宋" w:eastAsia="仿宋" w:cs="仿宋"/>
                <w:bCs/>
                <w:sz w:val="24"/>
              </w:rPr>
            </w:pPr>
            <w:r>
              <w:rPr>
                <w:rFonts w:hint="eastAsia" w:ascii="仿宋" w:hAnsi="仿宋" w:eastAsia="仿宋" w:cs="仿宋"/>
                <w:bCs/>
                <w:sz w:val="24"/>
              </w:rPr>
              <w:t>采购单位</w:t>
            </w:r>
          </w:p>
        </w:tc>
        <w:tc>
          <w:tcPr>
            <w:tcW w:w="6729" w:type="dxa"/>
            <w:tcBorders>
              <w:top w:val="single" w:color="auto" w:sz="4" w:space="0"/>
              <w:left w:val="single" w:color="auto" w:sz="4" w:space="0"/>
              <w:bottom w:val="single" w:color="auto" w:sz="4" w:space="0"/>
              <w:right w:val="single" w:color="auto" w:sz="4" w:space="0"/>
            </w:tcBorders>
            <w:vAlign w:val="center"/>
          </w:tcPr>
          <w:p w14:paraId="3938C1F1">
            <w:pPr>
              <w:spacing w:line="320" w:lineRule="exact"/>
              <w:rPr>
                <w:rFonts w:ascii="仿宋" w:hAnsi="仿宋" w:eastAsia="仿宋" w:cs="仿宋"/>
                <w:bCs/>
                <w:sz w:val="24"/>
              </w:rPr>
            </w:pPr>
            <w:r>
              <w:rPr>
                <w:rFonts w:hint="eastAsia" w:ascii="仿宋" w:hAnsi="仿宋" w:eastAsia="仿宋" w:cs="仿宋"/>
                <w:bCs/>
                <w:sz w:val="24"/>
              </w:rPr>
              <w:t>详见磋商公告</w:t>
            </w:r>
          </w:p>
        </w:tc>
      </w:tr>
      <w:tr w14:paraId="1D2952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751" w:type="dxa"/>
            <w:tcBorders>
              <w:top w:val="single" w:color="auto" w:sz="4" w:space="0"/>
              <w:left w:val="single" w:color="auto" w:sz="4" w:space="0"/>
              <w:bottom w:val="single" w:color="auto" w:sz="4" w:space="0"/>
              <w:right w:val="single" w:color="auto" w:sz="4" w:space="0"/>
            </w:tcBorders>
            <w:vAlign w:val="center"/>
          </w:tcPr>
          <w:p w14:paraId="1ED27C5F">
            <w:pPr>
              <w:spacing w:line="320" w:lineRule="exact"/>
              <w:jc w:val="center"/>
              <w:rPr>
                <w:rFonts w:ascii="仿宋" w:hAnsi="仿宋" w:eastAsia="仿宋" w:cs="仿宋"/>
                <w:bCs/>
                <w:sz w:val="24"/>
              </w:rPr>
            </w:pPr>
            <w:r>
              <w:rPr>
                <w:rFonts w:hint="eastAsia" w:ascii="仿宋" w:hAnsi="仿宋" w:eastAsia="仿宋" w:cs="仿宋"/>
                <w:bCs/>
                <w:sz w:val="24"/>
              </w:rPr>
              <w:t>18</w:t>
            </w:r>
          </w:p>
        </w:tc>
        <w:tc>
          <w:tcPr>
            <w:tcW w:w="2585" w:type="dxa"/>
            <w:tcBorders>
              <w:top w:val="single" w:color="auto" w:sz="4" w:space="0"/>
              <w:left w:val="single" w:color="auto" w:sz="4" w:space="0"/>
              <w:bottom w:val="single" w:color="auto" w:sz="4" w:space="0"/>
              <w:right w:val="single" w:color="auto" w:sz="4" w:space="0"/>
            </w:tcBorders>
            <w:vAlign w:val="center"/>
          </w:tcPr>
          <w:p w14:paraId="7B79C7CB">
            <w:pPr>
              <w:spacing w:line="320" w:lineRule="exact"/>
              <w:jc w:val="center"/>
              <w:rPr>
                <w:rFonts w:ascii="仿宋" w:hAnsi="仿宋" w:eastAsia="仿宋" w:cs="仿宋"/>
                <w:bCs/>
                <w:sz w:val="24"/>
              </w:rPr>
            </w:pPr>
            <w:r>
              <w:rPr>
                <w:rFonts w:hint="eastAsia" w:ascii="仿宋" w:hAnsi="仿宋" w:eastAsia="仿宋" w:cs="仿宋"/>
                <w:bCs/>
                <w:sz w:val="24"/>
              </w:rPr>
              <w:t>解释</w:t>
            </w:r>
          </w:p>
        </w:tc>
        <w:tc>
          <w:tcPr>
            <w:tcW w:w="6729" w:type="dxa"/>
            <w:tcBorders>
              <w:top w:val="single" w:color="auto" w:sz="4" w:space="0"/>
              <w:left w:val="single" w:color="auto" w:sz="4" w:space="0"/>
              <w:bottom w:val="single" w:color="auto" w:sz="4" w:space="0"/>
              <w:right w:val="single" w:color="auto" w:sz="4" w:space="0"/>
            </w:tcBorders>
            <w:vAlign w:val="center"/>
          </w:tcPr>
          <w:p w14:paraId="1F4A4FE3">
            <w:pPr>
              <w:spacing w:line="320" w:lineRule="exact"/>
              <w:rPr>
                <w:rFonts w:ascii="仿宋" w:hAnsi="仿宋" w:eastAsia="仿宋" w:cs="仿宋"/>
                <w:bCs/>
                <w:sz w:val="24"/>
              </w:rPr>
            </w:pPr>
            <w:r>
              <w:rPr>
                <w:rFonts w:hint="eastAsia" w:ascii="仿宋" w:hAnsi="仿宋" w:eastAsia="仿宋" w:cs="仿宋"/>
                <w:bCs/>
                <w:sz w:val="24"/>
              </w:rPr>
              <w:t>本磋商文件的解释权属于采购人及采购代理机构</w:t>
            </w:r>
          </w:p>
        </w:tc>
      </w:tr>
    </w:tbl>
    <w:p w14:paraId="3506BA5E">
      <w:pPr>
        <w:spacing w:line="400" w:lineRule="exact"/>
        <w:jc w:val="left"/>
        <w:rPr>
          <w:rFonts w:ascii="仿宋" w:hAnsi="仿宋" w:eastAsia="仿宋" w:cs="仿宋"/>
          <w:b/>
          <w:sz w:val="24"/>
        </w:rPr>
      </w:pPr>
      <w:bookmarkStart w:id="7" w:name="_Toc15998"/>
      <w:bookmarkStart w:id="8" w:name="_Toc23399"/>
      <w:bookmarkStart w:id="9" w:name="_Toc282640696"/>
      <w:r>
        <w:rPr>
          <w:rFonts w:hint="eastAsia" w:ascii="仿宋" w:hAnsi="仿宋" w:eastAsia="仿宋" w:cs="仿宋"/>
          <w:b/>
          <w:sz w:val="24"/>
        </w:rPr>
        <w:t>一、适用范围</w:t>
      </w:r>
      <w:bookmarkEnd w:id="7"/>
      <w:bookmarkEnd w:id="8"/>
      <w:bookmarkEnd w:id="9"/>
    </w:p>
    <w:p w14:paraId="4F8CF0D6">
      <w:pPr>
        <w:spacing w:line="400" w:lineRule="exact"/>
        <w:jc w:val="left"/>
        <w:rPr>
          <w:rFonts w:ascii="仿宋" w:hAnsi="仿宋" w:eastAsia="仿宋" w:cs="仿宋"/>
          <w:bCs/>
          <w:sz w:val="24"/>
        </w:rPr>
      </w:pPr>
      <w:r>
        <w:rPr>
          <w:rFonts w:hint="eastAsia" w:ascii="仿宋" w:hAnsi="仿宋" w:eastAsia="仿宋" w:cs="仿宋"/>
          <w:bCs/>
          <w:sz w:val="24"/>
        </w:rPr>
        <w:t xml:space="preserve">   仅适用于本次竞争性磋商采购所叙述的工程、货物和服务。</w:t>
      </w:r>
      <w:bookmarkStart w:id="10" w:name="_Toc282640697"/>
    </w:p>
    <w:p w14:paraId="01937057">
      <w:pPr>
        <w:spacing w:line="400" w:lineRule="exact"/>
        <w:jc w:val="left"/>
        <w:rPr>
          <w:rFonts w:ascii="仿宋" w:hAnsi="仿宋" w:eastAsia="仿宋" w:cs="仿宋"/>
          <w:b/>
          <w:sz w:val="24"/>
        </w:rPr>
      </w:pPr>
      <w:r>
        <w:rPr>
          <w:rFonts w:hint="eastAsia" w:ascii="仿宋" w:hAnsi="仿宋" w:eastAsia="仿宋" w:cs="仿宋"/>
          <w:bCs/>
          <w:sz w:val="24"/>
        </w:rPr>
        <w:t>二、</w:t>
      </w:r>
      <w:r>
        <w:rPr>
          <w:rFonts w:hint="eastAsia" w:ascii="仿宋" w:hAnsi="仿宋" w:eastAsia="仿宋" w:cs="仿宋"/>
          <w:b/>
          <w:sz w:val="24"/>
        </w:rPr>
        <w:t>定义</w:t>
      </w:r>
      <w:bookmarkEnd w:id="10"/>
    </w:p>
    <w:p w14:paraId="1CFA8CB2">
      <w:pPr>
        <w:spacing w:line="400" w:lineRule="exact"/>
        <w:ind w:firstLine="240" w:firstLineChars="100"/>
        <w:jc w:val="left"/>
        <w:rPr>
          <w:rFonts w:ascii="仿宋" w:hAnsi="仿宋" w:eastAsia="仿宋" w:cs="仿宋"/>
          <w:bCs/>
          <w:sz w:val="24"/>
        </w:rPr>
      </w:pPr>
      <w:r>
        <w:rPr>
          <w:rFonts w:hint="eastAsia" w:ascii="仿宋" w:hAnsi="仿宋" w:eastAsia="仿宋" w:cs="仿宋"/>
          <w:bCs/>
          <w:sz w:val="24"/>
        </w:rPr>
        <w:t>1、“采购人”系指</w:t>
      </w:r>
      <w:r>
        <w:rPr>
          <w:rFonts w:hint="eastAsia" w:ascii="仿宋" w:hAnsi="仿宋" w:eastAsia="仿宋" w:cs="仿宋"/>
          <w:b/>
          <w:sz w:val="24"/>
          <w:u w:val="single"/>
        </w:rPr>
        <w:t>湖州市南浔区双林镇人民政府</w:t>
      </w:r>
      <w:r>
        <w:rPr>
          <w:rFonts w:hint="eastAsia" w:ascii="仿宋" w:hAnsi="仿宋" w:eastAsia="仿宋" w:cs="仿宋"/>
          <w:bCs/>
          <w:sz w:val="24"/>
        </w:rPr>
        <w:t>。</w:t>
      </w:r>
    </w:p>
    <w:p w14:paraId="112037FD">
      <w:pPr>
        <w:spacing w:line="400" w:lineRule="exact"/>
        <w:ind w:firstLine="240" w:firstLineChars="100"/>
        <w:jc w:val="left"/>
        <w:rPr>
          <w:rFonts w:ascii="仿宋" w:hAnsi="仿宋" w:eastAsia="仿宋" w:cs="仿宋"/>
          <w:bCs/>
          <w:sz w:val="24"/>
        </w:rPr>
      </w:pPr>
      <w:r>
        <w:rPr>
          <w:rFonts w:hint="eastAsia" w:ascii="仿宋" w:hAnsi="仿宋" w:eastAsia="仿宋" w:cs="仿宋"/>
          <w:bCs/>
          <w:sz w:val="24"/>
        </w:rPr>
        <w:t>2、“采购代理机构”系指</w:t>
      </w:r>
      <w:r>
        <w:rPr>
          <w:rFonts w:hint="eastAsia" w:ascii="仿宋" w:hAnsi="仿宋" w:eastAsia="仿宋" w:cs="仿宋"/>
          <w:b/>
          <w:sz w:val="24"/>
          <w:u w:val="single"/>
        </w:rPr>
        <w:t>永信恒昌工程管理有限公司</w:t>
      </w:r>
      <w:r>
        <w:rPr>
          <w:rFonts w:hint="eastAsia" w:ascii="仿宋" w:hAnsi="仿宋" w:eastAsia="仿宋" w:cs="仿宋"/>
          <w:bCs/>
          <w:sz w:val="24"/>
        </w:rPr>
        <w:t>。</w:t>
      </w:r>
    </w:p>
    <w:p w14:paraId="5BBCAB4C">
      <w:pPr>
        <w:spacing w:line="400" w:lineRule="exact"/>
        <w:ind w:firstLine="240" w:firstLineChars="100"/>
        <w:jc w:val="left"/>
        <w:rPr>
          <w:rFonts w:ascii="仿宋" w:hAnsi="仿宋" w:eastAsia="仿宋" w:cs="仿宋"/>
          <w:bCs/>
          <w:sz w:val="24"/>
        </w:rPr>
      </w:pPr>
      <w:r>
        <w:rPr>
          <w:rFonts w:hint="eastAsia" w:ascii="仿宋" w:hAnsi="仿宋" w:eastAsia="仿宋" w:cs="仿宋"/>
          <w:bCs/>
          <w:sz w:val="24"/>
        </w:rPr>
        <w:t>3、“供应商”系指向采购代理机构提交磋商响应文件的供应商。</w:t>
      </w:r>
    </w:p>
    <w:p w14:paraId="3C6404A4">
      <w:pPr>
        <w:spacing w:line="400" w:lineRule="exact"/>
        <w:ind w:firstLine="240" w:firstLineChars="100"/>
        <w:jc w:val="left"/>
        <w:rPr>
          <w:rFonts w:ascii="仿宋" w:hAnsi="仿宋" w:eastAsia="仿宋" w:cs="仿宋"/>
          <w:bCs/>
          <w:sz w:val="24"/>
        </w:rPr>
      </w:pPr>
      <w:r>
        <w:rPr>
          <w:rFonts w:hint="eastAsia" w:ascii="仿宋" w:hAnsi="仿宋" w:eastAsia="仿宋" w:cs="仿宋"/>
          <w:bCs/>
          <w:sz w:val="24"/>
        </w:rPr>
        <w:t>4、“服  务”系指磋商文件规定供应商须承担的安装、调试、技术协助、校准、培训、技术指导以及其他类似的义务。</w:t>
      </w:r>
    </w:p>
    <w:p w14:paraId="461B6EAF">
      <w:pPr>
        <w:spacing w:line="400" w:lineRule="exact"/>
        <w:jc w:val="left"/>
        <w:rPr>
          <w:rFonts w:ascii="仿宋" w:hAnsi="仿宋" w:eastAsia="仿宋" w:cs="仿宋"/>
          <w:b/>
          <w:sz w:val="24"/>
        </w:rPr>
      </w:pPr>
      <w:bookmarkStart w:id="11" w:name="_Toc2086"/>
      <w:bookmarkStart w:id="12" w:name="_Toc282640698"/>
      <w:bookmarkStart w:id="13" w:name="_Toc31441"/>
      <w:r>
        <w:rPr>
          <w:rFonts w:hint="eastAsia" w:ascii="仿宋" w:hAnsi="仿宋" w:eastAsia="仿宋" w:cs="仿宋"/>
          <w:b/>
          <w:sz w:val="24"/>
        </w:rPr>
        <w:t>三、供应商的资格要求</w:t>
      </w:r>
      <w:bookmarkEnd w:id="11"/>
      <w:bookmarkEnd w:id="12"/>
      <w:bookmarkEnd w:id="13"/>
    </w:p>
    <w:p w14:paraId="479BE0FA">
      <w:pPr>
        <w:spacing w:line="400" w:lineRule="exact"/>
        <w:rPr>
          <w:rFonts w:ascii="仿宋" w:hAnsi="仿宋" w:eastAsia="仿宋" w:cs="仿宋"/>
          <w:bCs/>
          <w:sz w:val="24"/>
        </w:rPr>
      </w:pPr>
      <w:bookmarkStart w:id="14" w:name="_Toc282640699"/>
      <w:r>
        <w:rPr>
          <w:rFonts w:hint="eastAsia" w:ascii="仿宋" w:hAnsi="仿宋" w:eastAsia="仿宋" w:cs="仿宋"/>
          <w:bCs/>
          <w:sz w:val="24"/>
        </w:rPr>
        <w:t xml:space="preserve">    符合竞争性磋商公告第四条供应商资格要求。</w:t>
      </w:r>
    </w:p>
    <w:p w14:paraId="113462C3">
      <w:pPr>
        <w:spacing w:line="400" w:lineRule="exact"/>
        <w:jc w:val="left"/>
        <w:rPr>
          <w:rFonts w:ascii="仿宋" w:hAnsi="仿宋" w:eastAsia="仿宋" w:cs="仿宋"/>
          <w:b/>
          <w:sz w:val="24"/>
        </w:rPr>
      </w:pPr>
      <w:bookmarkStart w:id="15" w:name="_Toc19212"/>
      <w:bookmarkStart w:id="16" w:name="_Toc12662"/>
      <w:r>
        <w:rPr>
          <w:rFonts w:hint="eastAsia" w:ascii="仿宋" w:hAnsi="仿宋" w:eastAsia="仿宋" w:cs="仿宋"/>
          <w:b/>
          <w:sz w:val="24"/>
        </w:rPr>
        <w:t>四、磋商费用</w:t>
      </w:r>
      <w:bookmarkEnd w:id="14"/>
      <w:bookmarkEnd w:id="15"/>
      <w:bookmarkEnd w:id="16"/>
    </w:p>
    <w:p w14:paraId="0C1421A9">
      <w:pPr>
        <w:spacing w:line="400" w:lineRule="exact"/>
        <w:jc w:val="left"/>
        <w:rPr>
          <w:rFonts w:ascii="仿宋" w:hAnsi="仿宋" w:eastAsia="仿宋" w:cs="仿宋"/>
          <w:bCs/>
          <w:sz w:val="24"/>
        </w:rPr>
      </w:pPr>
      <w:r>
        <w:rPr>
          <w:rFonts w:hint="eastAsia" w:ascii="仿宋" w:hAnsi="仿宋" w:eastAsia="仿宋" w:cs="仿宋"/>
          <w:bCs/>
          <w:sz w:val="24"/>
        </w:rPr>
        <w:t xml:space="preserve">    无论竞争性磋商过程和结果如何，供应商自行承担与磋商响应有关的全部费用。</w:t>
      </w:r>
    </w:p>
    <w:p w14:paraId="044A8ED0">
      <w:pPr>
        <w:spacing w:line="400" w:lineRule="exact"/>
        <w:jc w:val="left"/>
        <w:rPr>
          <w:rFonts w:ascii="仿宋" w:hAnsi="仿宋" w:eastAsia="仿宋" w:cs="仿宋"/>
          <w:b/>
          <w:sz w:val="24"/>
        </w:rPr>
      </w:pPr>
      <w:bookmarkStart w:id="17" w:name="_Toc14194"/>
      <w:bookmarkStart w:id="18" w:name="_Toc282640700"/>
      <w:bookmarkStart w:id="19" w:name="_Toc26958"/>
      <w:bookmarkStart w:id="20" w:name="_Toc282640701"/>
      <w:r>
        <w:rPr>
          <w:rFonts w:hint="eastAsia" w:ascii="仿宋" w:hAnsi="仿宋" w:eastAsia="仿宋" w:cs="仿宋"/>
          <w:b/>
          <w:sz w:val="24"/>
        </w:rPr>
        <w:t>五、竞争性磋商报价</w:t>
      </w:r>
      <w:bookmarkEnd w:id="17"/>
      <w:bookmarkEnd w:id="18"/>
      <w:bookmarkEnd w:id="19"/>
    </w:p>
    <w:p w14:paraId="61C55090">
      <w:pPr>
        <w:spacing w:line="400" w:lineRule="exact"/>
        <w:rPr>
          <w:rFonts w:ascii="仿宋" w:hAnsi="仿宋" w:eastAsia="仿宋" w:cs="仿宋"/>
          <w:bCs/>
          <w:sz w:val="24"/>
        </w:rPr>
      </w:pPr>
      <w:r>
        <w:rPr>
          <w:rFonts w:hint="eastAsia" w:ascii="仿宋" w:hAnsi="仿宋" w:eastAsia="仿宋" w:cs="仿宋"/>
          <w:bCs/>
          <w:sz w:val="24"/>
        </w:rPr>
        <w:t xml:space="preserve">    1、竞争性磋商报价以人民币为结算货币。</w:t>
      </w:r>
    </w:p>
    <w:p w14:paraId="7E20EA73">
      <w:pPr>
        <w:spacing w:line="400" w:lineRule="exact"/>
        <w:rPr>
          <w:rFonts w:ascii="仿宋" w:hAnsi="仿宋" w:eastAsia="仿宋" w:cs="仿宋"/>
          <w:bCs/>
          <w:sz w:val="24"/>
        </w:rPr>
      </w:pPr>
      <w:r>
        <w:rPr>
          <w:rFonts w:hint="eastAsia" w:ascii="仿宋" w:hAnsi="仿宋" w:eastAsia="仿宋" w:cs="仿宋"/>
          <w:bCs/>
          <w:sz w:val="24"/>
        </w:rPr>
        <w:t xml:space="preserve">    2、供应商应按竞争性磋商文件的要求认真填写相应材料，磋商响应文件的大写金额和小写金额不一致的，以大写金额为准；总价金额与按单价汇总金额不一致的，以单价金额计算结果为准；单价金额小数点有明显错位的，应以总价为准，并修改单价。</w:t>
      </w:r>
    </w:p>
    <w:p w14:paraId="32DE620E">
      <w:pPr>
        <w:spacing w:line="400" w:lineRule="exact"/>
        <w:ind w:firstLine="480"/>
        <w:rPr>
          <w:rFonts w:ascii="仿宋" w:hAnsi="仿宋" w:eastAsia="仿宋" w:cs="仿宋"/>
          <w:bCs/>
          <w:sz w:val="24"/>
        </w:rPr>
      </w:pPr>
      <w:r>
        <w:rPr>
          <w:rFonts w:hint="eastAsia" w:ascii="仿宋" w:hAnsi="仿宋" w:eastAsia="仿宋" w:cs="仿宋"/>
          <w:bCs/>
          <w:sz w:val="24"/>
        </w:rPr>
        <w:t>▲3、磋商报价是履行合同的最终价格，即应包括设备及材料的供货、装卸、就位、人工及为完成装修所需的所有费用；供应商应同时列出认为必要的其他费用，招标结束后不再另行增加费用。</w:t>
      </w:r>
    </w:p>
    <w:p w14:paraId="4F946B45">
      <w:pPr>
        <w:spacing w:line="400" w:lineRule="exact"/>
        <w:ind w:firstLine="480"/>
        <w:rPr>
          <w:rFonts w:ascii="仿宋" w:hAnsi="仿宋" w:eastAsia="仿宋" w:cs="仿宋"/>
          <w:sz w:val="28"/>
          <w:szCs w:val="28"/>
        </w:rPr>
      </w:pPr>
      <w:r>
        <w:rPr>
          <w:rFonts w:hint="eastAsia" w:ascii="仿宋" w:hAnsi="仿宋" w:eastAsia="仿宋" w:cs="仿宋"/>
          <w:bCs/>
          <w:sz w:val="24"/>
        </w:rPr>
        <w:t>4、供应商应充分考虑因各种原因可能发生的费用。对没有填报的费用，采购人认为所有费用已包含在总价中，除合同条款另有规定外，不得进行</w:t>
      </w:r>
      <w:r>
        <w:rPr>
          <w:rFonts w:hint="eastAsia" w:ascii="仿宋" w:hAnsi="仿宋" w:eastAsia="仿宋" w:cs="仿宋"/>
          <w:sz w:val="24"/>
        </w:rPr>
        <w:t>调整</w:t>
      </w:r>
      <w:r>
        <w:rPr>
          <w:rFonts w:hint="eastAsia" w:ascii="仿宋" w:hAnsi="仿宋" w:eastAsia="仿宋" w:cs="仿宋"/>
          <w:sz w:val="28"/>
          <w:szCs w:val="28"/>
        </w:rPr>
        <w:t>。</w:t>
      </w:r>
    </w:p>
    <w:p w14:paraId="5D7170DE">
      <w:pPr>
        <w:spacing w:line="400" w:lineRule="exact"/>
        <w:jc w:val="left"/>
        <w:rPr>
          <w:rFonts w:ascii="仿宋" w:hAnsi="仿宋" w:eastAsia="仿宋" w:cs="仿宋"/>
          <w:bCs/>
          <w:sz w:val="24"/>
        </w:rPr>
      </w:pPr>
      <w:bookmarkStart w:id="21" w:name="_Toc7971"/>
      <w:bookmarkStart w:id="22" w:name="_Toc21742"/>
      <w:r>
        <w:rPr>
          <w:rFonts w:hint="eastAsia" w:ascii="仿宋" w:hAnsi="仿宋" w:eastAsia="仿宋" w:cs="仿宋"/>
          <w:b/>
          <w:sz w:val="24"/>
        </w:rPr>
        <w:t>六、</w:t>
      </w:r>
      <w:bookmarkEnd w:id="20"/>
      <w:bookmarkEnd w:id="21"/>
      <w:bookmarkEnd w:id="22"/>
      <w:bookmarkStart w:id="23" w:name="_Toc15229"/>
      <w:bookmarkStart w:id="24" w:name="_Toc9887"/>
      <w:r>
        <w:rPr>
          <w:rFonts w:hint="eastAsia" w:ascii="仿宋" w:hAnsi="仿宋" w:eastAsia="仿宋" w:cs="仿宋"/>
          <w:b/>
          <w:sz w:val="24"/>
        </w:rPr>
        <w:t>履约保证金</w:t>
      </w:r>
      <w:bookmarkEnd w:id="23"/>
      <w:bookmarkEnd w:id="24"/>
    </w:p>
    <w:p w14:paraId="5163CCDD">
      <w:pPr>
        <w:spacing w:line="400" w:lineRule="exact"/>
        <w:ind w:firstLine="480" w:firstLineChars="200"/>
        <w:rPr>
          <w:rFonts w:ascii="仿宋" w:hAnsi="仿宋" w:eastAsia="仿宋" w:cs="仿宋"/>
          <w:color w:val="000000"/>
          <w:sz w:val="24"/>
        </w:rPr>
      </w:pPr>
      <w:bookmarkStart w:id="25" w:name="_Toc414960347"/>
      <w:bookmarkEnd w:id="25"/>
      <w:bookmarkStart w:id="26" w:name="_Toc31890"/>
      <w:bookmarkStart w:id="27" w:name="_Toc27409"/>
      <w:r>
        <w:rPr>
          <w:rFonts w:hint="eastAsia" w:ascii="仿宋" w:hAnsi="仿宋" w:eastAsia="仿宋" w:cs="仿宋"/>
          <w:color w:val="000000"/>
          <w:sz w:val="24"/>
        </w:rPr>
        <w:t>无。</w:t>
      </w:r>
    </w:p>
    <w:p w14:paraId="130A2056">
      <w:pPr>
        <w:spacing w:line="400" w:lineRule="exact"/>
        <w:rPr>
          <w:rFonts w:ascii="仿宋" w:hAnsi="仿宋" w:eastAsia="仿宋" w:cs="仿宋"/>
          <w:b/>
          <w:sz w:val="24"/>
        </w:rPr>
      </w:pPr>
      <w:r>
        <w:rPr>
          <w:rFonts w:hint="eastAsia" w:ascii="仿宋" w:hAnsi="仿宋" w:eastAsia="仿宋" w:cs="仿宋"/>
          <w:b/>
          <w:sz w:val="24"/>
        </w:rPr>
        <w:t>七、磋商文件有效期</w:t>
      </w:r>
      <w:bookmarkEnd w:id="26"/>
      <w:bookmarkEnd w:id="27"/>
    </w:p>
    <w:p w14:paraId="4A039FE8">
      <w:pPr>
        <w:spacing w:line="400" w:lineRule="exact"/>
        <w:rPr>
          <w:rFonts w:ascii="仿宋" w:hAnsi="仿宋" w:eastAsia="仿宋" w:cs="仿宋"/>
          <w:bCs/>
          <w:sz w:val="24"/>
        </w:rPr>
      </w:pPr>
      <w:r>
        <w:rPr>
          <w:rFonts w:hint="eastAsia" w:ascii="仿宋" w:hAnsi="仿宋" w:eastAsia="仿宋" w:cs="仿宋"/>
          <w:bCs/>
          <w:sz w:val="24"/>
        </w:rPr>
        <w:t xml:space="preserve">    1、响应文件从磋商之日起，有效期为60天。</w:t>
      </w:r>
    </w:p>
    <w:p w14:paraId="04BF0BDC">
      <w:pPr>
        <w:spacing w:line="400" w:lineRule="exact"/>
        <w:rPr>
          <w:rFonts w:ascii="仿宋" w:hAnsi="仿宋" w:eastAsia="仿宋" w:cs="仿宋"/>
          <w:bCs/>
          <w:sz w:val="24"/>
        </w:rPr>
      </w:pPr>
      <w:r>
        <w:rPr>
          <w:rFonts w:hint="eastAsia" w:ascii="仿宋" w:hAnsi="仿宋" w:eastAsia="仿宋" w:cs="仿宋"/>
          <w:bCs/>
          <w:sz w:val="24"/>
        </w:rPr>
        <w:t xml:space="preserve">    2、特殊情况下，采购人可与供应商协商延缓响应文件的有效期，这种要求和答复均以书面形式进行。</w:t>
      </w:r>
    </w:p>
    <w:p w14:paraId="6C85F144">
      <w:pPr>
        <w:spacing w:line="400" w:lineRule="exact"/>
        <w:ind w:firstLine="480"/>
        <w:rPr>
          <w:rFonts w:ascii="仿宋" w:hAnsi="仿宋" w:eastAsia="仿宋" w:cs="仿宋"/>
          <w:bCs/>
          <w:sz w:val="24"/>
        </w:rPr>
      </w:pPr>
      <w:r>
        <w:rPr>
          <w:rFonts w:hint="eastAsia" w:ascii="仿宋" w:hAnsi="仿宋" w:eastAsia="仿宋" w:cs="仿宋"/>
          <w:bCs/>
          <w:sz w:val="24"/>
        </w:rPr>
        <w:t>3、供应商可拒绝接受延期要求。同意延长有效期的供应商不能修改磋商响应文件。</w:t>
      </w:r>
      <w:bookmarkStart w:id="28" w:name="_Toc282640702"/>
    </w:p>
    <w:p w14:paraId="0E78FDAB">
      <w:pPr>
        <w:spacing w:line="400" w:lineRule="exact"/>
        <w:rPr>
          <w:rFonts w:ascii="仿宋" w:hAnsi="仿宋" w:eastAsia="仿宋" w:cs="仿宋"/>
          <w:b/>
          <w:sz w:val="24"/>
        </w:rPr>
      </w:pPr>
      <w:r>
        <w:rPr>
          <w:rFonts w:hint="eastAsia" w:ascii="仿宋" w:hAnsi="仿宋" w:eastAsia="仿宋" w:cs="仿宋"/>
          <w:b/>
          <w:sz w:val="24"/>
        </w:rPr>
        <w:t>八、响应文件的组成</w:t>
      </w:r>
      <w:bookmarkEnd w:id="28"/>
      <w:r>
        <w:rPr>
          <w:rFonts w:hint="eastAsia" w:ascii="仿宋" w:hAnsi="仿宋" w:eastAsia="仿宋" w:cs="仿宋"/>
          <w:b/>
          <w:sz w:val="24"/>
        </w:rPr>
        <w:t>（如无格式，格式自拟）</w:t>
      </w:r>
    </w:p>
    <w:p w14:paraId="6F9E1E85">
      <w:pPr>
        <w:spacing w:line="400" w:lineRule="exact"/>
        <w:rPr>
          <w:rFonts w:ascii="仿宋" w:hAnsi="仿宋" w:eastAsia="仿宋" w:cs="仿宋"/>
          <w:bCs/>
          <w:sz w:val="24"/>
        </w:rPr>
      </w:pPr>
      <w:r>
        <w:rPr>
          <w:rFonts w:hint="eastAsia" w:ascii="仿宋" w:hAnsi="仿宋" w:eastAsia="仿宋" w:cs="仿宋"/>
          <w:bCs/>
          <w:sz w:val="24"/>
        </w:rPr>
        <w:t xml:space="preserve">    1、供应商应仔细阅读竞争性磋商文件中的所有内容，按照磋商文件及采购服务要求，详细编制响应文件。并对磋商文件的要求做出实质上的响应。未实质上响应的响应文件将可能导致被拒绝，但允许报价在满足并优于采购要求的前提下出现的微小差异。</w:t>
      </w:r>
    </w:p>
    <w:p w14:paraId="57440753">
      <w:pPr>
        <w:spacing w:line="400" w:lineRule="exact"/>
        <w:rPr>
          <w:rFonts w:ascii="仿宋" w:hAnsi="仿宋" w:eastAsia="仿宋" w:cs="仿宋"/>
          <w:bCs/>
          <w:sz w:val="24"/>
        </w:rPr>
      </w:pPr>
      <w:r>
        <w:rPr>
          <w:rFonts w:hint="eastAsia" w:ascii="仿宋" w:hAnsi="仿宋" w:eastAsia="仿宋" w:cs="仿宋"/>
          <w:bCs/>
          <w:sz w:val="24"/>
        </w:rPr>
        <w:t xml:space="preserve">    2、供应商必须按竞争性磋商文件的要求提供相关技术文件、资料，包括采用的计量单位，并保证响应文件的正确性和真实性，响应文件全部内容应保持一致，否则可能导致不利于其磋商的评定甚至被拒绝。技术和商务如有偏离均应填写偏离表。</w:t>
      </w:r>
    </w:p>
    <w:p w14:paraId="6D1AE0CA">
      <w:pPr>
        <w:spacing w:line="400" w:lineRule="exact"/>
        <w:ind w:firstLine="480"/>
        <w:rPr>
          <w:rFonts w:ascii="仿宋" w:hAnsi="仿宋" w:eastAsia="仿宋" w:cs="仿宋"/>
          <w:bCs/>
          <w:sz w:val="24"/>
        </w:rPr>
      </w:pPr>
      <w:r>
        <w:rPr>
          <w:rFonts w:hint="eastAsia" w:ascii="仿宋" w:hAnsi="仿宋" w:eastAsia="仿宋" w:cs="仿宋"/>
          <w:bCs/>
          <w:sz w:val="24"/>
        </w:rPr>
        <w:t>3、响应文件的组成</w:t>
      </w:r>
    </w:p>
    <w:p w14:paraId="05334757">
      <w:pPr>
        <w:autoSpaceDE w:val="0"/>
        <w:autoSpaceDN w:val="0"/>
        <w:adjustRightInd w:val="0"/>
        <w:snapToGrid w:val="0"/>
        <w:spacing w:line="400" w:lineRule="exact"/>
        <w:ind w:firstLine="487" w:firstLineChars="202"/>
        <w:textAlignment w:val="bottom"/>
        <w:rPr>
          <w:rFonts w:ascii="仿宋" w:hAnsi="仿宋" w:eastAsia="仿宋" w:cs="仿宋"/>
          <w:b/>
          <w:sz w:val="24"/>
        </w:rPr>
      </w:pPr>
      <w:r>
        <w:rPr>
          <w:rFonts w:hint="eastAsia" w:ascii="仿宋" w:hAnsi="仿宋" w:eastAsia="仿宋" w:cs="仿宋"/>
          <w:b/>
          <w:sz w:val="24"/>
        </w:rPr>
        <w:t>1.资格证明文件</w:t>
      </w:r>
    </w:p>
    <w:p w14:paraId="38A11E6C">
      <w:pPr>
        <w:adjustRightInd w:val="0"/>
        <w:snapToGrid w:val="0"/>
        <w:spacing w:line="400" w:lineRule="exact"/>
        <w:ind w:left="420"/>
        <w:jc w:val="left"/>
        <w:rPr>
          <w:rFonts w:ascii="仿宋" w:hAnsi="仿宋" w:eastAsia="仿宋" w:cs="仿宋"/>
          <w:sz w:val="24"/>
        </w:rPr>
      </w:pPr>
      <w:r>
        <w:rPr>
          <w:rFonts w:hint="eastAsia" w:ascii="仿宋" w:hAnsi="仿宋" w:eastAsia="仿宋" w:cs="仿宋"/>
          <w:sz w:val="24"/>
        </w:rPr>
        <w:t>1）</w:t>
      </w:r>
      <w:r>
        <w:rPr>
          <w:rFonts w:hint="eastAsia" w:ascii="仿宋" w:hAnsi="仿宋" w:eastAsia="仿宋" w:cs="仿宋"/>
          <w:bCs/>
          <w:sz w:val="24"/>
        </w:rPr>
        <w:t>磋商声明书</w:t>
      </w:r>
      <w:r>
        <w:rPr>
          <w:rFonts w:hint="eastAsia" w:ascii="仿宋" w:hAnsi="仿宋" w:eastAsia="仿宋" w:cs="仿宋"/>
          <w:sz w:val="24"/>
        </w:rPr>
        <w:t>（格式见附件）；</w:t>
      </w:r>
    </w:p>
    <w:p w14:paraId="28C59967">
      <w:pPr>
        <w:adjustRightInd w:val="0"/>
        <w:snapToGrid w:val="0"/>
        <w:spacing w:line="400" w:lineRule="exact"/>
        <w:ind w:left="660" w:leftChars="200" w:hanging="240" w:hangingChars="100"/>
        <w:jc w:val="left"/>
        <w:rPr>
          <w:rFonts w:ascii="仿宋" w:hAnsi="仿宋" w:eastAsia="仿宋" w:cs="仿宋"/>
          <w:sz w:val="24"/>
        </w:rPr>
      </w:pPr>
      <w:r>
        <w:rPr>
          <w:rFonts w:hint="eastAsia" w:ascii="仿宋" w:hAnsi="仿宋" w:eastAsia="仿宋" w:cs="仿宋"/>
          <w:sz w:val="24"/>
        </w:rPr>
        <w:t>2）企业资料（①营业执照；②开户证明；③资质证书）；</w:t>
      </w:r>
    </w:p>
    <w:p w14:paraId="70555B3F">
      <w:pPr>
        <w:adjustRightInd w:val="0"/>
        <w:snapToGrid w:val="0"/>
        <w:spacing w:line="400" w:lineRule="exact"/>
        <w:ind w:left="420"/>
        <w:jc w:val="left"/>
        <w:rPr>
          <w:rFonts w:ascii="仿宋" w:hAnsi="仿宋" w:eastAsia="仿宋" w:cs="仿宋"/>
          <w:sz w:val="24"/>
        </w:rPr>
      </w:pPr>
      <w:r>
        <w:rPr>
          <w:rFonts w:hint="eastAsia" w:ascii="仿宋" w:hAnsi="仿宋" w:eastAsia="仿宋" w:cs="仿宋"/>
          <w:sz w:val="24"/>
        </w:rPr>
        <w:t>3）法定代表人身份证明书（格式见附件）；</w:t>
      </w:r>
    </w:p>
    <w:p w14:paraId="4CDCE55A">
      <w:pPr>
        <w:adjustRightInd w:val="0"/>
        <w:snapToGrid w:val="0"/>
        <w:spacing w:line="400" w:lineRule="exact"/>
        <w:ind w:left="660" w:leftChars="200" w:hanging="240" w:hangingChars="100"/>
        <w:jc w:val="left"/>
        <w:rPr>
          <w:rFonts w:ascii="仿宋" w:hAnsi="仿宋" w:eastAsia="仿宋" w:cs="仿宋"/>
          <w:sz w:val="24"/>
        </w:rPr>
      </w:pPr>
      <w:r>
        <w:rPr>
          <w:rFonts w:hint="eastAsia" w:ascii="仿宋" w:hAnsi="仿宋" w:eastAsia="仿宋" w:cs="仿宋"/>
          <w:sz w:val="24"/>
        </w:rPr>
        <w:t>4）授权委托书和授权代表社保缴费凭证（提供由本单位缴纳的近三个月中任意一个月的社保缴费凭证）；</w:t>
      </w:r>
    </w:p>
    <w:p w14:paraId="3E5BFF44">
      <w:pPr>
        <w:adjustRightInd w:val="0"/>
        <w:snapToGrid w:val="0"/>
        <w:spacing w:line="400" w:lineRule="exact"/>
        <w:ind w:left="420"/>
        <w:jc w:val="left"/>
        <w:rPr>
          <w:rFonts w:ascii="仿宋" w:hAnsi="仿宋" w:eastAsia="仿宋" w:cs="仿宋"/>
          <w:sz w:val="24"/>
        </w:rPr>
      </w:pPr>
      <w:r>
        <w:rPr>
          <w:rFonts w:hint="eastAsia" w:ascii="仿宋" w:hAnsi="仿宋" w:eastAsia="仿宋" w:cs="仿宋"/>
          <w:sz w:val="24"/>
        </w:rPr>
        <w:t>5）信用承诺书（格式见附件）；</w:t>
      </w:r>
    </w:p>
    <w:p w14:paraId="39E61950">
      <w:pPr>
        <w:adjustRightInd w:val="0"/>
        <w:snapToGrid w:val="0"/>
        <w:spacing w:line="400" w:lineRule="exact"/>
        <w:ind w:left="420"/>
        <w:jc w:val="left"/>
        <w:rPr>
          <w:rFonts w:ascii="仿宋" w:hAnsi="仿宋" w:eastAsia="仿宋" w:cs="仿宋"/>
          <w:sz w:val="24"/>
        </w:rPr>
      </w:pPr>
      <w:r>
        <w:rPr>
          <w:rFonts w:hint="eastAsia" w:ascii="仿宋" w:hAnsi="仿宋" w:eastAsia="仿宋" w:cs="仿宋"/>
          <w:bCs/>
          <w:sz w:val="24"/>
        </w:rPr>
        <w:t>6）中小企业声明函（</w:t>
      </w:r>
      <w:r>
        <w:rPr>
          <w:rFonts w:hint="eastAsia" w:ascii="仿宋" w:hAnsi="仿宋" w:eastAsia="仿宋"/>
          <w:kern w:val="0"/>
          <w:sz w:val="24"/>
        </w:rPr>
        <w:t>如有，</w:t>
      </w:r>
      <w:r>
        <w:rPr>
          <w:rFonts w:hint="eastAsia" w:ascii="仿宋" w:hAnsi="仿宋" w:eastAsia="仿宋" w:cs="仿宋"/>
          <w:bCs/>
          <w:sz w:val="24"/>
        </w:rPr>
        <w:t>格式</w:t>
      </w:r>
      <w:r>
        <w:rPr>
          <w:rFonts w:hint="eastAsia" w:ascii="仿宋" w:hAnsi="仿宋" w:eastAsia="仿宋" w:cs="仿宋"/>
          <w:sz w:val="24"/>
        </w:rPr>
        <w:t>见附件</w:t>
      </w:r>
      <w:r>
        <w:rPr>
          <w:rFonts w:hint="eastAsia" w:ascii="仿宋" w:hAnsi="仿宋" w:eastAsia="仿宋" w:cs="仿宋"/>
          <w:bCs/>
          <w:sz w:val="24"/>
        </w:rPr>
        <w:t>）；</w:t>
      </w:r>
    </w:p>
    <w:p w14:paraId="11232819">
      <w:pPr>
        <w:adjustRightInd w:val="0"/>
        <w:snapToGrid w:val="0"/>
        <w:spacing w:line="400" w:lineRule="exact"/>
        <w:ind w:left="420"/>
        <w:jc w:val="left"/>
        <w:rPr>
          <w:rFonts w:ascii="仿宋" w:hAnsi="仿宋" w:eastAsia="仿宋"/>
          <w:kern w:val="0"/>
          <w:sz w:val="24"/>
        </w:rPr>
      </w:pPr>
      <w:r>
        <w:rPr>
          <w:rFonts w:hint="eastAsia" w:ascii="仿宋" w:hAnsi="仿宋" w:eastAsia="仿宋"/>
          <w:kern w:val="0"/>
          <w:sz w:val="24"/>
        </w:rPr>
        <w:t>7）监狱企业声明函（如有，</w:t>
      </w:r>
      <w:r>
        <w:rPr>
          <w:rFonts w:hint="eastAsia" w:ascii="仿宋" w:hAnsi="仿宋" w:eastAsia="仿宋" w:cs="仿宋"/>
          <w:bCs/>
          <w:sz w:val="24"/>
        </w:rPr>
        <w:t>格式</w:t>
      </w:r>
      <w:r>
        <w:rPr>
          <w:rFonts w:hint="eastAsia" w:ascii="仿宋" w:hAnsi="仿宋" w:eastAsia="仿宋" w:cs="仿宋"/>
          <w:sz w:val="24"/>
        </w:rPr>
        <w:t>见附件</w:t>
      </w:r>
      <w:r>
        <w:rPr>
          <w:rFonts w:hint="eastAsia" w:ascii="仿宋" w:hAnsi="仿宋" w:eastAsia="仿宋"/>
          <w:kern w:val="0"/>
          <w:sz w:val="24"/>
        </w:rPr>
        <w:t>）；</w:t>
      </w:r>
    </w:p>
    <w:p w14:paraId="7E04672C">
      <w:pPr>
        <w:adjustRightInd w:val="0"/>
        <w:snapToGrid w:val="0"/>
        <w:spacing w:line="400" w:lineRule="exact"/>
        <w:ind w:left="420"/>
        <w:jc w:val="left"/>
        <w:rPr>
          <w:rFonts w:ascii="仿宋" w:hAnsi="仿宋" w:eastAsia="仿宋"/>
          <w:kern w:val="0"/>
          <w:sz w:val="24"/>
        </w:rPr>
      </w:pPr>
      <w:r>
        <w:rPr>
          <w:rFonts w:hint="eastAsia" w:ascii="仿宋" w:hAnsi="仿宋" w:eastAsia="仿宋"/>
          <w:kern w:val="0"/>
          <w:sz w:val="24"/>
        </w:rPr>
        <w:t>8）残疾人福利性单位声明函（如有，</w:t>
      </w:r>
      <w:r>
        <w:rPr>
          <w:rFonts w:hint="eastAsia" w:ascii="仿宋" w:hAnsi="仿宋" w:eastAsia="仿宋" w:cs="仿宋"/>
          <w:bCs/>
          <w:sz w:val="24"/>
        </w:rPr>
        <w:t>格式</w:t>
      </w:r>
      <w:r>
        <w:rPr>
          <w:rFonts w:hint="eastAsia" w:ascii="仿宋" w:hAnsi="仿宋" w:eastAsia="仿宋" w:cs="仿宋"/>
          <w:sz w:val="24"/>
        </w:rPr>
        <w:t>见附件</w:t>
      </w:r>
      <w:r>
        <w:rPr>
          <w:rFonts w:hint="eastAsia" w:ascii="仿宋" w:hAnsi="仿宋" w:eastAsia="仿宋"/>
          <w:kern w:val="0"/>
          <w:sz w:val="24"/>
        </w:rPr>
        <w:t>）；</w:t>
      </w:r>
    </w:p>
    <w:p w14:paraId="3C098ED6">
      <w:pPr>
        <w:adjustRightInd w:val="0"/>
        <w:snapToGrid w:val="0"/>
        <w:spacing w:line="400" w:lineRule="exact"/>
        <w:ind w:left="660" w:leftChars="200" w:hanging="240" w:hangingChars="100"/>
        <w:jc w:val="left"/>
        <w:rPr>
          <w:rFonts w:ascii="仿宋" w:hAnsi="仿宋" w:eastAsia="仿宋"/>
          <w:kern w:val="0"/>
          <w:sz w:val="24"/>
        </w:rPr>
      </w:pPr>
      <w:r>
        <w:rPr>
          <w:rFonts w:hint="eastAsia" w:ascii="仿宋" w:hAnsi="仿宋" w:eastAsia="仿宋"/>
          <w:kern w:val="0"/>
          <w:sz w:val="24"/>
        </w:rPr>
        <w:t>9）承诺书（格式见附件，后附“信用中国”网站www.creditchina.gov.cn、“中国政府采购网”www.ccgp.gov.cn）查询结果截图）。</w:t>
      </w:r>
    </w:p>
    <w:p w14:paraId="73242051">
      <w:pPr>
        <w:spacing w:line="550" w:lineRule="exact"/>
        <w:ind w:firstLine="482" w:firstLineChars="200"/>
        <w:rPr>
          <w:rFonts w:ascii="仿宋" w:hAnsi="仿宋" w:eastAsia="仿宋"/>
          <w:b/>
          <w:bCs/>
          <w:kern w:val="0"/>
          <w:sz w:val="24"/>
        </w:rPr>
      </w:pPr>
      <w:r>
        <w:rPr>
          <w:rFonts w:hint="eastAsia" w:ascii="仿宋" w:hAnsi="仿宋" w:eastAsia="仿宋"/>
          <w:b/>
          <w:bCs/>
          <w:kern w:val="0"/>
          <w:sz w:val="24"/>
        </w:rPr>
        <w:t>注：关于中型、小型、微型企业的认定：</w:t>
      </w:r>
    </w:p>
    <w:p w14:paraId="69467D68">
      <w:pPr>
        <w:spacing w:line="550" w:lineRule="exact"/>
        <w:ind w:firstLine="480" w:firstLineChars="200"/>
        <w:rPr>
          <w:rFonts w:ascii="仿宋" w:hAnsi="仿宋" w:eastAsia="仿宋"/>
          <w:kern w:val="0"/>
          <w:sz w:val="24"/>
        </w:rPr>
      </w:pPr>
      <w:r>
        <w:rPr>
          <w:rFonts w:hint="eastAsia" w:ascii="仿宋" w:hAnsi="仿宋" w:eastAsia="仿宋"/>
          <w:kern w:val="0"/>
          <w:sz w:val="24"/>
        </w:rPr>
        <w:t>①供应商按照《关于印发中小企业划型标准规定的通知》（工信部联企业【2011】300号）的所属行业规定为中型、小型、微型企业【按《关于印发中小企业划型标准规定的通知》规定提供《中小企业声明函》，不提供不予认可】。</w:t>
      </w:r>
    </w:p>
    <w:p w14:paraId="2B76B605">
      <w:pPr>
        <w:spacing w:line="550" w:lineRule="exact"/>
        <w:ind w:firstLine="480" w:firstLineChars="200"/>
        <w:rPr>
          <w:rFonts w:ascii="仿宋" w:hAnsi="仿宋" w:eastAsia="仿宋"/>
          <w:kern w:val="0"/>
          <w:sz w:val="24"/>
        </w:rPr>
      </w:pPr>
      <w:r>
        <w:rPr>
          <w:rFonts w:hint="eastAsia" w:ascii="仿宋" w:hAnsi="仿宋" w:eastAsia="仿宋"/>
          <w:kern w:val="0"/>
          <w:sz w:val="24"/>
        </w:rPr>
        <w:t>②监狱企业参加投标【提供《监狱企业声明函》及其相关的证明材料，不提供不予认可】，视为小型、微型企业，享受小微企业政策扶持，监狱企业属于小型、微型企业的，不重复享受政策。</w:t>
      </w:r>
    </w:p>
    <w:p w14:paraId="3BB675D1">
      <w:pPr>
        <w:spacing w:line="550" w:lineRule="exact"/>
        <w:ind w:firstLine="480" w:firstLineChars="200"/>
        <w:rPr>
          <w:rFonts w:ascii="仿宋" w:hAnsi="仿宋" w:eastAsia="仿宋" w:cs="仿宋"/>
          <w:bCs/>
          <w:sz w:val="24"/>
        </w:rPr>
      </w:pPr>
      <w:r>
        <w:rPr>
          <w:rFonts w:hint="eastAsia" w:ascii="仿宋" w:hAnsi="仿宋" w:eastAsia="仿宋"/>
          <w:kern w:val="0"/>
          <w:sz w:val="24"/>
        </w:rPr>
        <w:t>③残疾人福利性单位参加投标【提供《残疾人福利性单位声明函》，不提供不予认可】，视为小型、微型企业，享受小微企业政策扶持，残疾人福利性单位属于小型、微型企业的，不重复享受政策。</w:t>
      </w:r>
    </w:p>
    <w:p w14:paraId="24680958">
      <w:pPr>
        <w:tabs>
          <w:tab w:val="left" w:pos="844"/>
        </w:tabs>
        <w:autoSpaceDE w:val="0"/>
        <w:autoSpaceDN w:val="0"/>
        <w:snapToGrid w:val="0"/>
        <w:spacing w:line="400" w:lineRule="exact"/>
        <w:ind w:left="424"/>
        <w:textAlignment w:val="bottom"/>
        <w:rPr>
          <w:rFonts w:ascii="仿宋" w:hAnsi="仿宋" w:eastAsia="仿宋" w:cs="仿宋"/>
          <w:b/>
          <w:sz w:val="24"/>
        </w:rPr>
      </w:pPr>
      <w:r>
        <w:rPr>
          <w:rFonts w:hint="eastAsia" w:ascii="仿宋" w:hAnsi="仿宋" w:eastAsia="仿宋" w:cs="仿宋"/>
          <w:b/>
          <w:sz w:val="24"/>
        </w:rPr>
        <w:t>2.商务文件</w:t>
      </w:r>
    </w:p>
    <w:p w14:paraId="50E47CC6">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bCs/>
          <w:sz w:val="24"/>
        </w:rPr>
        <w:t>1）</w:t>
      </w:r>
      <w:r>
        <w:rPr>
          <w:rFonts w:hint="eastAsia" w:ascii="仿宋" w:hAnsi="仿宋" w:eastAsia="仿宋" w:cs="仿宋"/>
          <w:sz w:val="24"/>
        </w:rPr>
        <w:t>磋商申请函</w:t>
      </w:r>
      <w:r>
        <w:rPr>
          <w:rFonts w:hint="eastAsia" w:ascii="仿宋" w:hAnsi="仿宋" w:eastAsia="仿宋" w:cs="仿宋"/>
          <w:bCs/>
          <w:sz w:val="24"/>
        </w:rPr>
        <w:t>（格式见附件）；</w:t>
      </w:r>
    </w:p>
    <w:p w14:paraId="36A2584D">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bCs/>
          <w:sz w:val="24"/>
        </w:rPr>
        <w:t>2）初次报价表（格式见附件）；</w:t>
      </w:r>
    </w:p>
    <w:p w14:paraId="5D0A8384">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bCs/>
          <w:sz w:val="24"/>
        </w:rPr>
        <w:t>3）招标代理服务费承诺函（格式见附件）；</w:t>
      </w:r>
    </w:p>
    <w:p w14:paraId="37C87168">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color w:val="000000" w:themeColor="text1"/>
          <w:sz w:val="24"/>
          <w14:textFill>
            <w14:solidFill>
              <w14:schemeClr w14:val="tx1"/>
            </w14:solidFill>
          </w14:textFill>
        </w:rPr>
        <w:t>4）</w:t>
      </w:r>
      <w:r>
        <w:rPr>
          <w:rFonts w:hint="eastAsia" w:ascii="仿宋" w:hAnsi="仿宋" w:eastAsia="仿宋" w:cs="仿宋"/>
          <w:bCs/>
          <w:sz w:val="24"/>
        </w:rPr>
        <w:t>企业业绩（格式见附件）；</w:t>
      </w:r>
    </w:p>
    <w:p w14:paraId="02E82416">
      <w:pPr>
        <w:autoSpaceDE w:val="0"/>
        <w:autoSpaceDN w:val="0"/>
        <w:snapToGrid w:val="0"/>
        <w:spacing w:line="400" w:lineRule="exact"/>
        <w:ind w:left="424"/>
        <w:textAlignment w:val="bottom"/>
        <w:rPr>
          <w:rFonts w:ascii="仿宋" w:hAnsi="仿宋" w:eastAsia="仿宋" w:cs="仿宋"/>
          <w:sz w:val="24"/>
        </w:rPr>
      </w:pPr>
      <w:r>
        <w:rPr>
          <w:rFonts w:hint="eastAsia" w:ascii="仿宋" w:hAnsi="仿宋" w:eastAsia="仿宋" w:cs="仿宋"/>
          <w:sz w:val="24"/>
        </w:rPr>
        <w:t>5）企业荣誉；</w:t>
      </w:r>
    </w:p>
    <w:p w14:paraId="7DFBBF46">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sz w:val="24"/>
        </w:rPr>
        <w:t>6）响应时间；</w:t>
      </w:r>
    </w:p>
    <w:p w14:paraId="507D0DCB">
      <w:pPr>
        <w:autoSpaceDE w:val="0"/>
        <w:autoSpaceDN w:val="0"/>
        <w:snapToGrid w:val="0"/>
        <w:spacing w:line="400" w:lineRule="exact"/>
        <w:ind w:left="424"/>
        <w:textAlignment w:val="bottom"/>
        <w:rPr>
          <w:rFonts w:ascii="仿宋" w:hAnsi="仿宋" w:eastAsia="仿宋" w:cs="仿宋"/>
          <w:bCs/>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7）供应商认为需要递交的其他资料。</w:t>
      </w:r>
    </w:p>
    <w:p w14:paraId="5EBD7637">
      <w:pPr>
        <w:tabs>
          <w:tab w:val="left" w:pos="844"/>
        </w:tabs>
        <w:autoSpaceDE w:val="0"/>
        <w:autoSpaceDN w:val="0"/>
        <w:snapToGrid w:val="0"/>
        <w:spacing w:line="400" w:lineRule="exact"/>
        <w:ind w:left="424"/>
        <w:textAlignment w:val="bottom"/>
        <w:rPr>
          <w:rFonts w:ascii="仿宋" w:hAnsi="仿宋" w:eastAsia="仿宋" w:cs="仿宋"/>
          <w:b/>
          <w:sz w:val="24"/>
        </w:rPr>
      </w:pPr>
      <w:r>
        <w:rPr>
          <w:rFonts w:hint="eastAsia" w:ascii="仿宋" w:hAnsi="仿宋" w:eastAsia="仿宋" w:cs="仿宋"/>
          <w:b/>
          <w:sz w:val="24"/>
        </w:rPr>
        <w:t xml:space="preserve">3.技术文件 </w:t>
      </w:r>
    </w:p>
    <w:p w14:paraId="6EDD0BC0">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bCs/>
          <w:sz w:val="24"/>
        </w:rPr>
        <w:t>1）</w:t>
      </w:r>
      <w:r>
        <w:rPr>
          <w:rFonts w:hint="eastAsia" w:ascii="仿宋" w:hAnsi="仿宋" w:eastAsia="仿宋" w:cs="仿宋"/>
          <w:color w:val="000000" w:themeColor="text1"/>
          <w:sz w:val="24"/>
          <w14:textFill>
            <w14:solidFill>
              <w14:schemeClr w14:val="tx1"/>
            </w14:solidFill>
          </w14:textFill>
        </w:rPr>
        <w:t>项目规划方案</w:t>
      </w:r>
    </w:p>
    <w:p w14:paraId="47FD5D25">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bCs/>
          <w:sz w:val="24"/>
        </w:rPr>
        <w:t xml:space="preserve">2）人员配置（格式见附件）； </w:t>
      </w:r>
    </w:p>
    <w:p w14:paraId="087933F1">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bCs/>
          <w:sz w:val="24"/>
        </w:rPr>
        <w:t>3）供应商认为需要递交的其他资料。</w:t>
      </w:r>
    </w:p>
    <w:p w14:paraId="733EF861">
      <w:pPr>
        <w:spacing w:line="440" w:lineRule="exact"/>
        <w:ind w:left="424"/>
        <w:rPr>
          <w:rFonts w:ascii="仿宋" w:hAnsi="仿宋" w:eastAsia="仿宋" w:cs="仿宋"/>
          <w:b/>
          <w:sz w:val="28"/>
          <w:szCs w:val="28"/>
        </w:rPr>
      </w:pPr>
      <w:r>
        <w:rPr>
          <w:rFonts w:hint="eastAsia" w:ascii="仿宋" w:hAnsi="仿宋" w:eastAsia="仿宋" w:cs="仿宋"/>
          <w:b/>
          <w:sz w:val="28"/>
          <w:szCs w:val="28"/>
        </w:rPr>
        <w:t>以上磋商响应文件组成内容中的复印件均须加盖供应商公章。</w:t>
      </w:r>
    </w:p>
    <w:p w14:paraId="15C74004">
      <w:pPr>
        <w:autoSpaceDE w:val="0"/>
        <w:autoSpaceDN w:val="0"/>
        <w:adjustRightInd w:val="0"/>
        <w:snapToGrid w:val="0"/>
        <w:spacing w:line="400" w:lineRule="exact"/>
        <w:ind w:firstLine="487" w:firstLineChars="202"/>
        <w:textAlignment w:val="bottom"/>
        <w:rPr>
          <w:rFonts w:ascii="仿宋" w:hAnsi="仿宋" w:eastAsia="仿宋" w:cs="仿宋"/>
          <w:b/>
          <w:sz w:val="24"/>
        </w:rPr>
      </w:pPr>
      <w:r>
        <w:rPr>
          <w:rFonts w:hint="eastAsia" w:ascii="仿宋" w:hAnsi="仿宋" w:eastAsia="仿宋" w:cs="仿宋"/>
          <w:b/>
          <w:sz w:val="24"/>
        </w:rPr>
        <w:t>3.4响应文件内容填写及说明</w:t>
      </w:r>
    </w:p>
    <w:p w14:paraId="3FC61018">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bCs/>
          <w:sz w:val="24"/>
        </w:rPr>
        <w:t>供应商应按照3.1、3.2所列出的（内容及格式仅供参考）逐一组成响应文件并装订成册(商务文件与技术文件可以合并装订)。</w:t>
      </w:r>
    </w:p>
    <w:p w14:paraId="5859557F">
      <w:pPr>
        <w:spacing w:line="400" w:lineRule="exact"/>
        <w:jc w:val="left"/>
        <w:rPr>
          <w:rFonts w:ascii="仿宋" w:hAnsi="仿宋" w:eastAsia="仿宋" w:cs="仿宋"/>
          <w:b/>
          <w:sz w:val="24"/>
        </w:rPr>
      </w:pPr>
      <w:bookmarkStart w:id="29" w:name="_Toc32090"/>
      <w:bookmarkStart w:id="30" w:name="_Toc282640705"/>
      <w:bookmarkStart w:id="31" w:name="_Toc21469"/>
      <w:r>
        <w:rPr>
          <w:rFonts w:hint="eastAsia" w:ascii="仿宋" w:hAnsi="仿宋" w:eastAsia="仿宋" w:cs="仿宋"/>
          <w:b/>
          <w:sz w:val="24"/>
        </w:rPr>
        <w:t>九、响应文件的签署和份数</w:t>
      </w:r>
      <w:bookmarkEnd w:id="29"/>
      <w:bookmarkEnd w:id="30"/>
      <w:bookmarkEnd w:id="31"/>
    </w:p>
    <w:p w14:paraId="523322F4">
      <w:pPr>
        <w:pStyle w:val="9"/>
        <w:spacing w:after="0" w:line="336" w:lineRule="auto"/>
        <w:ind w:firstLine="420"/>
        <w:rPr>
          <w:rFonts w:ascii="仿宋" w:hAnsi="仿宋" w:eastAsia="仿宋" w:cs="仿宋"/>
          <w:sz w:val="24"/>
        </w:rPr>
      </w:pPr>
      <w:bookmarkStart w:id="32" w:name="_Toc282640706"/>
      <w:bookmarkEnd w:id="32"/>
      <w:bookmarkStart w:id="33" w:name="_Toc414960351"/>
      <w:bookmarkEnd w:id="33"/>
      <w:r>
        <w:rPr>
          <w:rFonts w:hint="eastAsia" w:ascii="仿宋" w:hAnsi="仿宋" w:eastAsia="仿宋" w:cs="仿宋"/>
          <w:sz w:val="24"/>
        </w:rPr>
        <w:t>1.本项目通过“政府采购云平台</w:t>
      </w:r>
      <w:r>
        <w:fldChar w:fldCharType="begin"/>
      </w:r>
      <w:r>
        <w:instrText xml:space="preserve"> HYPERLINK "http://www.zcygov.cn/" \h </w:instrText>
      </w:r>
      <w:r>
        <w:fldChar w:fldCharType="separate"/>
      </w:r>
      <w:r>
        <w:rPr>
          <w:rFonts w:hint="eastAsia" w:ascii="仿宋" w:hAnsi="仿宋" w:eastAsia="仿宋" w:cs="仿宋"/>
          <w:sz w:val="24"/>
        </w:rPr>
        <w:t>（www.zcygov.cn</w:t>
      </w:r>
      <w:r>
        <w:rPr>
          <w:rFonts w:hint="eastAsia" w:ascii="仿宋" w:hAnsi="仿宋" w:eastAsia="仿宋" w:cs="仿宋"/>
          <w:sz w:val="24"/>
        </w:rPr>
        <w:fldChar w:fldCharType="end"/>
      </w:r>
      <w:r>
        <w:rPr>
          <w:rFonts w:hint="eastAsia" w:ascii="仿宋" w:hAnsi="仿宋" w:eastAsia="仿宋" w:cs="仿宋"/>
          <w:sz w:val="24"/>
        </w:rPr>
        <w:t>）”实行在线响应（电子投标）。供应商应通过“政采云电子交易客户端”，并按照磋商文件和“政府采购云平台”的要求编制并加密响应文件。</w:t>
      </w:r>
    </w:p>
    <w:p w14:paraId="580FF49C">
      <w:pPr>
        <w:pStyle w:val="9"/>
        <w:spacing w:after="0" w:line="336" w:lineRule="auto"/>
        <w:ind w:firstLine="420"/>
        <w:rPr>
          <w:rFonts w:ascii="仿宋" w:hAnsi="仿宋" w:eastAsia="仿宋" w:cs="仿宋"/>
          <w:sz w:val="24"/>
        </w:rPr>
      </w:pPr>
      <w:r>
        <w:rPr>
          <w:rFonts w:hint="eastAsia" w:ascii="仿宋" w:hAnsi="仿宋" w:eastAsia="仿宋" w:cs="仿宋"/>
          <w:sz w:val="24"/>
        </w:rPr>
        <w:t>2.供应商应当按照本章节 “响应文件组成”规定的内容及顺序在“政采云电子交易客户端”编制响应文件。</w:t>
      </w:r>
    </w:p>
    <w:p w14:paraId="49503057">
      <w:pPr>
        <w:pStyle w:val="9"/>
        <w:spacing w:after="0" w:line="336" w:lineRule="auto"/>
        <w:ind w:firstLine="420"/>
        <w:rPr>
          <w:rFonts w:ascii="仿宋" w:hAnsi="仿宋" w:eastAsia="仿宋" w:cs="仿宋"/>
          <w:sz w:val="24"/>
        </w:rPr>
      </w:pPr>
      <w:r>
        <w:rPr>
          <w:rFonts w:hint="eastAsia" w:ascii="仿宋" w:hAnsi="仿宋" w:eastAsia="仿宋" w:cs="仿宋"/>
          <w:sz w:val="24"/>
        </w:rPr>
        <w:t>3.本文件中有提供格式的，供应商须参照格式进行编制（格式中要求提供相关证明材料的还需后附相关证明材料），并按格式要求在指定位置根据要求进行签章，否则视为未提供；本文件未提供格式的，请各供应商单位自行拟定格式，并加盖单位公章并由法定代表人或其授权代表签署（签字或盖章），否则视为未提供。</w:t>
      </w:r>
    </w:p>
    <w:p w14:paraId="7CA0E682">
      <w:pPr>
        <w:pStyle w:val="9"/>
        <w:spacing w:after="0" w:line="336" w:lineRule="auto"/>
        <w:ind w:firstLine="420"/>
        <w:rPr>
          <w:rFonts w:ascii="仿宋" w:hAnsi="仿宋" w:eastAsia="仿宋" w:cs="仿宋"/>
          <w:sz w:val="24"/>
        </w:rPr>
      </w:pPr>
      <w:r>
        <w:rPr>
          <w:rFonts w:hint="eastAsia" w:ascii="仿宋" w:hAnsi="仿宋" w:eastAsia="仿宋" w:cs="仿宋"/>
          <w:sz w:val="24"/>
        </w:rPr>
        <w:t>4.</w:t>
      </w:r>
      <w:r>
        <w:rPr>
          <w:rFonts w:hint="eastAsia" w:ascii="仿宋" w:hAnsi="仿宋" w:eastAsia="仿宋" w:cs="仿宋"/>
          <w:bCs/>
          <w:sz w:val="24"/>
        </w:rPr>
        <w:t>响应</w:t>
      </w:r>
      <w:r>
        <w:rPr>
          <w:rFonts w:hint="eastAsia" w:ascii="仿宋" w:hAnsi="仿宋" w:eastAsia="仿宋" w:cs="仿宋"/>
          <w:sz w:val="24"/>
        </w:rPr>
        <w:t>文件内容不完整、编排混乱导致响应文件被误读、漏读或者查找不到相关内容的，是供应商的责任。</w:t>
      </w:r>
    </w:p>
    <w:p w14:paraId="1962E9FA">
      <w:pPr>
        <w:pStyle w:val="9"/>
        <w:spacing w:after="0" w:line="336" w:lineRule="auto"/>
        <w:ind w:firstLine="420"/>
        <w:rPr>
          <w:rFonts w:ascii="仿宋" w:hAnsi="仿宋" w:eastAsia="仿宋" w:cs="仿宋"/>
          <w:sz w:val="24"/>
        </w:rPr>
      </w:pPr>
      <w:r>
        <w:rPr>
          <w:rFonts w:hint="eastAsia" w:ascii="仿宋" w:hAnsi="仿宋" w:eastAsia="仿宋" w:cs="仿宋"/>
          <w:sz w:val="24"/>
        </w:rPr>
        <w:t>5.</w:t>
      </w:r>
      <w:r>
        <w:rPr>
          <w:rFonts w:hint="eastAsia" w:ascii="仿宋" w:hAnsi="仿宋" w:eastAsia="仿宋" w:cs="仿宋"/>
          <w:bCs/>
          <w:sz w:val="24"/>
        </w:rPr>
        <w:t>响应</w:t>
      </w:r>
      <w:r>
        <w:rPr>
          <w:rFonts w:hint="eastAsia" w:ascii="仿宋" w:hAnsi="仿宋" w:eastAsia="仿宋" w:cs="仿宋"/>
          <w:sz w:val="24"/>
        </w:rPr>
        <w:t>文件因字迹潦草或表达不清所引起的后果由供应商负责。</w:t>
      </w:r>
    </w:p>
    <w:p w14:paraId="212357AB">
      <w:pPr>
        <w:pStyle w:val="9"/>
        <w:spacing w:after="0" w:line="336" w:lineRule="auto"/>
        <w:ind w:firstLine="420"/>
        <w:rPr>
          <w:rFonts w:ascii="仿宋" w:hAnsi="仿宋" w:eastAsia="仿宋" w:cs="仿宋"/>
          <w:sz w:val="24"/>
        </w:rPr>
      </w:pPr>
      <w:r>
        <w:rPr>
          <w:rFonts w:hint="eastAsia" w:ascii="仿宋" w:hAnsi="仿宋" w:eastAsia="仿宋" w:cs="仿宋"/>
          <w:sz w:val="24"/>
        </w:rPr>
        <w:t>6.供应商没有按照要求提供全部资料，或者没有仔细阅读磋商文件，或者没有对磋商文件在各方面的要求作出实质性响应是供应商的风险，由此造成的一切后果由供应商自行承担。</w:t>
      </w:r>
    </w:p>
    <w:p w14:paraId="62A53B77">
      <w:pPr>
        <w:pStyle w:val="9"/>
        <w:spacing w:after="0" w:line="336" w:lineRule="auto"/>
        <w:ind w:firstLine="480" w:firstLineChars="200"/>
        <w:rPr>
          <w:rFonts w:ascii="仿宋" w:hAnsi="仿宋" w:eastAsia="仿宋" w:cs="仿宋"/>
          <w:sz w:val="24"/>
        </w:rPr>
      </w:pPr>
      <w:r>
        <w:rPr>
          <w:rFonts w:hint="eastAsia" w:ascii="仿宋" w:hAnsi="仿宋" w:eastAsia="仿宋" w:cs="仿宋"/>
          <w:sz w:val="24"/>
        </w:rPr>
        <w:t>7.《</w:t>
      </w:r>
      <w:r>
        <w:rPr>
          <w:rFonts w:hint="eastAsia" w:ascii="仿宋" w:hAnsi="仿宋" w:eastAsia="仿宋" w:cs="仿宋"/>
          <w:bCs/>
          <w:sz w:val="24"/>
        </w:rPr>
        <w:t>响应</w:t>
      </w:r>
      <w:r>
        <w:rPr>
          <w:rFonts w:hint="eastAsia" w:ascii="仿宋" w:hAnsi="仿宋" w:eastAsia="仿宋" w:cs="仿宋"/>
          <w:sz w:val="24"/>
        </w:rPr>
        <w:t>文件》应由供应商法定代表人或其授权代表签字（或盖章），并加盖供应商公章。</w:t>
      </w:r>
    </w:p>
    <w:p w14:paraId="5209A601">
      <w:pPr>
        <w:pStyle w:val="9"/>
        <w:spacing w:after="0" w:line="336" w:lineRule="auto"/>
        <w:rPr>
          <w:rFonts w:ascii="仿宋" w:hAnsi="仿宋" w:eastAsia="仿宋" w:cs="仿宋"/>
          <w:b/>
          <w:bCs/>
          <w:sz w:val="24"/>
        </w:rPr>
      </w:pPr>
      <w:r>
        <w:rPr>
          <w:rFonts w:hint="eastAsia" w:ascii="仿宋" w:hAnsi="仿宋" w:eastAsia="仿宋" w:cs="仿宋"/>
          <w:b/>
          <w:bCs/>
          <w:sz w:val="24"/>
        </w:rPr>
        <w:t>十、</w:t>
      </w:r>
      <w:r>
        <w:rPr>
          <w:rFonts w:hint="eastAsia" w:ascii="仿宋" w:hAnsi="仿宋" w:eastAsia="仿宋" w:cs="仿宋"/>
          <w:b/>
          <w:sz w:val="24"/>
        </w:rPr>
        <w:t>响应</w:t>
      </w:r>
      <w:r>
        <w:rPr>
          <w:rFonts w:hint="eastAsia" w:ascii="仿宋" w:hAnsi="仿宋" w:eastAsia="仿宋" w:cs="仿宋"/>
          <w:b/>
          <w:bCs/>
          <w:sz w:val="24"/>
        </w:rPr>
        <w:t>电子文件的组成</w:t>
      </w:r>
    </w:p>
    <w:p w14:paraId="1E2892E1">
      <w:pPr>
        <w:pStyle w:val="9"/>
        <w:spacing w:after="0" w:line="336" w:lineRule="auto"/>
        <w:ind w:firstLine="420"/>
        <w:rPr>
          <w:rFonts w:ascii="仿宋" w:hAnsi="仿宋" w:eastAsia="仿宋" w:cs="仿宋"/>
          <w:sz w:val="24"/>
        </w:rPr>
      </w:pPr>
      <w:r>
        <w:rPr>
          <w:rFonts w:hint="eastAsia" w:ascii="仿宋" w:hAnsi="仿宋" w:eastAsia="仿宋" w:cs="仿宋"/>
          <w:sz w:val="24"/>
        </w:rPr>
        <w:t>1.响应文件的形式：</w:t>
      </w:r>
    </w:p>
    <w:p w14:paraId="44D792B8">
      <w:pPr>
        <w:pStyle w:val="9"/>
        <w:spacing w:after="0" w:line="336" w:lineRule="auto"/>
        <w:ind w:firstLine="420"/>
        <w:rPr>
          <w:rFonts w:ascii="仿宋" w:hAnsi="仿宋" w:eastAsia="仿宋" w:cs="仿宋"/>
          <w:sz w:val="24"/>
        </w:rPr>
      </w:pPr>
      <w:r>
        <w:rPr>
          <w:rFonts w:hint="eastAsia" w:ascii="仿宋" w:hAnsi="仿宋" w:eastAsia="仿宋" w:cs="仿宋"/>
          <w:sz w:val="24"/>
        </w:rPr>
        <w:t>（1）电子响应文件（包括“电子加密响应文件”和“备份响应文件”，在响应文件编制完成后同时生成）</w:t>
      </w:r>
    </w:p>
    <w:p w14:paraId="48C12869">
      <w:pPr>
        <w:pStyle w:val="9"/>
        <w:spacing w:after="0" w:line="336" w:lineRule="auto"/>
        <w:ind w:firstLine="420"/>
        <w:rPr>
          <w:rFonts w:ascii="仿宋" w:hAnsi="仿宋" w:eastAsia="仿宋" w:cs="仿宋"/>
          <w:b/>
          <w:bCs/>
          <w:sz w:val="24"/>
        </w:rPr>
      </w:pPr>
      <w:r>
        <w:rPr>
          <w:rFonts w:hint="eastAsia" w:ascii="仿宋" w:hAnsi="仿宋" w:eastAsia="仿宋" w:cs="仿宋"/>
          <w:sz w:val="24"/>
        </w:rPr>
        <w:t>（2）“电子加密响应文件”是指通过“政采云电子交易客户端”完成响应文件编制后生成并加密的数据电文形式的响应文件。</w:t>
      </w:r>
    </w:p>
    <w:p w14:paraId="39F6379B">
      <w:pPr>
        <w:pStyle w:val="9"/>
        <w:spacing w:after="0" w:line="336" w:lineRule="auto"/>
        <w:ind w:firstLine="420"/>
        <w:rPr>
          <w:rFonts w:ascii="仿宋" w:hAnsi="仿宋" w:eastAsia="仿宋" w:cs="仿宋"/>
          <w:sz w:val="24"/>
        </w:rPr>
      </w:pPr>
      <w:r>
        <w:rPr>
          <w:rFonts w:hint="eastAsia" w:ascii="仿宋" w:hAnsi="仿宋" w:eastAsia="仿宋" w:cs="仿宋"/>
          <w:sz w:val="24"/>
        </w:rPr>
        <w:t>（3）“备份响应文件”是指与“电子加密响应文件”同时生成的数据电文形式的电子文件（备份标书），其他方式编制的备份响应文件视为无效备份响应文件。仅在出现解密异常情况下使用。</w:t>
      </w:r>
    </w:p>
    <w:p w14:paraId="7F8FA6BE">
      <w:pPr>
        <w:pStyle w:val="9"/>
        <w:spacing w:after="0" w:line="336" w:lineRule="auto"/>
        <w:ind w:firstLine="420"/>
        <w:rPr>
          <w:rFonts w:ascii="仿宋" w:hAnsi="仿宋" w:eastAsia="仿宋" w:cs="仿宋"/>
          <w:sz w:val="24"/>
        </w:rPr>
      </w:pPr>
      <w:r>
        <w:rPr>
          <w:rFonts w:hint="eastAsia" w:ascii="仿宋" w:hAnsi="仿宋" w:eastAsia="仿宋" w:cs="仿宋"/>
          <w:sz w:val="24"/>
        </w:rPr>
        <w:t>2.响应文件的份数：“电子加密响应文件”：在线上传递交一份。</w:t>
      </w:r>
    </w:p>
    <w:p w14:paraId="6F4045B8">
      <w:pPr>
        <w:pStyle w:val="9"/>
        <w:spacing w:after="0" w:line="336" w:lineRule="auto"/>
        <w:ind w:firstLine="420"/>
        <w:rPr>
          <w:rFonts w:ascii="仿宋" w:hAnsi="仿宋" w:eastAsia="仿宋" w:cs="仿宋"/>
          <w:sz w:val="24"/>
        </w:rPr>
      </w:pPr>
      <w:r>
        <w:rPr>
          <w:rFonts w:hint="eastAsia" w:ascii="仿宋" w:hAnsi="仿宋" w:eastAsia="仿宋" w:cs="仿宋"/>
          <w:sz w:val="24"/>
        </w:rPr>
        <w:t>3.响应文件的上传和递交：“备份响应文件”：密封包装后（邮寄形式）磋商截止时间前递交、一份数据电子备份响应文件（U 盘）：以 U 盘形式提供的数据电子备份响应文件格式及内容须与政采云平台项目采购-电子交易操作指南中制作、加密并递交的电子响应文件格式及内容一致。递交主要有以下两种方式：</w:t>
      </w:r>
    </w:p>
    <w:p w14:paraId="153921A6">
      <w:pPr>
        <w:pStyle w:val="9"/>
        <w:spacing w:after="0" w:line="336" w:lineRule="auto"/>
        <w:ind w:firstLine="420"/>
        <w:rPr>
          <w:rFonts w:ascii="仿宋" w:hAnsi="仿宋" w:eastAsia="仿宋" w:cs="仿宋"/>
          <w:b/>
          <w:bCs/>
          <w:sz w:val="24"/>
        </w:rPr>
      </w:pPr>
      <w:r>
        <w:rPr>
          <w:rFonts w:hint="eastAsia" w:ascii="仿宋" w:hAnsi="仿宋" w:eastAsia="仿宋" w:cs="仿宋"/>
          <w:b/>
          <w:bCs/>
          <w:sz w:val="24"/>
        </w:rPr>
        <w:t>（1）本项目原则上采用不见面的形式开标，供应商可以邮寄形式在磋商截止时间前递交以介质（U 盘）存储的数据电文形式的“备份响应文件”，供应商应对提供的数据电子备份响应文件（U 盘）进行加密处理，若需要启用数据电子备份响应文件（U 盘）时，再由供应商告知采购人及采购代理机构加密信息进行解密。“备份响应文件”应当密封包装并在包装上标注项目名称、单位名称、联系电话并加盖公章。</w:t>
      </w:r>
      <w:r>
        <w:rPr>
          <w:rFonts w:hint="eastAsia" w:ascii="仿宋" w:hAnsi="仿宋" w:eastAsia="仿宋" w:cs="仿宋"/>
          <w:b/>
          <w:bCs/>
          <w:kern w:val="0"/>
          <w:sz w:val="24"/>
        </w:rPr>
        <w:t>通过邮寄的方式送达（原则上邮寄公司统一采用顺丰）具体</w:t>
      </w:r>
      <w:r>
        <w:rPr>
          <w:rFonts w:hint="eastAsia" w:ascii="仿宋" w:hAnsi="仿宋" w:eastAsia="仿宋" w:cs="仿宋"/>
          <w:b/>
          <w:bCs/>
          <w:sz w:val="24"/>
        </w:rPr>
        <w:t>详见磋商公告。</w:t>
      </w:r>
    </w:p>
    <w:p w14:paraId="30E2C0E8">
      <w:pPr>
        <w:pStyle w:val="9"/>
        <w:spacing w:after="0" w:line="336" w:lineRule="auto"/>
        <w:ind w:firstLine="420"/>
        <w:rPr>
          <w:rFonts w:ascii="仿宋" w:hAnsi="仿宋" w:eastAsia="仿宋" w:cs="仿宋"/>
          <w:sz w:val="24"/>
        </w:rPr>
      </w:pPr>
      <w:r>
        <w:rPr>
          <w:rFonts w:hint="eastAsia" w:ascii="仿宋" w:hAnsi="仿宋" w:eastAsia="仿宋" w:cs="仿宋"/>
          <w:sz w:val="24"/>
        </w:rPr>
        <w:t>（2）若供应商派授权代表出席开标会议（授权代表必须携带身份证、法人授权委托书或法人身份证明文书等有效证明文件以及近3个月中任意一个月的社保缴费证明文件。未携带有效证明文件或未提供社保缴纳证明文件的，其响应文件将被拒绝），数据电子备份响应文件（U 盘）应在磋商截止时间前送达，超过磋商截止时间前送达的，按未提供处理。</w:t>
      </w:r>
    </w:p>
    <w:p w14:paraId="118B8ABE">
      <w:pPr>
        <w:pStyle w:val="9"/>
        <w:spacing w:after="0" w:line="336" w:lineRule="auto"/>
        <w:ind w:firstLine="420"/>
        <w:rPr>
          <w:rFonts w:ascii="仿宋" w:hAnsi="仿宋" w:eastAsia="仿宋" w:cs="仿宋"/>
          <w:sz w:val="24"/>
        </w:rPr>
      </w:pPr>
      <w:r>
        <w:rPr>
          <w:rFonts w:hint="eastAsia" w:ascii="仿宋" w:hAnsi="仿宋" w:eastAsia="仿宋" w:cs="仿宋"/>
          <w:sz w:val="24"/>
        </w:rPr>
        <w:t>4.“电子加密响应文件”解密和异常情况处理：</w:t>
      </w:r>
    </w:p>
    <w:p w14:paraId="30800BB5">
      <w:pPr>
        <w:pStyle w:val="9"/>
        <w:spacing w:after="0" w:line="336" w:lineRule="auto"/>
        <w:ind w:firstLine="420"/>
        <w:rPr>
          <w:rFonts w:ascii="仿宋" w:hAnsi="仿宋" w:eastAsia="仿宋" w:cs="仿宋"/>
          <w:sz w:val="24"/>
        </w:rPr>
      </w:pPr>
      <w:r>
        <w:rPr>
          <w:rFonts w:hint="eastAsia" w:ascii="仿宋" w:hAnsi="仿宋" w:eastAsia="仿宋" w:cs="仿宋"/>
          <w:sz w:val="24"/>
        </w:rPr>
        <w:t>（1）开标后，采购组织机构将向各供应商发出“电子加密响应文件”的解密通知，各供应商代表应当在接到解密通知后 30 分钟内自行完成“电子加密响应文件”的在线解密。</w:t>
      </w:r>
    </w:p>
    <w:p w14:paraId="1EB99AE9">
      <w:pPr>
        <w:pStyle w:val="9"/>
        <w:spacing w:after="0" w:line="336" w:lineRule="auto"/>
        <w:ind w:firstLine="420"/>
        <w:rPr>
          <w:rFonts w:ascii="仿宋" w:hAnsi="仿宋" w:eastAsia="仿宋" w:cs="仿宋"/>
          <w:sz w:val="24"/>
        </w:rPr>
      </w:pPr>
      <w:r>
        <w:rPr>
          <w:rFonts w:hint="eastAsia" w:ascii="仿宋" w:hAnsi="仿宋" w:eastAsia="仿宋" w:cs="仿宋"/>
          <w:sz w:val="24"/>
        </w:rPr>
        <w:t>（2）通过“政府采购云平台”成功上传递交的“电子加密响应文件”无法按时解密， 供应商如按规定递交了“备份响应文件”的，以“备份响应文件”为依据（由采购组织机构按“政府采购云平台”操作规范将“备份响应文件”上传至“政府采购云平台”，上传成功后，“电子加密响应文件”自动失效），否则视为响应文件撤回。</w:t>
      </w:r>
    </w:p>
    <w:p w14:paraId="2B33807B">
      <w:pPr>
        <w:pStyle w:val="9"/>
        <w:spacing w:after="0" w:line="336" w:lineRule="auto"/>
        <w:ind w:firstLine="420"/>
        <w:jc w:val="left"/>
        <w:rPr>
          <w:rFonts w:ascii="仿宋" w:hAnsi="仿宋" w:eastAsia="仿宋" w:cs="仿宋"/>
          <w:bCs/>
          <w:sz w:val="24"/>
        </w:rPr>
      </w:pPr>
      <w:r>
        <w:rPr>
          <w:rFonts w:hint="eastAsia" w:ascii="仿宋" w:hAnsi="仿宋" w:eastAsia="仿宋" w:cs="仿宋"/>
          <w:sz w:val="24"/>
        </w:rPr>
        <w:t>（3）磋商截止时间前，供应商仅递交了“备份响应文件”而未将电子加密响应文件上传至“政府采购云平台”的，响应无效。</w:t>
      </w:r>
    </w:p>
    <w:p w14:paraId="3C5C2120">
      <w:pPr>
        <w:spacing w:line="400" w:lineRule="exact"/>
        <w:jc w:val="left"/>
        <w:rPr>
          <w:rFonts w:ascii="仿宋" w:hAnsi="仿宋" w:eastAsia="仿宋" w:cs="仿宋"/>
          <w:b/>
          <w:sz w:val="24"/>
        </w:rPr>
      </w:pPr>
      <w:bookmarkStart w:id="34" w:name="_Toc282640710"/>
      <w:bookmarkStart w:id="35" w:name="_Toc17074"/>
      <w:bookmarkStart w:id="36" w:name="_Toc15269"/>
      <w:r>
        <w:rPr>
          <w:rFonts w:hint="eastAsia" w:ascii="仿宋" w:hAnsi="仿宋" w:eastAsia="仿宋" w:cs="仿宋"/>
          <w:b/>
          <w:sz w:val="24"/>
        </w:rPr>
        <w:t>十一、无效响应文件</w:t>
      </w:r>
      <w:bookmarkEnd w:id="34"/>
      <w:bookmarkEnd w:id="35"/>
      <w:bookmarkEnd w:id="36"/>
    </w:p>
    <w:p w14:paraId="4129C866">
      <w:pPr>
        <w:jc w:val="left"/>
        <w:rPr>
          <w:rFonts w:ascii="仿宋" w:hAnsi="仿宋" w:eastAsia="仿宋" w:cs="仿宋"/>
          <w:sz w:val="24"/>
        </w:rPr>
      </w:pPr>
      <w:r>
        <w:rPr>
          <w:rFonts w:hint="eastAsia" w:ascii="仿宋" w:hAnsi="仿宋" w:eastAsia="仿宋" w:cs="仿宋"/>
          <w:b/>
          <w:sz w:val="24"/>
        </w:rPr>
        <w:t xml:space="preserve">    发生下列情况之一的响应文件被视为无效：</w:t>
      </w:r>
    </w:p>
    <w:p w14:paraId="773B76E7">
      <w:pPr>
        <w:rPr>
          <w:rFonts w:ascii="仿宋" w:hAnsi="仿宋" w:eastAsia="仿宋" w:cs="仿宋"/>
          <w:b/>
          <w:bCs/>
          <w:sz w:val="24"/>
        </w:rPr>
      </w:pPr>
      <w:bookmarkStart w:id="37" w:name="_Toc282640720"/>
      <w:r>
        <w:rPr>
          <w:rFonts w:hint="eastAsia" w:ascii="仿宋" w:hAnsi="仿宋" w:eastAsia="仿宋" w:cs="仿宋"/>
          <w:b/>
          <w:bCs/>
          <w:sz w:val="24"/>
        </w:rPr>
        <w:t xml:space="preserve">    1、响应文件逾期送达或未按规定的地点送达的；</w:t>
      </w:r>
    </w:p>
    <w:p w14:paraId="24DA97C5">
      <w:pPr>
        <w:rPr>
          <w:rFonts w:ascii="仿宋" w:hAnsi="仿宋" w:eastAsia="仿宋" w:cs="仿宋"/>
          <w:b/>
          <w:bCs/>
          <w:sz w:val="24"/>
        </w:rPr>
      </w:pPr>
      <w:r>
        <w:rPr>
          <w:rFonts w:hint="eastAsia" w:ascii="仿宋" w:hAnsi="仿宋" w:eastAsia="仿宋" w:cs="仿宋"/>
          <w:b/>
          <w:bCs/>
          <w:sz w:val="24"/>
        </w:rPr>
        <w:t xml:space="preserve">    2、未按照磋商文件规定的要求上传、签署、盖章的；</w:t>
      </w:r>
    </w:p>
    <w:p w14:paraId="0B910359">
      <w:pPr>
        <w:rPr>
          <w:rFonts w:ascii="仿宋" w:hAnsi="仿宋" w:eastAsia="仿宋" w:cs="仿宋"/>
          <w:b/>
          <w:bCs/>
          <w:sz w:val="24"/>
        </w:rPr>
      </w:pPr>
      <w:r>
        <w:rPr>
          <w:rFonts w:hint="eastAsia" w:ascii="仿宋" w:hAnsi="仿宋" w:eastAsia="仿宋" w:cs="仿宋"/>
          <w:b/>
          <w:bCs/>
          <w:sz w:val="24"/>
        </w:rPr>
        <w:t xml:space="preserve">    3、不具备磋商文件中规定的资格条件要求的；</w:t>
      </w:r>
    </w:p>
    <w:p w14:paraId="17F2798C">
      <w:pPr>
        <w:rPr>
          <w:rFonts w:ascii="仿宋" w:hAnsi="仿宋" w:eastAsia="仿宋" w:cs="仿宋"/>
          <w:b/>
          <w:bCs/>
          <w:sz w:val="24"/>
        </w:rPr>
      </w:pPr>
      <w:r>
        <w:rPr>
          <w:rFonts w:hint="eastAsia" w:ascii="仿宋" w:hAnsi="仿宋" w:eastAsia="仿宋" w:cs="仿宋"/>
          <w:b/>
          <w:bCs/>
          <w:sz w:val="24"/>
        </w:rPr>
        <w:t xml:space="preserve">    4、供应商提交两份或两份以上内容不同的磋商响应文件，或在一份磋商响应文件中对同一采购项目有两个或两个以上报价的；</w:t>
      </w:r>
    </w:p>
    <w:p w14:paraId="0140EC87">
      <w:pPr>
        <w:rPr>
          <w:rFonts w:ascii="仿宋" w:hAnsi="仿宋" w:eastAsia="仿宋" w:cs="仿宋"/>
          <w:b/>
          <w:bCs/>
          <w:sz w:val="24"/>
        </w:rPr>
      </w:pPr>
      <w:r>
        <w:rPr>
          <w:rFonts w:hint="eastAsia" w:ascii="仿宋" w:hAnsi="仿宋" w:eastAsia="仿宋" w:cs="仿宋"/>
          <w:b/>
          <w:bCs/>
          <w:sz w:val="24"/>
        </w:rPr>
        <w:t xml:space="preserve">    5、磋商响应文件载明的采购项目完成期限超过磋商文件规定的期限，采购人不能接受的；</w:t>
      </w:r>
    </w:p>
    <w:p w14:paraId="63F59592">
      <w:pPr>
        <w:rPr>
          <w:rFonts w:ascii="仿宋" w:hAnsi="仿宋" w:eastAsia="仿宋" w:cs="仿宋"/>
          <w:b/>
          <w:bCs/>
          <w:sz w:val="24"/>
        </w:rPr>
      </w:pPr>
      <w:r>
        <w:rPr>
          <w:rFonts w:hint="eastAsia" w:ascii="仿宋" w:hAnsi="仿宋" w:eastAsia="仿宋" w:cs="仿宋"/>
          <w:b/>
          <w:bCs/>
          <w:sz w:val="24"/>
        </w:rPr>
        <w:t xml:space="preserve">    6、磋商响应文件载明的采购项目磋商有效期、服务质保期少于磋商文件规定期限的；</w:t>
      </w:r>
    </w:p>
    <w:p w14:paraId="4314B3E3">
      <w:pPr>
        <w:rPr>
          <w:rFonts w:ascii="仿宋" w:hAnsi="仿宋" w:eastAsia="仿宋" w:cs="仿宋"/>
          <w:b/>
          <w:bCs/>
          <w:sz w:val="24"/>
        </w:rPr>
      </w:pPr>
      <w:r>
        <w:rPr>
          <w:rFonts w:hint="eastAsia" w:ascii="仿宋" w:hAnsi="仿宋" w:eastAsia="仿宋" w:cs="仿宋"/>
          <w:b/>
          <w:bCs/>
          <w:sz w:val="24"/>
        </w:rPr>
        <w:t xml:space="preserve">    7、磋商响应文件未响应磋商文件规定的付款方式的；</w:t>
      </w:r>
    </w:p>
    <w:p w14:paraId="6947CA73">
      <w:pPr>
        <w:rPr>
          <w:rFonts w:ascii="仿宋" w:hAnsi="仿宋" w:eastAsia="仿宋" w:cs="仿宋"/>
          <w:b/>
          <w:bCs/>
          <w:sz w:val="24"/>
        </w:rPr>
      </w:pPr>
      <w:r>
        <w:rPr>
          <w:rFonts w:hint="eastAsia" w:ascii="仿宋" w:hAnsi="仿宋" w:eastAsia="仿宋" w:cs="仿宋"/>
          <w:b/>
          <w:bCs/>
          <w:sz w:val="24"/>
        </w:rPr>
        <w:t xml:space="preserve">    8、磋商货物的技术规范、技术标准明显不符合国家强制性要求的；</w:t>
      </w:r>
    </w:p>
    <w:p w14:paraId="11805366">
      <w:pPr>
        <w:rPr>
          <w:rFonts w:ascii="仿宋" w:hAnsi="仿宋" w:eastAsia="仿宋" w:cs="仿宋"/>
          <w:b/>
          <w:bCs/>
          <w:sz w:val="24"/>
        </w:rPr>
      </w:pPr>
      <w:r>
        <w:rPr>
          <w:rFonts w:hint="eastAsia" w:ascii="仿宋" w:hAnsi="仿宋" w:eastAsia="仿宋" w:cs="仿宋"/>
          <w:b/>
          <w:bCs/>
          <w:sz w:val="24"/>
        </w:rPr>
        <w:t xml:space="preserve">    9、磋商货物载明的验收标准和方法等不符合国家规定及招标文件要求的；</w:t>
      </w:r>
    </w:p>
    <w:p w14:paraId="7FBF6B09">
      <w:pPr>
        <w:rPr>
          <w:rFonts w:ascii="仿宋" w:hAnsi="仿宋" w:eastAsia="仿宋" w:cs="仿宋"/>
          <w:b/>
          <w:bCs/>
          <w:sz w:val="24"/>
        </w:rPr>
      </w:pPr>
      <w:r>
        <w:rPr>
          <w:rFonts w:hint="eastAsia" w:ascii="仿宋" w:hAnsi="仿宋" w:eastAsia="仿宋" w:cs="仿宋"/>
          <w:b/>
          <w:bCs/>
          <w:sz w:val="24"/>
        </w:rPr>
        <w:t xml:space="preserve">    10、磋商响应文件字迹模糊辨认不清的（磋商小组一致认为难以确认）；</w:t>
      </w:r>
    </w:p>
    <w:p w14:paraId="422C4A87">
      <w:pPr>
        <w:rPr>
          <w:rFonts w:ascii="仿宋" w:hAnsi="仿宋" w:eastAsia="仿宋" w:cs="仿宋"/>
          <w:b/>
          <w:bCs/>
          <w:sz w:val="24"/>
        </w:rPr>
      </w:pPr>
      <w:r>
        <w:rPr>
          <w:rFonts w:hint="eastAsia" w:ascii="仿宋" w:hAnsi="仿宋" w:eastAsia="仿宋" w:cs="仿宋"/>
          <w:b/>
          <w:bCs/>
          <w:sz w:val="24"/>
        </w:rPr>
        <w:t xml:space="preserve">    11、供应商的法定代表人或其授权代理人未能准时参加开标会议的；</w:t>
      </w:r>
    </w:p>
    <w:p w14:paraId="040519C1">
      <w:pPr>
        <w:rPr>
          <w:rFonts w:ascii="仿宋" w:hAnsi="仿宋" w:eastAsia="仿宋" w:cs="仿宋"/>
          <w:b/>
          <w:bCs/>
          <w:sz w:val="24"/>
        </w:rPr>
      </w:pPr>
      <w:r>
        <w:rPr>
          <w:rFonts w:hint="eastAsia" w:ascii="仿宋" w:hAnsi="仿宋" w:eastAsia="仿宋" w:cs="仿宋"/>
          <w:b/>
          <w:bCs/>
          <w:sz w:val="24"/>
        </w:rPr>
        <w:t xml:space="preserve">    12、磋商时供应商的法定代表人或其授权代理人未能当场出具有效身份证明的；</w:t>
      </w:r>
    </w:p>
    <w:p w14:paraId="22C72BD0">
      <w:pPr>
        <w:rPr>
          <w:rFonts w:ascii="仿宋" w:hAnsi="仿宋" w:eastAsia="仿宋" w:cs="仿宋"/>
          <w:b/>
          <w:bCs/>
          <w:sz w:val="24"/>
        </w:rPr>
      </w:pPr>
      <w:r>
        <w:rPr>
          <w:rFonts w:hint="eastAsia" w:ascii="仿宋" w:hAnsi="仿宋" w:eastAsia="仿宋" w:cs="仿宋"/>
          <w:b/>
          <w:bCs/>
          <w:sz w:val="24"/>
        </w:rPr>
        <w:t xml:space="preserve">    13、提供不真实资料的；</w:t>
      </w:r>
    </w:p>
    <w:p w14:paraId="791F5F84">
      <w:pPr>
        <w:rPr>
          <w:rFonts w:ascii="仿宋" w:hAnsi="仿宋" w:eastAsia="仿宋" w:cs="仿宋"/>
          <w:b/>
          <w:bCs/>
          <w:sz w:val="24"/>
        </w:rPr>
      </w:pPr>
      <w:r>
        <w:rPr>
          <w:rFonts w:hint="eastAsia" w:ascii="仿宋" w:hAnsi="仿宋" w:eastAsia="仿宋" w:cs="仿宋"/>
          <w:b/>
          <w:bCs/>
          <w:sz w:val="24"/>
        </w:rPr>
        <w:t xml:space="preserve">    14、不符合法律、法规和磋商文件规定的其他实质性要求（磋商小组一致认定）的；</w:t>
      </w:r>
    </w:p>
    <w:p w14:paraId="3F6F9247">
      <w:pPr>
        <w:rPr>
          <w:rFonts w:ascii="仿宋" w:hAnsi="仿宋" w:eastAsia="仿宋" w:cs="仿宋"/>
          <w:b/>
          <w:bCs/>
          <w:sz w:val="24"/>
        </w:rPr>
      </w:pPr>
      <w:r>
        <w:rPr>
          <w:rFonts w:hint="eastAsia" w:ascii="仿宋" w:hAnsi="仿宋" w:eastAsia="仿宋" w:cs="仿宋"/>
          <w:b/>
          <w:bCs/>
          <w:sz w:val="24"/>
        </w:rPr>
        <w:t xml:space="preserve">    15、磋商服务的服务指标、参数等存在实质性偏离（磋商小组一致认定）的；</w:t>
      </w:r>
    </w:p>
    <w:p w14:paraId="2010F6A9">
      <w:pPr>
        <w:rPr>
          <w:rFonts w:ascii="仿宋" w:hAnsi="仿宋" w:eastAsia="仿宋" w:cs="仿宋"/>
          <w:b/>
          <w:bCs/>
          <w:sz w:val="24"/>
        </w:rPr>
      </w:pPr>
      <w:r>
        <w:rPr>
          <w:rFonts w:hint="eastAsia" w:ascii="仿宋" w:hAnsi="仿宋" w:eastAsia="仿宋" w:cs="仿宋"/>
          <w:b/>
          <w:bCs/>
          <w:sz w:val="24"/>
        </w:rPr>
        <w:t xml:space="preserve">    16、二分之一以上的评委认为供应商报价明显高于市场平均价的；</w:t>
      </w:r>
    </w:p>
    <w:p w14:paraId="1E0E7CE8">
      <w:pPr>
        <w:rPr>
          <w:rFonts w:ascii="仿宋" w:hAnsi="仿宋" w:eastAsia="仿宋" w:cs="仿宋"/>
          <w:b/>
          <w:bCs/>
          <w:sz w:val="24"/>
        </w:rPr>
      </w:pPr>
      <w:r>
        <w:rPr>
          <w:rFonts w:hint="eastAsia" w:ascii="仿宋" w:hAnsi="仿宋" w:eastAsia="仿宋" w:cs="仿宋"/>
          <w:b/>
          <w:bCs/>
          <w:sz w:val="24"/>
        </w:rPr>
        <w:t xml:space="preserve">    17、法律、法规、规章及省级以上规范性文件等规定的其他情形。</w:t>
      </w:r>
    </w:p>
    <w:p w14:paraId="452DE1ED">
      <w:pPr>
        <w:spacing w:line="400" w:lineRule="exact"/>
        <w:jc w:val="left"/>
        <w:rPr>
          <w:rFonts w:ascii="仿宋" w:hAnsi="仿宋" w:eastAsia="仿宋" w:cs="仿宋"/>
          <w:b/>
          <w:sz w:val="24"/>
        </w:rPr>
      </w:pPr>
      <w:bookmarkStart w:id="38" w:name="_Toc16373"/>
      <w:bookmarkStart w:id="39" w:name="_Toc24811"/>
      <w:r>
        <w:rPr>
          <w:rFonts w:hint="eastAsia" w:ascii="仿宋" w:hAnsi="仿宋" w:eastAsia="仿宋" w:cs="仿宋"/>
          <w:b/>
          <w:sz w:val="24"/>
        </w:rPr>
        <w:t>十二、废标</w:t>
      </w:r>
      <w:bookmarkEnd w:id="38"/>
      <w:bookmarkEnd w:id="39"/>
    </w:p>
    <w:p w14:paraId="1BCC9B7A">
      <w:pPr>
        <w:spacing w:line="440" w:lineRule="exact"/>
        <w:rPr>
          <w:rFonts w:ascii="仿宋" w:hAnsi="仿宋" w:eastAsia="仿宋" w:cs="仿宋"/>
          <w:bCs/>
          <w:sz w:val="24"/>
        </w:rPr>
      </w:pPr>
      <w:r>
        <w:rPr>
          <w:rFonts w:hint="eastAsia" w:ascii="仿宋" w:hAnsi="仿宋" w:eastAsia="仿宋" w:cs="仿宋"/>
          <w:bCs/>
          <w:sz w:val="24"/>
        </w:rPr>
        <w:t xml:space="preserve">    在磋商中，出现下列情形之一的，应予废标：</w:t>
      </w:r>
    </w:p>
    <w:p w14:paraId="624C2E46">
      <w:pPr>
        <w:spacing w:line="440" w:lineRule="exact"/>
        <w:rPr>
          <w:rFonts w:ascii="仿宋" w:hAnsi="仿宋" w:eastAsia="仿宋" w:cs="仿宋"/>
          <w:bCs/>
          <w:sz w:val="24"/>
        </w:rPr>
      </w:pPr>
      <w:r>
        <w:rPr>
          <w:rFonts w:hint="eastAsia" w:ascii="仿宋" w:hAnsi="仿宋" w:eastAsia="仿宋" w:cs="仿宋"/>
          <w:bCs/>
          <w:sz w:val="24"/>
        </w:rPr>
        <w:t xml:space="preserve">    1、符合专业条件的供应商或者对磋商文件作实质响应的供应商不足三家的（特殊情况经审批同意的除外）；</w:t>
      </w:r>
    </w:p>
    <w:p w14:paraId="55745A85">
      <w:pPr>
        <w:spacing w:line="440" w:lineRule="exact"/>
        <w:ind w:left="562"/>
        <w:rPr>
          <w:rFonts w:ascii="仿宋" w:hAnsi="仿宋" w:eastAsia="仿宋" w:cs="仿宋"/>
          <w:bCs/>
          <w:sz w:val="24"/>
        </w:rPr>
      </w:pPr>
      <w:r>
        <w:rPr>
          <w:rFonts w:hint="eastAsia" w:ascii="仿宋" w:hAnsi="仿宋" w:eastAsia="仿宋" w:cs="仿宋"/>
          <w:bCs/>
          <w:sz w:val="24"/>
        </w:rPr>
        <w:t>1）出现影响采购公正的违法、违规行为的；</w:t>
      </w:r>
    </w:p>
    <w:p w14:paraId="268B748E">
      <w:pPr>
        <w:spacing w:line="440" w:lineRule="exact"/>
        <w:ind w:left="562"/>
        <w:rPr>
          <w:rFonts w:ascii="仿宋" w:hAnsi="仿宋" w:eastAsia="仿宋" w:cs="仿宋"/>
          <w:bCs/>
          <w:sz w:val="24"/>
        </w:rPr>
      </w:pPr>
      <w:r>
        <w:rPr>
          <w:rFonts w:hint="eastAsia" w:ascii="仿宋" w:hAnsi="仿宋" w:eastAsia="仿宋" w:cs="仿宋"/>
          <w:bCs/>
          <w:sz w:val="24"/>
        </w:rPr>
        <w:t>2）因重大变故，采购任务取消的;</w:t>
      </w:r>
    </w:p>
    <w:p w14:paraId="70748D2B">
      <w:pPr>
        <w:spacing w:line="440" w:lineRule="exact"/>
        <w:ind w:left="562"/>
        <w:rPr>
          <w:rFonts w:ascii="仿宋" w:hAnsi="仿宋" w:eastAsia="仿宋" w:cs="仿宋"/>
          <w:bCs/>
          <w:sz w:val="24"/>
        </w:rPr>
      </w:pPr>
      <w:r>
        <w:rPr>
          <w:rFonts w:hint="eastAsia" w:ascii="仿宋" w:hAnsi="仿宋" w:eastAsia="仿宋" w:cs="仿宋"/>
          <w:bCs/>
          <w:sz w:val="24"/>
        </w:rPr>
        <w:t>3）供应商的报价均超过预算价的，采购人不能支付的;</w:t>
      </w:r>
    </w:p>
    <w:p w14:paraId="4E074138">
      <w:pPr>
        <w:spacing w:line="440" w:lineRule="exact"/>
        <w:ind w:left="105" w:leftChars="50"/>
        <w:rPr>
          <w:rFonts w:ascii="仿宋" w:hAnsi="仿宋" w:eastAsia="仿宋" w:cs="仿宋"/>
          <w:bCs/>
          <w:sz w:val="24"/>
        </w:rPr>
      </w:pPr>
      <w:r>
        <w:rPr>
          <w:rFonts w:hint="eastAsia" w:ascii="仿宋" w:hAnsi="仿宋" w:eastAsia="仿宋" w:cs="仿宋"/>
          <w:bCs/>
          <w:sz w:val="24"/>
        </w:rPr>
        <w:t xml:space="preserve">    4）法律、法规、规章等规定的其他情形除外。</w:t>
      </w:r>
    </w:p>
    <w:p w14:paraId="3C5A5C14">
      <w:pPr>
        <w:numPr>
          <w:ilvl w:val="0"/>
          <w:numId w:val="1"/>
        </w:numPr>
        <w:spacing w:line="440" w:lineRule="exact"/>
        <w:ind w:left="562"/>
        <w:rPr>
          <w:rFonts w:ascii="仿宋" w:hAnsi="仿宋" w:eastAsia="仿宋" w:cs="仿宋"/>
          <w:bCs/>
          <w:sz w:val="24"/>
        </w:rPr>
      </w:pPr>
      <w:r>
        <w:rPr>
          <w:rFonts w:hint="eastAsia" w:ascii="仿宋" w:hAnsi="仿宋" w:eastAsia="仿宋" w:cs="仿宋"/>
          <w:bCs/>
          <w:sz w:val="24"/>
        </w:rPr>
        <w:t>废标后，采购人将废标理由通知所有供应商。</w:t>
      </w:r>
    </w:p>
    <w:p w14:paraId="12AD5968">
      <w:pPr>
        <w:spacing w:line="400" w:lineRule="exact"/>
        <w:ind w:firstLine="480"/>
        <w:rPr>
          <w:rFonts w:ascii="仿宋" w:hAnsi="仿宋" w:eastAsia="仿宋" w:cs="仿宋"/>
          <w:bCs/>
          <w:sz w:val="24"/>
        </w:rPr>
      </w:pPr>
      <w:r>
        <w:rPr>
          <w:rFonts w:hint="eastAsia" w:ascii="仿宋" w:hAnsi="仿宋" w:eastAsia="仿宋" w:cs="仿宋"/>
          <w:bCs/>
          <w:sz w:val="24"/>
        </w:rPr>
        <w:t>本磋商规则及程序只适用于“永信恒昌工程管理有限公司磋商文件”。</w:t>
      </w:r>
    </w:p>
    <w:p w14:paraId="0C041455">
      <w:pPr>
        <w:spacing w:line="400" w:lineRule="exact"/>
        <w:rPr>
          <w:rFonts w:ascii="仿宋" w:hAnsi="仿宋" w:eastAsia="仿宋" w:cs="仿宋"/>
          <w:b/>
          <w:bCs/>
          <w:color w:val="000000"/>
          <w:sz w:val="24"/>
        </w:rPr>
      </w:pPr>
      <w:r>
        <w:rPr>
          <w:rFonts w:hint="eastAsia" w:ascii="仿宋" w:hAnsi="仿宋" w:eastAsia="仿宋" w:cs="仿宋"/>
          <w:b/>
          <w:bCs/>
          <w:color w:val="000000"/>
          <w:sz w:val="24"/>
        </w:rPr>
        <w:t>十三、出现以下情形，导致电子交易平台无法正常运行，或者无法保证电子交易的公平、公正和安全时，中止电子交易活动：</w:t>
      </w:r>
    </w:p>
    <w:p w14:paraId="24A762A0">
      <w:pPr>
        <w:spacing w:line="400" w:lineRule="exact"/>
        <w:ind w:firstLine="480" w:firstLineChars="200"/>
        <w:rPr>
          <w:rFonts w:ascii="仿宋" w:hAnsi="仿宋" w:eastAsia="仿宋" w:cs="仿宋"/>
          <w:color w:val="000000"/>
          <w:sz w:val="24"/>
        </w:rPr>
      </w:pPr>
      <w:r>
        <w:rPr>
          <w:rFonts w:hint="eastAsia" w:ascii="仿宋" w:hAnsi="仿宋" w:eastAsia="仿宋" w:cs="仿宋"/>
          <w:color w:val="000000"/>
          <w:sz w:val="24"/>
        </w:rPr>
        <w:t>（1）电子交易平台发生故障而无法登录访问的；</w:t>
      </w:r>
    </w:p>
    <w:p w14:paraId="0FBEAC10">
      <w:pPr>
        <w:spacing w:line="400" w:lineRule="exact"/>
        <w:ind w:firstLine="480" w:firstLineChars="200"/>
        <w:rPr>
          <w:rFonts w:ascii="仿宋" w:hAnsi="仿宋" w:eastAsia="仿宋" w:cs="仿宋"/>
          <w:color w:val="000000"/>
          <w:sz w:val="24"/>
        </w:rPr>
      </w:pPr>
      <w:r>
        <w:rPr>
          <w:rFonts w:hint="eastAsia" w:ascii="仿宋" w:hAnsi="仿宋" w:eastAsia="仿宋" w:cs="仿宋"/>
          <w:color w:val="000000"/>
          <w:sz w:val="24"/>
        </w:rPr>
        <w:t>（2）电子交易平台应用或数据库出现错误，不能进行正常操作的；</w:t>
      </w:r>
    </w:p>
    <w:p w14:paraId="32BCFE27">
      <w:pPr>
        <w:spacing w:line="400" w:lineRule="exact"/>
        <w:ind w:firstLine="480" w:firstLineChars="200"/>
        <w:rPr>
          <w:rFonts w:ascii="仿宋" w:hAnsi="仿宋" w:eastAsia="仿宋" w:cs="仿宋"/>
          <w:color w:val="000000"/>
          <w:sz w:val="24"/>
        </w:rPr>
      </w:pPr>
      <w:r>
        <w:rPr>
          <w:rFonts w:hint="eastAsia" w:ascii="仿宋" w:hAnsi="仿宋" w:eastAsia="仿宋" w:cs="仿宋"/>
          <w:color w:val="000000"/>
          <w:sz w:val="24"/>
        </w:rPr>
        <w:t>（3）电子交易平台发现严重安全漏洞，有潜在泄密危险的；</w:t>
      </w:r>
    </w:p>
    <w:p w14:paraId="13EFB599">
      <w:pPr>
        <w:spacing w:line="400" w:lineRule="exact"/>
        <w:ind w:firstLine="480" w:firstLineChars="200"/>
        <w:rPr>
          <w:rFonts w:ascii="仿宋" w:hAnsi="仿宋" w:eastAsia="仿宋" w:cs="仿宋"/>
          <w:color w:val="000000"/>
          <w:sz w:val="24"/>
        </w:rPr>
      </w:pPr>
      <w:r>
        <w:rPr>
          <w:rFonts w:hint="eastAsia" w:ascii="仿宋" w:hAnsi="仿宋" w:eastAsia="仿宋" w:cs="仿宋"/>
          <w:color w:val="000000"/>
          <w:sz w:val="24"/>
        </w:rPr>
        <w:t>（4）病毒发作导致不能进行正常操作的；</w:t>
      </w:r>
    </w:p>
    <w:p w14:paraId="2AE54C04">
      <w:pPr>
        <w:spacing w:line="400" w:lineRule="exact"/>
        <w:ind w:firstLine="480" w:firstLineChars="200"/>
        <w:rPr>
          <w:rFonts w:ascii="仿宋" w:hAnsi="仿宋" w:eastAsia="仿宋" w:cs="仿宋"/>
          <w:color w:val="000000"/>
          <w:sz w:val="24"/>
        </w:rPr>
      </w:pPr>
      <w:r>
        <w:rPr>
          <w:rFonts w:hint="eastAsia" w:ascii="仿宋" w:hAnsi="仿宋" w:eastAsia="仿宋" w:cs="仿宋"/>
          <w:color w:val="000000"/>
          <w:sz w:val="24"/>
        </w:rPr>
        <w:t>（5）其他无法保证电子交易的公平、公正和安全的情况。</w:t>
      </w:r>
    </w:p>
    <w:p w14:paraId="16DFE302">
      <w:pPr>
        <w:spacing w:line="400" w:lineRule="exact"/>
        <w:ind w:firstLine="480" w:firstLineChars="200"/>
        <w:rPr>
          <w:rFonts w:ascii="仿宋" w:hAnsi="仿宋" w:eastAsia="仿宋" w:cs="仿宋"/>
          <w:bCs/>
          <w:sz w:val="24"/>
        </w:rPr>
      </w:pPr>
      <w:r>
        <w:rPr>
          <w:rFonts w:hint="eastAsia" w:ascii="仿宋" w:hAnsi="仿宋" w:eastAsia="仿宋" w:cs="仿宋"/>
          <w:color w:val="000000"/>
          <w:sz w:val="24"/>
        </w:rPr>
        <w:t>出现前款规定情形，不影响采购公平、公正性的，采购组织机构可以待上述情形消除后继续组织电子交易活动，也可以决定某些环节以纸质形式进行；影响或可能影响采购公平、公正性的，重新采购。</w:t>
      </w:r>
    </w:p>
    <w:bookmarkEnd w:id="37"/>
    <w:p w14:paraId="0DB6E91D">
      <w:pPr>
        <w:spacing w:line="400" w:lineRule="exact"/>
        <w:jc w:val="left"/>
        <w:rPr>
          <w:rFonts w:ascii="仿宋" w:hAnsi="仿宋" w:eastAsia="仿宋" w:cs="仿宋"/>
          <w:b/>
          <w:sz w:val="24"/>
        </w:rPr>
      </w:pPr>
      <w:bookmarkStart w:id="40" w:name="_Toc27014"/>
      <w:bookmarkStart w:id="41" w:name="_Toc27719"/>
      <w:r>
        <w:rPr>
          <w:rFonts w:hint="eastAsia" w:ascii="仿宋" w:hAnsi="仿宋" w:eastAsia="仿宋" w:cs="仿宋"/>
          <w:b/>
          <w:sz w:val="24"/>
        </w:rPr>
        <w:t>十四、竞争性磋商文件质疑</w:t>
      </w:r>
      <w:bookmarkEnd w:id="40"/>
      <w:bookmarkEnd w:id="41"/>
    </w:p>
    <w:p w14:paraId="6765B7D4">
      <w:pPr>
        <w:spacing w:line="340" w:lineRule="exact"/>
        <w:jc w:val="left"/>
        <w:rPr>
          <w:rFonts w:ascii="仿宋" w:hAnsi="仿宋" w:eastAsia="仿宋" w:cs="仿宋"/>
          <w:bCs/>
          <w:sz w:val="24"/>
        </w:rPr>
      </w:pPr>
      <w:bookmarkStart w:id="42" w:name="_Toc282640721"/>
      <w:bookmarkStart w:id="43" w:name="_Toc26868"/>
      <w:bookmarkStart w:id="44" w:name="_Toc21657"/>
      <w:r>
        <w:rPr>
          <w:rFonts w:hint="eastAsia" w:ascii="仿宋" w:hAnsi="仿宋" w:eastAsia="仿宋" w:cs="仿宋"/>
          <w:bCs/>
          <w:sz w:val="24"/>
        </w:rPr>
        <w:t xml:space="preserve">  1、供应商认为磋商文件、采购过程、中标或者成交结果使自己的权益受到损害的，可以在知道或者应知其权益受到损害之日起7个工作日内，以书面形式向代理采购机构提出质疑。</w:t>
      </w:r>
    </w:p>
    <w:p w14:paraId="4CE65E69">
      <w:pPr>
        <w:spacing w:line="400" w:lineRule="exact"/>
        <w:ind w:firstLine="480" w:firstLineChars="200"/>
        <w:outlineLvl w:val="1"/>
        <w:rPr>
          <w:rFonts w:ascii="仿宋" w:hAnsi="仿宋" w:eastAsia="仿宋" w:cs="仿宋"/>
          <w:bCs/>
          <w:color w:val="000000"/>
          <w:sz w:val="24"/>
        </w:rPr>
      </w:pPr>
      <w:bookmarkStart w:id="45" w:name="_Toc18085"/>
      <w:bookmarkStart w:id="46" w:name="_Toc9466"/>
      <w:bookmarkStart w:id="47" w:name="_Toc18229"/>
      <w:bookmarkStart w:id="48" w:name="_Toc20369"/>
      <w:r>
        <w:rPr>
          <w:rFonts w:hint="eastAsia" w:ascii="仿宋" w:hAnsi="仿宋" w:eastAsia="仿宋" w:cs="仿宋"/>
          <w:bCs/>
          <w:color w:val="000000"/>
          <w:sz w:val="24"/>
        </w:rPr>
        <w:t>2.提出质疑的供应商（以下简称质疑供应商）应当是参与所质疑项目采购活动的供应商。</w:t>
      </w:r>
      <w:bookmarkEnd w:id="45"/>
      <w:bookmarkEnd w:id="46"/>
      <w:bookmarkEnd w:id="47"/>
      <w:bookmarkEnd w:id="48"/>
    </w:p>
    <w:p w14:paraId="198E4CDA">
      <w:pPr>
        <w:spacing w:line="400" w:lineRule="exact"/>
        <w:ind w:firstLine="480" w:firstLineChars="200"/>
        <w:outlineLvl w:val="1"/>
        <w:rPr>
          <w:rFonts w:ascii="仿宋" w:hAnsi="仿宋" w:eastAsia="仿宋" w:cs="仿宋"/>
          <w:bCs/>
          <w:color w:val="000000"/>
          <w:sz w:val="24"/>
        </w:rPr>
      </w:pPr>
      <w:bookmarkStart w:id="49" w:name="_Toc22110"/>
      <w:bookmarkStart w:id="50" w:name="_Toc15495"/>
      <w:bookmarkStart w:id="51" w:name="_Toc27871"/>
      <w:bookmarkStart w:id="52" w:name="_Toc6640"/>
      <w:r>
        <w:rPr>
          <w:rFonts w:hint="eastAsia" w:ascii="仿宋" w:hAnsi="仿宋" w:eastAsia="仿宋" w:cs="仿宋"/>
          <w:bCs/>
          <w:color w:val="000000"/>
          <w:sz w:val="24"/>
        </w:rPr>
        <w:t>潜在供应商已依法获取其可质疑的采购文件的，可以对该文件提出质疑。对采购文件提出质疑的，应当在获取采购文件或者采购文件公告期限届满之日起7个工作日内提出。</w:t>
      </w:r>
      <w:bookmarkEnd w:id="49"/>
      <w:bookmarkEnd w:id="50"/>
      <w:bookmarkEnd w:id="51"/>
      <w:bookmarkEnd w:id="52"/>
    </w:p>
    <w:p w14:paraId="5857ECFF">
      <w:pPr>
        <w:spacing w:line="400" w:lineRule="exact"/>
        <w:ind w:firstLine="480" w:firstLineChars="200"/>
        <w:outlineLvl w:val="1"/>
        <w:rPr>
          <w:rFonts w:ascii="仿宋" w:hAnsi="仿宋" w:eastAsia="仿宋" w:cs="仿宋"/>
          <w:bCs/>
          <w:color w:val="000000"/>
          <w:sz w:val="24"/>
        </w:rPr>
      </w:pPr>
      <w:bookmarkStart w:id="53" w:name="_Toc11976"/>
      <w:bookmarkStart w:id="54" w:name="_Toc3989"/>
      <w:bookmarkStart w:id="55" w:name="_Toc30563"/>
      <w:bookmarkStart w:id="56" w:name="_Toc19498"/>
      <w:r>
        <w:rPr>
          <w:rFonts w:hint="eastAsia" w:ascii="仿宋" w:hAnsi="仿宋" w:eastAsia="仿宋" w:cs="仿宋"/>
          <w:bCs/>
          <w:color w:val="000000"/>
          <w:sz w:val="24"/>
        </w:rPr>
        <w:t>3.供应商提出质疑应当提交质疑函和必要的证明材料。质疑函应当包括下列内容:</w:t>
      </w:r>
      <w:bookmarkEnd w:id="53"/>
      <w:bookmarkEnd w:id="54"/>
      <w:bookmarkEnd w:id="55"/>
      <w:bookmarkEnd w:id="56"/>
    </w:p>
    <w:p w14:paraId="39226581">
      <w:pPr>
        <w:spacing w:line="400" w:lineRule="exact"/>
        <w:ind w:firstLine="480" w:firstLineChars="200"/>
        <w:outlineLvl w:val="1"/>
        <w:rPr>
          <w:rFonts w:ascii="仿宋" w:hAnsi="仿宋" w:eastAsia="仿宋" w:cs="仿宋"/>
          <w:bCs/>
          <w:color w:val="000000"/>
          <w:sz w:val="24"/>
        </w:rPr>
      </w:pPr>
      <w:bookmarkStart w:id="57" w:name="_Toc25287"/>
      <w:bookmarkStart w:id="58" w:name="_Toc6186"/>
      <w:bookmarkStart w:id="59" w:name="_Toc1146"/>
      <w:bookmarkStart w:id="60" w:name="_Toc20981"/>
      <w:r>
        <w:rPr>
          <w:rFonts w:hint="eastAsia" w:ascii="仿宋" w:hAnsi="仿宋" w:eastAsia="仿宋" w:cs="仿宋"/>
          <w:bCs/>
          <w:color w:val="000000"/>
          <w:sz w:val="24"/>
        </w:rPr>
        <w:t>（1）供应商的姓名或者名称、地址、邮编、联系人及联系电话；</w:t>
      </w:r>
      <w:bookmarkEnd w:id="57"/>
      <w:bookmarkEnd w:id="58"/>
      <w:bookmarkEnd w:id="59"/>
      <w:bookmarkEnd w:id="60"/>
    </w:p>
    <w:p w14:paraId="1E8341B2">
      <w:pPr>
        <w:spacing w:line="400" w:lineRule="exact"/>
        <w:ind w:firstLine="480" w:firstLineChars="200"/>
        <w:outlineLvl w:val="1"/>
        <w:rPr>
          <w:rFonts w:ascii="仿宋" w:hAnsi="仿宋" w:eastAsia="仿宋" w:cs="仿宋"/>
          <w:bCs/>
          <w:color w:val="000000"/>
          <w:sz w:val="24"/>
        </w:rPr>
      </w:pPr>
      <w:bookmarkStart w:id="61" w:name="_Toc30477"/>
      <w:bookmarkStart w:id="62" w:name="_Toc2063"/>
      <w:bookmarkStart w:id="63" w:name="_Toc25159"/>
      <w:bookmarkStart w:id="64" w:name="_Toc12754"/>
      <w:r>
        <w:rPr>
          <w:rFonts w:hint="eastAsia" w:ascii="仿宋" w:hAnsi="仿宋" w:eastAsia="仿宋" w:cs="仿宋"/>
          <w:bCs/>
          <w:color w:val="000000"/>
          <w:sz w:val="24"/>
        </w:rPr>
        <w:t>（2）质疑项目的名称、编号；</w:t>
      </w:r>
      <w:bookmarkEnd w:id="61"/>
      <w:bookmarkEnd w:id="62"/>
      <w:bookmarkEnd w:id="63"/>
      <w:bookmarkEnd w:id="64"/>
    </w:p>
    <w:p w14:paraId="234F1279">
      <w:pPr>
        <w:spacing w:line="400" w:lineRule="exact"/>
        <w:ind w:firstLine="480" w:firstLineChars="200"/>
        <w:outlineLvl w:val="1"/>
        <w:rPr>
          <w:rFonts w:ascii="仿宋" w:hAnsi="仿宋" w:eastAsia="仿宋" w:cs="仿宋"/>
          <w:bCs/>
          <w:color w:val="000000"/>
          <w:sz w:val="24"/>
        </w:rPr>
      </w:pPr>
      <w:bookmarkStart w:id="65" w:name="_Toc6468"/>
      <w:bookmarkStart w:id="66" w:name="_Toc2273"/>
      <w:bookmarkStart w:id="67" w:name="_Toc27056"/>
      <w:bookmarkStart w:id="68" w:name="_Toc22459"/>
      <w:r>
        <w:rPr>
          <w:rFonts w:hint="eastAsia" w:ascii="仿宋" w:hAnsi="仿宋" w:eastAsia="仿宋" w:cs="仿宋"/>
          <w:bCs/>
          <w:color w:val="000000"/>
          <w:sz w:val="24"/>
        </w:rPr>
        <w:t>（3）具体、明确的质疑事项和与质疑事项相关的请求；</w:t>
      </w:r>
      <w:bookmarkEnd w:id="65"/>
      <w:bookmarkEnd w:id="66"/>
      <w:bookmarkEnd w:id="67"/>
      <w:bookmarkEnd w:id="68"/>
    </w:p>
    <w:p w14:paraId="4B4EEF4C">
      <w:pPr>
        <w:spacing w:line="400" w:lineRule="exact"/>
        <w:ind w:firstLine="480" w:firstLineChars="200"/>
        <w:outlineLvl w:val="1"/>
        <w:rPr>
          <w:rFonts w:ascii="仿宋" w:hAnsi="仿宋" w:eastAsia="仿宋" w:cs="仿宋"/>
          <w:bCs/>
          <w:color w:val="000000"/>
          <w:sz w:val="24"/>
        </w:rPr>
      </w:pPr>
      <w:bookmarkStart w:id="69" w:name="_Toc2343"/>
      <w:bookmarkStart w:id="70" w:name="_Toc28762"/>
      <w:bookmarkStart w:id="71" w:name="_Toc2100"/>
      <w:bookmarkStart w:id="72" w:name="_Toc15293"/>
      <w:r>
        <w:rPr>
          <w:rFonts w:hint="eastAsia" w:ascii="仿宋" w:hAnsi="仿宋" w:eastAsia="仿宋" w:cs="仿宋"/>
          <w:bCs/>
          <w:color w:val="000000"/>
          <w:sz w:val="24"/>
        </w:rPr>
        <w:t>（4）事实依据；</w:t>
      </w:r>
      <w:bookmarkEnd w:id="69"/>
      <w:bookmarkEnd w:id="70"/>
      <w:bookmarkEnd w:id="71"/>
      <w:bookmarkEnd w:id="72"/>
    </w:p>
    <w:p w14:paraId="11D4A6C1">
      <w:pPr>
        <w:spacing w:line="400" w:lineRule="exact"/>
        <w:ind w:firstLine="480" w:firstLineChars="200"/>
        <w:outlineLvl w:val="1"/>
        <w:rPr>
          <w:rFonts w:ascii="仿宋" w:hAnsi="仿宋" w:eastAsia="仿宋" w:cs="仿宋"/>
          <w:bCs/>
          <w:color w:val="000000"/>
          <w:sz w:val="24"/>
        </w:rPr>
      </w:pPr>
      <w:bookmarkStart w:id="73" w:name="_Toc5162"/>
      <w:bookmarkStart w:id="74" w:name="_Toc15929"/>
      <w:bookmarkStart w:id="75" w:name="_Toc10706"/>
      <w:bookmarkStart w:id="76" w:name="_Toc11580"/>
      <w:r>
        <w:rPr>
          <w:rFonts w:hint="eastAsia" w:ascii="仿宋" w:hAnsi="仿宋" w:eastAsia="仿宋" w:cs="仿宋"/>
          <w:bCs/>
          <w:color w:val="000000"/>
          <w:sz w:val="24"/>
        </w:rPr>
        <w:t>（5）必要的法律依据；</w:t>
      </w:r>
      <w:bookmarkEnd w:id="73"/>
      <w:bookmarkEnd w:id="74"/>
      <w:bookmarkEnd w:id="75"/>
      <w:bookmarkEnd w:id="76"/>
    </w:p>
    <w:p w14:paraId="511ABDC1">
      <w:pPr>
        <w:spacing w:line="400" w:lineRule="exact"/>
        <w:ind w:firstLine="480" w:firstLineChars="200"/>
        <w:outlineLvl w:val="1"/>
        <w:rPr>
          <w:rFonts w:ascii="仿宋" w:hAnsi="仿宋" w:eastAsia="仿宋" w:cs="仿宋"/>
          <w:bCs/>
          <w:color w:val="000000"/>
          <w:sz w:val="24"/>
        </w:rPr>
      </w:pPr>
      <w:bookmarkStart w:id="77" w:name="_Toc25782"/>
      <w:bookmarkStart w:id="78" w:name="_Toc29313"/>
      <w:bookmarkStart w:id="79" w:name="_Toc6157"/>
      <w:bookmarkStart w:id="80" w:name="_Toc31175"/>
      <w:r>
        <w:rPr>
          <w:rFonts w:hint="eastAsia" w:ascii="仿宋" w:hAnsi="仿宋" w:eastAsia="仿宋" w:cs="仿宋"/>
          <w:bCs/>
          <w:color w:val="000000"/>
          <w:sz w:val="24"/>
        </w:rPr>
        <w:t>（6）提出质疑的日期。</w:t>
      </w:r>
      <w:bookmarkEnd w:id="77"/>
      <w:bookmarkEnd w:id="78"/>
      <w:bookmarkEnd w:id="79"/>
      <w:bookmarkEnd w:id="80"/>
    </w:p>
    <w:p w14:paraId="17588952">
      <w:pPr>
        <w:spacing w:line="400" w:lineRule="exact"/>
        <w:ind w:firstLine="480" w:firstLineChars="200"/>
        <w:outlineLvl w:val="1"/>
        <w:rPr>
          <w:rFonts w:ascii="仿宋" w:hAnsi="仿宋" w:eastAsia="仿宋" w:cs="仿宋"/>
          <w:bCs/>
          <w:color w:val="000000"/>
          <w:sz w:val="24"/>
        </w:rPr>
      </w:pPr>
      <w:bookmarkStart w:id="81" w:name="_Toc12530"/>
      <w:bookmarkStart w:id="82" w:name="_Toc24661"/>
      <w:bookmarkStart w:id="83" w:name="_Toc9045"/>
      <w:bookmarkStart w:id="84" w:name="_Toc6484"/>
      <w:r>
        <w:rPr>
          <w:rFonts w:hint="eastAsia" w:ascii="仿宋" w:hAnsi="仿宋" w:eastAsia="仿宋" w:cs="仿宋"/>
          <w:bCs/>
          <w:color w:val="000000"/>
          <w:sz w:val="24"/>
        </w:rPr>
        <w:t>供应商为自然人的，应当由本人签字；供应商为法人或者其他组织的，应当由法定代表人、主要负责人，或者其授权代表签字或者盖章，并加盖公章。</w:t>
      </w:r>
      <w:bookmarkEnd w:id="81"/>
      <w:bookmarkEnd w:id="82"/>
      <w:bookmarkEnd w:id="83"/>
      <w:bookmarkEnd w:id="84"/>
    </w:p>
    <w:p w14:paraId="6CBEBE57">
      <w:pPr>
        <w:spacing w:line="400" w:lineRule="exact"/>
        <w:ind w:firstLine="480" w:firstLineChars="200"/>
        <w:outlineLvl w:val="1"/>
        <w:rPr>
          <w:rFonts w:ascii="仿宋" w:hAnsi="仿宋" w:eastAsia="仿宋" w:cs="仿宋"/>
          <w:bCs/>
          <w:color w:val="000000"/>
          <w:sz w:val="24"/>
        </w:rPr>
      </w:pPr>
      <w:bookmarkStart w:id="85" w:name="_Toc30049"/>
      <w:bookmarkStart w:id="86" w:name="_Toc3930"/>
      <w:bookmarkStart w:id="87" w:name="_Toc27102"/>
      <w:bookmarkStart w:id="88" w:name="_Toc14863"/>
      <w:r>
        <w:rPr>
          <w:rFonts w:hint="eastAsia" w:ascii="仿宋" w:hAnsi="仿宋" w:eastAsia="仿宋" w:cs="仿宋"/>
          <w:bCs/>
          <w:color w:val="000000"/>
          <w:sz w:val="24"/>
        </w:rPr>
        <w:t>4.采购人、采购代理机构不得拒收质疑供应商在法定质疑期内发出的质疑函，应当在收到质疑函后7个工作日内作出答复，并以书面形式通知质疑供应商和其他有关供应商。</w:t>
      </w:r>
      <w:bookmarkEnd w:id="85"/>
      <w:bookmarkEnd w:id="86"/>
      <w:bookmarkEnd w:id="87"/>
      <w:bookmarkEnd w:id="88"/>
    </w:p>
    <w:p w14:paraId="68322E24">
      <w:pPr>
        <w:spacing w:line="400" w:lineRule="exact"/>
        <w:ind w:firstLine="480" w:firstLineChars="200"/>
        <w:outlineLvl w:val="1"/>
        <w:rPr>
          <w:rFonts w:ascii="仿宋" w:hAnsi="仿宋" w:eastAsia="仿宋" w:cs="仿宋"/>
          <w:bCs/>
          <w:color w:val="000000"/>
          <w:sz w:val="24"/>
        </w:rPr>
      </w:pPr>
      <w:bookmarkStart w:id="89" w:name="_Toc15121"/>
      <w:bookmarkStart w:id="90" w:name="_Toc17522"/>
      <w:bookmarkStart w:id="91" w:name="_Toc4300"/>
      <w:bookmarkStart w:id="92" w:name="_Toc3709"/>
      <w:r>
        <w:rPr>
          <w:rFonts w:hint="eastAsia" w:ascii="仿宋" w:hAnsi="仿宋" w:eastAsia="仿宋" w:cs="仿宋"/>
          <w:bCs/>
          <w:color w:val="000000"/>
          <w:sz w:val="24"/>
        </w:rPr>
        <w:t>5.供应商对评审过程、中标或者中标结果提出质疑的，采购人、采购代理机构可以组织原评标委员会、竞争性谈判小组、询价小组或者竞争性磋商小组协助答复质疑。</w:t>
      </w:r>
      <w:bookmarkEnd w:id="89"/>
      <w:bookmarkEnd w:id="90"/>
      <w:bookmarkEnd w:id="91"/>
      <w:bookmarkEnd w:id="92"/>
    </w:p>
    <w:p w14:paraId="52C341E8">
      <w:pPr>
        <w:spacing w:line="400" w:lineRule="exact"/>
        <w:ind w:firstLine="480" w:firstLineChars="200"/>
        <w:outlineLvl w:val="1"/>
        <w:rPr>
          <w:rFonts w:ascii="仿宋" w:hAnsi="仿宋" w:eastAsia="仿宋" w:cs="仿宋"/>
          <w:bCs/>
          <w:color w:val="000000"/>
          <w:sz w:val="24"/>
        </w:rPr>
      </w:pPr>
      <w:bookmarkStart w:id="93" w:name="_Toc19314"/>
      <w:bookmarkStart w:id="94" w:name="_Toc32573"/>
      <w:bookmarkStart w:id="95" w:name="_Toc13206"/>
      <w:bookmarkStart w:id="96" w:name="_Toc17334"/>
      <w:r>
        <w:rPr>
          <w:rFonts w:hint="eastAsia" w:ascii="仿宋" w:hAnsi="仿宋" w:eastAsia="仿宋" w:cs="仿宋"/>
          <w:bCs/>
          <w:color w:val="000000"/>
          <w:sz w:val="24"/>
        </w:rPr>
        <w:t>6.质疑答复应当包括下列内容：</w:t>
      </w:r>
      <w:bookmarkEnd w:id="93"/>
      <w:bookmarkEnd w:id="94"/>
      <w:bookmarkEnd w:id="95"/>
      <w:bookmarkEnd w:id="96"/>
    </w:p>
    <w:p w14:paraId="17F04963">
      <w:pPr>
        <w:spacing w:line="400" w:lineRule="exact"/>
        <w:ind w:firstLine="480" w:firstLineChars="200"/>
        <w:outlineLvl w:val="1"/>
        <w:rPr>
          <w:rFonts w:ascii="仿宋" w:hAnsi="仿宋" w:eastAsia="仿宋" w:cs="仿宋"/>
          <w:bCs/>
          <w:color w:val="000000"/>
          <w:sz w:val="24"/>
        </w:rPr>
      </w:pPr>
      <w:bookmarkStart w:id="97" w:name="_Toc8133"/>
      <w:bookmarkStart w:id="98" w:name="_Toc6566"/>
      <w:bookmarkStart w:id="99" w:name="_Toc18398"/>
      <w:bookmarkStart w:id="100" w:name="_Toc31956"/>
      <w:r>
        <w:rPr>
          <w:rFonts w:hint="eastAsia" w:ascii="仿宋" w:hAnsi="仿宋" w:eastAsia="仿宋" w:cs="仿宋"/>
          <w:bCs/>
          <w:color w:val="000000"/>
          <w:sz w:val="24"/>
        </w:rPr>
        <w:t>（1）质疑供应商的姓名或者名称；</w:t>
      </w:r>
      <w:bookmarkEnd w:id="97"/>
      <w:bookmarkEnd w:id="98"/>
      <w:bookmarkEnd w:id="99"/>
      <w:bookmarkEnd w:id="100"/>
    </w:p>
    <w:p w14:paraId="0D106F74">
      <w:pPr>
        <w:spacing w:line="400" w:lineRule="exact"/>
        <w:ind w:firstLine="480" w:firstLineChars="200"/>
        <w:outlineLvl w:val="1"/>
        <w:rPr>
          <w:rFonts w:ascii="仿宋" w:hAnsi="仿宋" w:eastAsia="仿宋" w:cs="仿宋"/>
          <w:bCs/>
          <w:color w:val="000000"/>
          <w:sz w:val="24"/>
        </w:rPr>
      </w:pPr>
      <w:bookmarkStart w:id="101" w:name="_Toc14657"/>
      <w:bookmarkStart w:id="102" w:name="_Toc7840"/>
      <w:bookmarkStart w:id="103" w:name="_Toc17218"/>
      <w:bookmarkStart w:id="104" w:name="_Toc6667"/>
      <w:r>
        <w:rPr>
          <w:rFonts w:hint="eastAsia" w:ascii="仿宋" w:hAnsi="仿宋" w:eastAsia="仿宋" w:cs="仿宋"/>
          <w:bCs/>
          <w:color w:val="000000"/>
          <w:sz w:val="24"/>
        </w:rPr>
        <w:t>（2）收到质疑函的日期、质疑项目名称及编号；</w:t>
      </w:r>
      <w:bookmarkEnd w:id="101"/>
      <w:bookmarkEnd w:id="102"/>
      <w:bookmarkEnd w:id="103"/>
      <w:bookmarkEnd w:id="104"/>
    </w:p>
    <w:p w14:paraId="2C051F0C">
      <w:pPr>
        <w:spacing w:line="400" w:lineRule="exact"/>
        <w:ind w:firstLine="480" w:firstLineChars="200"/>
        <w:outlineLvl w:val="1"/>
        <w:rPr>
          <w:rFonts w:ascii="仿宋" w:hAnsi="仿宋" w:eastAsia="仿宋" w:cs="仿宋"/>
          <w:bCs/>
          <w:color w:val="000000"/>
          <w:sz w:val="24"/>
        </w:rPr>
      </w:pPr>
      <w:bookmarkStart w:id="105" w:name="_Toc21675"/>
      <w:bookmarkStart w:id="106" w:name="_Toc24770"/>
      <w:bookmarkStart w:id="107" w:name="_Toc24433"/>
      <w:bookmarkStart w:id="108" w:name="_Toc9010"/>
      <w:r>
        <w:rPr>
          <w:rFonts w:hint="eastAsia" w:ascii="仿宋" w:hAnsi="仿宋" w:eastAsia="仿宋" w:cs="仿宋"/>
          <w:bCs/>
          <w:color w:val="000000"/>
          <w:sz w:val="24"/>
        </w:rPr>
        <w:t>（3）质疑事项、质疑答复的具体内容、事实依据和法律依据；</w:t>
      </w:r>
      <w:bookmarkEnd w:id="105"/>
      <w:bookmarkEnd w:id="106"/>
      <w:bookmarkEnd w:id="107"/>
      <w:bookmarkEnd w:id="108"/>
    </w:p>
    <w:p w14:paraId="4D812C96">
      <w:pPr>
        <w:spacing w:line="400" w:lineRule="exact"/>
        <w:ind w:firstLine="480" w:firstLineChars="200"/>
        <w:outlineLvl w:val="1"/>
        <w:rPr>
          <w:rFonts w:ascii="仿宋" w:hAnsi="仿宋" w:eastAsia="仿宋" w:cs="仿宋"/>
          <w:bCs/>
          <w:color w:val="000000"/>
          <w:sz w:val="24"/>
        </w:rPr>
      </w:pPr>
      <w:bookmarkStart w:id="109" w:name="_Toc6059"/>
      <w:bookmarkStart w:id="110" w:name="_Toc2882"/>
      <w:bookmarkStart w:id="111" w:name="_Toc32460"/>
      <w:bookmarkStart w:id="112" w:name="_Toc22003"/>
      <w:r>
        <w:rPr>
          <w:rFonts w:hint="eastAsia" w:ascii="仿宋" w:hAnsi="仿宋" w:eastAsia="仿宋" w:cs="仿宋"/>
          <w:bCs/>
          <w:color w:val="000000"/>
          <w:sz w:val="24"/>
        </w:rPr>
        <w:t>（4）告知质疑供应商依法投诉的权利；</w:t>
      </w:r>
      <w:bookmarkEnd w:id="109"/>
      <w:bookmarkEnd w:id="110"/>
      <w:bookmarkEnd w:id="111"/>
      <w:bookmarkEnd w:id="112"/>
    </w:p>
    <w:p w14:paraId="5C9DCFD5">
      <w:pPr>
        <w:spacing w:line="400" w:lineRule="exact"/>
        <w:ind w:firstLine="480" w:firstLineChars="200"/>
        <w:outlineLvl w:val="1"/>
        <w:rPr>
          <w:rFonts w:ascii="仿宋" w:hAnsi="仿宋" w:eastAsia="仿宋" w:cs="仿宋"/>
          <w:bCs/>
          <w:color w:val="000000"/>
          <w:sz w:val="24"/>
        </w:rPr>
      </w:pPr>
      <w:bookmarkStart w:id="113" w:name="_Toc223"/>
      <w:bookmarkStart w:id="114" w:name="_Toc18487"/>
      <w:bookmarkStart w:id="115" w:name="_Toc26745"/>
      <w:bookmarkStart w:id="116" w:name="_Toc27921"/>
      <w:r>
        <w:rPr>
          <w:rFonts w:hint="eastAsia" w:ascii="仿宋" w:hAnsi="仿宋" w:eastAsia="仿宋" w:cs="仿宋"/>
          <w:bCs/>
          <w:color w:val="000000"/>
          <w:sz w:val="24"/>
        </w:rPr>
        <w:t>（5）质疑答复人名称；</w:t>
      </w:r>
      <w:bookmarkEnd w:id="113"/>
      <w:bookmarkEnd w:id="114"/>
      <w:bookmarkEnd w:id="115"/>
      <w:bookmarkEnd w:id="116"/>
    </w:p>
    <w:p w14:paraId="729DAD19">
      <w:pPr>
        <w:spacing w:line="400" w:lineRule="exact"/>
        <w:ind w:firstLine="480" w:firstLineChars="200"/>
        <w:outlineLvl w:val="1"/>
        <w:rPr>
          <w:rFonts w:ascii="仿宋" w:hAnsi="仿宋" w:eastAsia="仿宋" w:cs="仿宋"/>
          <w:bCs/>
          <w:color w:val="000000"/>
          <w:sz w:val="24"/>
        </w:rPr>
      </w:pPr>
      <w:bookmarkStart w:id="117" w:name="_Toc3347"/>
      <w:bookmarkStart w:id="118" w:name="_Toc2964"/>
      <w:bookmarkStart w:id="119" w:name="_Toc30801"/>
      <w:bookmarkStart w:id="120" w:name="_Toc11253"/>
      <w:r>
        <w:rPr>
          <w:rFonts w:hint="eastAsia" w:ascii="仿宋" w:hAnsi="仿宋" w:eastAsia="仿宋" w:cs="仿宋"/>
          <w:bCs/>
          <w:color w:val="000000"/>
          <w:sz w:val="24"/>
        </w:rPr>
        <w:t>（6）答复质疑的日期。</w:t>
      </w:r>
      <w:bookmarkEnd w:id="117"/>
      <w:bookmarkEnd w:id="118"/>
      <w:bookmarkEnd w:id="119"/>
      <w:bookmarkEnd w:id="120"/>
    </w:p>
    <w:p w14:paraId="6E9773B6">
      <w:pPr>
        <w:spacing w:line="400" w:lineRule="exact"/>
        <w:ind w:firstLine="480" w:firstLineChars="200"/>
        <w:outlineLvl w:val="1"/>
        <w:rPr>
          <w:rFonts w:ascii="仿宋" w:hAnsi="仿宋" w:eastAsia="仿宋" w:cs="仿宋"/>
          <w:bCs/>
          <w:color w:val="000000"/>
          <w:sz w:val="24"/>
        </w:rPr>
      </w:pPr>
      <w:bookmarkStart w:id="121" w:name="_Toc23917"/>
      <w:bookmarkStart w:id="122" w:name="_Toc27815"/>
      <w:bookmarkStart w:id="123" w:name="_Toc27878"/>
      <w:bookmarkStart w:id="124" w:name="_Toc9228"/>
      <w:r>
        <w:rPr>
          <w:rFonts w:hint="eastAsia" w:ascii="仿宋" w:hAnsi="仿宋" w:eastAsia="仿宋" w:cs="仿宋"/>
          <w:bCs/>
          <w:color w:val="000000"/>
          <w:sz w:val="24"/>
        </w:rPr>
        <w:t>质疑答复的内容不得涉及商业秘密。</w:t>
      </w:r>
      <w:bookmarkEnd w:id="121"/>
      <w:bookmarkEnd w:id="122"/>
      <w:bookmarkEnd w:id="123"/>
      <w:bookmarkEnd w:id="124"/>
    </w:p>
    <w:p w14:paraId="586D77B9">
      <w:pPr>
        <w:spacing w:line="400" w:lineRule="exact"/>
        <w:ind w:firstLine="480" w:firstLineChars="200"/>
        <w:outlineLvl w:val="1"/>
        <w:rPr>
          <w:rFonts w:ascii="仿宋" w:hAnsi="仿宋" w:eastAsia="仿宋" w:cs="仿宋"/>
          <w:bCs/>
          <w:color w:val="000000"/>
          <w:sz w:val="24"/>
        </w:rPr>
      </w:pPr>
      <w:bookmarkStart w:id="125" w:name="_Toc22997"/>
      <w:bookmarkStart w:id="126" w:name="_Toc6925"/>
      <w:bookmarkStart w:id="127" w:name="_Toc7390"/>
      <w:bookmarkStart w:id="128" w:name="_Toc27770"/>
      <w:r>
        <w:rPr>
          <w:rFonts w:hint="eastAsia" w:ascii="仿宋" w:hAnsi="仿宋" w:eastAsia="仿宋" w:cs="仿宋"/>
          <w:bCs/>
          <w:color w:val="000000"/>
          <w:sz w:val="24"/>
        </w:rPr>
        <w:t>7.采购人、采购代理机构认为供应商质疑不成立，或者成立但未对中标、中标结果构成影响的，继续开展采购活动；认为供应商质疑成立且影响或者可能影响中标、中标结果的，按照下列情况处理：</w:t>
      </w:r>
      <w:bookmarkEnd w:id="125"/>
      <w:bookmarkEnd w:id="126"/>
      <w:bookmarkEnd w:id="127"/>
      <w:bookmarkEnd w:id="128"/>
    </w:p>
    <w:p w14:paraId="4D1C5664">
      <w:pPr>
        <w:spacing w:line="400" w:lineRule="exact"/>
        <w:ind w:firstLine="480" w:firstLineChars="200"/>
        <w:outlineLvl w:val="1"/>
        <w:rPr>
          <w:rFonts w:ascii="仿宋" w:hAnsi="仿宋" w:eastAsia="仿宋" w:cs="仿宋"/>
          <w:bCs/>
          <w:color w:val="000000"/>
          <w:sz w:val="24"/>
        </w:rPr>
      </w:pPr>
      <w:bookmarkStart w:id="129" w:name="_Toc32764"/>
      <w:bookmarkStart w:id="130" w:name="_Toc17581"/>
      <w:bookmarkStart w:id="131" w:name="_Toc25900"/>
      <w:bookmarkStart w:id="132" w:name="_Toc14538"/>
      <w:r>
        <w:rPr>
          <w:rFonts w:hint="eastAsia" w:ascii="仿宋" w:hAnsi="仿宋" w:eastAsia="仿宋" w:cs="仿宋"/>
          <w:bCs/>
          <w:color w:val="000000"/>
          <w:sz w:val="24"/>
        </w:rPr>
        <w:t>（1）对采购文件提出的质疑，依法通过澄清或者修改可以继续开展采购活动的，澄清或者修改采购文件后继续开展采购活动；否则应当修改采购文件后重新开展采购活动。</w:t>
      </w:r>
      <w:bookmarkEnd w:id="129"/>
      <w:bookmarkEnd w:id="130"/>
      <w:bookmarkEnd w:id="131"/>
      <w:bookmarkEnd w:id="132"/>
    </w:p>
    <w:p w14:paraId="6D770180">
      <w:pPr>
        <w:spacing w:line="400" w:lineRule="exact"/>
        <w:ind w:firstLine="480" w:firstLineChars="200"/>
        <w:outlineLvl w:val="1"/>
        <w:rPr>
          <w:rFonts w:ascii="仿宋" w:hAnsi="仿宋" w:eastAsia="仿宋" w:cs="仿宋"/>
          <w:bCs/>
          <w:color w:val="000000"/>
          <w:sz w:val="24"/>
        </w:rPr>
      </w:pPr>
      <w:bookmarkStart w:id="133" w:name="_Toc14888"/>
      <w:bookmarkStart w:id="134" w:name="_Toc27714"/>
      <w:bookmarkStart w:id="135" w:name="_Toc12755"/>
      <w:bookmarkStart w:id="136" w:name="_Toc8113"/>
      <w:r>
        <w:rPr>
          <w:rFonts w:hint="eastAsia" w:ascii="仿宋" w:hAnsi="仿宋" w:eastAsia="仿宋" w:cs="仿宋"/>
          <w:bCs/>
          <w:color w:val="000000"/>
          <w:sz w:val="24"/>
        </w:rPr>
        <w:t>（2）对采购过程、中标或者中标结果提出的质疑，合格供应商符合法定数量时，可以从合格的中标或者中标候选人中另行确定中标、中标供应商的，应当依法另行确定中标、中标供应商；否则应当重新开展采购活动。</w:t>
      </w:r>
      <w:bookmarkEnd w:id="133"/>
      <w:bookmarkEnd w:id="134"/>
      <w:bookmarkEnd w:id="135"/>
      <w:bookmarkEnd w:id="136"/>
    </w:p>
    <w:p w14:paraId="686E012C">
      <w:pPr>
        <w:spacing w:line="400" w:lineRule="exact"/>
        <w:ind w:firstLine="480" w:firstLineChars="200"/>
        <w:outlineLvl w:val="1"/>
        <w:rPr>
          <w:rFonts w:ascii="仿宋" w:hAnsi="仿宋" w:eastAsia="仿宋" w:cs="仿宋"/>
          <w:bCs/>
          <w:color w:val="000000"/>
          <w:sz w:val="24"/>
        </w:rPr>
      </w:pPr>
      <w:bookmarkStart w:id="137" w:name="_Toc4104"/>
      <w:bookmarkStart w:id="138" w:name="_Toc28378"/>
      <w:bookmarkStart w:id="139" w:name="_Toc32598"/>
      <w:bookmarkStart w:id="140" w:name="_Toc27856"/>
      <w:r>
        <w:rPr>
          <w:rFonts w:hint="eastAsia" w:ascii="仿宋" w:hAnsi="仿宋" w:eastAsia="仿宋" w:cs="仿宋"/>
          <w:bCs/>
          <w:color w:val="000000"/>
          <w:sz w:val="24"/>
        </w:rPr>
        <w:t>质疑答复导致中标、中标结果改变的，采购人或者采购代理机构应当将有关情况书面报告本级财政部门</w:t>
      </w:r>
      <w:bookmarkEnd w:id="137"/>
      <w:bookmarkEnd w:id="138"/>
      <w:bookmarkEnd w:id="139"/>
      <w:bookmarkEnd w:id="140"/>
    </w:p>
    <w:p w14:paraId="4F4B36E4">
      <w:pPr>
        <w:spacing w:line="400" w:lineRule="exact"/>
        <w:ind w:firstLine="482" w:firstLineChars="200"/>
        <w:outlineLvl w:val="1"/>
        <w:rPr>
          <w:rFonts w:ascii="仿宋" w:hAnsi="仿宋" w:eastAsia="仿宋" w:cs="仿宋"/>
          <w:bCs/>
          <w:sz w:val="24"/>
        </w:rPr>
      </w:pPr>
      <w:bookmarkStart w:id="141" w:name="_Toc32465"/>
      <w:bookmarkStart w:id="142" w:name="_Toc13179"/>
      <w:bookmarkStart w:id="143" w:name="_Toc783"/>
      <w:bookmarkStart w:id="144" w:name="_Toc21440"/>
      <w:r>
        <w:rPr>
          <w:rFonts w:hint="eastAsia" w:ascii="仿宋" w:hAnsi="仿宋" w:eastAsia="仿宋" w:cs="仿宋"/>
          <w:b/>
          <w:color w:val="000000"/>
          <w:sz w:val="24"/>
        </w:rPr>
        <w:t>未按规定格式、内容提出的，采购人、采购代理机构将不予受理。</w:t>
      </w:r>
      <w:bookmarkEnd w:id="141"/>
      <w:bookmarkEnd w:id="142"/>
      <w:bookmarkEnd w:id="143"/>
      <w:bookmarkEnd w:id="144"/>
    </w:p>
    <w:p w14:paraId="5AB5A5D7">
      <w:pPr>
        <w:spacing w:line="340" w:lineRule="exact"/>
        <w:jc w:val="left"/>
        <w:rPr>
          <w:rFonts w:ascii="仿宋" w:hAnsi="仿宋" w:eastAsia="仿宋" w:cs="仿宋"/>
          <w:b/>
          <w:sz w:val="24"/>
        </w:rPr>
      </w:pPr>
      <w:r>
        <w:rPr>
          <w:rFonts w:hint="eastAsia" w:ascii="仿宋" w:hAnsi="仿宋" w:eastAsia="仿宋" w:cs="仿宋"/>
          <w:b/>
          <w:sz w:val="24"/>
        </w:rPr>
        <w:t>十五、确定成交供应商方法</w:t>
      </w:r>
      <w:bookmarkEnd w:id="42"/>
      <w:bookmarkEnd w:id="43"/>
      <w:bookmarkEnd w:id="44"/>
    </w:p>
    <w:p w14:paraId="7CA8A8B0">
      <w:pPr>
        <w:spacing w:line="340" w:lineRule="exact"/>
        <w:jc w:val="left"/>
        <w:rPr>
          <w:rFonts w:ascii="仿宋" w:hAnsi="仿宋" w:eastAsia="仿宋" w:cs="仿宋"/>
          <w:bCs/>
          <w:sz w:val="24"/>
        </w:rPr>
      </w:pPr>
      <w:bookmarkStart w:id="145" w:name="_Toc18596"/>
      <w:bookmarkStart w:id="146" w:name="_Toc282640722"/>
      <w:bookmarkStart w:id="147" w:name="_Toc5559"/>
      <w:r>
        <w:rPr>
          <w:rFonts w:hint="eastAsia" w:ascii="仿宋" w:hAnsi="仿宋" w:eastAsia="仿宋" w:cs="仿宋"/>
          <w:bCs/>
          <w:sz w:val="24"/>
        </w:rPr>
        <w:t>在质量与服务均能满足采购项目要求的前提下，以综合得分由高到低的原则确定成交供应商，详细的磋商程序见竞争性磋商文件第四章内容。</w:t>
      </w:r>
      <w:bookmarkEnd w:id="145"/>
      <w:bookmarkEnd w:id="146"/>
      <w:bookmarkEnd w:id="147"/>
    </w:p>
    <w:p w14:paraId="2E585B80">
      <w:pPr>
        <w:spacing w:line="340" w:lineRule="exact"/>
        <w:jc w:val="left"/>
        <w:rPr>
          <w:rFonts w:ascii="仿宋" w:hAnsi="仿宋" w:eastAsia="仿宋" w:cs="仿宋"/>
          <w:b/>
          <w:sz w:val="24"/>
        </w:rPr>
      </w:pPr>
      <w:bookmarkStart w:id="148" w:name="_Toc16626"/>
      <w:bookmarkStart w:id="149" w:name="_Toc28666"/>
      <w:r>
        <w:rPr>
          <w:rFonts w:hint="eastAsia" w:ascii="仿宋" w:hAnsi="仿宋" w:eastAsia="仿宋" w:cs="仿宋"/>
          <w:b/>
          <w:sz w:val="24"/>
        </w:rPr>
        <w:t>十六、授予合同</w:t>
      </w:r>
      <w:bookmarkEnd w:id="148"/>
      <w:bookmarkEnd w:id="149"/>
    </w:p>
    <w:p w14:paraId="6871ECA1">
      <w:pPr>
        <w:spacing w:line="340" w:lineRule="exact"/>
        <w:rPr>
          <w:rFonts w:ascii="仿宋" w:hAnsi="仿宋" w:eastAsia="仿宋" w:cs="仿宋"/>
          <w:bCs/>
          <w:sz w:val="24"/>
        </w:rPr>
      </w:pPr>
      <w:r>
        <w:rPr>
          <w:rFonts w:hint="eastAsia" w:ascii="仿宋" w:hAnsi="仿宋" w:eastAsia="仿宋" w:cs="仿宋"/>
          <w:bCs/>
          <w:sz w:val="24"/>
        </w:rPr>
        <w:t xml:space="preserve">    1. 授予合同的依据</w:t>
      </w:r>
    </w:p>
    <w:p w14:paraId="53040277">
      <w:pPr>
        <w:spacing w:line="340" w:lineRule="exact"/>
        <w:rPr>
          <w:rFonts w:ascii="仿宋" w:hAnsi="仿宋" w:eastAsia="仿宋" w:cs="仿宋"/>
          <w:bCs/>
          <w:sz w:val="24"/>
        </w:rPr>
      </w:pPr>
      <w:r>
        <w:rPr>
          <w:rFonts w:hint="eastAsia" w:ascii="仿宋" w:hAnsi="仿宋" w:eastAsia="仿宋" w:cs="仿宋"/>
          <w:bCs/>
          <w:sz w:val="24"/>
        </w:rPr>
        <w:t xml:space="preserve">    采购人签发的成交通知书；</w:t>
      </w:r>
    </w:p>
    <w:p w14:paraId="4461BF81">
      <w:pPr>
        <w:spacing w:line="340" w:lineRule="exact"/>
        <w:rPr>
          <w:rFonts w:ascii="仿宋" w:hAnsi="仿宋" w:eastAsia="仿宋" w:cs="仿宋"/>
          <w:bCs/>
          <w:sz w:val="24"/>
        </w:rPr>
      </w:pPr>
      <w:r>
        <w:rPr>
          <w:rFonts w:hint="eastAsia" w:ascii="仿宋" w:hAnsi="仿宋" w:eastAsia="仿宋" w:cs="仿宋"/>
          <w:bCs/>
          <w:sz w:val="24"/>
        </w:rPr>
        <w:t xml:space="preserve">    磋商文件、磋商文件的修改及补充通知（函）；</w:t>
      </w:r>
    </w:p>
    <w:p w14:paraId="634714EC">
      <w:pPr>
        <w:spacing w:line="340" w:lineRule="exact"/>
        <w:rPr>
          <w:rFonts w:ascii="仿宋" w:hAnsi="仿宋" w:eastAsia="仿宋" w:cs="仿宋"/>
          <w:bCs/>
          <w:sz w:val="24"/>
        </w:rPr>
      </w:pPr>
      <w:r>
        <w:rPr>
          <w:rFonts w:hint="eastAsia" w:ascii="仿宋" w:hAnsi="仿宋" w:eastAsia="仿宋" w:cs="仿宋"/>
          <w:bCs/>
          <w:sz w:val="24"/>
        </w:rPr>
        <w:t xml:space="preserve">    响应文件和磋商时供应商作出的书面澄清、说明、纠正、承诺等；</w:t>
      </w:r>
    </w:p>
    <w:p w14:paraId="6EC23ABB">
      <w:pPr>
        <w:spacing w:line="340" w:lineRule="exact"/>
        <w:rPr>
          <w:rFonts w:ascii="仿宋" w:hAnsi="仿宋" w:eastAsia="仿宋" w:cs="仿宋"/>
          <w:bCs/>
          <w:sz w:val="24"/>
        </w:rPr>
      </w:pPr>
      <w:r>
        <w:rPr>
          <w:rFonts w:hint="eastAsia" w:ascii="仿宋" w:hAnsi="仿宋" w:eastAsia="仿宋" w:cs="仿宋"/>
          <w:bCs/>
          <w:sz w:val="24"/>
        </w:rPr>
        <w:t xml:space="preserve">    2. 合同签订</w:t>
      </w:r>
    </w:p>
    <w:p w14:paraId="6D90A3DF">
      <w:pPr>
        <w:spacing w:line="340" w:lineRule="exact"/>
        <w:rPr>
          <w:rFonts w:ascii="仿宋" w:hAnsi="仿宋" w:eastAsia="仿宋" w:cs="仿宋"/>
          <w:bCs/>
          <w:sz w:val="24"/>
        </w:rPr>
      </w:pPr>
      <w:r>
        <w:rPr>
          <w:rFonts w:hint="eastAsia" w:ascii="仿宋" w:hAnsi="仿宋" w:eastAsia="仿宋" w:cs="仿宋"/>
          <w:bCs/>
          <w:sz w:val="24"/>
        </w:rPr>
        <w:t xml:space="preserve">    2.1成交供应商与采购人应按成交通知书中规定的时间、地点签订合同，否则应承担相应的法律责任。</w:t>
      </w:r>
    </w:p>
    <w:p w14:paraId="11876F10">
      <w:pPr>
        <w:spacing w:line="340" w:lineRule="exact"/>
        <w:rPr>
          <w:rFonts w:ascii="仿宋" w:hAnsi="仿宋" w:eastAsia="仿宋" w:cs="仿宋"/>
          <w:bCs/>
          <w:sz w:val="24"/>
        </w:rPr>
      </w:pPr>
      <w:r>
        <w:rPr>
          <w:rFonts w:hint="eastAsia" w:ascii="仿宋" w:hAnsi="仿宋" w:eastAsia="仿宋" w:cs="仿宋"/>
          <w:bCs/>
          <w:sz w:val="24"/>
        </w:rPr>
        <w:t xml:space="preserve">    2.2 磋商文件、成交供应商的响应文件及磋商过程中有关澄清文件和承诺均为合同附件。</w:t>
      </w:r>
    </w:p>
    <w:p w14:paraId="38BAB672">
      <w:pPr>
        <w:spacing w:line="340" w:lineRule="exact"/>
        <w:rPr>
          <w:rFonts w:ascii="仿宋" w:hAnsi="仿宋" w:eastAsia="仿宋" w:cs="仿宋"/>
          <w:bCs/>
          <w:sz w:val="24"/>
        </w:rPr>
      </w:pPr>
      <w:r>
        <w:rPr>
          <w:rFonts w:hint="eastAsia" w:ascii="仿宋" w:hAnsi="仿宋" w:eastAsia="仿宋" w:cs="仿宋"/>
          <w:bCs/>
          <w:sz w:val="24"/>
        </w:rPr>
        <w:t xml:space="preserve">    2.3 采购人与成交供应商将根据《中华人民共和国合同法》的规定，依据磋商文件和成交供应商的响应文件签订书面合同。</w:t>
      </w:r>
    </w:p>
    <w:p w14:paraId="117F87E4">
      <w:pPr>
        <w:spacing w:line="340" w:lineRule="exact"/>
        <w:rPr>
          <w:rFonts w:ascii="仿宋" w:hAnsi="仿宋" w:eastAsia="仿宋" w:cs="仿宋"/>
          <w:bCs/>
          <w:sz w:val="24"/>
        </w:rPr>
      </w:pPr>
      <w:r>
        <w:rPr>
          <w:rFonts w:hint="eastAsia" w:ascii="仿宋" w:hAnsi="仿宋" w:eastAsia="仿宋" w:cs="仿宋"/>
          <w:bCs/>
          <w:sz w:val="24"/>
        </w:rPr>
        <w:t xml:space="preserve">    2.4 采购人如不与成交供应商订立合同，或者采购人、成交供应商订立背离合同实质性内容的协议，由政府有关部门责令改正，同时依法承担相应法律责任；</w:t>
      </w:r>
    </w:p>
    <w:p w14:paraId="45286FA9">
      <w:pPr>
        <w:spacing w:line="340" w:lineRule="exact"/>
        <w:rPr>
          <w:rFonts w:ascii="仿宋" w:hAnsi="仿宋" w:eastAsia="仿宋" w:cs="仿宋"/>
          <w:bCs/>
          <w:sz w:val="24"/>
        </w:rPr>
      </w:pPr>
      <w:r>
        <w:rPr>
          <w:rFonts w:hint="eastAsia" w:ascii="仿宋" w:hAnsi="仿宋" w:eastAsia="仿宋" w:cs="仿宋"/>
          <w:bCs/>
          <w:sz w:val="24"/>
        </w:rPr>
        <w:t xml:space="preserve">    2.5 成交供应商如不按规定与采购人订立合同，则采购人将废除授标，给采购人造成的损失超依法承担相应法律责任。</w:t>
      </w:r>
    </w:p>
    <w:p w14:paraId="3D23624A">
      <w:pPr>
        <w:spacing w:line="340" w:lineRule="exact"/>
        <w:rPr>
          <w:rFonts w:ascii="仿宋" w:hAnsi="仿宋" w:eastAsia="仿宋" w:cs="仿宋"/>
          <w:bCs/>
          <w:sz w:val="24"/>
        </w:rPr>
      </w:pPr>
      <w:r>
        <w:rPr>
          <w:rFonts w:hint="eastAsia" w:ascii="仿宋" w:hAnsi="仿宋" w:eastAsia="仿宋" w:cs="仿宋"/>
          <w:bCs/>
          <w:sz w:val="24"/>
        </w:rPr>
        <w:t xml:space="preserve">    2.6 成交供应商应当按照合同约定履行义务，完成成交项目各项工作，不得将成交项目违法转让（转包）给他人；</w:t>
      </w:r>
    </w:p>
    <w:p w14:paraId="0F011762">
      <w:pPr>
        <w:spacing w:line="340" w:lineRule="exact"/>
        <w:rPr>
          <w:rFonts w:ascii="仿宋" w:hAnsi="仿宋" w:eastAsia="仿宋" w:cs="仿宋"/>
          <w:bCs/>
          <w:sz w:val="24"/>
        </w:rPr>
      </w:pPr>
      <w:r>
        <w:rPr>
          <w:rFonts w:hint="eastAsia" w:ascii="仿宋" w:hAnsi="仿宋" w:eastAsia="仿宋" w:cs="仿宋"/>
          <w:bCs/>
          <w:sz w:val="24"/>
        </w:rPr>
        <w:t xml:space="preserve">    2.7如果成交供应商未能遵守上述2.5条的规定，则可取消其成交资格。在此情况下，可将合同授予排序在成交供应商之后的第一位成交候选供应商。</w:t>
      </w:r>
    </w:p>
    <w:p w14:paraId="7795DA15">
      <w:pPr>
        <w:spacing w:line="340" w:lineRule="exact"/>
        <w:ind w:left="480" w:firstLine="640" w:firstLineChars="200"/>
        <w:jc w:val="left"/>
        <w:rPr>
          <w:rFonts w:ascii="仿宋" w:hAnsi="仿宋" w:eastAsia="仿宋" w:cs="仿宋"/>
          <w:sz w:val="32"/>
          <w:szCs w:val="32"/>
        </w:rPr>
      </w:pPr>
      <w:r>
        <w:rPr>
          <w:rFonts w:hint="eastAsia" w:ascii="仿宋" w:hAnsi="仿宋" w:eastAsia="仿宋" w:cs="仿宋"/>
          <w:sz w:val="32"/>
          <w:szCs w:val="32"/>
        </w:rPr>
        <w:br w:type="page"/>
      </w:r>
      <w:bookmarkStart w:id="150" w:name="_Toc29112"/>
    </w:p>
    <w:p w14:paraId="357EF4DE">
      <w:pPr>
        <w:spacing w:line="340" w:lineRule="exact"/>
        <w:rPr>
          <w:rFonts w:ascii="仿宋" w:hAnsi="仿宋" w:eastAsia="仿宋" w:cs="仿宋"/>
          <w:sz w:val="32"/>
          <w:szCs w:val="32"/>
        </w:rPr>
      </w:pPr>
    </w:p>
    <w:p w14:paraId="75A29E3C">
      <w:pPr>
        <w:pStyle w:val="2"/>
        <w:spacing w:line="360" w:lineRule="auto"/>
        <w:jc w:val="center"/>
        <w:rPr>
          <w:rStyle w:val="38"/>
          <w:rFonts w:ascii="仿宋" w:hAnsi="仿宋" w:eastAsia="仿宋" w:cs="仿宋"/>
          <w:b/>
          <w:bCs/>
        </w:rPr>
      </w:pPr>
      <w:bookmarkStart w:id="151" w:name="_Toc10361"/>
      <w:r>
        <w:rPr>
          <w:rStyle w:val="38"/>
          <w:rFonts w:hint="eastAsia" w:ascii="仿宋" w:hAnsi="仿宋" w:eastAsia="仿宋" w:cs="仿宋"/>
          <w:b/>
          <w:bCs/>
        </w:rPr>
        <w:t>第三章  采购需求</w:t>
      </w:r>
      <w:bookmarkEnd w:id="150"/>
      <w:bookmarkEnd w:id="151"/>
    </w:p>
    <w:p w14:paraId="51FACFF6">
      <w:pPr>
        <w:spacing w:line="480" w:lineRule="exact"/>
        <w:rPr>
          <w:rFonts w:ascii="仿宋" w:hAnsi="仿宋" w:eastAsia="仿宋" w:cs="仿宋"/>
          <w:b/>
          <w:bCs/>
          <w:sz w:val="24"/>
        </w:rPr>
      </w:pPr>
      <w:r>
        <w:rPr>
          <w:rFonts w:hint="eastAsia" w:ascii="仿宋" w:hAnsi="仿宋" w:eastAsia="仿宋" w:cs="仿宋"/>
          <w:b/>
          <w:bCs/>
          <w:sz w:val="24"/>
        </w:rPr>
        <w:t>一、项目概况</w:t>
      </w:r>
    </w:p>
    <w:p w14:paraId="3109681D">
      <w:pPr>
        <w:spacing w:line="480" w:lineRule="exact"/>
        <w:rPr>
          <w:rFonts w:ascii="仿宋" w:hAnsi="仿宋" w:eastAsia="仿宋" w:cs="仿宋"/>
          <w:b/>
          <w:bCs/>
          <w:sz w:val="24"/>
        </w:rPr>
      </w:pPr>
      <w:r>
        <w:rPr>
          <w:rFonts w:hint="eastAsia" w:ascii="仿宋" w:hAnsi="仿宋" w:eastAsia="仿宋" w:cs="仿宋"/>
          <w:b/>
          <w:bCs/>
          <w:sz w:val="24"/>
        </w:rPr>
        <w:t>（一）规划范围与期限</w:t>
      </w:r>
    </w:p>
    <w:p w14:paraId="0B39469B">
      <w:pPr>
        <w:spacing w:line="480" w:lineRule="exact"/>
        <w:rPr>
          <w:rFonts w:ascii="仿宋" w:hAnsi="仿宋" w:eastAsia="仿宋" w:cs="仿宋"/>
          <w:b/>
          <w:bCs/>
          <w:sz w:val="24"/>
        </w:rPr>
      </w:pPr>
      <w:r>
        <w:rPr>
          <w:rFonts w:hint="eastAsia" w:ascii="仿宋" w:hAnsi="仿宋" w:eastAsia="仿宋" w:cs="仿宋"/>
          <w:b/>
          <w:bCs/>
          <w:sz w:val="24"/>
        </w:rPr>
        <w:t>（1）规划范围：</w:t>
      </w:r>
    </w:p>
    <w:p w14:paraId="7DE5C8FF">
      <w:pPr>
        <w:spacing w:line="480" w:lineRule="exact"/>
        <w:ind w:firstLine="480" w:firstLineChars="200"/>
        <w:rPr>
          <w:rFonts w:ascii="仿宋" w:hAnsi="仿宋" w:eastAsia="仿宋" w:cs="仿宋"/>
          <w:sz w:val="24"/>
        </w:rPr>
      </w:pPr>
      <w:r>
        <w:rPr>
          <w:rFonts w:hint="eastAsia" w:ascii="仿宋" w:hAnsi="仿宋" w:eastAsia="仿宋" w:cs="仿宋"/>
          <w:sz w:val="24"/>
        </w:rPr>
        <w:t>本次项目的双林镇镇域战略规划研究范围：双林镇行政管辖范围，下辖26个行政村，总面积约84.3平方公里。</w:t>
      </w:r>
    </w:p>
    <w:p w14:paraId="1003B209">
      <w:pPr>
        <w:spacing w:line="480" w:lineRule="exact"/>
        <w:ind w:firstLine="480" w:firstLineChars="200"/>
        <w:rPr>
          <w:rFonts w:ascii="仿宋" w:hAnsi="仿宋" w:eastAsia="仿宋" w:cs="仿宋"/>
          <w:sz w:val="24"/>
        </w:rPr>
      </w:pPr>
      <w:r>
        <w:rPr>
          <w:rFonts w:hint="eastAsia" w:ascii="仿宋" w:hAnsi="仿宋" w:eastAsia="仿宋" w:cs="仿宋"/>
          <w:sz w:val="24"/>
        </w:rPr>
        <w:t>本次项目的双林镇区总体城市设计范围：北至双林塘，南至镇南路，东至环城东路，西至环城西路，总涉及范围面积约18平方公里，其中重点规划设计区域为13.3平方公里。</w:t>
      </w:r>
    </w:p>
    <w:p w14:paraId="2B349AAC">
      <w:pPr>
        <w:spacing w:line="480" w:lineRule="exact"/>
        <w:rPr>
          <w:rFonts w:ascii="仿宋" w:hAnsi="仿宋" w:eastAsia="仿宋" w:cs="仿宋"/>
          <w:b/>
          <w:bCs/>
          <w:sz w:val="24"/>
        </w:rPr>
      </w:pPr>
      <w:r>
        <w:rPr>
          <w:rFonts w:hint="eastAsia" w:ascii="仿宋" w:hAnsi="仿宋" w:eastAsia="仿宋" w:cs="仿宋"/>
          <w:b/>
          <w:bCs/>
          <w:sz w:val="24"/>
        </w:rPr>
        <w:t>（2）规划期限：</w:t>
      </w:r>
    </w:p>
    <w:p w14:paraId="7AF21C4A">
      <w:pPr>
        <w:spacing w:line="480" w:lineRule="exact"/>
        <w:ind w:firstLine="480" w:firstLineChars="200"/>
        <w:rPr>
          <w:rFonts w:ascii="仿宋" w:hAnsi="仿宋" w:eastAsia="仿宋" w:cs="仿宋"/>
          <w:sz w:val="24"/>
        </w:rPr>
      </w:pPr>
      <w:r>
        <w:rPr>
          <w:rFonts w:hint="eastAsia" w:ascii="仿宋" w:hAnsi="仿宋" w:eastAsia="仿宋" w:cs="仿宋"/>
          <w:sz w:val="24"/>
        </w:rPr>
        <w:t>本次项目的规划期限与在编的双林镇国土空间规划保持一致，为2021-2035年。</w:t>
      </w:r>
    </w:p>
    <w:p w14:paraId="62AEE7B3">
      <w:pPr>
        <w:spacing w:line="480" w:lineRule="exact"/>
        <w:rPr>
          <w:rFonts w:ascii="仿宋" w:hAnsi="仿宋" w:eastAsia="仿宋" w:cs="仿宋"/>
          <w:b/>
          <w:bCs/>
          <w:sz w:val="24"/>
        </w:rPr>
      </w:pPr>
      <w:r>
        <w:rPr>
          <w:rFonts w:hint="eastAsia" w:ascii="仿宋" w:hAnsi="仿宋" w:eastAsia="仿宋" w:cs="仿宋"/>
          <w:b/>
          <w:bCs/>
          <w:sz w:val="24"/>
        </w:rPr>
        <w:t>（二）规划内容</w:t>
      </w:r>
    </w:p>
    <w:p w14:paraId="53891C21">
      <w:pPr>
        <w:spacing w:line="480" w:lineRule="exact"/>
        <w:rPr>
          <w:rFonts w:ascii="仿宋" w:hAnsi="仿宋" w:eastAsia="仿宋" w:cs="仿宋"/>
          <w:b/>
          <w:bCs/>
          <w:sz w:val="24"/>
        </w:rPr>
      </w:pPr>
      <w:r>
        <w:rPr>
          <w:rFonts w:hint="eastAsia" w:ascii="仿宋" w:hAnsi="仿宋" w:eastAsia="仿宋" w:cs="仿宋"/>
          <w:b/>
          <w:bCs/>
          <w:sz w:val="24"/>
        </w:rPr>
        <w:t>（1）规划前言</w:t>
      </w:r>
    </w:p>
    <w:p w14:paraId="267727BA">
      <w:pPr>
        <w:spacing w:line="480" w:lineRule="exact"/>
        <w:ind w:firstLine="480" w:firstLineChars="200"/>
        <w:rPr>
          <w:rFonts w:ascii="仿宋" w:hAnsi="仿宋" w:eastAsia="仿宋" w:cs="仿宋"/>
          <w:sz w:val="24"/>
        </w:rPr>
      </w:pPr>
      <w:r>
        <w:rPr>
          <w:rFonts w:hint="eastAsia" w:ascii="仿宋" w:hAnsi="仿宋" w:eastAsia="仿宋" w:cs="仿宋"/>
          <w:sz w:val="24"/>
        </w:rPr>
        <w:t>对本次项目的项目背景、规划思考、总体认知等内容进行分析解读。</w:t>
      </w:r>
    </w:p>
    <w:p w14:paraId="7A6734CA">
      <w:pPr>
        <w:spacing w:line="480" w:lineRule="exact"/>
        <w:rPr>
          <w:rFonts w:ascii="仿宋" w:hAnsi="仿宋" w:eastAsia="仿宋" w:cs="仿宋"/>
          <w:b/>
          <w:bCs/>
          <w:sz w:val="24"/>
        </w:rPr>
      </w:pPr>
      <w:r>
        <w:rPr>
          <w:rFonts w:hint="eastAsia" w:ascii="仿宋" w:hAnsi="仿宋" w:eastAsia="仿宋" w:cs="仿宋"/>
          <w:b/>
          <w:bCs/>
          <w:sz w:val="24"/>
        </w:rPr>
        <w:t>（2）现状分析</w:t>
      </w:r>
    </w:p>
    <w:p w14:paraId="0F53D27F">
      <w:pPr>
        <w:spacing w:line="480" w:lineRule="exact"/>
        <w:ind w:firstLine="480" w:firstLineChars="200"/>
        <w:rPr>
          <w:rFonts w:ascii="仿宋" w:hAnsi="仿宋" w:eastAsia="仿宋" w:cs="仿宋"/>
          <w:sz w:val="24"/>
        </w:rPr>
      </w:pPr>
      <w:r>
        <w:rPr>
          <w:rFonts w:hint="eastAsia" w:ascii="仿宋" w:hAnsi="仿宋" w:eastAsia="仿宋" w:cs="仿宋"/>
          <w:sz w:val="24"/>
        </w:rPr>
        <w:t>多方位分析双林镇的区位价值，研究双林镇域范围内的现状生态、现状人文、现状产业、现状用地等内容，并归纳总结出双林现状发展的核心问题。</w:t>
      </w:r>
    </w:p>
    <w:p w14:paraId="2D85D24E">
      <w:pPr>
        <w:spacing w:line="480" w:lineRule="exact"/>
        <w:rPr>
          <w:rFonts w:ascii="仿宋" w:hAnsi="仿宋" w:eastAsia="仿宋" w:cs="仿宋"/>
          <w:b/>
          <w:bCs/>
          <w:sz w:val="24"/>
        </w:rPr>
      </w:pPr>
      <w:r>
        <w:rPr>
          <w:rFonts w:hint="eastAsia" w:ascii="仿宋" w:hAnsi="仿宋" w:eastAsia="仿宋" w:cs="仿宋"/>
          <w:b/>
          <w:bCs/>
          <w:sz w:val="24"/>
        </w:rPr>
        <w:t>（3）定位目标</w:t>
      </w:r>
    </w:p>
    <w:p w14:paraId="7FDADD0E">
      <w:pPr>
        <w:spacing w:line="480" w:lineRule="exact"/>
        <w:ind w:firstLine="480" w:firstLineChars="200"/>
        <w:rPr>
          <w:rFonts w:ascii="仿宋" w:hAnsi="仿宋" w:eastAsia="仿宋" w:cs="仿宋"/>
          <w:sz w:val="24"/>
        </w:rPr>
      </w:pPr>
      <w:r>
        <w:rPr>
          <w:rFonts w:hint="eastAsia" w:ascii="仿宋" w:hAnsi="仿宋" w:eastAsia="仿宋" w:cs="仿宋"/>
          <w:sz w:val="24"/>
        </w:rPr>
        <w:t>通过湖州市国土空间总体规划等上位规划对双林镇的未来发展进行规划指引，并合理确定双林镇在区位中的总体定位，得出不同层次的目标愿景。</w:t>
      </w:r>
    </w:p>
    <w:p w14:paraId="4CF57132">
      <w:pPr>
        <w:spacing w:line="480" w:lineRule="exact"/>
        <w:rPr>
          <w:rFonts w:ascii="仿宋" w:hAnsi="仿宋" w:eastAsia="仿宋" w:cs="仿宋"/>
          <w:b/>
          <w:bCs/>
          <w:sz w:val="24"/>
        </w:rPr>
      </w:pPr>
      <w:r>
        <w:rPr>
          <w:rFonts w:hint="eastAsia" w:ascii="仿宋" w:hAnsi="仿宋" w:eastAsia="仿宋" w:cs="仿宋"/>
          <w:b/>
          <w:bCs/>
          <w:sz w:val="24"/>
        </w:rPr>
        <w:t>（4）规划思路</w:t>
      </w:r>
    </w:p>
    <w:p w14:paraId="2D3BCD84">
      <w:pPr>
        <w:spacing w:line="480" w:lineRule="exact"/>
        <w:ind w:firstLine="480" w:firstLineChars="200"/>
        <w:rPr>
          <w:rFonts w:ascii="仿宋" w:hAnsi="仿宋" w:eastAsia="仿宋" w:cs="仿宋"/>
          <w:sz w:val="24"/>
        </w:rPr>
      </w:pPr>
      <w:r>
        <w:rPr>
          <w:rFonts w:hint="eastAsia" w:ascii="仿宋" w:hAnsi="仿宋" w:eastAsia="仿宋" w:cs="仿宋"/>
          <w:sz w:val="24"/>
        </w:rPr>
        <w:t>通过双林镇域的问题导向以及定位导向，得出产业战略、空间战略、交通战略、文化战略等各类规划发展思路，全面指导双林镇域的未来发展。</w:t>
      </w:r>
    </w:p>
    <w:p w14:paraId="3931404C">
      <w:pPr>
        <w:spacing w:line="480" w:lineRule="exact"/>
        <w:rPr>
          <w:rFonts w:ascii="仿宋" w:hAnsi="仿宋" w:eastAsia="仿宋" w:cs="仿宋"/>
          <w:b/>
          <w:bCs/>
          <w:sz w:val="24"/>
        </w:rPr>
      </w:pPr>
      <w:r>
        <w:rPr>
          <w:rFonts w:hint="eastAsia" w:ascii="仿宋" w:hAnsi="仿宋" w:eastAsia="仿宋" w:cs="仿宋"/>
          <w:b/>
          <w:bCs/>
          <w:sz w:val="24"/>
        </w:rPr>
        <w:t>（5）总设策略</w:t>
      </w:r>
    </w:p>
    <w:p w14:paraId="44B5F1AA">
      <w:pPr>
        <w:spacing w:line="480" w:lineRule="exact"/>
        <w:ind w:firstLine="480" w:firstLineChars="200"/>
        <w:rPr>
          <w:rFonts w:ascii="仿宋" w:hAnsi="仿宋" w:eastAsia="仿宋" w:cs="仿宋"/>
          <w:sz w:val="24"/>
        </w:rPr>
      </w:pPr>
      <w:r>
        <w:rPr>
          <w:rFonts w:hint="eastAsia" w:ascii="仿宋" w:hAnsi="仿宋" w:eastAsia="仿宋" w:cs="仿宋"/>
          <w:sz w:val="24"/>
        </w:rPr>
        <w:t>在镇区总体城市设计范围内对城镇的现状风貌和发展进行相应研究，并通过同类案例得出双林镇区的规划目标、规划愿景以及规划原则。同时针对镇区的各个重点要素制定设计策略，搭建总体框架。</w:t>
      </w:r>
    </w:p>
    <w:p w14:paraId="2ED43472">
      <w:pPr>
        <w:spacing w:line="480" w:lineRule="exact"/>
        <w:rPr>
          <w:rFonts w:ascii="仿宋" w:hAnsi="仿宋" w:eastAsia="仿宋" w:cs="仿宋"/>
          <w:b/>
          <w:bCs/>
          <w:sz w:val="24"/>
        </w:rPr>
      </w:pPr>
      <w:r>
        <w:rPr>
          <w:rFonts w:hint="eastAsia" w:ascii="仿宋" w:hAnsi="仿宋" w:eastAsia="仿宋" w:cs="仿宋"/>
          <w:b/>
          <w:bCs/>
          <w:sz w:val="24"/>
        </w:rPr>
        <w:t>（6）重点设计</w:t>
      </w:r>
    </w:p>
    <w:p w14:paraId="3B6708B7">
      <w:pPr>
        <w:spacing w:line="480" w:lineRule="exact"/>
        <w:ind w:firstLine="480" w:firstLineChars="200"/>
        <w:rPr>
          <w:rFonts w:ascii="仿宋" w:hAnsi="仿宋" w:eastAsia="仿宋" w:cs="仿宋"/>
          <w:sz w:val="24"/>
        </w:rPr>
      </w:pPr>
      <w:r>
        <w:rPr>
          <w:rFonts w:hint="eastAsia" w:ascii="仿宋" w:hAnsi="仿宋" w:eastAsia="仿宋" w:cs="仿宋"/>
          <w:sz w:val="24"/>
        </w:rPr>
        <w:t>结合总设策略打磨双林镇区的总体城市设计，着重对镇区的各个功能分区进行形象风貌打造和项目指引，并提炼重要界面和节点进行相应设计。</w:t>
      </w:r>
    </w:p>
    <w:p w14:paraId="2DA0B74B">
      <w:pPr>
        <w:spacing w:line="480" w:lineRule="exact"/>
        <w:rPr>
          <w:rFonts w:ascii="仿宋" w:hAnsi="仿宋" w:eastAsia="仿宋" w:cs="仿宋"/>
          <w:b/>
          <w:bCs/>
          <w:sz w:val="24"/>
        </w:rPr>
      </w:pPr>
      <w:r>
        <w:rPr>
          <w:rFonts w:hint="eastAsia" w:ascii="仿宋" w:hAnsi="仿宋" w:eastAsia="仿宋" w:cs="仿宋"/>
          <w:b/>
          <w:bCs/>
          <w:sz w:val="24"/>
        </w:rPr>
        <w:t>（7）效果展示</w:t>
      </w:r>
    </w:p>
    <w:p w14:paraId="75558F7A">
      <w:pPr>
        <w:spacing w:line="480" w:lineRule="exact"/>
        <w:ind w:firstLine="480" w:firstLineChars="200"/>
        <w:rPr>
          <w:rFonts w:ascii="仿宋" w:hAnsi="仿宋" w:eastAsia="仿宋" w:cs="仿宋"/>
          <w:sz w:val="24"/>
        </w:rPr>
      </w:pPr>
      <w:r>
        <w:rPr>
          <w:rFonts w:hint="eastAsia" w:ascii="仿宋" w:hAnsi="仿宋" w:eastAsia="仿宋" w:cs="仿宋"/>
          <w:sz w:val="24"/>
        </w:rPr>
        <w:t>制定相应的效果图对双林镇区的全貌、各个分区以及重要节点进行效果展示，图纸应符合双林镇区的实际建设情况，整体美观大方，符合双林新时代气息和文化底蕴。</w:t>
      </w:r>
    </w:p>
    <w:p w14:paraId="10D18885">
      <w:pPr>
        <w:spacing w:line="480" w:lineRule="exact"/>
        <w:rPr>
          <w:rFonts w:ascii="仿宋" w:hAnsi="仿宋" w:eastAsia="仿宋" w:cs="仿宋"/>
          <w:b/>
          <w:bCs/>
          <w:sz w:val="24"/>
        </w:rPr>
      </w:pPr>
      <w:r>
        <w:rPr>
          <w:rFonts w:hint="eastAsia" w:ascii="仿宋" w:hAnsi="仿宋" w:eastAsia="仿宋" w:cs="仿宋"/>
          <w:b/>
          <w:bCs/>
          <w:sz w:val="24"/>
        </w:rPr>
        <w:t>（8）设计指引</w:t>
      </w:r>
    </w:p>
    <w:p w14:paraId="11269931">
      <w:pPr>
        <w:spacing w:line="480" w:lineRule="exact"/>
        <w:ind w:firstLine="480" w:firstLineChars="200"/>
        <w:rPr>
          <w:rFonts w:ascii="仿宋" w:hAnsi="仿宋" w:eastAsia="仿宋" w:cs="仿宋"/>
          <w:sz w:val="24"/>
        </w:rPr>
      </w:pPr>
      <w:r>
        <w:rPr>
          <w:rFonts w:hint="eastAsia" w:ascii="仿宋" w:hAnsi="仿宋" w:eastAsia="仿宋" w:cs="仿宋"/>
          <w:sz w:val="24"/>
        </w:rPr>
        <w:t>对双林镇区城市建设的建筑功能、建筑高度、容积率等内容进行总体控制，并对镇区建筑风貌、建筑肌理、建筑色彩进行导引，同时提出道路交通、蓝绿空间、农旅设计、园区打造等内容的相关指引。</w:t>
      </w:r>
    </w:p>
    <w:p w14:paraId="37386581">
      <w:pPr>
        <w:spacing w:line="480" w:lineRule="exact"/>
        <w:rPr>
          <w:rFonts w:ascii="仿宋" w:hAnsi="仿宋" w:eastAsia="仿宋" w:cs="仿宋"/>
          <w:b/>
          <w:bCs/>
          <w:sz w:val="24"/>
        </w:rPr>
      </w:pPr>
      <w:r>
        <w:rPr>
          <w:rFonts w:hint="eastAsia" w:ascii="仿宋" w:hAnsi="仿宋" w:eastAsia="仿宋" w:cs="仿宋"/>
          <w:b/>
          <w:bCs/>
          <w:sz w:val="24"/>
        </w:rPr>
        <w:t>（9）地块推介</w:t>
      </w:r>
    </w:p>
    <w:p w14:paraId="1B44EE46">
      <w:pPr>
        <w:spacing w:line="480" w:lineRule="exact"/>
        <w:ind w:firstLine="480" w:firstLineChars="200"/>
        <w:rPr>
          <w:rFonts w:ascii="仿宋" w:hAnsi="仿宋" w:eastAsia="仿宋" w:cs="仿宋"/>
          <w:sz w:val="24"/>
        </w:rPr>
      </w:pPr>
      <w:r>
        <w:rPr>
          <w:rFonts w:hint="eastAsia" w:ascii="仿宋" w:hAnsi="仿宋" w:eastAsia="仿宋" w:cs="仿宋"/>
          <w:sz w:val="24"/>
        </w:rPr>
        <w:t>结合双林镇区的城市设计研究，对镇区范围内的拟出让地块进行推介，并对各个推介地块的现状和规划情况进行介绍和指引，满足双林后续建设要求。</w:t>
      </w:r>
    </w:p>
    <w:p w14:paraId="65E3996A">
      <w:pPr>
        <w:spacing w:line="480" w:lineRule="exact"/>
        <w:rPr>
          <w:rFonts w:ascii="仿宋" w:hAnsi="仿宋" w:eastAsia="仿宋" w:cs="仿宋"/>
          <w:b/>
          <w:bCs/>
          <w:sz w:val="24"/>
        </w:rPr>
      </w:pPr>
      <w:r>
        <w:rPr>
          <w:rFonts w:hint="eastAsia" w:ascii="仿宋" w:hAnsi="仿宋" w:eastAsia="仿宋" w:cs="仿宋"/>
          <w:b/>
          <w:bCs/>
          <w:sz w:val="24"/>
        </w:rPr>
        <w:t>（10）实施措施</w:t>
      </w:r>
    </w:p>
    <w:p w14:paraId="3BD23B73">
      <w:pPr>
        <w:spacing w:line="480" w:lineRule="exact"/>
        <w:ind w:firstLine="480" w:firstLineChars="200"/>
        <w:rPr>
          <w:rFonts w:ascii="仿宋" w:hAnsi="仿宋" w:eastAsia="仿宋" w:cs="仿宋"/>
          <w:sz w:val="24"/>
        </w:rPr>
      </w:pPr>
      <w:r>
        <w:rPr>
          <w:rFonts w:hint="eastAsia" w:ascii="仿宋" w:hAnsi="仿宋" w:eastAsia="仿宋" w:cs="仿宋"/>
          <w:sz w:val="24"/>
        </w:rPr>
        <w:t>根据实际情况制定双林镇区各个区域建设的发展时序，罗列相应项目得出行动计划，并提供实施保障等措施。</w:t>
      </w:r>
    </w:p>
    <w:p w14:paraId="4FB46E92">
      <w:pPr>
        <w:snapToGrid w:val="0"/>
        <w:spacing w:before="156" w:beforeLines="50" w:after="156" w:afterLines="50" w:line="520" w:lineRule="exact"/>
      </w:pPr>
      <w:r>
        <w:rPr>
          <w:rFonts w:hint="eastAsia" w:ascii="仿宋" w:hAnsi="仿宋" w:eastAsia="仿宋" w:cs="仿宋"/>
          <w:b/>
          <w:bCs/>
          <w:sz w:val="24"/>
        </w:rPr>
        <w:t>▲</w:t>
      </w:r>
      <w:r>
        <w:rPr>
          <w:rFonts w:hint="eastAsia" w:ascii="仿宋" w:hAnsi="仿宋" w:eastAsia="仿宋" w:cs="仿宋"/>
          <w:b/>
          <w:sz w:val="24"/>
        </w:rPr>
        <w:t>二、商务要求</w:t>
      </w:r>
    </w:p>
    <w:tbl>
      <w:tblPr>
        <w:tblStyle w:val="29"/>
        <w:tblpPr w:leftFromText="180" w:rightFromText="180" w:vertAnchor="text" w:horzAnchor="page" w:tblpX="1856" w:tblpY="70"/>
        <w:tblOverlap w:val="never"/>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77"/>
        <w:gridCol w:w="7023"/>
      </w:tblGrid>
      <w:tr w14:paraId="181104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138" w:hRule="atLeast"/>
        </w:trPr>
        <w:tc>
          <w:tcPr>
            <w:tcW w:w="1377" w:type="dxa"/>
            <w:tcBorders>
              <w:top w:val="single" w:color="auto" w:sz="4" w:space="0"/>
              <w:left w:val="single" w:color="auto" w:sz="4" w:space="0"/>
              <w:bottom w:val="single" w:color="auto" w:sz="4" w:space="0"/>
              <w:right w:val="single" w:color="auto" w:sz="4" w:space="0"/>
            </w:tcBorders>
            <w:vAlign w:val="center"/>
          </w:tcPr>
          <w:p w14:paraId="31C7210C">
            <w:pPr>
              <w:spacing w:line="360" w:lineRule="auto"/>
              <w:jc w:val="center"/>
              <w:rPr>
                <w:rFonts w:ascii="仿宋" w:hAnsi="仿宋" w:eastAsia="仿宋" w:cs="仿宋"/>
                <w:b/>
                <w:bCs/>
                <w:sz w:val="24"/>
                <w:highlight w:val="yellow"/>
              </w:rPr>
            </w:pPr>
            <w:r>
              <w:rPr>
                <w:rFonts w:hint="eastAsia" w:ascii="仿宋" w:hAnsi="仿宋" w:eastAsia="仿宋" w:cs="仿宋"/>
                <w:b/>
                <w:bCs/>
                <w:sz w:val="24"/>
              </w:rPr>
              <w:t>服务期</w:t>
            </w:r>
          </w:p>
        </w:tc>
        <w:tc>
          <w:tcPr>
            <w:tcW w:w="7023" w:type="dxa"/>
            <w:tcBorders>
              <w:top w:val="single" w:color="auto" w:sz="4" w:space="0"/>
              <w:left w:val="single" w:color="auto" w:sz="4" w:space="0"/>
              <w:bottom w:val="single" w:color="auto" w:sz="4" w:space="0"/>
              <w:right w:val="single" w:color="auto" w:sz="4" w:space="0"/>
            </w:tcBorders>
            <w:vAlign w:val="center"/>
          </w:tcPr>
          <w:p w14:paraId="43718847">
            <w:pPr>
              <w:spacing w:line="360" w:lineRule="auto"/>
              <w:rPr>
                <w:rFonts w:ascii="仿宋" w:hAnsi="仿宋" w:eastAsia="仿宋" w:cs="仿宋"/>
                <w:b/>
                <w:bCs/>
                <w:sz w:val="24"/>
                <w:highlight w:val="yellow"/>
                <w:u w:val="single"/>
              </w:rPr>
            </w:pPr>
            <w:r>
              <w:rPr>
                <w:rFonts w:hint="eastAsia" w:ascii="仿宋" w:hAnsi="仿宋" w:eastAsia="仿宋" w:cs="仿宋"/>
                <w:sz w:val="24"/>
              </w:rPr>
              <w:t>自合同签订之日起两年</w:t>
            </w:r>
          </w:p>
        </w:tc>
      </w:tr>
      <w:tr w14:paraId="73206F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138" w:hRule="atLeast"/>
        </w:trPr>
        <w:tc>
          <w:tcPr>
            <w:tcW w:w="1377" w:type="dxa"/>
            <w:tcBorders>
              <w:top w:val="single" w:color="auto" w:sz="4" w:space="0"/>
              <w:left w:val="single" w:color="auto" w:sz="4" w:space="0"/>
              <w:bottom w:val="single" w:color="auto" w:sz="4" w:space="0"/>
              <w:right w:val="single" w:color="auto" w:sz="4" w:space="0"/>
            </w:tcBorders>
            <w:vAlign w:val="center"/>
          </w:tcPr>
          <w:p w14:paraId="3C8435DE">
            <w:pPr>
              <w:tabs>
                <w:tab w:val="left" w:pos="0"/>
              </w:tabs>
              <w:jc w:val="center"/>
              <w:rPr>
                <w:rFonts w:ascii="仿宋" w:hAnsi="仿宋" w:eastAsia="仿宋" w:cs="仿宋"/>
                <w:sz w:val="24"/>
              </w:rPr>
            </w:pPr>
            <w:r>
              <w:rPr>
                <w:rFonts w:hint="eastAsia" w:ascii="仿宋" w:hAnsi="仿宋" w:eastAsia="仿宋" w:cs="仿宋"/>
                <w:b/>
                <w:bCs/>
                <w:sz w:val="24"/>
              </w:rPr>
              <w:t>付款方式</w:t>
            </w:r>
          </w:p>
        </w:tc>
        <w:tc>
          <w:tcPr>
            <w:tcW w:w="7023" w:type="dxa"/>
            <w:tcBorders>
              <w:top w:val="single" w:color="auto" w:sz="4" w:space="0"/>
              <w:left w:val="single" w:color="auto" w:sz="4" w:space="0"/>
              <w:bottom w:val="single" w:color="auto" w:sz="4" w:space="0"/>
              <w:right w:val="single" w:color="auto" w:sz="4" w:space="0"/>
            </w:tcBorders>
            <w:vAlign w:val="center"/>
          </w:tcPr>
          <w:p w14:paraId="7EBC721A">
            <w:pPr>
              <w:rPr>
                <w:rFonts w:ascii="仿宋" w:hAnsi="仿宋" w:eastAsia="仿宋" w:cs="仿宋"/>
                <w:b/>
                <w:bCs/>
                <w:sz w:val="24"/>
              </w:rPr>
            </w:pPr>
            <w:r>
              <w:rPr>
                <w:rFonts w:hint="eastAsia" w:ascii="仿宋" w:hAnsi="仿宋" w:eastAsia="仿宋" w:cs="仿宋"/>
                <w:b/>
                <w:bCs/>
                <w:sz w:val="24"/>
              </w:rPr>
              <w:t>根据《保障中小企业款项支付条例》，制定如下付款方式：</w:t>
            </w:r>
          </w:p>
          <w:p w14:paraId="48AF01AD">
            <w:pPr>
              <w:ind w:firstLine="480" w:firstLineChars="200"/>
              <w:rPr>
                <w:rFonts w:ascii="仿宋" w:hAnsi="仿宋" w:eastAsia="仿宋" w:cs="仿宋"/>
                <w:b/>
                <w:bCs/>
                <w:sz w:val="24"/>
              </w:rPr>
            </w:pPr>
            <w:r>
              <w:rPr>
                <w:rFonts w:hint="eastAsia" w:ascii="仿宋" w:hAnsi="仿宋" w:eastAsia="仿宋" w:cs="仿宋"/>
                <w:sz w:val="24"/>
              </w:rPr>
              <w:t>在合同生效以及具备实施条件后7个工作日内支付至合同金额的50%作为预付款，项目完成后7个工作日内支付剩余款项。</w:t>
            </w:r>
          </w:p>
          <w:p w14:paraId="0E58996A">
            <w:pPr>
              <w:tabs>
                <w:tab w:val="left" w:pos="0"/>
              </w:tabs>
              <w:rPr>
                <w:rFonts w:ascii="仿宋" w:hAnsi="仿宋" w:eastAsia="仿宋" w:cs="仿宋"/>
                <w:color w:val="FF0000"/>
                <w:sz w:val="24"/>
              </w:rPr>
            </w:pPr>
            <w:r>
              <w:rPr>
                <w:rFonts w:hint="eastAsia" w:ascii="仿宋" w:hAnsi="仿宋" w:eastAsia="仿宋" w:cs="仿宋"/>
                <w:b/>
                <w:bCs/>
                <w:sz w:val="24"/>
                <w:u w:val="single"/>
              </w:rPr>
              <w:t>注：若中标供应商明确表示无需预付款或者主动要求降低预付款比例的，采购人可不适用前述规定。</w:t>
            </w:r>
          </w:p>
        </w:tc>
      </w:tr>
    </w:tbl>
    <w:p w14:paraId="443F31E4">
      <w:pPr>
        <w:autoSpaceDE w:val="0"/>
        <w:autoSpaceDN w:val="0"/>
        <w:adjustRightInd w:val="0"/>
        <w:snapToGrid w:val="0"/>
        <w:textAlignment w:val="bottom"/>
        <w:rPr>
          <w:rFonts w:ascii="仿宋" w:hAnsi="仿宋" w:eastAsia="仿宋" w:cs="仿宋"/>
          <w:b/>
          <w:bCs/>
          <w:sz w:val="24"/>
        </w:rPr>
      </w:pPr>
    </w:p>
    <w:p w14:paraId="4DE78DB3">
      <w:pPr>
        <w:autoSpaceDE w:val="0"/>
        <w:autoSpaceDN w:val="0"/>
        <w:adjustRightInd w:val="0"/>
        <w:snapToGrid w:val="0"/>
        <w:spacing w:line="380" w:lineRule="exact"/>
        <w:ind w:firstLine="482" w:firstLineChars="200"/>
        <w:textAlignment w:val="bottom"/>
        <w:rPr>
          <w:rFonts w:ascii="仿宋" w:hAnsi="仿宋" w:eastAsia="仿宋" w:cs="仿宋"/>
          <w:b/>
          <w:bCs/>
          <w:i/>
          <w:sz w:val="24"/>
          <w:u w:val="single"/>
        </w:rPr>
      </w:pPr>
      <w:r>
        <w:rPr>
          <w:rFonts w:hint="eastAsia" w:ascii="仿宋" w:hAnsi="仿宋" w:eastAsia="仿宋" w:cs="仿宋"/>
          <w:b/>
          <w:bCs/>
          <w:sz w:val="24"/>
        </w:rPr>
        <w:t>本磋商文件中带“▲”的条款为实质性条款，供应商必须在响应文件中全部作出响应，否则将作无效标处理；本磋商文件中带“</w:t>
      </w:r>
      <w:r>
        <w:rPr>
          <w:rFonts w:hint="eastAsia" w:ascii="仿宋" w:hAnsi="仿宋" w:eastAsia="仿宋" w:cs="仿宋"/>
          <w:sz w:val="24"/>
        </w:rPr>
        <w:t>★</w:t>
      </w:r>
      <w:r>
        <w:rPr>
          <w:rFonts w:hint="eastAsia" w:ascii="仿宋" w:hAnsi="仿宋" w:eastAsia="仿宋" w:cs="仿宋"/>
          <w:b/>
          <w:bCs/>
          <w:sz w:val="24"/>
        </w:rPr>
        <w:t>”的条款为重要条款。</w:t>
      </w:r>
    </w:p>
    <w:p w14:paraId="0FC48877">
      <w:pPr>
        <w:autoSpaceDE w:val="0"/>
        <w:autoSpaceDN w:val="0"/>
        <w:adjustRightInd w:val="0"/>
        <w:snapToGrid w:val="0"/>
        <w:spacing w:line="380" w:lineRule="exact"/>
        <w:ind w:firstLine="482" w:firstLineChars="200"/>
        <w:textAlignment w:val="bottom"/>
        <w:rPr>
          <w:rFonts w:ascii="仿宋" w:hAnsi="仿宋" w:eastAsia="仿宋" w:cs="仿宋"/>
          <w:b/>
          <w:bCs/>
          <w:i/>
          <w:sz w:val="24"/>
          <w:u w:val="single"/>
        </w:rPr>
      </w:pPr>
      <w:r>
        <w:rPr>
          <w:rFonts w:hint="eastAsia" w:ascii="仿宋" w:hAnsi="仿宋" w:eastAsia="仿宋" w:cs="仿宋"/>
          <w:b/>
          <w:bCs/>
          <w:i/>
          <w:sz w:val="24"/>
          <w:u w:val="single"/>
        </w:rPr>
        <w:t>为了更好地实现采购目标，磋商小组可以修改竞争性磋商文件，对采购需求、合同草案作出实质性变动，并以书面形式通知所有参加磋商的供应商。供应商收到修改采购文件的通知后，可以决定是否继续参加磋商活动。</w:t>
      </w:r>
      <w:bookmarkStart w:id="152" w:name="_Toc402872203"/>
    </w:p>
    <w:p w14:paraId="7E774E86">
      <w:pPr>
        <w:autoSpaceDE w:val="0"/>
        <w:autoSpaceDN w:val="0"/>
        <w:adjustRightInd w:val="0"/>
        <w:snapToGrid w:val="0"/>
        <w:ind w:firstLine="640" w:firstLineChars="200"/>
        <w:jc w:val="center"/>
        <w:textAlignment w:val="bottom"/>
        <w:rPr>
          <w:rStyle w:val="38"/>
          <w:rFonts w:ascii="仿宋" w:hAnsi="仿宋" w:eastAsia="仿宋" w:cs="仿宋"/>
        </w:rPr>
      </w:pPr>
      <w:r>
        <w:rPr>
          <w:rFonts w:hint="eastAsia" w:ascii="仿宋" w:hAnsi="仿宋" w:eastAsia="仿宋" w:cs="仿宋"/>
          <w:sz w:val="32"/>
          <w:szCs w:val="32"/>
        </w:rPr>
        <w:br w:type="page"/>
      </w:r>
      <w:bookmarkStart w:id="153" w:name="_Toc26917"/>
      <w:r>
        <w:rPr>
          <w:rStyle w:val="38"/>
          <w:rFonts w:hint="eastAsia" w:ascii="仿宋" w:hAnsi="仿宋" w:eastAsia="仿宋" w:cs="仿宋"/>
        </w:rPr>
        <w:t>第四章  磋商原则和程序</w:t>
      </w:r>
      <w:bookmarkEnd w:id="152"/>
    </w:p>
    <w:bookmarkEnd w:id="153"/>
    <w:p w14:paraId="07B26BA5">
      <w:pPr>
        <w:snapToGrid w:val="0"/>
        <w:spacing w:line="380" w:lineRule="exact"/>
        <w:ind w:firstLine="480" w:firstLineChars="200"/>
        <w:rPr>
          <w:rFonts w:ascii="仿宋" w:hAnsi="仿宋" w:eastAsia="仿宋" w:cs="仿宋"/>
          <w:bCs/>
          <w:sz w:val="24"/>
        </w:rPr>
      </w:pPr>
      <w:bookmarkStart w:id="154" w:name="_Toc6985"/>
      <w:bookmarkStart w:id="155" w:name="_Toc17438"/>
      <w:r>
        <w:rPr>
          <w:rFonts w:hint="eastAsia" w:ascii="仿宋" w:hAnsi="仿宋" w:eastAsia="仿宋" w:cs="仿宋"/>
          <w:bCs/>
          <w:sz w:val="24"/>
        </w:rPr>
        <w:t>根据《中华人民共和国政府采购法》、《政府采购竞争性磋商采购方式管理暂行办法》等要求，遵循公开、公平、公正、科学、择优原则和诚实、信誉、效率的服务原则，制定本评审办法。</w:t>
      </w:r>
      <w:bookmarkEnd w:id="154"/>
      <w:bookmarkEnd w:id="155"/>
    </w:p>
    <w:p w14:paraId="62798FD3">
      <w:pPr>
        <w:pStyle w:val="3"/>
        <w:spacing w:before="0" w:after="0" w:line="380" w:lineRule="exact"/>
        <w:rPr>
          <w:rFonts w:ascii="仿宋" w:hAnsi="仿宋" w:eastAsia="仿宋" w:cs="仿宋"/>
          <w:sz w:val="24"/>
          <w:szCs w:val="24"/>
        </w:rPr>
      </w:pPr>
      <w:bookmarkStart w:id="156" w:name="_Toc5294"/>
      <w:bookmarkStart w:id="157" w:name="_Toc20262"/>
      <w:bookmarkStart w:id="158" w:name="_Toc32137"/>
      <w:bookmarkStart w:id="159" w:name="_Toc14739"/>
      <w:bookmarkStart w:id="160" w:name="_Toc402872204"/>
      <w:bookmarkStart w:id="161" w:name="_Toc282640741"/>
      <w:r>
        <w:rPr>
          <w:rFonts w:hint="eastAsia" w:ascii="仿宋" w:hAnsi="仿宋" w:eastAsia="仿宋" w:cs="仿宋"/>
          <w:sz w:val="24"/>
          <w:szCs w:val="24"/>
        </w:rPr>
        <w:t>一、拆封响应文件</w:t>
      </w:r>
      <w:bookmarkEnd w:id="156"/>
      <w:bookmarkEnd w:id="157"/>
      <w:bookmarkEnd w:id="158"/>
      <w:bookmarkEnd w:id="159"/>
      <w:bookmarkEnd w:id="160"/>
      <w:bookmarkEnd w:id="161"/>
    </w:p>
    <w:p w14:paraId="1AC322E9">
      <w:pPr>
        <w:snapToGrid w:val="0"/>
        <w:spacing w:line="380" w:lineRule="exact"/>
        <w:rPr>
          <w:rFonts w:ascii="仿宋" w:hAnsi="仿宋" w:eastAsia="仿宋" w:cs="仿宋"/>
          <w:bCs/>
          <w:sz w:val="24"/>
        </w:rPr>
      </w:pPr>
      <w:bookmarkStart w:id="162" w:name="_Toc11975"/>
      <w:bookmarkStart w:id="163" w:name="_Toc17280"/>
      <w:bookmarkStart w:id="164" w:name="_Toc414960372"/>
      <w:bookmarkStart w:id="165" w:name="_Toc282640742"/>
      <w:r>
        <w:rPr>
          <w:rFonts w:hint="eastAsia" w:ascii="仿宋" w:hAnsi="仿宋" w:eastAsia="仿宋" w:cs="仿宋"/>
          <w:bCs/>
          <w:sz w:val="24"/>
        </w:rPr>
        <w:t>1、采购代理机构按磋商文件规定的时间、地点收取磋商文件。迟到的响应文件予以拒收。</w:t>
      </w:r>
      <w:bookmarkEnd w:id="162"/>
      <w:bookmarkEnd w:id="163"/>
      <w:bookmarkEnd w:id="164"/>
    </w:p>
    <w:bookmarkEnd w:id="165"/>
    <w:p w14:paraId="6891624C">
      <w:pPr>
        <w:snapToGrid w:val="0"/>
        <w:spacing w:line="380" w:lineRule="exact"/>
        <w:rPr>
          <w:rFonts w:ascii="仿宋" w:hAnsi="仿宋" w:eastAsia="仿宋" w:cs="仿宋"/>
          <w:bCs/>
          <w:sz w:val="24"/>
        </w:rPr>
      </w:pPr>
      <w:bookmarkStart w:id="166" w:name="_Toc20004"/>
      <w:bookmarkStart w:id="167" w:name="_Toc414960373"/>
      <w:bookmarkStart w:id="168" w:name="_Toc10552"/>
      <w:bookmarkStart w:id="169" w:name="_Toc282640743"/>
      <w:r>
        <w:rPr>
          <w:rFonts w:hint="eastAsia" w:ascii="仿宋" w:hAnsi="仿宋" w:eastAsia="仿宋" w:cs="仿宋"/>
          <w:bCs/>
          <w:sz w:val="24"/>
        </w:rPr>
        <w:t>2、供应商法定代表人或法定代表人授权代表必须出席磋商会议。</w:t>
      </w:r>
      <w:bookmarkEnd w:id="166"/>
      <w:bookmarkEnd w:id="167"/>
      <w:bookmarkEnd w:id="168"/>
    </w:p>
    <w:p w14:paraId="31C78ACB">
      <w:pPr>
        <w:snapToGrid w:val="0"/>
        <w:spacing w:line="380" w:lineRule="exact"/>
        <w:rPr>
          <w:rFonts w:ascii="仿宋" w:hAnsi="仿宋" w:eastAsia="仿宋" w:cs="仿宋"/>
          <w:b/>
          <w:sz w:val="24"/>
        </w:rPr>
      </w:pPr>
      <w:bookmarkStart w:id="170" w:name="_Toc414960374"/>
      <w:bookmarkStart w:id="171" w:name="_Toc26000"/>
      <w:bookmarkStart w:id="172" w:name="_Toc26233"/>
      <w:r>
        <w:rPr>
          <w:rFonts w:hint="eastAsia" w:ascii="仿宋" w:hAnsi="仿宋" w:eastAsia="仿宋" w:cs="仿宋"/>
          <w:bCs/>
          <w:sz w:val="24"/>
        </w:rPr>
        <w:t>3、磋商开始时，供应商代表将查验响应文件密封情况，确认无误后由采购代理机构拆封响应文件。</w:t>
      </w:r>
      <w:bookmarkEnd w:id="169"/>
      <w:bookmarkEnd w:id="170"/>
      <w:bookmarkEnd w:id="171"/>
      <w:bookmarkEnd w:id="172"/>
    </w:p>
    <w:p w14:paraId="3D2B05F5">
      <w:pPr>
        <w:pStyle w:val="3"/>
        <w:spacing w:before="0" w:after="0" w:line="380" w:lineRule="exact"/>
        <w:rPr>
          <w:rFonts w:ascii="仿宋" w:hAnsi="仿宋" w:eastAsia="仿宋" w:cs="仿宋"/>
          <w:sz w:val="24"/>
          <w:szCs w:val="24"/>
        </w:rPr>
      </w:pPr>
      <w:bookmarkStart w:id="173" w:name="_Toc282640744"/>
      <w:bookmarkStart w:id="174" w:name="_Toc10100"/>
      <w:bookmarkStart w:id="175" w:name="_Toc30369"/>
      <w:bookmarkStart w:id="176" w:name="_Toc402872205"/>
      <w:bookmarkStart w:id="177" w:name="_Toc21671"/>
      <w:bookmarkStart w:id="178" w:name="_Toc16963"/>
      <w:r>
        <w:rPr>
          <w:rFonts w:hint="eastAsia" w:ascii="仿宋" w:hAnsi="仿宋" w:eastAsia="仿宋" w:cs="仿宋"/>
          <w:sz w:val="24"/>
          <w:szCs w:val="24"/>
        </w:rPr>
        <w:t>二、磋商小组</w:t>
      </w:r>
      <w:bookmarkEnd w:id="173"/>
      <w:bookmarkEnd w:id="174"/>
      <w:bookmarkEnd w:id="175"/>
      <w:bookmarkEnd w:id="176"/>
      <w:bookmarkEnd w:id="177"/>
      <w:bookmarkEnd w:id="178"/>
    </w:p>
    <w:p w14:paraId="67882E5D">
      <w:pPr>
        <w:autoSpaceDE w:val="0"/>
        <w:autoSpaceDN w:val="0"/>
        <w:adjustRightInd w:val="0"/>
        <w:snapToGrid w:val="0"/>
        <w:spacing w:line="380" w:lineRule="exact"/>
        <w:textAlignment w:val="bottom"/>
        <w:rPr>
          <w:rFonts w:ascii="仿宋" w:hAnsi="仿宋" w:eastAsia="仿宋" w:cs="仿宋"/>
          <w:bCs/>
          <w:sz w:val="24"/>
        </w:rPr>
      </w:pPr>
      <w:bookmarkStart w:id="179" w:name="_Toc282640745"/>
      <w:bookmarkStart w:id="180" w:name="_Toc414960376"/>
      <w:r>
        <w:rPr>
          <w:rFonts w:hint="eastAsia" w:ascii="仿宋" w:hAnsi="仿宋" w:eastAsia="仿宋" w:cs="仿宋"/>
          <w:bCs/>
          <w:sz w:val="24"/>
        </w:rPr>
        <w:t xml:space="preserve">    1、本项目磋商小组依法由3人（含）以上奇数的人员组成，磋商小组对响应文件进行审查、质疑、评估和比较。</w:t>
      </w:r>
      <w:bookmarkEnd w:id="179"/>
      <w:bookmarkEnd w:id="180"/>
    </w:p>
    <w:p w14:paraId="6DDD2598">
      <w:pPr>
        <w:autoSpaceDE w:val="0"/>
        <w:autoSpaceDN w:val="0"/>
        <w:adjustRightInd w:val="0"/>
        <w:snapToGrid w:val="0"/>
        <w:spacing w:line="380" w:lineRule="exact"/>
        <w:textAlignment w:val="bottom"/>
        <w:rPr>
          <w:rFonts w:ascii="仿宋" w:hAnsi="仿宋" w:eastAsia="仿宋" w:cs="仿宋"/>
          <w:bCs/>
          <w:sz w:val="24"/>
        </w:rPr>
      </w:pPr>
      <w:bookmarkStart w:id="181" w:name="_Toc414960377"/>
      <w:r>
        <w:rPr>
          <w:rFonts w:hint="eastAsia" w:ascii="仿宋" w:hAnsi="仿宋" w:eastAsia="仿宋" w:cs="仿宋"/>
          <w:bCs/>
          <w:sz w:val="24"/>
        </w:rPr>
        <w:t xml:space="preserve">    2、磋商期间，供应商法人代表或授权委托人必须在场，负责解答有关事宜。</w:t>
      </w:r>
      <w:bookmarkEnd w:id="181"/>
    </w:p>
    <w:p w14:paraId="746EE8B4">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3、磋商过程应严格保密，磋商小组及有关工作人员应严格遵守纪律，不得泄露任何磋商信息。</w:t>
      </w:r>
    </w:p>
    <w:p w14:paraId="242FF3BD">
      <w:pPr>
        <w:pStyle w:val="3"/>
        <w:spacing w:before="0" w:after="0" w:line="380" w:lineRule="exact"/>
        <w:rPr>
          <w:rFonts w:ascii="仿宋" w:hAnsi="仿宋" w:eastAsia="仿宋" w:cs="仿宋"/>
          <w:sz w:val="24"/>
          <w:szCs w:val="24"/>
        </w:rPr>
      </w:pPr>
      <w:bookmarkStart w:id="182" w:name="_Toc13765"/>
      <w:bookmarkStart w:id="183" w:name="_Toc1211"/>
      <w:bookmarkStart w:id="184" w:name="_Toc402872206"/>
      <w:bookmarkStart w:id="185" w:name="_Toc25085"/>
      <w:bookmarkStart w:id="186" w:name="_Toc20285"/>
      <w:r>
        <w:rPr>
          <w:rFonts w:hint="eastAsia" w:ascii="仿宋" w:hAnsi="仿宋" w:eastAsia="仿宋" w:cs="仿宋"/>
          <w:sz w:val="24"/>
          <w:szCs w:val="24"/>
        </w:rPr>
        <w:t>三、竞争性磋商原则与方法</w:t>
      </w:r>
      <w:bookmarkEnd w:id="182"/>
      <w:bookmarkEnd w:id="183"/>
      <w:bookmarkEnd w:id="184"/>
      <w:bookmarkEnd w:id="185"/>
      <w:bookmarkEnd w:id="186"/>
    </w:p>
    <w:p w14:paraId="54DFEFA2">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1、磋商小组将遵循公开、公平、公正的原则，对供应商提供工程、货物或服务的价格、技术性能、工期、安装实施方案、售后服务、培训计划、公司基本情况、履约能力等进行综合分析考评。</w:t>
      </w:r>
    </w:p>
    <w:p w14:paraId="45CA85B8">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2、磋商小组应客观、公正的对待所有供应商，对所有响应文件评价，均采用相同的程序和标准。</w:t>
      </w:r>
    </w:p>
    <w:p w14:paraId="347F2D5C">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3、在磋商期间，供应商不得向磋商小组成员询问磋商情况，不得进行旨在影响磋商结果的活动，否则将废除其磋商资格。</w:t>
      </w:r>
    </w:p>
    <w:p w14:paraId="7FA1760B">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4、在磋商过程中，磋商小组成员不得与供应商私下交换意见，在竞争性磋商工作结束后，凡与磋商情况有接触的人不得将磋商情况扩散出磋商小组成员之外。</w:t>
      </w:r>
    </w:p>
    <w:p w14:paraId="484BFC62">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5、采购人不向未成交供应商解释未成交原因，不退还响应文件。</w:t>
      </w:r>
    </w:p>
    <w:p w14:paraId="2BA40AF5">
      <w:pPr>
        <w:pStyle w:val="3"/>
        <w:spacing w:before="0" w:after="0" w:line="380" w:lineRule="exact"/>
        <w:rPr>
          <w:rFonts w:ascii="仿宋" w:hAnsi="仿宋" w:eastAsia="仿宋" w:cs="仿宋"/>
          <w:sz w:val="24"/>
          <w:szCs w:val="24"/>
        </w:rPr>
      </w:pPr>
      <w:bookmarkStart w:id="187" w:name="_Toc512"/>
      <w:bookmarkStart w:id="188" w:name="_Toc7754"/>
      <w:bookmarkStart w:id="189" w:name="_Toc282640747"/>
      <w:bookmarkStart w:id="190" w:name="_Toc402872207"/>
      <w:bookmarkStart w:id="191" w:name="_Toc32595"/>
      <w:bookmarkStart w:id="192" w:name="_Toc15794"/>
      <w:r>
        <w:rPr>
          <w:rFonts w:hint="eastAsia" w:ascii="仿宋" w:hAnsi="仿宋" w:eastAsia="仿宋" w:cs="仿宋"/>
          <w:sz w:val="24"/>
          <w:szCs w:val="24"/>
        </w:rPr>
        <w:t>四、磋商程序</w:t>
      </w:r>
      <w:bookmarkEnd w:id="187"/>
      <w:bookmarkEnd w:id="188"/>
      <w:bookmarkEnd w:id="189"/>
      <w:bookmarkEnd w:id="190"/>
      <w:bookmarkEnd w:id="191"/>
      <w:bookmarkEnd w:id="192"/>
    </w:p>
    <w:p w14:paraId="4192AAC9">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1、采购人和采购代理机构依法对供应商的资格进行审查。</w:t>
      </w:r>
    </w:p>
    <w:p w14:paraId="15F313B1">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2、磋商小组审核磋商响应文件。</w:t>
      </w:r>
    </w:p>
    <w:p w14:paraId="5D8BB20F">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磋商小组按照商务、技术逐项审核响应文件。</w:t>
      </w:r>
    </w:p>
    <w:p w14:paraId="7694A13C">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依据竞争性磋商文件的规定，从磋商响应文件的有效性、完整性和对竞争性磋商文件的响应程度进行审查，以确定供应商是否对磋商文件的实质性要求作出响应。</w:t>
      </w:r>
    </w:p>
    <w:p w14:paraId="219ECC7B">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3、磋商顺序和方法</w:t>
      </w:r>
    </w:p>
    <w:p w14:paraId="788E5C00">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3.1磋商的顺序，按供应商签到的逆时间顺序进行。</w:t>
      </w:r>
    </w:p>
    <w:p w14:paraId="6DFD0C25">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3.2开展磋商，按磋商项目内容与各供应商进行2轮磋商。</w:t>
      </w:r>
    </w:p>
    <w:p w14:paraId="7F9910AA">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3.3磋商小组所有成员集中与单一供应商（</w:t>
      </w:r>
      <w:r>
        <w:rPr>
          <w:rFonts w:hint="eastAsia" w:ascii="仿宋" w:hAnsi="仿宋" w:eastAsia="仿宋" w:cs="仿宋"/>
          <w:b/>
          <w:bCs/>
          <w:sz w:val="24"/>
        </w:rPr>
        <w:t>供应商法定代表人或法定代表人授权代表必须在场，否则，取消其磋商资格</w:t>
      </w:r>
      <w:r>
        <w:rPr>
          <w:rFonts w:hint="eastAsia" w:ascii="仿宋" w:hAnsi="仿宋" w:eastAsia="仿宋" w:cs="仿宋"/>
          <w:bCs/>
          <w:sz w:val="24"/>
        </w:rPr>
        <w:t>）分别进行磋商。磋商的内容可能涉及服务要求、价格、售后服务、合同草案，采购人的权利和义务、履约期限和方式、资金支付要求、验收标准等。供应商所作的重要答复均应补充以书面形式，并经法定代表人或授权代表签署，作为响应文件的一部分，对供应商有约束力。在磋商中，磋商的任何一方不得透露与磋商有关的其他供应商的技术资料、价格和其他信息。第一次报价不公开。</w:t>
      </w:r>
    </w:p>
    <w:p w14:paraId="60816A8B">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3.4为了更好地实现采购目标，磋商小组可以修改竞争性磋商文件，对采购需求、合同草案作出实质性变动，并以书面形式通知所有参加磋商的供应商。供应商收到修改采购文件的通知后，可以决定是否继续参加磋商活动。</w:t>
      </w:r>
    </w:p>
    <w:p w14:paraId="74222752">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3.5供应商应当按照磋商文件的变动情况和磋商小组的要求重新提交响应文件，并由其法定代表人或授权代表签字或者加盖公章。</w:t>
      </w:r>
    </w:p>
    <w:p w14:paraId="26E023EF">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4、磋商小组汇总并讨论审核情况，确定供应商是否继续进行磋商。</w:t>
      </w:r>
    </w:p>
    <w:p w14:paraId="009766E6">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5、磋商小组在磋商结束后，要求所有继续参加磋商的供应商在规定时间内提交最后报价。超过规定时间提交的报价作无效处理。</w:t>
      </w:r>
    </w:p>
    <w:p w14:paraId="3AE56E7A">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6、已提交响应文件的供应商，在提交最后报价之前，可以根据磋商情况退出磋商。</w:t>
      </w:r>
    </w:p>
    <w:p w14:paraId="26CA618C">
      <w:pPr>
        <w:pStyle w:val="3"/>
        <w:spacing w:before="0" w:after="0" w:line="380" w:lineRule="exact"/>
        <w:rPr>
          <w:rFonts w:ascii="仿宋" w:hAnsi="仿宋" w:eastAsia="仿宋" w:cs="仿宋"/>
          <w:sz w:val="24"/>
          <w:szCs w:val="24"/>
        </w:rPr>
      </w:pPr>
      <w:bookmarkStart w:id="193" w:name="_Toc16129"/>
      <w:bookmarkStart w:id="194" w:name="_Toc282640735"/>
      <w:bookmarkStart w:id="195" w:name="_Toc30295"/>
      <w:bookmarkStart w:id="196" w:name="_Toc402872208"/>
      <w:bookmarkStart w:id="197" w:name="_Toc9609"/>
      <w:bookmarkStart w:id="198" w:name="_Toc17124"/>
      <w:r>
        <w:rPr>
          <w:rFonts w:hint="eastAsia" w:ascii="仿宋" w:hAnsi="仿宋" w:eastAsia="仿宋" w:cs="仿宋"/>
          <w:sz w:val="24"/>
          <w:szCs w:val="24"/>
        </w:rPr>
        <w:t>五、磋商文件的澄清</w:t>
      </w:r>
      <w:bookmarkEnd w:id="193"/>
      <w:bookmarkEnd w:id="194"/>
      <w:bookmarkEnd w:id="195"/>
      <w:bookmarkEnd w:id="196"/>
      <w:bookmarkEnd w:id="197"/>
      <w:bookmarkEnd w:id="198"/>
    </w:p>
    <w:p w14:paraId="1EFA4E9E">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1、供应商对磋商文件如有疑义的，应在规定的答疑时间内以书面形式告知采购人，以便及时对磋商文件作出澄清。</w:t>
      </w:r>
    </w:p>
    <w:p w14:paraId="66D9D8BE">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2、在磋商期间，磋商小组有权要求供应商对其提交的文件资料进行澄清。供应商应派授权代表和有关专业人员接受询问，并对有关内容进行澄清。</w:t>
      </w:r>
    </w:p>
    <w:p w14:paraId="6172A422">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3、对在澄清中涉及到的商业秘密，磋商小组成员及参加磋商的有关工作人员负有保密责任。</w:t>
      </w:r>
    </w:p>
    <w:p w14:paraId="5D1B003E">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4、磋商小组以书面形式对磋商文件作出的修改或补充，与磋商文件具有同等法律效力。</w:t>
      </w:r>
    </w:p>
    <w:p w14:paraId="30638E92">
      <w:pPr>
        <w:pStyle w:val="3"/>
        <w:spacing w:before="0" w:after="0" w:line="380" w:lineRule="exact"/>
        <w:rPr>
          <w:rFonts w:ascii="仿宋" w:hAnsi="仿宋" w:eastAsia="仿宋" w:cs="仿宋"/>
          <w:sz w:val="24"/>
          <w:szCs w:val="24"/>
        </w:rPr>
      </w:pPr>
      <w:bookmarkStart w:id="199" w:name="_Toc24587"/>
      <w:bookmarkStart w:id="200" w:name="_Toc29361"/>
      <w:bookmarkStart w:id="201" w:name="_Toc402872209"/>
      <w:bookmarkStart w:id="202" w:name="_Toc16835"/>
      <w:bookmarkStart w:id="203" w:name="_Toc1217"/>
      <w:r>
        <w:rPr>
          <w:rFonts w:hint="eastAsia" w:ascii="仿宋" w:hAnsi="仿宋" w:eastAsia="仿宋" w:cs="仿宋"/>
          <w:sz w:val="24"/>
          <w:szCs w:val="24"/>
        </w:rPr>
        <w:t>六、确定供应商办法</w:t>
      </w:r>
      <w:bookmarkEnd w:id="199"/>
      <w:bookmarkEnd w:id="200"/>
      <w:bookmarkEnd w:id="201"/>
      <w:bookmarkEnd w:id="202"/>
      <w:bookmarkEnd w:id="203"/>
    </w:p>
    <w:p w14:paraId="6FFD6078">
      <w:pPr>
        <w:autoSpaceDE w:val="0"/>
        <w:autoSpaceDN w:val="0"/>
        <w:adjustRightInd w:val="0"/>
        <w:snapToGrid w:val="0"/>
        <w:spacing w:line="380" w:lineRule="exact"/>
        <w:textAlignment w:val="bottom"/>
        <w:rPr>
          <w:rFonts w:ascii="仿宋" w:hAnsi="仿宋" w:eastAsia="仿宋" w:cs="仿宋"/>
          <w:bCs/>
          <w:sz w:val="24"/>
        </w:rPr>
      </w:pPr>
      <w:bookmarkStart w:id="204" w:name="_Toc282640748"/>
      <w:bookmarkStart w:id="205" w:name="_Toc402872210"/>
      <w:bookmarkStart w:id="206" w:name="_Toc389216170"/>
      <w:r>
        <w:rPr>
          <w:rFonts w:hint="eastAsia" w:ascii="仿宋" w:hAnsi="仿宋" w:eastAsia="仿宋" w:cs="仿宋"/>
          <w:bCs/>
          <w:sz w:val="24"/>
        </w:rPr>
        <w:t xml:space="preserve">    本项目由采购人授权磋商小组直接确定成交供应商。</w:t>
      </w:r>
    </w:p>
    <w:p w14:paraId="3FDB2225">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本次评审采用综合评分法，即按照在质量和服务均能满足竞争性磋商文件实质性要求且综合得分由高到低的原则确定成交供应商。</w:t>
      </w:r>
    </w:p>
    <w:p w14:paraId="52FD6489">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磋商结束后，磋商小组拟制评审报告。</w:t>
      </w:r>
    </w:p>
    <w:p w14:paraId="31F900E7">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采购代理机构在评审结束后2个工作日内在相关网站上发布成交公告，同时发出成交通知书。</w:t>
      </w:r>
    </w:p>
    <w:p w14:paraId="16443053">
      <w:pPr>
        <w:pStyle w:val="3"/>
        <w:spacing w:before="0" w:after="0" w:line="380" w:lineRule="exact"/>
        <w:rPr>
          <w:rFonts w:ascii="仿宋" w:hAnsi="仿宋" w:eastAsia="仿宋" w:cs="仿宋"/>
          <w:sz w:val="24"/>
          <w:szCs w:val="24"/>
        </w:rPr>
      </w:pPr>
      <w:bookmarkStart w:id="207" w:name="_Toc15254"/>
      <w:bookmarkStart w:id="208" w:name="_Toc12958"/>
      <w:bookmarkStart w:id="209" w:name="_Toc17287"/>
      <w:bookmarkStart w:id="210" w:name="_Toc18677"/>
      <w:r>
        <w:rPr>
          <w:rFonts w:hint="eastAsia" w:ascii="仿宋" w:hAnsi="仿宋" w:eastAsia="仿宋" w:cs="仿宋"/>
          <w:sz w:val="24"/>
          <w:szCs w:val="24"/>
        </w:rPr>
        <w:t>七、综合评分法</w:t>
      </w:r>
      <w:bookmarkEnd w:id="204"/>
      <w:bookmarkEnd w:id="205"/>
      <w:bookmarkEnd w:id="206"/>
      <w:bookmarkEnd w:id="207"/>
      <w:bookmarkEnd w:id="208"/>
      <w:bookmarkEnd w:id="209"/>
      <w:bookmarkEnd w:id="210"/>
    </w:p>
    <w:p w14:paraId="46D035CA">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为公正、公平、科学地选择成交供应商，根据《中华人民共和国政府采购法》等有关法律法规的规定，并结合本项目的实际，制定本办法。</w:t>
      </w:r>
    </w:p>
    <w:p w14:paraId="1B8F2ABF">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一、总则</w:t>
      </w:r>
    </w:p>
    <w:p w14:paraId="7FE0C5AC">
      <w:pPr>
        <w:spacing w:line="400" w:lineRule="exact"/>
        <w:ind w:firstLine="482" w:firstLineChars="200"/>
        <w:jc w:val="left"/>
        <w:rPr>
          <w:rFonts w:ascii="仿宋" w:hAnsi="仿宋" w:eastAsia="仿宋" w:cs="仿宋"/>
          <w:bCs/>
          <w:sz w:val="24"/>
        </w:rPr>
      </w:pPr>
      <w:r>
        <w:rPr>
          <w:rFonts w:hint="eastAsia" w:ascii="仿宋" w:hAnsi="仿宋" w:eastAsia="仿宋" w:cs="仿宋"/>
          <w:b/>
          <w:bCs/>
          <w:sz w:val="24"/>
        </w:rPr>
        <w:t>本次评标采用综合评分法，总分为100分，其中价格分10分，技术、商务及资信分90分</w:t>
      </w:r>
      <w:r>
        <w:rPr>
          <w:rFonts w:hint="eastAsia" w:ascii="仿宋" w:hAnsi="仿宋" w:eastAsia="仿宋" w:cs="仿宋"/>
          <w:sz w:val="24"/>
        </w:rPr>
        <w:t>。合格供应商的评标得分为各项目汇总得分，评分得分最高的供应商为中标人。中标候选资格按评标得分由高到低顺序排列，得分相同的，按响应报价由低到高顺序排列；得分且响应报价相同的，按技术得分由高到低顺序排列。排名第一的供应商为第一中标候选人,其他供应商中标候选资格依此类推。第一中标候选人放弃中标或者因不可抗力提出不能履行合同，采购人可以确定第二中标候选人为中标人，排名第二的中标候选人因前款同样的原因不能签订合同，采购人可以确定排名第三的中标候选人为中标人。</w:t>
      </w:r>
      <w:r>
        <w:rPr>
          <w:rFonts w:hint="eastAsia" w:ascii="仿宋" w:hAnsi="仿宋" w:eastAsia="仿宋" w:cs="仿宋"/>
          <w:bCs/>
          <w:sz w:val="24"/>
        </w:rPr>
        <w:t>评分过程中采用四舍五入法，并保留小数2位。</w:t>
      </w:r>
    </w:p>
    <w:p w14:paraId="3FF01160">
      <w:pPr>
        <w:spacing w:line="400" w:lineRule="exact"/>
        <w:jc w:val="left"/>
        <w:rPr>
          <w:rFonts w:ascii="仿宋" w:hAnsi="仿宋" w:eastAsia="仿宋" w:cs="仿宋"/>
          <w:bCs/>
          <w:sz w:val="24"/>
        </w:rPr>
      </w:pPr>
      <w:r>
        <w:rPr>
          <w:rFonts w:hint="eastAsia" w:ascii="仿宋" w:hAnsi="仿宋" w:eastAsia="仿宋" w:cs="仿宋"/>
          <w:bCs/>
          <w:sz w:val="24"/>
        </w:rPr>
        <w:t xml:space="preserve"> 二、计算方法：</w:t>
      </w:r>
    </w:p>
    <w:p w14:paraId="6A98EBEB">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1、价格部分：10分</w:t>
      </w:r>
    </w:p>
    <w:p w14:paraId="7B8594C3">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以有效磋商报价最低的报价为基准价，其价格分为满分10分。其他供应商的报价分按照下列公式计算：</w:t>
      </w:r>
    </w:p>
    <w:p w14:paraId="134E653C">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报价得分=（基准价/磋商报价）×10%×100</w:t>
      </w:r>
    </w:p>
    <w:p w14:paraId="2670DF94">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磋商小组在评审时发现供应商的报价明显高于其市场报价的，应当要求供应商书面说明并提供相关证明材料。供应商不能当场合理说明原因并提供证明材料的，磋商小组应将该供应商的磋商响应文件作无效处理，并在磋商报告中说明。</w:t>
      </w:r>
    </w:p>
    <w:p w14:paraId="2AABA7A9">
      <w:pPr>
        <w:autoSpaceDE w:val="0"/>
        <w:autoSpaceDN w:val="0"/>
        <w:adjustRightInd w:val="0"/>
        <w:snapToGrid w:val="0"/>
        <w:spacing w:line="380" w:lineRule="exact"/>
        <w:textAlignment w:val="bottom"/>
        <w:rPr>
          <w:rFonts w:ascii="仿宋" w:hAnsi="仿宋" w:eastAsia="仿宋" w:cs="仿宋"/>
          <w:bCs/>
          <w:sz w:val="24"/>
        </w:rPr>
      </w:pPr>
      <w:r>
        <w:rPr>
          <w:rFonts w:hint="eastAsia" w:ascii="仿宋" w:hAnsi="仿宋" w:eastAsia="仿宋" w:cs="仿宋"/>
          <w:bCs/>
          <w:sz w:val="24"/>
        </w:rPr>
        <w:t xml:space="preserve">    二分之一以上的评委认为供应商报价明显高于市场平均价的将作为无效标处理；</w:t>
      </w:r>
    </w:p>
    <w:p w14:paraId="6BF06E91">
      <w:pPr>
        <w:autoSpaceDE w:val="0"/>
        <w:autoSpaceDN w:val="0"/>
        <w:adjustRightInd w:val="0"/>
        <w:snapToGrid w:val="0"/>
        <w:spacing w:line="380" w:lineRule="exact"/>
        <w:ind w:firstLine="465"/>
        <w:textAlignment w:val="bottom"/>
        <w:rPr>
          <w:rFonts w:ascii="仿宋" w:hAnsi="仿宋" w:eastAsia="仿宋" w:cs="仿宋"/>
          <w:bCs/>
          <w:sz w:val="24"/>
        </w:rPr>
      </w:pPr>
      <w:r>
        <w:rPr>
          <w:rFonts w:hint="eastAsia" w:ascii="仿宋" w:hAnsi="仿宋" w:eastAsia="仿宋" w:cs="仿宋"/>
          <w:bCs/>
          <w:sz w:val="24"/>
        </w:rPr>
        <w:t>磋商报价超出预算价的，其报价无效。</w:t>
      </w:r>
    </w:p>
    <w:p w14:paraId="208EC6DD">
      <w:pPr>
        <w:autoSpaceDE w:val="0"/>
        <w:autoSpaceDN w:val="0"/>
        <w:adjustRightInd w:val="0"/>
        <w:snapToGrid w:val="0"/>
        <w:spacing w:line="380" w:lineRule="exact"/>
        <w:ind w:firstLine="465"/>
        <w:textAlignment w:val="bottom"/>
        <w:rPr>
          <w:rFonts w:ascii="仿宋" w:hAnsi="仿宋" w:eastAsia="仿宋" w:cs="仿宋"/>
          <w:bCs/>
          <w:sz w:val="24"/>
        </w:rPr>
      </w:pPr>
      <w:r>
        <w:rPr>
          <w:rFonts w:hint="eastAsia" w:ascii="仿宋" w:hAnsi="仿宋" w:eastAsia="仿宋" w:cs="仿宋"/>
          <w:b/>
          <w:sz w:val="24"/>
          <w:u w:val="single"/>
        </w:rPr>
        <w:t>注：对符合财政扶持政策的小微企业（或监狱企业、残疾人福利性单位）产品给予评标价格20%优惠，用扣除后的价格参与评审（此扣除后的报价仅作为价格分计算）。</w:t>
      </w:r>
    </w:p>
    <w:p w14:paraId="69D705FB">
      <w:pPr>
        <w:spacing w:line="380" w:lineRule="exact"/>
        <w:ind w:left="239" w:leftChars="114" w:firstLine="342" w:firstLineChars="142"/>
        <w:rPr>
          <w:rFonts w:ascii="仿宋" w:hAnsi="仿宋" w:eastAsia="仿宋" w:cs="仿宋"/>
          <w:b/>
          <w:bCs/>
          <w:sz w:val="24"/>
        </w:rPr>
      </w:pPr>
      <w:r>
        <w:rPr>
          <w:rFonts w:hint="eastAsia" w:ascii="仿宋" w:hAnsi="仿宋" w:eastAsia="仿宋" w:cs="仿宋"/>
          <w:b/>
          <w:bCs/>
          <w:sz w:val="24"/>
        </w:rPr>
        <w:t>2、技术、商务及资信部分：90分</w:t>
      </w:r>
    </w:p>
    <w:tbl>
      <w:tblPr>
        <w:tblStyle w:val="29"/>
        <w:tblW w:w="985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81"/>
        <w:gridCol w:w="1224"/>
        <w:gridCol w:w="7011"/>
        <w:gridCol w:w="743"/>
      </w:tblGrid>
      <w:tr w14:paraId="1FA486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881" w:type="dxa"/>
            <w:tcBorders>
              <w:top w:val="single" w:color="auto" w:sz="4" w:space="0"/>
              <w:left w:val="single" w:color="auto" w:sz="4" w:space="0"/>
              <w:bottom w:val="single" w:color="auto" w:sz="4" w:space="0"/>
              <w:right w:val="single" w:color="auto" w:sz="4" w:space="0"/>
            </w:tcBorders>
            <w:vAlign w:val="center"/>
          </w:tcPr>
          <w:p w14:paraId="265C87A9">
            <w:pPr>
              <w:pStyle w:val="25"/>
              <w:spacing w:line="420" w:lineRule="exact"/>
              <w:ind w:left="0" w:leftChars="0"/>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序号</w:t>
            </w:r>
          </w:p>
        </w:tc>
        <w:tc>
          <w:tcPr>
            <w:tcW w:w="1224" w:type="dxa"/>
            <w:tcBorders>
              <w:top w:val="single" w:color="auto" w:sz="4" w:space="0"/>
              <w:left w:val="single" w:color="auto" w:sz="4" w:space="0"/>
              <w:bottom w:val="single" w:color="auto" w:sz="4" w:space="0"/>
              <w:right w:val="single" w:color="auto" w:sz="4" w:space="0"/>
            </w:tcBorders>
            <w:vAlign w:val="center"/>
          </w:tcPr>
          <w:p w14:paraId="111F3157">
            <w:pPr>
              <w:pStyle w:val="25"/>
              <w:spacing w:line="420" w:lineRule="exact"/>
              <w:ind w:left="0" w:leftChars="0"/>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评审内容</w:t>
            </w:r>
          </w:p>
        </w:tc>
        <w:tc>
          <w:tcPr>
            <w:tcW w:w="7011" w:type="dxa"/>
            <w:tcBorders>
              <w:top w:val="single" w:color="auto" w:sz="4" w:space="0"/>
              <w:left w:val="single" w:color="auto" w:sz="4" w:space="0"/>
              <w:bottom w:val="single" w:color="auto" w:sz="4" w:space="0"/>
              <w:right w:val="single" w:color="auto" w:sz="4" w:space="0"/>
            </w:tcBorders>
            <w:vAlign w:val="center"/>
          </w:tcPr>
          <w:p w14:paraId="69D14367">
            <w:pPr>
              <w:pStyle w:val="25"/>
              <w:spacing w:line="420" w:lineRule="exact"/>
              <w:ind w:firstLine="482"/>
              <w:jc w:val="center"/>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评分标准</w:t>
            </w:r>
          </w:p>
        </w:tc>
        <w:tc>
          <w:tcPr>
            <w:tcW w:w="743" w:type="dxa"/>
            <w:tcBorders>
              <w:top w:val="single" w:color="auto" w:sz="4" w:space="0"/>
              <w:left w:val="single" w:color="auto" w:sz="4" w:space="0"/>
              <w:bottom w:val="single" w:color="auto" w:sz="4" w:space="0"/>
              <w:right w:val="single" w:color="auto" w:sz="4" w:space="0"/>
            </w:tcBorders>
            <w:vAlign w:val="center"/>
          </w:tcPr>
          <w:p w14:paraId="1F8A1DC5">
            <w:pPr>
              <w:pStyle w:val="25"/>
              <w:spacing w:line="420" w:lineRule="exact"/>
              <w:ind w:left="0" w:leftChars="0"/>
              <w:jc w:val="center"/>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分值</w:t>
            </w:r>
          </w:p>
        </w:tc>
      </w:tr>
      <w:tr w14:paraId="3BCEE2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1" w:hRule="atLeast"/>
          <w:jc w:val="center"/>
        </w:trPr>
        <w:tc>
          <w:tcPr>
            <w:tcW w:w="9116" w:type="dxa"/>
            <w:gridSpan w:val="3"/>
            <w:tcBorders>
              <w:top w:val="single" w:color="auto" w:sz="4" w:space="0"/>
              <w:left w:val="single" w:color="auto" w:sz="4" w:space="0"/>
              <w:bottom w:val="single" w:color="auto" w:sz="4" w:space="0"/>
              <w:right w:val="single" w:color="auto" w:sz="4" w:space="0"/>
            </w:tcBorders>
            <w:vAlign w:val="center"/>
          </w:tcPr>
          <w:p w14:paraId="399F6019">
            <w:pPr>
              <w:pStyle w:val="25"/>
              <w:spacing w:line="420" w:lineRule="exact"/>
              <w:jc w:val="center"/>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技术分</w:t>
            </w:r>
          </w:p>
        </w:tc>
        <w:tc>
          <w:tcPr>
            <w:tcW w:w="743" w:type="dxa"/>
            <w:tcBorders>
              <w:top w:val="single" w:color="auto" w:sz="4" w:space="0"/>
              <w:left w:val="single" w:color="auto" w:sz="4" w:space="0"/>
              <w:bottom w:val="single" w:color="auto" w:sz="4" w:space="0"/>
              <w:right w:val="single" w:color="auto" w:sz="4" w:space="0"/>
            </w:tcBorders>
            <w:vAlign w:val="center"/>
          </w:tcPr>
          <w:p w14:paraId="28EA4F31">
            <w:pPr>
              <w:pStyle w:val="25"/>
              <w:spacing w:line="420" w:lineRule="exact"/>
              <w:ind w:left="0" w:leftChars="0"/>
              <w:jc w:val="center"/>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83分</w:t>
            </w:r>
          </w:p>
        </w:tc>
      </w:tr>
      <w:tr w14:paraId="304579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1" w:type="dxa"/>
            <w:tcBorders>
              <w:top w:val="single" w:color="auto" w:sz="4" w:space="0"/>
              <w:left w:val="single" w:color="auto" w:sz="4" w:space="0"/>
              <w:right w:val="single" w:color="auto" w:sz="4" w:space="0"/>
            </w:tcBorders>
            <w:vAlign w:val="center"/>
          </w:tcPr>
          <w:p w14:paraId="1F24185D">
            <w:pPr>
              <w:spacing w:line="42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w:t>
            </w:r>
          </w:p>
        </w:tc>
        <w:tc>
          <w:tcPr>
            <w:tcW w:w="1224" w:type="dxa"/>
            <w:tcBorders>
              <w:top w:val="single" w:color="auto" w:sz="4" w:space="0"/>
              <w:left w:val="single" w:color="auto" w:sz="4" w:space="0"/>
              <w:right w:val="single" w:color="auto" w:sz="4" w:space="0"/>
            </w:tcBorders>
            <w:vAlign w:val="center"/>
          </w:tcPr>
          <w:p w14:paraId="779987C2">
            <w:pPr>
              <w:spacing w:line="276" w:lineRule="auto"/>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项目规划方案</w:t>
            </w:r>
          </w:p>
        </w:tc>
        <w:tc>
          <w:tcPr>
            <w:tcW w:w="7011" w:type="dxa"/>
            <w:tcBorders>
              <w:top w:val="single" w:color="auto" w:sz="4" w:space="0"/>
              <w:left w:val="single" w:color="auto" w:sz="4" w:space="0"/>
              <w:right w:val="single" w:color="auto" w:sz="4" w:space="0"/>
            </w:tcBorders>
            <w:vAlign w:val="center"/>
          </w:tcPr>
          <w:p w14:paraId="6AC33118">
            <w:pPr>
              <w:pStyle w:val="36"/>
              <w:ind w:left="240" w:hanging="240" w:hangingChars="100"/>
              <w:rPr>
                <w:rFonts w:ascii="仿宋" w:hAnsi="仿宋" w:eastAsia="仿宋" w:cs="仿宋"/>
              </w:rPr>
            </w:pPr>
            <w:r>
              <w:rPr>
                <w:rFonts w:hint="eastAsia" w:ascii="仿宋" w:hAnsi="仿宋" w:eastAsia="仿宋" w:cs="仿宋"/>
              </w:rPr>
              <w:t>1、规划前言</w:t>
            </w:r>
            <w:r>
              <w:rPr>
                <w:rFonts w:ascii="仿宋" w:hAnsi="仿宋" w:eastAsia="仿宋" w:cs="仿宋"/>
              </w:rPr>
              <w:t>：</w:t>
            </w:r>
            <w:r>
              <w:rPr>
                <w:rFonts w:hint="eastAsia" w:ascii="仿宋" w:hAnsi="仿宋" w:eastAsia="仿宋" w:cs="仿宋"/>
              </w:rPr>
              <w:t>根据</w:t>
            </w:r>
            <w:r>
              <w:rPr>
                <w:rFonts w:ascii="仿宋" w:hAnsi="仿宋" w:eastAsia="仿宋" w:cs="仿宋"/>
              </w:rPr>
              <w:t>提出的</w:t>
            </w:r>
            <w:r>
              <w:rPr>
                <w:rFonts w:hint="eastAsia" w:ascii="仿宋" w:hAnsi="仿宋" w:eastAsia="仿宋" w:cs="仿宋"/>
              </w:rPr>
              <w:t>对本次项目的项目背景、</w:t>
            </w:r>
            <w:r>
              <w:rPr>
                <w:rFonts w:ascii="仿宋" w:hAnsi="仿宋" w:eastAsia="仿宋" w:cs="仿宋"/>
              </w:rPr>
              <w:t>规划思考</w:t>
            </w:r>
            <w:r>
              <w:rPr>
                <w:rFonts w:hint="eastAsia" w:ascii="仿宋" w:hAnsi="仿宋" w:eastAsia="仿宋" w:cs="仿宋"/>
              </w:rPr>
              <w:t>、</w:t>
            </w:r>
            <w:r>
              <w:rPr>
                <w:rFonts w:ascii="仿宋" w:hAnsi="仿宋" w:eastAsia="仿宋" w:cs="仿宋"/>
              </w:rPr>
              <w:t>总体认知</w:t>
            </w:r>
            <w:r>
              <w:rPr>
                <w:rFonts w:hint="eastAsia" w:ascii="仿宋" w:hAnsi="仿宋" w:eastAsia="仿宋" w:cs="仿宋"/>
              </w:rPr>
              <w:t>等内容进行分析解读。内容科学合理、完整可行、表述清晰的得</w:t>
            </w:r>
            <w:r>
              <w:rPr>
                <w:rFonts w:ascii="仿宋" w:hAnsi="仿宋" w:eastAsia="仿宋" w:cs="仿宋"/>
              </w:rPr>
              <w:t>6</w:t>
            </w:r>
            <w:r>
              <w:rPr>
                <w:rFonts w:hint="eastAsia" w:ascii="仿宋" w:hAnsi="仿宋" w:eastAsia="仿宋" w:cs="仿宋"/>
              </w:rPr>
              <w:t>分，一般的得</w:t>
            </w:r>
            <w:r>
              <w:rPr>
                <w:rFonts w:ascii="仿宋" w:hAnsi="仿宋" w:eastAsia="仿宋" w:cs="仿宋"/>
              </w:rPr>
              <w:t>4</w:t>
            </w:r>
            <w:r>
              <w:rPr>
                <w:rFonts w:hint="eastAsia" w:ascii="仿宋" w:hAnsi="仿宋" w:eastAsia="仿宋" w:cs="仿宋"/>
              </w:rPr>
              <w:t>分；欠科学全面的得</w:t>
            </w:r>
            <w:r>
              <w:rPr>
                <w:rFonts w:ascii="仿宋" w:hAnsi="仿宋" w:eastAsia="仿宋" w:cs="仿宋"/>
              </w:rPr>
              <w:t>2</w:t>
            </w:r>
            <w:r>
              <w:rPr>
                <w:rFonts w:hint="eastAsia" w:ascii="仿宋" w:hAnsi="仿宋" w:eastAsia="仿宋" w:cs="仿宋"/>
              </w:rPr>
              <w:t>分；缺项不得分。</w:t>
            </w:r>
          </w:p>
          <w:p w14:paraId="73625775">
            <w:pPr>
              <w:pStyle w:val="36"/>
              <w:ind w:left="240" w:hanging="240" w:hangingChars="100"/>
              <w:rPr>
                <w:rFonts w:ascii="仿宋" w:hAnsi="仿宋" w:eastAsia="仿宋" w:cs="仿宋"/>
              </w:rPr>
            </w:pPr>
            <w:r>
              <w:rPr>
                <w:rFonts w:ascii="仿宋" w:hAnsi="仿宋" w:eastAsia="仿宋" w:cs="仿宋"/>
              </w:rPr>
              <w:t>2</w:t>
            </w:r>
            <w:r>
              <w:rPr>
                <w:rFonts w:hint="eastAsia" w:ascii="仿宋" w:hAnsi="仿宋" w:eastAsia="仿宋" w:cs="仿宋"/>
              </w:rPr>
              <w:t>、现状审视</w:t>
            </w:r>
            <w:r>
              <w:rPr>
                <w:rFonts w:ascii="仿宋" w:hAnsi="仿宋" w:eastAsia="仿宋" w:cs="仿宋"/>
              </w:rPr>
              <w:t>：</w:t>
            </w:r>
            <w:r>
              <w:rPr>
                <w:rFonts w:hint="eastAsia" w:ascii="仿宋" w:hAnsi="仿宋" w:eastAsia="仿宋" w:cs="仿宋"/>
              </w:rPr>
              <w:t>根据</w:t>
            </w:r>
            <w:r>
              <w:rPr>
                <w:rFonts w:ascii="仿宋" w:hAnsi="仿宋" w:eastAsia="仿宋" w:cs="仿宋"/>
              </w:rPr>
              <w:t>提出的</w:t>
            </w:r>
            <w:r>
              <w:rPr>
                <w:rFonts w:hint="eastAsia" w:ascii="仿宋" w:hAnsi="仿宋" w:eastAsia="仿宋" w:cs="仿宋"/>
              </w:rPr>
              <w:t>综合评价双林镇域</w:t>
            </w:r>
            <w:r>
              <w:rPr>
                <w:rFonts w:ascii="仿宋" w:hAnsi="仿宋" w:eastAsia="仿宋" w:cs="仿宋"/>
              </w:rPr>
              <w:t>的</w:t>
            </w:r>
            <w:r>
              <w:rPr>
                <w:rFonts w:hint="eastAsia" w:ascii="仿宋" w:hAnsi="仿宋" w:eastAsia="仿宋" w:cs="仿宋"/>
              </w:rPr>
              <w:t>区位</w:t>
            </w:r>
            <w:r>
              <w:rPr>
                <w:rFonts w:ascii="仿宋" w:hAnsi="仿宋" w:eastAsia="仿宋" w:cs="仿宋"/>
              </w:rPr>
              <w:t>价值</w:t>
            </w:r>
            <w:r>
              <w:rPr>
                <w:rFonts w:hint="eastAsia" w:ascii="仿宋" w:hAnsi="仿宋" w:eastAsia="仿宋" w:cs="仿宋"/>
              </w:rPr>
              <w:t>，分析现状</w:t>
            </w:r>
            <w:r>
              <w:rPr>
                <w:rFonts w:ascii="仿宋" w:hAnsi="仿宋" w:eastAsia="仿宋" w:cs="仿宋"/>
              </w:rPr>
              <w:t>生态、</w:t>
            </w:r>
            <w:r>
              <w:rPr>
                <w:rFonts w:hint="eastAsia" w:ascii="仿宋" w:hAnsi="仿宋" w:eastAsia="仿宋" w:cs="仿宋"/>
              </w:rPr>
              <w:t>现状</w:t>
            </w:r>
            <w:r>
              <w:rPr>
                <w:rFonts w:ascii="仿宋" w:hAnsi="仿宋" w:eastAsia="仿宋" w:cs="仿宋"/>
              </w:rPr>
              <w:t>人文、</w:t>
            </w:r>
            <w:r>
              <w:rPr>
                <w:rFonts w:hint="eastAsia" w:ascii="仿宋" w:hAnsi="仿宋" w:eastAsia="仿宋" w:cs="仿宋"/>
              </w:rPr>
              <w:t>现状</w:t>
            </w:r>
            <w:r>
              <w:rPr>
                <w:rFonts w:ascii="仿宋" w:hAnsi="仿宋" w:eastAsia="仿宋" w:cs="仿宋"/>
              </w:rPr>
              <w:t>产业、</w:t>
            </w:r>
            <w:r>
              <w:rPr>
                <w:rFonts w:hint="eastAsia" w:ascii="仿宋" w:hAnsi="仿宋" w:eastAsia="仿宋" w:cs="仿宋"/>
              </w:rPr>
              <w:t>现状用地等现状情况，并有针对性地提出存在的核心问题。内容科学合理、完整可行、表述清晰的得</w:t>
            </w:r>
            <w:r>
              <w:rPr>
                <w:rFonts w:ascii="仿宋" w:hAnsi="仿宋" w:eastAsia="仿宋" w:cs="仿宋"/>
              </w:rPr>
              <w:t>6</w:t>
            </w:r>
            <w:r>
              <w:rPr>
                <w:rFonts w:hint="eastAsia" w:ascii="仿宋" w:hAnsi="仿宋" w:eastAsia="仿宋" w:cs="仿宋"/>
              </w:rPr>
              <w:t>分，一般的得</w:t>
            </w:r>
            <w:r>
              <w:rPr>
                <w:rFonts w:ascii="仿宋" w:hAnsi="仿宋" w:eastAsia="仿宋" w:cs="仿宋"/>
              </w:rPr>
              <w:t>4</w:t>
            </w:r>
            <w:r>
              <w:rPr>
                <w:rFonts w:hint="eastAsia" w:ascii="仿宋" w:hAnsi="仿宋" w:eastAsia="仿宋" w:cs="仿宋"/>
              </w:rPr>
              <w:t>分；欠科学全面的得</w:t>
            </w:r>
            <w:r>
              <w:rPr>
                <w:rFonts w:ascii="仿宋" w:hAnsi="仿宋" w:eastAsia="仿宋" w:cs="仿宋"/>
              </w:rPr>
              <w:t>2</w:t>
            </w:r>
            <w:r>
              <w:rPr>
                <w:rFonts w:hint="eastAsia" w:ascii="仿宋" w:hAnsi="仿宋" w:eastAsia="仿宋" w:cs="仿宋"/>
              </w:rPr>
              <w:t>分；缺项不得分。</w:t>
            </w:r>
          </w:p>
          <w:p w14:paraId="7593C452">
            <w:pPr>
              <w:pStyle w:val="36"/>
              <w:ind w:left="240" w:hanging="240" w:hangingChars="100"/>
              <w:rPr>
                <w:rFonts w:ascii="仿宋" w:hAnsi="仿宋" w:eastAsia="仿宋" w:cs="仿宋"/>
              </w:rPr>
            </w:pPr>
            <w:r>
              <w:rPr>
                <w:rFonts w:ascii="仿宋" w:hAnsi="仿宋" w:eastAsia="仿宋" w:cs="仿宋"/>
              </w:rPr>
              <w:t>3</w:t>
            </w:r>
            <w:r>
              <w:rPr>
                <w:rFonts w:hint="eastAsia" w:ascii="仿宋" w:hAnsi="仿宋" w:eastAsia="仿宋" w:cs="仿宋"/>
              </w:rPr>
              <w:t>、定位目标</w:t>
            </w:r>
            <w:r>
              <w:rPr>
                <w:rFonts w:ascii="仿宋" w:hAnsi="仿宋" w:eastAsia="仿宋" w:cs="仿宋"/>
              </w:rPr>
              <w:t>：</w:t>
            </w:r>
            <w:r>
              <w:rPr>
                <w:rFonts w:hint="eastAsia" w:ascii="仿宋" w:hAnsi="仿宋" w:eastAsia="仿宋" w:cs="仿宋"/>
              </w:rPr>
              <w:t>根据</w:t>
            </w:r>
            <w:r>
              <w:rPr>
                <w:rFonts w:ascii="仿宋" w:hAnsi="仿宋" w:eastAsia="仿宋" w:cs="仿宋"/>
              </w:rPr>
              <w:t>提出的</w:t>
            </w:r>
            <w:r>
              <w:rPr>
                <w:rFonts w:hint="eastAsia" w:ascii="仿宋" w:hAnsi="仿宋" w:eastAsia="仿宋" w:cs="仿宋"/>
              </w:rPr>
              <w:t>借鉴湖州市国土空间总体规划等上位规划对双林镇的未来发展来进行规划指引，并合理确定双林镇在整个区位中的总体定位和目标愿景等</w:t>
            </w:r>
            <w:r>
              <w:rPr>
                <w:rFonts w:ascii="仿宋" w:hAnsi="仿宋" w:eastAsia="仿宋" w:cs="仿宋"/>
              </w:rPr>
              <w:t>内容进行分析解读</w:t>
            </w:r>
            <w:r>
              <w:rPr>
                <w:rFonts w:hint="eastAsia" w:ascii="仿宋" w:hAnsi="仿宋" w:eastAsia="仿宋" w:cs="仿宋"/>
              </w:rPr>
              <w:t>。内容科学合理、完整可行、表述清晰的得</w:t>
            </w:r>
            <w:r>
              <w:rPr>
                <w:rFonts w:ascii="仿宋" w:hAnsi="仿宋" w:eastAsia="仿宋" w:cs="仿宋"/>
              </w:rPr>
              <w:t>6</w:t>
            </w:r>
            <w:r>
              <w:rPr>
                <w:rFonts w:hint="eastAsia" w:ascii="仿宋" w:hAnsi="仿宋" w:eastAsia="仿宋" w:cs="仿宋"/>
              </w:rPr>
              <w:t>分，一般的得</w:t>
            </w:r>
            <w:r>
              <w:rPr>
                <w:rFonts w:ascii="仿宋" w:hAnsi="仿宋" w:eastAsia="仿宋" w:cs="仿宋"/>
              </w:rPr>
              <w:t>4</w:t>
            </w:r>
            <w:r>
              <w:rPr>
                <w:rFonts w:hint="eastAsia" w:ascii="仿宋" w:hAnsi="仿宋" w:eastAsia="仿宋" w:cs="仿宋"/>
              </w:rPr>
              <w:t>分；欠科学全面的得</w:t>
            </w:r>
            <w:r>
              <w:rPr>
                <w:rFonts w:ascii="仿宋" w:hAnsi="仿宋" w:eastAsia="仿宋" w:cs="仿宋"/>
              </w:rPr>
              <w:t>2</w:t>
            </w:r>
            <w:r>
              <w:rPr>
                <w:rFonts w:hint="eastAsia" w:ascii="仿宋" w:hAnsi="仿宋" w:eastAsia="仿宋" w:cs="仿宋"/>
              </w:rPr>
              <w:t>分；缺项不得分。</w:t>
            </w:r>
          </w:p>
          <w:p w14:paraId="4513E760">
            <w:pPr>
              <w:pStyle w:val="36"/>
              <w:ind w:left="240" w:hanging="240" w:hangingChars="100"/>
              <w:rPr>
                <w:rFonts w:ascii="仿宋" w:hAnsi="仿宋" w:eastAsia="仿宋" w:cs="仿宋"/>
              </w:rPr>
            </w:pPr>
            <w:r>
              <w:rPr>
                <w:rFonts w:ascii="仿宋" w:hAnsi="仿宋" w:eastAsia="仿宋" w:cs="仿宋"/>
              </w:rPr>
              <w:t>4</w:t>
            </w:r>
            <w:r>
              <w:rPr>
                <w:rFonts w:hint="eastAsia" w:ascii="仿宋" w:hAnsi="仿宋" w:eastAsia="仿宋" w:cs="仿宋"/>
              </w:rPr>
              <w:t>、规划思路</w:t>
            </w:r>
            <w:r>
              <w:rPr>
                <w:rFonts w:ascii="仿宋" w:hAnsi="仿宋" w:eastAsia="仿宋" w:cs="仿宋"/>
              </w:rPr>
              <w:t>：</w:t>
            </w:r>
            <w:r>
              <w:rPr>
                <w:rFonts w:hint="eastAsia" w:ascii="仿宋" w:hAnsi="仿宋" w:eastAsia="仿宋" w:cs="仿宋"/>
              </w:rPr>
              <w:t>根据</w:t>
            </w:r>
            <w:r>
              <w:rPr>
                <w:rFonts w:ascii="仿宋" w:hAnsi="仿宋" w:eastAsia="仿宋" w:cs="仿宋"/>
              </w:rPr>
              <w:t>提出的</w:t>
            </w:r>
            <w:r>
              <w:rPr>
                <w:rFonts w:hint="eastAsia" w:ascii="仿宋" w:hAnsi="仿宋" w:eastAsia="仿宋" w:cs="仿宋"/>
              </w:rPr>
              <w:t>发展思路</w:t>
            </w:r>
            <w:r>
              <w:rPr>
                <w:rFonts w:ascii="仿宋" w:hAnsi="仿宋" w:eastAsia="仿宋" w:cs="仿宋"/>
              </w:rPr>
              <w:t>、</w:t>
            </w:r>
            <w:r>
              <w:rPr>
                <w:rFonts w:hint="eastAsia" w:ascii="仿宋" w:hAnsi="仿宋" w:eastAsia="仿宋" w:cs="仿宋"/>
              </w:rPr>
              <w:t>产业</w:t>
            </w:r>
            <w:r>
              <w:rPr>
                <w:rFonts w:ascii="仿宋" w:hAnsi="仿宋" w:eastAsia="仿宋" w:cs="仿宋"/>
              </w:rPr>
              <w:t>战略、</w:t>
            </w:r>
            <w:r>
              <w:rPr>
                <w:rFonts w:hint="eastAsia" w:ascii="仿宋" w:hAnsi="仿宋" w:eastAsia="仿宋" w:cs="仿宋"/>
              </w:rPr>
              <w:t>空间</w:t>
            </w:r>
            <w:r>
              <w:rPr>
                <w:rFonts w:ascii="仿宋" w:hAnsi="仿宋" w:eastAsia="仿宋" w:cs="仿宋"/>
              </w:rPr>
              <w:t>战略</w:t>
            </w:r>
            <w:r>
              <w:rPr>
                <w:rFonts w:hint="eastAsia" w:ascii="仿宋" w:hAnsi="仿宋" w:eastAsia="仿宋" w:cs="仿宋"/>
              </w:rPr>
              <w:t>、</w:t>
            </w:r>
            <w:r>
              <w:rPr>
                <w:rFonts w:ascii="仿宋" w:hAnsi="仿宋" w:eastAsia="仿宋" w:cs="仿宋"/>
              </w:rPr>
              <w:t>交通战略</w:t>
            </w:r>
            <w:r>
              <w:rPr>
                <w:rFonts w:hint="eastAsia" w:ascii="仿宋" w:hAnsi="仿宋" w:eastAsia="仿宋" w:cs="仿宋"/>
              </w:rPr>
              <w:t>、</w:t>
            </w:r>
            <w:r>
              <w:rPr>
                <w:rFonts w:ascii="仿宋" w:hAnsi="仿宋" w:eastAsia="仿宋" w:cs="仿宋"/>
              </w:rPr>
              <w:t>文化战略</w:t>
            </w:r>
            <w:r>
              <w:rPr>
                <w:rFonts w:hint="eastAsia" w:ascii="仿宋" w:hAnsi="仿宋" w:eastAsia="仿宋" w:cs="仿宋"/>
              </w:rPr>
              <w:t>等相关内容进行</w:t>
            </w:r>
            <w:r>
              <w:rPr>
                <w:rFonts w:ascii="仿宋" w:hAnsi="仿宋" w:eastAsia="仿宋" w:cs="仿宋"/>
              </w:rPr>
              <w:t>分析解读</w:t>
            </w:r>
            <w:r>
              <w:rPr>
                <w:rFonts w:hint="eastAsia" w:ascii="仿宋" w:hAnsi="仿宋" w:eastAsia="仿宋" w:cs="仿宋"/>
              </w:rPr>
              <w:t>。内容科学合理、完整可行、表述清晰的得</w:t>
            </w:r>
            <w:r>
              <w:rPr>
                <w:rFonts w:ascii="仿宋" w:hAnsi="仿宋" w:eastAsia="仿宋" w:cs="仿宋"/>
              </w:rPr>
              <w:t>6</w:t>
            </w:r>
            <w:r>
              <w:rPr>
                <w:rFonts w:hint="eastAsia" w:ascii="仿宋" w:hAnsi="仿宋" w:eastAsia="仿宋" w:cs="仿宋"/>
              </w:rPr>
              <w:t>分，一般的得</w:t>
            </w:r>
            <w:r>
              <w:rPr>
                <w:rFonts w:ascii="仿宋" w:hAnsi="仿宋" w:eastAsia="仿宋" w:cs="仿宋"/>
              </w:rPr>
              <w:t>4</w:t>
            </w:r>
            <w:r>
              <w:rPr>
                <w:rFonts w:hint="eastAsia" w:ascii="仿宋" w:hAnsi="仿宋" w:eastAsia="仿宋" w:cs="仿宋"/>
              </w:rPr>
              <w:t>分；欠科学全面的得</w:t>
            </w:r>
            <w:r>
              <w:rPr>
                <w:rFonts w:ascii="仿宋" w:hAnsi="仿宋" w:eastAsia="仿宋" w:cs="仿宋"/>
              </w:rPr>
              <w:t>2</w:t>
            </w:r>
            <w:r>
              <w:rPr>
                <w:rFonts w:hint="eastAsia" w:ascii="仿宋" w:hAnsi="仿宋" w:eastAsia="仿宋" w:cs="仿宋"/>
              </w:rPr>
              <w:t>分；缺项不得分。</w:t>
            </w:r>
          </w:p>
          <w:p w14:paraId="56D56377">
            <w:pPr>
              <w:pStyle w:val="36"/>
              <w:ind w:left="240" w:hanging="240" w:hangingChars="100"/>
              <w:rPr>
                <w:rFonts w:ascii="仿宋" w:hAnsi="仿宋" w:eastAsia="仿宋" w:cs="仿宋"/>
              </w:rPr>
            </w:pPr>
            <w:r>
              <w:rPr>
                <w:rFonts w:ascii="仿宋" w:hAnsi="仿宋" w:eastAsia="仿宋" w:cs="仿宋"/>
              </w:rPr>
              <w:t>5</w:t>
            </w:r>
            <w:r>
              <w:rPr>
                <w:rFonts w:hint="eastAsia" w:ascii="仿宋" w:hAnsi="仿宋" w:eastAsia="仿宋" w:cs="仿宋"/>
              </w:rPr>
              <w:t>、总设策略</w:t>
            </w:r>
            <w:r>
              <w:rPr>
                <w:rFonts w:ascii="仿宋" w:hAnsi="仿宋" w:eastAsia="仿宋" w:cs="仿宋"/>
              </w:rPr>
              <w:t>：</w:t>
            </w:r>
            <w:r>
              <w:rPr>
                <w:rFonts w:hint="eastAsia" w:ascii="仿宋" w:hAnsi="仿宋" w:eastAsia="仿宋" w:cs="仿宋"/>
              </w:rPr>
              <w:t>根据提供</w:t>
            </w:r>
            <w:r>
              <w:rPr>
                <w:rFonts w:ascii="仿宋" w:hAnsi="仿宋" w:eastAsia="仿宋" w:cs="仿宋"/>
              </w:rPr>
              <w:t>的</w:t>
            </w:r>
            <w:r>
              <w:rPr>
                <w:rFonts w:hint="eastAsia" w:ascii="仿宋" w:hAnsi="仿宋" w:eastAsia="仿宋" w:cs="仿宋"/>
              </w:rPr>
              <w:t>双林镇区</w:t>
            </w:r>
            <w:r>
              <w:rPr>
                <w:rFonts w:ascii="仿宋" w:hAnsi="仿宋" w:eastAsia="仿宋" w:cs="仿宋"/>
              </w:rPr>
              <w:t>城市设计的规划范围</w:t>
            </w:r>
            <w:r>
              <w:rPr>
                <w:rFonts w:hint="eastAsia" w:ascii="仿宋" w:hAnsi="仿宋" w:eastAsia="仿宋" w:cs="仿宋"/>
              </w:rPr>
              <w:t>、</w:t>
            </w:r>
            <w:r>
              <w:rPr>
                <w:rFonts w:ascii="仿宋" w:hAnsi="仿宋" w:eastAsia="仿宋" w:cs="仿宋"/>
              </w:rPr>
              <w:t>现状认知</w:t>
            </w:r>
            <w:r>
              <w:rPr>
                <w:rFonts w:hint="eastAsia" w:ascii="仿宋" w:hAnsi="仿宋" w:eastAsia="仿宋" w:cs="仿宋"/>
              </w:rPr>
              <w:t>、案例</w:t>
            </w:r>
            <w:r>
              <w:rPr>
                <w:rFonts w:ascii="仿宋" w:hAnsi="仿宋" w:eastAsia="仿宋" w:cs="仿宋"/>
              </w:rPr>
              <w:t>研究</w:t>
            </w:r>
            <w:r>
              <w:rPr>
                <w:rFonts w:hint="eastAsia" w:ascii="仿宋" w:hAnsi="仿宋" w:eastAsia="仿宋" w:cs="仿宋"/>
              </w:rPr>
              <w:t>，制定</w:t>
            </w:r>
            <w:r>
              <w:rPr>
                <w:rFonts w:ascii="仿宋" w:hAnsi="仿宋" w:eastAsia="仿宋" w:cs="仿宋"/>
              </w:rPr>
              <w:t>总体规划愿景、目标及原则，</w:t>
            </w:r>
            <w:r>
              <w:rPr>
                <w:rFonts w:hint="eastAsia" w:ascii="仿宋" w:hAnsi="仿宋" w:eastAsia="仿宋" w:cs="仿宋"/>
              </w:rPr>
              <w:t>并</w:t>
            </w:r>
            <w:r>
              <w:rPr>
                <w:rFonts w:ascii="仿宋" w:hAnsi="仿宋" w:eastAsia="仿宋" w:cs="仿宋"/>
              </w:rPr>
              <w:t>提出相应的城市设计策略</w:t>
            </w:r>
            <w:r>
              <w:rPr>
                <w:rFonts w:hint="eastAsia" w:ascii="仿宋" w:hAnsi="仿宋" w:eastAsia="仿宋" w:cs="仿宋"/>
              </w:rPr>
              <w:t>和</w:t>
            </w:r>
            <w:r>
              <w:rPr>
                <w:rFonts w:ascii="仿宋" w:hAnsi="仿宋" w:eastAsia="仿宋" w:cs="仿宋"/>
              </w:rPr>
              <w:t>整体框架</w:t>
            </w:r>
            <w:r>
              <w:rPr>
                <w:rFonts w:hint="eastAsia" w:ascii="仿宋" w:hAnsi="仿宋" w:eastAsia="仿宋" w:cs="仿宋"/>
              </w:rPr>
              <w:t>。内容符合</w:t>
            </w:r>
            <w:r>
              <w:rPr>
                <w:rFonts w:ascii="仿宋" w:hAnsi="仿宋" w:eastAsia="仿宋" w:cs="仿宋"/>
              </w:rPr>
              <w:t>双林镇区实际</w:t>
            </w:r>
            <w:r>
              <w:rPr>
                <w:rFonts w:hint="eastAsia" w:ascii="仿宋" w:hAnsi="仿宋" w:eastAsia="仿宋" w:cs="仿宋"/>
              </w:rPr>
              <w:t>、科学合理、完整可行、表述清晰的得</w:t>
            </w:r>
            <w:r>
              <w:rPr>
                <w:rFonts w:ascii="仿宋" w:hAnsi="仿宋" w:eastAsia="仿宋" w:cs="仿宋"/>
              </w:rPr>
              <w:t>8</w:t>
            </w:r>
            <w:r>
              <w:rPr>
                <w:rFonts w:hint="eastAsia" w:ascii="仿宋" w:hAnsi="仿宋" w:eastAsia="仿宋" w:cs="仿宋"/>
              </w:rPr>
              <w:t>分，一般的得</w:t>
            </w:r>
            <w:r>
              <w:rPr>
                <w:rFonts w:ascii="仿宋" w:hAnsi="仿宋" w:eastAsia="仿宋" w:cs="仿宋"/>
              </w:rPr>
              <w:t>5</w:t>
            </w:r>
            <w:r>
              <w:rPr>
                <w:rFonts w:hint="eastAsia" w:ascii="仿宋" w:hAnsi="仿宋" w:eastAsia="仿宋" w:cs="仿宋"/>
              </w:rPr>
              <w:t>分；欠科学全面的得2分；缺项不得分。</w:t>
            </w:r>
          </w:p>
          <w:p w14:paraId="2F66702E">
            <w:pPr>
              <w:pStyle w:val="36"/>
              <w:ind w:left="240" w:hanging="240" w:hangingChars="100"/>
              <w:rPr>
                <w:rFonts w:ascii="仿宋" w:hAnsi="仿宋" w:eastAsia="仿宋" w:cs="仿宋"/>
              </w:rPr>
            </w:pPr>
            <w:r>
              <w:rPr>
                <w:rFonts w:ascii="仿宋" w:hAnsi="仿宋" w:eastAsia="仿宋" w:cs="仿宋"/>
              </w:rPr>
              <w:t>6</w:t>
            </w:r>
            <w:r>
              <w:rPr>
                <w:rFonts w:hint="eastAsia" w:ascii="仿宋" w:hAnsi="仿宋" w:eastAsia="仿宋" w:cs="仿宋"/>
              </w:rPr>
              <w:t>、重点设计</w:t>
            </w:r>
            <w:r>
              <w:rPr>
                <w:rFonts w:ascii="仿宋" w:hAnsi="仿宋" w:eastAsia="仿宋" w:cs="仿宋"/>
              </w:rPr>
              <w:t>：</w:t>
            </w:r>
            <w:r>
              <w:rPr>
                <w:rFonts w:hint="eastAsia" w:ascii="仿宋" w:hAnsi="仿宋" w:eastAsia="仿宋" w:cs="仿宋"/>
              </w:rPr>
              <w:t>根据</w:t>
            </w:r>
            <w:r>
              <w:rPr>
                <w:rFonts w:ascii="仿宋" w:hAnsi="仿宋" w:eastAsia="仿宋" w:cs="仿宋"/>
              </w:rPr>
              <w:t>提出的</w:t>
            </w:r>
            <w:r>
              <w:rPr>
                <w:rFonts w:hint="eastAsia" w:ascii="仿宋" w:hAnsi="仿宋" w:eastAsia="仿宋" w:cs="仿宋"/>
              </w:rPr>
              <w:t>镇区总体</w:t>
            </w:r>
            <w:r>
              <w:rPr>
                <w:rFonts w:ascii="仿宋" w:hAnsi="仿宋" w:eastAsia="仿宋" w:cs="仿宋"/>
              </w:rPr>
              <w:t>设计、居住片区</w:t>
            </w:r>
            <w:r>
              <w:rPr>
                <w:rFonts w:hint="eastAsia" w:ascii="仿宋" w:hAnsi="仿宋" w:eastAsia="仿宋" w:cs="仿宋"/>
              </w:rPr>
              <w:t>打造</w:t>
            </w:r>
            <w:r>
              <w:rPr>
                <w:rFonts w:ascii="仿宋" w:hAnsi="仿宋" w:eastAsia="仿宋" w:cs="仿宋"/>
              </w:rPr>
              <w:t>、</w:t>
            </w:r>
            <w:r>
              <w:rPr>
                <w:rFonts w:hint="eastAsia" w:ascii="仿宋" w:hAnsi="仿宋" w:eastAsia="仿宋" w:cs="仿宋"/>
              </w:rPr>
              <w:t>古镇</w:t>
            </w:r>
            <w:r>
              <w:rPr>
                <w:rFonts w:ascii="仿宋" w:hAnsi="仿宋" w:eastAsia="仿宋" w:cs="仿宋"/>
              </w:rPr>
              <w:t>片区打造、</w:t>
            </w:r>
            <w:r>
              <w:rPr>
                <w:rFonts w:hint="eastAsia" w:ascii="仿宋" w:hAnsi="仿宋" w:eastAsia="仿宋" w:cs="仿宋"/>
              </w:rPr>
              <w:t>产业</w:t>
            </w:r>
            <w:r>
              <w:rPr>
                <w:rFonts w:ascii="仿宋" w:hAnsi="仿宋" w:eastAsia="仿宋" w:cs="仿宋"/>
              </w:rPr>
              <w:t>片区打造、</w:t>
            </w:r>
            <w:r>
              <w:rPr>
                <w:rFonts w:hint="eastAsia" w:ascii="仿宋" w:hAnsi="仿宋" w:eastAsia="仿宋" w:cs="仿宋"/>
              </w:rPr>
              <w:t>农旅</w:t>
            </w:r>
            <w:r>
              <w:rPr>
                <w:rFonts w:ascii="仿宋" w:hAnsi="仿宋" w:eastAsia="仿宋" w:cs="仿宋"/>
              </w:rPr>
              <w:t>片区打造、</w:t>
            </w:r>
            <w:r>
              <w:rPr>
                <w:rFonts w:hint="eastAsia" w:ascii="仿宋" w:hAnsi="仿宋" w:eastAsia="仿宋" w:cs="仿宋"/>
              </w:rPr>
              <w:t>重要界面</w:t>
            </w:r>
            <w:r>
              <w:rPr>
                <w:rFonts w:ascii="仿宋" w:hAnsi="仿宋" w:eastAsia="仿宋" w:cs="仿宋"/>
              </w:rPr>
              <w:t>设计、重要节点设计等内容进行分析解读</w:t>
            </w:r>
            <w:r>
              <w:rPr>
                <w:rFonts w:hint="eastAsia" w:ascii="仿宋" w:hAnsi="仿宋" w:eastAsia="仿宋" w:cs="仿宋"/>
              </w:rPr>
              <w:t>。内容符合</w:t>
            </w:r>
            <w:r>
              <w:rPr>
                <w:rFonts w:ascii="仿宋" w:hAnsi="仿宋" w:eastAsia="仿宋" w:cs="仿宋"/>
              </w:rPr>
              <w:t>双林镇区实际</w:t>
            </w:r>
            <w:r>
              <w:rPr>
                <w:rFonts w:hint="eastAsia" w:ascii="仿宋" w:hAnsi="仿宋" w:eastAsia="仿宋" w:cs="仿宋"/>
              </w:rPr>
              <w:t>、科学合理、完整可行、表述清晰的得</w:t>
            </w:r>
            <w:r>
              <w:rPr>
                <w:rFonts w:ascii="仿宋" w:hAnsi="仿宋" w:eastAsia="仿宋" w:cs="仿宋"/>
              </w:rPr>
              <w:t>8</w:t>
            </w:r>
            <w:r>
              <w:rPr>
                <w:rFonts w:hint="eastAsia" w:ascii="仿宋" w:hAnsi="仿宋" w:eastAsia="仿宋" w:cs="仿宋"/>
              </w:rPr>
              <w:t>分，一般的得</w:t>
            </w:r>
            <w:r>
              <w:rPr>
                <w:rFonts w:ascii="仿宋" w:hAnsi="仿宋" w:eastAsia="仿宋" w:cs="仿宋"/>
              </w:rPr>
              <w:t>5</w:t>
            </w:r>
            <w:r>
              <w:rPr>
                <w:rFonts w:hint="eastAsia" w:ascii="仿宋" w:hAnsi="仿宋" w:eastAsia="仿宋" w:cs="仿宋"/>
              </w:rPr>
              <w:t>分；欠科学全面的得2分；缺项不得分。</w:t>
            </w:r>
          </w:p>
          <w:p w14:paraId="7A868828">
            <w:pPr>
              <w:pStyle w:val="36"/>
              <w:ind w:left="240" w:hanging="240" w:hangingChars="100"/>
              <w:rPr>
                <w:rFonts w:ascii="仿宋" w:hAnsi="仿宋" w:eastAsia="仿宋" w:cs="仿宋"/>
              </w:rPr>
            </w:pPr>
            <w:r>
              <w:rPr>
                <w:rFonts w:ascii="仿宋" w:hAnsi="仿宋" w:eastAsia="仿宋" w:cs="仿宋"/>
              </w:rPr>
              <w:t>7</w:t>
            </w:r>
            <w:r>
              <w:rPr>
                <w:rFonts w:hint="eastAsia" w:ascii="仿宋" w:hAnsi="仿宋" w:eastAsia="仿宋" w:cs="仿宋"/>
              </w:rPr>
              <w:t>、效果展示</w:t>
            </w:r>
            <w:r>
              <w:rPr>
                <w:rFonts w:ascii="仿宋" w:hAnsi="仿宋" w:eastAsia="仿宋" w:cs="仿宋"/>
              </w:rPr>
              <w:t>：</w:t>
            </w:r>
            <w:r>
              <w:rPr>
                <w:rFonts w:hint="eastAsia" w:ascii="仿宋" w:hAnsi="仿宋" w:eastAsia="仿宋" w:cs="仿宋"/>
              </w:rPr>
              <w:t>根据</w:t>
            </w:r>
            <w:r>
              <w:rPr>
                <w:rFonts w:ascii="仿宋" w:hAnsi="仿宋" w:eastAsia="仿宋" w:cs="仿宋"/>
              </w:rPr>
              <w:t>提出的</w:t>
            </w:r>
            <w:r>
              <w:rPr>
                <w:rFonts w:hint="eastAsia" w:ascii="仿宋" w:hAnsi="仿宋" w:eastAsia="仿宋" w:cs="仿宋"/>
              </w:rPr>
              <w:t>总体鸟瞰</w:t>
            </w:r>
            <w:r>
              <w:rPr>
                <w:rFonts w:ascii="仿宋" w:hAnsi="仿宋" w:eastAsia="仿宋" w:cs="仿宋"/>
              </w:rPr>
              <w:t>、区域展示</w:t>
            </w:r>
            <w:r>
              <w:rPr>
                <w:rFonts w:hint="eastAsia" w:ascii="仿宋" w:hAnsi="仿宋" w:eastAsia="仿宋" w:cs="仿宋"/>
              </w:rPr>
              <w:t>、</w:t>
            </w:r>
            <w:r>
              <w:rPr>
                <w:rFonts w:ascii="仿宋" w:hAnsi="仿宋" w:eastAsia="仿宋" w:cs="仿宋"/>
              </w:rPr>
              <w:t>重要节点</w:t>
            </w:r>
            <w:r>
              <w:rPr>
                <w:rFonts w:hint="eastAsia" w:ascii="仿宋" w:hAnsi="仿宋" w:eastAsia="仿宋" w:cs="仿宋"/>
              </w:rPr>
              <w:t>等</w:t>
            </w:r>
            <w:r>
              <w:rPr>
                <w:rFonts w:ascii="仿宋" w:hAnsi="仿宋" w:eastAsia="仿宋" w:cs="仿宋"/>
              </w:rPr>
              <w:t>效果图</w:t>
            </w:r>
            <w:r>
              <w:rPr>
                <w:rFonts w:hint="eastAsia" w:ascii="仿宋" w:hAnsi="仿宋" w:eastAsia="仿宋" w:cs="仿宋"/>
              </w:rPr>
              <w:t>进行</w:t>
            </w:r>
            <w:r>
              <w:rPr>
                <w:rFonts w:ascii="仿宋" w:hAnsi="仿宋" w:eastAsia="仿宋" w:cs="仿宋"/>
              </w:rPr>
              <w:t>分析解读</w:t>
            </w:r>
            <w:r>
              <w:rPr>
                <w:rFonts w:hint="eastAsia" w:ascii="仿宋" w:hAnsi="仿宋" w:eastAsia="仿宋" w:cs="仿宋"/>
              </w:rPr>
              <w:t>，</w:t>
            </w:r>
            <w:r>
              <w:rPr>
                <w:rFonts w:ascii="仿宋" w:hAnsi="仿宋" w:eastAsia="仿宋" w:cs="仿宋"/>
                <w:color w:val="000000" w:themeColor="text1"/>
                <w14:textFill>
                  <w14:solidFill>
                    <w14:schemeClr w14:val="tx1"/>
                  </w14:solidFill>
                </w14:textFill>
              </w:rPr>
              <w:t>图纸应</w:t>
            </w:r>
            <w:r>
              <w:rPr>
                <w:rFonts w:hint="eastAsia" w:ascii="仿宋" w:hAnsi="仿宋" w:eastAsia="仿宋" w:cs="仿宋"/>
                <w:color w:val="000000" w:themeColor="text1"/>
                <w14:textFill>
                  <w14:solidFill>
                    <w14:schemeClr w14:val="tx1"/>
                  </w14:solidFill>
                </w14:textFill>
              </w:rPr>
              <w:t>符合</w:t>
            </w:r>
            <w:r>
              <w:rPr>
                <w:rFonts w:ascii="仿宋" w:hAnsi="仿宋" w:eastAsia="仿宋" w:cs="仿宋"/>
                <w:color w:val="000000" w:themeColor="text1"/>
                <w14:textFill>
                  <w14:solidFill>
                    <w14:schemeClr w14:val="tx1"/>
                  </w14:solidFill>
                </w14:textFill>
              </w:rPr>
              <w:t>双林镇区的实际</w:t>
            </w:r>
            <w:r>
              <w:rPr>
                <w:rFonts w:hint="eastAsia" w:ascii="仿宋" w:hAnsi="仿宋" w:eastAsia="仿宋" w:cs="仿宋"/>
                <w:color w:val="000000" w:themeColor="text1"/>
                <w14:textFill>
                  <w14:solidFill>
                    <w14:schemeClr w14:val="tx1"/>
                  </w14:solidFill>
                </w14:textFill>
              </w:rPr>
              <w:t>建设</w:t>
            </w:r>
            <w:r>
              <w:rPr>
                <w:rFonts w:ascii="仿宋" w:hAnsi="仿宋" w:eastAsia="仿宋" w:cs="仿宋"/>
                <w:color w:val="000000" w:themeColor="text1"/>
                <w14:textFill>
                  <w14:solidFill>
                    <w14:schemeClr w14:val="tx1"/>
                  </w14:solidFill>
                </w14:textFill>
              </w:rPr>
              <w:t>情况</w:t>
            </w:r>
            <w:r>
              <w:rPr>
                <w:rFonts w:hint="eastAsia" w:ascii="仿宋" w:hAnsi="仿宋" w:eastAsia="仿宋" w:cs="仿宋"/>
                <w:color w:val="000000" w:themeColor="text1"/>
                <w14:textFill>
                  <w14:solidFill>
                    <w14:schemeClr w14:val="tx1"/>
                  </w14:solidFill>
                </w14:textFill>
              </w:rPr>
              <w:t>，</w:t>
            </w:r>
            <w:r>
              <w:rPr>
                <w:rFonts w:ascii="仿宋" w:hAnsi="仿宋" w:eastAsia="仿宋" w:cs="仿宋"/>
                <w:color w:val="000000" w:themeColor="text1"/>
                <w14:textFill>
                  <w14:solidFill>
                    <w14:schemeClr w14:val="tx1"/>
                  </w14:solidFill>
                </w14:textFill>
              </w:rPr>
              <w:t>整体美观大方，</w:t>
            </w:r>
            <w:r>
              <w:rPr>
                <w:rFonts w:hint="eastAsia" w:ascii="仿宋" w:hAnsi="仿宋" w:eastAsia="仿宋" w:cs="仿宋"/>
                <w:color w:val="000000" w:themeColor="text1"/>
                <w14:textFill>
                  <w14:solidFill>
                    <w14:schemeClr w14:val="tx1"/>
                  </w14:solidFill>
                </w14:textFill>
              </w:rPr>
              <w:t>展现</w:t>
            </w:r>
            <w:r>
              <w:rPr>
                <w:rFonts w:ascii="仿宋" w:hAnsi="仿宋" w:eastAsia="仿宋" w:cs="仿宋"/>
                <w:color w:val="000000" w:themeColor="text1"/>
                <w14:textFill>
                  <w14:solidFill>
                    <w14:schemeClr w14:val="tx1"/>
                  </w14:solidFill>
                </w14:textFill>
              </w:rPr>
              <w:t>内容丰富，符合双林镇新时代</w:t>
            </w:r>
            <w:r>
              <w:rPr>
                <w:rFonts w:hint="eastAsia" w:ascii="仿宋" w:hAnsi="仿宋" w:eastAsia="仿宋" w:cs="仿宋"/>
                <w:color w:val="000000" w:themeColor="text1"/>
                <w14:textFill>
                  <w14:solidFill>
                    <w14:schemeClr w14:val="tx1"/>
                  </w14:solidFill>
                </w14:textFill>
              </w:rPr>
              <w:t>气息</w:t>
            </w:r>
            <w:r>
              <w:rPr>
                <w:rFonts w:ascii="仿宋" w:hAnsi="仿宋" w:eastAsia="仿宋" w:cs="仿宋"/>
                <w:color w:val="000000" w:themeColor="text1"/>
                <w14:textFill>
                  <w14:solidFill>
                    <w14:schemeClr w14:val="tx1"/>
                  </w14:solidFill>
                </w14:textFill>
              </w:rPr>
              <w:t>和文化底蕴</w:t>
            </w:r>
            <w:r>
              <w:rPr>
                <w:rFonts w:hint="eastAsia" w:ascii="仿宋" w:hAnsi="仿宋" w:eastAsia="仿宋" w:cs="仿宋"/>
              </w:rPr>
              <w:t>。科学合理、完整可行、效果美观的得</w:t>
            </w:r>
            <w:r>
              <w:rPr>
                <w:rFonts w:ascii="仿宋" w:hAnsi="仿宋" w:eastAsia="仿宋" w:cs="仿宋"/>
              </w:rPr>
              <w:t>8</w:t>
            </w:r>
            <w:r>
              <w:rPr>
                <w:rFonts w:hint="eastAsia" w:ascii="仿宋" w:hAnsi="仿宋" w:eastAsia="仿宋" w:cs="仿宋"/>
              </w:rPr>
              <w:t>分，一般的得</w:t>
            </w:r>
            <w:r>
              <w:rPr>
                <w:rFonts w:ascii="仿宋" w:hAnsi="仿宋" w:eastAsia="仿宋" w:cs="仿宋"/>
              </w:rPr>
              <w:t>5</w:t>
            </w:r>
            <w:r>
              <w:rPr>
                <w:rFonts w:hint="eastAsia" w:ascii="仿宋" w:hAnsi="仿宋" w:eastAsia="仿宋" w:cs="仿宋"/>
              </w:rPr>
              <w:t>分；欠科学全面的得2分；缺项不得分。</w:t>
            </w:r>
          </w:p>
          <w:p w14:paraId="68FB5B02">
            <w:pPr>
              <w:pStyle w:val="36"/>
              <w:ind w:left="240" w:hanging="240" w:hangingChars="100"/>
              <w:rPr>
                <w:rFonts w:ascii="仿宋" w:hAnsi="仿宋" w:eastAsia="仿宋" w:cs="仿宋"/>
              </w:rPr>
            </w:pPr>
            <w:r>
              <w:rPr>
                <w:rFonts w:ascii="仿宋" w:hAnsi="仿宋" w:eastAsia="仿宋" w:cs="仿宋"/>
              </w:rPr>
              <w:t>8</w:t>
            </w:r>
            <w:r>
              <w:rPr>
                <w:rFonts w:hint="eastAsia" w:ascii="仿宋" w:hAnsi="仿宋" w:eastAsia="仿宋" w:cs="仿宋"/>
              </w:rPr>
              <w:t>、设计指引</w:t>
            </w:r>
            <w:r>
              <w:rPr>
                <w:rFonts w:ascii="仿宋" w:hAnsi="仿宋" w:eastAsia="仿宋" w:cs="仿宋"/>
              </w:rPr>
              <w:t>：</w:t>
            </w:r>
            <w:r>
              <w:rPr>
                <w:rFonts w:hint="eastAsia" w:ascii="仿宋" w:hAnsi="仿宋" w:eastAsia="仿宋" w:cs="仿宋"/>
              </w:rPr>
              <w:t>根据</w:t>
            </w:r>
            <w:r>
              <w:rPr>
                <w:rFonts w:ascii="仿宋" w:hAnsi="仿宋" w:eastAsia="仿宋" w:cs="仿宋"/>
              </w:rPr>
              <w:t>提出的</w:t>
            </w:r>
            <w:r>
              <w:rPr>
                <w:rFonts w:hint="eastAsia" w:ascii="仿宋" w:hAnsi="仿宋" w:eastAsia="仿宋" w:cs="仿宋"/>
              </w:rPr>
              <w:t>镇区总体控制</w:t>
            </w:r>
            <w:r>
              <w:rPr>
                <w:rFonts w:ascii="仿宋" w:hAnsi="仿宋" w:eastAsia="仿宋" w:cs="仿宋"/>
              </w:rPr>
              <w:t>、</w:t>
            </w:r>
            <w:r>
              <w:rPr>
                <w:rFonts w:hint="eastAsia" w:ascii="仿宋" w:hAnsi="仿宋" w:eastAsia="仿宋" w:cs="仿宋"/>
              </w:rPr>
              <w:t>建筑</w:t>
            </w:r>
            <w:r>
              <w:rPr>
                <w:rFonts w:ascii="仿宋" w:hAnsi="仿宋" w:eastAsia="仿宋" w:cs="仿宋"/>
              </w:rPr>
              <w:t>风貌</w:t>
            </w:r>
            <w:r>
              <w:rPr>
                <w:rFonts w:hint="eastAsia" w:ascii="仿宋" w:hAnsi="仿宋" w:eastAsia="仿宋" w:cs="仿宋"/>
              </w:rPr>
              <w:t>导引</w:t>
            </w:r>
            <w:r>
              <w:rPr>
                <w:rFonts w:ascii="仿宋" w:hAnsi="仿宋" w:eastAsia="仿宋" w:cs="仿宋"/>
              </w:rPr>
              <w:t>、</w:t>
            </w:r>
            <w:r>
              <w:rPr>
                <w:rFonts w:hint="eastAsia" w:ascii="仿宋" w:hAnsi="仿宋" w:eastAsia="仿宋" w:cs="仿宋"/>
              </w:rPr>
              <w:t>建筑</w:t>
            </w:r>
            <w:r>
              <w:rPr>
                <w:rFonts w:ascii="仿宋" w:hAnsi="仿宋" w:eastAsia="仿宋" w:cs="仿宋"/>
              </w:rPr>
              <w:t>肌理</w:t>
            </w:r>
            <w:r>
              <w:rPr>
                <w:rFonts w:hint="eastAsia" w:ascii="仿宋" w:hAnsi="仿宋" w:eastAsia="仿宋" w:cs="仿宋"/>
              </w:rPr>
              <w:t>导引</w:t>
            </w:r>
            <w:r>
              <w:rPr>
                <w:rFonts w:ascii="仿宋" w:hAnsi="仿宋" w:eastAsia="仿宋" w:cs="仿宋"/>
              </w:rPr>
              <w:t>、</w:t>
            </w:r>
            <w:r>
              <w:rPr>
                <w:rFonts w:hint="eastAsia" w:ascii="仿宋" w:hAnsi="仿宋" w:eastAsia="仿宋" w:cs="仿宋"/>
              </w:rPr>
              <w:t>建筑</w:t>
            </w:r>
            <w:r>
              <w:rPr>
                <w:rFonts w:ascii="仿宋" w:hAnsi="仿宋" w:eastAsia="仿宋" w:cs="仿宋"/>
              </w:rPr>
              <w:t>色彩导引</w:t>
            </w:r>
            <w:r>
              <w:rPr>
                <w:rFonts w:hint="eastAsia" w:ascii="仿宋" w:hAnsi="仿宋" w:eastAsia="仿宋" w:cs="仿宋"/>
              </w:rPr>
              <w:t>、</w:t>
            </w:r>
            <w:r>
              <w:rPr>
                <w:rFonts w:ascii="仿宋" w:hAnsi="仿宋" w:eastAsia="仿宋" w:cs="仿宋"/>
              </w:rPr>
              <w:t>道路</w:t>
            </w:r>
            <w:r>
              <w:rPr>
                <w:rFonts w:hint="eastAsia" w:ascii="仿宋" w:hAnsi="仿宋" w:eastAsia="仿宋" w:cs="仿宋"/>
              </w:rPr>
              <w:t>交通指引</w:t>
            </w:r>
            <w:r>
              <w:rPr>
                <w:rFonts w:ascii="仿宋" w:hAnsi="仿宋" w:eastAsia="仿宋" w:cs="仿宋"/>
              </w:rPr>
              <w:t>、</w:t>
            </w:r>
            <w:r>
              <w:rPr>
                <w:rFonts w:hint="eastAsia" w:ascii="仿宋" w:hAnsi="仿宋" w:eastAsia="仿宋" w:cs="仿宋"/>
              </w:rPr>
              <w:t>蓝绿</w:t>
            </w:r>
            <w:r>
              <w:rPr>
                <w:rFonts w:ascii="仿宋" w:hAnsi="仿宋" w:eastAsia="仿宋" w:cs="仿宋"/>
              </w:rPr>
              <w:t>空间指引、</w:t>
            </w:r>
            <w:r>
              <w:rPr>
                <w:rFonts w:hint="eastAsia" w:ascii="仿宋" w:hAnsi="仿宋" w:eastAsia="仿宋" w:cs="仿宋"/>
              </w:rPr>
              <w:t>农旅</w:t>
            </w:r>
            <w:r>
              <w:rPr>
                <w:rFonts w:ascii="仿宋" w:hAnsi="仿宋" w:eastAsia="仿宋" w:cs="仿宋"/>
              </w:rPr>
              <w:t>设计指引</w:t>
            </w:r>
            <w:r>
              <w:rPr>
                <w:rFonts w:hint="eastAsia" w:ascii="仿宋" w:hAnsi="仿宋" w:eastAsia="仿宋" w:cs="仿宋"/>
              </w:rPr>
              <w:t>、</w:t>
            </w:r>
            <w:r>
              <w:rPr>
                <w:rFonts w:ascii="仿宋" w:hAnsi="仿宋" w:eastAsia="仿宋" w:cs="仿宋"/>
              </w:rPr>
              <w:t>园区设计指引</w:t>
            </w:r>
            <w:r>
              <w:rPr>
                <w:rFonts w:hint="eastAsia" w:ascii="仿宋" w:hAnsi="仿宋" w:eastAsia="仿宋" w:cs="仿宋"/>
              </w:rPr>
              <w:t>等</w:t>
            </w:r>
            <w:r>
              <w:rPr>
                <w:rFonts w:ascii="仿宋" w:hAnsi="仿宋" w:eastAsia="仿宋" w:cs="仿宋"/>
              </w:rPr>
              <w:t>内容进行分析解读</w:t>
            </w:r>
            <w:r>
              <w:rPr>
                <w:rFonts w:hint="eastAsia" w:ascii="仿宋" w:hAnsi="仿宋" w:eastAsia="仿宋" w:cs="仿宋"/>
              </w:rPr>
              <w:t>。内容科学合理、完整可行、表述清晰的得</w:t>
            </w:r>
            <w:r>
              <w:rPr>
                <w:rFonts w:ascii="仿宋" w:hAnsi="仿宋" w:eastAsia="仿宋" w:cs="仿宋"/>
              </w:rPr>
              <w:t>8</w:t>
            </w:r>
            <w:r>
              <w:rPr>
                <w:rFonts w:hint="eastAsia" w:ascii="仿宋" w:hAnsi="仿宋" w:eastAsia="仿宋" w:cs="仿宋"/>
              </w:rPr>
              <w:t>分，一般的得</w:t>
            </w:r>
            <w:r>
              <w:rPr>
                <w:rFonts w:ascii="仿宋" w:hAnsi="仿宋" w:eastAsia="仿宋" w:cs="仿宋"/>
              </w:rPr>
              <w:t>5</w:t>
            </w:r>
            <w:r>
              <w:rPr>
                <w:rFonts w:hint="eastAsia" w:ascii="仿宋" w:hAnsi="仿宋" w:eastAsia="仿宋" w:cs="仿宋"/>
              </w:rPr>
              <w:t>分；欠科学全面的得</w:t>
            </w:r>
            <w:r>
              <w:rPr>
                <w:rFonts w:ascii="仿宋" w:hAnsi="仿宋" w:eastAsia="仿宋" w:cs="仿宋"/>
              </w:rPr>
              <w:t>2</w:t>
            </w:r>
            <w:r>
              <w:rPr>
                <w:rFonts w:hint="eastAsia" w:ascii="仿宋" w:hAnsi="仿宋" w:eastAsia="仿宋" w:cs="仿宋"/>
              </w:rPr>
              <w:t>分；缺项不得分。</w:t>
            </w:r>
          </w:p>
          <w:p w14:paraId="1CAB50B1">
            <w:pPr>
              <w:pStyle w:val="36"/>
              <w:ind w:left="240" w:hanging="240" w:hangingChars="100"/>
              <w:rPr>
                <w:rFonts w:ascii="仿宋" w:hAnsi="仿宋" w:eastAsia="仿宋" w:cs="仿宋"/>
              </w:rPr>
            </w:pPr>
            <w:r>
              <w:rPr>
                <w:rFonts w:ascii="仿宋" w:hAnsi="仿宋" w:eastAsia="仿宋" w:cs="仿宋"/>
              </w:rPr>
              <w:t>9</w:t>
            </w:r>
            <w:r>
              <w:rPr>
                <w:rFonts w:hint="eastAsia" w:ascii="仿宋" w:hAnsi="仿宋" w:eastAsia="仿宋" w:cs="仿宋"/>
              </w:rPr>
              <w:t>、地块推介</w:t>
            </w:r>
            <w:r>
              <w:rPr>
                <w:rFonts w:ascii="仿宋" w:hAnsi="仿宋" w:eastAsia="仿宋" w:cs="仿宋"/>
              </w:rPr>
              <w:t>：</w:t>
            </w:r>
            <w:r>
              <w:rPr>
                <w:rFonts w:hint="eastAsia" w:ascii="仿宋" w:hAnsi="仿宋" w:eastAsia="仿宋" w:cs="仿宋"/>
              </w:rPr>
              <w:t>根据</w:t>
            </w:r>
            <w:r>
              <w:rPr>
                <w:rFonts w:ascii="仿宋" w:hAnsi="仿宋" w:eastAsia="仿宋" w:cs="仿宋"/>
              </w:rPr>
              <w:t>提出的镇区范围内</w:t>
            </w:r>
            <w:r>
              <w:rPr>
                <w:rFonts w:hint="eastAsia" w:ascii="仿宋" w:hAnsi="仿宋" w:eastAsia="仿宋" w:cs="仿宋"/>
              </w:rPr>
              <w:t>拟出让</w:t>
            </w:r>
            <w:r>
              <w:rPr>
                <w:rFonts w:ascii="仿宋" w:hAnsi="仿宋" w:eastAsia="仿宋" w:cs="仿宋"/>
              </w:rPr>
              <w:t>地块</w:t>
            </w:r>
            <w:r>
              <w:rPr>
                <w:rFonts w:hint="eastAsia" w:ascii="仿宋" w:hAnsi="仿宋" w:eastAsia="仿宋" w:cs="仿宋"/>
              </w:rPr>
              <w:t>推介</w:t>
            </w:r>
            <w:r>
              <w:rPr>
                <w:rFonts w:ascii="仿宋" w:hAnsi="仿宋" w:eastAsia="仿宋" w:cs="仿宋"/>
              </w:rPr>
              <w:t>，</w:t>
            </w:r>
            <w:r>
              <w:rPr>
                <w:rFonts w:hint="eastAsia" w:ascii="仿宋" w:hAnsi="仿宋" w:eastAsia="仿宋" w:cs="仿宋"/>
              </w:rPr>
              <w:t>以及</w:t>
            </w:r>
            <w:r>
              <w:rPr>
                <w:rFonts w:ascii="仿宋" w:hAnsi="仿宋" w:eastAsia="仿宋" w:cs="仿宋"/>
              </w:rPr>
              <w:t>各个推介地块现状和规划情况</w:t>
            </w:r>
            <w:r>
              <w:rPr>
                <w:rFonts w:hint="eastAsia" w:ascii="仿宋" w:hAnsi="仿宋" w:eastAsia="仿宋" w:cs="仿宋"/>
              </w:rPr>
              <w:t>的介绍</w:t>
            </w:r>
            <w:r>
              <w:rPr>
                <w:rFonts w:ascii="仿宋" w:hAnsi="仿宋" w:eastAsia="仿宋" w:cs="仿宋"/>
              </w:rPr>
              <w:t>和指引</w:t>
            </w:r>
            <w:r>
              <w:rPr>
                <w:rFonts w:hint="eastAsia" w:ascii="仿宋" w:hAnsi="仿宋" w:eastAsia="仿宋" w:cs="仿宋"/>
              </w:rPr>
              <w:t>等内容进行解读。符合</w:t>
            </w:r>
            <w:r>
              <w:rPr>
                <w:rFonts w:ascii="仿宋" w:hAnsi="仿宋" w:eastAsia="仿宋" w:cs="仿宋"/>
              </w:rPr>
              <w:t>实际需求、</w:t>
            </w:r>
            <w:r>
              <w:rPr>
                <w:rFonts w:hint="eastAsia" w:ascii="仿宋" w:hAnsi="仿宋" w:eastAsia="仿宋" w:cs="仿宋"/>
              </w:rPr>
              <w:t>科学合理、完整可行、表述清晰的得</w:t>
            </w:r>
            <w:r>
              <w:rPr>
                <w:rFonts w:ascii="仿宋" w:hAnsi="仿宋" w:eastAsia="仿宋" w:cs="仿宋"/>
              </w:rPr>
              <w:t>8</w:t>
            </w:r>
            <w:r>
              <w:rPr>
                <w:rFonts w:hint="eastAsia" w:ascii="仿宋" w:hAnsi="仿宋" w:eastAsia="仿宋" w:cs="仿宋"/>
              </w:rPr>
              <w:t>分，一般的得</w:t>
            </w:r>
            <w:r>
              <w:rPr>
                <w:rFonts w:ascii="仿宋" w:hAnsi="仿宋" w:eastAsia="仿宋" w:cs="仿宋"/>
              </w:rPr>
              <w:t>5</w:t>
            </w:r>
            <w:r>
              <w:rPr>
                <w:rFonts w:hint="eastAsia" w:ascii="仿宋" w:hAnsi="仿宋" w:eastAsia="仿宋" w:cs="仿宋"/>
              </w:rPr>
              <w:t>分；欠科学全面的得</w:t>
            </w:r>
            <w:r>
              <w:rPr>
                <w:rFonts w:ascii="仿宋" w:hAnsi="仿宋" w:eastAsia="仿宋" w:cs="仿宋"/>
              </w:rPr>
              <w:t>2</w:t>
            </w:r>
            <w:r>
              <w:rPr>
                <w:rFonts w:hint="eastAsia" w:ascii="仿宋" w:hAnsi="仿宋" w:eastAsia="仿宋" w:cs="仿宋"/>
              </w:rPr>
              <w:t>分；缺项不得分。</w:t>
            </w:r>
          </w:p>
          <w:p w14:paraId="11C8AA9E">
            <w:pPr>
              <w:pStyle w:val="36"/>
              <w:ind w:left="240" w:hanging="240" w:hangingChars="100"/>
              <w:rPr>
                <w:rFonts w:ascii="仿宋" w:hAnsi="仿宋" w:eastAsia="仿宋" w:cs="仿宋"/>
              </w:rPr>
            </w:pPr>
            <w:r>
              <w:rPr>
                <w:rFonts w:ascii="仿宋" w:hAnsi="仿宋" w:eastAsia="仿宋" w:cs="仿宋"/>
              </w:rPr>
              <w:t>10</w:t>
            </w:r>
            <w:r>
              <w:rPr>
                <w:rFonts w:hint="eastAsia" w:ascii="仿宋" w:hAnsi="仿宋" w:eastAsia="仿宋" w:cs="仿宋"/>
              </w:rPr>
              <w:t>、实施措施</w:t>
            </w:r>
            <w:r>
              <w:rPr>
                <w:rFonts w:ascii="仿宋" w:hAnsi="仿宋" w:eastAsia="仿宋" w:cs="仿宋"/>
              </w:rPr>
              <w:t>：</w:t>
            </w:r>
            <w:r>
              <w:rPr>
                <w:rFonts w:hint="eastAsia" w:ascii="仿宋" w:hAnsi="仿宋" w:eastAsia="仿宋" w:cs="仿宋"/>
              </w:rPr>
              <w:t>根据</w:t>
            </w:r>
            <w:r>
              <w:rPr>
                <w:rFonts w:ascii="仿宋" w:hAnsi="仿宋" w:eastAsia="仿宋" w:cs="仿宋"/>
              </w:rPr>
              <w:t>提出的</w:t>
            </w:r>
            <w:r>
              <w:rPr>
                <w:rFonts w:hint="eastAsia" w:ascii="仿宋" w:hAnsi="仿宋" w:eastAsia="仿宋" w:cs="仿宋"/>
              </w:rPr>
              <w:t>规划发展时序</w:t>
            </w:r>
            <w:r>
              <w:rPr>
                <w:rFonts w:ascii="仿宋" w:hAnsi="仿宋" w:eastAsia="仿宋" w:cs="仿宋"/>
              </w:rPr>
              <w:t>、</w:t>
            </w:r>
            <w:r>
              <w:rPr>
                <w:rFonts w:hint="eastAsia" w:ascii="仿宋" w:hAnsi="仿宋" w:eastAsia="仿宋" w:cs="仿宋"/>
              </w:rPr>
              <w:t>行动计划以及实施</w:t>
            </w:r>
            <w:r>
              <w:rPr>
                <w:rFonts w:ascii="仿宋" w:hAnsi="仿宋" w:eastAsia="仿宋" w:cs="仿宋"/>
              </w:rPr>
              <w:t>保障等内容进行分析解读</w:t>
            </w:r>
            <w:r>
              <w:rPr>
                <w:rFonts w:hint="eastAsia" w:ascii="仿宋" w:hAnsi="仿宋" w:eastAsia="仿宋" w:cs="仿宋"/>
              </w:rPr>
              <w:t>。科学合理、完整可行、表述清晰的得</w:t>
            </w:r>
            <w:r>
              <w:rPr>
                <w:rFonts w:ascii="仿宋" w:hAnsi="仿宋" w:eastAsia="仿宋" w:cs="仿宋"/>
              </w:rPr>
              <w:t>6</w:t>
            </w:r>
            <w:r>
              <w:rPr>
                <w:rFonts w:hint="eastAsia" w:ascii="仿宋" w:hAnsi="仿宋" w:eastAsia="仿宋" w:cs="仿宋"/>
              </w:rPr>
              <w:t>分，一般的得</w:t>
            </w:r>
            <w:r>
              <w:rPr>
                <w:rFonts w:ascii="仿宋" w:hAnsi="仿宋" w:eastAsia="仿宋" w:cs="仿宋"/>
              </w:rPr>
              <w:t>4</w:t>
            </w:r>
            <w:r>
              <w:rPr>
                <w:rFonts w:hint="eastAsia" w:ascii="仿宋" w:hAnsi="仿宋" w:eastAsia="仿宋" w:cs="仿宋"/>
              </w:rPr>
              <w:t>分；欠科学全面的得</w:t>
            </w:r>
            <w:r>
              <w:rPr>
                <w:rFonts w:ascii="仿宋" w:hAnsi="仿宋" w:eastAsia="仿宋" w:cs="仿宋"/>
              </w:rPr>
              <w:t>2</w:t>
            </w:r>
            <w:r>
              <w:rPr>
                <w:rFonts w:hint="eastAsia" w:ascii="仿宋" w:hAnsi="仿宋" w:eastAsia="仿宋" w:cs="仿宋"/>
              </w:rPr>
              <w:t>分；缺项不得分。</w:t>
            </w:r>
          </w:p>
        </w:tc>
        <w:tc>
          <w:tcPr>
            <w:tcW w:w="743" w:type="dxa"/>
            <w:tcBorders>
              <w:top w:val="single" w:color="auto" w:sz="4" w:space="0"/>
              <w:left w:val="single" w:color="auto" w:sz="4" w:space="0"/>
              <w:right w:val="single" w:color="auto" w:sz="4" w:space="0"/>
            </w:tcBorders>
            <w:vAlign w:val="center"/>
          </w:tcPr>
          <w:p w14:paraId="274BC3EC">
            <w:pPr>
              <w:pStyle w:val="25"/>
              <w:spacing w:line="420" w:lineRule="exact"/>
              <w:ind w:left="0" w:leftChars="0"/>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70分</w:t>
            </w:r>
          </w:p>
        </w:tc>
      </w:tr>
      <w:tr w14:paraId="349DB1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66" w:hRule="atLeast"/>
          <w:jc w:val="center"/>
        </w:trPr>
        <w:tc>
          <w:tcPr>
            <w:tcW w:w="881" w:type="dxa"/>
            <w:tcBorders>
              <w:top w:val="single" w:color="auto" w:sz="4" w:space="0"/>
              <w:left w:val="single" w:color="auto" w:sz="4" w:space="0"/>
              <w:right w:val="single" w:color="auto" w:sz="4" w:space="0"/>
            </w:tcBorders>
            <w:vAlign w:val="center"/>
          </w:tcPr>
          <w:p w14:paraId="3DF23B77">
            <w:pPr>
              <w:spacing w:line="42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p>
        </w:tc>
        <w:tc>
          <w:tcPr>
            <w:tcW w:w="1224" w:type="dxa"/>
            <w:tcBorders>
              <w:top w:val="single" w:color="auto" w:sz="4" w:space="0"/>
              <w:left w:val="single" w:color="auto" w:sz="4" w:space="0"/>
              <w:right w:val="single" w:color="auto" w:sz="4" w:space="0"/>
            </w:tcBorders>
            <w:vAlign w:val="center"/>
          </w:tcPr>
          <w:p w14:paraId="550E5405">
            <w:pPr>
              <w:tabs>
                <w:tab w:val="left" w:pos="1080"/>
              </w:tabs>
              <w:spacing w:line="46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人员配置</w:t>
            </w:r>
          </w:p>
        </w:tc>
        <w:tc>
          <w:tcPr>
            <w:tcW w:w="7011" w:type="dxa"/>
            <w:tcBorders>
              <w:top w:val="single" w:color="auto" w:sz="4" w:space="0"/>
              <w:left w:val="single" w:color="auto" w:sz="4" w:space="0"/>
              <w:right w:val="single" w:color="auto" w:sz="4" w:space="0"/>
            </w:tcBorders>
            <w:vAlign w:val="center"/>
          </w:tcPr>
          <w:p w14:paraId="49391CAD">
            <w:pPr>
              <w:numPr>
                <w:ilvl w:val="0"/>
                <w:numId w:val="2"/>
              </w:numPr>
              <w:tabs>
                <w:tab w:val="left" w:pos="1080"/>
              </w:tabs>
              <w:spacing w:line="400" w:lineRule="exact"/>
              <w:ind w:left="218" w:hanging="218" w:hangingChars="91"/>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拟派项目负责人：具有城乡规划专业副高级及以上职称的得 4  分；具有城乡规划专业中级职称或其他专业副高级以上职称的得2分。本项满分4分。</w:t>
            </w:r>
          </w:p>
          <w:p w14:paraId="0C8A1631">
            <w:pPr>
              <w:numPr>
                <w:ilvl w:val="0"/>
                <w:numId w:val="2"/>
              </w:numPr>
              <w:tabs>
                <w:tab w:val="left" w:pos="1080"/>
              </w:tabs>
              <w:spacing w:line="400" w:lineRule="exact"/>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项目负责人同时具备注册规划师资格的，得3分。</w:t>
            </w:r>
          </w:p>
          <w:p w14:paraId="18FC5AE4">
            <w:pPr>
              <w:tabs>
                <w:tab w:val="left" w:pos="1080"/>
              </w:tabs>
              <w:spacing w:line="400" w:lineRule="exact"/>
              <w:ind w:left="240" w:hanging="240" w:hangingChars="1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3、项目组成员（除项目负责人以外），具有副高级及以上职称且具有注册规划师资格的，每人得1分，本项最高得6分。</w:t>
            </w:r>
          </w:p>
          <w:p w14:paraId="452BC8AF">
            <w:pPr>
              <w:pStyle w:val="9"/>
              <w:tabs>
                <w:tab w:val="left" w:pos="1080"/>
              </w:tabs>
              <w:spacing w:line="400" w:lineRule="exact"/>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注：以上人员不重负计分，供应商须提供人员相关证书及最近3个月中任意1个月的由本单位缴纳社保的证明材料，否则不得分。</w:t>
            </w:r>
          </w:p>
        </w:tc>
        <w:tc>
          <w:tcPr>
            <w:tcW w:w="743" w:type="dxa"/>
            <w:tcBorders>
              <w:top w:val="single" w:color="auto" w:sz="4" w:space="0"/>
              <w:left w:val="single" w:color="auto" w:sz="4" w:space="0"/>
              <w:right w:val="single" w:color="auto" w:sz="4" w:space="0"/>
            </w:tcBorders>
            <w:vAlign w:val="center"/>
          </w:tcPr>
          <w:p w14:paraId="125EA288">
            <w:pPr>
              <w:pStyle w:val="25"/>
              <w:spacing w:line="420" w:lineRule="exact"/>
              <w:ind w:left="0" w:leftChars="0"/>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13分</w:t>
            </w:r>
          </w:p>
        </w:tc>
      </w:tr>
      <w:tr w14:paraId="45EA2A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2" w:hRule="atLeast"/>
          <w:jc w:val="center"/>
        </w:trPr>
        <w:tc>
          <w:tcPr>
            <w:tcW w:w="9116" w:type="dxa"/>
            <w:gridSpan w:val="3"/>
            <w:tcBorders>
              <w:top w:val="single" w:color="auto" w:sz="4" w:space="0"/>
              <w:left w:val="single" w:color="auto" w:sz="4" w:space="0"/>
              <w:bottom w:val="single" w:color="auto" w:sz="4" w:space="0"/>
              <w:right w:val="single" w:color="auto" w:sz="4" w:space="0"/>
            </w:tcBorders>
            <w:vAlign w:val="center"/>
          </w:tcPr>
          <w:p w14:paraId="045C9459">
            <w:pPr>
              <w:pStyle w:val="25"/>
              <w:spacing w:line="420" w:lineRule="exact"/>
              <w:jc w:val="center"/>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商务、资信及其他分</w:t>
            </w:r>
          </w:p>
        </w:tc>
        <w:tc>
          <w:tcPr>
            <w:tcW w:w="743" w:type="dxa"/>
            <w:tcBorders>
              <w:top w:val="single" w:color="auto" w:sz="4" w:space="0"/>
              <w:left w:val="single" w:color="auto" w:sz="4" w:space="0"/>
              <w:bottom w:val="single" w:color="auto" w:sz="4" w:space="0"/>
              <w:right w:val="single" w:color="auto" w:sz="4" w:space="0"/>
            </w:tcBorders>
            <w:vAlign w:val="center"/>
          </w:tcPr>
          <w:p w14:paraId="27D67B0A">
            <w:pPr>
              <w:widowControl/>
              <w:spacing w:line="420" w:lineRule="exact"/>
              <w:jc w:val="center"/>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7分</w:t>
            </w:r>
          </w:p>
        </w:tc>
      </w:tr>
      <w:tr w14:paraId="7696A5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5" w:hRule="atLeast"/>
          <w:jc w:val="center"/>
        </w:trPr>
        <w:tc>
          <w:tcPr>
            <w:tcW w:w="881" w:type="dxa"/>
            <w:tcBorders>
              <w:left w:val="single" w:color="auto" w:sz="4" w:space="0"/>
              <w:bottom w:val="single" w:color="auto" w:sz="4" w:space="0"/>
              <w:right w:val="single" w:color="auto" w:sz="4" w:space="0"/>
            </w:tcBorders>
            <w:vAlign w:val="center"/>
          </w:tcPr>
          <w:p w14:paraId="7C370B65">
            <w:pPr>
              <w:widowControl/>
              <w:spacing w:line="42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w:t>
            </w:r>
          </w:p>
        </w:tc>
        <w:tc>
          <w:tcPr>
            <w:tcW w:w="1224" w:type="dxa"/>
            <w:tcBorders>
              <w:left w:val="single" w:color="auto" w:sz="4" w:space="0"/>
              <w:bottom w:val="single" w:color="auto" w:sz="4" w:space="0"/>
              <w:right w:val="single" w:color="auto" w:sz="4" w:space="0"/>
            </w:tcBorders>
            <w:vAlign w:val="center"/>
          </w:tcPr>
          <w:p w14:paraId="7FDDB489">
            <w:pPr>
              <w:spacing w:line="380" w:lineRule="exact"/>
              <w:jc w:val="center"/>
              <w:rPr>
                <w:rFonts w:ascii="仿宋" w:hAnsi="仿宋" w:eastAsia="仿宋" w:cs="仿宋"/>
                <w:sz w:val="24"/>
              </w:rPr>
            </w:pPr>
            <w:r>
              <w:rPr>
                <w:rFonts w:hint="eastAsia" w:ascii="仿宋" w:hAnsi="仿宋" w:eastAsia="仿宋" w:cs="仿宋"/>
                <w:sz w:val="24"/>
              </w:rPr>
              <w:t>企业荣誉</w:t>
            </w:r>
          </w:p>
        </w:tc>
        <w:tc>
          <w:tcPr>
            <w:tcW w:w="7011" w:type="dxa"/>
            <w:tcBorders>
              <w:top w:val="single" w:color="auto" w:sz="4" w:space="0"/>
              <w:left w:val="single" w:color="auto" w:sz="4" w:space="0"/>
              <w:bottom w:val="single" w:color="auto" w:sz="4" w:space="0"/>
              <w:right w:val="single" w:color="auto" w:sz="4" w:space="0"/>
            </w:tcBorders>
          </w:tcPr>
          <w:p w14:paraId="0A7AF81F">
            <w:pPr>
              <w:tabs>
                <w:tab w:val="left" w:pos="1080"/>
              </w:tabs>
              <w:spacing w:line="400" w:lineRule="exact"/>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供应商具有自20</w:t>
            </w:r>
            <w:r>
              <w:rPr>
                <w:rFonts w:ascii="仿宋" w:hAnsi="仿宋" w:eastAsia="仿宋" w:cs="仿宋"/>
                <w:color w:val="000000" w:themeColor="text1"/>
                <w:sz w:val="24"/>
                <w14:textFill>
                  <w14:solidFill>
                    <w14:schemeClr w14:val="tx1"/>
                  </w14:solidFill>
                </w14:textFill>
              </w:rPr>
              <w:t>20</w:t>
            </w:r>
            <w:r>
              <w:rPr>
                <w:rFonts w:hint="eastAsia" w:ascii="仿宋" w:hAnsi="仿宋" w:eastAsia="仿宋" w:cs="仿宋"/>
                <w:color w:val="000000" w:themeColor="text1"/>
                <w:sz w:val="24"/>
                <w14:textFill>
                  <w14:solidFill>
                    <w14:schemeClr w14:val="tx1"/>
                  </w14:solidFill>
                </w14:textFill>
              </w:rPr>
              <w:t>年1月1日起获得省级及以上奖项，每提供一份得2分，最多得4分。</w:t>
            </w:r>
          </w:p>
          <w:p w14:paraId="70BB8D5B">
            <w:pPr>
              <w:spacing w:line="380" w:lineRule="exact"/>
              <w:jc w:val="left"/>
              <w:rPr>
                <w:rFonts w:ascii="仿宋" w:hAnsi="仿宋" w:eastAsia="仿宋" w:cs="仿宋"/>
                <w:sz w:val="24"/>
              </w:rPr>
            </w:pPr>
            <w:r>
              <w:rPr>
                <w:rFonts w:hint="eastAsia" w:ascii="仿宋" w:hAnsi="仿宋" w:eastAsia="仿宋" w:cs="仿宋"/>
                <w:color w:val="000000" w:themeColor="text1"/>
                <w:sz w:val="24"/>
                <w14:textFill>
                  <w14:solidFill>
                    <w14:schemeClr w14:val="tx1"/>
                  </w14:solidFill>
                </w14:textFill>
              </w:rPr>
              <w:t>注：提供合同复印件并加盖公章。</w:t>
            </w:r>
          </w:p>
        </w:tc>
        <w:tc>
          <w:tcPr>
            <w:tcW w:w="743" w:type="dxa"/>
            <w:tcBorders>
              <w:top w:val="single" w:color="auto" w:sz="4" w:space="0"/>
              <w:left w:val="single" w:color="auto" w:sz="4" w:space="0"/>
              <w:bottom w:val="single" w:color="auto" w:sz="4" w:space="0"/>
              <w:right w:val="single" w:color="auto" w:sz="4" w:space="0"/>
            </w:tcBorders>
            <w:vAlign w:val="center"/>
          </w:tcPr>
          <w:p w14:paraId="1DEC1E1D">
            <w:pPr>
              <w:spacing w:line="380" w:lineRule="exact"/>
              <w:jc w:val="center"/>
              <w:rPr>
                <w:rFonts w:ascii="仿宋" w:hAnsi="仿宋" w:eastAsia="仿宋" w:cs="仿宋"/>
                <w:sz w:val="24"/>
              </w:rPr>
            </w:pPr>
            <w:r>
              <w:rPr>
                <w:rFonts w:hint="eastAsia" w:ascii="仿宋" w:hAnsi="仿宋" w:eastAsia="仿宋" w:cs="仿宋"/>
                <w:sz w:val="24"/>
              </w:rPr>
              <w:t>4分</w:t>
            </w:r>
          </w:p>
        </w:tc>
      </w:tr>
      <w:tr w14:paraId="61C5FC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8" w:hRule="atLeast"/>
          <w:jc w:val="center"/>
        </w:trPr>
        <w:tc>
          <w:tcPr>
            <w:tcW w:w="881" w:type="dxa"/>
            <w:tcBorders>
              <w:left w:val="single" w:color="auto" w:sz="4" w:space="0"/>
              <w:bottom w:val="single" w:color="auto" w:sz="4" w:space="0"/>
              <w:right w:val="single" w:color="auto" w:sz="4" w:space="0"/>
            </w:tcBorders>
            <w:vAlign w:val="center"/>
          </w:tcPr>
          <w:p w14:paraId="6C3FA93F">
            <w:pPr>
              <w:widowControl/>
              <w:spacing w:line="42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w:t>
            </w:r>
          </w:p>
        </w:tc>
        <w:tc>
          <w:tcPr>
            <w:tcW w:w="1224" w:type="dxa"/>
            <w:tcBorders>
              <w:left w:val="single" w:color="auto" w:sz="4" w:space="0"/>
              <w:bottom w:val="single" w:color="auto" w:sz="4" w:space="0"/>
              <w:right w:val="single" w:color="auto" w:sz="4" w:space="0"/>
            </w:tcBorders>
            <w:vAlign w:val="center"/>
          </w:tcPr>
          <w:p w14:paraId="291308E5">
            <w:pPr>
              <w:spacing w:line="38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sz w:val="24"/>
              </w:rPr>
              <w:t>响应时间</w:t>
            </w:r>
          </w:p>
        </w:tc>
        <w:tc>
          <w:tcPr>
            <w:tcW w:w="7011" w:type="dxa"/>
            <w:tcBorders>
              <w:top w:val="single" w:color="auto" w:sz="4" w:space="0"/>
              <w:left w:val="single" w:color="auto" w:sz="4" w:space="0"/>
              <w:bottom w:val="single" w:color="auto" w:sz="4" w:space="0"/>
              <w:right w:val="single" w:color="auto" w:sz="4" w:space="0"/>
            </w:tcBorders>
          </w:tcPr>
          <w:p w14:paraId="2843474E">
            <w:pPr>
              <w:spacing w:line="380" w:lineRule="exact"/>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接到采购人通知（电话、电传等）后现场响应时间在3小时内的基础上；每减少0.5小时加1分，最高加2分。</w:t>
            </w:r>
          </w:p>
        </w:tc>
        <w:tc>
          <w:tcPr>
            <w:tcW w:w="743" w:type="dxa"/>
            <w:tcBorders>
              <w:top w:val="single" w:color="auto" w:sz="4" w:space="0"/>
              <w:left w:val="single" w:color="auto" w:sz="4" w:space="0"/>
              <w:bottom w:val="single" w:color="auto" w:sz="4" w:space="0"/>
              <w:right w:val="single" w:color="auto" w:sz="4" w:space="0"/>
            </w:tcBorders>
            <w:vAlign w:val="center"/>
          </w:tcPr>
          <w:p w14:paraId="22528CFB">
            <w:pPr>
              <w:spacing w:line="38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sz w:val="24"/>
              </w:rPr>
              <w:t>2分</w:t>
            </w:r>
          </w:p>
        </w:tc>
      </w:tr>
      <w:tr w14:paraId="26038E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52" w:hRule="exact"/>
          <w:jc w:val="center"/>
        </w:trPr>
        <w:tc>
          <w:tcPr>
            <w:tcW w:w="881" w:type="dxa"/>
            <w:tcBorders>
              <w:top w:val="single" w:color="auto" w:sz="4" w:space="0"/>
              <w:left w:val="single" w:color="auto" w:sz="4" w:space="0"/>
              <w:bottom w:val="single" w:color="auto" w:sz="4" w:space="0"/>
              <w:right w:val="single" w:color="auto" w:sz="4" w:space="0"/>
            </w:tcBorders>
            <w:vAlign w:val="center"/>
          </w:tcPr>
          <w:p w14:paraId="145B9F15">
            <w:pPr>
              <w:widowControl/>
              <w:spacing w:line="42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w:t>
            </w:r>
          </w:p>
        </w:tc>
        <w:tc>
          <w:tcPr>
            <w:tcW w:w="1224" w:type="dxa"/>
            <w:tcBorders>
              <w:top w:val="single" w:color="auto" w:sz="4" w:space="0"/>
              <w:left w:val="single" w:color="auto" w:sz="4" w:space="0"/>
              <w:bottom w:val="single" w:color="auto" w:sz="4" w:space="0"/>
              <w:right w:val="single" w:color="auto" w:sz="4" w:space="0"/>
            </w:tcBorders>
            <w:vAlign w:val="center"/>
          </w:tcPr>
          <w:p w14:paraId="3CD11AB5">
            <w:pPr>
              <w:widowControl/>
              <w:spacing w:line="42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企业业绩</w:t>
            </w:r>
          </w:p>
        </w:tc>
        <w:tc>
          <w:tcPr>
            <w:tcW w:w="7011" w:type="dxa"/>
            <w:tcBorders>
              <w:top w:val="single" w:color="auto" w:sz="4" w:space="0"/>
              <w:left w:val="single" w:color="auto" w:sz="4" w:space="0"/>
              <w:bottom w:val="single" w:color="auto" w:sz="4" w:space="0"/>
              <w:right w:val="single" w:color="auto" w:sz="4" w:space="0"/>
            </w:tcBorders>
            <w:vAlign w:val="center"/>
          </w:tcPr>
          <w:p w14:paraId="1163AAEA">
            <w:pPr>
              <w:tabs>
                <w:tab w:val="left" w:pos="1080"/>
              </w:tabs>
              <w:spacing w:line="400" w:lineRule="exact"/>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供应商具有自2020年1月1日起签订的同类项目业绩的，每提供一份得1分，最多得1分。</w:t>
            </w:r>
          </w:p>
          <w:p w14:paraId="26FD15E8">
            <w:pPr>
              <w:tabs>
                <w:tab w:val="left" w:pos="1080"/>
              </w:tabs>
              <w:spacing w:line="400" w:lineRule="exact"/>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注：提供合同复印件并加盖公章。</w:t>
            </w:r>
          </w:p>
        </w:tc>
        <w:tc>
          <w:tcPr>
            <w:tcW w:w="743" w:type="dxa"/>
            <w:tcBorders>
              <w:top w:val="single" w:color="auto" w:sz="4" w:space="0"/>
              <w:left w:val="single" w:color="auto" w:sz="4" w:space="0"/>
              <w:bottom w:val="single" w:color="auto" w:sz="4" w:space="0"/>
              <w:right w:val="single" w:color="auto" w:sz="4" w:space="0"/>
            </w:tcBorders>
            <w:vAlign w:val="center"/>
          </w:tcPr>
          <w:p w14:paraId="53AB1DB9">
            <w:pPr>
              <w:spacing w:line="380" w:lineRule="exact"/>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sz w:val="24"/>
              </w:rPr>
              <w:t>1分</w:t>
            </w:r>
          </w:p>
        </w:tc>
      </w:tr>
    </w:tbl>
    <w:p w14:paraId="0389CC9A">
      <w:pPr>
        <w:spacing w:line="400" w:lineRule="exact"/>
        <w:rPr>
          <w:rFonts w:ascii="仿宋" w:hAnsi="仿宋" w:eastAsia="仿宋" w:cs="仿宋"/>
          <w:b/>
          <w:color w:val="000000"/>
          <w:sz w:val="24"/>
        </w:rPr>
      </w:pPr>
      <w:r>
        <w:rPr>
          <w:rFonts w:hint="eastAsia" w:ascii="仿宋" w:hAnsi="仿宋" w:eastAsia="仿宋" w:cs="仿宋"/>
          <w:b/>
          <w:color w:val="000000"/>
          <w:sz w:val="24"/>
        </w:rPr>
        <w:t>注：合同、验收材料、人员社保等原件（中文版）所有证书须在有效期内，不在有效期内的不得分，无法提供原件的按不得分处理；如出现与事实不符等情况，将根据有关规定以“提供虚假材料谋取中标”予以处理。</w:t>
      </w:r>
    </w:p>
    <w:p w14:paraId="1D1B058E">
      <w:pPr>
        <w:spacing w:line="380" w:lineRule="exact"/>
        <w:rPr>
          <w:rFonts w:ascii="仿宋" w:hAnsi="仿宋" w:eastAsia="仿宋" w:cs="仿宋"/>
          <w:b/>
          <w:sz w:val="24"/>
        </w:rPr>
      </w:pPr>
      <w:r>
        <w:rPr>
          <w:rFonts w:hint="eastAsia" w:ascii="仿宋" w:hAnsi="仿宋" w:eastAsia="仿宋" w:cs="仿宋"/>
          <w:b/>
          <w:sz w:val="24"/>
        </w:rPr>
        <w:t xml:space="preserve">    3、技术、商务分的计算</w:t>
      </w:r>
    </w:p>
    <w:p w14:paraId="5858D692">
      <w:pPr>
        <w:spacing w:line="380" w:lineRule="exact"/>
        <w:rPr>
          <w:rFonts w:ascii="仿宋" w:hAnsi="仿宋" w:eastAsia="仿宋" w:cs="仿宋"/>
          <w:bCs/>
          <w:sz w:val="24"/>
        </w:rPr>
      </w:pPr>
      <w:r>
        <w:rPr>
          <w:rFonts w:hint="eastAsia" w:ascii="仿宋" w:hAnsi="仿宋" w:eastAsia="仿宋" w:cs="仿宋"/>
          <w:bCs/>
          <w:sz w:val="24"/>
        </w:rPr>
        <w:t xml:space="preserve">    技术、商务分按照磋商小组成员的独立评分结果汇总数算术平均分计算，计算公式为：</w:t>
      </w:r>
    </w:p>
    <w:p w14:paraId="1A3C4136">
      <w:pPr>
        <w:spacing w:line="380" w:lineRule="exact"/>
        <w:rPr>
          <w:rFonts w:ascii="仿宋" w:hAnsi="仿宋" w:eastAsia="仿宋" w:cs="仿宋"/>
          <w:bCs/>
          <w:sz w:val="24"/>
        </w:rPr>
      </w:pPr>
      <w:r>
        <w:rPr>
          <w:rFonts w:hint="eastAsia" w:ascii="仿宋" w:hAnsi="仿宋" w:eastAsia="仿宋" w:cs="仿宋"/>
          <w:bCs/>
          <w:sz w:val="24"/>
        </w:rPr>
        <w:t>技术、商务分=（磋商小组成员评分合计数）/（磋商小组组成人员数）</w:t>
      </w:r>
    </w:p>
    <w:p w14:paraId="3165D93A">
      <w:pPr>
        <w:widowControl/>
        <w:autoSpaceDE w:val="0"/>
        <w:autoSpaceDN w:val="0"/>
        <w:snapToGrid w:val="0"/>
        <w:spacing w:line="380" w:lineRule="exact"/>
        <w:jc w:val="left"/>
        <w:textAlignment w:val="bottom"/>
        <w:rPr>
          <w:rFonts w:ascii="仿宋" w:hAnsi="仿宋" w:eastAsia="仿宋" w:cs="仿宋"/>
          <w:b/>
          <w:sz w:val="24"/>
        </w:rPr>
      </w:pPr>
      <w:r>
        <w:rPr>
          <w:rFonts w:hint="eastAsia" w:ascii="仿宋" w:hAnsi="仿宋" w:eastAsia="仿宋" w:cs="仿宋"/>
          <w:b/>
          <w:sz w:val="24"/>
        </w:rPr>
        <w:t xml:space="preserve">    4、评审方法</w:t>
      </w:r>
    </w:p>
    <w:p w14:paraId="0E1E55AF">
      <w:pPr>
        <w:widowControl/>
        <w:autoSpaceDE w:val="0"/>
        <w:autoSpaceDN w:val="0"/>
        <w:snapToGrid w:val="0"/>
        <w:spacing w:line="380" w:lineRule="exact"/>
        <w:jc w:val="left"/>
        <w:textAlignment w:val="bottom"/>
        <w:rPr>
          <w:rFonts w:ascii="仿宋" w:hAnsi="仿宋" w:eastAsia="仿宋" w:cs="仿宋"/>
          <w:bCs/>
          <w:sz w:val="24"/>
        </w:rPr>
      </w:pPr>
      <w:r>
        <w:rPr>
          <w:rFonts w:hint="eastAsia" w:ascii="仿宋" w:hAnsi="仿宋" w:eastAsia="仿宋" w:cs="仿宋"/>
          <w:bCs/>
          <w:sz w:val="24"/>
        </w:rPr>
        <w:t xml:space="preserve">    磋商小组根据磋商情况及各供应商完工时间、服务条款响应情况、技术方案、提供服务的质量、付款方式、供应商综合实力、资信情况、承诺的售后服务等多方面进行评审。</w:t>
      </w:r>
    </w:p>
    <w:p w14:paraId="12D901C4">
      <w:pPr>
        <w:widowControl/>
        <w:autoSpaceDE w:val="0"/>
        <w:autoSpaceDN w:val="0"/>
        <w:snapToGrid w:val="0"/>
        <w:spacing w:line="380" w:lineRule="exact"/>
        <w:ind w:firstLine="480" w:firstLineChars="200"/>
        <w:jc w:val="left"/>
        <w:textAlignment w:val="bottom"/>
        <w:rPr>
          <w:rFonts w:ascii="仿宋" w:hAnsi="仿宋" w:eastAsia="仿宋" w:cs="仿宋"/>
          <w:bCs/>
          <w:sz w:val="24"/>
        </w:rPr>
      </w:pPr>
      <w:r>
        <w:rPr>
          <w:rFonts w:hint="eastAsia" w:ascii="仿宋" w:hAnsi="仿宋" w:eastAsia="仿宋" w:cs="仿宋"/>
          <w:bCs/>
          <w:sz w:val="24"/>
        </w:rPr>
        <w:t>确定进入最终报价的供应商名单。</w:t>
      </w:r>
    </w:p>
    <w:p w14:paraId="37D7772D">
      <w:pPr>
        <w:widowControl/>
        <w:autoSpaceDE w:val="0"/>
        <w:autoSpaceDN w:val="0"/>
        <w:snapToGrid w:val="0"/>
        <w:spacing w:line="380" w:lineRule="exact"/>
        <w:jc w:val="left"/>
        <w:textAlignment w:val="bottom"/>
        <w:rPr>
          <w:rFonts w:ascii="仿宋" w:hAnsi="仿宋" w:eastAsia="仿宋" w:cs="仿宋"/>
          <w:b/>
          <w:sz w:val="24"/>
        </w:rPr>
      </w:pPr>
      <w:r>
        <w:rPr>
          <w:rFonts w:hint="eastAsia" w:ascii="仿宋" w:hAnsi="仿宋" w:eastAsia="仿宋" w:cs="仿宋"/>
          <w:b/>
          <w:sz w:val="24"/>
        </w:rPr>
        <w:t xml:space="preserve">    5、推荐成交供应商</w:t>
      </w:r>
    </w:p>
    <w:p w14:paraId="70A738F1">
      <w:pPr>
        <w:widowControl/>
        <w:autoSpaceDE w:val="0"/>
        <w:autoSpaceDN w:val="0"/>
        <w:snapToGrid w:val="0"/>
        <w:spacing w:line="380" w:lineRule="exact"/>
        <w:jc w:val="left"/>
        <w:textAlignment w:val="bottom"/>
        <w:rPr>
          <w:rFonts w:ascii="仿宋" w:hAnsi="仿宋" w:eastAsia="仿宋" w:cs="仿宋"/>
          <w:bCs/>
          <w:sz w:val="24"/>
        </w:rPr>
      </w:pPr>
      <w:r>
        <w:rPr>
          <w:rFonts w:hint="eastAsia" w:ascii="仿宋" w:hAnsi="仿宋" w:eastAsia="仿宋" w:cs="仿宋"/>
          <w:bCs/>
          <w:sz w:val="24"/>
        </w:rPr>
        <w:t xml:space="preserve">    磋商小组推荐综合得分第一名的供应商为成交供应商，第二名的为候补成交供应商……依次类推。成交候选供应商资格按评标总分由高到低顺序排列，评标总分相同的，按照最后报价由低到高的顺序推荐。评审总分且最后报价相同的并列。并编写评审报告。</w:t>
      </w:r>
    </w:p>
    <w:p w14:paraId="43646CD5">
      <w:pPr>
        <w:pStyle w:val="3"/>
        <w:spacing w:before="0" w:after="0" w:line="380" w:lineRule="exact"/>
        <w:rPr>
          <w:rFonts w:ascii="仿宋" w:hAnsi="仿宋" w:eastAsia="仿宋" w:cs="仿宋"/>
          <w:sz w:val="24"/>
          <w:szCs w:val="24"/>
        </w:rPr>
      </w:pPr>
      <w:bookmarkStart w:id="211" w:name="_Toc282640736"/>
      <w:bookmarkStart w:id="212" w:name="_Toc20634"/>
      <w:bookmarkStart w:id="213" w:name="_Toc29138"/>
      <w:bookmarkStart w:id="214" w:name="_Toc14678"/>
      <w:bookmarkStart w:id="215" w:name="_Toc16261"/>
      <w:bookmarkStart w:id="216" w:name="_Toc402872211"/>
      <w:r>
        <w:rPr>
          <w:rFonts w:hint="eastAsia" w:ascii="仿宋" w:hAnsi="仿宋" w:eastAsia="仿宋" w:cs="仿宋"/>
          <w:sz w:val="24"/>
          <w:szCs w:val="24"/>
        </w:rPr>
        <w:t>八、资格</w:t>
      </w:r>
      <w:bookmarkEnd w:id="211"/>
      <w:r>
        <w:rPr>
          <w:rFonts w:hint="eastAsia" w:ascii="仿宋" w:hAnsi="仿宋" w:eastAsia="仿宋" w:cs="仿宋"/>
          <w:sz w:val="24"/>
          <w:szCs w:val="24"/>
        </w:rPr>
        <w:t>审查</w:t>
      </w:r>
      <w:bookmarkEnd w:id="212"/>
      <w:bookmarkEnd w:id="213"/>
      <w:bookmarkEnd w:id="214"/>
      <w:bookmarkEnd w:id="215"/>
      <w:bookmarkEnd w:id="216"/>
    </w:p>
    <w:p w14:paraId="6FCA655E">
      <w:pPr>
        <w:widowControl/>
        <w:autoSpaceDE w:val="0"/>
        <w:autoSpaceDN w:val="0"/>
        <w:snapToGrid w:val="0"/>
        <w:spacing w:line="380" w:lineRule="exact"/>
        <w:jc w:val="left"/>
        <w:textAlignment w:val="bottom"/>
        <w:rPr>
          <w:rFonts w:ascii="仿宋" w:hAnsi="仿宋" w:eastAsia="仿宋" w:cs="仿宋"/>
          <w:bCs/>
          <w:sz w:val="24"/>
        </w:rPr>
      </w:pPr>
      <w:r>
        <w:rPr>
          <w:rFonts w:hint="eastAsia" w:ascii="仿宋" w:hAnsi="仿宋" w:eastAsia="仿宋" w:cs="仿宋"/>
          <w:bCs/>
          <w:sz w:val="24"/>
        </w:rPr>
        <w:t xml:space="preserve">    1、磋商小组将对所选择的成交候选人是否有资格或能力圆满地履行合同做出进一步确认。</w:t>
      </w:r>
    </w:p>
    <w:p w14:paraId="494E0F79">
      <w:pPr>
        <w:widowControl/>
        <w:autoSpaceDE w:val="0"/>
        <w:autoSpaceDN w:val="0"/>
        <w:snapToGrid w:val="0"/>
        <w:spacing w:line="380" w:lineRule="exact"/>
        <w:jc w:val="left"/>
        <w:textAlignment w:val="bottom"/>
        <w:rPr>
          <w:rFonts w:ascii="仿宋" w:hAnsi="仿宋" w:eastAsia="仿宋" w:cs="仿宋"/>
          <w:bCs/>
          <w:sz w:val="24"/>
        </w:rPr>
      </w:pPr>
      <w:r>
        <w:rPr>
          <w:rFonts w:hint="eastAsia" w:ascii="仿宋" w:hAnsi="仿宋" w:eastAsia="仿宋" w:cs="仿宋"/>
          <w:bCs/>
          <w:sz w:val="24"/>
        </w:rPr>
        <w:t xml:space="preserve">    2、如果供应商被确定为不具备履行合同的能力，磋商小组有权拒绝签发成交通知书。在该情况下，磋商小组将考虑按同样的程序审查下一位成交候选人。</w:t>
      </w:r>
    </w:p>
    <w:p w14:paraId="254E64D0">
      <w:pPr>
        <w:pStyle w:val="3"/>
        <w:spacing w:before="0" w:after="0" w:line="380" w:lineRule="exact"/>
        <w:rPr>
          <w:rFonts w:ascii="仿宋" w:hAnsi="仿宋" w:eastAsia="仿宋" w:cs="仿宋"/>
          <w:sz w:val="24"/>
          <w:szCs w:val="24"/>
        </w:rPr>
      </w:pPr>
      <w:bookmarkStart w:id="217" w:name="_Toc5918"/>
      <w:bookmarkStart w:id="218" w:name="_Toc20293"/>
      <w:bookmarkStart w:id="219" w:name="_Toc8547"/>
      <w:bookmarkStart w:id="220" w:name="_Toc402872212"/>
      <w:bookmarkStart w:id="221" w:name="_Toc8588"/>
      <w:r>
        <w:rPr>
          <w:rFonts w:hint="eastAsia" w:ascii="仿宋" w:hAnsi="仿宋" w:eastAsia="仿宋" w:cs="仿宋"/>
          <w:sz w:val="24"/>
          <w:szCs w:val="24"/>
        </w:rPr>
        <w:t>九、 成交通知、授予合同</w:t>
      </w:r>
      <w:bookmarkEnd w:id="217"/>
      <w:bookmarkEnd w:id="218"/>
      <w:bookmarkEnd w:id="219"/>
      <w:bookmarkEnd w:id="220"/>
      <w:bookmarkEnd w:id="221"/>
    </w:p>
    <w:p w14:paraId="4D1B3D2C">
      <w:pPr>
        <w:widowControl/>
        <w:autoSpaceDE w:val="0"/>
        <w:autoSpaceDN w:val="0"/>
        <w:snapToGrid w:val="0"/>
        <w:spacing w:line="380" w:lineRule="exact"/>
        <w:jc w:val="left"/>
        <w:textAlignment w:val="bottom"/>
        <w:rPr>
          <w:rFonts w:ascii="仿宋" w:hAnsi="仿宋" w:eastAsia="仿宋" w:cs="仿宋"/>
          <w:bCs/>
          <w:sz w:val="24"/>
        </w:rPr>
      </w:pPr>
      <w:r>
        <w:rPr>
          <w:rFonts w:hint="eastAsia" w:ascii="仿宋" w:hAnsi="仿宋" w:eastAsia="仿宋" w:cs="仿宋"/>
          <w:bCs/>
          <w:sz w:val="24"/>
        </w:rPr>
        <w:t xml:space="preserve">    1、经磋商小组审查，确定成交候选人，发出成交通知书。</w:t>
      </w:r>
    </w:p>
    <w:p w14:paraId="45299573">
      <w:pPr>
        <w:widowControl/>
        <w:autoSpaceDE w:val="0"/>
        <w:autoSpaceDN w:val="0"/>
        <w:snapToGrid w:val="0"/>
        <w:spacing w:line="380" w:lineRule="exact"/>
        <w:ind w:firstLine="480" w:firstLineChars="200"/>
        <w:jc w:val="left"/>
        <w:textAlignment w:val="bottom"/>
        <w:rPr>
          <w:rFonts w:ascii="仿宋" w:hAnsi="仿宋" w:eastAsia="仿宋" w:cs="仿宋"/>
          <w:bCs/>
          <w:sz w:val="24"/>
        </w:rPr>
      </w:pPr>
      <w:r>
        <w:rPr>
          <w:rFonts w:hint="eastAsia" w:ascii="仿宋" w:hAnsi="仿宋" w:eastAsia="仿宋" w:cs="仿宋"/>
          <w:bCs/>
          <w:sz w:val="24"/>
        </w:rPr>
        <w:t>2、成交供应商凭成交通知书在30天内签订合同，逾期取消成交资格。</w:t>
      </w:r>
    </w:p>
    <w:p w14:paraId="5EE55C5D">
      <w:pPr>
        <w:widowControl/>
        <w:autoSpaceDE w:val="0"/>
        <w:autoSpaceDN w:val="0"/>
        <w:snapToGrid w:val="0"/>
        <w:spacing w:line="380" w:lineRule="exact"/>
        <w:ind w:firstLine="480" w:firstLineChars="200"/>
        <w:jc w:val="left"/>
        <w:textAlignment w:val="bottom"/>
        <w:rPr>
          <w:rFonts w:ascii="仿宋" w:hAnsi="仿宋" w:eastAsia="仿宋" w:cs="仿宋"/>
          <w:bCs/>
          <w:sz w:val="24"/>
        </w:rPr>
      </w:pPr>
      <w:r>
        <w:rPr>
          <w:rFonts w:hint="eastAsia" w:ascii="仿宋" w:hAnsi="仿宋" w:eastAsia="仿宋" w:cs="仿宋"/>
          <w:bCs/>
          <w:sz w:val="24"/>
        </w:rPr>
        <w:t>3、成交供应商在规定的时间内不履行合同，按违约处理，并按有关规定承担违约责任。</w:t>
      </w:r>
    </w:p>
    <w:p w14:paraId="7DA62172">
      <w:pPr>
        <w:pStyle w:val="2"/>
        <w:ind w:left="360"/>
        <w:jc w:val="center"/>
        <w:rPr>
          <w:rFonts w:ascii="仿宋" w:hAnsi="仿宋" w:eastAsia="仿宋" w:cs="仿宋"/>
        </w:rPr>
        <w:sectPr>
          <w:footerReference r:id="rId8" w:type="first"/>
          <w:footerReference r:id="rId7" w:type="default"/>
          <w:pgSz w:w="11906" w:h="16838"/>
          <w:pgMar w:top="1134" w:right="1134" w:bottom="1134" w:left="1134" w:header="567" w:footer="567" w:gutter="0"/>
          <w:pgNumType w:start="1"/>
          <w:cols w:space="720" w:num="1"/>
          <w:titlePg/>
          <w:docGrid w:type="lines" w:linePitch="312" w:charSpace="0"/>
        </w:sectPr>
      </w:pPr>
      <w:bookmarkStart w:id="222" w:name="_Toc18825"/>
      <w:bookmarkStart w:id="223" w:name="_Toc8563"/>
    </w:p>
    <w:p w14:paraId="5A1496FB">
      <w:pPr>
        <w:pStyle w:val="2"/>
        <w:ind w:left="360"/>
        <w:jc w:val="center"/>
        <w:rPr>
          <w:rFonts w:eastAsia="仿宋"/>
        </w:rPr>
      </w:pPr>
      <w:bookmarkStart w:id="224" w:name="_Toc15870"/>
      <w:r>
        <w:rPr>
          <w:rFonts w:hint="eastAsia" w:ascii="仿宋" w:hAnsi="仿宋" w:eastAsia="仿宋" w:cs="仿宋"/>
        </w:rPr>
        <w:t>第五章 合同主要条款</w:t>
      </w:r>
      <w:bookmarkEnd w:id="222"/>
      <w:r>
        <w:rPr>
          <w:rFonts w:hint="eastAsia" w:ascii="仿宋" w:hAnsi="仿宋" w:eastAsia="仿宋" w:cs="仿宋"/>
          <w:sz w:val="21"/>
          <w:szCs w:val="21"/>
        </w:rPr>
        <w:t>（仅供参考）</w:t>
      </w:r>
      <w:bookmarkEnd w:id="223"/>
      <w:bookmarkEnd w:id="224"/>
    </w:p>
    <w:p w14:paraId="43335A67">
      <w:pPr>
        <w:spacing w:line="360" w:lineRule="auto"/>
        <w:rPr>
          <w:rFonts w:ascii="仿宋" w:hAnsi="仿宋" w:eastAsia="仿宋"/>
          <w:b/>
          <w:bCs/>
          <w:sz w:val="24"/>
        </w:rPr>
      </w:pPr>
      <w:bookmarkStart w:id="225" w:name="_Toc12086"/>
      <w:r>
        <w:rPr>
          <w:rFonts w:hint="eastAsia" w:ascii="仿宋" w:hAnsi="仿宋" w:eastAsia="仿宋"/>
          <w:b/>
          <w:bCs/>
          <w:sz w:val="24"/>
        </w:rPr>
        <w:t>1.定义</w:t>
      </w:r>
    </w:p>
    <w:p w14:paraId="254202FD">
      <w:pPr>
        <w:spacing w:line="360" w:lineRule="auto"/>
        <w:ind w:firstLine="480" w:firstLineChars="200"/>
        <w:rPr>
          <w:rFonts w:ascii="仿宋" w:hAnsi="仿宋" w:eastAsia="仿宋"/>
          <w:sz w:val="24"/>
        </w:rPr>
      </w:pPr>
      <w:r>
        <w:rPr>
          <w:rFonts w:hint="eastAsia" w:ascii="仿宋" w:hAnsi="仿宋" w:eastAsia="仿宋"/>
          <w:sz w:val="24"/>
        </w:rPr>
        <w:t>本合同中的下列术语应解释为：</w:t>
      </w:r>
    </w:p>
    <w:p w14:paraId="0BE0BC28">
      <w:pPr>
        <w:spacing w:line="440" w:lineRule="exact"/>
        <w:ind w:firstLine="480" w:firstLineChars="200"/>
        <w:rPr>
          <w:rFonts w:ascii="仿宋" w:hAnsi="仿宋" w:eastAsia="仿宋"/>
          <w:sz w:val="24"/>
        </w:rPr>
      </w:pPr>
      <w:r>
        <w:rPr>
          <w:rFonts w:hint="eastAsia" w:ascii="仿宋" w:hAnsi="仿宋" w:eastAsia="仿宋"/>
          <w:sz w:val="24"/>
        </w:rPr>
        <w:t>1.1“合同”系指供需双方签署的、合同格式中载明的供需双方所达成的协议，包括所有的附件、附录和构成合同的所有文件；</w:t>
      </w:r>
    </w:p>
    <w:p w14:paraId="4EC7505F">
      <w:pPr>
        <w:spacing w:line="440" w:lineRule="exact"/>
        <w:ind w:firstLine="480" w:firstLineChars="200"/>
        <w:rPr>
          <w:rFonts w:ascii="仿宋" w:hAnsi="仿宋" w:eastAsia="仿宋"/>
          <w:sz w:val="24"/>
        </w:rPr>
      </w:pPr>
      <w:r>
        <w:rPr>
          <w:rFonts w:hint="eastAsia" w:ascii="仿宋" w:hAnsi="仿宋" w:eastAsia="仿宋"/>
          <w:sz w:val="24"/>
        </w:rPr>
        <w:t>1.2“合同价”系指根据合同规定，采购人在供应商完全履行合同义务后应付给的价格；</w:t>
      </w:r>
    </w:p>
    <w:p w14:paraId="57C7C5FF">
      <w:pPr>
        <w:spacing w:line="440" w:lineRule="exact"/>
        <w:ind w:firstLine="480" w:firstLineChars="200"/>
        <w:rPr>
          <w:rFonts w:ascii="仿宋" w:hAnsi="仿宋" w:eastAsia="仿宋"/>
          <w:sz w:val="24"/>
        </w:rPr>
      </w:pPr>
      <w:r>
        <w:rPr>
          <w:rFonts w:hint="eastAsia" w:ascii="仿宋" w:hAnsi="仿宋" w:eastAsia="仿宋"/>
          <w:sz w:val="24"/>
        </w:rPr>
        <w:t>1.3“货物”系指供应商根据合同规定向采购人提供的一切货物、质量保证书和其他技术资料及技术参数；</w:t>
      </w:r>
    </w:p>
    <w:p w14:paraId="5A89598C">
      <w:pPr>
        <w:spacing w:line="440" w:lineRule="exact"/>
        <w:ind w:firstLine="480" w:firstLineChars="200"/>
        <w:rPr>
          <w:rFonts w:ascii="仿宋" w:hAnsi="仿宋" w:eastAsia="仿宋"/>
          <w:sz w:val="24"/>
        </w:rPr>
      </w:pPr>
      <w:r>
        <w:rPr>
          <w:rFonts w:hint="eastAsia" w:ascii="仿宋" w:hAnsi="仿宋" w:eastAsia="仿宋"/>
          <w:sz w:val="24"/>
        </w:rPr>
        <w:t>1.4“服务”系指根据合同规定供应商承担与供货有关的辅助服务，如运输、装卸、安装、保险以及其他的服务，例如安装、调试提供技术援助、培训和其他类似的义务；</w:t>
      </w:r>
    </w:p>
    <w:p w14:paraId="46129D3D">
      <w:pPr>
        <w:spacing w:line="440" w:lineRule="exact"/>
        <w:ind w:firstLine="480" w:firstLineChars="200"/>
        <w:rPr>
          <w:rFonts w:ascii="仿宋" w:hAnsi="仿宋" w:eastAsia="仿宋"/>
          <w:sz w:val="24"/>
        </w:rPr>
      </w:pPr>
      <w:r>
        <w:rPr>
          <w:rFonts w:hint="eastAsia" w:ascii="仿宋" w:hAnsi="仿宋" w:eastAsia="仿宋"/>
          <w:sz w:val="24"/>
        </w:rPr>
        <w:t>1.5“采购人”系指</w:t>
      </w:r>
      <w:r>
        <w:rPr>
          <w:rFonts w:hint="eastAsia" w:ascii="仿宋" w:hAnsi="仿宋" w:eastAsia="仿宋"/>
          <w:bCs/>
          <w:sz w:val="24"/>
        </w:rPr>
        <w:t>具体使用货物和接受服务的使用单位；</w:t>
      </w:r>
    </w:p>
    <w:p w14:paraId="7228614F">
      <w:pPr>
        <w:spacing w:line="440" w:lineRule="exact"/>
        <w:ind w:firstLine="480" w:firstLineChars="200"/>
        <w:rPr>
          <w:rFonts w:ascii="仿宋" w:hAnsi="仿宋" w:eastAsia="仿宋"/>
          <w:sz w:val="24"/>
        </w:rPr>
      </w:pPr>
      <w:r>
        <w:rPr>
          <w:rFonts w:hint="eastAsia" w:ascii="仿宋" w:hAnsi="仿宋" w:eastAsia="仿宋"/>
          <w:sz w:val="24"/>
        </w:rPr>
        <w:t>1.6“供应商”系指根据合同规定提供采购项目货物和服务的具有法人资格的公司、企业或实体；</w:t>
      </w:r>
    </w:p>
    <w:p w14:paraId="7B4E8D21">
      <w:pPr>
        <w:spacing w:line="440" w:lineRule="exact"/>
        <w:ind w:firstLine="480" w:firstLineChars="200"/>
        <w:rPr>
          <w:rFonts w:ascii="仿宋" w:hAnsi="仿宋" w:eastAsia="仿宋"/>
          <w:sz w:val="24"/>
        </w:rPr>
      </w:pPr>
      <w:r>
        <w:rPr>
          <w:rFonts w:hint="eastAsia" w:ascii="仿宋" w:hAnsi="仿宋" w:eastAsia="仿宋"/>
          <w:sz w:val="24"/>
        </w:rPr>
        <w:t>1.7“财政审批编号”系指市财政局审批编号。</w:t>
      </w:r>
    </w:p>
    <w:p w14:paraId="4F12157B">
      <w:pPr>
        <w:spacing w:line="440" w:lineRule="exact"/>
        <w:rPr>
          <w:rFonts w:ascii="仿宋" w:hAnsi="仿宋" w:eastAsia="仿宋"/>
          <w:b/>
          <w:bCs/>
          <w:sz w:val="24"/>
        </w:rPr>
      </w:pPr>
      <w:r>
        <w:rPr>
          <w:rFonts w:hint="eastAsia" w:ascii="仿宋" w:hAnsi="仿宋" w:eastAsia="仿宋"/>
          <w:b/>
          <w:bCs/>
          <w:sz w:val="24"/>
        </w:rPr>
        <w:t>2.合同项目与内容</w:t>
      </w:r>
    </w:p>
    <w:p w14:paraId="578CDC28">
      <w:pPr>
        <w:spacing w:line="440" w:lineRule="exact"/>
        <w:ind w:firstLine="480" w:firstLineChars="200"/>
        <w:rPr>
          <w:rFonts w:ascii="仿宋" w:hAnsi="仿宋" w:eastAsia="仿宋"/>
          <w:sz w:val="24"/>
        </w:rPr>
      </w:pPr>
      <w:r>
        <w:rPr>
          <w:rFonts w:hint="eastAsia" w:ascii="仿宋" w:hAnsi="仿宋" w:eastAsia="仿宋"/>
          <w:sz w:val="24"/>
          <w:u w:val="single"/>
        </w:rPr>
        <w:t xml:space="preserve">                   </w:t>
      </w:r>
      <w:r>
        <w:rPr>
          <w:rFonts w:hint="eastAsia" w:ascii="仿宋" w:hAnsi="仿宋" w:eastAsia="仿宋"/>
          <w:sz w:val="24"/>
        </w:rPr>
        <w:t>采购项目</w:t>
      </w:r>
    </w:p>
    <w:p w14:paraId="25841D48">
      <w:pPr>
        <w:spacing w:line="440" w:lineRule="exact"/>
        <w:rPr>
          <w:rFonts w:ascii="仿宋" w:hAnsi="仿宋" w:eastAsia="仿宋"/>
          <w:b/>
          <w:bCs/>
          <w:sz w:val="24"/>
        </w:rPr>
      </w:pPr>
      <w:r>
        <w:rPr>
          <w:rFonts w:hint="eastAsia" w:ascii="仿宋" w:hAnsi="仿宋" w:eastAsia="仿宋"/>
          <w:b/>
          <w:bCs/>
          <w:sz w:val="24"/>
        </w:rPr>
        <w:t>3.服务时间与服务地点</w:t>
      </w:r>
    </w:p>
    <w:p w14:paraId="48F15517">
      <w:pPr>
        <w:spacing w:line="440" w:lineRule="exact"/>
        <w:ind w:firstLine="480" w:firstLineChars="200"/>
        <w:rPr>
          <w:rFonts w:ascii="仿宋" w:hAnsi="仿宋" w:eastAsia="仿宋"/>
          <w:sz w:val="24"/>
        </w:rPr>
      </w:pPr>
      <w:r>
        <w:rPr>
          <w:rFonts w:hint="eastAsia" w:ascii="仿宋" w:hAnsi="仿宋" w:eastAsia="仿宋"/>
          <w:sz w:val="24"/>
        </w:rPr>
        <w:t>服务时间：详见招标文件要求；</w:t>
      </w:r>
    </w:p>
    <w:p w14:paraId="098DA0F0">
      <w:pPr>
        <w:spacing w:line="440" w:lineRule="exact"/>
        <w:ind w:firstLine="480" w:firstLineChars="200"/>
        <w:rPr>
          <w:rFonts w:ascii="仿宋" w:hAnsi="仿宋" w:eastAsia="仿宋"/>
          <w:sz w:val="24"/>
        </w:rPr>
      </w:pPr>
      <w:r>
        <w:rPr>
          <w:rFonts w:hint="eastAsia" w:ascii="仿宋" w:hAnsi="仿宋" w:eastAsia="仿宋"/>
          <w:sz w:val="24"/>
        </w:rPr>
        <w:t>服务地点：由采购单位指定。</w:t>
      </w:r>
    </w:p>
    <w:p w14:paraId="3B1F022B">
      <w:pPr>
        <w:spacing w:line="440" w:lineRule="exact"/>
        <w:rPr>
          <w:rFonts w:ascii="仿宋" w:hAnsi="仿宋" w:eastAsia="仿宋"/>
          <w:b/>
          <w:bCs/>
          <w:sz w:val="24"/>
        </w:rPr>
      </w:pPr>
      <w:r>
        <w:rPr>
          <w:rFonts w:hint="eastAsia" w:ascii="仿宋" w:hAnsi="仿宋" w:eastAsia="仿宋"/>
          <w:b/>
          <w:bCs/>
          <w:sz w:val="24"/>
        </w:rPr>
        <w:t>4.签署合同的要求</w:t>
      </w:r>
    </w:p>
    <w:p w14:paraId="435BCC46">
      <w:pPr>
        <w:spacing w:line="440" w:lineRule="exact"/>
        <w:ind w:firstLine="480" w:firstLineChars="200"/>
        <w:rPr>
          <w:rFonts w:ascii="仿宋" w:hAnsi="仿宋" w:eastAsia="仿宋"/>
          <w:bCs/>
          <w:sz w:val="24"/>
        </w:rPr>
      </w:pPr>
      <w:r>
        <w:rPr>
          <w:rFonts w:hint="eastAsia" w:ascii="仿宋" w:hAnsi="仿宋" w:eastAsia="仿宋"/>
          <w:bCs/>
          <w:sz w:val="24"/>
        </w:rPr>
        <w:t>4.1、供应商必须按照投标文件和询标过程中承诺的条款以及中标通知书中规定的时间、地点与采购人签订合同；</w:t>
      </w:r>
    </w:p>
    <w:p w14:paraId="7C521524">
      <w:pPr>
        <w:spacing w:line="440" w:lineRule="exact"/>
        <w:ind w:firstLine="480" w:firstLineChars="200"/>
        <w:rPr>
          <w:rFonts w:ascii="仿宋" w:hAnsi="仿宋" w:eastAsia="仿宋"/>
          <w:bCs/>
          <w:sz w:val="24"/>
        </w:rPr>
      </w:pPr>
      <w:r>
        <w:rPr>
          <w:rFonts w:hint="eastAsia" w:ascii="仿宋" w:hAnsi="仿宋" w:eastAsia="仿宋"/>
          <w:bCs/>
          <w:sz w:val="24"/>
        </w:rPr>
        <w:t>4.</w:t>
      </w:r>
      <w:r>
        <w:rPr>
          <w:rFonts w:ascii="仿宋" w:hAnsi="仿宋" w:eastAsia="仿宋"/>
          <w:bCs/>
          <w:sz w:val="24"/>
        </w:rPr>
        <w:t>2</w:t>
      </w:r>
      <w:r>
        <w:rPr>
          <w:rFonts w:hint="eastAsia" w:ascii="仿宋" w:hAnsi="仿宋" w:eastAsia="仿宋"/>
          <w:bCs/>
          <w:sz w:val="24"/>
        </w:rPr>
        <w:t>、所签订的合同内容不得对招标文件和供应商的投标文件作实质性修改；</w:t>
      </w:r>
    </w:p>
    <w:p w14:paraId="3F9385C3">
      <w:pPr>
        <w:spacing w:line="440" w:lineRule="exact"/>
        <w:ind w:firstLine="480" w:firstLineChars="200"/>
        <w:rPr>
          <w:rFonts w:ascii="仿宋" w:hAnsi="仿宋" w:eastAsia="仿宋"/>
          <w:bCs/>
          <w:sz w:val="24"/>
        </w:rPr>
      </w:pPr>
      <w:r>
        <w:rPr>
          <w:rFonts w:hint="eastAsia" w:ascii="仿宋" w:hAnsi="仿宋" w:eastAsia="仿宋"/>
          <w:bCs/>
          <w:sz w:val="24"/>
        </w:rPr>
        <w:t>4.</w:t>
      </w:r>
      <w:r>
        <w:rPr>
          <w:rFonts w:ascii="仿宋" w:hAnsi="仿宋" w:eastAsia="仿宋"/>
          <w:bCs/>
          <w:sz w:val="24"/>
        </w:rPr>
        <w:t>3</w:t>
      </w:r>
      <w:r>
        <w:rPr>
          <w:rFonts w:hint="eastAsia" w:ascii="仿宋" w:hAnsi="仿宋" w:eastAsia="仿宋"/>
          <w:bCs/>
          <w:sz w:val="24"/>
        </w:rPr>
        <w:t>、采购人不得向供应商提出任何不合理的要求，作为签订合同的条件，不得与供应商私下订立背离合同实质性内容的协议；</w:t>
      </w:r>
    </w:p>
    <w:p w14:paraId="53841355">
      <w:pPr>
        <w:spacing w:line="440" w:lineRule="exact"/>
        <w:ind w:firstLine="480" w:firstLineChars="200"/>
        <w:rPr>
          <w:rFonts w:ascii="仿宋" w:hAnsi="仿宋" w:eastAsia="仿宋"/>
          <w:bCs/>
          <w:sz w:val="24"/>
        </w:rPr>
      </w:pPr>
      <w:r>
        <w:rPr>
          <w:rFonts w:hint="eastAsia" w:ascii="仿宋" w:hAnsi="仿宋" w:eastAsia="仿宋"/>
          <w:bCs/>
          <w:sz w:val="24"/>
        </w:rPr>
        <w:t>4.</w:t>
      </w:r>
      <w:r>
        <w:rPr>
          <w:rFonts w:ascii="仿宋" w:hAnsi="仿宋" w:eastAsia="仿宋"/>
          <w:bCs/>
          <w:sz w:val="24"/>
        </w:rPr>
        <w:t>4</w:t>
      </w:r>
      <w:r>
        <w:rPr>
          <w:rFonts w:hint="eastAsia" w:ascii="仿宋" w:hAnsi="仿宋" w:eastAsia="仿宋"/>
          <w:bCs/>
          <w:sz w:val="24"/>
        </w:rPr>
        <w:t>、自采购合同签订之日起 7个工作日内，将采购合同副本 2份送本项目招标代理机构、同级人民政府财政部门备案。</w:t>
      </w:r>
    </w:p>
    <w:p w14:paraId="6BAA0140">
      <w:pPr>
        <w:spacing w:line="440" w:lineRule="exact"/>
        <w:rPr>
          <w:rFonts w:ascii="仿宋" w:hAnsi="仿宋" w:eastAsia="仿宋"/>
          <w:b/>
          <w:bCs/>
          <w:sz w:val="24"/>
        </w:rPr>
      </w:pPr>
      <w:r>
        <w:rPr>
          <w:rFonts w:hint="eastAsia" w:ascii="仿宋" w:hAnsi="仿宋" w:eastAsia="仿宋"/>
          <w:b/>
          <w:bCs/>
          <w:sz w:val="24"/>
        </w:rPr>
        <w:t>5.技术规范</w:t>
      </w:r>
    </w:p>
    <w:p w14:paraId="5EC05556">
      <w:pPr>
        <w:spacing w:line="440" w:lineRule="exact"/>
        <w:ind w:firstLine="480" w:firstLineChars="200"/>
        <w:rPr>
          <w:rFonts w:ascii="仿宋" w:hAnsi="仿宋" w:eastAsia="仿宋"/>
          <w:sz w:val="24"/>
          <w:lang w:val="zh-CN"/>
        </w:rPr>
      </w:pPr>
      <w:r>
        <w:rPr>
          <w:rFonts w:hint="eastAsia" w:ascii="仿宋" w:hAnsi="仿宋" w:eastAsia="仿宋"/>
          <w:sz w:val="24"/>
          <w:lang w:val="zh-CN"/>
        </w:rPr>
        <w:t>本合同执行国家及本省、市现行项目实施及验收规范及有关条例、实施办法等。</w:t>
      </w:r>
    </w:p>
    <w:p w14:paraId="6DB09FDC">
      <w:pPr>
        <w:spacing w:line="440" w:lineRule="exact"/>
        <w:ind w:firstLine="480" w:firstLineChars="200"/>
        <w:rPr>
          <w:rFonts w:ascii="仿宋" w:hAnsi="仿宋" w:eastAsia="仿宋"/>
          <w:sz w:val="24"/>
        </w:rPr>
      </w:pPr>
      <w:r>
        <w:rPr>
          <w:rFonts w:hint="eastAsia" w:ascii="仿宋" w:hAnsi="仿宋" w:eastAsia="仿宋"/>
          <w:sz w:val="24"/>
        </w:rPr>
        <w:t>提供和交付的服务技术规范应与招标文件规定的技术规范相一致。</w:t>
      </w:r>
    </w:p>
    <w:p w14:paraId="46BA6F2D">
      <w:pPr>
        <w:spacing w:line="440" w:lineRule="exact"/>
        <w:rPr>
          <w:rFonts w:ascii="仿宋" w:hAnsi="仿宋" w:eastAsia="仿宋"/>
          <w:b/>
          <w:bCs/>
          <w:sz w:val="24"/>
        </w:rPr>
      </w:pPr>
      <w:r>
        <w:rPr>
          <w:rFonts w:hint="eastAsia" w:ascii="仿宋" w:hAnsi="仿宋" w:eastAsia="仿宋"/>
          <w:b/>
          <w:bCs/>
          <w:sz w:val="24"/>
        </w:rPr>
        <w:t>6.知识产权</w:t>
      </w:r>
    </w:p>
    <w:p w14:paraId="09FA7ED3">
      <w:pPr>
        <w:spacing w:line="440" w:lineRule="exact"/>
        <w:ind w:firstLine="480" w:firstLineChars="200"/>
        <w:rPr>
          <w:rFonts w:ascii="仿宋" w:hAnsi="仿宋" w:eastAsia="仿宋"/>
          <w:sz w:val="24"/>
        </w:rPr>
      </w:pPr>
      <w:r>
        <w:rPr>
          <w:rFonts w:hint="eastAsia" w:ascii="仿宋" w:hAnsi="仿宋" w:eastAsia="仿宋"/>
          <w:sz w:val="24"/>
        </w:rPr>
        <w:t>供应商保证所提供的服务及货物均不存在知识产权纠纷。供应商应保证采购人在使用时不受第三方提出侵犯其专利权、商标权等知识产权的诉讼。</w:t>
      </w:r>
    </w:p>
    <w:p w14:paraId="6D45F9A1">
      <w:pPr>
        <w:spacing w:line="440" w:lineRule="exact"/>
        <w:rPr>
          <w:rFonts w:ascii="华文仿宋" w:hAnsi="华文仿宋" w:eastAsia="华文仿宋"/>
          <w:b/>
          <w:bCs/>
          <w:color w:val="000000" w:themeColor="text1"/>
          <w:sz w:val="24"/>
          <w14:textFill>
            <w14:solidFill>
              <w14:schemeClr w14:val="tx1"/>
            </w14:solidFill>
          </w14:textFill>
        </w:rPr>
      </w:pPr>
      <w:r>
        <w:rPr>
          <w:rFonts w:hint="eastAsia" w:ascii="华文仿宋" w:hAnsi="华文仿宋" w:eastAsia="华文仿宋"/>
          <w:b/>
          <w:bCs/>
          <w:color w:val="000000" w:themeColor="text1"/>
          <w:sz w:val="24"/>
          <w14:textFill>
            <w14:solidFill>
              <w14:schemeClr w14:val="tx1"/>
            </w14:solidFill>
          </w14:textFill>
        </w:rPr>
        <w:t>7.</w:t>
      </w:r>
      <w:r>
        <w:rPr>
          <w:rFonts w:hint="eastAsia" w:ascii="华文仿宋" w:hAnsi="华文仿宋" w:eastAsia="华文仿宋"/>
          <w:color w:val="000000" w:themeColor="text1"/>
          <w:sz w:val="24"/>
          <w14:textFill>
            <w14:solidFill>
              <w14:schemeClr w14:val="tx1"/>
            </w14:solidFill>
          </w14:textFill>
        </w:rPr>
        <w:t xml:space="preserve"> </w:t>
      </w:r>
      <w:r>
        <w:rPr>
          <w:rFonts w:hint="eastAsia" w:ascii="华文仿宋" w:hAnsi="华文仿宋" w:eastAsia="华文仿宋"/>
          <w:b/>
          <w:bCs/>
          <w:color w:val="000000" w:themeColor="text1"/>
          <w:sz w:val="24"/>
          <w14:textFill>
            <w14:solidFill>
              <w14:schemeClr w14:val="tx1"/>
            </w14:solidFill>
          </w14:textFill>
        </w:rPr>
        <w:t>工作考核及付款方式</w:t>
      </w:r>
    </w:p>
    <w:p w14:paraId="11D42113">
      <w:pPr>
        <w:spacing w:line="440" w:lineRule="exact"/>
        <w:ind w:firstLine="480" w:firstLineChars="200"/>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7.1一次性安排预算的采购项目</w:t>
      </w:r>
    </w:p>
    <w:p w14:paraId="493045A0">
      <w:pPr>
        <w:spacing w:line="440" w:lineRule="exact"/>
        <w:ind w:firstLine="480" w:firstLineChars="200"/>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7</w:t>
      </w:r>
      <w:r>
        <w:rPr>
          <w:rFonts w:ascii="仿宋" w:hAnsi="仿宋" w:eastAsia="仿宋"/>
          <w:color w:val="000000" w:themeColor="text1"/>
          <w:sz w:val="24"/>
          <w14:textFill>
            <w14:solidFill>
              <w14:schemeClr w14:val="tx1"/>
            </w14:solidFill>
          </w14:textFill>
        </w:rPr>
        <w:t>.1.1</w:t>
      </w:r>
      <w:r>
        <w:rPr>
          <w:rFonts w:hint="eastAsia" w:ascii="仿宋" w:hAnsi="仿宋" w:eastAsia="仿宋"/>
          <w:color w:val="000000" w:themeColor="text1"/>
          <w:sz w:val="24"/>
          <w14:textFill>
            <w14:solidFill>
              <w14:schemeClr w14:val="tx1"/>
            </w14:solidFill>
          </w14:textFill>
        </w:rPr>
        <w:t>付款方式：</w:t>
      </w:r>
    </w:p>
    <w:p w14:paraId="3ECAEF0D">
      <w:pPr>
        <w:spacing w:line="440" w:lineRule="exact"/>
        <w:ind w:firstLine="480" w:firstLineChars="200"/>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在合同生效以及具备实施条件后7个工作日内支付至合同金额的50%作为预付款，项目完成后7个工作日内支付剩余款项。</w:t>
      </w:r>
    </w:p>
    <w:p w14:paraId="3F1D48E5">
      <w:pPr>
        <w:spacing w:line="440" w:lineRule="exact"/>
        <w:ind w:firstLine="480" w:firstLineChars="200"/>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注：若中标供应商明确表示无需预付款或者主动要求降低预付款比例的，采购人可不适用前述规定。</w:t>
      </w:r>
    </w:p>
    <w:p w14:paraId="6B610002">
      <w:pPr>
        <w:spacing w:line="440" w:lineRule="exact"/>
        <w:ind w:firstLine="482" w:firstLineChars="200"/>
        <w:rPr>
          <w:rFonts w:ascii="华文仿宋" w:hAnsi="华文仿宋" w:eastAsia="华文仿宋"/>
          <w:b/>
          <w:color w:val="000000" w:themeColor="text1"/>
          <w:sz w:val="24"/>
          <w14:textFill>
            <w14:solidFill>
              <w14:schemeClr w14:val="tx1"/>
            </w14:solidFill>
          </w14:textFill>
        </w:rPr>
      </w:pPr>
      <w:r>
        <w:rPr>
          <w:rFonts w:ascii="华文仿宋" w:hAnsi="华文仿宋" w:eastAsia="华文仿宋"/>
          <w:b/>
          <w:color w:val="000000" w:themeColor="text1"/>
          <w:sz w:val="24"/>
          <w14:textFill>
            <w14:solidFill>
              <w14:schemeClr w14:val="tx1"/>
            </w14:solidFill>
          </w14:textFill>
        </w:rPr>
        <w:t>7.</w:t>
      </w:r>
      <w:r>
        <w:rPr>
          <w:rFonts w:hint="eastAsia" w:ascii="华文仿宋" w:hAnsi="华文仿宋" w:eastAsia="华文仿宋"/>
          <w:b/>
          <w:color w:val="000000" w:themeColor="text1"/>
          <w:sz w:val="24"/>
          <w14:textFill>
            <w14:solidFill>
              <w14:schemeClr w14:val="tx1"/>
            </w14:solidFill>
          </w14:textFill>
        </w:rPr>
        <w:t>2</w:t>
      </w:r>
      <w:r>
        <w:rPr>
          <w:rFonts w:ascii="华文仿宋" w:hAnsi="华文仿宋" w:eastAsia="华文仿宋"/>
          <w:b/>
          <w:color w:val="000000" w:themeColor="text1"/>
          <w:sz w:val="24"/>
          <w14:textFill>
            <w14:solidFill>
              <w14:schemeClr w14:val="tx1"/>
            </w14:solidFill>
          </w14:textFill>
        </w:rPr>
        <w:t xml:space="preserve"> </w:t>
      </w:r>
      <w:r>
        <w:rPr>
          <w:rFonts w:hint="eastAsia" w:ascii="华文仿宋" w:hAnsi="华文仿宋" w:eastAsia="华文仿宋"/>
          <w:b/>
          <w:color w:val="000000" w:themeColor="text1"/>
          <w:sz w:val="24"/>
          <w14:textFill>
            <w14:solidFill>
              <w14:schemeClr w14:val="tx1"/>
            </w14:solidFill>
          </w14:textFill>
        </w:rPr>
        <w:t>采购人在向供应商支付预付款之前，有权要求供应商向采购人提供与预付款金额相对应的担保措施，担保措施可以是银行、保险公司等金融机构出具的预付款保函或其他担保措施。</w:t>
      </w:r>
    </w:p>
    <w:p w14:paraId="7F8AFF74">
      <w:pPr>
        <w:spacing w:line="440" w:lineRule="exact"/>
        <w:rPr>
          <w:rFonts w:ascii="仿宋" w:hAnsi="仿宋" w:eastAsia="仿宋"/>
          <w:sz w:val="24"/>
        </w:rPr>
      </w:pPr>
      <w:r>
        <w:rPr>
          <w:rFonts w:hint="eastAsia" w:ascii="仿宋" w:hAnsi="仿宋" w:eastAsia="仿宋"/>
          <w:b/>
          <w:bCs/>
          <w:sz w:val="24"/>
        </w:rPr>
        <w:t>8.支付</w:t>
      </w:r>
      <w:r>
        <w:rPr>
          <w:rFonts w:hint="eastAsia" w:ascii="仿宋" w:hAnsi="仿宋" w:eastAsia="仿宋"/>
          <w:sz w:val="24"/>
        </w:rPr>
        <w:t>：支付应使用人民币；</w:t>
      </w:r>
    </w:p>
    <w:p w14:paraId="644DF623">
      <w:pPr>
        <w:spacing w:line="440" w:lineRule="exact"/>
        <w:rPr>
          <w:rFonts w:ascii="仿宋" w:hAnsi="仿宋" w:eastAsia="仿宋"/>
          <w:b/>
          <w:bCs/>
          <w:sz w:val="24"/>
        </w:rPr>
      </w:pPr>
      <w:r>
        <w:rPr>
          <w:rFonts w:hint="eastAsia" w:ascii="仿宋" w:hAnsi="仿宋" w:eastAsia="仿宋"/>
          <w:b/>
          <w:bCs/>
          <w:sz w:val="24"/>
        </w:rPr>
        <w:t>9.技术服务</w:t>
      </w:r>
    </w:p>
    <w:p w14:paraId="5330796F">
      <w:pPr>
        <w:spacing w:line="440" w:lineRule="exact"/>
        <w:ind w:firstLine="480" w:firstLineChars="200"/>
        <w:rPr>
          <w:rFonts w:ascii="仿宋" w:hAnsi="仿宋" w:eastAsia="仿宋"/>
          <w:sz w:val="24"/>
        </w:rPr>
      </w:pPr>
      <w:r>
        <w:rPr>
          <w:rFonts w:hint="eastAsia" w:ascii="仿宋" w:hAnsi="仿宋" w:eastAsia="仿宋"/>
          <w:sz w:val="24"/>
        </w:rPr>
        <w:t>供应商应负责安排采购人相关人员进行操作、维修的培训。具体时间及培训内容在投标时由供应商提出建议；</w:t>
      </w:r>
    </w:p>
    <w:p w14:paraId="64D47C53">
      <w:pPr>
        <w:spacing w:line="440" w:lineRule="exact"/>
        <w:rPr>
          <w:rFonts w:ascii="仿宋" w:hAnsi="仿宋" w:eastAsia="仿宋"/>
          <w:b/>
          <w:bCs/>
          <w:sz w:val="24"/>
        </w:rPr>
      </w:pPr>
      <w:r>
        <w:rPr>
          <w:rFonts w:hint="eastAsia" w:ascii="仿宋" w:hAnsi="仿宋" w:eastAsia="仿宋"/>
          <w:b/>
          <w:bCs/>
          <w:sz w:val="24"/>
        </w:rPr>
        <w:t>10.售后服务及承诺</w:t>
      </w:r>
    </w:p>
    <w:p w14:paraId="44C90F18">
      <w:pPr>
        <w:spacing w:line="440" w:lineRule="exact"/>
        <w:ind w:firstLine="480" w:firstLineChars="200"/>
        <w:rPr>
          <w:rFonts w:ascii="仿宋" w:hAnsi="仿宋" w:eastAsia="仿宋"/>
          <w:bCs/>
          <w:sz w:val="24"/>
        </w:rPr>
      </w:pPr>
      <w:r>
        <w:rPr>
          <w:rFonts w:hint="eastAsia" w:ascii="仿宋" w:hAnsi="仿宋" w:eastAsia="仿宋"/>
          <w:bCs/>
          <w:sz w:val="24"/>
        </w:rPr>
        <w:t>10.1供应商应明确承诺售后服务各项内容和措施，提供详细的服务地点、联系人、电话等有关资料；</w:t>
      </w:r>
    </w:p>
    <w:p w14:paraId="7DA652A0">
      <w:pPr>
        <w:spacing w:line="440" w:lineRule="exact"/>
        <w:ind w:firstLine="480" w:firstLineChars="200"/>
        <w:rPr>
          <w:rFonts w:ascii="仿宋" w:hAnsi="仿宋" w:eastAsia="仿宋"/>
          <w:bCs/>
          <w:sz w:val="24"/>
        </w:rPr>
      </w:pPr>
      <w:r>
        <w:rPr>
          <w:rFonts w:hint="eastAsia" w:ascii="仿宋" w:hAnsi="仿宋" w:eastAsia="仿宋"/>
          <w:bCs/>
          <w:sz w:val="24"/>
        </w:rPr>
        <w:t>10.2</w:t>
      </w:r>
      <w:r>
        <w:rPr>
          <w:rFonts w:hint="eastAsia" w:ascii="仿宋" w:hAnsi="仿宋" w:eastAsia="仿宋"/>
          <w:b/>
          <w:bCs/>
          <w:sz w:val="24"/>
        </w:rPr>
        <w:t>服务期：详见招标文件要求</w:t>
      </w:r>
      <w:r>
        <w:rPr>
          <w:rFonts w:hint="eastAsia" w:ascii="仿宋" w:hAnsi="仿宋" w:eastAsia="仿宋"/>
          <w:bCs/>
          <w:sz w:val="24"/>
        </w:rPr>
        <w:t>。在服务期内，因服务质量所发生的一切费用均由供应商承担；</w:t>
      </w:r>
    </w:p>
    <w:p w14:paraId="1332590D">
      <w:pPr>
        <w:spacing w:line="440" w:lineRule="exact"/>
        <w:rPr>
          <w:rFonts w:ascii="仿宋" w:hAnsi="仿宋" w:eastAsia="仿宋"/>
          <w:b/>
          <w:bCs/>
          <w:sz w:val="24"/>
        </w:rPr>
      </w:pPr>
      <w:r>
        <w:rPr>
          <w:rFonts w:hint="eastAsia" w:ascii="仿宋" w:hAnsi="仿宋" w:eastAsia="仿宋"/>
          <w:b/>
          <w:bCs/>
          <w:sz w:val="24"/>
        </w:rPr>
        <w:t>11.履约保证及后续服务</w:t>
      </w:r>
    </w:p>
    <w:p w14:paraId="7087A010">
      <w:pPr>
        <w:spacing w:line="440" w:lineRule="exact"/>
        <w:ind w:firstLine="482" w:firstLineChars="200"/>
        <w:rPr>
          <w:rFonts w:ascii="仿宋" w:hAnsi="仿宋" w:eastAsia="仿宋"/>
          <w:bCs/>
          <w:sz w:val="24"/>
        </w:rPr>
      </w:pPr>
      <w:r>
        <w:rPr>
          <w:rFonts w:hint="eastAsia" w:ascii="仿宋" w:hAnsi="仿宋" w:eastAsia="仿宋"/>
          <w:b/>
          <w:bCs/>
          <w:sz w:val="24"/>
        </w:rPr>
        <w:t>1</w:t>
      </w:r>
      <w:r>
        <w:rPr>
          <w:rFonts w:ascii="仿宋" w:hAnsi="仿宋" w:eastAsia="仿宋"/>
          <w:b/>
          <w:bCs/>
          <w:sz w:val="24"/>
        </w:rPr>
        <w:t>1.1</w:t>
      </w:r>
      <w:r>
        <w:rPr>
          <w:rFonts w:hint="eastAsia" w:ascii="仿宋" w:hAnsi="仿宋" w:eastAsia="仿宋"/>
          <w:bCs/>
          <w:sz w:val="24"/>
        </w:rPr>
        <w:t xml:space="preserve"> 供应商应按招标文件规定的服务标准向采购人提供服务。</w:t>
      </w:r>
    </w:p>
    <w:p w14:paraId="725426AC">
      <w:pPr>
        <w:spacing w:line="440" w:lineRule="exact"/>
        <w:ind w:firstLine="480" w:firstLineChars="200"/>
        <w:rPr>
          <w:rFonts w:ascii="仿宋" w:hAnsi="仿宋" w:eastAsia="仿宋"/>
          <w:bCs/>
          <w:sz w:val="24"/>
        </w:rPr>
      </w:pPr>
      <w:r>
        <w:rPr>
          <w:rFonts w:hint="eastAsia" w:ascii="仿宋" w:hAnsi="仿宋" w:eastAsia="仿宋"/>
          <w:bCs/>
          <w:sz w:val="24"/>
        </w:rPr>
        <w:t>11.2 如采购人检查发现供应商提供的服务服务不符合标准要求，供应商应立即进行整改，直到符合要求为止。采购人可根据考核标准中扣除供应商因检查不合格而应该扣罚的款项（扣罚款项在签订合同时明确）。</w:t>
      </w:r>
    </w:p>
    <w:p w14:paraId="78BE0E98">
      <w:pPr>
        <w:spacing w:line="440" w:lineRule="exact"/>
        <w:ind w:firstLine="480" w:firstLineChars="200"/>
        <w:rPr>
          <w:rFonts w:ascii="仿宋" w:hAnsi="仿宋" w:eastAsia="仿宋"/>
          <w:bCs/>
          <w:sz w:val="24"/>
        </w:rPr>
      </w:pPr>
      <w:r>
        <w:rPr>
          <w:rFonts w:hint="eastAsia" w:ascii="仿宋" w:hAnsi="仿宋" w:eastAsia="仿宋"/>
          <w:bCs/>
          <w:sz w:val="24"/>
        </w:rPr>
        <w:t>11.3 供应商提供的服务人员不符合本合同约定的数额，供应商应当自接到采购人通知之日起2日内予以补足，采购人有权按照缺岗天数及缺岗人数扣除相应的履约保证金。</w:t>
      </w:r>
    </w:p>
    <w:p w14:paraId="280E304D">
      <w:pPr>
        <w:spacing w:line="440" w:lineRule="exact"/>
        <w:ind w:firstLine="480" w:firstLineChars="200"/>
        <w:rPr>
          <w:rFonts w:ascii="仿宋" w:hAnsi="仿宋" w:eastAsia="仿宋"/>
          <w:bCs/>
          <w:sz w:val="24"/>
        </w:rPr>
      </w:pPr>
      <w:r>
        <w:rPr>
          <w:rFonts w:hint="eastAsia" w:ascii="仿宋" w:hAnsi="仿宋" w:eastAsia="仿宋"/>
          <w:bCs/>
          <w:sz w:val="24"/>
        </w:rPr>
        <w:t>11.4 由于供应商服务人员原因在服务工作中给采购人的设施、材料造成损失，供应商应负责赔偿。</w:t>
      </w:r>
    </w:p>
    <w:p w14:paraId="4CC0F625">
      <w:pPr>
        <w:spacing w:line="440" w:lineRule="exact"/>
        <w:ind w:firstLine="480" w:firstLineChars="200"/>
        <w:rPr>
          <w:rFonts w:ascii="仿宋" w:hAnsi="仿宋" w:eastAsia="仿宋"/>
          <w:bCs/>
          <w:sz w:val="24"/>
        </w:rPr>
      </w:pPr>
      <w:r>
        <w:rPr>
          <w:rFonts w:hint="eastAsia" w:ascii="仿宋" w:hAnsi="仿宋" w:eastAsia="仿宋"/>
          <w:bCs/>
          <w:sz w:val="24"/>
        </w:rPr>
        <w:t>11.5 在使用过程中发生问题，供应商在接到采购人通知后在    小时内到达采购人现场。</w:t>
      </w:r>
    </w:p>
    <w:p w14:paraId="70CA4B33">
      <w:pPr>
        <w:spacing w:line="440" w:lineRule="exact"/>
        <w:ind w:firstLine="480" w:firstLineChars="200"/>
        <w:rPr>
          <w:rFonts w:ascii="仿宋" w:hAnsi="仿宋" w:eastAsia="仿宋"/>
          <w:bCs/>
          <w:sz w:val="24"/>
        </w:rPr>
      </w:pPr>
      <w:r>
        <w:rPr>
          <w:rFonts w:hint="eastAsia" w:ascii="仿宋" w:hAnsi="仿宋" w:eastAsia="仿宋"/>
          <w:bCs/>
          <w:sz w:val="24"/>
        </w:rPr>
        <w:t>11.6 在服务质量保证期内，供应商应对出现的服务质量及安全问题负责处理解决并承担一切费用。</w:t>
      </w:r>
    </w:p>
    <w:p w14:paraId="7F7C5D8C">
      <w:pPr>
        <w:spacing w:line="440" w:lineRule="exact"/>
        <w:rPr>
          <w:rFonts w:ascii="仿宋" w:hAnsi="仿宋" w:eastAsia="仿宋"/>
          <w:b/>
          <w:bCs/>
          <w:sz w:val="24"/>
        </w:rPr>
      </w:pPr>
      <w:r>
        <w:rPr>
          <w:rFonts w:hint="eastAsia" w:ascii="仿宋" w:hAnsi="仿宋" w:eastAsia="仿宋"/>
          <w:b/>
          <w:bCs/>
          <w:sz w:val="24"/>
        </w:rPr>
        <w:t>12.违约责任</w:t>
      </w:r>
    </w:p>
    <w:p w14:paraId="128421B7">
      <w:pPr>
        <w:spacing w:line="440" w:lineRule="exact"/>
        <w:ind w:firstLine="480" w:firstLineChars="200"/>
        <w:rPr>
          <w:rFonts w:ascii="仿宋" w:hAnsi="仿宋" w:eastAsia="仿宋"/>
          <w:bCs/>
          <w:sz w:val="24"/>
        </w:rPr>
      </w:pPr>
      <w:r>
        <w:rPr>
          <w:rFonts w:hint="eastAsia" w:ascii="仿宋" w:hAnsi="仿宋" w:eastAsia="仿宋"/>
          <w:bCs/>
          <w:sz w:val="24"/>
        </w:rPr>
        <w:t>12.1 采购人无正当理由拒收接受服务的，采购人向供应商偿付合同款项百分之五作为违约金。</w:t>
      </w:r>
    </w:p>
    <w:p w14:paraId="5277F96F">
      <w:pPr>
        <w:spacing w:line="440" w:lineRule="exact"/>
        <w:ind w:firstLine="480" w:firstLineChars="200"/>
        <w:rPr>
          <w:rFonts w:ascii="仿宋" w:hAnsi="仿宋" w:eastAsia="仿宋"/>
          <w:bCs/>
          <w:sz w:val="24"/>
        </w:rPr>
      </w:pPr>
      <w:r>
        <w:rPr>
          <w:rFonts w:hint="eastAsia" w:ascii="仿宋" w:hAnsi="仿宋" w:eastAsia="仿宋"/>
          <w:bCs/>
          <w:sz w:val="24"/>
        </w:rPr>
        <w:t>12.2 采购人无故逾期验收和办理款项支付手续的,采购人应按逾期付款总额每日万分之五向供应商支付违约金。</w:t>
      </w:r>
    </w:p>
    <w:p w14:paraId="63C0D1BF">
      <w:pPr>
        <w:spacing w:line="440" w:lineRule="exact"/>
        <w:ind w:firstLine="480" w:firstLineChars="200"/>
        <w:rPr>
          <w:rFonts w:ascii="仿宋" w:hAnsi="仿宋" w:eastAsia="仿宋"/>
          <w:bCs/>
          <w:sz w:val="24"/>
        </w:rPr>
      </w:pPr>
      <w:r>
        <w:rPr>
          <w:rFonts w:hint="eastAsia" w:ascii="仿宋" w:hAnsi="仿宋" w:eastAsia="仿宋"/>
          <w:bCs/>
          <w:sz w:val="24"/>
        </w:rPr>
        <w:t>12.3 供应商不按约定提供服务的，每日向采购人支付千分之六违约金。逾期提供服务超过约定日期10个工作日的，采购人可解除本合同。供应商因逾期提供服务或因其他违约行为导致采购人解除合同的，供应商应向采购人支付合同总值5%的违约金，如造成采购人损失超过违约金的，超出部分由供应商继续承担赔偿责任。</w:t>
      </w:r>
    </w:p>
    <w:p w14:paraId="43B5E184">
      <w:pPr>
        <w:spacing w:line="440" w:lineRule="exact"/>
        <w:ind w:firstLine="480" w:firstLineChars="200"/>
        <w:rPr>
          <w:rFonts w:ascii="仿宋" w:hAnsi="仿宋" w:eastAsia="仿宋"/>
          <w:bCs/>
          <w:sz w:val="24"/>
        </w:rPr>
      </w:pPr>
      <w:r>
        <w:rPr>
          <w:rFonts w:ascii="仿宋" w:hAnsi="仿宋" w:eastAsia="仿宋"/>
          <w:bCs/>
          <w:sz w:val="24"/>
        </w:rPr>
        <w:t>12.4</w:t>
      </w:r>
      <w:r>
        <w:rPr>
          <w:rFonts w:hint="eastAsia" w:ascii="仿宋" w:hAnsi="仿宋" w:eastAsia="仿宋"/>
          <w:sz w:val="24"/>
        </w:rPr>
        <w:t>如供应商提供的服务或与服务相关的物品存在知识产权纠纷而导致本合同无法继续履行，在采购人发函要求解决相关知识产权问题后</w:t>
      </w:r>
      <w:r>
        <w:rPr>
          <w:rFonts w:ascii="仿宋" w:hAnsi="仿宋" w:eastAsia="仿宋"/>
          <w:sz w:val="24"/>
        </w:rPr>
        <w:t>x</w:t>
      </w:r>
      <w:r>
        <w:rPr>
          <w:rFonts w:hint="eastAsia" w:ascii="仿宋" w:hAnsi="仿宋" w:eastAsia="仿宋"/>
          <w:sz w:val="24"/>
        </w:rPr>
        <w:t>日内仍未解决的，则采购人有权单方终止本合同的履行，并要求供应商承担相应赔偿责任。</w:t>
      </w:r>
      <w:r>
        <w:rPr>
          <w:rFonts w:hint="eastAsia" w:ascii="仿宋" w:hAnsi="仿宋" w:eastAsia="仿宋"/>
          <w:bCs/>
          <w:sz w:val="24"/>
        </w:rPr>
        <w:t xml:space="preserve"> </w:t>
      </w:r>
    </w:p>
    <w:p w14:paraId="675E5D8D">
      <w:pPr>
        <w:spacing w:line="440" w:lineRule="exact"/>
        <w:rPr>
          <w:rFonts w:ascii="仿宋" w:hAnsi="仿宋" w:eastAsia="仿宋"/>
          <w:b/>
          <w:bCs/>
          <w:sz w:val="24"/>
        </w:rPr>
      </w:pPr>
      <w:r>
        <w:rPr>
          <w:rFonts w:hint="eastAsia" w:ascii="仿宋" w:hAnsi="仿宋" w:eastAsia="仿宋"/>
          <w:b/>
          <w:bCs/>
          <w:sz w:val="24"/>
        </w:rPr>
        <w:t>13.不可抗力事件处理</w:t>
      </w:r>
    </w:p>
    <w:p w14:paraId="5FF90BCF">
      <w:pPr>
        <w:spacing w:line="440" w:lineRule="exact"/>
        <w:ind w:firstLine="480" w:firstLineChars="200"/>
        <w:rPr>
          <w:rFonts w:ascii="仿宋" w:hAnsi="仿宋" w:eastAsia="仿宋"/>
          <w:bCs/>
          <w:sz w:val="24"/>
        </w:rPr>
      </w:pPr>
      <w:r>
        <w:rPr>
          <w:rFonts w:hint="eastAsia" w:ascii="仿宋" w:hAnsi="仿宋" w:eastAsia="仿宋"/>
          <w:bCs/>
          <w:sz w:val="24"/>
        </w:rPr>
        <w:t>13.1 在合同有效期内，任何一方因不可抗力事件导致不能履行合同，则合同履行期可延长，其延长期与不可抗力影响期相同。</w:t>
      </w:r>
    </w:p>
    <w:p w14:paraId="20E0D42C">
      <w:pPr>
        <w:spacing w:line="440" w:lineRule="exact"/>
        <w:ind w:firstLine="480" w:firstLineChars="200"/>
        <w:rPr>
          <w:rFonts w:ascii="仿宋" w:hAnsi="仿宋" w:eastAsia="仿宋"/>
          <w:bCs/>
          <w:sz w:val="24"/>
        </w:rPr>
      </w:pPr>
      <w:r>
        <w:rPr>
          <w:rFonts w:hint="eastAsia" w:ascii="仿宋" w:hAnsi="仿宋" w:eastAsia="仿宋"/>
          <w:bCs/>
          <w:sz w:val="24"/>
        </w:rPr>
        <w:t>13.2 不可抗力事件发生后，应立即通知对方，并寄送有关权威机构出具的证明。</w:t>
      </w:r>
    </w:p>
    <w:p w14:paraId="456257D7">
      <w:pPr>
        <w:spacing w:line="440" w:lineRule="exact"/>
        <w:ind w:firstLine="480" w:firstLineChars="200"/>
        <w:rPr>
          <w:rFonts w:ascii="仿宋" w:hAnsi="仿宋" w:eastAsia="仿宋"/>
          <w:bCs/>
          <w:sz w:val="24"/>
        </w:rPr>
      </w:pPr>
      <w:r>
        <w:rPr>
          <w:rFonts w:hint="eastAsia" w:ascii="仿宋" w:hAnsi="仿宋" w:eastAsia="仿宋"/>
          <w:bCs/>
          <w:sz w:val="24"/>
        </w:rPr>
        <w:t>13.3 不可抗力事件延续120天以上，双方应通过友好协商，确定是否继续履行合同。</w:t>
      </w:r>
    </w:p>
    <w:p w14:paraId="5023C0FC">
      <w:pPr>
        <w:spacing w:line="440" w:lineRule="exact"/>
        <w:rPr>
          <w:rFonts w:ascii="仿宋" w:hAnsi="仿宋" w:eastAsia="仿宋"/>
          <w:bCs/>
          <w:sz w:val="24"/>
        </w:rPr>
      </w:pPr>
      <w:r>
        <w:rPr>
          <w:rFonts w:hint="eastAsia" w:ascii="仿宋" w:hAnsi="仿宋" w:eastAsia="仿宋"/>
          <w:b/>
          <w:bCs/>
          <w:sz w:val="24"/>
        </w:rPr>
        <w:t>14.</w:t>
      </w:r>
      <w:r>
        <w:rPr>
          <w:rFonts w:hint="eastAsia" w:ascii="仿宋" w:hAnsi="仿宋" w:eastAsia="仿宋"/>
          <w:bCs/>
          <w:sz w:val="24"/>
        </w:rPr>
        <w:t xml:space="preserve"> </w:t>
      </w:r>
      <w:r>
        <w:rPr>
          <w:rFonts w:hint="eastAsia" w:ascii="仿宋" w:hAnsi="仿宋" w:eastAsia="仿宋"/>
          <w:b/>
          <w:bCs/>
          <w:sz w:val="24"/>
        </w:rPr>
        <w:t>争议解决</w:t>
      </w:r>
    </w:p>
    <w:p w14:paraId="3A0D5DB0">
      <w:pPr>
        <w:spacing w:line="440" w:lineRule="exact"/>
        <w:ind w:firstLine="480" w:firstLineChars="200"/>
        <w:rPr>
          <w:rFonts w:ascii="仿宋" w:hAnsi="仿宋" w:eastAsia="仿宋"/>
          <w:sz w:val="24"/>
        </w:rPr>
      </w:pPr>
      <w:r>
        <w:rPr>
          <w:rFonts w:hint="eastAsia" w:ascii="仿宋" w:hAnsi="仿宋" w:eastAsia="仿宋"/>
          <w:sz w:val="24"/>
        </w:rPr>
        <w:t>14.1在执行本合同中所发生的或与本合同有关的一切争端，合同双方应通过友好协商解决，经过协商仍不能解决，双方选择通过下列第</w:t>
      </w:r>
      <w:r>
        <w:rPr>
          <w:rFonts w:ascii="仿宋" w:hAnsi="仿宋" w:eastAsia="仿宋"/>
          <w:sz w:val="24"/>
        </w:rPr>
        <w:t>x</w:t>
      </w:r>
      <w:r>
        <w:rPr>
          <w:rFonts w:hint="eastAsia" w:ascii="仿宋" w:hAnsi="仿宋" w:eastAsia="仿宋"/>
          <w:sz w:val="24"/>
        </w:rPr>
        <w:t>种方式解决：</w:t>
      </w:r>
    </w:p>
    <w:p w14:paraId="6D53949B">
      <w:pPr>
        <w:spacing w:line="440" w:lineRule="exact"/>
        <w:ind w:firstLine="480" w:firstLineChars="200"/>
        <w:rPr>
          <w:rFonts w:ascii="仿宋" w:hAnsi="仿宋" w:eastAsia="仿宋"/>
          <w:sz w:val="24"/>
        </w:rPr>
      </w:pPr>
      <w:r>
        <w:rPr>
          <w:rFonts w:hint="eastAsia" w:ascii="仿宋" w:hAnsi="仿宋" w:eastAsia="仿宋"/>
          <w:sz w:val="24"/>
        </w:rPr>
        <w:t>（1）将争端提交湖州仲裁委员会仲裁</w:t>
      </w:r>
    </w:p>
    <w:p w14:paraId="772BCE68">
      <w:pPr>
        <w:spacing w:line="440" w:lineRule="exact"/>
        <w:ind w:firstLine="480" w:firstLineChars="200"/>
        <w:rPr>
          <w:rFonts w:ascii="仿宋" w:hAnsi="仿宋" w:eastAsia="仿宋"/>
          <w:sz w:val="24"/>
        </w:rPr>
      </w:pPr>
      <w:r>
        <w:rPr>
          <w:rFonts w:hint="eastAsia" w:ascii="仿宋" w:hAnsi="仿宋" w:eastAsia="仿宋"/>
          <w:sz w:val="24"/>
        </w:rPr>
        <w:t>（2）直接向采购人所在地有管辖权的人民法院起诉。</w:t>
      </w:r>
    </w:p>
    <w:p w14:paraId="76628FCC">
      <w:pPr>
        <w:spacing w:line="440" w:lineRule="exact"/>
        <w:ind w:firstLine="480" w:firstLineChars="200"/>
        <w:rPr>
          <w:rFonts w:ascii="仿宋" w:hAnsi="仿宋" w:eastAsia="仿宋"/>
          <w:sz w:val="24"/>
        </w:rPr>
      </w:pPr>
      <w:r>
        <w:rPr>
          <w:rFonts w:hint="eastAsia" w:ascii="仿宋" w:hAnsi="仿宋" w:eastAsia="仿宋"/>
          <w:sz w:val="24"/>
        </w:rPr>
        <w:t>14.</w:t>
      </w:r>
      <w:r>
        <w:rPr>
          <w:rFonts w:ascii="仿宋" w:hAnsi="仿宋" w:eastAsia="仿宋"/>
          <w:sz w:val="24"/>
        </w:rPr>
        <w:t>2</w:t>
      </w:r>
      <w:r>
        <w:rPr>
          <w:rFonts w:hint="eastAsia" w:ascii="仿宋" w:hAnsi="仿宋" w:eastAsia="仿宋"/>
          <w:sz w:val="24"/>
        </w:rPr>
        <w:t>仲裁费用或诉讼费用应由败诉方负担。</w:t>
      </w:r>
    </w:p>
    <w:p w14:paraId="7651D36B">
      <w:pPr>
        <w:spacing w:line="440" w:lineRule="exact"/>
        <w:ind w:firstLine="480" w:firstLineChars="200"/>
        <w:rPr>
          <w:rFonts w:ascii="仿宋" w:hAnsi="仿宋" w:eastAsia="仿宋"/>
          <w:sz w:val="24"/>
        </w:rPr>
      </w:pPr>
      <w:r>
        <w:rPr>
          <w:rFonts w:hint="eastAsia" w:ascii="仿宋" w:hAnsi="仿宋" w:eastAsia="仿宋"/>
          <w:sz w:val="24"/>
        </w:rPr>
        <w:t>14.</w:t>
      </w:r>
      <w:r>
        <w:rPr>
          <w:rFonts w:ascii="仿宋" w:hAnsi="仿宋" w:eastAsia="仿宋"/>
          <w:sz w:val="24"/>
        </w:rPr>
        <w:t>3</w:t>
      </w:r>
      <w:r>
        <w:rPr>
          <w:rFonts w:hint="eastAsia" w:ascii="仿宋" w:hAnsi="仿宋" w:eastAsia="仿宋"/>
          <w:sz w:val="24"/>
        </w:rPr>
        <w:t>在仲裁或诉讼期间，除进行仲裁或诉讼的部分外，本合同其它部分应继续执行。</w:t>
      </w:r>
    </w:p>
    <w:p w14:paraId="2A46CCDF">
      <w:pPr>
        <w:spacing w:line="440" w:lineRule="exact"/>
        <w:rPr>
          <w:rFonts w:ascii="仿宋" w:hAnsi="仿宋" w:eastAsia="仿宋"/>
          <w:b/>
          <w:bCs/>
          <w:sz w:val="24"/>
        </w:rPr>
      </w:pPr>
      <w:r>
        <w:rPr>
          <w:rFonts w:hint="eastAsia" w:ascii="仿宋" w:hAnsi="仿宋" w:eastAsia="仿宋"/>
          <w:b/>
          <w:bCs/>
          <w:sz w:val="24"/>
        </w:rPr>
        <w:t>15.转让或分包</w:t>
      </w:r>
    </w:p>
    <w:p w14:paraId="0F70DA3F">
      <w:pPr>
        <w:spacing w:line="440" w:lineRule="exact"/>
        <w:ind w:firstLine="480" w:firstLineChars="200"/>
        <w:rPr>
          <w:rFonts w:ascii="仿宋" w:hAnsi="仿宋" w:eastAsia="仿宋"/>
          <w:sz w:val="24"/>
        </w:rPr>
      </w:pPr>
      <w:r>
        <w:rPr>
          <w:rFonts w:hint="eastAsia" w:ascii="仿宋" w:hAnsi="仿宋" w:eastAsia="仿宋"/>
          <w:sz w:val="24"/>
        </w:rPr>
        <w:t>15.1本合同范围的服务，应由供应商提供，不得转让他人供应；</w:t>
      </w:r>
    </w:p>
    <w:p w14:paraId="30AC96B1">
      <w:pPr>
        <w:spacing w:line="440" w:lineRule="exact"/>
        <w:ind w:firstLine="480" w:firstLineChars="200"/>
        <w:rPr>
          <w:rFonts w:ascii="仿宋" w:hAnsi="仿宋" w:eastAsia="仿宋"/>
          <w:sz w:val="24"/>
        </w:rPr>
      </w:pPr>
      <w:r>
        <w:rPr>
          <w:rFonts w:hint="eastAsia" w:ascii="仿宋" w:hAnsi="仿宋" w:eastAsia="仿宋"/>
          <w:sz w:val="24"/>
        </w:rPr>
        <w:t>15.2除非得到采购人的书面同意后，供应商可以将其中部分依法分包给他人供应和实施。采购人有绝对权力阻止分包。虽然采购人之前未有阻止分包，采购人仍有权在任何时候拒绝任何分包人，有权要求任何分包人脱离本货物的供应和服务，并不承担任何赔偿责任。</w:t>
      </w:r>
    </w:p>
    <w:p w14:paraId="193EEF7E">
      <w:pPr>
        <w:spacing w:line="440" w:lineRule="exact"/>
        <w:ind w:firstLine="480" w:firstLineChars="200"/>
        <w:rPr>
          <w:rFonts w:ascii="仿宋" w:hAnsi="仿宋" w:eastAsia="仿宋"/>
          <w:sz w:val="24"/>
        </w:rPr>
      </w:pPr>
      <w:r>
        <w:rPr>
          <w:rFonts w:hint="eastAsia" w:ascii="仿宋" w:hAnsi="仿宋" w:eastAsia="仿宋"/>
          <w:sz w:val="24"/>
        </w:rPr>
        <w:t>15.3本合同全部或部分的分包不能减轻供应商承担的责任，供应商仍须将分包人的任何行动、错误或疏忽当作是自己完成的并负全责；</w:t>
      </w:r>
    </w:p>
    <w:p w14:paraId="6B179449">
      <w:pPr>
        <w:spacing w:line="440" w:lineRule="exact"/>
        <w:ind w:firstLine="480" w:firstLineChars="200"/>
        <w:rPr>
          <w:rFonts w:ascii="仿宋" w:hAnsi="仿宋" w:eastAsia="仿宋"/>
          <w:sz w:val="24"/>
        </w:rPr>
      </w:pPr>
      <w:r>
        <w:rPr>
          <w:rFonts w:ascii="仿宋" w:hAnsi="仿宋" w:eastAsia="仿宋"/>
          <w:sz w:val="24"/>
        </w:rPr>
        <w:t>15</w:t>
      </w:r>
      <w:r>
        <w:rPr>
          <w:rFonts w:hint="eastAsia" w:ascii="仿宋" w:hAnsi="仿宋" w:eastAsia="仿宋"/>
          <w:sz w:val="24"/>
        </w:rPr>
        <w:t>.4在任何分包合同中，须注明分包人按分包合同的范围履行，在供应商按本合同的履行终止时（不论任何原因），亦同时一并终止；</w:t>
      </w:r>
    </w:p>
    <w:p w14:paraId="4216A69D">
      <w:pPr>
        <w:spacing w:line="440" w:lineRule="exact"/>
        <w:ind w:firstLine="480" w:firstLineChars="200"/>
        <w:rPr>
          <w:rFonts w:ascii="仿宋" w:hAnsi="仿宋" w:eastAsia="仿宋"/>
          <w:sz w:val="24"/>
        </w:rPr>
      </w:pPr>
      <w:r>
        <w:rPr>
          <w:rFonts w:hint="eastAsia" w:ascii="仿宋" w:hAnsi="仿宋" w:eastAsia="仿宋"/>
          <w:sz w:val="24"/>
        </w:rPr>
        <w:t>15.5如有转让和未经采购人同意的分包行为，采购人有权给予终止合同。</w:t>
      </w:r>
    </w:p>
    <w:p w14:paraId="18FDA641">
      <w:pPr>
        <w:spacing w:line="440" w:lineRule="exact"/>
        <w:rPr>
          <w:rFonts w:ascii="仿宋" w:hAnsi="仿宋" w:eastAsia="仿宋"/>
          <w:b/>
          <w:bCs/>
          <w:sz w:val="24"/>
        </w:rPr>
      </w:pPr>
      <w:r>
        <w:rPr>
          <w:rFonts w:hint="eastAsia" w:ascii="仿宋" w:hAnsi="仿宋" w:eastAsia="仿宋"/>
          <w:b/>
          <w:bCs/>
          <w:sz w:val="24"/>
        </w:rPr>
        <w:t>16.适用法律</w:t>
      </w:r>
    </w:p>
    <w:p w14:paraId="2C00B524">
      <w:pPr>
        <w:spacing w:line="440" w:lineRule="exact"/>
        <w:ind w:firstLine="480" w:firstLineChars="200"/>
        <w:rPr>
          <w:rFonts w:ascii="仿宋" w:hAnsi="仿宋" w:eastAsia="仿宋"/>
          <w:bCs/>
          <w:sz w:val="24"/>
        </w:rPr>
      </w:pPr>
      <w:r>
        <w:rPr>
          <w:rFonts w:hint="eastAsia" w:ascii="仿宋" w:hAnsi="仿宋" w:eastAsia="仿宋"/>
          <w:sz w:val="24"/>
        </w:rPr>
        <w:t>合同适用法律有《中华人民共和国政府采购法》、《中华人民共和国合同法》、《中华人民共和国产品质量法》和浙江省有关条例等。</w:t>
      </w:r>
    </w:p>
    <w:p w14:paraId="1BF123CD">
      <w:pPr>
        <w:spacing w:line="440" w:lineRule="exact"/>
        <w:rPr>
          <w:rFonts w:ascii="仿宋" w:hAnsi="仿宋" w:eastAsia="仿宋"/>
          <w:b/>
          <w:bCs/>
          <w:sz w:val="24"/>
        </w:rPr>
      </w:pPr>
      <w:r>
        <w:rPr>
          <w:rFonts w:hint="eastAsia" w:ascii="仿宋" w:hAnsi="仿宋" w:eastAsia="仿宋"/>
          <w:b/>
          <w:bCs/>
          <w:sz w:val="24"/>
        </w:rPr>
        <w:t>17.合同生效及其他</w:t>
      </w:r>
    </w:p>
    <w:p w14:paraId="091E3827">
      <w:pPr>
        <w:spacing w:line="440" w:lineRule="exact"/>
        <w:ind w:firstLine="480" w:firstLineChars="200"/>
        <w:rPr>
          <w:rFonts w:ascii="仿宋" w:hAnsi="仿宋" w:eastAsia="仿宋"/>
          <w:bCs/>
          <w:sz w:val="24"/>
        </w:rPr>
      </w:pPr>
      <w:r>
        <w:rPr>
          <w:rFonts w:hint="eastAsia" w:ascii="仿宋" w:hAnsi="仿宋" w:eastAsia="仿宋"/>
          <w:bCs/>
          <w:sz w:val="24"/>
        </w:rPr>
        <w:t>17.1本合同经双方法人及法定代表人签字盖章生效；</w:t>
      </w:r>
    </w:p>
    <w:p w14:paraId="18671C43">
      <w:pPr>
        <w:spacing w:line="440" w:lineRule="exact"/>
        <w:ind w:firstLine="480" w:firstLineChars="200"/>
        <w:rPr>
          <w:rFonts w:ascii="仿宋" w:hAnsi="仿宋" w:eastAsia="仿宋"/>
          <w:bCs/>
          <w:sz w:val="24"/>
        </w:rPr>
      </w:pPr>
      <w:r>
        <w:rPr>
          <w:rFonts w:hint="eastAsia" w:ascii="仿宋" w:hAnsi="仿宋" w:eastAsia="仿宋"/>
          <w:bCs/>
          <w:sz w:val="24"/>
        </w:rPr>
        <w:t>17.2本合同一式伍份，供应商、采购人各执贰份，采购代理机构执壹份。</w:t>
      </w:r>
    </w:p>
    <w:p w14:paraId="07F7BB92">
      <w:pPr>
        <w:spacing w:line="440" w:lineRule="exact"/>
        <w:ind w:firstLine="480" w:firstLineChars="200"/>
        <w:rPr>
          <w:rFonts w:ascii="仿宋" w:hAnsi="仿宋" w:eastAsia="仿宋"/>
          <w:bCs/>
          <w:sz w:val="24"/>
        </w:rPr>
      </w:pPr>
    </w:p>
    <w:p w14:paraId="6096EA6C">
      <w:pPr>
        <w:spacing w:line="440" w:lineRule="exact"/>
        <w:ind w:firstLine="480" w:firstLineChars="200"/>
        <w:rPr>
          <w:rFonts w:ascii="仿宋" w:hAnsi="仿宋" w:eastAsia="仿宋"/>
          <w:bCs/>
          <w:sz w:val="24"/>
        </w:rPr>
      </w:pPr>
      <w:r>
        <w:rPr>
          <w:rFonts w:hint="eastAsia" w:ascii="仿宋" w:hAnsi="仿宋" w:eastAsia="仿宋"/>
          <w:bCs/>
          <w:sz w:val="24"/>
        </w:rPr>
        <w:t xml:space="preserve">采购人：                                   供应商： </w:t>
      </w:r>
    </w:p>
    <w:p w14:paraId="5752E251">
      <w:pPr>
        <w:spacing w:line="440" w:lineRule="exact"/>
        <w:ind w:firstLine="480" w:firstLineChars="200"/>
        <w:rPr>
          <w:rFonts w:ascii="仿宋" w:hAnsi="仿宋" w:eastAsia="仿宋"/>
          <w:bCs/>
          <w:sz w:val="24"/>
        </w:rPr>
      </w:pPr>
    </w:p>
    <w:p w14:paraId="344E1361">
      <w:pPr>
        <w:spacing w:line="440" w:lineRule="exact"/>
        <w:ind w:firstLine="480" w:firstLineChars="200"/>
        <w:rPr>
          <w:rFonts w:ascii="仿宋" w:hAnsi="仿宋" w:eastAsia="仿宋"/>
          <w:bCs/>
          <w:sz w:val="24"/>
        </w:rPr>
      </w:pPr>
      <w:r>
        <w:rPr>
          <w:rFonts w:hint="eastAsia" w:ascii="仿宋" w:hAnsi="仿宋" w:eastAsia="仿宋"/>
          <w:bCs/>
          <w:sz w:val="24"/>
        </w:rPr>
        <w:t xml:space="preserve">地址：                                   地址： </w:t>
      </w:r>
    </w:p>
    <w:p w14:paraId="58E393F3">
      <w:pPr>
        <w:spacing w:line="440" w:lineRule="exact"/>
        <w:ind w:firstLine="480" w:firstLineChars="200"/>
        <w:rPr>
          <w:rFonts w:ascii="仿宋" w:hAnsi="仿宋" w:eastAsia="仿宋"/>
          <w:bCs/>
          <w:sz w:val="24"/>
        </w:rPr>
      </w:pPr>
    </w:p>
    <w:p w14:paraId="2D7B5C84">
      <w:pPr>
        <w:spacing w:line="440" w:lineRule="exact"/>
        <w:ind w:firstLine="480" w:firstLineChars="200"/>
        <w:rPr>
          <w:rFonts w:ascii="仿宋" w:hAnsi="仿宋" w:eastAsia="仿宋"/>
          <w:bCs/>
          <w:sz w:val="24"/>
        </w:rPr>
      </w:pPr>
      <w:r>
        <w:rPr>
          <w:rFonts w:hint="eastAsia" w:ascii="仿宋" w:hAnsi="仿宋" w:eastAsia="仿宋"/>
          <w:bCs/>
          <w:sz w:val="24"/>
        </w:rPr>
        <w:t>法定（或授权）代表人：            法定（或授权）代表人：</w:t>
      </w:r>
    </w:p>
    <w:p w14:paraId="31543A79">
      <w:pPr>
        <w:spacing w:line="440" w:lineRule="exact"/>
        <w:ind w:firstLine="480" w:firstLineChars="200"/>
        <w:rPr>
          <w:rFonts w:ascii="仿宋" w:hAnsi="仿宋" w:eastAsia="仿宋"/>
          <w:bCs/>
          <w:sz w:val="24"/>
        </w:rPr>
      </w:pPr>
    </w:p>
    <w:p w14:paraId="2BB2F7C5">
      <w:pPr>
        <w:spacing w:line="440" w:lineRule="exact"/>
        <w:ind w:firstLine="480" w:firstLineChars="200"/>
        <w:rPr>
          <w:rFonts w:ascii="仿宋" w:hAnsi="仿宋" w:eastAsia="仿宋"/>
          <w:bCs/>
          <w:sz w:val="24"/>
        </w:rPr>
      </w:pPr>
      <w:r>
        <w:rPr>
          <w:rFonts w:hint="eastAsia" w:ascii="仿宋" w:hAnsi="仿宋" w:eastAsia="仿宋"/>
          <w:bCs/>
          <w:sz w:val="24"/>
        </w:rPr>
        <w:t>签字日期：   年  月  日          签字日期：   年  月  日</w:t>
      </w:r>
    </w:p>
    <w:p w14:paraId="49391559">
      <w:pPr>
        <w:pStyle w:val="2"/>
        <w:jc w:val="center"/>
        <w:rPr>
          <w:rFonts w:ascii="仿宋" w:hAnsi="仿宋" w:eastAsia="仿宋" w:cs="仿宋"/>
          <w:sz w:val="24"/>
          <w:szCs w:val="24"/>
        </w:rPr>
        <w:sectPr>
          <w:footerReference r:id="rId9" w:type="default"/>
          <w:pgSz w:w="11906" w:h="16838"/>
          <w:pgMar w:top="1134" w:right="1134" w:bottom="1134" w:left="1134" w:header="567" w:footer="567" w:gutter="0"/>
          <w:cols w:space="720" w:num="1"/>
          <w:titlePg/>
          <w:docGrid w:type="lines" w:linePitch="312" w:charSpace="0"/>
        </w:sectPr>
      </w:pPr>
    </w:p>
    <w:p w14:paraId="630D37CA">
      <w:pPr>
        <w:pStyle w:val="2"/>
        <w:jc w:val="center"/>
        <w:rPr>
          <w:rFonts w:ascii="仿宋" w:hAnsi="仿宋" w:eastAsia="仿宋" w:cs="仿宋"/>
          <w:sz w:val="32"/>
          <w:szCs w:val="32"/>
        </w:rPr>
      </w:pPr>
      <w:bookmarkStart w:id="226" w:name="_Toc16382"/>
      <w:r>
        <w:rPr>
          <w:rFonts w:hint="eastAsia" w:ascii="仿宋" w:hAnsi="仿宋" w:eastAsia="仿宋" w:cs="仿宋"/>
          <w:sz w:val="32"/>
          <w:szCs w:val="32"/>
        </w:rPr>
        <w:t>第六章  响应文件格式</w:t>
      </w:r>
      <w:bookmarkEnd w:id="225"/>
      <w:bookmarkEnd w:id="226"/>
    </w:p>
    <w:p w14:paraId="215F9D95">
      <w:pPr>
        <w:widowControl/>
        <w:autoSpaceDE w:val="0"/>
        <w:autoSpaceDN w:val="0"/>
        <w:snapToGrid w:val="0"/>
        <w:spacing w:line="440" w:lineRule="exact"/>
        <w:ind w:firstLine="480" w:firstLineChars="200"/>
        <w:jc w:val="left"/>
        <w:textAlignment w:val="bottom"/>
        <w:rPr>
          <w:rFonts w:ascii="仿宋" w:hAnsi="仿宋" w:eastAsia="仿宋" w:cs="仿宋"/>
          <w:bCs/>
          <w:sz w:val="24"/>
        </w:rPr>
      </w:pPr>
      <w:r>
        <w:rPr>
          <w:rFonts w:hint="eastAsia" w:ascii="仿宋" w:hAnsi="仿宋" w:eastAsia="仿宋" w:cs="仿宋"/>
          <w:bCs/>
          <w:sz w:val="24"/>
        </w:rPr>
        <w:t>本章节内容提供部分响应文件格式，磋商文件中要求，但未提供格式的，须由供应商自行制作。</w:t>
      </w:r>
    </w:p>
    <w:p w14:paraId="418627C4">
      <w:pPr>
        <w:ind w:firstLine="602" w:firstLineChars="200"/>
        <w:jc w:val="center"/>
        <w:rPr>
          <w:rFonts w:ascii="仿宋" w:hAnsi="仿宋" w:eastAsia="仿宋" w:cs="仿宋"/>
          <w:b/>
          <w:sz w:val="30"/>
          <w:szCs w:val="30"/>
        </w:rPr>
      </w:pPr>
      <w:r>
        <w:rPr>
          <w:rFonts w:hint="eastAsia" w:ascii="仿宋" w:hAnsi="仿宋" w:eastAsia="仿宋" w:cs="仿宋"/>
          <w:b/>
          <w:sz w:val="30"/>
          <w:szCs w:val="30"/>
        </w:rPr>
        <w:t>一、响应文件外层包装封面格式</w:t>
      </w:r>
    </w:p>
    <w:p w14:paraId="29B8FDC3">
      <w:pPr>
        <w:ind w:firstLine="560" w:firstLineChars="200"/>
        <w:rPr>
          <w:rFonts w:ascii="仿宋" w:hAnsi="仿宋" w:eastAsia="仿宋" w:cs="仿宋"/>
          <w:sz w:val="28"/>
          <w:szCs w:val="28"/>
        </w:rPr>
      </w:pPr>
      <w:r>
        <w:rPr>
          <w:rFonts w:hint="eastAsia" w:ascii="仿宋" w:hAnsi="仿宋" w:eastAsia="仿宋" w:cs="仿宋"/>
          <w:sz w:val="28"/>
          <w:szCs w:val="28"/>
        </w:rPr>
        <w:t>1、所有响应文件的外包装封面格式：（可选用）</w:t>
      </w:r>
    </w:p>
    <w:p w14:paraId="4873AA70">
      <w:pPr>
        <w:ind w:firstLine="560" w:firstLineChars="200"/>
        <w:rPr>
          <w:rFonts w:ascii="仿宋" w:hAnsi="仿宋" w:eastAsia="仿宋" w:cs="仿宋"/>
          <w:sz w:val="28"/>
          <w:szCs w:val="28"/>
        </w:rPr>
      </w:pPr>
    </w:p>
    <w:p w14:paraId="76CC6929">
      <w:pPr>
        <w:ind w:firstLine="560" w:firstLineChars="200"/>
        <w:rPr>
          <w:rFonts w:ascii="仿宋" w:hAnsi="仿宋" w:eastAsia="仿宋" w:cs="仿宋"/>
          <w:sz w:val="28"/>
          <w:szCs w:val="28"/>
        </w:rPr>
      </w:pPr>
    </w:p>
    <w:p w14:paraId="65FE5564">
      <w:pPr>
        <w:ind w:firstLine="560" w:firstLineChars="200"/>
        <w:rPr>
          <w:rFonts w:ascii="仿宋" w:hAnsi="仿宋" w:eastAsia="仿宋" w:cs="仿宋"/>
          <w:sz w:val="28"/>
          <w:szCs w:val="28"/>
        </w:rPr>
      </w:pPr>
    </w:p>
    <w:p w14:paraId="5FBC9953">
      <w:pPr>
        <w:ind w:firstLine="960" w:firstLineChars="200"/>
        <w:jc w:val="center"/>
        <w:rPr>
          <w:rFonts w:ascii="仿宋" w:hAnsi="仿宋" w:eastAsia="仿宋" w:cs="仿宋"/>
          <w:sz w:val="48"/>
          <w:szCs w:val="48"/>
        </w:rPr>
      </w:pPr>
      <w:r>
        <w:rPr>
          <w:rFonts w:hint="eastAsia" w:ascii="仿宋" w:hAnsi="仿宋" w:eastAsia="仿宋" w:cs="仿宋"/>
          <w:sz w:val="48"/>
          <w:szCs w:val="48"/>
        </w:rPr>
        <w:t>响 应 文 件</w:t>
      </w:r>
    </w:p>
    <w:p w14:paraId="7EC6040E">
      <w:pPr>
        <w:ind w:firstLine="960" w:firstLineChars="200"/>
        <w:jc w:val="center"/>
        <w:rPr>
          <w:rFonts w:ascii="仿宋" w:hAnsi="仿宋" w:eastAsia="仿宋" w:cs="仿宋"/>
          <w:sz w:val="48"/>
          <w:szCs w:val="48"/>
        </w:rPr>
      </w:pPr>
    </w:p>
    <w:p w14:paraId="56E77F80">
      <w:pPr>
        <w:ind w:firstLine="960" w:firstLineChars="200"/>
        <w:jc w:val="center"/>
        <w:rPr>
          <w:rFonts w:ascii="仿宋" w:hAnsi="仿宋" w:eastAsia="仿宋" w:cs="仿宋"/>
          <w:sz w:val="48"/>
          <w:szCs w:val="48"/>
        </w:rPr>
      </w:pPr>
    </w:p>
    <w:p w14:paraId="732AD5F4">
      <w:pPr>
        <w:ind w:firstLine="960" w:firstLineChars="200"/>
        <w:jc w:val="center"/>
        <w:rPr>
          <w:rFonts w:ascii="仿宋" w:hAnsi="仿宋" w:eastAsia="仿宋" w:cs="仿宋"/>
          <w:sz w:val="48"/>
          <w:szCs w:val="48"/>
        </w:rPr>
      </w:pPr>
    </w:p>
    <w:p w14:paraId="4A88EB71">
      <w:pPr>
        <w:ind w:firstLine="960" w:firstLineChars="200"/>
        <w:jc w:val="center"/>
        <w:rPr>
          <w:rFonts w:ascii="仿宋" w:hAnsi="仿宋" w:eastAsia="仿宋" w:cs="仿宋"/>
          <w:sz w:val="48"/>
          <w:szCs w:val="48"/>
        </w:rPr>
      </w:pPr>
    </w:p>
    <w:p w14:paraId="508EF570">
      <w:pPr>
        <w:spacing w:line="800" w:lineRule="exact"/>
        <w:ind w:firstLine="480" w:firstLineChars="200"/>
        <w:rPr>
          <w:rFonts w:ascii="仿宋" w:hAnsi="仿宋" w:eastAsia="仿宋" w:cs="仿宋"/>
          <w:sz w:val="24"/>
        </w:rPr>
      </w:pPr>
      <w:r>
        <w:rPr>
          <w:rFonts w:hint="eastAsia" w:ascii="仿宋" w:hAnsi="仿宋" w:eastAsia="仿宋" w:cs="仿宋"/>
          <w:sz w:val="24"/>
        </w:rPr>
        <w:t>项目名称：</w:t>
      </w:r>
    </w:p>
    <w:p w14:paraId="3CD37811">
      <w:pPr>
        <w:spacing w:line="800" w:lineRule="exact"/>
        <w:ind w:firstLine="480" w:firstLineChars="200"/>
        <w:rPr>
          <w:rFonts w:ascii="仿宋" w:hAnsi="仿宋" w:eastAsia="仿宋" w:cs="仿宋"/>
          <w:sz w:val="24"/>
        </w:rPr>
      </w:pPr>
      <w:r>
        <w:rPr>
          <w:rFonts w:hint="eastAsia" w:ascii="仿宋" w:hAnsi="仿宋" w:eastAsia="仿宋" w:cs="仿宋"/>
          <w:sz w:val="24"/>
        </w:rPr>
        <w:t>项目编号：</w:t>
      </w:r>
    </w:p>
    <w:p w14:paraId="5402457B">
      <w:pPr>
        <w:spacing w:line="800" w:lineRule="exact"/>
        <w:rPr>
          <w:rFonts w:ascii="仿宋" w:hAnsi="仿宋" w:eastAsia="仿宋" w:cs="仿宋"/>
          <w:sz w:val="24"/>
        </w:rPr>
      </w:pPr>
      <w:r>
        <w:rPr>
          <w:rFonts w:hint="eastAsia" w:ascii="仿宋" w:hAnsi="仿宋" w:eastAsia="仿宋" w:cs="仿宋"/>
          <w:sz w:val="24"/>
        </w:rPr>
        <w:t xml:space="preserve">    供应商名称（盖章）：</w:t>
      </w:r>
    </w:p>
    <w:p w14:paraId="7AB711F0">
      <w:pPr>
        <w:spacing w:line="800" w:lineRule="exact"/>
        <w:rPr>
          <w:rFonts w:ascii="仿宋" w:hAnsi="仿宋" w:eastAsia="仿宋" w:cs="仿宋"/>
          <w:sz w:val="24"/>
        </w:rPr>
      </w:pPr>
      <w:r>
        <w:rPr>
          <w:rFonts w:hint="eastAsia" w:ascii="仿宋" w:hAnsi="仿宋" w:eastAsia="仿宋" w:cs="仿宋"/>
          <w:sz w:val="24"/>
        </w:rPr>
        <w:t xml:space="preserve">    供应商地址：</w:t>
      </w:r>
    </w:p>
    <w:p w14:paraId="71D2CA08">
      <w:pPr>
        <w:spacing w:line="800" w:lineRule="exact"/>
        <w:rPr>
          <w:rFonts w:ascii="仿宋" w:hAnsi="仿宋" w:eastAsia="仿宋" w:cs="仿宋"/>
          <w:sz w:val="24"/>
        </w:rPr>
      </w:pPr>
      <w:r>
        <w:rPr>
          <w:rFonts w:hint="eastAsia" w:ascii="仿宋" w:hAnsi="仿宋" w:eastAsia="仿宋" w:cs="仿宋"/>
          <w:sz w:val="24"/>
        </w:rPr>
        <w:t xml:space="preserve">    授权代表签名:</w:t>
      </w:r>
    </w:p>
    <w:p w14:paraId="4BCD1B13">
      <w:pPr>
        <w:spacing w:line="800" w:lineRule="exact"/>
        <w:rPr>
          <w:rFonts w:ascii="仿宋" w:hAnsi="仿宋" w:eastAsia="仿宋" w:cs="仿宋"/>
          <w:sz w:val="24"/>
        </w:rPr>
      </w:pPr>
      <w:r>
        <w:rPr>
          <w:rFonts w:hint="eastAsia" w:ascii="仿宋" w:hAnsi="仿宋" w:eastAsia="仿宋" w:cs="仿宋"/>
          <w:sz w:val="24"/>
        </w:rPr>
        <w:t xml:space="preserve">    在   年    月    日    时   分之前不得启封(磋商时间)</w:t>
      </w:r>
    </w:p>
    <w:p w14:paraId="72BC30CD">
      <w:pPr>
        <w:spacing w:line="800" w:lineRule="exact"/>
        <w:ind w:firstLine="570"/>
        <w:jc w:val="right"/>
        <w:rPr>
          <w:rFonts w:ascii="仿宋" w:hAnsi="仿宋" w:eastAsia="仿宋" w:cs="仿宋"/>
          <w:sz w:val="24"/>
        </w:rPr>
      </w:pPr>
      <w:r>
        <w:rPr>
          <w:rFonts w:hint="eastAsia" w:ascii="仿宋" w:hAnsi="仿宋" w:eastAsia="仿宋" w:cs="仿宋"/>
          <w:sz w:val="24"/>
        </w:rPr>
        <w:t xml:space="preserve">                                          年  月   日 </w:t>
      </w:r>
    </w:p>
    <w:p w14:paraId="4B82FD88">
      <w:pPr>
        <w:ind w:firstLine="570"/>
        <w:jc w:val="right"/>
        <w:rPr>
          <w:rFonts w:ascii="仿宋" w:hAnsi="仿宋" w:eastAsia="仿宋" w:cs="仿宋"/>
          <w:sz w:val="24"/>
        </w:rPr>
      </w:pPr>
    </w:p>
    <w:p w14:paraId="4FD69191">
      <w:pPr>
        <w:ind w:firstLine="570"/>
        <w:jc w:val="right"/>
        <w:rPr>
          <w:rFonts w:ascii="仿宋" w:hAnsi="仿宋" w:eastAsia="仿宋" w:cs="仿宋"/>
          <w:sz w:val="24"/>
        </w:rPr>
      </w:pPr>
    </w:p>
    <w:p w14:paraId="4E6EAFCB">
      <w:pPr>
        <w:ind w:firstLine="570"/>
        <w:jc w:val="center"/>
        <w:rPr>
          <w:rFonts w:ascii="仿宋" w:hAnsi="仿宋" w:eastAsia="仿宋" w:cs="仿宋"/>
          <w:b/>
          <w:sz w:val="32"/>
          <w:szCs w:val="32"/>
        </w:rPr>
      </w:pPr>
    </w:p>
    <w:p w14:paraId="3EBBC9DC">
      <w:pPr>
        <w:ind w:firstLine="570"/>
        <w:jc w:val="center"/>
        <w:rPr>
          <w:rFonts w:ascii="仿宋" w:hAnsi="仿宋" w:eastAsia="仿宋" w:cs="仿宋"/>
          <w:sz w:val="32"/>
          <w:szCs w:val="32"/>
        </w:rPr>
      </w:pPr>
      <w:r>
        <w:rPr>
          <w:rFonts w:hint="eastAsia" w:ascii="仿宋" w:hAnsi="仿宋" w:eastAsia="仿宋" w:cs="仿宋"/>
          <w:b/>
          <w:sz w:val="32"/>
          <w:szCs w:val="32"/>
        </w:rPr>
        <w:t>二、响应文件格式</w:t>
      </w:r>
    </w:p>
    <w:p w14:paraId="4790636B">
      <w:pPr>
        <w:ind w:firstLine="570"/>
        <w:rPr>
          <w:rFonts w:ascii="仿宋" w:hAnsi="仿宋" w:eastAsia="仿宋" w:cs="仿宋"/>
          <w:sz w:val="28"/>
          <w:szCs w:val="28"/>
        </w:rPr>
      </w:pPr>
    </w:p>
    <w:p w14:paraId="59B3A9FE">
      <w:pPr>
        <w:ind w:firstLine="570"/>
        <w:rPr>
          <w:rFonts w:ascii="仿宋" w:hAnsi="仿宋" w:eastAsia="仿宋" w:cs="仿宋"/>
          <w:sz w:val="28"/>
          <w:szCs w:val="28"/>
        </w:rPr>
      </w:pPr>
      <w:r>
        <w:rPr>
          <w:rFonts w:hint="eastAsia" w:ascii="仿宋" w:hAnsi="仿宋" w:eastAsia="仿宋" w:cs="仿宋"/>
          <w:sz w:val="28"/>
          <w:szCs w:val="28"/>
        </w:rPr>
        <w:t>1、响应文件的封面格式：</w:t>
      </w:r>
    </w:p>
    <w:p w14:paraId="0D2CFC3E">
      <w:pPr>
        <w:ind w:firstLine="570"/>
        <w:jc w:val="right"/>
        <w:rPr>
          <w:rFonts w:ascii="仿宋" w:hAnsi="仿宋" w:eastAsia="仿宋" w:cs="仿宋"/>
          <w:sz w:val="44"/>
          <w:szCs w:val="44"/>
        </w:rPr>
      </w:pPr>
      <w:r>
        <w:rPr>
          <w:rFonts w:hint="eastAsia" w:ascii="仿宋" w:hAnsi="仿宋" w:eastAsia="仿宋" w:cs="仿宋"/>
          <w:sz w:val="44"/>
          <w:szCs w:val="44"/>
        </w:rPr>
        <w:t>正本（或副本）</w:t>
      </w:r>
    </w:p>
    <w:p w14:paraId="30B898C2">
      <w:pPr>
        <w:ind w:firstLine="570"/>
        <w:jc w:val="center"/>
        <w:rPr>
          <w:rFonts w:ascii="仿宋" w:hAnsi="仿宋" w:eastAsia="仿宋" w:cs="仿宋"/>
          <w:b/>
          <w:sz w:val="84"/>
          <w:szCs w:val="84"/>
        </w:rPr>
      </w:pPr>
    </w:p>
    <w:p w14:paraId="467839AC">
      <w:pPr>
        <w:ind w:firstLine="570"/>
        <w:jc w:val="center"/>
        <w:rPr>
          <w:rFonts w:ascii="仿宋" w:hAnsi="仿宋" w:eastAsia="仿宋" w:cs="仿宋"/>
          <w:b/>
          <w:sz w:val="84"/>
          <w:szCs w:val="84"/>
        </w:rPr>
      </w:pPr>
      <w:r>
        <w:rPr>
          <w:rFonts w:hint="eastAsia" w:ascii="仿宋" w:hAnsi="仿宋" w:eastAsia="仿宋" w:cs="仿宋"/>
          <w:b/>
          <w:sz w:val="84"/>
          <w:szCs w:val="84"/>
        </w:rPr>
        <w:t>响应文件</w:t>
      </w:r>
    </w:p>
    <w:p w14:paraId="4D90F8A5">
      <w:pPr>
        <w:ind w:firstLine="570"/>
        <w:jc w:val="center"/>
        <w:rPr>
          <w:rFonts w:ascii="仿宋" w:hAnsi="仿宋" w:eastAsia="仿宋" w:cs="仿宋"/>
          <w:b/>
          <w:sz w:val="84"/>
          <w:szCs w:val="84"/>
        </w:rPr>
      </w:pPr>
      <w:r>
        <w:rPr>
          <w:rFonts w:hint="eastAsia" w:ascii="仿宋" w:hAnsi="仿宋" w:eastAsia="仿宋" w:cs="仿宋"/>
          <w:b/>
          <w:sz w:val="30"/>
          <w:szCs w:val="30"/>
        </w:rPr>
        <w:t>（资格证明文件/商务、技术文件）</w:t>
      </w:r>
    </w:p>
    <w:p w14:paraId="106A52EE">
      <w:pPr>
        <w:ind w:firstLine="570"/>
        <w:jc w:val="center"/>
        <w:rPr>
          <w:rFonts w:ascii="仿宋" w:hAnsi="仿宋" w:eastAsia="仿宋" w:cs="仿宋"/>
          <w:b/>
          <w:sz w:val="84"/>
          <w:szCs w:val="84"/>
        </w:rPr>
      </w:pPr>
    </w:p>
    <w:p w14:paraId="61E626B2">
      <w:pPr>
        <w:ind w:firstLine="570"/>
        <w:jc w:val="center"/>
        <w:rPr>
          <w:rFonts w:ascii="仿宋" w:hAnsi="仿宋" w:eastAsia="仿宋" w:cs="仿宋"/>
          <w:b/>
          <w:sz w:val="84"/>
          <w:szCs w:val="84"/>
        </w:rPr>
      </w:pPr>
    </w:p>
    <w:p w14:paraId="576FA468">
      <w:pPr>
        <w:spacing w:line="800" w:lineRule="exact"/>
        <w:ind w:firstLine="570"/>
        <w:rPr>
          <w:rFonts w:ascii="仿宋" w:hAnsi="仿宋" w:eastAsia="仿宋" w:cs="仿宋"/>
          <w:sz w:val="28"/>
          <w:szCs w:val="28"/>
        </w:rPr>
      </w:pPr>
      <w:r>
        <w:rPr>
          <w:rFonts w:hint="eastAsia" w:ascii="仿宋" w:hAnsi="仿宋" w:eastAsia="仿宋" w:cs="仿宋"/>
          <w:sz w:val="28"/>
          <w:szCs w:val="28"/>
        </w:rPr>
        <w:t>项目名称：</w:t>
      </w:r>
    </w:p>
    <w:p w14:paraId="3C3BA03C">
      <w:pPr>
        <w:spacing w:line="800" w:lineRule="exact"/>
        <w:ind w:firstLine="570"/>
        <w:rPr>
          <w:rFonts w:ascii="仿宋" w:hAnsi="仿宋" w:eastAsia="仿宋" w:cs="仿宋"/>
          <w:sz w:val="28"/>
          <w:szCs w:val="28"/>
        </w:rPr>
      </w:pPr>
      <w:r>
        <w:rPr>
          <w:rFonts w:hint="eastAsia" w:ascii="仿宋" w:hAnsi="仿宋" w:eastAsia="仿宋" w:cs="仿宋"/>
          <w:sz w:val="28"/>
          <w:szCs w:val="28"/>
        </w:rPr>
        <w:t>项目编号：</w:t>
      </w:r>
    </w:p>
    <w:p w14:paraId="2065BF3E">
      <w:pPr>
        <w:spacing w:line="800" w:lineRule="exact"/>
        <w:ind w:firstLine="570"/>
        <w:rPr>
          <w:rFonts w:ascii="仿宋" w:hAnsi="仿宋" w:eastAsia="仿宋" w:cs="仿宋"/>
          <w:sz w:val="28"/>
          <w:szCs w:val="28"/>
        </w:rPr>
      </w:pPr>
      <w:r>
        <w:rPr>
          <w:rFonts w:hint="eastAsia" w:ascii="仿宋" w:hAnsi="仿宋" w:eastAsia="仿宋" w:cs="仿宋"/>
          <w:sz w:val="28"/>
          <w:szCs w:val="28"/>
        </w:rPr>
        <w:t>供应商名称（盖章）：</w:t>
      </w:r>
    </w:p>
    <w:p w14:paraId="65FAA751">
      <w:pPr>
        <w:spacing w:line="800" w:lineRule="exact"/>
        <w:ind w:firstLine="570"/>
        <w:rPr>
          <w:rFonts w:ascii="仿宋" w:hAnsi="仿宋" w:eastAsia="仿宋" w:cs="仿宋"/>
          <w:sz w:val="28"/>
          <w:szCs w:val="28"/>
        </w:rPr>
      </w:pPr>
      <w:r>
        <w:rPr>
          <w:rFonts w:hint="eastAsia" w:ascii="仿宋" w:hAnsi="仿宋" w:eastAsia="仿宋" w:cs="仿宋"/>
          <w:sz w:val="28"/>
          <w:szCs w:val="28"/>
        </w:rPr>
        <w:t>供应商地址：</w:t>
      </w:r>
    </w:p>
    <w:p w14:paraId="474D0AAB">
      <w:pPr>
        <w:spacing w:line="800" w:lineRule="exact"/>
        <w:ind w:firstLine="570"/>
        <w:jc w:val="right"/>
        <w:rPr>
          <w:rFonts w:ascii="仿宋" w:hAnsi="仿宋" w:eastAsia="仿宋" w:cs="仿宋"/>
          <w:b/>
          <w:sz w:val="24"/>
        </w:rPr>
      </w:pPr>
      <w:r>
        <w:rPr>
          <w:rFonts w:hint="eastAsia" w:ascii="仿宋" w:hAnsi="仿宋" w:eastAsia="仿宋" w:cs="仿宋"/>
          <w:b/>
          <w:sz w:val="24"/>
        </w:rPr>
        <w:t xml:space="preserve">  年   月   日</w:t>
      </w:r>
    </w:p>
    <w:p w14:paraId="1362EA22">
      <w:pPr>
        <w:rPr>
          <w:rFonts w:ascii="仿宋" w:hAnsi="仿宋" w:eastAsia="仿宋" w:cs="仿宋"/>
          <w:b/>
          <w:sz w:val="32"/>
          <w:szCs w:val="32"/>
        </w:rPr>
      </w:pPr>
    </w:p>
    <w:p w14:paraId="3EE45A81">
      <w:pPr>
        <w:ind w:firstLine="570"/>
        <w:jc w:val="center"/>
        <w:rPr>
          <w:rFonts w:ascii="仿宋" w:hAnsi="仿宋" w:eastAsia="仿宋" w:cs="仿宋"/>
          <w:b/>
          <w:sz w:val="32"/>
          <w:szCs w:val="32"/>
        </w:rPr>
      </w:pPr>
    </w:p>
    <w:p w14:paraId="6964ED76">
      <w:pPr>
        <w:ind w:firstLine="570"/>
        <w:jc w:val="center"/>
        <w:rPr>
          <w:rFonts w:ascii="仿宋" w:hAnsi="仿宋" w:eastAsia="仿宋" w:cs="仿宋"/>
          <w:b/>
          <w:sz w:val="32"/>
          <w:szCs w:val="32"/>
        </w:rPr>
      </w:pPr>
    </w:p>
    <w:p w14:paraId="05129FB1">
      <w:pPr>
        <w:ind w:firstLine="570"/>
        <w:jc w:val="center"/>
        <w:rPr>
          <w:rFonts w:ascii="仿宋" w:hAnsi="仿宋" w:eastAsia="仿宋" w:cs="仿宋"/>
          <w:b/>
          <w:sz w:val="32"/>
          <w:szCs w:val="32"/>
        </w:rPr>
      </w:pPr>
      <w:r>
        <w:rPr>
          <w:rFonts w:hint="eastAsia" w:ascii="仿宋" w:hAnsi="仿宋" w:eastAsia="仿宋" w:cs="仿宋"/>
          <w:b/>
          <w:sz w:val="32"/>
          <w:szCs w:val="32"/>
        </w:rPr>
        <w:t>目  录</w:t>
      </w:r>
    </w:p>
    <w:p w14:paraId="2B44D88A">
      <w:pPr>
        <w:autoSpaceDE w:val="0"/>
        <w:autoSpaceDN w:val="0"/>
        <w:adjustRightInd w:val="0"/>
        <w:snapToGrid w:val="0"/>
        <w:spacing w:line="400" w:lineRule="exact"/>
        <w:ind w:firstLine="487" w:firstLineChars="202"/>
        <w:textAlignment w:val="bottom"/>
        <w:rPr>
          <w:rFonts w:ascii="仿宋" w:hAnsi="仿宋" w:eastAsia="仿宋" w:cs="仿宋"/>
          <w:b/>
          <w:sz w:val="24"/>
        </w:rPr>
      </w:pPr>
      <w:r>
        <w:rPr>
          <w:rFonts w:hint="eastAsia" w:ascii="仿宋" w:hAnsi="仿宋" w:eastAsia="仿宋" w:cs="仿宋"/>
          <w:b/>
          <w:sz w:val="24"/>
        </w:rPr>
        <w:t>1、资格证明文件</w:t>
      </w:r>
    </w:p>
    <w:p w14:paraId="22D55182">
      <w:pPr>
        <w:adjustRightInd w:val="0"/>
        <w:snapToGrid w:val="0"/>
        <w:spacing w:line="400" w:lineRule="exact"/>
        <w:ind w:left="420"/>
        <w:jc w:val="left"/>
        <w:rPr>
          <w:rFonts w:ascii="仿宋" w:hAnsi="仿宋" w:eastAsia="仿宋" w:cs="仿宋"/>
          <w:sz w:val="24"/>
        </w:rPr>
      </w:pPr>
      <w:r>
        <w:rPr>
          <w:rFonts w:hint="eastAsia" w:ascii="仿宋" w:hAnsi="仿宋" w:eastAsia="仿宋" w:cs="仿宋"/>
          <w:sz w:val="24"/>
        </w:rPr>
        <w:t>1）</w:t>
      </w:r>
      <w:r>
        <w:rPr>
          <w:rFonts w:hint="eastAsia" w:ascii="仿宋" w:hAnsi="仿宋" w:eastAsia="仿宋" w:cs="仿宋"/>
          <w:bCs/>
          <w:sz w:val="24"/>
        </w:rPr>
        <w:t>磋商声明书</w:t>
      </w:r>
      <w:r>
        <w:rPr>
          <w:rFonts w:hint="eastAsia" w:ascii="仿宋" w:hAnsi="仿宋" w:eastAsia="仿宋" w:cs="仿宋"/>
          <w:sz w:val="24"/>
        </w:rPr>
        <w:t>（格式见附件）；</w:t>
      </w:r>
    </w:p>
    <w:p w14:paraId="52E070BB">
      <w:pPr>
        <w:adjustRightInd w:val="0"/>
        <w:snapToGrid w:val="0"/>
        <w:spacing w:line="400" w:lineRule="exact"/>
        <w:ind w:left="660" w:leftChars="200" w:hanging="240" w:hangingChars="100"/>
        <w:jc w:val="left"/>
        <w:rPr>
          <w:rFonts w:ascii="仿宋" w:hAnsi="仿宋" w:eastAsia="仿宋" w:cs="仿宋"/>
          <w:sz w:val="24"/>
        </w:rPr>
      </w:pPr>
      <w:r>
        <w:rPr>
          <w:rFonts w:hint="eastAsia" w:ascii="仿宋" w:hAnsi="仿宋" w:eastAsia="仿宋" w:cs="仿宋"/>
          <w:sz w:val="24"/>
        </w:rPr>
        <w:t>2）企业资料（①营业执照；②开户证明；③资质证书）；</w:t>
      </w:r>
    </w:p>
    <w:p w14:paraId="5A922032">
      <w:pPr>
        <w:adjustRightInd w:val="0"/>
        <w:snapToGrid w:val="0"/>
        <w:spacing w:line="400" w:lineRule="exact"/>
        <w:ind w:left="420"/>
        <w:jc w:val="left"/>
        <w:rPr>
          <w:rFonts w:ascii="仿宋" w:hAnsi="仿宋" w:eastAsia="仿宋" w:cs="仿宋"/>
          <w:sz w:val="24"/>
        </w:rPr>
      </w:pPr>
      <w:r>
        <w:rPr>
          <w:rFonts w:hint="eastAsia" w:ascii="仿宋" w:hAnsi="仿宋" w:eastAsia="仿宋" w:cs="仿宋"/>
          <w:sz w:val="24"/>
        </w:rPr>
        <w:t>3）法定代表人身份证明书（格式见附件）；</w:t>
      </w:r>
    </w:p>
    <w:p w14:paraId="577A6489">
      <w:pPr>
        <w:adjustRightInd w:val="0"/>
        <w:snapToGrid w:val="0"/>
        <w:spacing w:line="400" w:lineRule="exact"/>
        <w:ind w:left="660" w:leftChars="200" w:hanging="240" w:hangingChars="100"/>
        <w:jc w:val="left"/>
        <w:rPr>
          <w:rFonts w:ascii="仿宋" w:hAnsi="仿宋" w:eastAsia="仿宋" w:cs="仿宋"/>
          <w:sz w:val="24"/>
        </w:rPr>
      </w:pPr>
      <w:r>
        <w:rPr>
          <w:rFonts w:hint="eastAsia" w:ascii="仿宋" w:hAnsi="仿宋" w:eastAsia="仿宋" w:cs="仿宋"/>
          <w:sz w:val="24"/>
        </w:rPr>
        <w:t>4）授权委托书和授权代表社保缴费凭证（提供由本单位缴纳的近三个月的社保缴费凭证）；</w:t>
      </w:r>
    </w:p>
    <w:p w14:paraId="2D58E7B3">
      <w:pPr>
        <w:adjustRightInd w:val="0"/>
        <w:snapToGrid w:val="0"/>
        <w:spacing w:line="400" w:lineRule="exact"/>
        <w:ind w:left="420"/>
        <w:jc w:val="left"/>
        <w:rPr>
          <w:rFonts w:ascii="仿宋" w:hAnsi="仿宋" w:eastAsia="仿宋" w:cs="仿宋"/>
          <w:sz w:val="24"/>
        </w:rPr>
      </w:pPr>
      <w:r>
        <w:rPr>
          <w:rFonts w:hint="eastAsia" w:ascii="仿宋" w:hAnsi="仿宋" w:eastAsia="仿宋" w:cs="仿宋"/>
          <w:sz w:val="24"/>
        </w:rPr>
        <w:t>5）信用承诺书（格式见附件）；</w:t>
      </w:r>
    </w:p>
    <w:p w14:paraId="4386F185">
      <w:pPr>
        <w:adjustRightInd w:val="0"/>
        <w:snapToGrid w:val="0"/>
        <w:spacing w:line="400" w:lineRule="exact"/>
        <w:ind w:left="420"/>
        <w:jc w:val="left"/>
        <w:rPr>
          <w:rFonts w:ascii="仿宋" w:hAnsi="仿宋" w:eastAsia="仿宋" w:cs="仿宋"/>
          <w:sz w:val="24"/>
        </w:rPr>
      </w:pPr>
      <w:r>
        <w:rPr>
          <w:rFonts w:hint="eastAsia" w:ascii="仿宋" w:hAnsi="仿宋" w:eastAsia="仿宋" w:cs="仿宋"/>
          <w:bCs/>
          <w:sz w:val="24"/>
        </w:rPr>
        <w:t>6）中小企业声明函（</w:t>
      </w:r>
      <w:r>
        <w:rPr>
          <w:rFonts w:hint="eastAsia" w:ascii="仿宋" w:hAnsi="仿宋" w:eastAsia="仿宋"/>
          <w:kern w:val="0"/>
          <w:sz w:val="24"/>
        </w:rPr>
        <w:t>如有，</w:t>
      </w:r>
      <w:r>
        <w:rPr>
          <w:rFonts w:hint="eastAsia" w:ascii="仿宋" w:hAnsi="仿宋" w:eastAsia="仿宋" w:cs="仿宋"/>
          <w:bCs/>
          <w:sz w:val="24"/>
        </w:rPr>
        <w:t>格式</w:t>
      </w:r>
      <w:r>
        <w:rPr>
          <w:rFonts w:hint="eastAsia" w:ascii="仿宋" w:hAnsi="仿宋" w:eastAsia="仿宋" w:cs="仿宋"/>
          <w:sz w:val="24"/>
        </w:rPr>
        <w:t>见附件</w:t>
      </w:r>
      <w:r>
        <w:rPr>
          <w:rFonts w:hint="eastAsia" w:ascii="仿宋" w:hAnsi="仿宋" w:eastAsia="仿宋" w:cs="仿宋"/>
          <w:bCs/>
          <w:sz w:val="24"/>
        </w:rPr>
        <w:t>）；</w:t>
      </w:r>
    </w:p>
    <w:p w14:paraId="1B2EFB3B">
      <w:pPr>
        <w:adjustRightInd w:val="0"/>
        <w:snapToGrid w:val="0"/>
        <w:spacing w:line="400" w:lineRule="exact"/>
        <w:ind w:left="420"/>
        <w:jc w:val="left"/>
        <w:rPr>
          <w:rFonts w:ascii="仿宋" w:hAnsi="仿宋" w:eastAsia="仿宋"/>
          <w:kern w:val="0"/>
          <w:sz w:val="24"/>
        </w:rPr>
      </w:pPr>
      <w:r>
        <w:rPr>
          <w:rFonts w:hint="eastAsia" w:ascii="仿宋" w:hAnsi="仿宋" w:eastAsia="仿宋"/>
          <w:kern w:val="0"/>
          <w:sz w:val="24"/>
        </w:rPr>
        <w:t>7）监狱企业声明函（如有，</w:t>
      </w:r>
      <w:r>
        <w:rPr>
          <w:rFonts w:hint="eastAsia" w:ascii="仿宋" w:hAnsi="仿宋" w:eastAsia="仿宋" w:cs="仿宋"/>
          <w:bCs/>
          <w:sz w:val="24"/>
        </w:rPr>
        <w:t>格式</w:t>
      </w:r>
      <w:r>
        <w:rPr>
          <w:rFonts w:hint="eastAsia" w:ascii="仿宋" w:hAnsi="仿宋" w:eastAsia="仿宋" w:cs="仿宋"/>
          <w:sz w:val="24"/>
        </w:rPr>
        <w:t>见附件</w:t>
      </w:r>
      <w:r>
        <w:rPr>
          <w:rFonts w:hint="eastAsia" w:ascii="仿宋" w:hAnsi="仿宋" w:eastAsia="仿宋"/>
          <w:kern w:val="0"/>
          <w:sz w:val="24"/>
        </w:rPr>
        <w:t>）；</w:t>
      </w:r>
    </w:p>
    <w:p w14:paraId="52396326">
      <w:pPr>
        <w:adjustRightInd w:val="0"/>
        <w:snapToGrid w:val="0"/>
        <w:spacing w:line="400" w:lineRule="exact"/>
        <w:ind w:left="420"/>
        <w:jc w:val="left"/>
        <w:rPr>
          <w:rFonts w:ascii="仿宋" w:hAnsi="仿宋" w:eastAsia="仿宋"/>
          <w:kern w:val="0"/>
          <w:sz w:val="24"/>
        </w:rPr>
      </w:pPr>
      <w:r>
        <w:rPr>
          <w:rFonts w:hint="eastAsia" w:ascii="仿宋" w:hAnsi="仿宋" w:eastAsia="仿宋"/>
          <w:kern w:val="0"/>
          <w:sz w:val="24"/>
        </w:rPr>
        <w:t>8）残疾人福利性单位声明函（如有，</w:t>
      </w:r>
      <w:r>
        <w:rPr>
          <w:rFonts w:hint="eastAsia" w:ascii="仿宋" w:hAnsi="仿宋" w:eastAsia="仿宋" w:cs="仿宋"/>
          <w:bCs/>
          <w:sz w:val="24"/>
        </w:rPr>
        <w:t>格式</w:t>
      </w:r>
      <w:r>
        <w:rPr>
          <w:rFonts w:hint="eastAsia" w:ascii="仿宋" w:hAnsi="仿宋" w:eastAsia="仿宋" w:cs="仿宋"/>
          <w:sz w:val="24"/>
        </w:rPr>
        <w:t>见附件</w:t>
      </w:r>
      <w:r>
        <w:rPr>
          <w:rFonts w:hint="eastAsia" w:ascii="仿宋" w:hAnsi="仿宋" w:eastAsia="仿宋"/>
          <w:kern w:val="0"/>
          <w:sz w:val="24"/>
        </w:rPr>
        <w:t>）；</w:t>
      </w:r>
    </w:p>
    <w:p w14:paraId="5C74B1E1">
      <w:pPr>
        <w:adjustRightInd w:val="0"/>
        <w:snapToGrid w:val="0"/>
        <w:spacing w:line="400" w:lineRule="exact"/>
        <w:ind w:left="660" w:leftChars="200" w:hanging="240" w:hangingChars="100"/>
        <w:jc w:val="left"/>
        <w:rPr>
          <w:rFonts w:ascii="仿宋" w:hAnsi="仿宋" w:eastAsia="仿宋"/>
          <w:kern w:val="0"/>
          <w:sz w:val="24"/>
        </w:rPr>
      </w:pPr>
      <w:r>
        <w:rPr>
          <w:rFonts w:hint="eastAsia" w:ascii="仿宋" w:hAnsi="仿宋" w:eastAsia="仿宋"/>
          <w:kern w:val="0"/>
          <w:sz w:val="24"/>
        </w:rPr>
        <w:t>9）承诺书（格式见附件，后附“信用中国”网站www.creditchina.gov.cn、“中国政府采购网”www.ccgp.gov.cn）查询结果截图）。</w:t>
      </w:r>
    </w:p>
    <w:p w14:paraId="117B3346">
      <w:pPr>
        <w:spacing w:line="550" w:lineRule="exact"/>
        <w:ind w:firstLine="482" w:firstLineChars="200"/>
        <w:rPr>
          <w:rFonts w:ascii="仿宋" w:hAnsi="仿宋" w:eastAsia="仿宋"/>
          <w:b/>
          <w:bCs/>
          <w:kern w:val="0"/>
          <w:sz w:val="24"/>
        </w:rPr>
      </w:pPr>
      <w:r>
        <w:rPr>
          <w:rFonts w:hint="eastAsia" w:ascii="仿宋" w:hAnsi="仿宋" w:eastAsia="仿宋"/>
          <w:b/>
          <w:bCs/>
          <w:kern w:val="0"/>
          <w:sz w:val="24"/>
        </w:rPr>
        <w:t>注：关于中型、小型、微型企业的认定：</w:t>
      </w:r>
    </w:p>
    <w:p w14:paraId="7838B3DB">
      <w:pPr>
        <w:spacing w:line="360" w:lineRule="auto"/>
        <w:ind w:firstLine="480" w:firstLineChars="200"/>
        <w:rPr>
          <w:rFonts w:ascii="仿宋" w:hAnsi="仿宋" w:eastAsia="仿宋"/>
          <w:kern w:val="0"/>
          <w:sz w:val="24"/>
        </w:rPr>
      </w:pPr>
      <w:r>
        <w:rPr>
          <w:rFonts w:hint="eastAsia" w:ascii="仿宋" w:hAnsi="仿宋" w:eastAsia="仿宋"/>
          <w:kern w:val="0"/>
          <w:sz w:val="24"/>
        </w:rPr>
        <w:t>①供应商按照《关于印发中小企业划型标准规定的通知》（工信部联企业【2011】300号）的所属行业规定为中型、小型、微型企业【按《关于印发中小企业划型标准规定的通知》规定提供《中小企业声明函》，不提供不予认可】。</w:t>
      </w:r>
    </w:p>
    <w:p w14:paraId="1ABFEB1F">
      <w:pPr>
        <w:spacing w:line="360" w:lineRule="auto"/>
        <w:ind w:firstLine="480" w:firstLineChars="200"/>
        <w:rPr>
          <w:rFonts w:ascii="仿宋" w:hAnsi="仿宋" w:eastAsia="仿宋"/>
          <w:kern w:val="0"/>
          <w:sz w:val="24"/>
        </w:rPr>
      </w:pPr>
      <w:r>
        <w:rPr>
          <w:rFonts w:hint="eastAsia" w:ascii="仿宋" w:hAnsi="仿宋" w:eastAsia="仿宋"/>
          <w:kern w:val="0"/>
          <w:sz w:val="24"/>
        </w:rPr>
        <w:t>②监狱企业参加投标【提供《监狱企业声明函》及其相关的证明材料，不提供不予认可】，视为小型、微型企业，享受小微企业政策扶持，监狱企业属于小型、微型企业的，不重复享受政策。</w:t>
      </w:r>
    </w:p>
    <w:p w14:paraId="3EAA6DFE">
      <w:pPr>
        <w:spacing w:line="360" w:lineRule="auto"/>
        <w:ind w:firstLine="480" w:firstLineChars="200"/>
        <w:rPr>
          <w:rFonts w:ascii="仿宋" w:hAnsi="仿宋" w:eastAsia="仿宋" w:cs="仿宋"/>
          <w:sz w:val="24"/>
        </w:rPr>
      </w:pPr>
      <w:r>
        <w:rPr>
          <w:rFonts w:hint="eastAsia" w:ascii="仿宋" w:hAnsi="仿宋" w:eastAsia="仿宋"/>
          <w:kern w:val="0"/>
          <w:sz w:val="24"/>
        </w:rPr>
        <w:t>③残疾人福利性单位参加投标【提供《残疾人福利性单位声明函》，不提供不予认可】，视为小型、微型企业，享受小微企业政策扶持，残疾人福利性单位属于小型、微型企业的，不重复享受政策。</w:t>
      </w:r>
    </w:p>
    <w:p w14:paraId="3646D9AA">
      <w:pPr>
        <w:autoSpaceDE w:val="0"/>
        <w:autoSpaceDN w:val="0"/>
        <w:snapToGrid w:val="0"/>
        <w:spacing w:line="400" w:lineRule="exact"/>
        <w:ind w:left="424"/>
        <w:textAlignment w:val="bottom"/>
        <w:rPr>
          <w:rFonts w:ascii="仿宋" w:hAnsi="仿宋" w:eastAsia="仿宋" w:cs="仿宋"/>
          <w:bCs/>
          <w:sz w:val="24"/>
        </w:rPr>
      </w:pPr>
    </w:p>
    <w:p w14:paraId="69BAE732">
      <w:pPr>
        <w:tabs>
          <w:tab w:val="left" w:pos="844"/>
        </w:tabs>
        <w:autoSpaceDE w:val="0"/>
        <w:autoSpaceDN w:val="0"/>
        <w:snapToGrid w:val="0"/>
        <w:spacing w:line="400" w:lineRule="exact"/>
        <w:ind w:left="426"/>
        <w:textAlignment w:val="bottom"/>
        <w:rPr>
          <w:rFonts w:ascii="仿宋" w:hAnsi="仿宋" w:eastAsia="仿宋" w:cs="仿宋"/>
          <w:bCs/>
          <w:sz w:val="24"/>
        </w:rPr>
      </w:pPr>
    </w:p>
    <w:p w14:paraId="3AB4DA68">
      <w:pPr>
        <w:spacing w:line="280" w:lineRule="exact"/>
        <w:ind w:firstLine="470" w:firstLineChars="196"/>
        <w:rPr>
          <w:rFonts w:ascii="仿宋" w:hAnsi="仿宋" w:eastAsia="仿宋" w:cs="仿宋"/>
          <w:sz w:val="24"/>
        </w:rPr>
      </w:pPr>
    </w:p>
    <w:p w14:paraId="4BCBA693">
      <w:pPr>
        <w:spacing w:line="280" w:lineRule="exact"/>
        <w:ind w:firstLine="470" w:firstLineChars="196"/>
        <w:rPr>
          <w:rFonts w:ascii="仿宋" w:hAnsi="仿宋" w:eastAsia="仿宋" w:cs="仿宋"/>
          <w:sz w:val="24"/>
        </w:rPr>
      </w:pPr>
    </w:p>
    <w:p w14:paraId="0A26A3F5">
      <w:pPr>
        <w:spacing w:line="280" w:lineRule="exact"/>
        <w:ind w:firstLine="470" w:firstLineChars="196"/>
        <w:rPr>
          <w:rFonts w:ascii="仿宋" w:hAnsi="仿宋" w:eastAsia="仿宋" w:cs="仿宋"/>
          <w:sz w:val="24"/>
        </w:rPr>
      </w:pPr>
    </w:p>
    <w:p w14:paraId="26967D29">
      <w:pPr>
        <w:pStyle w:val="12"/>
        <w:ind w:firstLine="280"/>
      </w:pPr>
    </w:p>
    <w:p w14:paraId="6EFBD87E">
      <w:pPr>
        <w:spacing w:line="280" w:lineRule="exact"/>
        <w:ind w:firstLine="470" w:firstLineChars="196"/>
        <w:rPr>
          <w:rFonts w:ascii="仿宋" w:hAnsi="仿宋" w:eastAsia="仿宋" w:cs="仿宋"/>
          <w:sz w:val="24"/>
        </w:rPr>
      </w:pPr>
    </w:p>
    <w:p w14:paraId="2E812668">
      <w:pPr>
        <w:spacing w:line="280" w:lineRule="exact"/>
        <w:ind w:firstLine="470" w:firstLineChars="196"/>
        <w:rPr>
          <w:rFonts w:ascii="仿宋" w:hAnsi="仿宋" w:eastAsia="仿宋" w:cs="仿宋"/>
          <w:sz w:val="24"/>
        </w:rPr>
      </w:pPr>
    </w:p>
    <w:p w14:paraId="7A04BE2E">
      <w:pPr>
        <w:spacing w:line="280" w:lineRule="exact"/>
        <w:ind w:firstLine="470" w:firstLineChars="196"/>
        <w:rPr>
          <w:rFonts w:ascii="仿宋" w:hAnsi="仿宋" w:eastAsia="仿宋" w:cs="仿宋"/>
          <w:sz w:val="24"/>
        </w:rPr>
      </w:pPr>
    </w:p>
    <w:p w14:paraId="0764D1CF">
      <w:pPr>
        <w:spacing w:line="280" w:lineRule="exact"/>
        <w:ind w:firstLine="470" w:firstLineChars="196"/>
        <w:rPr>
          <w:rFonts w:ascii="仿宋" w:hAnsi="仿宋" w:eastAsia="仿宋" w:cs="仿宋"/>
          <w:sz w:val="24"/>
        </w:rPr>
      </w:pPr>
    </w:p>
    <w:p w14:paraId="2F70CFCB">
      <w:pPr>
        <w:pStyle w:val="12"/>
        <w:ind w:firstLine="280"/>
      </w:pPr>
    </w:p>
    <w:p w14:paraId="7B6132E0"/>
    <w:p w14:paraId="66215E85">
      <w:pPr>
        <w:spacing w:line="280" w:lineRule="exact"/>
        <w:ind w:firstLine="470" w:firstLineChars="196"/>
        <w:rPr>
          <w:rFonts w:ascii="仿宋" w:hAnsi="仿宋" w:eastAsia="仿宋" w:cs="仿宋"/>
          <w:sz w:val="24"/>
        </w:rPr>
      </w:pPr>
    </w:p>
    <w:p w14:paraId="34363E92">
      <w:pPr>
        <w:pStyle w:val="15"/>
      </w:pPr>
    </w:p>
    <w:p w14:paraId="44B44F6E">
      <w:pPr>
        <w:spacing w:line="400" w:lineRule="exact"/>
        <w:jc w:val="left"/>
        <w:rPr>
          <w:rFonts w:ascii="仿宋" w:hAnsi="仿宋" w:eastAsia="仿宋" w:cs="仿宋"/>
          <w:b/>
          <w:bCs/>
          <w:sz w:val="28"/>
          <w:szCs w:val="28"/>
        </w:rPr>
      </w:pPr>
      <w:r>
        <w:rPr>
          <w:rFonts w:hint="eastAsia" w:ascii="仿宋" w:hAnsi="仿宋" w:eastAsia="仿宋" w:cs="仿宋"/>
          <w:b/>
          <w:bCs/>
          <w:sz w:val="28"/>
          <w:szCs w:val="28"/>
        </w:rPr>
        <w:t>1、磋商声明书</w:t>
      </w:r>
    </w:p>
    <w:p w14:paraId="7EA2203F">
      <w:pPr>
        <w:spacing w:line="360" w:lineRule="auto"/>
        <w:jc w:val="center"/>
        <w:rPr>
          <w:rFonts w:ascii="仿宋" w:hAnsi="仿宋" w:eastAsia="仿宋" w:cs="仿宋"/>
          <w:b/>
          <w:sz w:val="32"/>
          <w:szCs w:val="32"/>
        </w:rPr>
      </w:pPr>
      <w:bookmarkStart w:id="227" w:name="_Toc414960388"/>
      <w:r>
        <w:rPr>
          <w:rFonts w:hint="eastAsia" w:ascii="仿宋" w:hAnsi="仿宋" w:eastAsia="仿宋" w:cs="仿宋"/>
          <w:b/>
          <w:sz w:val="32"/>
          <w:szCs w:val="32"/>
        </w:rPr>
        <w:t>磋 商 声 明 书</w:t>
      </w:r>
      <w:bookmarkEnd w:id="227"/>
    </w:p>
    <w:p w14:paraId="178CA8F5">
      <w:pPr>
        <w:pStyle w:val="17"/>
        <w:spacing w:line="460" w:lineRule="atLeast"/>
        <w:jc w:val="center"/>
        <w:rPr>
          <w:rFonts w:ascii="仿宋" w:hAnsi="仿宋" w:eastAsia="仿宋" w:cs="仿宋"/>
        </w:rPr>
      </w:pPr>
    </w:p>
    <w:p w14:paraId="1351B36D">
      <w:pPr>
        <w:adjustRightInd w:val="0"/>
        <w:snapToGrid w:val="0"/>
        <w:spacing w:line="360" w:lineRule="auto"/>
        <w:rPr>
          <w:rFonts w:ascii="仿宋" w:hAnsi="仿宋" w:eastAsia="仿宋" w:cs="仿宋"/>
          <w:sz w:val="24"/>
        </w:rPr>
      </w:pPr>
      <w:r>
        <w:rPr>
          <w:rFonts w:hint="eastAsia" w:ascii="仿宋" w:hAnsi="仿宋" w:eastAsia="仿宋" w:cs="仿宋"/>
          <w:sz w:val="24"/>
        </w:rPr>
        <w:t>致：</w:t>
      </w:r>
    </w:p>
    <w:p w14:paraId="10A5E426">
      <w:pPr>
        <w:tabs>
          <w:tab w:val="left" w:pos="1418"/>
        </w:tabs>
        <w:snapToGrid w:val="0"/>
        <w:spacing w:before="50" w:after="50" w:line="360" w:lineRule="auto"/>
        <w:ind w:firstLine="480" w:firstLineChars="200"/>
        <w:rPr>
          <w:rFonts w:ascii="仿宋" w:hAnsi="仿宋" w:eastAsia="仿宋" w:cs="仿宋"/>
          <w:sz w:val="24"/>
        </w:rPr>
      </w:pPr>
      <w:r>
        <w:rPr>
          <w:rFonts w:hint="eastAsia" w:ascii="仿宋" w:hAnsi="仿宋" w:eastAsia="仿宋" w:cs="仿宋"/>
          <w:sz w:val="24"/>
        </w:rPr>
        <w:t>（供应商名称）系中华人民共和国合法企业，经营地址</w:t>
      </w:r>
      <w:r>
        <w:rPr>
          <w:rFonts w:hint="eastAsia" w:ascii="仿宋" w:hAnsi="仿宋" w:eastAsia="仿宋" w:cs="仿宋"/>
          <w:sz w:val="24"/>
          <w:u w:val="single"/>
        </w:rPr>
        <w:t xml:space="preserve">               </w:t>
      </w:r>
      <w:r>
        <w:rPr>
          <w:rFonts w:hint="eastAsia" w:ascii="仿宋" w:hAnsi="仿宋" w:eastAsia="仿宋" w:cs="仿宋"/>
          <w:sz w:val="24"/>
        </w:rPr>
        <w:t>。</w:t>
      </w:r>
    </w:p>
    <w:p w14:paraId="591985FA">
      <w:pPr>
        <w:tabs>
          <w:tab w:val="left" w:pos="1418"/>
        </w:tabs>
        <w:snapToGrid w:val="0"/>
        <w:spacing w:before="50" w:after="50" w:line="360" w:lineRule="auto"/>
        <w:ind w:firstLine="480" w:firstLineChars="200"/>
        <w:rPr>
          <w:rFonts w:ascii="仿宋" w:hAnsi="仿宋" w:eastAsia="仿宋" w:cs="仿宋"/>
          <w:sz w:val="24"/>
        </w:rPr>
      </w:pPr>
      <w:r>
        <w:rPr>
          <w:rFonts w:hint="eastAsia" w:ascii="仿宋" w:hAnsi="仿宋" w:eastAsia="仿宋" w:cs="仿宋"/>
          <w:sz w:val="24"/>
        </w:rPr>
        <w:t>我（姓名）系（供应商名称）的法定代表人，我方愿意参加贵方组织的项目的磋商，为便于贵方公正、择优地确定成交供应商及其磋商项目的服务，我方就本次磋商有关事项郑重声明如下：</w:t>
      </w:r>
    </w:p>
    <w:p w14:paraId="37F14B03">
      <w:pPr>
        <w:adjustRightInd w:val="0"/>
        <w:snapToGrid w:val="0"/>
        <w:spacing w:line="360" w:lineRule="auto"/>
        <w:ind w:firstLine="480" w:firstLineChars="200"/>
        <w:rPr>
          <w:rFonts w:ascii="仿宋" w:hAnsi="仿宋" w:eastAsia="仿宋" w:cs="仿宋"/>
          <w:sz w:val="24"/>
        </w:rPr>
      </w:pPr>
      <w:r>
        <w:rPr>
          <w:rFonts w:hint="eastAsia" w:ascii="仿宋" w:hAnsi="仿宋" w:eastAsia="仿宋" w:cs="仿宋"/>
          <w:sz w:val="24"/>
        </w:rPr>
        <w:t>1、我方向贵方提交的所有响应文件、资料都是准确的和真实的；</w:t>
      </w:r>
    </w:p>
    <w:p w14:paraId="2FFC1EBA">
      <w:pPr>
        <w:adjustRightInd w:val="0"/>
        <w:snapToGrid w:val="0"/>
        <w:spacing w:line="360" w:lineRule="auto"/>
        <w:ind w:firstLine="480" w:firstLineChars="200"/>
        <w:rPr>
          <w:rFonts w:ascii="仿宋" w:hAnsi="仿宋" w:eastAsia="仿宋" w:cs="仿宋"/>
          <w:sz w:val="24"/>
        </w:rPr>
      </w:pPr>
      <w:r>
        <w:rPr>
          <w:rFonts w:hint="eastAsia" w:ascii="仿宋" w:hAnsi="仿宋" w:eastAsia="仿宋" w:cs="仿宋"/>
          <w:sz w:val="24"/>
        </w:rPr>
        <w:t>2、我方不是采购人的附属机构；在获知本项目采购信息后，与采购人聘请的为此项目提供咨询服务的公司及其附属机构没有任何联系。</w:t>
      </w:r>
    </w:p>
    <w:p w14:paraId="10BE296A">
      <w:pPr>
        <w:adjustRightInd w:val="0"/>
        <w:snapToGrid w:val="0"/>
        <w:spacing w:line="360" w:lineRule="auto"/>
        <w:ind w:firstLine="480" w:firstLineChars="200"/>
        <w:rPr>
          <w:rFonts w:ascii="仿宋" w:hAnsi="仿宋" w:eastAsia="仿宋" w:cs="仿宋"/>
          <w:sz w:val="24"/>
        </w:rPr>
      </w:pPr>
      <w:r>
        <w:rPr>
          <w:rFonts w:hint="eastAsia" w:ascii="仿宋" w:hAnsi="仿宋" w:eastAsia="仿宋" w:cs="仿宋"/>
          <w:sz w:val="24"/>
        </w:rPr>
        <w:t>3、我方此次向贵方提供的服务是。</w:t>
      </w:r>
    </w:p>
    <w:p w14:paraId="4944846B">
      <w:pPr>
        <w:adjustRightInd w:val="0"/>
        <w:snapToGrid w:val="0"/>
        <w:spacing w:line="360" w:lineRule="auto"/>
        <w:ind w:firstLine="480" w:firstLineChars="200"/>
        <w:rPr>
          <w:rFonts w:ascii="仿宋" w:hAnsi="仿宋" w:eastAsia="仿宋" w:cs="仿宋"/>
          <w:sz w:val="24"/>
        </w:rPr>
      </w:pPr>
      <w:r>
        <w:rPr>
          <w:rFonts w:hint="eastAsia" w:ascii="仿宋" w:hAnsi="仿宋" w:eastAsia="仿宋" w:cs="仿宋"/>
          <w:sz w:val="24"/>
        </w:rPr>
        <w:t>4、我方最近三年内的被公开披露或查处的违法违规行为有：</w:t>
      </w:r>
      <w:r>
        <w:rPr>
          <w:rFonts w:hint="eastAsia" w:ascii="仿宋" w:hAnsi="仿宋" w:eastAsia="仿宋" w:cs="仿宋"/>
          <w:sz w:val="24"/>
          <w:u w:val="single"/>
        </w:rPr>
        <w:t xml:space="preserve">　                </w:t>
      </w:r>
    </w:p>
    <w:p w14:paraId="175A0F50">
      <w:pPr>
        <w:adjustRightInd w:val="0"/>
        <w:snapToGrid w:val="0"/>
        <w:spacing w:line="360" w:lineRule="auto"/>
        <w:ind w:firstLine="480" w:firstLineChars="200"/>
        <w:rPr>
          <w:rFonts w:ascii="仿宋" w:hAnsi="仿宋" w:eastAsia="仿宋" w:cs="仿宋"/>
          <w:sz w:val="24"/>
        </w:rPr>
      </w:pPr>
      <w:r>
        <w:rPr>
          <w:rFonts w:hint="eastAsia" w:ascii="仿宋" w:hAnsi="仿宋" w:eastAsia="仿宋" w:cs="仿宋"/>
          <w:sz w:val="24"/>
        </w:rPr>
        <w:t xml:space="preserve">5、我方承诺：最近三年我方无行贿犯罪行为，若我方成交，愿意接受社会监督和检察院调查，若与我方承诺不符，可免除我方成交人资格。                                                  </w:t>
      </w:r>
    </w:p>
    <w:p w14:paraId="09D6EC63">
      <w:pPr>
        <w:adjustRightInd w:val="0"/>
        <w:snapToGrid w:val="0"/>
        <w:spacing w:line="360" w:lineRule="auto"/>
        <w:ind w:firstLine="480" w:firstLineChars="200"/>
        <w:rPr>
          <w:rFonts w:ascii="仿宋" w:hAnsi="仿宋" w:eastAsia="仿宋" w:cs="仿宋"/>
          <w:sz w:val="24"/>
        </w:rPr>
      </w:pPr>
      <w:r>
        <w:rPr>
          <w:rFonts w:hint="eastAsia" w:ascii="仿宋" w:hAnsi="仿宋" w:eastAsia="仿宋" w:cs="仿宋"/>
          <w:sz w:val="24"/>
        </w:rPr>
        <w:t>6、以上事项如有虚假或隐瞒，我方愿意承担一切后果和责任。</w:t>
      </w:r>
    </w:p>
    <w:p w14:paraId="61A403C8">
      <w:pPr>
        <w:adjustRightInd w:val="0"/>
        <w:snapToGrid w:val="0"/>
        <w:spacing w:line="360" w:lineRule="auto"/>
        <w:ind w:firstLine="480" w:firstLineChars="200"/>
        <w:rPr>
          <w:rFonts w:ascii="仿宋" w:hAnsi="仿宋" w:eastAsia="仿宋" w:cs="仿宋"/>
          <w:sz w:val="24"/>
          <w:u w:val="single"/>
        </w:rPr>
      </w:pPr>
    </w:p>
    <w:p w14:paraId="69895BC6">
      <w:pPr>
        <w:adjustRightInd w:val="0"/>
        <w:snapToGrid w:val="0"/>
        <w:spacing w:line="360" w:lineRule="auto"/>
        <w:ind w:firstLine="480" w:firstLineChars="200"/>
        <w:rPr>
          <w:rFonts w:ascii="仿宋" w:hAnsi="仿宋" w:eastAsia="仿宋" w:cs="仿宋"/>
          <w:sz w:val="24"/>
          <w:u w:val="single"/>
        </w:rPr>
      </w:pPr>
      <w:r>
        <w:rPr>
          <w:rFonts w:hint="eastAsia" w:ascii="仿宋" w:hAnsi="仿宋" w:eastAsia="仿宋" w:cs="仿宋"/>
          <w:sz w:val="24"/>
        </w:rPr>
        <w:t>法定代表人签字：</w:t>
      </w:r>
    </w:p>
    <w:p w14:paraId="47E44834">
      <w:pPr>
        <w:adjustRightInd w:val="0"/>
        <w:snapToGrid w:val="0"/>
        <w:spacing w:line="360" w:lineRule="auto"/>
        <w:ind w:firstLine="480" w:firstLineChars="200"/>
        <w:rPr>
          <w:rFonts w:ascii="仿宋" w:hAnsi="仿宋" w:eastAsia="仿宋" w:cs="仿宋"/>
          <w:sz w:val="24"/>
          <w:u w:val="single"/>
        </w:rPr>
      </w:pPr>
      <w:r>
        <w:rPr>
          <w:rFonts w:hint="eastAsia" w:ascii="仿宋" w:hAnsi="仿宋" w:eastAsia="仿宋" w:cs="仿宋"/>
          <w:sz w:val="24"/>
        </w:rPr>
        <w:t>供应商盖章：</w:t>
      </w:r>
    </w:p>
    <w:p w14:paraId="73340090">
      <w:pPr>
        <w:adjustRightInd w:val="0"/>
        <w:snapToGrid w:val="0"/>
        <w:spacing w:line="360" w:lineRule="auto"/>
        <w:ind w:firstLine="240" w:firstLineChars="100"/>
        <w:rPr>
          <w:rFonts w:ascii="仿宋" w:hAnsi="仿宋" w:eastAsia="仿宋" w:cs="仿宋"/>
          <w:sz w:val="24"/>
        </w:rPr>
      </w:pPr>
      <w:r>
        <w:rPr>
          <w:rFonts w:hint="eastAsia" w:ascii="仿宋" w:hAnsi="仿宋" w:eastAsia="仿宋" w:cs="仿宋"/>
          <w:sz w:val="24"/>
        </w:rPr>
        <w:t xml:space="preserve">  年    月    日</w:t>
      </w:r>
    </w:p>
    <w:p w14:paraId="5BF51A62">
      <w:pPr>
        <w:spacing w:line="400" w:lineRule="exact"/>
        <w:jc w:val="left"/>
        <w:rPr>
          <w:rFonts w:ascii="仿宋" w:hAnsi="仿宋" w:eastAsia="仿宋" w:cs="仿宋"/>
          <w:b/>
          <w:bCs/>
          <w:sz w:val="28"/>
          <w:szCs w:val="28"/>
        </w:rPr>
      </w:pPr>
      <w:r>
        <w:rPr>
          <w:rFonts w:hint="eastAsia" w:ascii="仿宋" w:hAnsi="仿宋" w:eastAsia="仿宋" w:cs="仿宋"/>
          <w:szCs w:val="21"/>
        </w:rPr>
        <w:br w:type="page"/>
      </w:r>
      <w:r>
        <w:rPr>
          <w:rFonts w:hint="eastAsia" w:ascii="仿宋" w:hAnsi="仿宋" w:eastAsia="仿宋" w:cs="仿宋"/>
          <w:b/>
          <w:bCs/>
          <w:sz w:val="28"/>
          <w:szCs w:val="28"/>
        </w:rPr>
        <w:t>2、法定代表人身份证明书</w:t>
      </w:r>
    </w:p>
    <w:p w14:paraId="7D343E6D">
      <w:pPr>
        <w:spacing w:before="156" w:beforeLines="50" w:after="156" w:afterLines="50" w:line="400" w:lineRule="exact"/>
        <w:jc w:val="center"/>
        <w:rPr>
          <w:rFonts w:ascii="仿宋" w:hAnsi="仿宋" w:eastAsia="仿宋" w:cs="仿宋"/>
          <w:bCs/>
          <w:sz w:val="30"/>
        </w:rPr>
      </w:pPr>
    </w:p>
    <w:p w14:paraId="30818E29">
      <w:pPr>
        <w:spacing w:before="156" w:beforeLines="50" w:after="156" w:afterLines="50" w:line="400" w:lineRule="exact"/>
        <w:jc w:val="center"/>
        <w:rPr>
          <w:rFonts w:ascii="仿宋" w:hAnsi="仿宋" w:eastAsia="仿宋" w:cs="仿宋"/>
          <w:b/>
          <w:sz w:val="32"/>
          <w:szCs w:val="32"/>
        </w:rPr>
      </w:pPr>
      <w:r>
        <w:rPr>
          <w:rFonts w:hint="eastAsia" w:ascii="仿宋" w:hAnsi="仿宋" w:eastAsia="仿宋" w:cs="仿宋"/>
          <w:b/>
          <w:sz w:val="32"/>
          <w:szCs w:val="32"/>
        </w:rPr>
        <w:t>法定代表人身份证明书</w:t>
      </w:r>
    </w:p>
    <w:p w14:paraId="042E132D">
      <w:pPr>
        <w:spacing w:line="360" w:lineRule="auto"/>
        <w:rPr>
          <w:rFonts w:ascii="仿宋" w:hAnsi="仿宋" w:eastAsia="仿宋" w:cs="仿宋"/>
          <w:sz w:val="24"/>
        </w:rPr>
      </w:pPr>
      <w:r>
        <w:rPr>
          <w:rFonts w:hint="eastAsia" w:ascii="仿宋" w:hAnsi="仿宋" w:eastAsia="仿宋" w:cs="仿宋"/>
          <w:sz w:val="24"/>
        </w:rPr>
        <w:t>致</w:t>
      </w:r>
      <w:r>
        <w:rPr>
          <w:rFonts w:hint="eastAsia" w:ascii="仿宋" w:hAnsi="仿宋" w:eastAsia="仿宋" w:cs="仿宋"/>
          <w:sz w:val="24"/>
          <w:lang w:val="zh-CN"/>
        </w:rPr>
        <w:t>：</w:t>
      </w:r>
    </w:p>
    <w:p w14:paraId="11EAB13C">
      <w:pPr>
        <w:spacing w:before="156" w:beforeLines="50" w:after="156" w:afterLines="50" w:line="400" w:lineRule="exact"/>
        <w:rPr>
          <w:rFonts w:ascii="仿宋" w:hAnsi="仿宋" w:eastAsia="仿宋" w:cs="仿宋"/>
          <w:sz w:val="24"/>
          <w:u w:val="single"/>
        </w:rPr>
      </w:pPr>
      <w:r>
        <w:rPr>
          <w:rFonts w:hint="eastAsia" w:ascii="仿宋" w:hAnsi="仿宋" w:eastAsia="仿宋" w:cs="仿宋"/>
          <w:sz w:val="24"/>
          <w:u w:val="single"/>
        </w:rPr>
        <w:t xml:space="preserve">  （法定代表人姓名）   </w:t>
      </w:r>
      <w:r>
        <w:rPr>
          <w:rFonts w:hint="eastAsia" w:ascii="仿宋" w:hAnsi="仿宋" w:eastAsia="仿宋" w:cs="仿宋"/>
          <w:sz w:val="24"/>
        </w:rPr>
        <w:t>系</w:t>
      </w:r>
      <w:r>
        <w:rPr>
          <w:rFonts w:hint="eastAsia" w:ascii="仿宋" w:hAnsi="仿宋" w:eastAsia="仿宋" w:cs="仿宋"/>
          <w:sz w:val="24"/>
          <w:u w:val="single"/>
        </w:rPr>
        <w:t xml:space="preserve">   （供应商名称）  </w:t>
      </w:r>
      <w:r>
        <w:rPr>
          <w:rFonts w:hint="eastAsia" w:ascii="仿宋" w:hAnsi="仿宋" w:eastAsia="仿宋" w:cs="仿宋"/>
          <w:sz w:val="24"/>
        </w:rPr>
        <w:t>的法定代表人，性别</w:t>
      </w:r>
      <w:r>
        <w:rPr>
          <w:rFonts w:hint="eastAsia" w:ascii="仿宋" w:hAnsi="仿宋" w:eastAsia="仿宋" w:cs="仿宋"/>
          <w:sz w:val="24"/>
          <w:u w:val="single"/>
        </w:rPr>
        <w:t xml:space="preserve">      ，</w:t>
      </w:r>
      <w:r>
        <w:rPr>
          <w:rFonts w:hint="eastAsia" w:ascii="仿宋" w:hAnsi="仿宋" w:eastAsia="仿宋" w:cs="仿宋"/>
          <w:sz w:val="24"/>
        </w:rPr>
        <w:t>职务</w:t>
      </w:r>
    </w:p>
    <w:p w14:paraId="266B7845">
      <w:pPr>
        <w:spacing w:before="156" w:beforeLines="50" w:after="156" w:afterLines="50" w:line="400" w:lineRule="exact"/>
        <w:rPr>
          <w:rFonts w:ascii="仿宋" w:hAnsi="仿宋" w:eastAsia="仿宋" w:cs="仿宋"/>
          <w:sz w:val="24"/>
        </w:rPr>
      </w:pPr>
      <w:r>
        <w:rPr>
          <w:rFonts w:hint="eastAsia" w:ascii="仿宋" w:hAnsi="仿宋" w:eastAsia="仿宋" w:cs="仿宋"/>
          <w:sz w:val="24"/>
          <w:u w:val="single"/>
        </w:rPr>
        <w:t xml:space="preserve">     ，</w:t>
      </w:r>
      <w:r>
        <w:rPr>
          <w:rFonts w:hint="eastAsia" w:ascii="仿宋" w:hAnsi="仿宋" w:eastAsia="仿宋" w:cs="仿宋"/>
          <w:sz w:val="24"/>
        </w:rPr>
        <w:t xml:space="preserve">联系电话 传真,联系地址，邮编    。          </w:t>
      </w:r>
    </w:p>
    <w:p w14:paraId="43537CFB">
      <w:pPr>
        <w:spacing w:before="156" w:beforeLines="50" w:after="156" w:afterLines="50" w:line="400" w:lineRule="exact"/>
        <w:rPr>
          <w:rFonts w:ascii="仿宋" w:hAnsi="仿宋" w:eastAsia="仿宋" w:cs="仿宋"/>
          <w:sz w:val="24"/>
        </w:rPr>
      </w:pPr>
    </w:p>
    <w:p w14:paraId="705D685B">
      <w:pPr>
        <w:spacing w:before="156" w:beforeLines="50" w:after="156" w:afterLines="50" w:line="400" w:lineRule="exact"/>
        <w:jc w:val="center"/>
        <w:rPr>
          <w:rFonts w:ascii="仿宋" w:hAnsi="仿宋" w:eastAsia="仿宋" w:cs="仿宋"/>
          <w:sz w:val="24"/>
        </w:rPr>
      </w:pPr>
      <w:r>
        <w:rPr>
          <w:rFonts w:hint="eastAsia" w:ascii="仿宋" w:hAnsi="仿宋" w:eastAsia="仿宋" w:cs="仿宋"/>
          <w:sz w:val="24"/>
        </w:rPr>
        <w:t>特此证明</w:t>
      </w:r>
    </w:p>
    <w:p w14:paraId="3C9FC3B7">
      <w:pPr>
        <w:spacing w:before="156" w:beforeLines="50" w:after="156" w:afterLines="50" w:line="400" w:lineRule="exact"/>
        <w:jc w:val="right"/>
        <w:rPr>
          <w:rFonts w:ascii="仿宋" w:hAnsi="仿宋" w:eastAsia="仿宋" w:cs="仿宋"/>
          <w:sz w:val="24"/>
        </w:rPr>
      </w:pPr>
    </w:p>
    <w:p w14:paraId="3E3E309B">
      <w:pPr>
        <w:spacing w:before="156" w:beforeLines="50" w:after="156" w:afterLines="50" w:line="400" w:lineRule="exact"/>
        <w:jc w:val="right"/>
        <w:rPr>
          <w:rFonts w:ascii="仿宋" w:hAnsi="仿宋" w:eastAsia="仿宋" w:cs="仿宋"/>
          <w:sz w:val="24"/>
        </w:rPr>
      </w:pPr>
      <w:r>
        <w:rPr>
          <w:rFonts w:hint="eastAsia" w:ascii="仿宋" w:hAnsi="仿宋" w:eastAsia="仿宋" w:cs="仿宋"/>
          <w:sz w:val="24"/>
        </w:rPr>
        <w:t>供应商名称（公章）</w:t>
      </w:r>
    </w:p>
    <w:p w14:paraId="07CEFDB4">
      <w:pPr>
        <w:wordWrap w:val="0"/>
        <w:spacing w:before="156" w:beforeLines="50" w:after="156" w:afterLines="50" w:line="400" w:lineRule="exact"/>
        <w:jc w:val="right"/>
        <w:rPr>
          <w:rFonts w:ascii="仿宋" w:hAnsi="仿宋" w:eastAsia="仿宋" w:cs="仿宋"/>
          <w:sz w:val="24"/>
        </w:rPr>
      </w:pPr>
      <w:r>
        <w:rPr>
          <w:rFonts w:hint="eastAsia" w:ascii="仿宋" w:hAnsi="仿宋" w:eastAsia="仿宋" w:cs="仿宋"/>
          <w:sz w:val="24"/>
        </w:rPr>
        <w:t>日期：  年   月  日</w:t>
      </w:r>
    </w:p>
    <w:p w14:paraId="136CA0B8">
      <w:pPr>
        <w:spacing w:before="156" w:beforeLines="50" w:after="156" w:afterLines="50" w:line="400" w:lineRule="exact"/>
        <w:rPr>
          <w:rFonts w:ascii="仿宋" w:hAnsi="仿宋" w:eastAsia="仿宋" w:cs="仿宋"/>
          <w:sz w:val="24"/>
        </w:rPr>
      </w:pPr>
      <w:r>
        <w:rPr>
          <w:rFonts w:hint="eastAsia" w:ascii="仿宋" w:hAnsi="仿宋" w:eastAsia="仿宋" w:cs="仿宋"/>
          <w:sz w:val="24"/>
        </w:rPr>
        <w:t>--------------------------------------------------------------------------------</w:t>
      </w:r>
    </w:p>
    <w:p w14:paraId="31D081CA">
      <w:pPr>
        <w:spacing w:before="156" w:beforeLines="50" w:after="156" w:afterLines="50" w:line="400" w:lineRule="exact"/>
        <w:jc w:val="center"/>
        <w:rPr>
          <w:rFonts w:ascii="仿宋" w:hAnsi="仿宋" w:eastAsia="仿宋" w:cs="仿宋"/>
          <w:sz w:val="24"/>
        </w:rPr>
      </w:pPr>
      <w:r>
        <w:rPr>
          <w:rFonts w:hint="eastAsia" w:ascii="仿宋" w:hAnsi="仿宋" w:eastAsia="仿宋" w:cs="仿宋"/>
          <w:sz w:val="24"/>
        </w:rPr>
        <w:t>附法定代表人身份证复印件</w:t>
      </w:r>
    </w:p>
    <w:p w14:paraId="42281A0C">
      <w:pPr>
        <w:spacing w:before="156" w:beforeLines="50" w:after="156" w:afterLines="50" w:line="400" w:lineRule="exact"/>
        <w:rPr>
          <w:rFonts w:ascii="仿宋" w:hAnsi="仿宋" w:eastAsia="仿宋" w:cs="仿宋"/>
          <w:sz w:val="24"/>
        </w:rPr>
      </w:pPr>
    </w:p>
    <w:p w14:paraId="2320F80D">
      <w:pPr>
        <w:spacing w:before="156" w:beforeLines="50" w:after="156" w:afterLines="50" w:line="400" w:lineRule="exact"/>
        <w:rPr>
          <w:rFonts w:ascii="仿宋" w:hAnsi="仿宋" w:eastAsia="仿宋" w:cs="仿宋"/>
          <w:szCs w:val="21"/>
        </w:rPr>
      </w:pPr>
    </w:p>
    <w:p w14:paraId="6CA1177C">
      <w:pPr>
        <w:spacing w:before="156" w:beforeLines="50" w:after="156" w:afterLines="50" w:line="400" w:lineRule="exact"/>
        <w:rPr>
          <w:rFonts w:ascii="仿宋" w:hAnsi="仿宋" w:eastAsia="仿宋" w:cs="仿宋"/>
          <w:szCs w:val="21"/>
        </w:rPr>
      </w:pPr>
    </w:p>
    <w:p w14:paraId="60411FA8">
      <w:pPr>
        <w:spacing w:line="400" w:lineRule="exact"/>
        <w:rPr>
          <w:rFonts w:ascii="仿宋" w:hAnsi="仿宋" w:eastAsia="仿宋" w:cs="仿宋"/>
        </w:rPr>
      </w:pPr>
    </w:p>
    <w:p w14:paraId="0F7B46B2">
      <w:pPr>
        <w:spacing w:line="400" w:lineRule="exact"/>
        <w:rPr>
          <w:rFonts w:ascii="仿宋" w:hAnsi="仿宋" w:eastAsia="仿宋" w:cs="仿宋"/>
        </w:rPr>
      </w:pPr>
    </w:p>
    <w:p w14:paraId="144D3ECF">
      <w:pPr>
        <w:spacing w:line="400" w:lineRule="exact"/>
        <w:rPr>
          <w:rFonts w:ascii="仿宋" w:hAnsi="仿宋" w:eastAsia="仿宋" w:cs="仿宋"/>
        </w:rPr>
      </w:pPr>
    </w:p>
    <w:p w14:paraId="4EBDBA29">
      <w:pPr>
        <w:spacing w:line="400" w:lineRule="exact"/>
        <w:rPr>
          <w:rFonts w:ascii="仿宋" w:hAnsi="仿宋" w:eastAsia="仿宋" w:cs="仿宋"/>
        </w:rPr>
      </w:pPr>
    </w:p>
    <w:p w14:paraId="46E1BA02">
      <w:pPr>
        <w:spacing w:line="400" w:lineRule="exact"/>
        <w:rPr>
          <w:rFonts w:ascii="仿宋" w:hAnsi="仿宋" w:eastAsia="仿宋" w:cs="仿宋"/>
        </w:rPr>
      </w:pPr>
    </w:p>
    <w:p w14:paraId="072551DA">
      <w:pPr>
        <w:spacing w:line="400" w:lineRule="exact"/>
        <w:rPr>
          <w:rFonts w:ascii="仿宋" w:hAnsi="仿宋" w:eastAsia="仿宋" w:cs="仿宋"/>
        </w:rPr>
      </w:pPr>
    </w:p>
    <w:p w14:paraId="2958CA80">
      <w:pPr>
        <w:spacing w:line="400" w:lineRule="exact"/>
        <w:rPr>
          <w:rFonts w:ascii="仿宋" w:hAnsi="仿宋" w:eastAsia="仿宋" w:cs="仿宋"/>
        </w:rPr>
      </w:pPr>
    </w:p>
    <w:p w14:paraId="2E5E2548">
      <w:pPr>
        <w:spacing w:line="400" w:lineRule="exact"/>
        <w:rPr>
          <w:rFonts w:ascii="仿宋" w:hAnsi="仿宋" w:eastAsia="仿宋" w:cs="仿宋"/>
        </w:rPr>
      </w:pPr>
    </w:p>
    <w:p w14:paraId="1CEAE0EB">
      <w:pPr>
        <w:spacing w:line="400" w:lineRule="exact"/>
        <w:rPr>
          <w:rFonts w:ascii="仿宋" w:hAnsi="仿宋" w:eastAsia="仿宋" w:cs="仿宋"/>
        </w:rPr>
      </w:pPr>
    </w:p>
    <w:p w14:paraId="0DBA8E2F">
      <w:pPr>
        <w:spacing w:line="400" w:lineRule="exact"/>
        <w:rPr>
          <w:rFonts w:ascii="仿宋" w:hAnsi="仿宋" w:eastAsia="仿宋" w:cs="仿宋"/>
        </w:rPr>
      </w:pPr>
    </w:p>
    <w:p w14:paraId="4D2A4BE7">
      <w:pPr>
        <w:spacing w:line="400" w:lineRule="exact"/>
        <w:rPr>
          <w:rFonts w:ascii="仿宋" w:hAnsi="仿宋" w:eastAsia="仿宋" w:cs="仿宋"/>
        </w:rPr>
      </w:pPr>
    </w:p>
    <w:p w14:paraId="6ED4BE98">
      <w:pPr>
        <w:spacing w:line="400" w:lineRule="exact"/>
        <w:rPr>
          <w:rFonts w:ascii="仿宋" w:hAnsi="仿宋" w:eastAsia="仿宋" w:cs="仿宋"/>
        </w:rPr>
      </w:pPr>
    </w:p>
    <w:p w14:paraId="7FD29BC9">
      <w:pPr>
        <w:spacing w:line="400" w:lineRule="exact"/>
        <w:rPr>
          <w:rFonts w:ascii="仿宋" w:hAnsi="仿宋" w:eastAsia="仿宋" w:cs="仿宋"/>
        </w:rPr>
      </w:pPr>
    </w:p>
    <w:p w14:paraId="4A03D77D">
      <w:pPr>
        <w:spacing w:line="400" w:lineRule="exact"/>
        <w:jc w:val="left"/>
        <w:rPr>
          <w:rFonts w:ascii="仿宋" w:hAnsi="仿宋" w:eastAsia="仿宋" w:cs="仿宋"/>
          <w:b/>
          <w:bCs/>
          <w:sz w:val="28"/>
          <w:szCs w:val="28"/>
        </w:rPr>
      </w:pPr>
    </w:p>
    <w:p w14:paraId="2945479A">
      <w:pPr>
        <w:spacing w:line="400" w:lineRule="exact"/>
        <w:jc w:val="left"/>
        <w:rPr>
          <w:rFonts w:ascii="仿宋" w:hAnsi="仿宋" w:eastAsia="仿宋" w:cs="仿宋"/>
          <w:b/>
          <w:bCs/>
          <w:sz w:val="28"/>
          <w:szCs w:val="28"/>
        </w:rPr>
      </w:pPr>
      <w:r>
        <w:rPr>
          <w:rFonts w:hint="eastAsia" w:ascii="仿宋" w:hAnsi="仿宋" w:eastAsia="仿宋" w:cs="仿宋"/>
          <w:b/>
          <w:bCs/>
          <w:sz w:val="28"/>
          <w:szCs w:val="28"/>
        </w:rPr>
        <w:t>3、法定代表人授权委托书格式</w:t>
      </w:r>
    </w:p>
    <w:p w14:paraId="25AB6619">
      <w:pPr>
        <w:spacing w:before="156" w:beforeLines="50" w:after="156" w:afterLines="50" w:line="400" w:lineRule="exact"/>
        <w:jc w:val="center"/>
        <w:rPr>
          <w:rFonts w:ascii="仿宋" w:hAnsi="仿宋" w:eastAsia="仿宋" w:cs="仿宋"/>
          <w:bCs/>
          <w:sz w:val="30"/>
        </w:rPr>
      </w:pPr>
    </w:p>
    <w:p w14:paraId="4130BE9B">
      <w:pPr>
        <w:spacing w:before="156" w:beforeLines="50" w:after="156" w:afterLines="50" w:line="400" w:lineRule="exact"/>
        <w:jc w:val="center"/>
        <w:rPr>
          <w:rFonts w:ascii="仿宋" w:hAnsi="仿宋" w:eastAsia="仿宋" w:cs="仿宋"/>
          <w:b/>
          <w:sz w:val="32"/>
          <w:szCs w:val="32"/>
        </w:rPr>
      </w:pPr>
      <w:r>
        <w:rPr>
          <w:rFonts w:hint="eastAsia" w:ascii="仿宋" w:hAnsi="仿宋" w:eastAsia="仿宋" w:cs="仿宋"/>
          <w:b/>
          <w:sz w:val="32"/>
          <w:szCs w:val="32"/>
        </w:rPr>
        <w:t>法定代表人授权委托书</w:t>
      </w:r>
    </w:p>
    <w:p w14:paraId="7EB03FF4">
      <w:pPr>
        <w:spacing w:line="360" w:lineRule="auto"/>
        <w:rPr>
          <w:rFonts w:ascii="仿宋" w:hAnsi="仿宋" w:eastAsia="仿宋" w:cs="仿宋"/>
          <w:sz w:val="24"/>
        </w:rPr>
      </w:pPr>
      <w:r>
        <w:rPr>
          <w:rFonts w:hint="eastAsia" w:ascii="仿宋" w:hAnsi="仿宋" w:eastAsia="仿宋" w:cs="仿宋"/>
          <w:sz w:val="24"/>
        </w:rPr>
        <w:t>致</w:t>
      </w:r>
      <w:r>
        <w:rPr>
          <w:rFonts w:hint="eastAsia" w:ascii="仿宋" w:hAnsi="仿宋" w:eastAsia="仿宋" w:cs="仿宋"/>
          <w:sz w:val="24"/>
          <w:lang w:val="zh-CN"/>
        </w:rPr>
        <w:t>：</w:t>
      </w:r>
    </w:p>
    <w:p w14:paraId="116A381D">
      <w:pPr>
        <w:spacing w:line="360" w:lineRule="auto"/>
        <w:ind w:firstLine="612"/>
        <w:rPr>
          <w:rFonts w:ascii="仿宋" w:hAnsi="仿宋" w:eastAsia="仿宋" w:cs="仿宋"/>
          <w:sz w:val="24"/>
        </w:rPr>
      </w:pPr>
      <w:r>
        <w:rPr>
          <w:rFonts w:hint="eastAsia" w:ascii="仿宋" w:hAnsi="仿宋" w:eastAsia="仿宋" w:cs="仿宋"/>
          <w:sz w:val="24"/>
        </w:rPr>
        <w:t>本授权委托书声明：我</w:t>
      </w:r>
      <w:r>
        <w:rPr>
          <w:rFonts w:hint="eastAsia" w:ascii="仿宋" w:hAnsi="仿宋" w:eastAsia="仿宋" w:cs="仿宋"/>
          <w:sz w:val="24"/>
          <w:u w:val="single"/>
        </w:rPr>
        <w:t xml:space="preserve">   （法定代表人姓名）   </w:t>
      </w:r>
      <w:r>
        <w:rPr>
          <w:rFonts w:hint="eastAsia" w:ascii="仿宋" w:hAnsi="仿宋" w:eastAsia="仿宋" w:cs="仿宋"/>
          <w:sz w:val="24"/>
        </w:rPr>
        <w:t>系</w:t>
      </w:r>
      <w:r>
        <w:rPr>
          <w:rFonts w:hint="eastAsia" w:ascii="仿宋" w:hAnsi="仿宋" w:eastAsia="仿宋" w:cs="仿宋"/>
          <w:sz w:val="24"/>
          <w:u w:val="single"/>
        </w:rPr>
        <w:t xml:space="preserve">   （供应商）  </w:t>
      </w:r>
      <w:r>
        <w:rPr>
          <w:rFonts w:hint="eastAsia" w:ascii="仿宋" w:hAnsi="仿宋" w:eastAsia="仿宋" w:cs="仿宋"/>
          <w:sz w:val="24"/>
        </w:rPr>
        <w:t>的法定代表人，现授权委托</w:t>
      </w:r>
      <w:r>
        <w:rPr>
          <w:rFonts w:hint="eastAsia" w:ascii="仿宋" w:hAnsi="仿宋" w:eastAsia="仿宋" w:cs="仿宋"/>
          <w:sz w:val="24"/>
          <w:u w:val="single"/>
        </w:rPr>
        <w:t xml:space="preserve">（授权代表姓名）  </w:t>
      </w:r>
      <w:r>
        <w:rPr>
          <w:rFonts w:hint="eastAsia" w:ascii="仿宋" w:hAnsi="仿宋" w:eastAsia="仿宋" w:cs="仿宋"/>
          <w:sz w:val="24"/>
        </w:rPr>
        <w:t xml:space="preserve">为我公司法定代表人授权代表，参加贵处组织的  </w:t>
      </w:r>
      <w:r>
        <w:rPr>
          <w:rFonts w:hint="eastAsia" w:ascii="仿宋" w:hAnsi="仿宋" w:eastAsia="仿宋" w:cs="仿宋"/>
          <w:sz w:val="24"/>
          <w:u w:val="single"/>
        </w:rPr>
        <w:t xml:space="preserve">项目名称， （项目编号）  </w:t>
      </w:r>
      <w:r>
        <w:rPr>
          <w:rFonts w:hint="eastAsia" w:ascii="仿宋" w:hAnsi="仿宋" w:eastAsia="仿宋" w:cs="仿宋"/>
          <w:sz w:val="24"/>
        </w:rPr>
        <w:t>项目谈判，全权处理本次谈判活动中的一切事宜，我承认授权代表全权代表我所签署的本项目的响应文件的内容。</w:t>
      </w:r>
    </w:p>
    <w:p w14:paraId="26C41AB2">
      <w:pPr>
        <w:spacing w:line="360" w:lineRule="auto"/>
        <w:jc w:val="center"/>
        <w:rPr>
          <w:rFonts w:ascii="仿宋" w:hAnsi="仿宋" w:eastAsia="仿宋" w:cs="仿宋"/>
          <w:sz w:val="24"/>
        </w:rPr>
      </w:pPr>
      <w:r>
        <w:rPr>
          <w:rFonts w:hint="eastAsia" w:ascii="仿宋" w:hAnsi="仿宋" w:eastAsia="仿宋" w:cs="仿宋"/>
          <w:sz w:val="24"/>
        </w:rPr>
        <w:t>授权代表无转授权，特此授权。</w:t>
      </w:r>
    </w:p>
    <w:p w14:paraId="2A31B87D">
      <w:pPr>
        <w:spacing w:line="360" w:lineRule="auto"/>
        <w:ind w:firstLine="480" w:firstLineChars="200"/>
        <w:rPr>
          <w:rFonts w:ascii="仿宋" w:hAnsi="仿宋" w:eastAsia="仿宋" w:cs="仿宋"/>
          <w:sz w:val="24"/>
        </w:rPr>
      </w:pPr>
    </w:p>
    <w:p w14:paraId="23305BFA">
      <w:pPr>
        <w:spacing w:line="360" w:lineRule="auto"/>
        <w:ind w:firstLine="480" w:firstLineChars="200"/>
        <w:rPr>
          <w:rFonts w:ascii="仿宋" w:hAnsi="仿宋" w:eastAsia="仿宋" w:cs="仿宋"/>
          <w:sz w:val="24"/>
        </w:rPr>
      </w:pPr>
      <w:r>
        <w:rPr>
          <w:rFonts w:hint="eastAsia" w:ascii="仿宋" w:hAnsi="仿宋" w:eastAsia="仿宋" w:cs="仿宋"/>
          <w:sz w:val="24"/>
        </w:rPr>
        <w:t>授权代表：</w:t>
      </w:r>
      <w:r>
        <w:rPr>
          <w:rFonts w:hint="eastAsia" w:ascii="仿宋" w:hAnsi="仿宋" w:eastAsia="仿宋" w:cs="仿宋"/>
          <w:sz w:val="24"/>
          <w:u w:val="single"/>
        </w:rPr>
        <w:t xml:space="preserve">   （签字）  </w:t>
      </w:r>
      <w:r>
        <w:rPr>
          <w:rFonts w:hint="eastAsia" w:ascii="仿宋" w:hAnsi="仿宋" w:eastAsia="仿宋" w:cs="仿宋"/>
          <w:sz w:val="24"/>
        </w:rPr>
        <w:t xml:space="preserve"> 性别 ： 年龄： 职务：</w:t>
      </w:r>
    </w:p>
    <w:p w14:paraId="21D91A1E">
      <w:pPr>
        <w:spacing w:line="360" w:lineRule="auto"/>
        <w:ind w:firstLine="480" w:firstLineChars="200"/>
        <w:rPr>
          <w:rFonts w:ascii="仿宋" w:hAnsi="仿宋" w:eastAsia="仿宋" w:cs="仿宋"/>
          <w:sz w:val="24"/>
          <w:u w:val="single"/>
        </w:rPr>
      </w:pPr>
      <w:r>
        <w:rPr>
          <w:rFonts w:hint="eastAsia" w:ascii="仿宋" w:hAnsi="仿宋" w:eastAsia="仿宋" w:cs="仿宋"/>
          <w:sz w:val="24"/>
        </w:rPr>
        <w:t>详细通讯地址： 邮政编码：</w:t>
      </w:r>
    </w:p>
    <w:p w14:paraId="031F0B31">
      <w:pPr>
        <w:spacing w:line="360" w:lineRule="auto"/>
        <w:ind w:firstLine="480" w:firstLineChars="200"/>
        <w:rPr>
          <w:rFonts w:ascii="仿宋" w:hAnsi="仿宋" w:eastAsia="仿宋" w:cs="仿宋"/>
          <w:sz w:val="24"/>
          <w:u w:val="single"/>
        </w:rPr>
      </w:pPr>
      <w:r>
        <w:rPr>
          <w:rFonts w:hint="eastAsia" w:ascii="仿宋" w:hAnsi="仿宋" w:eastAsia="仿宋" w:cs="仿宋"/>
          <w:sz w:val="24"/>
        </w:rPr>
        <w:t>电话： 传真：</w:t>
      </w:r>
    </w:p>
    <w:p w14:paraId="539B67A4">
      <w:pPr>
        <w:ind w:left="1" w:firstLine="460" w:firstLineChars="192"/>
        <w:rPr>
          <w:rFonts w:ascii="仿宋" w:hAnsi="仿宋" w:eastAsia="仿宋" w:cs="仿宋"/>
          <w:sz w:val="24"/>
        </w:rPr>
      </w:pPr>
    </w:p>
    <w:p w14:paraId="16620126">
      <w:pPr>
        <w:spacing w:line="360" w:lineRule="auto"/>
        <w:ind w:left="424" w:right="420"/>
        <w:jc w:val="right"/>
        <w:rPr>
          <w:rFonts w:ascii="仿宋" w:hAnsi="仿宋" w:eastAsia="仿宋" w:cs="仿宋"/>
          <w:sz w:val="24"/>
        </w:rPr>
      </w:pPr>
      <w:r>
        <w:rPr>
          <w:rFonts w:hint="eastAsia" w:ascii="仿宋" w:hAnsi="仿宋" w:eastAsia="仿宋" w:cs="仿宋"/>
          <w:sz w:val="24"/>
        </w:rPr>
        <w:t>供应商名称：（盖章）</w:t>
      </w:r>
    </w:p>
    <w:p w14:paraId="7FC4F968">
      <w:pPr>
        <w:spacing w:line="360" w:lineRule="auto"/>
        <w:ind w:left="424" w:right="420"/>
        <w:jc w:val="right"/>
        <w:rPr>
          <w:rFonts w:ascii="仿宋" w:hAnsi="仿宋" w:eastAsia="仿宋" w:cs="仿宋"/>
          <w:sz w:val="24"/>
        </w:rPr>
      </w:pPr>
      <w:r>
        <w:rPr>
          <w:rFonts w:hint="eastAsia" w:ascii="仿宋" w:hAnsi="仿宋" w:eastAsia="仿宋" w:cs="仿宋"/>
          <w:sz w:val="24"/>
        </w:rPr>
        <w:t>法定代表人（签字）：</w:t>
      </w:r>
    </w:p>
    <w:p w14:paraId="4995AF30">
      <w:pPr>
        <w:spacing w:line="360" w:lineRule="auto"/>
        <w:ind w:left="424" w:right="420"/>
        <w:jc w:val="right"/>
        <w:rPr>
          <w:rFonts w:ascii="仿宋" w:hAnsi="仿宋" w:eastAsia="仿宋" w:cs="仿宋"/>
          <w:sz w:val="24"/>
        </w:rPr>
      </w:pPr>
      <w:r>
        <w:rPr>
          <w:rFonts w:hint="eastAsia" w:ascii="仿宋" w:hAnsi="仿宋" w:eastAsia="仿宋" w:cs="仿宋"/>
          <w:sz w:val="24"/>
        </w:rPr>
        <w:t>日期：年 月日</w:t>
      </w:r>
    </w:p>
    <w:p w14:paraId="57914D37">
      <w:pPr>
        <w:spacing w:line="360" w:lineRule="auto"/>
        <w:rPr>
          <w:rFonts w:ascii="仿宋" w:hAnsi="仿宋" w:eastAsia="仿宋" w:cs="仿宋"/>
          <w:sz w:val="24"/>
        </w:rPr>
      </w:pPr>
      <w:r>
        <w:rPr>
          <w:rFonts w:hint="eastAsia" w:ascii="仿宋" w:hAnsi="仿宋" w:eastAsia="仿宋" w:cs="仿宋"/>
          <w:sz w:val="24"/>
        </w:rPr>
        <w:t>-----------------------------------------------------------------------------</w:t>
      </w:r>
    </w:p>
    <w:p w14:paraId="4899F0C5">
      <w:pPr>
        <w:pStyle w:val="19"/>
        <w:ind w:firstLine="480" w:firstLineChars="200"/>
        <w:rPr>
          <w:rFonts w:ascii="仿宋" w:hAnsi="仿宋" w:eastAsia="仿宋" w:cs="仿宋"/>
          <w:sz w:val="24"/>
        </w:rPr>
      </w:pPr>
      <w:r>
        <w:rPr>
          <w:rFonts w:hint="eastAsia" w:ascii="仿宋" w:hAnsi="仿宋" w:eastAsia="仿宋" w:cs="仿宋"/>
          <w:sz w:val="24"/>
        </w:rPr>
        <w:t>授权代表身份证复印件</w:t>
      </w:r>
    </w:p>
    <w:p w14:paraId="1B7171BD">
      <w:pPr>
        <w:pStyle w:val="19"/>
        <w:ind w:firstLine="480" w:firstLineChars="200"/>
        <w:rPr>
          <w:rFonts w:ascii="仿宋" w:hAnsi="仿宋" w:eastAsia="仿宋" w:cs="仿宋"/>
          <w:sz w:val="24"/>
        </w:rPr>
      </w:pPr>
    </w:p>
    <w:p w14:paraId="4FE1B180">
      <w:pPr>
        <w:pStyle w:val="19"/>
        <w:ind w:firstLine="480" w:firstLineChars="200"/>
        <w:rPr>
          <w:rFonts w:ascii="仿宋" w:hAnsi="仿宋" w:eastAsia="仿宋" w:cs="仿宋"/>
          <w:sz w:val="24"/>
        </w:rPr>
      </w:pPr>
      <w:r>
        <w:rPr>
          <w:rFonts w:hint="eastAsia" w:ascii="仿宋" w:hAnsi="仿宋" w:eastAsia="仿宋" w:cs="仿宋"/>
          <w:sz w:val="24"/>
        </w:rPr>
        <w:t>注：本法定代表人授权书正本一式二份，商务文件正本中有一份，另一份在递交响应文件时，随授权代表身份证一起交验。</w:t>
      </w:r>
    </w:p>
    <w:p w14:paraId="7EF319D7">
      <w:pPr>
        <w:spacing w:line="400" w:lineRule="exact"/>
        <w:jc w:val="left"/>
        <w:rPr>
          <w:rFonts w:ascii="仿宋" w:hAnsi="仿宋" w:eastAsia="仿宋" w:cs="仿宋"/>
          <w:szCs w:val="21"/>
        </w:rPr>
      </w:pPr>
    </w:p>
    <w:p w14:paraId="02408D68">
      <w:pPr>
        <w:spacing w:line="400" w:lineRule="exact"/>
        <w:jc w:val="left"/>
        <w:rPr>
          <w:rFonts w:ascii="仿宋" w:hAnsi="仿宋" w:eastAsia="仿宋" w:cs="仿宋"/>
          <w:szCs w:val="21"/>
        </w:rPr>
      </w:pPr>
    </w:p>
    <w:p w14:paraId="7CD0222A">
      <w:pPr>
        <w:spacing w:line="400" w:lineRule="exact"/>
        <w:jc w:val="left"/>
        <w:rPr>
          <w:rFonts w:ascii="仿宋" w:hAnsi="仿宋" w:eastAsia="仿宋" w:cs="仿宋"/>
          <w:szCs w:val="21"/>
        </w:rPr>
      </w:pPr>
    </w:p>
    <w:p w14:paraId="072F8FAA">
      <w:pPr>
        <w:spacing w:line="400" w:lineRule="exact"/>
        <w:jc w:val="left"/>
        <w:rPr>
          <w:rFonts w:ascii="仿宋" w:hAnsi="仿宋" w:eastAsia="仿宋" w:cs="仿宋"/>
          <w:szCs w:val="21"/>
        </w:rPr>
      </w:pPr>
    </w:p>
    <w:p w14:paraId="0C1E7B44">
      <w:pPr>
        <w:spacing w:line="400" w:lineRule="exact"/>
        <w:jc w:val="left"/>
        <w:rPr>
          <w:rFonts w:ascii="仿宋" w:hAnsi="仿宋" w:eastAsia="仿宋" w:cs="仿宋"/>
          <w:szCs w:val="21"/>
        </w:rPr>
      </w:pPr>
    </w:p>
    <w:p w14:paraId="7C6CA00C">
      <w:pPr>
        <w:spacing w:line="400" w:lineRule="exact"/>
        <w:jc w:val="left"/>
        <w:rPr>
          <w:rFonts w:ascii="仿宋" w:hAnsi="仿宋" w:eastAsia="仿宋" w:cs="仿宋"/>
          <w:szCs w:val="21"/>
        </w:rPr>
      </w:pPr>
    </w:p>
    <w:p w14:paraId="39CCAC64">
      <w:pPr>
        <w:spacing w:line="400" w:lineRule="exact"/>
        <w:jc w:val="left"/>
        <w:rPr>
          <w:rFonts w:ascii="仿宋" w:hAnsi="仿宋" w:eastAsia="仿宋" w:cs="仿宋"/>
          <w:szCs w:val="21"/>
        </w:rPr>
      </w:pPr>
    </w:p>
    <w:p w14:paraId="6A15B062">
      <w:pPr>
        <w:adjustRightInd w:val="0"/>
        <w:snapToGrid w:val="0"/>
        <w:spacing w:before="156" w:beforeLines="50" w:after="156" w:afterLines="50" w:line="500" w:lineRule="exact"/>
        <w:rPr>
          <w:rFonts w:ascii="仿宋" w:hAnsi="仿宋" w:eastAsia="仿宋" w:cs="仿宋"/>
          <w:b/>
          <w:sz w:val="28"/>
          <w:szCs w:val="28"/>
        </w:rPr>
      </w:pPr>
      <w:r>
        <w:rPr>
          <w:rFonts w:hint="eastAsia" w:ascii="仿宋" w:hAnsi="仿宋" w:eastAsia="仿宋" w:cs="仿宋"/>
          <w:b/>
          <w:sz w:val="28"/>
          <w:szCs w:val="28"/>
        </w:rPr>
        <w:t>4、信用承诺书</w:t>
      </w:r>
    </w:p>
    <w:p w14:paraId="3E1AA801">
      <w:pPr>
        <w:adjustRightInd w:val="0"/>
        <w:snapToGrid w:val="0"/>
        <w:spacing w:before="156" w:beforeLines="50" w:after="156" w:afterLines="50" w:line="500" w:lineRule="exact"/>
        <w:rPr>
          <w:rFonts w:ascii="仿宋" w:hAnsi="仿宋" w:eastAsia="仿宋" w:cs="仿宋"/>
          <w:b/>
          <w:sz w:val="28"/>
          <w:szCs w:val="28"/>
        </w:rPr>
      </w:pPr>
    </w:p>
    <w:p w14:paraId="3EF63150">
      <w:pPr>
        <w:adjustRightInd w:val="0"/>
        <w:snapToGrid w:val="0"/>
        <w:spacing w:before="156" w:beforeLines="50" w:after="156" w:afterLines="50" w:line="500" w:lineRule="exact"/>
        <w:jc w:val="center"/>
        <w:rPr>
          <w:rFonts w:ascii="仿宋" w:hAnsi="仿宋" w:eastAsia="仿宋" w:cs="仿宋"/>
          <w:b/>
          <w:sz w:val="36"/>
          <w:szCs w:val="36"/>
        </w:rPr>
      </w:pPr>
      <w:r>
        <w:rPr>
          <w:rFonts w:hint="eastAsia" w:ascii="仿宋" w:hAnsi="仿宋" w:eastAsia="仿宋" w:cs="仿宋"/>
          <w:b/>
          <w:sz w:val="36"/>
          <w:szCs w:val="36"/>
        </w:rPr>
        <w:t>信用承诺书</w:t>
      </w:r>
    </w:p>
    <w:p w14:paraId="7BA36DF8">
      <w:pPr>
        <w:adjustRightInd w:val="0"/>
        <w:snapToGrid w:val="0"/>
        <w:spacing w:before="156" w:beforeLines="50" w:after="156" w:afterLines="50" w:line="500" w:lineRule="exact"/>
        <w:rPr>
          <w:rFonts w:ascii="仿宋" w:hAnsi="仿宋" w:eastAsia="仿宋" w:cs="仿宋"/>
          <w:b/>
          <w:sz w:val="24"/>
        </w:rPr>
      </w:pPr>
    </w:p>
    <w:p w14:paraId="780256E4">
      <w:pPr>
        <w:tabs>
          <w:tab w:val="left" w:pos="1650"/>
        </w:tabs>
        <w:jc w:val="left"/>
        <w:rPr>
          <w:rFonts w:ascii="仿宋" w:hAnsi="仿宋" w:eastAsia="仿宋" w:cs="仿宋"/>
          <w:sz w:val="24"/>
        </w:rPr>
      </w:pPr>
      <w:r>
        <w:rPr>
          <w:rFonts w:hint="eastAsia" w:ascii="仿宋" w:hAnsi="仿宋" w:eastAsia="仿宋" w:cs="仿宋"/>
          <w:sz w:val="24"/>
        </w:rPr>
        <w:t>（供应商单位）现参加（采购项目）政府采购活动，郑重承诺如下：</w:t>
      </w:r>
    </w:p>
    <w:p w14:paraId="531872F6">
      <w:pPr>
        <w:tabs>
          <w:tab w:val="left" w:pos="1650"/>
        </w:tabs>
        <w:spacing w:line="560" w:lineRule="exact"/>
        <w:ind w:firstLine="630"/>
        <w:rPr>
          <w:rFonts w:ascii="仿宋" w:hAnsi="仿宋" w:eastAsia="仿宋" w:cs="仿宋"/>
          <w:sz w:val="24"/>
        </w:rPr>
      </w:pPr>
      <w:r>
        <w:rPr>
          <w:rFonts w:hint="eastAsia" w:ascii="仿宋" w:hAnsi="仿宋" w:eastAsia="仿宋" w:cs="仿宋"/>
          <w:sz w:val="24"/>
        </w:rPr>
        <w:t>对所提供的资料合法性、真实性、准确性和有效性负责；</w:t>
      </w:r>
    </w:p>
    <w:p w14:paraId="6109D064">
      <w:pPr>
        <w:tabs>
          <w:tab w:val="left" w:pos="1650"/>
        </w:tabs>
        <w:spacing w:line="560" w:lineRule="exact"/>
        <w:ind w:firstLine="630"/>
        <w:rPr>
          <w:rFonts w:ascii="仿宋" w:hAnsi="仿宋" w:eastAsia="仿宋" w:cs="仿宋"/>
          <w:sz w:val="24"/>
        </w:rPr>
      </w:pPr>
      <w:r>
        <w:rPr>
          <w:rFonts w:hint="eastAsia" w:ascii="仿宋" w:hAnsi="仿宋" w:eastAsia="仿宋" w:cs="仿宋"/>
          <w:sz w:val="24"/>
        </w:rPr>
        <w:t>严格按照国家法律、法规和规章，依法开展相关经济活动，全面履行应尽的责任和义务；</w:t>
      </w:r>
    </w:p>
    <w:p w14:paraId="27F7B86B">
      <w:pPr>
        <w:tabs>
          <w:tab w:val="left" w:pos="1650"/>
        </w:tabs>
        <w:spacing w:line="560" w:lineRule="exact"/>
        <w:ind w:firstLine="630"/>
        <w:rPr>
          <w:rFonts w:ascii="仿宋" w:hAnsi="仿宋" w:eastAsia="仿宋" w:cs="仿宋"/>
          <w:sz w:val="24"/>
        </w:rPr>
      </w:pPr>
      <w:r>
        <w:rPr>
          <w:rFonts w:hint="eastAsia" w:ascii="仿宋" w:hAnsi="仿宋" w:eastAsia="仿宋" w:cs="仿宋"/>
          <w:sz w:val="24"/>
        </w:rPr>
        <w:t>加强自我约束、自我规范、自我管理，不制假售假、不虚假宣传、不违约毁约、不恶意逃债、不偷税漏税，诚信依法经营；</w:t>
      </w:r>
    </w:p>
    <w:p w14:paraId="41B4CC59">
      <w:pPr>
        <w:tabs>
          <w:tab w:val="left" w:pos="1650"/>
        </w:tabs>
        <w:spacing w:line="560" w:lineRule="exact"/>
        <w:ind w:firstLine="630"/>
        <w:rPr>
          <w:rFonts w:ascii="仿宋" w:hAnsi="仿宋" w:eastAsia="仿宋" w:cs="仿宋"/>
          <w:sz w:val="24"/>
        </w:rPr>
      </w:pPr>
      <w:r>
        <w:rPr>
          <w:rFonts w:hint="eastAsia" w:ascii="仿宋" w:hAnsi="仿宋" w:eastAsia="仿宋" w:cs="仿宋"/>
          <w:sz w:val="24"/>
        </w:rPr>
        <w:t>自愿接受行政主管部门的依法检查、违背承诺约定将自愿承担违约责任，并接受法律法规和相关部门规章制度的惩戒和约束；</w:t>
      </w:r>
    </w:p>
    <w:p w14:paraId="0EC8E458">
      <w:pPr>
        <w:tabs>
          <w:tab w:val="left" w:pos="1650"/>
        </w:tabs>
        <w:spacing w:line="560" w:lineRule="exact"/>
        <w:ind w:firstLine="630"/>
        <w:rPr>
          <w:rFonts w:ascii="仿宋" w:hAnsi="仿宋" w:eastAsia="仿宋" w:cs="仿宋"/>
          <w:sz w:val="24"/>
        </w:rPr>
      </w:pPr>
      <w:r>
        <w:rPr>
          <w:rFonts w:hint="eastAsia" w:ascii="仿宋" w:hAnsi="仿宋" w:eastAsia="仿宋" w:cs="仿宋"/>
          <w:color w:val="333333"/>
          <w:kern w:val="0"/>
          <w:sz w:val="24"/>
        </w:rPr>
        <w:t>按照信用信息管理有关要求，本单位（个人）同意将以上承诺在信用湖州网站公示，若违背以上承诺，依据相关规定记入企业（个人）信用</w:t>
      </w:r>
      <w:r>
        <w:rPr>
          <w:rFonts w:hint="eastAsia" w:ascii="仿宋" w:hAnsi="仿宋" w:eastAsia="仿宋" w:cs="仿宋"/>
          <w:color w:val="000000"/>
          <w:kern w:val="0"/>
          <w:sz w:val="24"/>
        </w:rPr>
        <w:t>档案；性质严重的，承担相应法律后果和责任，并依法依规列入严重失信名单。</w:t>
      </w:r>
    </w:p>
    <w:p w14:paraId="50D38496">
      <w:pPr>
        <w:tabs>
          <w:tab w:val="left" w:pos="1650"/>
        </w:tabs>
        <w:spacing w:line="560" w:lineRule="exact"/>
        <w:rPr>
          <w:rFonts w:ascii="仿宋" w:hAnsi="仿宋" w:eastAsia="仿宋" w:cs="仿宋"/>
          <w:sz w:val="24"/>
          <w:u w:val="single"/>
        </w:rPr>
      </w:pPr>
    </w:p>
    <w:p w14:paraId="11FBD4EB">
      <w:pPr>
        <w:tabs>
          <w:tab w:val="left" w:pos="1650"/>
        </w:tabs>
        <w:spacing w:line="560" w:lineRule="exact"/>
        <w:rPr>
          <w:rFonts w:ascii="仿宋" w:hAnsi="仿宋" w:eastAsia="仿宋" w:cs="仿宋"/>
          <w:sz w:val="24"/>
          <w:u w:val="single"/>
        </w:rPr>
      </w:pPr>
    </w:p>
    <w:p w14:paraId="25284BC6">
      <w:pPr>
        <w:pStyle w:val="66"/>
        <w:spacing w:before="0" w:beforeAutospacing="0" w:after="0" w:afterAutospacing="0" w:line="560" w:lineRule="exact"/>
        <w:ind w:firstLine="600" w:firstLineChars="250"/>
        <w:rPr>
          <w:rFonts w:ascii="仿宋" w:hAnsi="仿宋" w:eastAsia="仿宋" w:cs="仿宋"/>
          <w:color w:val="000000"/>
          <w:spacing w:val="-7"/>
        </w:rPr>
      </w:pPr>
      <w:r>
        <w:rPr>
          <w:rFonts w:hint="eastAsia" w:ascii="仿宋" w:hAnsi="仿宋" w:eastAsia="仿宋" w:cs="仿宋"/>
          <w:kern w:val="2"/>
        </w:rPr>
        <w:t>统一社会信用代码：</w:t>
      </w:r>
    </w:p>
    <w:p w14:paraId="4F4A00BB">
      <w:pPr>
        <w:pStyle w:val="66"/>
        <w:spacing w:before="0" w:beforeAutospacing="0" w:after="0" w:afterAutospacing="0" w:line="560" w:lineRule="exact"/>
        <w:rPr>
          <w:rFonts w:ascii="仿宋" w:hAnsi="仿宋" w:eastAsia="仿宋" w:cs="仿宋"/>
          <w:color w:val="000000"/>
        </w:rPr>
      </w:pPr>
    </w:p>
    <w:p w14:paraId="4826C5AF">
      <w:pPr>
        <w:pStyle w:val="66"/>
        <w:spacing w:before="0" w:beforeAutospacing="0" w:after="0" w:afterAutospacing="0" w:line="560" w:lineRule="exact"/>
        <w:ind w:firstLine="3240" w:firstLineChars="1350"/>
        <w:jc w:val="right"/>
        <w:rPr>
          <w:rFonts w:ascii="仿宋" w:hAnsi="仿宋" w:eastAsia="仿宋" w:cs="仿宋"/>
          <w:kern w:val="2"/>
        </w:rPr>
      </w:pPr>
      <w:r>
        <w:rPr>
          <w:rFonts w:hint="eastAsia" w:ascii="仿宋" w:hAnsi="仿宋" w:eastAsia="仿宋" w:cs="仿宋"/>
          <w:kern w:val="2"/>
        </w:rPr>
        <w:t>承诺单位/个人（盖章/签名）</w:t>
      </w:r>
    </w:p>
    <w:p w14:paraId="6E7088EE">
      <w:pPr>
        <w:spacing w:line="560" w:lineRule="exact"/>
        <w:jc w:val="right"/>
        <w:rPr>
          <w:rFonts w:ascii="仿宋" w:hAnsi="仿宋" w:eastAsia="仿宋" w:cs="仿宋"/>
          <w:sz w:val="24"/>
        </w:rPr>
      </w:pPr>
      <w:r>
        <w:rPr>
          <w:rFonts w:hint="eastAsia" w:ascii="仿宋" w:hAnsi="仿宋" w:eastAsia="仿宋" w:cs="仿宋"/>
          <w:sz w:val="24"/>
        </w:rPr>
        <w:t xml:space="preserve">                               时间：20**年*月*日</w:t>
      </w:r>
    </w:p>
    <w:p w14:paraId="77DC55A5">
      <w:pPr>
        <w:pStyle w:val="17"/>
        <w:adjustRightInd w:val="0"/>
        <w:snapToGrid w:val="0"/>
        <w:spacing w:before="0" w:after="0" w:line="340" w:lineRule="exact"/>
        <w:jc w:val="both"/>
        <w:outlineLvl w:val="0"/>
        <w:rPr>
          <w:rFonts w:ascii="仿宋" w:hAnsi="仿宋" w:eastAsia="仿宋" w:cs="仿宋"/>
          <w:b/>
          <w:bCs/>
        </w:rPr>
      </w:pPr>
    </w:p>
    <w:p w14:paraId="67299685">
      <w:pPr>
        <w:pStyle w:val="17"/>
        <w:adjustRightInd w:val="0"/>
        <w:snapToGrid w:val="0"/>
        <w:spacing w:before="0" w:after="0" w:line="340" w:lineRule="exact"/>
        <w:jc w:val="both"/>
        <w:outlineLvl w:val="0"/>
        <w:rPr>
          <w:rFonts w:ascii="仿宋" w:hAnsi="仿宋" w:eastAsia="仿宋" w:cs="仿宋"/>
          <w:b/>
          <w:bCs/>
        </w:rPr>
      </w:pPr>
    </w:p>
    <w:p w14:paraId="2CAA927F">
      <w:pPr>
        <w:pStyle w:val="17"/>
        <w:adjustRightInd w:val="0"/>
        <w:snapToGrid w:val="0"/>
        <w:spacing w:before="0" w:after="0" w:line="340" w:lineRule="exact"/>
        <w:jc w:val="both"/>
        <w:outlineLvl w:val="0"/>
        <w:rPr>
          <w:rFonts w:ascii="仿宋" w:hAnsi="仿宋" w:eastAsia="仿宋" w:cs="仿宋"/>
          <w:b/>
          <w:bCs/>
        </w:rPr>
      </w:pPr>
    </w:p>
    <w:p w14:paraId="46561A5F">
      <w:pPr>
        <w:spacing w:line="400" w:lineRule="exact"/>
        <w:jc w:val="left"/>
        <w:rPr>
          <w:rFonts w:ascii="仿宋" w:hAnsi="仿宋" w:eastAsia="仿宋" w:cs="仿宋"/>
          <w:szCs w:val="21"/>
        </w:rPr>
      </w:pPr>
    </w:p>
    <w:p w14:paraId="4B95FBC3">
      <w:pPr>
        <w:spacing w:line="400" w:lineRule="exact"/>
        <w:jc w:val="left"/>
        <w:rPr>
          <w:rFonts w:ascii="仿宋" w:hAnsi="仿宋" w:eastAsia="仿宋" w:cs="仿宋"/>
          <w:szCs w:val="21"/>
        </w:rPr>
      </w:pPr>
    </w:p>
    <w:p w14:paraId="65BCDB5D">
      <w:pPr>
        <w:spacing w:line="400" w:lineRule="exact"/>
        <w:jc w:val="left"/>
        <w:rPr>
          <w:rFonts w:ascii="仿宋" w:hAnsi="仿宋" w:eastAsia="仿宋" w:cs="仿宋"/>
          <w:b/>
          <w:bCs/>
          <w:sz w:val="28"/>
          <w:szCs w:val="28"/>
        </w:rPr>
      </w:pPr>
      <w:r>
        <w:rPr>
          <w:rFonts w:hint="eastAsia" w:ascii="仿宋" w:hAnsi="仿宋" w:eastAsia="仿宋" w:cs="仿宋"/>
          <w:b/>
          <w:bCs/>
          <w:sz w:val="28"/>
          <w:szCs w:val="28"/>
        </w:rPr>
        <w:t>5、中小企业声明函及残疾人福利性单位声明函</w:t>
      </w:r>
    </w:p>
    <w:p w14:paraId="2AE145F2">
      <w:pPr>
        <w:snapToGrid w:val="0"/>
        <w:spacing w:before="50" w:after="50" w:line="400" w:lineRule="exact"/>
        <w:jc w:val="center"/>
        <w:rPr>
          <w:rFonts w:ascii="仿宋" w:hAnsi="仿宋" w:eastAsia="仿宋" w:cs="仿宋"/>
          <w:b/>
          <w:color w:val="000000"/>
          <w:sz w:val="32"/>
          <w:szCs w:val="32"/>
        </w:rPr>
      </w:pPr>
    </w:p>
    <w:p w14:paraId="388087B9">
      <w:pPr>
        <w:pStyle w:val="17"/>
        <w:tabs>
          <w:tab w:val="left" w:pos="1200"/>
        </w:tabs>
        <w:snapToGrid w:val="0"/>
        <w:jc w:val="center"/>
        <w:rPr>
          <w:rFonts w:ascii="仿宋" w:hAnsi="仿宋" w:eastAsia="仿宋"/>
          <w:b/>
        </w:rPr>
      </w:pPr>
      <w:r>
        <w:rPr>
          <w:rFonts w:hint="eastAsia" w:ascii="仿宋" w:hAnsi="仿宋" w:eastAsia="仿宋"/>
          <w:b/>
          <w:sz w:val="30"/>
          <w:szCs w:val="30"/>
        </w:rPr>
        <w:t>中小企业</w:t>
      </w:r>
      <w:r>
        <w:rPr>
          <w:rFonts w:ascii="仿宋" w:hAnsi="仿宋" w:eastAsia="仿宋"/>
          <w:b/>
          <w:sz w:val="30"/>
          <w:szCs w:val="30"/>
        </w:rPr>
        <w:t>声明函</w:t>
      </w:r>
      <w:r>
        <w:rPr>
          <w:rFonts w:hint="eastAsia" w:ascii="仿宋" w:hAnsi="仿宋" w:eastAsia="仿宋"/>
          <w:b/>
        </w:rPr>
        <w:t>（工程、服务）</w:t>
      </w:r>
    </w:p>
    <w:p w14:paraId="268F835B">
      <w:pPr>
        <w:spacing w:line="440" w:lineRule="atLeast"/>
        <w:rPr>
          <w:rFonts w:ascii="仿宋" w:hAnsi="仿宋" w:eastAsia="仿宋" w:cs="宋体"/>
          <w:kern w:val="0"/>
          <w:sz w:val="24"/>
        </w:rPr>
      </w:pPr>
    </w:p>
    <w:p w14:paraId="605F056F">
      <w:pPr>
        <w:spacing w:line="440" w:lineRule="atLeast"/>
        <w:rPr>
          <w:rFonts w:ascii="仿宋" w:hAnsi="仿宋" w:eastAsia="仿宋" w:cs="宋体"/>
          <w:kern w:val="0"/>
          <w:sz w:val="24"/>
        </w:rPr>
      </w:pPr>
    </w:p>
    <w:p w14:paraId="3AEEBE74">
      <w:pPr>
        <w:spacing w:line="440" w:lineRule="atLeast"/>
        <w:ind w:firstLine="480" w:firstLineChars="200"/>
        <w:rPr>
          <w:rFonts w:ascii="仿宋" w:hAnsi="仿宋" w:eastAsia="仿宋" w:cs="宋体"/>
          <w:kern w:val="0"/>
          <w:sz w:val="24"/>
        </w:rPr>
      </w:pPr>
      <w:r>
        <w:rPr>
          <w:rFonts w:hint="eastAsia" w:ascii="仿宋" w:hAnsi="仿宋" w:eastAsia="仿宋" w:cs="宋体"/>
          <w:kern w:val="0"/>
          <w:sz w:val="24"/>
        </w:rPr>
        <w:t>本公司（联合体）郑重声明，根据《政府采购促进中小企业发展管理办法》（财库﹝2020﹞46 号）的规定，本公司（联合体）参加</w:t>
      </w:r>
      <w:r>
        <w:rPr>
          <w:rFonts w:hint="eastAsia" w:ascii="仿宋" w:hAnsi="仿宋" w:eastAsia="仿宋" w:cs="宋体"/>
          <w:kern w:val="0"/>
          <w:sz w:val="24"/>
          <w:u w:val="single"/>
        </w:rPr>
        <w:t xml:space="preserve">        （单位名称）</w:t>
      </w:r>
      <w:r>
        <w:rPr>
          <w:rFonts w:hint="eastAsia" w:ascii="仿宋" w:hAnsi="仿宋" w:eastAsia="仿宋" w:cs="宋体"/>
          <w:kern w:val="0"/>
          <w:sz w:val="24"/>
        </w:rPr>
        <w:t>的</w:t>
      </w:r>
      <w:r>
        <w:rPr>
          <w:rFonts w:hint="eastAsia" w:ascii="仿宋" w:hAnsi="仿宋" w:eastAsia="仿宋" w:cs="宋体"/>
          <w:kern w:val="0"/>
          <w:sz w:val="24"/>
          <w:u w:val="single"/>
        </w:rPr>
        <w:t xml:space="preserve">        （项目名称）</w:t>
      </w:r>
      <w:r>
        <w:rPr>
          <w:rFonts w:hint="eastAsia" w:ascii="仿宋" w:hAnsi="仿宋" w:eastAsia="仿宋" w:cs="宋体"/>
          <w:kern w:val="0"/>
          <w:sz w:val="24"/>
        </w:rPr>
        <w:t>采购活动，提供的货物全部由符合政策要求的中小企业制造。相关企业（含联合体中的中小企业、签订分包意向协议的中小企业） 的具体情况如下：</w:t>
      </w:r>
    </w:p>
    <w:p w14:paraId="17BB2AC4">
      <w:pPr>
        <w:spacing w:line="440" w:lineRule="atLeast"/>
        <w:jc w:val="left"/>
        <w:rPr>
          <w:rFonts w:ascii="仿宋" w:hAnsi="仿宋" w:eastAsia="仿宋" w:cs="宋体"/>
          <w:kern w:val="0"/>
          <w:sz w:val="24"/>
        </w:rPr>
      </w:pPr>
      <w:r>
        <w:rPr>
          <w:rFonts w:hint="eastAsia" w:ascii="仿宋" w:hAnsi="仿宋" w:eastAsia="仿宋" w:cs="宋体"/>
          <w:kern w:val="0"/>
          <w:sz w:val="24"/>
        </w:rPr>
        <w:t>1.</w:t>
      </w:r>
      <w:r>
        <w:rPr>
          <w:rFonts w:hint="eastAsia" w:ascii="仿宋" w:hAnsi="仿宋" w:eastAsia="仿宋" w:cs="宋体"/>
          <w:kern w:val="0"/>
          <w:sz w:val="24"/>
          <w:u w:val="single"/>
        </w:rPr>
        <w:t xml:space="preserve">     （标的名称）</w:t>
      </w:r>
      <w:r>
        <w:rPr>
          <w:rFonts w:hint="eastAsia" w:ascii="仿宋" w:hAnsi="仿宋" w:eastAsia="仿宋" w:cs="宋体"/>
          <w:kern w:val="0"/>
          <w:sz w:val="24"/>
        </w:rPr>
        <w:t>，属于（采购文件中明确的所属行业） 行业；承建（承接）企业为</w:t>
      </w:r>
      <w:r>
        <w:rPr>
          <w:rFonts w:hint="eastAsia" w:ascii="仿宋" w:hAnsi="仿宋" w:eastAsia="仿宋" w:cs="宋体"/>
          <w:kern w:val="0"/>
          <w:sz w:val="24"/>
          <w:u w:val="single"/>
        </w:rPr>
        <w:t xml:space="preserve">         （企业名称）</w:t>
      </w:r>
      <w:r>
        <w:rPr>
          <w:rFonts w:hint="eastAsia" w:ascii="仿宋" w:hAnsi="仿宋" w:eastAsia="仿宋" w:cs="宋体"/>
          <w:kern w:val="0"/>
          <w:sz w:val="24"/>
        </w:rPr>
        <w:t>，从业人员</w:t>
      </w:r>
      <w:r>
        <w:rPr>
          <w:rFonts w:hint="eastAsia" w:ascii="仿宋" w:hAnsi="仿宋" w:eastAsia="仿宋" w:cs="宋体"/>
          <w:kern w:val="0"/>
          <w:sz w:val="24"/>
          <w:u w:val="single"/>
        </w:rPr>
        <w:t xml:space="preserve">       </w:t>
      </w:r>
      <w:r>
        <w:rPr>
          <w:rFonts w:hint="eastAsia" w:ascii="仿宋" w:hAnsi="仿宋" w:eastAsia="仿宋" w:cs="宋体"/>
          <w:kern w:val="0"/>
          <w:sz w:val="24"/>
        </w:rPr>
        <w:t>人，营业收入为</w:t>
      </w:r>
      <w:r>
        <w:rPr>
          <w:rFonts w:hint="eastAsia" w:ascii="仿宋" w:hAnsi="仿宋" w:eastAsia="仿宋" w:cs="宋体"/>
          <w:kern w:val="0"/>
          <w:sz w:val="24"/>
          <w:u w:val="single"/>
        </w:rPr>
        <w:t xml:space="preserve">     </w:t>
      </w:r>
      <w:r>
        <w:rPr>
          <w:rFonts w:hint="eastAsia" w:ascii="仿宋" w:hAnsi="仿宋" w:eastAsia="仿宋" w:cs="宋体"/>
          <w:kern w:val="0"/>
          <w:sz w:val="24"/>
          <w:u w:val="single"/>
        </w:rPr>
        <w:tab/>
      </w:r>
      <w:r>
        <w:rPr>
          <w:rFonts w:hint="eastAsia" w:ascii="仿宋" w:hAnsi="仿宋" w:eastAsia="仿宋" w:cs="宋体"/>
          <w:kern w:val="0"/>
          <w:sz w:val="24"/>
        </w:rPr>
        <w:t>万元，资产总额为</w:t>
      </w:r>
      <w:r>
        <w:rPr>
          <w:rFonts w:hint="eastAsia" w:ascii="仿宋" w:hAnsi="仿宋" w:eastAsia="仿宋" w:cs="宋体"/>
          <w:kern w:val="0"/>
          <w:sz w:val="24"/>
          <w:u w:val="single"/>
        </w:rPr>
        <w:t xml:space="preserve">      </w:t>
      </w:r>
      <w:r>
        <w:rPr>
          <w:rFonts w:hint="eastAsia" w:ascii="仿宋" w:hAnsi="仿宋" w:eastAsia="仿宋" w:cs="宋体"/>
          <w:kern w:val="0"/>
          <w:sz w:val="24"/>
        </w:rPr>
        <w:t xml:space="preserve">万元，属于     </w:t>
      </w:r>
    </w:p>
    <w:p w14:paraId="5AB10271">
      <w:pPr>
        <w:spacing w:line="440" w:lineRule="atLeast"/>
        <w:jc w:val="left"/>
        <w:rPr>
          <w:rFonts w:ascii="仿宋" w:hAnsi="仿宋" w:eastAsia="仿宋" w:cs="宋体"/>
          <w:kern w:val="0"/>
          <w:sz w:val="24"/>
        </w:rPr>
      </w:pPr>
      <w:r>
        <w:rPr>
          <w:rFonts w:hint="eastAsia" w:ascii="仿宋" w:hAnsi="仿宋" w:eastAsia="仿宋" w:cs="宋体"/>
          <w:kern w:val="0"/>
          <w:sz w:val="24"/>
          <w:u w:val="single"/>
        </w:rPr>
        <w:t xml:space="preserve">            （中型企业、小型企业、微型企业）</w:t>
      </w:r>
      <w:r>
        <w:rPr>
          <w:rFonts w:hint="eastAsia" w:ascii="仿宋" w:hAnsi="仿宋" w:eastAsia="仿宋" w:cs="宋体"/>
          <w:kern w:val="0"/>
          <w:sz w:val="24"/>
        </w:rPr>
        <w:t>；</w:t>
      </w:r>
    </w:p>
    <w:p w14:paraId="22D461A2">
      <w:pPr>
        <w:spacing w:line="440" w:lineRule="atLeast"/>
        <w:jc w:val="left"/>
        <w:rPr>
          <w:rFonts w:ascii="仿宋" w:hAnsi="仿宋" w:eastAsia="仿宋" w:cs="宋体"/>
          <w:kern w:val="0"/>
          <w:sz w:val="24"/>
        </w:rPr>
      </w:pPr>
      <w:r>
        <w:rPr>
          <w:rFonts w:hint="eastAsia" w:ascii="仿宋" w:hAnsi="仿宋" w:eastAsia="仿宋" w:cs="宋体"/>
          <w:kern w:val="0"/>
          <w:sz w:val="24"/>
        </w:rPr>
        <w:t>2.</w:t>
      </w:r>
      <w:r>
        <w:rPr>
          <w:rFonts w:hint="eastAsia" w:ascii="仿宋" w:hAnsi="仿宋" w:eastAsia="仿宋" w:cs="宋体"/>
          <w:kern w:val="0"/>
          <w:sz w:val="24"/>
          <w:u w:val="single"/>
        </w:rPr>
        <w:t xml:space="preserve">    （标的名称）</w:t>
      </w:r>
      <w:r>
        <w:rPr>
          <w:rFonts w:hint="eastAsia" w:ascii="仿宋" w:hAnsi="仿宋" w:eastAsia="仿宋" w:cs="宋体"/>
          <w:kern w:val="0"/>
          <w:sz w:val="24"/>
        </w:rPr>
        <w:t>，属于</w:t>
      </w:r>
      <w:r>
        <w:rPr>
          <w:rFonts w:hint="eastAsia" w:ascii="仿宋" w:hAnsi="仿宋" w:eastAsia="仿宋" w:cs="宋体"/>
          <w:kern w:val="0"/>
          <w:sz w:val="24"/>
          <w:u w:val="single"/>
        </w:rPr>
        <w:t xml:space="preserve">        （采购文件中明确的所属行业）</w:t>
      </w:r>
      <w:r>
        <w:rPr>
          <w:rFonts w:hint="eastAsia" w:ascii="仿宋" w:hAnsi="仿宋" w:eastAsia="仿宋" w:cs="宋体"/>
          <w:kern w:val="0"/>
          <w:sz w:val="24"/>
        </w:rPr>
        <w:t>行业；承建（承接）企业为</w:t>
      </w:r>
      <w:r>
        <w:rPr>
          <w:rFonts w:hint="eastAsia" w:ascii="仿宋" w:hAnsi="仿宋" w:eastAsia="仿宋" w:cs="宋体"/>
          <w:kern w:val="0"/>
          <w:sz w:val="24"/>
          <w:u w:val="single"/>
        </w:rPr>
        <w:t xml:space="preserve">      （企业名称）</w:t>
      </w:r>
      <w:r>
        <w:rPr>
          <w:rFonts w:hint="eastAsia" w:ascii="仿宋" w:hAnsi="仿宋" w:eastAsia="仿宋" w:cs="宋体"/>
          <w:kern w:val="0"/>
          <w:sz w:val="24"/>
        </w:rPr>
        <w:t>，从业人员</w:t>
      </w:r>
      <w:r>
        <w:rPr>
          <w:rFonts w:hint="eastAsia" w:ascii="仿宋" w:hAnsi="仿宋" w:eastAsia="仿宋" w:cs="宋体"/>
          <w:kern w:val="0"/>
          <w:sz w:val="24"/>
          <w:u w:val="single"/>
        </w:rPr>
        <w:t xml:space="preserve"> </w:t>
      </w:r>
      <w:r>
        <w:rPr>
          <w:rFonts w:hint="eastAsia" w:ascii="仿宋" w:hAnsi="仿宋" w:eastAsia="仿宋" w:cs="宋体"/>
          <w:kern w:val="0"/>
          <w:sz w:val="24"/>
          <w:u w:val="single"/>
        </w:rPr>
        <w:tab/>
      </w:r>
      <w:r>
        <w:rPr>
          <w:rFonts w:hint="eastAsia" w:ascii="仿宋" w:hAnsi="仿宋" w:eastAsia="仿宋" w:cs="宋体"/>
          <w:kern w:val="0"/>
          <w:sz w:val="24"/>
        </w:rPr>
        <w:t>人，营业收入为</w:t>
      </w:r>
      <w:r>
        <w:rPr>
          <w:rFonts w:hint="eastAsia" w:ascii="仿宋" w:hAnsi="仿宋" w:eastAsia="仿宋" w:cs="宋体"/>
          <w:kern w:val="0"/>
          <w:sz w:val="24"/>
          <w:u w:val="single"/>
        </w:rPr>
        <w:t xml:space="preserve"> </w:t>
      </w:r>
      <w:r>
        <w:rPr>
          <w:rFonts w:hint="eastAsia" w:ascii="仿宋" w:hAnsi="仿宋" w:eastAsia="仿宋" w:cs="宋体"/>
          <w:kern w:val="0"/>
          <w:sz w:val="24"/>
          <w:u w:val="single"/>
        </w:rPr>
        <w:tab/>
      </w:r>
      <w:r>
        <w:rPr>
          <w:rFonts w:hint="eastAsia" w:ascii="仿宋" w:hAnsi="仿宋" w:eastAsia="仿宋" w:cs="宋体"/>
          <w:kern w:val="0"/>
          <w:sz w:val="24"/>
        </w:rPr>
        <w:t>万元，资产总额为</w:t>
      </w:r>
      <w:r>
        <w:rPr>
          <w:rFonts w:hint="eastAsia" w:ascii="仿宋" w:hAnsi="仿宋" w:eastAsia="仿宋" w:cs="宋体"/>
          <w:kern w:val="0"/>
          <w:sz w:val="24"/>
          <w:u w:val="single"/>
        </w:rPr>
        <w:t xml:space="preserve">    </w:t>
      </w:r>
      <w:r>
        <w:rPr>
          <w:rFonts w:hint="eastAsia" w:ascii="仿宋" w:hAnsi="仿宋" w:eastAsia="仿宋" w:cs="宋体"/>
          <w:kern w:val="0"/>
          <w:sz w:val="24"/>
          <w:u w:val="single"/>
        </w:rPr>
        <w:tab/>
      </w:r>
      <w:r>
        <w:rPr>
          <w:rFonts w:hint="eastAsia" w:ascii="仿宋" w:hAnsi="仿宋" w:eastAsia="仿宋" w:cs="宋体"/>
          <w:kern w:val="0"/>
          <w:sz w:val="24"/>
        </w:rPr>
        <w:t>万元，属于</w:t>
      </w:r>
      <w:r>
        <w:rPr>
          <w:rFonts w:hint="eastAsia" w:ascii="仿宋" w:hAnsi="仿宋" w:eastAsia="仿宋" w:cs="宋体"/>
          <w:kern w:val="0"/>
          <w:sz w:val="24"/>
          <w:u w:val="single"/>
        </w:rPr>
        <w:t xml:space="preserve">      （中型企业、小型企业、微型企业）</w:t>
      </w:r>
      <w:r>
        <w:rPr>
          <w:rFonts w:hint="eastAsia" w:ascii="仿宋" w:hAnsi="仿宋" w:eastAsia="仿宋" w:cs="宋体"/>
          <w:kern w:val="0"/>
          <w:sz w:val="24"/>
        </w:rPr>
        <w:t>；</w:t>
      </w:r>
    </w:p>
    <w:p w14:paraId="5E318451">
      <w:pPr>
        <w:spacing w:line="440" w:lineRule="atLeast"/>
        <w:rPr>
          <w:rFonts w:ascii="仿宋" w:hAnsi="仿宋" w:eastAsia="仿宋" w:cs="宋体"/>
          <w:kern w:val="0"/>
          <w:sz w:val="24"/>
        </w:rPr>
      </w:pPr>
      <w:r>
        <w:rPr>
          <w:rFonts w:hint="eastAsia" w:ascii="仿宋" w:hAnsi="仿宋" w:eastAsia="仿宋" w:cs="宋体"/>
          <w:kern w:val="0"/>
          <w:sz w:val="24"/>
        </w:rPr>
        <w:t>……</w:t>
      </w:r>
    </w:p>
    <w:p w14:paraId="1A643B4C">
      <w:pPr>
        <w:spacing w:line="440" w:lineRule="atLeast"/>
        <w:ind w:firstLine="480" w:firstLineChars="200"/>
        <w:rPr>
          <w:rFonts w:ascii="仿宋" w:hAnsi="仿宋" w:eastAsia="仿宋" w:cs="宋体"/>
          <w:kern w:val="0"/>
          <w:sz w:val="24"/>
        </w:rPr>
      </w:pPr>
      <w:r>
        <w:rPr>
          <w:rFonts w:hint="eastAsia" w:ascii="仿宋" w:hAnsi="仿宋" w:eastAsia="仿宋" w:cs="宋体"/>
          <w:kern w:val="0"/>
          <w:sz w:val="24"/>
        </w:rPr>
        <w:t>以上企业，不属于大企业的分支机构，不存在控股股东为大企业的情形，也不存在与大企业的负责人为同一人的情形。</w:t>
      </w:r>
    </w:p>
    <w:p w14:paraId="2B363CCB">
      <w:pPr>
        <w:spacing w:line="440" w:lineRule="atLeast"/>
        <w:ind w:firstLine="480" w:firstLineChars="200"/>
        <w:rPr>
          <w:rFonts w:ascii="仿宋" w:hAnsi="仿宋" w:eastAsia="仿宋" w:cs="宋体"/>
          <w:kern w:val="0"/>
          <w:sz w:val="24"/>
        </w:rPr>
      </w:pPr>
      <w:r>
        <w:rPr>
          <w:rFonts w:hint="eastAsia" w:ascii="仿宋" w:hAnsi="仿宋" w:eastAsia="仿宋" w:cs="宋体"/>
          <w:kern w:val="0"/>
          <w:sz w:val="24"/>
        </w:rPr>
        <w:t>本企业对上述声明内容的真实性负责。如有虚假，将依法承担相应责任。</w:t>
      </w:r>
    </w:p>
    <w:p w14:paraId="0538C8D6">
      <w:pPr>
        <w:spacing w:line="440" w:lineRule="atLeast"/>
        <w:rPr>
          <w:rFonts w:ascii="仿宋" w:hAnsi="仿宋" w:eastAsia="仿宋" w:cs="宋体"/>
          <w:kern w:val="0"/>
          <w:sz w:val="24"/>
        </w:rPr>
      </w:pPr>
    </w:p>
    <w:p w14:paraId="50478804">
      <w:pPr>
        <w:spacing w:line="440" w:lineRule="atLeast"/>
        <w:rPr>
          <w:rFonts w:ascii="仿宋" w:hAnsi="仿宋" w:eastAsia="仿宋" w:cs="宋体"/>
          <w:kern w:val="0"/>
          <w:sz w:val="24"/>
        </w:rPr>
      </w:pPr>
    </w:p>
    <w:p w14:paraId="33695403">
      <w:pPr>
        <w:spacing w:line="440" w:lineRule="atLeast"/>
        <w:rPr>
          <w:rFonts w:ascii="仿宋" w:hAnsi="仿宋" w:eastAsia="仿宋" w:cs="宋体"/>
          <w:kern w:val="0"/>
          <w:sz w:val="24"/>
        </w:rPr>
      </w:pPr>
    </w:p>
    <w:p w14:paraId="7D179B0A">
      <w:pPr>
        <w:snapToGrid w:val="0"/>
        <w:spacing w:line="440" w:lineRule="exact"/>
        <w:ind w:firstLine="240" w:firstLineChars="100"/>
        <w:rPr>
          <w:rFonts w:ascii="仿宋" w:hAnsi="仿宋" w:eastAsia="仿宋" w:cs="仿宋"/>
          <w:sz w:val="24"/>
          <w:u w:val="single"/>
        </w:rPr>
      </w:pPr>
      <w:r>
        <w:rPr>
          <w:rFonts w:hint="eastAsia" w:ascii="仿宋" w:hAnsi="仿宋" w:eastAsia="仿宋" w:cs="仿宋"/>
          <w:sz w:val="24"/>
        </w:rPr>
        <w:t>授权代表签名：</w:t>
      </w:r>
      <w:r>
        <w:rPr>
          <w:rFonts w:hint="eastAsia" w:ascii="仿宋" w:hAnsi="仿宋" w:eastAsia="仿宋" w:cs="仿宋"/>
          <w:sz w:val="24"/>
          <w:u w:val="single"/>
        </w:rPr>
        <w:t xml:space="preserve">             </w:t>
      </w:r>
    </w:p>
    <w:p w14:paraId="4931A794">
      <w:pPr>
        <w:pStyle w:val="9"/>
        <w:adjustRightInd w:val="0"/>
        <w:snapToGrid w:val="0"/>
        <w:spacing w:after="0" w:line="440" w:lineRule="exact"/>
        <w:ind w:firstLine="240" w:firstLineChars="100"/>
        <w:rPr>
          <w:rFonts w:ascii="仿宋" w:hAnsi="仿宋" w:eastAsia="仿宋" w:cs="仿宋"/>
          <w:sz w:val="24"/>
        </w:rPr>
      </w:pPr>
      <w:r>
        <w:rPr>
          <w:rFonts w:hint="eastAsia" w:ascii="仿宋" w:hAnsi="仿宋" w:eastAsia="仿宋" w:cs="仿宋"/>
          <w:sz w:val="24"/>
        </w:rPr>
        <w:t>供应商盖章：</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63D6E14B">
      <w:pPr>
        <w:spacing w:line="440" w:lineRule="atLeast"/>
        <w:ind w:firstLine="240" w:firstLineChars="100"/>
        <w:rPr>
          <w:rFonts w:ascii="仿宋" w:hAnsi="仿宋" w:eastAsia="仿宋"/>
          <w:b/>
          <w:sz w:val="30"/>
          <w:szCs w:val="30"/>
        </w:rPr>
        <w:sectPr>
          <w:pgSz w:w="11906" w:h="16838"/>
          <w:pgMar w:top="1134" w:right="1134" w:bottom="1134" w:left="1134" w:header="567" w:footer="567" w:gutter="0"/>
          <w:cols w:space="720" w:num="1"/>
          <w:titlePg/>
          <w:docGrid w:type="lines" w:linePitch="312" w:charSpace="0"/>
        </w:sectPr>
      </w:pPr>
      <w:r>
        <w:rPr>
          <w:rFonts w:hint="eastAsia" w:ascii="仿宋" w:hAnsi="仿宋" w:eastAsia="仿宋" w:cs="仿宋"/>
          <w:bCs/>
          <w:sz w:val="24"/>
          <w:u w:val="single"/>
        </w:rPr>
        <w:t xml:space="preserve">         </w:t>
      </w:r>
      <w:r>
        <w:rPr>
          <w:rFonts w:hint="eastAsia" w:ascii="仿宋" w:hAnsi="仿宋" w:eastAsia="仿宋" w:cs="仿宋"/>
          <w:bCs/>
          <w:sz w:val="24"/>
        </w:rPr>
        <w:t>年</w:t>
      </w:r>
      <w:r>
        <w:rPr>
          <w:rFonts w:hint="eastAsia" w:ascii="仿宋" w:hAnsi="仿宋" w:eastAsia="仿宋" w:cs="仿宋"/>
          <w:bCs/>
          <w:sz w:val="24"/>
          <w:u w:val="single"/>
        </w:rPr>
        <w:t xml:space="preserve">    </w:t>
      </w:r>
      <w:r>
        <w:rPr>
          <w:rFonts w:hint="eastAsia" w:ascii="仿宋" w:hAnsi="仿宋" w:eastAsia="仿宋" w:cs="仿宋"/>
          <w:bCs/>
          <w:sz w:val="24"/>
        </w:rPr>
        <w:t>月</w:t>
      </w:r>
      <w:r>
        <w:rPr>
          <w:rFonts w:hint="eastAsia" w:ascii="仿宋" w:hAnsi="仿宋" w:eastAsia="仿宋" w:cs="仿宋"/>
          <w:bCs/>
          <w:sz w:val="24"/>
          <w:u w:val="single"/>
        </w:rPr>
        <w:t xml:space="preserve">    </w:t>
      </w:r>
      <w:r>
        <w:rPr>
          <w:rFonts w:hint="eastAsia" w:ascii="仿宋" w:hAnsi="仿宋" w:eastAsia="仿宋" w:cs="仿宋"/>
          <w:bCs/>
          <w:sz w:val="24"/>
        </w:rPr>
        <w:t>日</w:t>
      </w:r>
    </w:p>
    <w:p w14:paraId="41D7609B">
      <w:pPr>
        <w:pStyle w:val="36"/>
        <w:pageBreakBefore/>
        <w:spacing w:line="460" w:lineRule="exact"/>
        <w:jc w:val="center"/>
        <w:rPr>
          <w:rFonts w:ascii="仿宋" w:hAnsi="仿宋" w:eastAsia="仿宋" w:cs="Times New Roman"/>
          <w:b/>
          <w:color w:val="auto"/>
        </w:rPr>
      </w:pPr>
      <w:r>
        <w:rPr>
          <w:rFonts w:ascii="仿宋" w:hAnsi="仿宋" w:eastAsia="仿宋" w:cs="Times New Roman"/>
          <w:b/>
          <w:color w:val="auto"/>
        </w:rPr>
        <w:t>监狱企业声明函</w:t>
      </w:r>
    </w:p>
    <w:p w14:paraId="26BF7FBE">
      <w:pPr>
        <w:pStyle w:val="36"/>
        <w:spacing w:line="460" w:lineRule="exact"/>
        <w:jc w:val="center"/>
        <w:rPr>
          <w:rFonts w:ascii="仿宋" w:hAnsi="仿宋" w:eastAsia="仿宋" w:cs="Times New Roman"/>
          <w:color w:val="auto"/>
        </w:rPr>
      </w:pPr>
      <w:r>
        <w:rPr>
          <w:rFonts w:ascii="仿宋" w:hAnsi="仿宋" w:eastAsia="仿宋" w:cs="Times New Roman"/>
          <w:color w:val="auto"/>
        </w:rPr>
        <w:t>【非监狱企业的不用提供】</w:t>
      </w:r>
    </w:p>
    <w:p w14:paraId="3AADA3EC">
      <w:pPr>
        <w:pStyle w:val="36"/>
        <w:spacing w:line="460" w:lineRule="exact"/>
        <w:ind w:firstLine="480" w:firstLineChars="200"/>
        <w:rPr>
          <w:rFonts w:ascii="仿宋" w:hAnsi="仿宋" w:eastAsia="仿宋" w:cs="Times New Roman"/>
          <w:color w:val="auto"/>
        </w:rPr>
      </w:pPr>
      <w:r>
        <w:rPr>
          <w:rFonts w:ascii="仿宋" w:hAnsi="仿宋" w:eastAsia="仿宋" w:cs="Times New Roman"/>
          <w:color w:val="auto"/>
        </w:rPr>
        <w:t xml:space="preserve">本企业郑重声明，根据《关于政府采购支持监狱企业发展有关间想的通知》(财库[2014]68号）的规定，本企业为监狱企业。 </w:t>
      </w:r>
    </w:p>
    <w:p w14:paraId="6943F2CE">
      <w:pPr>
        <w:pStyle w:val="36"/>
        <w:spacing w:line="460" w:lineRule="exact"/>
        <w:ind w:firstLine="480" w:firstLineChars="200"/>
        <w:rPr>
          <w:rFonts w:ascii="仿宋" w:hAnsi="仿宋" w:eastAsia="仿宋" w:cs="Times New Roman"/>
          <w:color w:val="auto"/>
        </w:rPr>
      </w:pPr>
      <w:r>
        <w:rPr>
          <w:rFonts w:ascii="仿宋" w:hAnsi="仿宋" w:eastAsia="仿宋" w:cs="Times New Roman"/>
          <w:color w:val="auto"/>
        </w:rPr>
        <w:t xml:space="preserve">根据上述标准，我企业属于监狱企业的理由为: </w:t>
      </w:r>
    </w:p>
    <w:p w14:paraId="555BC311">
      <w:pPr>
        <w:pStyle w:val="36"/>
        <w:spacing w:line="460" w:lineRule="exact"/>
        <w:ind w:firstLine="480" w:firstLineChars="200"/>
        <w:rPr>
          <w:rFonts w:ascii="仿宋" w:hAnsi="仿宋" w:eastAsia="仿宋" w:cs="Times New Roman"/>
          <w:color w:val="auto"/>
        </w:rPr>
      </w:pPr>
      <w:r>
        <w:rPr>
          <w:rFonts w:ascii="仿宋" w:hAnsi="仿宋" w:eastAsia="仿宋" w:cs="Times New Roman"/>
          <w:color w:val="auto"/>
        </w:rPr>
        <w:t xml:space="preserve">本企业为参加(项目名称: ) (项目编号: )采购活动提供本企业的产品。 </w:t>
      </w:r>
    </w:p>
    <w:p w14:paraId="60811B6A">
      <w:pPr>
        <w:pStyle w:val="36"/>
        <w:spacing w:line="460" w:lineRule="exact"/>
        <w:ind w:firstLine="480" w:firstLineChars="200"/>
        <w:rPr>
          <w:rFonts w:ascii="仿宋" w:hAnsi="仿宋" w:eastAsia="仿宋" w:cs="Times New Roman"/>
          <w:color w:val="auto"/>
        </w:rPr>
      </w:pPr>
      <w:r>
        <w:rPr>
          <w:rFonts w:ascii="仿宋" w:hAnsi="仿宋" w:eastAsia="仿宋" w:cs="Times New Roman"/>
          <w:color w:val="auto"/>
        </w:rPr>
        <w:t xml:space="preserve">本企业对上述声明的真实性负责。如有虚假，将依法承担相应责任。 </w:t>
      </w:r>
    </w:p>
    <w:p w14:paraId="7C779D5B">
      <w:pPr>
        <w:pStyle w:val="36"/>
        <w:spacing w:line="460" w:lineRule="exact"/>
        <w:ind w:firstLine="480" w:firstLineChars="200"/>
        <w:rPr>
          <w:rFonts w:ascii="仿宋" w:hAnsi="仿宋" w:eastAsia="仿宋" w:cs="Times New Roman"/>
          <w:color w:val="auto"/>
        </w:rPr>
      </w:pPr>
    </w:p>
    <w:p w14:paraId="27F81B34">
      <w:pPr>
        <w:pStyle w:val="36"/>
        <w:spacing w:line="460" w:lineRule="exact"/>
        <w:ind w:firstLine="480" w:firstLineChars="200"/>
        <w:rPr>
          <w:rFonts w:ascii="仿宋" w:hAnsi="仿宋" w:eastAsia="仿宋" w:cs="Times New Roman"/>
          <w:color w:val="auto"/>
        </w:rPr>
      </w:pPr>
    </w:p>
    <w:p w14:paraId="0F61AD05">
      <w:pPr>
        <w:pStyle w:val="36"/>
        <w:spacing w:line="460" w:lineRule="exact"/>
        <w:rPr>
          <w:rFonts w:ascii="仿宋" w:hAnsi="仿宋" w:eastAsia="仿宋" w:cs="Times New Roman"/>
          <w:color w:val="auto"/>
        </w:rPr>
      </w:pPr>
      <w:r>
        <w:rPr>
          <w:rFonts w:ascii="仿宋" w:hAnsi="仿宋" w:eastAsia="仿宋" w:cs="Times New Roman"/>
          <w:color w:val="auto"/>
        </w:rPr>
        <w:t xml:space="preserve">供应商名称(盖章) : </w:t>
      </w:r>
    </w:p>
    <w:p w14:paraId="47307515">
      <w:pPr>
        <w:pStyle w:val="36"/>
        <w:spacing w:line="460" w:lineRule="exact"/>
        <w:rPr>
          <w:rFonts w:ascii="仿宋" w:hAnsi="仿宋" w:eastAsia="仿宋" w:cs="Times New Roman"/>
          <w:color w:val="auto"/>
        </w:rPr>
      </w:pPr>
    </w:p>
    <w:p w14:paraId="57615DD5">
      <w:pPr>
        <w:pStyle w:val="36"/>
        <w:spacing w:line="460" w:lineRule="exact"/>
        <w:rPr>
          <w:rFonts w:ascii="仿宋" w:hAnsi="仿宋" w:eastAsia="仿宋" w:cs="Times New Roman"/>
          <w:color w:val="auto"/>
        </w:rPr>
      </w:pPr>
      <w:r>
        <w:rPr>
          <w:rFonts w:ascii="仿宋" w:hAnsi="仿宋" w:eastAsia="仿宋" w:cs="Times New Roman"/>
          <w:color w:val="auto"/>
        </w:rPr>
        <w:t xml:space="preserve">日期: 年 月 日 </w:t>
      </w:r>
    </w:p>
    <w:p w14:paraId="5C8FC600">
      <w:pPr>
        <w:pStyle w:val="36"/>
        <w:spacing w:line="460" w:lineRule="exact"/>
        <w:rPr>
          <w:rFonts w:ascii="仿宋" w:hAnsi="仿宋" w:eastAsia="仿宋" w:cs="Times New Roman"/>
          <w:color w:val="auto"/>
        </w:rPr>
      </w:pPr>
    </w:p>
    <w:p w14:paraId="28F9FBAC">
      <w:pPr>
        <w:snapToGrid w:val="0"/>
        <w:spacing w:before="156" w:beforeLines="50" w:after="50" w:line="460" w:lineRule="exact"/>
        <w:ind w:firstLine="480" w:firstLineChars="200"/>
        <w:jc w:val="left"/>
        <w:rPr>
          <w:rFonts w:ascii="仿宋" w:hAnsi="仿宋" w:eastAsia="仿宋"/>
          <w:sz w:val="24"/>
        </w:rPr>
      </w:pPr>
      <w:r>
        <w:rPr>
          <w:rFonts w:ascii="仿宋" w:hAnsi="仿宋" w:eastAsia="仿宋"/>
          <w:sz w:val="24"/>
        </w:rPr>
        <w:t>监狱企业参加政府采购活动时，应当提供由省级以上监狱管理局、戒毒管理局(含新疆生产建设兵团)出具的属于监狱企业的证明文件</w:t>
      </w:r>
      <w:r>
        <w:rPr>
          <w:rFonts w:hint="eastAsia" w:ascii="仿宋" w:hAnsi="仿宋" w:eastAsia="仿宋"/>
          <w:sz w:val="24"/>
        </w:rPr>
        <w:t>；</w:t>
      </w:r>
    </w:p>
    <w:p w14:paraId="7014D8B8">
      <w:pPr>
        <w:snapToGrid w:val="0"/>
        <w:spacing w:before="156" w:beforeLines="50" w:after="50" w:line="460" w:lineRule="exact"/>
        <w:ind w:firstLine="480" w:firstLineChars="200"/>
        <w:jc w:val="left"/>
        <w:rPr>
          <w:rFonts w:ascii="仿宋" w:hAnsi="仿宋" w:eastAsia="仿宋"/>
          <w:sz w:val="24"/>
        </w:rPr>
      </w:pPr>
      <w:r>
        <w:rPr>
          <w:rFonts w:hint="eastAsia" w:ascii="仿宋" w:hAnsi="仿宋" w:eastAsia="仿宋"/>
          <w:sz w:val="24"/>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E6335E7">
      <w:pPr>
        <w:snapToGrid w:val="0"/>
        <w:spacing w:before="156" w:beforeLines="50" w:after="50" w:line="460" w:lineRule="exact"/>
        <w:ind w:firstLine="480" w:firstLineChars="200"/>
        <w:jc w:val="left"/>
        <w:rPr>
          <w:rFonts w:ascii="仿宋" w:hAnsi="仿宋" w:eastAsia="仿宋"/>
          <w:sz w:val="24"/>
        </w:rPr>
      </w:pPr>
    </w:p>
    <w:p w14:paraId="00D3C188">
      <w:pPr>
        <w:pStyle w:val="36"/>
        <w:spacing w:line="460" w:lineRule="exact"/>
        <w:rPr>
          <w:rFonts w:ascii="仿宋" w:hAnsi="仿宋" w:eastAsia="仿宋"/>
          <w:color w:val="auto"/>
        </w:rPr>
      </w:pPr>
    </w:p>
    <w:p w14:paraId="3279596F">
      <w:pPr>
        <w:pStyle w:val="36"/>
        <w:pageBreakBefore/>
        <w:spacing w:line="460" w:lineRule="exact"/>
        <w:jc w:val="center"/>
        <w:rPr>
          <w:rFonts w:ascii="仿宋" w:hAnsi="仿宋" w:eastAsia="仿宋" w:cs="Times New Roman"/>
          <w:b/>
          <w:color w:val="auto"/>
        </w:rPr>
      </w:pPr>
      <w:r>
        <w:rPr>
          <w:rFonts w:ascii="仿宋" w:hAnsi="仿宋" w:eastAsia="仿宋" w:cs="Times New Roman"/>
          <w:b/>
          <w:color w:val="auto"/>
        </w:rPr>
        <w:t>残疾人福利性单位声明函</w:t>
      </w:r>
    </w:p>
    <w:p w14:paraId="10AC056F">
      <w:pPr>
        <w:pStyle w:val="36"/>
        <w:spacing w:line="460" w:lineRule="exact"/>
        <w:jc w:val="center"/>
        <w:rPr>
          <w:rFonts w:ascii="仿宋" w:hAnsi="仿宋" w:eastAsia="仿宋" w:cs="Times New Roman"/>
          <w:color w:val="auto"/>
        </w:rPr>
      </w:pPr>
      <w:r>
        <w:rPr>
          <w:rFonts w:ascii="仿宋" w:hAnsi="仿宋" w:eastAsia="仿宋" w:cs="Times New Roman"/>
          <w:color w:val="auto"/>
        </w:rPr>
        <w:t>【非残疾人福利性单位不用提供】</w:t>
      </w:r>
    </w:p>
    <w:p w14:paraId="7015B88D">
      <w:pPr>
        <w:pStyle w:val="36"/>
        <w:spacing w:line="460" w:lineRule="exact"/>
        <w:ind w:firstLine="480" w:firstLineChars="200"/>
        <w:rPr>
          <w:rFonts w:ascii="仿宋" w:hAnsi="仿宋" w:eastAsia="仿宋" w:cs="Times New Roman"/>
          <w:color w:val="auto"/>
        </w:rPr>
      </w:pPr>
      <w:r>
        <w:rPr>
          <w:rFonts w:ascii="仿宋" w:hAnsi="仿宋" w:eastAsia="仿宋" w:cs="Times New Roman"/>
          <w:color w:val="auto"/>
        </w:rPr>
        <w:t xml:space="preserve">本单位郑重声明，根据《财政部民政部中国残疾人联合会关于促进残疾人就业政府采购政策的通知》(财库(2017) 141号)的规定。本单位为符合条件的残疾人福利性单位，且本单位参加 (采购人名称)单位的 (项目名称)项目采购活动提供本单位制造的货物(由本单位承担工程/提供服务)，成者提供其他残疾人福利性单位制造的货物(不包括使用非残疾人福利性单位往册商标的货物)。 </w:t>
      </w:r>
    </w:p>
    <w:p w14:paraId="3AAFE281">
      <w:pPr>
        <w:pStyle w:val="36"/>
        <w:spacing w:line="460" w:lineRule="exact"/>
        <w:ind w:firstLine="480" w:firstLineChars="200"/>
        <w:rPr>
          <w:rFonts w:ascii="仿宋" w:hAnsi="仿宋" w:eastAsia="仿宋" w:cs="Times New Roman"/>
          <w:color w:val="auto"/>
        </w:rPr>
      </w:pPr>
      <w:r>
        <w:rPr>
          <w:rFonts w:ascii="仿宋" w:hAnsi="仿宋" w:eastAsia="仿宋" w:cs="Times New Roman"/>
          <w:color w:val="auto"/>
        </w:rPr>
        <w:t xml:space="preserve">本单位对上述声明的真实性负责，如有虚假，将依法承但相应责任。 </w:t>
      </w:r>
    </w:p>
    <w:p w14:paraId="07AB66B7">
      <w:pPr>
        <w:pStyle w:val="36"/>
        <w:spacing w:line="460" w:lineRule="exact"/>
        <w:ind w:firstLine="480" w:firstLineChars="200"/>
        <w:rPr>
          <w:rFonts w:ascii="仿宋" w:hAnsi="仿宋" w:eastAsia="仿宋" w:cs="Times New Roman"/>
          <w:color w:val="auto"/>
        </w:rPr>
      </w:pPr>
    </w:p>
    <w:p w14:paraId="011A42C5">
      <w:pPr>
        <w:pStyle w:val="36"/>
        <w:spacing w:line="460" w:lineRule="exact"/>
        <w:rPr>
          <w:rFonts w:ascii="仿宋" w:hAnsi="仿宋" w:eastAsia="仿宋" w:cs="Times New Roman"/>
          <w:color w:val="auto"/>
        </w:rPr>
      </w:pPr>
      <w:r>
        <w:rPr>
          <w:rFonts w:ascii="仿宋" w:hAnsi="仿宋" w:eastAsia="仿宋" w:cs="Times New Roman"/>
          <w:color w:val="auto"/>
        </w:rPr>
        <w:t xml:space="preserve">供应商名称(盖章)： </w:t>
      </w:r>
    </w:p>
    <w:p w14:paraId="72E4B093">
      <w:pPr>
        <w:pStyle w:val="36"/>
        <w:spacing w:line="460" w:lineRule="exact"/>
        <w:rPr>
          <w:rFonts w:ascii="仿宋" w:hAnsi="仿宋" w:eastAsia="仿宋" w:cs="Times New Roman"/>
          <w:color w:val="auto"/>
        </w:rPr>
      </w:pPr>
    </w:p>
    <w:p w14:paraId="58CE9ACF">
      <w:pPr>
        <w:snapToGrid w:val="0"/>
        <w:spacing w:before="156" w:beforeLines="50" w:after="50" w:line="460" w:lineRule="exact"/>
        <w:jc w:val="left"/>
        <w:rPr>
          <w:rFonts w:ascii="仿宋" w:hAnsi="仿宋" w:eastAsia="仿宋"/>
          <w:sz w:val="24"/>
        </w:rPr>
      </w:pPr>
      <w:r>
        <w:rPr>
          <w:rFonts w:ascii="仿宋" w:hAnsi="仿宋" w:eastAsia="仿宋"/>
          <w:sz w:val="24"/>
        </w:rPr>
        <w:t>日期： 年 月 日</w:t>
      </w:r>
    </w:p>
    <w:p w14:paraId="4312DE5C">
      <w:pPr>
        <w:adjustRightInd w:val="0"/>
        <w:snapToGrid w:val="0"/>
        <w:spacing w:before="156" w:beforeLines="50" w:after="156" w:afterLines="50" w:line="500" w:lineRule="exact"/>
        <w:jc w:val="center"/>
        <w:rPr>
          <w:rFonts w:ascii="仿宋" w:hAnsi="仿宋" w:eastAsia="仿宋" w:cs="仿宋"/>
          <w:b/>
          <w:sz w:val="36"/>
          <w:szCs w:val="36"/>
        </w:rPr>
        <w:sectPr>
          <w:pgSz w:w="11906" w:h="16838"/>
          <w:pgMar w:top="1440" w:right="1080" w:bottom="1440" w:left="1080" w:header="851" w:footer="992" w:gutter="0"/>
          <w:cols w:space="425" w:num="1"/>
          <w:docGrid w:type="lines" w:linePitch="312" w:charSpace="0"/>
        </w:sectPr>
      </w:pPr>
    </w:p>
    <w:p w14:paraId="3ECF43A3">
      <w:pPr>
        <w:adjustRightInd w:val="0"/>
        <w:snapToGrid w:val="0"/>
        <w:spacing w:before="156" w:beforeLines="50" w:after="156" w:afterLines="50" w:line="500" w:lineRule="exact"/>
        <w:jc w:val="center"/>
        <w:rPr>
          <w:rFonts w:ascii="仿宋" w:hAnsi="仿宋" w:eastAsia="仿宋" w:cs="仿宋"/>
          <w:b/>
          <w:sz w:val="36"/>
          <w:szCs w:val="36"/>
        </w:rPr>
      </w:pPr>
      <w:r>
        <w:rPr>
          <w:rFonts w:hint="eastAsia" w:ascii="仿宋" w:hAnsi="仿宋" w:eastAsia="仿宋" w:cs="仿宋"/>
          <w:b/>
          <w:sz w:val="36"/>
          <w:szCs w:val="36"/>
        </w:rPr>
        <w:t>承诺书</w:t>
      </w:r>
    </w:p>
    <w:p w14:paraId="23BCC374">
      <w:pPr>
        <w:pStyle w:val="9"/>
        <w:rPr>
          <w:rFonts w:ascii="仿宋" w:hAnsi="仿宋" w:eastAsia="仿宋" w:cs="仿宋"/>
        </w:rPr>
      </w:pPr>
    </w:p>
    <w:p w14:paraId="75D4D8FF">
      <w:pPr>
        <w:pStyle w:val="63"/>
        <w:spacing w:line="360" w:lineRule="auto"/>
        <w:ind w:firstLine="602"/>
        <w:rPr>
          <w:rFonts w:ascii="仿宋" w:hAnsi="仿宋" w:eastAsia="仿宋" w:cs="仿宋"/>
          <w:sz w:val="24"/>
          <w:szCs w:val="24"/>
        </w:rPr>
      </w:pPr>
      <w:r>
        <w:rPr>
          <w:rFonts w:hint="eastAsia" w:ascii="仿宋" w:hAnsi="仿宋" w:eastAsia="仿宋" w:cs="仿宋"/>
          <w:sz w:val="24"/>
          <w:szCs w:val="24"/>
        </w:rPr>
        <w:t>我方</w:t>
      </w:r>
      <w:r>
        <w:rPr>
          <w:rFonts w:hint="eastAsia" w:ascii="仿宋" w:hAnsi="仿宋" w:eastAsia="仿宋" w:cs="仿宋"/>
          <w:sz w:val="24"/>
          <w:u w:val="single"/>
        </w:rPr>
        <w:t xml:space="preserve">         </w:t>
      </w:r>
      <w:r>
        <w:rPr>
          <w:rFonts w:hint="eastAsia" w:ascii="仿宋" w:hAnsi="仿宋" w:eastAsia="仿宋" w:cs="仿宋"/>
          <w:sz w:val="24"/>
          <w:szCs w:val="24"/>
          <w:u w:val="single"/>
        </w:rPr>
        <w:t xml:space="preserve">（供应商）     </w:t>
      </w:r>
      <w:r>
        <w:rPr>
          <w:rFonts w:hint="eastAsia" w:ascii="仿宋" w:hAnsi="仿宋" w:eastAsia="仿宋" w:cs="仿宋"/>
          <w:sz w:val="24"/>
          <w:szCs w:val="24"/>
        </w:rPr>
        <w:t>在参加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磋商/成交/签订合同），我方对此无任何异议。</w:t>
      </w:r>
    </w:p>
    <w:p w14:paraId="3F76942A">
      <w:pPr>
        <w:spacing w:line="360" w:lineRule="auto"/>
        <w:ind w:firstLine="470" w:firstLineChars="196"/>
        <w:rPr>
          <w:rFonts w:ascii="仿宋" w:hAnsi="仿宋" w:eastAsia="仿宋" w:cs="仿宋"/>
          <w:sz w:val="24"/>
        </w:rPr>
      </w:pPr>
      <w:r>
        <w:rPr>
          <w:rFonts w:hint="eastAsia" w:ascii="仿宋" w:hAnsi="仿宋" w:eastAsia="仿宋" w:cs="仿宋"/>
          <w:sz w:val="24"/>
        </w:rPr>
        <w:t>特此承诺！</w:t>
      </w:r>
    </w:p>
    <w:p w14:paraId="43ED28E8">
      <w:pPr>
        <w:pStyle w:val="40"/>
        <w:spacing w:line="360" w:lineRule="auto"/>
        <w:rPr>
          <w:rFonts w:ascii="仿宋" w:hAnsi="仿宋" w:eastAsia="仿宋" w:cs="仿宋"/>
          <w:sz w:val="24"/>
          <w:szCs w:val="24"/>
        </w:rPr>
      </w:pPr>
    </w:p>
    <w:p w14:paraId="1F7AB464">
      <w:pPr>
        <w:pStyle w:val="40"/>
        <w:spacing w:line="360" w:lineRule="auto"/>
        <w:rPr>
          <w:rFonts w:ascii="仿宋" w:hAnsi="仿宋" w:eastAsia="仿宋" w:cs="仿宋"/>
          <w:sz w:val="24"/>
          <w:szCs w:val="24"/>
        </w:rPr>
      </w:pPr>
    </w:p>
    <w:p w14:paraId="09312A3D">
      <w:pPr>
        <w:pStyle w:val="36"/>
        <w:spacing w:line="460" w:lineRule="exact"/>
        <w:rPr>
          <w:rFonts w:ascii="仿宋" w:hAnsi="仿宋" w:eastAsia="仿宋" w:cs="Times New Roman"/>
          <w:color w:val="auto"/>
        </w:rPr>
      </w:pPr>
      <w:r>
        <w:rPr>
          <w:rFonts w:ascii="仿宋" w:hAnsi="仿宋" w:eastAsia="仿宋" w:cs="Times New Roman"/>
          <w:color w:val="auto"/>
        </w:rPr>
        <w:t xml:space="preserve">供应商名称(盖章)： </w:t>
      </w:r>
    </w:p>
    <w:p w14:paraId="300C3512">
      <w:pPr>
        <w:pStyle w:val="36"/>
        <w:spacing w:line="460" w:lineRule="exact"/>
        <w:rPr>
          <w:rFonts w:ascii="仿宋" w:hAnsi="仿宋" w:eastAsia="仿宋" w:cs="Times New Roman"/>
          <w:color w:val="auto"/>
        </w:rPr>
      </w:pPr>
    </w:p>
    <w:p w14:paraId="001EF8D9">
      <w:pPr>
        <w:pStyle w:val="17"/>
        <w:adjustRightInd w:val="0"/>
        <w:snapToGrid w:val="0"/>
        <w:spacing w:before="0" w:after="0" w:line="340" w:lineRule="exact"/>
        <w:jc w:val="both"/>
        <w:outlineLvl w:val="0"/>
        <w:rPr>
          <w:rFonts w:ascii="仿宋" w:hAnsi="仿宋" w:eastAsia="仿宋" w:cs="仿宋"/>
          <w:b/>
          <w:bCs/>
        </w:rPr>
      </w:pPr>
      <w:r>
        <w:rPr>
          <w:rFonts w:ascii="仿宋" w:hAnsi="仿宋" w:eastAsia="仿宋"/>
        </w:rPr>
        <w:t>日期： 年 月 日</w:t>
      </w:r>
    </w:p>
    <w:p w14:paraId="3847C3E6">
      <w:pPr>
        <w:spacing w:line="400" w:lineRule="exact"/>
        <w:jc w:val="left"/>
        <w:rPr>
          <w:rFonts w:ascii="仿宋" w:hAnsi="仿宋" w:eastAsia="仿宋" w:cs="仿宋"/>
          <w:b/>
          <w:bCs/>
          <w:sz w:val="28"/>
          <w:szCs w:val="28"/>
        </w:rPr>
      </w:pPr>
    </w:p>
    <w:p w14:paraId="539533F0">
      <w:pPr>
        <w:pStyle w:val="12"/>
        <w:ind w:firstLine="281"/>
        <w:rPr>
          <w:rFonts w:ascii="仿宋" w:hAnsi="仿宋" w:eastAsia="仿宋" w:cs="仿宋"/>
          <w:b/>
          <w:bCs/>
          <w:szCs w:val="28"/>
        </w:rPr>
      </w:pPr>
    </w:p>
    <w:p w14:paraId="70BE52D2">
      <w:pPr>
        <w:spacing w:line="360" w:lineRule="auto"/>
        <w:rPr>
          <w:rFonts w:ascii="仿宋" w:hAnsi="仿宋" w:eastAsia="仿宋" w:cs="仿宋"/>
          <w:b/>
          <w:sz w:val="24"/>
          <w:szCs w:val="20"/>
        </w:rPr>
        <w:sectPr>
          <w:pgSz w:w="11906" w:h="16838"/>
          <w:pgMar w:top="1440" w:right="1080" w:bottom="1440" w:left="1080" w:header="851" w:footer="992" w:gutter="0"/>
          <w:cols w:space="425" w:num="1"/>
          <w:docGrid w:type="lines" w:linePitch="312" w:charSpace="0"/>
        </w:sectPr>
      </w:pPr>
      <w:r>
        <w:rPr>
          <w:rFonts w:hint="eastAsia" w:ascii="仿宋" w:hAnsi="仿宋" w:eastAsia="仿宋" w:cs="仿宋"/>
          <w:b/>
          <w:sz w:val="24"/>
          <w:szCs w:val="20"/>
        </w:rPr>
        <w:t>注：后附“信用中国”网站www.creditchina.gov.cn、“中国政府采购网”www.ccgp.gov.cn）查询结果截图。</w:t>
      </w:r>
    </w:p>
    <w:p w14:paraId="7FAAE639">
      <w:pPr>
        <w:spacing w:line="360" w:lineRule="auto"/>
        <w:rPr>
          <w:rFonts w:ascii="仿宋" w:hAnsi="仿宋" w:eastAsia="仿宋" w:cs="仿宋"/>
          <w:b/>
          <w:sz w:val="24"/>
          <w:szCs w:val="20"/>
        </w:rPr>
      </w:pPr>
      <w:r>
        <w:rPr>
          <w:rFonts w:hint="eastAsia" w:ascii="仿宋" w:hAnsi="仿宋" w:eastAsia="仿宋" w:cs="仿宋"/>
          <w:b/>
          <w:sz w:val="24"/>
          <w:szCs w:val="20"/>
        </w:rPr>
        <w:t>“信用中国”网站www.creditchina.gov.cn、“中国政府采购网”www.ccgp.gov.cn）查询结果截图格式参考</w:t>
      </w:r>
    </w:p>
    <w:p w14:paraId="54A19786">
      <w:pPr>
        <w:spacing w:line="360" w:lineRule="auto"/>
        <w:rPr>
          <w:rFonts w:ascii="仿宋" w:hAnsi="仿宋" w:eastAsia="仿宋" w:cs="仿宋"/>
          <w:b/>
          <w:sz w:val="24"/>
          <w:szCs w:val="20"/>
        </w:rPr>
      </w:pPr>
    </w:p>
    <w:p w14:paraId="671FD95C">
      <w:pPr>
        <w:pStyle w:val="12"/>
        <w:ind w:firstLine="241"/>
      </w:pPr>
      <w:r>
        <w:rPr>
          <w:rFonts w:ascii="仿宋" w:hAnsi="仿宋" w:eastAsia="仿宋" w:cs="仿宋"/>
          <w:b/>
          <w:sz w:val="24"/>
          <w:szCs w:val="20"/>
        </w:rPr>
        <w:drawing>
          <wp:inline distT="0" distB="0" distL="114300" distR="114300">
            <wp:extent cx="5838825" cy="6591300"/>
            <wp:effectExtent l="0" t="0" r="9525" b="0"/>
            <wp:docPr id="6" name="图片 6" descr="7342bc5d42bde733f51effda1721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7342bc5d42bde733f51effda1721660"/>
                    <pic:cNvPicPr>
                      <a:picLocks noChangeAspect="1"/>
                    </pic:cNvPicPr>
                  </pic:nvPicPr>
                  <pic:blipFill>
                    <a:blip r:embed="rId11"/>
                    <a:stretch>
                      <a:fillRect/>
                    </a:stretch>
                  </pic:blipFill>
                  <pic:spPr>
                    <a:xfrm>
                      <a:off x="0" y="0"/>
                      <a:ext cx="5838825" cy="6591300"/>
                    </a:xfrm>
                    <a:prstGeom prst="rect">
                      <a:avLst/>
                    </a:prstGeom>
                  </pic:spPr>
                </pic:pic>
              </a:graphicData>
            </a:graphic>
          </wp:inline>
        </w:drawing>
      </w:r>
    </w:p>
    <w:p w14:paraId="33E139E6">
      <w:pPr>
        <w:autoSpaceDE w:val="0"/>
        <w:autoSpaceDN w:val="0"/>
        <w:adjustRightInd w:val="0"/>
        <w:snapToGrid w:val="0"/>
        <w:spacing w:line="360" w:lineRule="auto"/>
        <w:ind w:firstLine="888" w:firstLineChars="201"/>
        <w:jc w:val="center"/>
        <w:textAlignment w:val="bottom"/>
        <w:rPr>
          <w:rFonts w:ascii="仿宋" w:hAnsi="仿宋" w:eastAsia="仿宋" w:cs="仿宋"/>
          <w:b/>
          <w:sz w:val="44"/>
          <w:szCs w:val="44"/>
        </w:rPr>
        <w:sectPr>
          <w:pgSz w:w="11906" w:h="16838"/>
          <w:pgMar w:top="1134" w:right="1134" w:bottom="1134" w:left="1134" w:header="567" w:footer="567" w:gutter="0"/>
          <w:cols w:space="720" w:num="1"/>
          <w:titlePg/>
          <w:docGrid w:type="lines" w:linePitch="312" w:charSpace="0"/>
        </w:sectPr>
      </w:pPr>
    </w:p>
    <w:p w14:paraId="4644D66F">
      <w:pPr>
        <w:autoSpaceDE w:val="0"/>
        <w:autoSpaceDN w:val="0"/>
        <w:adjustRightInd w:val="0"/>
        <w:snapToGrid w:val="0"/>
        <w:spacing w:line="360" w:lineRule="auto"/>
        <w:ind w:firstLine="888" w:firstLineChars="201"/>
        <w:jc w:val="center"/>
        <w:textAlignment w:val="bottom"/>
        <w:rPr>
          <w:rFonts w:ascii="仿宋" w:hAnsi="仿宋" w:eastAsia="仿宋" w:cs="仿宋"/>
          <w:b/>
          <w:sz w:val="44"/>
          <w:szCs w:val="44"/>
        </w:rPr>
      </w:pPr>
      <w:r>
        <w:rPr>
          <w:rFonts w:hint="eastAsia" w:ascii="仿宋" w:hAnsi="仿宋" w:eastAsia="仿宋" w:cs="仿宋"/>
          <w:b/>
          <w:sz w:val="44"/>
          <w:szCs w:val="44"/>
        </w:rPr>
        <w:t>目  录</w:t>
      </w:r>
    </w:p>
    <w:p w14:paraId="18ECB761">
      <w:pPr>
        <w:tabs>
          <w:tab w:val="left" w:pos="844"/>
        </w:tabs>
        <w:autoSpaceDE w:val="0"/>
        <w:autoSpaceDN w:val="0"/>
        <w:snapToGrid w:val="0"/>
        <w:spacing w:line="400" w:lineRule="exact"/>
        <w:ind w:left="424"/>
        <w:textAlignment w:val="bottom"/>
        <w:rPr>
          <w:rFonts w:ascii="仿宋" w:hAnsi="仿宋" w:eastAsia="仿宋" w:cs="仿宋"/>
          <w:b/>
          <w:sz w:val="24"/>
        </w:rPr>
      </w:pPr>
      <w:r>
        <w:rPr>
          <w:rFonts w:hint="eastAsia" w:ascii="仿宋" w:hAnsi="仿宋" w:eastAsia="仿宋" w:cs="仿宋"/>
          <w:b/>
          <w:sz w:val="24"/>
        </w:rPr>
        <w:t>1.商务文件</w:t>
      </w:r>
    </w:p>
    <w:p w14:paraId="6CA269D7">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bCs/>
          <w:sz w:val="24"/>
        </w:rPr>
        <w:t>1）</w:t>
      </w:r>
      <w:r>
        <w:rPr>
          <w:rFonts w:hint="eastAsia" w:ascii="仿宋" w:hAnsi="仿宋" w:eastAsia="仿宋" w:cs="仿宋"/>
          <w:sz w:val="24"/>
        </w:rPr>
        <w:t>磋商申请函</w:t>
      </w:r>
      <w:r>
        <w:rPr>
          <w:rFonts w:hint="eastAsia" w:ascii="仿宋" w:hAnsi="仿宋" w:eastAsia="仿宋" w:cs="仿宋"/>
          <w:bCs/>
          <w:sz w:val="24"/>
        </w:rPr>
        <w:t>（格式见附件）；</w:t>
      </w:r>
    </w:p>
    <w:p w14:paraId="0CCC06A8">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bCs/>
          <w:sz w:val="24"/>
        </w:rPr>
        <w:t>2）初次报价表（格式见附件）；</w:t>
      </w:r>
    </w:p>
    <w:p w14:paraId="4D8B3E26">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bCs/>
          <w:sz w:val="24"/>
        </w:rPr>
        <w:t>3）招标代理服务费承诺函（格式见附件）；</w:t>
      </w:r>
    </w:p>
    <w:p w14:paraId="32D63916">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color w:val="000000" w:themeColor="text1"/>
          <w:sz w:val="24"/>
          <w14:textFill>
            <w14:solidFill>
              <w14:schemeClr w14:val="tx1"/>
            </w14:solidFill>
          </w14:textFill>
        </w:rPr>
        <w:t>4）</w:t>
      </w:r>
      <w:r>
        <w:rPr>
          <w:rFonts w:hint="eastAsia" w:ascii="仿宋" w:hAnsi="仿宋" w:eastAsia="仿宋" w:cs="仿宋"/>
          <w:bCs/>
          <w:sz w:val="24"/>
        </w:rPr>
        <w:t>企业业绩（格式见附件）；</w:t>
      </w:r>
    </w:p>
    <w:p w14:paraId="36DC3EB2">
      <w:pPr>
        <w:autoSpaceDE w:val="0"/>
        <w:autoSpaceDN w:val="0"/>
        <w:snapToGrid w:val="0"/>
        <w:spacing w:line="400" w:lineRule="exact"/>
        <w:ind w:left="424"/>
        <w:textAlignment w:val="bottom"/>
        <w:rPr>
          <w:rFonts w:ascii="仿宋" w:hAnsi="仿宋" w:eastAsia="仿宋" w:cs="仿宋"/>
          <w:sz w:val="24"/>
        </w:rPr>
      </w:pPr>
      <w:r>
        <w:rPr>
          <w:rFonts w:hint="eastAsia" w:ascii="仿宋" w:hAnsi="仿宋" w:eastAsia="仿宋" w:cs="仿宋"/>
          <w:sz w:val="24"/>
        </w:rPr>
        <w:t>5）企业荣誉；</w:t>
      </w:r>
    </w:p>
    <w:p w14:paraId="0A6D6324">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sz w:val="24"/>
        </w:rPr>
        <w:t>6）响应时间；</w:t>
      </w:r>
    </w:p>
    <w:p w14:paraId="4EEB31E4">
      <w:pPr>
        <w:autoSpaceDE w:val="0"/>
        <w:autoSpaceDN w:val="0"/>
        <w:snapToGrid w:val="0"/>
        <w:spacing w:line="400" w:lineRule="exact"/>
        <w:ind w:left="424"/>
        <w:textAlignment w:val="bottom"/>
        <w:rPr>
          <w:rFonts w:ascii="仿宋" w:hAnsi="仿宋" w:eastAsia="仿宋" w:cs="仿宋"/>
          <w:bCs/>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7）供应商认为需要递交的其他资料。</w:t>
      </w:r>
    </w:p>
    <w:p w14:paraId="134D6B91">
      <w:pPr>
        <w:tabs>
          <w:tab w:val="left" w:pos="844"/>
        </w:tabs>
        <w:autoSpaceDE w:val="0"/>
        <w:autoSpaceDN w:val="0"/>
        <w:snapToGrid w:val="0"/>
        <w:spacing w:line="400" w:lineRule="exact"/>
        <w:ind w:left="424"/>
        <w:textAlignment w:val="bottom"/>
        <w:rPr>
          <w:rFonts w:ascii="仿宋" w:hAnsi="仿宋" w:eastAsia="仿宋" w:cs="仿宋"/>
          <w:b/>
          <w:sz w:val="24"/>
        </w:rPr>
      </w:pPr>
      <w:r>
        <w:rPr>
          <w:rFonts w:hint="eastAsia" w:ascii="仿宋" w:hAnsi="仿宋" w:eastAsia="仿宋" w:cs="仿宋"/>
          <w:b/>
          <w:sz w:val="24"/>
        </w:rPr>
        <w:t xml:space="preserve">2.技术文件 </w:t>
      </w:r>
    </w:p>
    <w:p w14:paraId="09211923">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bCs/>
          <w:sz w:val="24"/>
        </w:rPr>
        <w:t>1）</w:t>
      </w:r>
      <w:r>
        <w:rPr>
          <w:rFonts w:hint="eastAsia" w:ascii="仿宋" w:hAnsi="仿宋" w:eastAsia="仿宋" w:cs="仿宋"/>
          <w:color w:val="000000" w:themeColor="text1"/>
          <w:sz w:val="24"/>
          <w14:textFill>
            <w14:solidFill>
              <w14:schemeClr w14:val="tx1"/>
            </w14:solidFill>
          </w14:textFill>
        </w:rPr>
        <w:t>项目规划方案</w:t>
      </w:r>
    </w:p>
    <w:p w14:paraId="0F833451">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bCs/>
          <w:sz w:val="24"/>
        </w:rPr>
        <w:t xml:space="preserve">2）人员配置（格式见附件）； </w:t>
      </w:r>
    </w:p>
    <w:p w14:paraId="66C98412">
      <w:pPr>
        <w:autoSpaceDE w:val="0"/>
        <w:autoSpaceDN w:val="0"/>
        <w:snapToGrid w:val="0"/>
        <w:spacing w:line="400" w:lineRule="exact"/>
        <w:ind w:left="424"/>
        <w:textAlignment w:val="bottom"/>
        <w:rPr>
          <w:rFonts w:ascii="仿宋" w:hAnsi="仿宋" w:eastAsia="仿宋" w:cs="仿宋"/>
          <w:bCs/>
          <w:sz w:val="24"/>
        </w:rPr>
      </w:pPr>
      <w:r>
        <w:rPr>
          <w:rFonts w:hint="eastAsia" w:ascii="仿宋" w:hAnsi="仿宋" w:eastAsia="仿宋" w:cs="仿宋"/>
          <w:bCs/>
          <w:sz w:val="24"/>
        </w:rPr>
        <w:t>3）供应商认为需要递交的其他资料。</w:t>
      </w:r>
    </w:p>
    <w:p w14:paraId="1D4FE1C0"/>
    <w:p w14:paraId="19F4605D">
      <w:pPr>
        <w:spacing w:line="400" w:lineRule="exact"/>
        <w:jc w:val="left"/>
        <w:rPr>
          <w:rFonts w:ascii="仿宋" w:hAnsi="仿宋" w:eastAsia="仿宋" w:cs="仿宋"/>
          <w:sz w:val="28"/>
          <w:szCs w:val="28"/>
        </w:rPr>
      </w:pPr>
    </w:p>
    <w:p w14:paraId="67B945D5">
      <w:pPr>
        <w:autoSpaceDE w:val="0"/>
        <w:autoSpaceDN w:val="0"/>
        <w:snapToGrid w:val="0"/>
        <w:spacing w:line="400" w:lineRule="exact"/>
        <w:ind w:left="844"/>
        <w:textAlignment w:val="bottom"/>
        <w:rPr>
          <w:rFonts w:ascii="仿宋" w:hAnsi="仿宋" w:eastAsia="仿宋" w:cs="仿宋"/>
          <w:bCs/>
          <w:sz w:val="24"/>
        </w:rPr>
      </w:pPr>
    </w:p>
    <w:p w14:paraId="3C9A87CF">
      <w:pPr>
        <w:spacing w:line="440" w:lineRule="exact"/>
        <w:ind w:left="424"/>
        <w:rPr>
          <w:rFonts w:ascii="仿宋" w:hAnsi="仿宋" w:eastAsia="仿宋" w:cs="仿宋"/>
          <w:b/>
          <w:sz w:val="28"/>
          <w:szCs w:val="28"/>
        </w:rPr>
      </w:pPr>
      <w:r>
        <w:rPr>
          <w:rFonts w:hint="eastAsia" w:ascii="仿宋" w:hAnsi="仿宋" w:eastAsia="仿宋" w:cs="仿宋"/>
          <w:b/>
          <w:sz w:val="28"/>
          <w:szCs w:val="28"/>
        </w:rPr>
        <w:t>以上磋商响应文件组成内容中的复印件均须加盖供应商公章，原件备查。</w:t>
      </w:r>
    </w:p>
    <w:p w14:paraId="7C5AD1D0">
      <w:pPr>
        <w:spacing w:line="400" w:lineRule="exact"/>
        <w:jc w:val="left"/>
        <w:rPr>
          <w:rFonts w:ascii="仿宋" w:hAnsi="仿宋" w:eastAsia="仿宋" w:cs="仿宋"/>
          <w:sz w:val="28"/>
          <w:szCs w:val="28"/>
        </w:rPr>
      </w:pPr>
    </w:p>
    <w:p w14:paraId="66BE16A3">
      <w:pPr>
        <w:spacing w:line="400" w:lineRule="exact"/>
        <w:jc w:val="left"/>
        <w:rPr>
          <w:rFonts w:ascii="仿宋" w:hAnsi="仿宋" w:eastAsia="仿宋" w:cs="仿宋"/>
          <w:sz w:val="28"/>
          <w:szCs w:val="28"/>
        </w:rPr>
      </w:pPr>
    </w:p>
    <w:p w14:paraId="5954964A">
      <w:pPr>
        <w:spacing w:line="400" w:lineRule="exact"/>
        <w:jc w:val="left"/>
        <w:rPr>
          <w:rFonts w:ascii="仿宋" w:hAnsi="仿宋" w:eastAsia="仿宋" w:cs="仿宋"/>
          <w:b/>
          <w:bCs/>
          <w:sz w:val="28"/>
          <w:szCs w:val="28"/>
        </w:rPr>
      </w:pPr>
    </w:p>
    <w:p w14:paraId="5E345DCA">
      <w:pPr>
        <w:spacing w:line="400" w:lineRule="exact"/>
        <w:jc w:val="left"/>
        <w:rPr>
          <w:rFonts w:ascii="仿宋" w:hAnsi="仿宋" w:eastAsia="仿宋" w:cs="仿宋"/>
          <w:b/>
          <w:bCs/>
          <w:sz w:val="28"/>
          <w:szCs w:val="28"/>
        </w:rPr>
      </w:pPr>
    </w:p>
    <w:p w14:paraId="549EDCD4">
      <w:pPr>
        <w:spacing w:line="400" w:lineRule="exact"/>
        <w:jc w:val="left"/>
        <w:rPr>
          <w:rFonts w:ascii="仿宋" w:hAnsi="仿宋" w:eastAsia="仿宋" w:cs="仿宋"/>
          <w:b/>
          <w:bCs/>
          <w:sz w:val="28"/>
          <w:szCs w:val="28"/>
        </w:rPr>
        <w:sectPr>
          <w:pgSz w:w="11906" w:h="16838"/>
          <w:pgMar w:top="1134" w:right="1134" w:bottom="1134" w:left="1134" w:header="567" w:footer="567" w:gutter="0"/>
          <w:cols w:space="720" w:num="1"/>
          <w:titlePg/>
          <w:docGrid w:type="lines" w:linePitch="312" w:charSpace="0"/>
        </w:sectPr>
      </w:pPr>
    </w:p>
    <w:p w14:paraId="165F452D">
      <w:pPr>
        <w:spacing w:line="400" w:lineRule="exact"/>
        <w:jc w:val="left"/>
        <w:rPr>
          <w:rFonts w:ascii="仿宋" w:hAnsi="仿宋" w:eastAsia="仿宋" w:cs="仿宋"/>
          <w:b/>
          <w:bCs/>
          <w:sz w:val="28"/>
          <w:szCs w:val="28"/>
        </w:rPr>
      </w:pPr>
      <w:r>
        <w:rPr>
          <w:rFonts w:hint="eastAsia" w:ascii="仿宋" w:hAnsi="仿宋" w:eastAsia="仿宋" w:cs="仿宋"/>
          <w:b/>
          <w:bCs/>
          <w:sz w:val="28"/>
          <w:szCs w:val="28"/>
        </w:rPr>
        <w:t>6、磋商申请函</w:t>
      </w:r>
    </w:p>
    <w:p w14:paraId="0A93DB68">
      <w:pPr>
        <w:spacing w:line="360" w:lineRule="auto"/>
        <w:jc w:val="center"/>
        <w:rPr>
          <w:rFonts w:ascii="仿宋" w:hAnsi="仿宋" w:eastAsia="仿宋" w:cs="仿宋"/>
          <w:b/>
          <w:bCs/>
          <w:sz w:val="32"/>
          <w:szCs w:val="32"/>
        </w:rPr>
      </w:pPr>
      <w:r>
        <w:rPr>
          <w:rFonts w:hint="eastAsia" w:ascii="仿宋" w:hAnsi="仿宋" w:eastAsia="仿宋" w:cs="仿宋"/>
          <w:b/>
          <w:bCs/>
          <w:sz w:val="32"/>
          <w:szCs w:val="32"/>
        </w:rPr>
        <w:t xml:space="preserve">磋 商 申 请 函 </w:t>
      </w:r>
    </w:p>
    <w:p w14:paraId="2C36871C">
      <w:pPr>
        <w:spacing w:line="400" w:lineRule="exact"/>
        <w:rPr>
          <w:rFonts w:ascii="仿宋" w:hAnsi="仿宋" w:eastAsia="仿宋" w:cs="仿宋"/>
          <w:sz w:val="24"/>
          <w:u w:val="single"/>
        </w:rPr>
      </w:pPr>
      <w:r>
        <w:rPr>
          <w:rFonts w:hint="eastAsia" w:ascii="仿宋" w:hAnsi="仿宋" w:eastAsia="仿宋" w:cs="仿宋"/>
          <w:sz w:val="24"/>
          <w:u w:val="single"/>
        </w:rPr>
        <w:t>致                 ：</w:t>
      </w:r>
    </w:p>
    <w:p w14:paraId="79921645">
      <w:pPr>
        <w:spacing w:line="400" w:lineRule="exact"/>
        <w:ind w:firstLine="480" w:firstLineChars="200"/>
        <w:rPr>
          <w:rFonts w:ascii="仿宋" w:hAnsi="仿宋" w:eastAsia="仿宋" w:cs="仿宋"/>
          <w:sz w:val="24"/>
        </w:rPr>
      </w:pPr>
      <w:r>
        <w:rPr>
          <w:rFonts w:hint="eastAsia" w:ascii="仿宋" w:hAnsi="仿宋" w:eastAsia="仿宋" w:cs="仿宋"/>
          <w:sz w:val="24"/>
          <w:u w:val="single"/>
        </w:rPr>
        <w:t xml:space="preserve">  （供应商全称）  </w:t>
      </w:r>
      <w:r>
        <w:rPr>
          <w:rFonts w:hint="eastAsia" w:ascii="仿宋" w:hAnsi="仿宋" w:eastAsia="仿宋" w:cs="仿宋"/>
          <w:sz w:val="24"/>
        </w:rPr>
        <w:t xml:space="preserve"> 授权 </w:t>
      </w:r>
      <w:r>
        <w:rPr>
          <w:rFonts w:hint="eastAsia" w:ascii="仿宋" w:hAnsi="仿宋" w:eastAsia="仿宋" w:cs="仿宋"/>
          <w:sz w:val="24"/>
          <w:u w:val="single"/>
        </w:rPr>
        <w:t xml:space="preserve">   （授权代表名称、职务、职称）    </w:t>
      </w:r>
      <w:r>
        <w:rPr>
          <w:rFonts w:hint="eastAsia" w:ascii="仿宋" w:hAnsi="仿宋" w:eastAsia="仿宋" w:cs="仿宋"/>
          <w:sz w:val="24"/>
        </w:rPr>
        <w:t xml:space="preserve"> 为本公司授权代表，参加贵方组织的</w:t>
      </w:r>
      <w:r>
        <w:rPr>
          <w:rFonts w:hint="eastAsia" w:ascii="仿宋" w:hAnsi="仿宋" w:eastAsia="仿宋" w:cs="仿宋"/>
          <w:sz w:val="24"/>
          <w:u w:val="single"/>
        </w:rPr>
        <w:t xml:space="preserve">  项目名称（项目编号）  </w:t>
      </w:r>
      <w:r>
        <w:rPr>
          <w:rFonts w:hint="eastAsia" w:ascii="仿宋" w:hAnsi="仿宋" w:eastAsia="仿宋" w:cs="仿宋"/>
          <w:sz w:val="24"/>
        </w:rPr>
        <w:t xml:space="preserve"> 竞争性磋商有关活动，进行磋商。为此</w:t>
      </w:r>
      <w:r>
        <w:rPr>
          <w:rFonts w:hint="eastAsia" w:ascii="仿宋" w:hAnsi="仿宋" w:eastAsia="仿宋" w:cs="仿宋"/>
          <w:sz w:val="24"/>
          <w:lang w:val="zh-CN"/>
        </w:rPr>
        <w:t>承诺如下</w:t>
      </w:r>
      <w:r>
        <w:rPr>
          <w:rFonts w:hint="eastAsia" w:ascii="仿宋" w:hAnsi="仿宋" w:eastAsia="仿宋" w:cs="仿宋"/>
          <w:sz w:val="24"/>
        </w:rPr>
        <w:t xml:space="preserve">：  </w:t>
      </w:r>
    </w:p>
    <w:p w14:paraId="31D1BA83">
      <w:pPr>
        <w:spacing w:line="400" w:lineRule="exact"/>
        <w:rPr>
          <w:rFonts w:ascii="仿宋" w:hAnsi="仿宋" w:eastAsia="仿宋" w:cs="仿宋"/>
          <w:sz w:val="24"/>
          <w:u w:val="single"/>
        </w:rPr>
      </w:pPr>
      <w:r>
        <w:rPr>
          <w:rFonts w:hint="eastAsia" w:ascii="仿宋" w:hAnsi="仿宋" w:eastAsia="仿宋" w:cs="仿宋"/>
          <w:sz w:val="24"/>
        </w:rPr>
        <w:t xml:space="preserve">    1、 按照磋商文件要求制作并提交规定的资格证明文件正本一套，副本二套，响应文件正本一套，副本二套。</w:t>
      </w:r>
    </w:p>
    <w:p w14:paraId="4FA18FB8">
      <w:pPr>
        <w:spacing w:line="400" w:lineRule="exact"/>
        <w:ind w:firstLine="240" w:firstLineChars="100"/>
        <w:rPr>
          <w:rFonts w:ascii="仿宋" w:hAnsi="仿宋" w:eastAsia="仿宋" w:cs="仿宋"/>
          <w:sz w:val="24"/>
        </w:rPr>
      </w:pPr>
      <w:r>
        <w:rPr>
          <w:rFonts w:hint="eastAsia" w:ascii="仿宋" w:hAnsi="仿宋" w:eastAsia="仿宋" w:cs="仿宋"/>
          <w:sz w:val="24"/>
        </w:rPr>
        <w:t xml:space="preserve">  2、 本次磋商总报价为：人民币元整（￥          元）。</w:t>
      </w:r>
    </w:p>
    <w:p w14:paraId="3F0447BA">
      <w:pPr>
        <w:spacing w:line="400" w:lineRule="exact"/>
        <w:rPr>
          <w:rFonts w:ascii="仿宋" w:hAnsi="仿宋" w:eastAsia="仿宋" w:cs="仿宋"/>
          <w:sz w:val="24"/>
        </w:rPr>
      </w:pPr>
      <w:r>
        <w:rPr>
          <w:rFonts w:hint="eastAsia" w:ascii="仿宋" w:hAnsi="仿宋" w:eastAsia="仿宋" w:cs="仿宋"/>
          <w:sz w:val="24"/>
        </w:rPr>
        <w:t xml:space="preserve">    3、本项目负责人：；职务：；职称：；联系电话 :。</w:t>
      </w:r>
    </w:p>
    <w:p w14:paraId="78332956">
      <w:pPr>
        <w:spacing w:line="400" w:lineRule="exact"/>
        <w:ind w:firstLine="240" w:firstLineChars="100"/>
        <w:rPr>
          <w:rFonts w:ascii="仿宋" w:hAnsi="仿宋" w:eastAsia="仿宋" w:cs="仿宋"/>
          <w:sz w:val="24"/>
        </w:rPr>
      </w:pPr>
      <w:r>
        <w:rPr>
          <w:rFonts w:hint="eastAsia" w:ascii="仿宋" w:hAnsi="仿宋" w:eastAsia="仿宋" w:cs="仿宋"/>
          <w:sz w:val="24"/>
        </w:rPr>
        <w:t xml:space="preserve">  4、保证遵守磋商文件中的有关规定和收费标准。</w:t>
      </w:r>
    </w:p>
    <w:p w14:paraId="6485E9E8">
      <w:pPr>
        <w:spacing w:line="400" w:lineRule="exact"/>
        <w:rPr>
          <w:rFonts w:ascii="仿宋" w:hAnsi="仿宋" w:eastAsia="仿宋" w:cs="仿宋"/>
          <w:sz w:val="24"/>
        </w:rPr>
      </w:pPr>
      <w:r>
        <w:rPr>
          <w:rFonts w:hint="eastAsia" w:ascii="仿宋" w:hAnsi="仿宋" w:eastAsia="仿宋" w:cs="仿宋"/>
          <w:sz w:val="24"/>
        </w:rPr>
        <w:t xml:space="preserve">    5、保证严格执行甲、乙双方所签的合同，并承担全部规定的责任义务。</w:t>
      </w:r>
    </w:p>
    <w:p w14:paraId="23308D2A">
      <w:pPr>
        <w:spacing w:line="400" w:lineRule="exact"/>
        <w:rPr>
          <w:rFonts w:ascii="仿宋" w:hAnsi="仿宋" w:eastAsia="仿宋" w:cs="仿宋"/>
          <w:sz w:val="24"/>
        </w:rPr>
      </w:pPr>
      <w:r>
        <w:rPr>
          <w:rFonts w:hint="eastAsia" w:ascii="仿宋" w:hAnsi="仿宋" w:eastAsia="仿宋" w:cs="仿宋"/>
          <w:sz w:val="24"/>
        </w:rPr>
        <w:t xml:space="preserve">    6、我们已详细审查全部磋商文件，包括磋商补充文件（如果有的话）。我们完全理解并同意放弃对这方面有不明及误解的权力。</w:t>
      </w:r>
    </w:p>
    <w:p w14:paraId="68BF1594">
      <w:pPr>
        <w:spacing w:line="460" w:lineRule="exact"/>
        <w:ind w:firstLine="240" w:firstLineChars="100"/>
        <w:rPr>
          <w:rFonts w:ascii="仿宋" w:hAnsi="仿宋" w:eastAsia="仿宋" w:cs="仿宋"/>
          <w:sz w:val="24"/>
        </w:rPr>
      </w:pPr>
      <w:r>
        <w:rPr>
          <w:rFonts w:hint="eastAsia" w:ascii="仿宋" w:hAnsi="仿宋" w:eastAsia="仿宋" w:cs="仿宋"/>
          <w:sz w:val="24"/>
        </w:rPr>
        <w:t xml:space="preserve">  7、我们已对项目现场进行实地踏勘，充分了解项目要求。</w:t>
      </w:r>
    </w:p>
    <w:p w14:paraId="452B32C2">
      <w:pPr>
        <w:spacing w:line="460" w:lineRule="exact"/>
        <w:ind w:firstLine="240" w:firstLineChars="100"/>
        <w:rPr>
          <w:rFonts w:ascii="仿宋" w:hAnsi="仿宋" w:eastAsia="仿宋" w:cs="仿宋"/>
          <w:sz w:val="24"/>
        </w:rPr>
      </w:pPr>
      <w:r>
        <w:rPr>
          <w:rFonts w:hint="eastAsia" w:ascii="仿宋" w:hAnsi="仿宋" w:eastAsia="仿宋" w:cs="仿宋"/>
          <w:sz w:val="24"/>
        </w:rPr>
        <w:t xml:space="preserve">  8、愿意向贵方提供任何与该项木有关的数据、情况和技术资料，完全理解贵方不一定接受最低价成交的决定。</w:t>
      </w:r>
    </w:p>
    <w:p w14:paraId="5C459E78">
      <w:pPr>
        <w:spacing w:line="400" w:lineRule="exact"/>
        <w:ind w:firstLine="240" w:firstLineChars="100"/>
        <w:rPr>
          <w:rFonts w:ascii="仿宋" w:hAnsi="仿宋" w:eastAsia="仿宋" w:cs="仿宋"/>
          <w:sz w:val="24"/>
        </w:rPr>
      </w:pPr>
      <w:r>
        <w:rPr>
          <w:rFonts w:hint="eastAsia" w:ascii="仿宋" w:hAnsi="仿宋" w:eastAsia="仿宋" w:cs="仿宋"/>
          <w:sz w:val="24"/>
        </w:rPr>
        <w:t xml:space="preserve">  9、本文件自磋商之日起 </w:t>
      </w:r>
      <w:r>
        <w:rPr>
          <w:rFonts w:hint="eastAsia" w:ascii="仿宋" w:hAnsi="仿宋" w:eastAsia="仿宋" w:cs="仿宋"/>
          <w:sz w:val="24"/>
          <w:u w:val="single"/>
        </w:rPr>
        <w:t xml:space="preserve"> 60 </w:t>
      </w:r>
      <w:r>
        <w:rPr>
          <w:rFonts w:hint="eastAsia" w:ascii="仿宋" w:hAnsi="仿宋" w:eastAsia="仿宋" w:cs="仿宋"/>
          <w:sz w:val="24"/>
        </w:rPr>
        <w:t>天内有效。</w:t>
      </w:r>
    </w:p>
    <w:p w14:paraId="12A20965">
      <w:pPr>
        <w:spacing w:line="400" w:lineRule="exact"/>
        <w:ind w:firstLine="240" w:firstLineChars="100"/>
        <w:rPr>
          <w:rFonts w:ascii="仿宋" w:hAnsi="仿宋" w:eastAsia="仿宋" w:cs="仿宋"/>
          <w:sz w:val="24"/>
        </w:rPr>
      </w:pPr>
      <w:r>
        <w:rPr>
          <w:rFonts w:hint="eastAsia" w:ascii="仿宋" w:hAnsi="仿宋" w:eastAsia="仿宋" w:cs="仿宋"/>
          <w:sz w:val="24"/>
        </w:rPr>
        <w:t xml:space="preserve">  10、与本项目有关的一切往来通讯请寄：</w:t>
      </w:r>
    </w:p>
    <w:p w14:paraId="131E8E68">
      <w:pPr>
        <w:spacing w:line="400" w:lineRule="exact"/>
        <w:ind w:firstLine="960" w:firstLineChars="400"/>
        <w:rPr>
          <w:rFonts w:ascii="仿宋" w:hAnsi="仿宋" w:eastAsia="仿宋" w:cs="仿宋"/>
          <w:sz w:val="24"/>
        </w:rPr>
      </w:pPr>
      <w:r>
        <w:rPr>
          <w:rFonts w:hint="eastAsia" w:ascii="仿宋" w:hAnsi="仿宋" w:eastAsia="仿宋" w:cs="仿宋"/>
          <w:sz w:val="24"/>
        </w:rPr>
        <w:t>地址：</w:t>
      </w:r>
    </w:p>
    <w:p w14:paraId="4742869B">
      <w:pPr>
        <w:spacing w:line="400" w:lineRule="exact"/>
        <w:ind w:firstLine="960" w:firstLineChars="400"/>
        <w:rPr>
          <w:rFonts w:ascii="仿宋" w:hAnsi="仿宋" w:eastAsia="仿宋" w:cs="仿宋"/>
          <w:sz w:val="24"/>
          <w:u w:val="single"/>
        </w:rPr>
      </w:pPr>
      <w:r>
        <w:rPr>
          <w:rFonts w:hint="eastAsia" w:ascii="仿宋" w:hAnsi="仿宋" w:eastAsia="仿宋" w:cs="仿宋"/>
          <w:sz w:val="24"/>
        </w:rPr>
        <w:t>邮编：电话：传真：</w:t>
      </w:r>
    </w:p>
    <w:p w14:paraId="322EE101">
      <w:pPr>
        <w:spacing w:before="156" w:beforeLines="50" w:after="156" w:afterLines="50" w:line="400" w:lineRule="exact"/>
        <w:ind w:right="840"/>
        <w:rPr>
          <w:rFonts w:ascii="仿宋" w:hAnsi="仿宋" w:eastAsia="仿宋" w:cs="仿宋"/>
          <w:sz w:val="24"/>
        </w:rPr>
      </w:pPr>
    </w:p>
    <w:p w14:paraId="7CD6700D">
      <w:pPr>
        <w:spacing w:before="156" w:beforeLines="50" w:after="156" w:afterLines="50" w:line="400" w:lineRule="exact"/>
        <w:ind w:right="840"/>
        <w:rPr>
          <w:rFonts w:ascii="仿宋" w:hAnsi="仿宋" w:eastAsia="仿宋" w:cs="仿宋"/>
          <w:sz w:val="24"/>
        </w:rPr>
      </w:pPr>
    </w:p>
    <w:p w14:paraId="638EA146">
      <w:pPr>
        <w:spacing w:before="156" w:beforeLines="50" w:after="156" w:afterLines="50" w:line="400" w:lineRule="exact"/>
        <w:ind w:right="840"/>
        <w:rPr>
          <w:rFonts w:ascii="仿宋" w:hAnsi="仿宋" w:eastAsia="仿宋" w:cs="仿宋"/>
          <w:sz w:val="24"/>
        </w:rPr>
      </w:pPr>
      <w:r>
        <w:rPr>
          <w:rFonts w:hint="eastAsia" w:ascii="仿宋" w:hAnsi="仿宋" w:eastAsia="仿宋" w:cs="仿宋"/>
          <w:sz w:val="24"/>
        </w:rPr>
        <w:t>供应商（盖章）：</w:t>
      </w:r>
    </w:p>
    <w:p w14:paraId="52FEEC36">
      <w:pPr>
        <w:spacing w:before="156" w:beforeLines="50" w:after="156" w:afterLines="50" w:line="400" w:lineRule="exact"/>
        <w:ind w:right="840"/>
        <w:rPr>
          <w:rFonts w:ascii="仿宋" w:hAnsi="仿宋" w:eastAsia="仿宋" w:cs="仿宋"/>
          <w:sz w:val="24"/>
        </w:rPr>
      </w:pPr>
      <w:r>
        <w:rPr>
          <w:rFonts w:hint="eastAsia" w:ascii="仿宋" w:hAnsi="仿宋" w:eastAsia="仿宋" w:cs="仿宋"/>
          <w:sz w:val="24"/>
        </w:rPr>
        <w:t>授权代表（签字）：</w:t>
      </w:r>
    </w:p>
    <w:p w14:paraId="2B9BCDE5">
      <w:pPr>
        <w:pStyle w:val="17"/>
        <w:ind w:right="840"/>
        <w:rPr>
          <w:rFonts w:ascii="仿宋" w:hAnsi="仿宋" w:eastAsia="仿宋" w:cs="仿宋"/>
        </w:rPr>
      </w:pPr>
      <w:r>
        <w:rPr>
          <w:rFonts w:hint="eastAsia" w:ascii="仿宋" w:hAnsi="仿宋" w:eastAsia="仿宋" w:cs="仿宋"/>
        </w:rPr>
        <w:t xml:space="preserve">日期：     </w:t>
      </w:r>
    </w:p>
    <w:p w14:paraId="672F9DEE">
      <w:pPr>
        <w:spacing w:line="400" w:lineRule="exact"/>
        <w:jc w:val="left"/>
        <w:rPr>
          <w:rFonts w:ascii="仿宋" w:hAnsi="仿宋" w:eastAsia="仿宋" w:cs="仿宋"/>
          <w:b/>
          <w:bCs/>
          <w:sz w:val="28"/>
          <w:szCs w:val="28"/>
        </w:rPr>
        <w:sectPr>
          <w:pgSz w:w="11906" w:h="16838"/>
          <w:pgMar w:top="1134" w:right="1134" w:bottom="1134" w:left="1134" w:header="567" w:footer="567" w:gutter="0"/>
          <w:cols w:space="720" w:num="1"/>
          <w:titlePg/>
          <w:docGrid w:type="lines" w:linePitch="312" w:charSpace="0"/>
        </w:sectPr>
      </w:pPr>
    </w:p>
    <w:p w14:paraId="7EF51C62">
      <w:pPr>
        <w:spacing w:line="400" w:lineRule="exact"/>
        <w:jc w:val="left"/>
        <w:rPr>
          <w:rFonts w:ascii="仿宋" w:hAnsi="仿宋" w:eastAsia="仿宋" w:cs="仿宋"/>
          <w:b/>
          <w:bCs/>
          <w:sz w:val="28"/>
          <w:szCs w:val="28"/>
        </w:rPr>
      </w:pPr>
      <w:r>
        <w:rPr>
          <w:rFonts w:hint="eastAsia" w:ascii="仿宋" w:hAnsi="仿宋" w:eastAsia="仿宋" w:cs="仿宋"/>
          <w:b/>
          <w:bCs/>
          <w:sz w:val="28"/>
          <w:szCs w:val="28"/>
        </w:rPr>
        <w:t>7、初次（最终）报价表格式</w:t>
      </w:r>
    </w:p>
    <w:p w14:paraId="010803AD">
      <w:pPr>
        <w:rPr>
          <w:rFonts w:ascii="仿宋" w:hAnsi="仿宋" w:eastAsia="仿宋" w:cs="仿宋"/>
          <w:sz w:val="32"/>
        </w:rPr>
      </w:pPr>
    </w:p>
    <w:p w14:paraId="65DB9BBE">
      <w:pPr>
        <w:spacing w:line="360" w:lineRule="auto"/>
        <w:jc w:val="center"/>
        <w:rPr>
          <w:rFonts w:ascii="仿宋" w:hAnsi="仿宋" w:eastAsia="仿宋" w:cs="仿宋"/>
          <w:b/>
          <w:bCs/>
          <w:kern w:val="0"/>
          <w:sz w:val="32"/>
          <w:szCs w:val="32"/>
        </w:rPr>
      </w:pPr>
      <w:bookmarkStart w:id="228" w:name="_Toc414960387"/>
      <w:r>
        <w:rPr>
          <w:rFonts w:hint="eastAsia" w:ascii="仿宋" w:hAnsi="仿宋" w:eastAsia="仿宋" w:cs="仿宋"/>
          <w:b/>
          <w:bCs/>
          <w:kern w:val="0"/>
          <w:sz w:val="32"/>
          <w:szCs w:val="32"/>
        </w:rPr>
        <w:t>初 次 报 价 表</w:t>
      </w:r>
      <w:bookmarkEnd w:id="228"/>
    </w:p>
    <w:p w14:paraId="6E092DFA">
      <w:pPr>
        <w:pStyle w:val="6"/>
        <w:tabs>
          <w:tab w:val="left" w:pos="4477"/>
        </w:tabs>
        <w:spacing w:line="400" w:lineRule="exact"/>
        <w:rPr>
          <w:rFonts w:ascii="仿宋" w:hAnsi="仿宋" w:eastAsia="仿宋" w:cs="仿宋"/>
          <w:szCs w:val="24"/>
        </w:rPr>
      </w:pPr>
    </w:p>
    <w:p w14:paraId="2660007E">
      <w:pPr>
        <w:spacing w:line="400" w:lineRule="exact"/>
        <w:ind w:firstLine="309"/>
        <w:rPr>
          <w:rFonts w:ascii="仿宋" w:hAnsi="仿宋" w:eastAsia="仿宋" w:cs="仿宋"/>
          <w:sz w:val="24"/>
        </w:rPr>
      </w:pPr>
    </w:p>
    <w:p w14:paraId="7B5361C3">
      <w:pPr>
        <w:spacing w:line="400" w:lineRule="exact"/>
        <w:ind w:firstLine="1550" w:firstLineChars="646"/>
      </w:pPr>
      <w:r>
        <w:rPr>
          <w:rFonts w:hint="eastAsia" w:ascii="仿宋" w:hAnsi="仿宋" w:eastAsia="仿宋" w:cs="仿宋"/>
          <w:sz w:val="24"/>
        </w:rPr>
        <w:t xml:space="preserve">                                            </w:t>
      </w:r>
      <w:r>
        <w:rPr>
          <w:rFonts w:hint="eastAsia" w:ascii="仿宋" w:hAnsi="仿宋" w:eastAsia="仿宋" w:cs="仿宋"/>
          <w:sz w:val="24"/>
          <w:lang w:val="zh-CN"/>
        </w:rPr>
        <w:t>报价单位：人民币（元）</w:t>
      </w:r>
    </w:p>
    <w:tbl>
      <w:tblPr>
        <w:tblStyle w:val="29"/>
        <w:tblW w:w="9679"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06"/>
        <w:gridCol w:w="1192"/>
        <w:gridCol w:w="6481"/>
      </w:tblGrid>
      <w:tr w14:paraId="437A5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2" w:hRule="atLeast"/>
        </w:trPr>
        <w:tc>
          <w:tcPr>
            <w:tcW w:w="3198" w:type="dxa"/>
            <w:gridSpan w:val="2"/>
            <w:vAlign w:val="center"/>
          </w:tcPr>
          <w:p w14:paraId="4229AE22">
            <w:pPr>
              <w:spacing w:line="540" w:lineRule="exact"/>
              <w:jc w:val="center"/>
              <w:rPr>
                <w:rFonts w:ascii="仿宋" w:hAnsi="仿宋" w:eastAsia="仿宋" w:cs="仿宋"/>
                <w:color w:val="000000"/>
                <w:sz w:val="24"/>
              </w:rPr>
            </w:pPr>
            <w:r>
              <w:rPr>
                <w:rFonts w:hint="eastAsia" w:ascii="仿宋" w:hAnsi="仿宋" w:eastAsia="仿宋" w:cs="仿宋"/>
                <w:color w:val="000000"/>
                <w:sz w:val="24"/>
              </w:rPr>
              <w:t>投标项目名称</w:t>
            </w:r>
          </w:p>
        </w:tc>
        <w:tc>
          <w:tcPr>
            <w:tcW w:w="6481" w:type="dxa"/>
            <w:vAlign w:val="center"/>
          </w:tcPr>
          <w:p w14:paraId="1B89B68C">
            <w:pPr>
              <w:spacing w:line="540" w:lineRule="exact"/>
              <w:jc w:val="center"/>
              <w:rPr>
                <w:rFonts w:ascii="仿宋" w:hAnsi="仿宋" w:eastAsia="仿宋" w:cs="仿宋"/>
                <w:color w:val="000000"/>
                <w:sz w:val="24"/>
              </w:rPr>
            </w:pPr>
          </w:p>
        </w:tc>
      </w:tr>
      <w:tr w14:paraId="540BA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9" w:hRule="atLeast"/>
        </w:trPr>
        <w:tc>
          <w:tcPr>
            <w:tcW w:w="2006" w:type="dxa"/>
            <w:vMerge w:val="restart"/>
            <w:tcBorders>
              <w:top w:val="single" w:color="auto" w:sz="4" w:space="0"/>
            </w:tcBorders>
            <w:vAlign w:val="center"/>
          </w:tcPr>
          <w:p w14:paraId="0B0CFC3B">
            <w:pPr>
              <w:spacing w:line="540" w:lineRule="exact"/>
              <w:jc w:val="center"/>
              <w:rPr>
                <w:rFonts w:ascii="仿宋" w:hAnsi="仿宋" w:eastAsia="仿宋" w:cs="仿宋"/>
                <w:color w:val="000000"/>
                <w:sz w:val="24"/>
              </w:rPr>
            </w:pPr>
            <w:r>
              <w:rPr>
                <w:rFonts w:hint="eastAsia" w:ascii="仿宋" w:hAnsi="仿宋" w:eastAsia="仿宋" w:cs="仿宋"/>
                <w:color w:val="000000"/>
                <w:sz w:val="24"/>
              </w:rPr>
              <w:t>投标总价</w:t>
            </w:r>
          </w:p>
          <w:p w14:paraId="01EBF63D">
            <w:pPr>
              <w:spacing w:line="540" w:lineRule="exact"/>
              <w:jc w:val="center"/>
              <w:rPr>
                <w:rFonts w:ascii="仿宋" w:hAnsi="仿宋" w:eastAsia="仿宋" w:cs="仿宋"/>
                <w:color w:val="000000"/>
                <w:sz w:val="24"/>
              </w:rPr>
            </w:pPr>
            <w:r>
              <w:rPr>
                <w:rFonts w:hint="eastAsia" w:ascii="仿宋" w:hAnsi="仿宋" w:eastAsia="仿宋" w:cs="仿宋"/>
                <w:color w:val="000000"/>
                <w:sz w:val="24"/>
              </w:rPr>
              <w:t>（人民币）</w:t>
            </w:r>
          </w:p>
        </w:tc>
        <w:tc>
          <w:tcPr>
            <w:tcW w:w="1192" w:type="dxa"/>
            <w:tcBorders>
              <w:top w:val="single" w:color="auto" w:sz="4" w:space="0"/>
              <w:bottom w:val="single" w:color="auto" w:sz="4" w:space="0"/>
            </w:tcBorders>
            <w:vAlign w:val="center"/>
          </w:tcPr>
          <w:p w14:paraId="6B2EF94B">
            <w:pPr>
              <w:widowControl/>
              <w:spacing w:line="540" w:lineRule="exact"/>
              <w:jc w:val="center"/>
              <w:rPr>
                <w:rFonts w:ascii="仿宋" w:hAnsi="仿宋" w:eastAsia="仿宋" w:cs="仿宋"/>
                <w:color w:val="000000"/>
                <w:sz w:val="24"/>
              </w:rPr>
            </w:pPr>
            <w:r>
              <w:rPr>
                <w:rFonts w:hint="eastAsia" w:ascii="仿宋" w:hAnsi="仿宋" w:eastAsia="仿宋" w:cs="仿宋"/>
                <w:color w:val="000000"/>
                <w:sz w:val="24"/>
              </w:rPr>
              <w:t>小写</w:t>
            </w:r>
          </w:p>
        </w:tc>
        <w:tc>
          <w:tcPr>
            <w:tcW w:w="6481" w:type="dxa"/>
            <w:vAlign w:val="center"/>
          </w:tcPr>
          <w:p w14:paraId="455BA436">
            <w:pPr>
              <w:spacing w:line="540" w:lineRule="exact"/>
              <w:jc w:val="center"/>
              <w:rPr>
                <w:rFonts w:ascii="仿宋" w:hAnsi="仿宋" w:eastAsia="仿宋" w:cs="仿宋"/>
                <w:color w:val="000000"/>
                <w:sz w:val="24"/>
              </w:rPr>
            </w:pPr>
          </w:p>
        </w:tc>
      </w:tr>
      <w:tr w14:paraId="55741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9" w:hRule="atLeast"/>
        </w:trPr>
        <w:tc>
          <w:tcPr>
            <w:tcW w:w="2006" w:type="dxa"/>
            <w:vMerge w:val="continue"/>
            <w:vAlign w:val="center"/>
          </w:tcPr>
          <w:p w14:paraId="570B31C8">
            <w:pPr>
              <w:spacing w:line="540" w:lineRule="exact"/>
              <w:jc w:val="center"/>
              <w:rPr>
                <w:rFonts w:ascii="仿宋" w:hAnsi="仿宋" w:eastAsia="仿宋" w:cs="仿宋"/>
                <w:color w:val="000000"/>
                <w:sz w:val="24"/>
              </w:rPr>
            </w:pPr>
          </w:p>
        </w:tc>
        <w:tc>
          <w:tcPr>
            <w:tcW w:w="1192" w:type="dxa"/>
            <w:tcBorders>
              <w:top w:val="single" w:color="auto" w:sz="4" w:space="0"/>
              <w:bottom w:val="single" w:color="auto" w:sz="4" w:space="0"/>
            </w:tcBorders>
            <w:vAlign w:val="center"/>
          </w:tcPr>
          <w:p w14:paraId="7FF9C5F6">
            <w:pPr>
              <w:spacing w:line="540" w:lineRule="exact"/>
              <w:jc w:val="center"/>
              <w:rPr>
                <w:rFonts w:ascii="仿宋" w:hAnsi="仿宋" w:eastAsia="仿宋" w:cs="仿宋"/>
                <w:color w:val="000000"/>
                <w:sz w:val="24"/>
              </w:rPr>
            </w:pPr>
            <w:r>
              <w:rPr>
                <w:rFonts w:hint="eastAsia" w:ascii="仿宋" w:hAnsi="仿宋" w:eastAsia="仿宋" w:cs="仿宋"/>
                <w:color w:val="000000"/>
                <w:sz w:val="24"/>
              </w:rPr>
              <w:t>大写</w:t>
            </w:r>
          </w:p>
        </w:tc>
        <w:tc>
          <w:tcPr>
            <w:tcW w:w="6481" w:type="dxa"/>
            <w:vAlign w:val="center"/>
          </w:tcPr>
          <w:p w14:paraId="7AFE8BAF">
            <w:pPr>
              <w:spacing w:line="540" w:lineRule="exact"/>
              <w:jc w:val="center"/>
              <w:rPr>
                <w:rFonts w:ascii="仿宋" w:hAnsi="仿宋" w:eastAsia="仿宋" w:cs="仿宋"/>
                <w:color w:val="000000"/>
                <w:sz w:val="24"/>
              </w:rPr>
            </w:pPr>
          </w:p>
        </w:tc>
      </w:tr>
    </w:tbl>
    <w:p w14:paraId="3557BAF2">
      <w:pPr>
        <w:pStyle w:val="17"/>
        <w:spacing w:line="480" w:lineRule="exact"/>
        <w:rPr>
          <w:rFonts w:ascii="仿宋" w:hAnsi="仿宋" w:eastAsia="仿宋" w:cs="仿宋"/>
          <w:b/>
        </w:rPr>
      </w:pPr>
      <w:r>
        <w:rPr>
          <w:rFonts w:hint="eastAsia" w:ascii="仿宋" w:hAnsi="仿宋" w:eastAsia="仿宋" w:cs="仿宋"/>
          <w:b/>
        </w:rPr>
        <w:t>注：▲1、报价一经涂改，应在涂改处加盖单位公章或者由法定代表人或授权委托人签字或盖章，否则其投标作无效标处理。</w:t>
      </w:r>
    </w:p>
    <w:p w14:paraId="422B5B4A">
      <w:pPr>
        <w:pStyle w:val="17"/>
        <w:spacing w:line="480" w:lineRule="exact"/>
        <w:ind w:firstLine="482" w:firstLineChars="200"/>
        <w:rPr>
          <w:rFonts w:ascii="仿宋" w:hAnsi="仿宋" w:eastAsia="仿宋" w:cs="仿宋"/>
          <w:b/>
        </w:rPr>
      </w:pPr>
      <w:r>
        <w:rPr>
          <w:rFonts w:hint="eastAsia" w:ascii="仿宋" w:hAnsi="仿宋" w:eastAsia="仿宋" w:cs="仿宋"/>
          <w:b/>
        </w:rPr>
        <w:t>▲2、包括劳务、管理、各类保险、各类技术人员工资、加班费、夜班费、利润、税金、中标后审查会议会务费用等政策性文件规定及合同明示或暗示的所有风险、责任、义务等各项应有的费用，其市场风险由供应商承担，凡未列入的，将被视为均已包含在投标总报价中。</w:t>
      </w:r>
    </w:p>
    <w:p w14:paraId="263D26A9">
      <w:pPr>
        <w:pStyle w:val="17"/>
        <w:spacing w:line="480" w:lineRule="exact"/>
        <w:ind w:firstLine="482" w:firstLineChars="200"/>
        <w:rPr>
          <w:rFonts w:ascii="仿宋" w:hAnsi="仿宋" w:eastAsia="仿宋" w:cs="仿宋"/>
          <w:b/>
        </w:rPr>
      </w:pPr>
      <w:r>
        <w:rPr>
          <w:rFonts w:hint="eastAsia" w:ascii="仿宋" w:hAnsi="仿宋" w:eastAsia="仿宋" w:cs="仿宋"/>
          <w:b/>
        </w:rPr>
        <w:t>▲3、不提供此表格的将视为没有实质性响应磋商文件。</w:t>
      </w:r>
    </w:p>
    <w:p w14:paraId="3CFE1864">
      <w:pPr>
        <w:snapToGrid w:val="0"/>
        <w:spacing w:before="50" w:after="50" w:line="400" w:lineRule="exact"/>
        <w:rPr>
          <w:rFonts w:ascii="仿宋" w:hAnsi="仿宋" w:eastAsia="仿宋" w:cs="仿宋"/>
          <w:sz w:val="24"/>
        </w:rPr>
      </w:pPr>
    </w:p>
    <w:p w14:paraId="6B5396CB">
      <w:pPr>
        <w:widowControl/>
        <w:spacing w:line="460" w:lineRule="atLeast"/>
        <w:ind w:right="660"/>
        <w:jc w:val="left"/>
        <w:rPr>
          <w:rFonts w:ascii="仿宋" w:hAnsi="仿宋" w:eastAsia="仿宋" w:cs="仿宋"/>
          <w:sz w:val="24"/>
        </w:rPr>
      </w:pPr>
      <w:r>
        <w:rPr>
          <w:rFonts w:hint="eastAsia" w:ascii="仿宋" w:hAnsi="仿宋" w:eastAsia="仿宋" w:cs="仿宋"/>
          <w:sz w:val="24"/>
        </w:rPr>
        <w:t>供应商全称：（盖章）</w:t>
      </w:r>
    </w:p>
    <w:p w14:paraId="40883EE8">
      <w:pPr>
        <w:widowControl/>
        <w:spacing w:line="460" w:lineRule="atLeast"/>
        <w:ind w:right="440"/>
        <w:jc w:val="left"/>
        <w:rPr>
          <w:rFonts w:ascii="仿宋" w:hAnsi="仿宋" w:eastAsia="仿宋" w:cs="仿宋"/>
          <w:sz w:val="24"/>
        </w:rPr>
      </w:pPr>
      <w:r>
        <w:rPr>
          <w:rFonts w:hint="eastAsia" w:ascii="仿宋" w:hAnsi="仿宋" w:eastAsia="仿宋" w:cs="仿宋"/>
          <w:sz w:val="24"/>
        </w:rPr>
        <w:t xml:space="preserve"> 授权代表：（签字）</w:t>
      </w:r>
    </w:p>
    <w:p w14:paraId="6DAED7D5">
      <w:pPr>
        <w:widowControl/>
        <w:spacing w:line="460" w:lineRule="atLeast"/>
        <w:ind w:right="440"/>
        <w:jc w:val="left"/>
        <w:rPr>
          <w:rFonts w:ascii="仿宋" w:hAnsi="仿宋" w:eastAsia="仿宋" w:cs="仿宋"/>
          <w:sz w:val="24"/>
        </w:rPr>
      </w:pPr>
      <w:r>
        <w:rPr>
          <w:rFonts w:hint="eastAsia" w:ascii="仿宋" w:hAnsi="仿宋" w:eastAsia="仿宋" w:cs="仿宋"/>
          <w:sz w:val="24"/>
        </w:rPr>
        <w:t xml:space="preserve"> 日期：   年   月   日</w:t>
      </w:r>
    </w:p>
    <w:p w14:paraId="74E814B6">
      <w:pPr>
        <w:widowControl/>
        <w:spacing w:line="460" w:lineRule="atLeast"/>
        <w:ind w:right="440"/>
        <w:jc w:val="left"/>
        <w:rPr>
          <w:rFonts w:ascii="仿宋" w:hAnsi="仿宋" w:eastAsia="仿宋" w:cs="仿宋"/>
          <w:sz w:val="24"/>
        </w:rPr>
        <w:sectPr>
          <w:pgSz w:w="11906" w:h="16838"/>
          <w:pgMar w:top="1134" w:right="1134" w:bottom="1134" w:left="1134" w:header="567" w:footer="567" w:gutter="0"/>
          <w:cols w:space="720" w:num="1"/>
          <w:titlePg/>
          <w:docGrid w:type="lines" w:linePitch="312" w:charSpace="0"/>
        </w:sectPr>
      </w:pPr>
      <w:r>
        <w:rPr>
          <w:rFonts w:hint="eastAsia" w:ascii="仿宋" w:hAnsi="仿宋" w:eastAsia="仿宋" w:cs="仿宋"/>
          <w:sz w:val="24"/>
        </w:rPr>
        <w:t xml:space="preserve"> </w:t>
      </w:r>
    </w:p>
    <w:p w14:paraId="187E7BAD">
      <w:pPr>
        <w:pStyle w:val="24"/>
        <w:overflowPunct w:val="0"/>
        <w:snapToGrid w:val="0"/>
        <w:spacing w:line="360" w:lineRule="auto"/>
        <w:ind w:left="0" w:firstLine="0" w:firstLineChars="0"/>
        <w:rPr>
          <w:rFonts w:ascii="仿宋" w:hAnsi="仿宋" w:eastAsia="仿宋" w:cs="仿宋"/>
          <w:b/>
          <w:sz w:val="28"/>
          <w:szCs w:val="28"/>
        </w:rPr>
      </w:pPr>
      <w:r>
        <w:rPr>
          <w:rFonts w:hint="eastAsia" w:ascii="仿宋" w:hAnsi="仿宋" w:eastAsia="仿宋" w:cs="仿宋"/>
          <w:b/>
          <w:bCs/>
          <w:sz w:val="28"/>
          <w:szCs w:val="28"/>
        </w:rPr>
        <w:t>8、</w:t>
      </w:r>
      <w:r>
        <w:rPr>
          <w:rFonts w:hint="eastAsia" w:ascii="仿宋" w:hAnsi="仿宋" w:eastAsia="仿宋" w:cs="仿宋"/>
          <w:b/>
          <w:sz w:val="28"/>
          <w:szCs w:val="28"/>
        </w:rPr>
        <w:t>企业业绩</w:t>
      </w:r>
    </w:p>
    <w:p w14:paraId="65E106D3">
      <w:pPr>
        <w:pStyle w:val="24"/>
        <w:overflowPunct w:val="0"/>
        <w:snapToGrid w:val="0"/>
        <w:spacing w:line="360" w:lineRule="auto"/>
        <w:ind w:left="0" w:firstLine="241" w:firstLineChars="100"/>
        <w:jc w:val="center"/>
        <w:rPr>
          <w:rFonts w:ascii="仿宋" w:hAnsi="仿宋" w:eastAsia="仿宋" w:cs="仿宋"/>
          <w:b/>
          <w:sz w:val="24"/>
          <w:szCs w:val="20"/>
        </w:rPr>
      </w:pPr>
    </w:p>
    <w:p w14:paraId="5C9D786D">
      <w:pPr>
        <w:pStyle w:val="24"/>
        <w:overflowPunct w:val="0"/>
        <w:snapToGrid w:val="0"/>
        <w:spacing w:line="360" w:lineRule="auto"/>
        <w:ind w:left="0" w:firstLine="321" w:firstLineChars="100"/>
        <w:jc w:val="center"/>
        <w:rPr>
          <w:rFonts w:ascii="仿宋" w:hAnsi="仿宋" w:eastAsia="仿宋" w:cs="仿宋"/>
          <w:sz w:val="24"/>
          <w:szCs w:val="24"/>
        </w:rPr>
      </w:pPr>
      <w:r>
        <w:rPr>
          <w:rFonts w:hint="eastAsia" w:ascii="仿宋" w:hAnsi="仿宋" w:eastAsia="仿宋" w:cs="仿宋"/>
          <w:b/>
          <w:sz w:val="32"/>
          <w:szCs w:val="32"/>
        </w:rPr>
        <w:t>企业业绩</w:t>
      </w:r>
    </w:p>
    <w:p w14:paraId="7535B8C4">
      <w:pPr>
        <w:pStyle w:val="24"/>
        <w:overflowPunct w:val="0"/>
        <w:snapToGrid w:val="0"/>
        <w:spacing w:line="360" w:lineRule="auto"/>
        <w:ind w:left="0" w:firstLine="240" w:firstLineChars="100"/>
        <w:rPr>
          <w:rFonts w:ascii="仿宋" w:hAnsi="仿宋" w:eastAsia="仿宋" w:cs="仿宋"/>
          <w:sz w:val="24"/>
          <w:szCs w:val="24"/>
        </w:rPr>
      </w:pPr>
      <w:r>
        <w:rPr>
          <w:rFonts w:hint="eastAsia" w:ascii="仿宋" w:hAnsi="仿宋" w:eastAsia="仿宋" w:cs="仿宋"/>
          <w:sz w:val="24"/>
          <w:szCs w:val="24"/>
        </w:rPr>
        <w:t>项目名称：</w:t>
      </w:r>
    </w:p>
    <w:p w14:paraId="4AA28391">
      <w:pPr>
        <w:pStyle w:val="24"/>
        <w:overflowPunct w:val="0"/>
        <w:snapToGrid w:val="0"/>
        <w:spacing w:line="360" w:lineRule="auto"/>
        <w:ind w:left="0" w:firstLine="240" w:firstLineChars="100"/>
        <w:rPr>
          <w:rFonts w:ascii="仿宋" w:hAnsi="仿宋" w:eastAsia="仿宋" w:cs="仿宋"/>
          <w:sz w:val="24"/>
          <w:szCs w:val="24"/>
        </w:rPr>
      </w:pPr>
      <w:r>
        <w:rPr>
          <w:rFonts w:hint="eastAsia" w:ascii="仿宋" w:hAnsi="仿宋" w:eastAsia="仿宋" w:cs="仿宋"/>
          <w:sz w:val="24"/>
          <w:szCs w:val="24"/>
        </w:rPr>
        <w:t>项目编号：</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811"/>
        <w:gridCol w:w="1440"/>
        <w:gridCol w:w="1440"/>
        <w:gridCol w:w="1971"/>
        <w:gridCol w:w="1418"/>
      </w:tblGrid>
      <w:tr w14:paraId="5566E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0A070245">
            <w:pPr>
              <w:overflowPunct w:val="0"/>
              <w:spacing w:line="360" w:lineRule="auto"/>
              <w:jc w:val="center"/>
              <w:rPr>
                <w:rFonts w:ascii="仿宋" w:hAnsi="仿宋" w:eastAsia="仿宋" w:cs="仿宋"/>
                <w:bCs/>
                <w:sz w:val="24"/>
              </w:rPr>
            </w:pPr>
            <w:r>
              <w:rPr>
                <w:rFonts w:hint="eastAsia" w:ascii="仿宋" w:hAnsi="仿宋" w:eastAsia="仿宋" w:cs="仿宋"/>
                <w:bCs/>
                <w:sz w:val="24"/>
              </w:rPr>
              <w:t>序号</w:t>
            </w:r>
          </w:p>
        </w:tc>
        <w:tc>
          <w:tcPr>
            <w:tcW w:w="1811" w:type="dxa"/>
            <w:vAlign w:val="center"/>
          </w:tcPr>
          <w:p w14:paraId="2A6D82BE">
            <w:pPr>
              <w:overflowPunct w:val="0"/>
              <w:spacing w:line="360" w:lineRule="auto"/>
              <w:jc w:val="center"/>
              <w:rPr>
                <w:rFonts w:ascii="仿宋" w:hAnsi="仿宋" w:eastAsia="仿宋" w:cs="仿宋"/>
                <w:bCs/>
                <w:sz w:val="24"/>
              </w:rPr>
            </w:pPr>
            <w:r>
              <w:rPr>
                <w:rFonts w:hint="eastAsia" w:ascii="仿宋" w:hAnsi="仿宋" w:eastAsia="仿宋" w:cs="仿宋"/>
                <w:bCs/>
                <w:sz w:val="24"/>
              </w:rPr>
              <w:t>业主方</w:t>
            </w:r>
          </w:p>
        </w:tc>
        <w:tc>
          <w:tcPr>
            <w:tcW w:w="1440" w:type="dxa"/>
            <w:vAlign w:val="center"/>
          </w:tcPr>
          <w:p w14:paraId="113F1A26">
            <w:pPr>
              <w:overflowPunct w:val="0"/>
              <w:spacing w:line="360" w:lineRule="auto"/>
              <w:jc w:val="center"/>
              <w:rPr>
                <w:rFonts w:ascii="仿宋" w:hAnsi="仿宋" w:eastAsia="仿宋" w:cs="仿宋"/>
                <w:bCs/>
                <w:sz w:val="24"/>
              </w:rPr>
            </w:pPr>
            <w:r>
              <w:rPr>
                <w:rFonts w:ascii="仿宋" w:hAnsi="仿宋" w:eastAsia="仿宋" w:cs="仿宋"/>
                <w:bCs/>
                <w:sz w:val="24"/>
              </w:rPr>
              <w:t>项目名称</w:t>
            </w:r>
          </w:p>
        </w:tc>
        <w:tc>
          <w:tcPr>
            <w:tcW w:w="1440" w:type="dxa"/>
            <w:vAlign w:val="center"/>
          </w:tcPr>
          <w:p w14:paraId="146C0D56">
            <w:pPr>
              <w:overflowPunct w:val="0"/>
              <w:spacing w:line="360" w:lineRule="auto"/>
              <w:jc w:val="center"/>
              <w:rPr>
                <w:rFonts w:ascii="仿宋" w:hAnsi="仿宋" w:eastAsia="仿宋" w:cs="仿宋"/>
                <w:bCs/>
                <w:sz w:val="24"/>
              </w:rPr>
            </w:pPr>
            <w:r>
              <w:rPr>
                <w:rFonts w:hint="eastAsia" w:ascii="仿宋" w:hAnsi="仿宋" w:eastAsia="仿宋" w:cs="仿宋"/>
                <w:bCs/>
                <w:sz w:val="24"/>
              </w:rPr>
              <w:t>合同金额</w:t>
            </w:r>
          </w:p>
        </w:tc>
        <w:tc>
          <w:tcPr>
            <w:tcW w:w="1971" w:type="dxa"/>
            <w:vAlign w:val="center"/>
          </w:tcPr>
          <w:p w14:paraId="478D5E02">
            <w:pPr>
              <w:overflowPunct w:val="0"/>
              <w:spacing w:line="360" w:lineRule="auto"/>
              <w:jc w:val="center"/>
              <w:rPr>
                <w:rFonts w:ascii="仿宋" w:hAnsi="仿宋" w:eastAsia="仿宋" w:cs="仿宋"/>
                <w:bCs/>
                <w:sz w:val="24"/>
              </w:rPr>
            </w:pPr>
            <w:r>
              <w:rPr>
                <w:rFonts w:hint="eastAsia" w:ascii="仿宋" w:hAnsi="仿宋" w:eastAsia="仿宋" w:cs="仿宋"/>
                <w:bCs/>
                <w:sz w:val="24"/>
              </w:rPr>
              <w:t>签订时间</w:t>
            </w:r>
          </w:p>
        </w:tc>
        <w:tc>
          <w:tcPr>
            <w:tcW w:w="1418" w:type="dxa"/>
            <w:vAlign w:val="center"/>
          </w:tcPr>
          <w:p w14:paraId="6440D9D2">
            <w:pPr>
              <w:overflowPunct w:val="0"/>
              <w:spacing w:line="360" w:lineRule="auto"/>
              <w:jc w:val="center"/>
              <w:rPr>
                <w:rFonts w:ascii="仿宋" w:hAnsi="仿宋" w:eastAsia="仿宋" w:cs="仿宋"/>
                <w:bCs/>
                <w:sz w:val="24"/>
              </w:rPr>
            </w:pPr>
            <w:r>
              <w:rPr>
                <w:rFonts w:ascii="仿宋" w:hAnsi="仿宋" w:eastAsia="仿宋" w:cs="仿宋"/>
                <w:bCs/>
                <w:sz w:val="24"/>
              </w:rPr>
              <w:t>备注</w:t>
            </w:r>
          </w:p>
        </w:tc>
      </w:tr>
      <w:tr w14:paraId="1E9B9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2C5B023A">
            <w:pPr>
              <w:overflowPunct w:val="0"/>
              <w:spacing w:line="360" w:lineRule="auto"/>
              <w:rPr>
                <w:rFonts w:ascii="仿宋" w:hAnsi="仿宋" w:eastAsia="仿宋" w:cs="仿宋"/>
                <w:bCs/>
                <w:sz w:val="24"/>
              </w:rPr>
            </w:pPr>
          </w:p>
        </w:tc>
        <w:tc>
          <w:tcPr>
            <w:tcW w:w="1811" w:type="dxa"/>
          </w:tcPr>
          <w:p w14:paraId="18F5A6AE">
            <w:pPr>
              <w:overflowPunct w:val="0"/>
              <w:spacing w:line="360" w:lineRule="auto"/>
              <w:rPr>
                <w:rFonts w:ascii="仿宋" w:hAnsi="仿宋" w:eastAsia="仿宋" w:cs="仿宋"/>
                <w:bCs/>
                <w:sz w:val="24"/>
              </w:rPr>
            </w:pPr>
          </w:p>
        </w:tc>
        <w:tc>
          <w:tcPr>
            <w:tcW w:w="1440" w:type="dxa"/>
          </w:tcPr>
          <w:p w14:paraId="767544A2">
            <w:pPr>
              <w:overflowPunct w:val="0"/>
              <w:spacing w:line="360" w:lineRule="auto"/>
              <w:rPr>
                <w:rFonts w:ascii="仿宋" w:hAnsi="仿宋" w:eastAsia="仿宋" w:cs="仿宋"/>
                <w:bCs/>
                <w:sz w:val="24"/>
              </w:rPr>
            </w:pPr>
          </w:p>
        </w:tc>
        <w:tc>
          <w:tcPr>
            <w:tcW w:w="1440" w:type="dxa"/>
          </w:tcPr>
          <w:p w14:paraId="1E09083D">
            <w:pPr>
              <w:overflowPunct w:val="0"/>
              <w:spacing w:line="360" w:lineRule="auto"/>
              <w:rPr>
                <w:rFonts w:ascii="仿宋" w:hAnsi="仿宋" w:eastAsia="仿宋" w:cs="仿宋"/>
                <w:bCs/>
                <w:sz w:val="24"/>
              </w:rPr>
            </w:pPr>
          </w:p>
        </w:tc>
        <w:tc>
          <w:tcPr>
            <w:tcW w:w="1971" w:type="dxa"/>
          </w:tcPr>
          <w:p w14:paraId="750EB557">
            <w:pPr>
              <w:overflowPunct w:val="0"/>
              <w:spacing w:line="360" w:lineRule="auto"/>
              <w:rPr>
                <w:rFonts w:ascii="仿宋" w:hAnsi="仿宋" w:eastAsia="仿宋" w:cs="仿宋"/>
                <w:bCs/>
                <w:sz w:val="24"/>
              </w:rPr>
            </w:pPr>
          </w:p>
        </w:tc>
        <w:tc>
          <w:tcPr>
            <w:tcW w:w="1418" w:type="dxa"/>
          </w:tcPr>
          <w:p w14:paraId="71666203">
            <w:pPr>
              <w:overflowPunct w:val="0"/>
              <w:spacing w:line="360" w:lineRule="auto"/>
              <w:rPr>
                <w:rFonts w:ascii="仿宋" w:hAnsi="仿宋" w:eastAsia="仿宋" w:cs="仿宋"/>
                <w:bCs/>
                <w:sz w:val="24"/>
              </w:rPr>
            </w:pPr>
          </w:p>
        </w:tc>
      </w:tr>
      <w:tr w14:paraId="27210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406026F4">
            <w:pPr>
              <w:overflowPunct w:val="0"/>
              <w:spacing w:line="360" w:lineRule="auto"/>
              <w:rPr>
                <w:rFonts w:ascii="仿宋" w:hAnsi="仿宋" w:eastAsia="仿宋" w:cs="仿宋"/>
                <w:bCs/>
                <w:sz w:val="24"/>
              </w:rPr>
            </w:pPr>
          </w:p>
        </w:tc>
        <w:tc>
          <w:tcPr>
            <w:tcW w:w="1811" w:type="dxa"/>
          </w:tcPr>
          <w:p w14:paraId="01352A85">
            <w:pPr>
              <w:overflowPunct w:val="0"/>
              <w:spacing w:line="360" w:lineRule="auto"/>
              <w:rPr>
                <w:rFonts w:ascii="仿宋" w:hAnsi="仿宋" w:eastAsia="仿宋" w:cs="仿宋"/>
                <w:bCs/>
                <w:sz w:val="24"/>
              </w:rPr>
            </w:pPr>
          </w:p>
        </w:tc>
        <w:tc>
          <w:tcPr>
            <w:tcW w:w="1440" w:type="dxa"/>
          </w:tcPr>
          <w:p w14:paraId="4270BA79">
            <w:pPr>
              <w:overflowPunct w:val="0"/>
              <w:spacing w:line="360" w:lineRule="auto"/>
              <w:rPr>
                <w:rFonts w:ascii="仿宋" w:hAnsi="仿宋" w:eastAsia="仿宋" w:cs="仿宋"/>
                <w:bCs/>
                <w:sz w:val="24"/>
              </w:rPr>
            </w:pPr>
          </w:p>
        </w:tc>
        <w:tc>
          <w:tcPr>
            <w:tcW w:w="1440" w:type="dxa"/>
          </w:tcPr>
          <w:p w14:paraId="03F1F964">
            <w:pPr>
              <w:overflowPunct w:val="0"/>
              <w:spacing w:line="360" w:lineRule="auto"/>
              <w:rPr>
                <w:rFonts w:ascii="仿宋" w:hAnsi="仿宋" w:eastAsia="仿宋" w:cs="仿宋"/>
                <w:bCs/>
                <w:sz w:val="24"/>
              </w:rPr>
            </w:pPr>
          </w:p>
        </w:tc>
        <w:tc>
          <w:tcPr>
            <w:tcW w:w="1971" w:type="dxa"/>
          </w:tcPr>
          <w:p w14:paraId="58A6A9FA">
            <w:pPr>
              <w:overflowPunct w:val="0"/>
              <w:spacing w:line="360" w:lineRule="auto"/>
              <w:rPr>
                <w:rFonts w:ascii="仿宋" w:hAnsi="仿宋" w:eastAsia="仿宋" w:cs="仿宋"/>
                <w:bCs/>
                <w:sz w:val="24"/>
              </w:rPr>
            </w:pPr>
          </w:p>
        </w:tc>
        <w:tc>
          <w:tcPr>
            <w:tcW w:w="1418" w:type="dxa"/>
          </w:tcPr>
          <w:p w14:paraId="1DF1C8B1">
            <w:pPr>
              <w:overflowPunct w:val="0"/>
              <w:spacing w:line="360" w:lineRule="auto"/>
              <w:rPr>
                <w:rFonts w:ascii="仿宋" w:hAnsi="仿宋" w:eastAsia="仿宋" w:cs="仿宋"/>
                <w:bCs/>
                <w:sz w:val="24"/>
              </w:rPr>
            </w:pPr>
          </w:p>
        </w:tc>
      </w:tr>
      <w:tr w14:paraId="0F42C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15E4139C">
            <w:pPr>
              <w:overflowPunct w:val="0"/>
              <w:spacing w:line="360" w:lineRule="auto"/>
              <w:rPr>
                <w:rFonts w:ascii="仿宋" w:hAnsi="仿宋" w:eastAsia="仿宋" w:cs="仿宋"/>
                <w:bCs/>
                <w:sz w:val="24"/>
              </w:rPr>
            </w:pPr>
          </w:p>
        </w:tc>
        <w:tc>
          <w:tcPr>
            <w:tcW w:w="1811" w:type="dxa"/>
          </w:tcPr>
          <w:p w14:paraId="62721553">
            <w:pPr>
              <w:overflowPunct w:val="0"/>
              <w:spacing w:line="360" w:lineRule="auto"/>
              <w:rPr>
                <w:rFonts w:ascii="仿宋" w:hAnsi="仿宋" w:eastAsia="仿宋" w:cs="仿宋"/>
                <w:bCs/>
                <w:sz w:val="24"/>
              </w:rPr>
            </w:pPr>
          </w:p>
        </w:tc>
        <w:tc>
          <w:tcPr>
            <w:tcW w:w="1440" w:type="dxa"/>
          </w:tcPr>
          <w:p w14:paraId="4BBF05C7">
            <w:pPr>
              <w:overflowPunct w:val="0"/>
              <w:spacing w:line="360" w:lineRule="auto"/>
              <w:rPr>
                <w:rFonts w:ascii="仿宋" w:hAnsi="仿宋" w:eastAsia="仿宋" w:cs="仿宋"/>
                <w:bCs/>
                <w:sz w:val="24"/>
              </w:rPr>
            </w:pPr>
          </w:p>
        </w:tc>
        <w:tc>
          <w:tcPr>
            <w:tcW w:w="1440" w:type="dxa"/>
          </w:tcPr>
          <w:p w14:paraId="5DA40678">
            <w:pPr>
              <w:overflowPunct w:val="0"/>
              <w:spacing w:line="360" w:lineRule="auto"/>
              <w:rPr>
                <w:rFonts w:ascii="仿宋" w:hAnsi="仿宋" w:eastAsia="仿宋" w:cs="仿宋"/>
                <w:bCs/>
                <w:sz w:val="24"/>
              </w:rPr>
            </w:pPr>
          </w:p>
        </w:tc>
        <w:tc>
          <w:tcPr>
            <w:tcW w:w="1971" w:type="dxa"/>
          </w:tcPr>
          <w:p w14:paraId="7CA227F1">
            <w:pPr>
              <w:overflowPunct w:val="0"/>
              <w:spacing w:line="360" w:lineRule="auto"/>
              <w:rPr>
                <w:rFonts w:ascii="仿宋" w:hAnsi="仿宋" w:eastAsia="仿宋" w:cs="仿宋"/>
                <w:bCs/>
                <w:sz w:val="24"/>
              </w:rPr>
            </w:pPr>
          </w:p>
        </w:tc>
        <w:tc>
          <w:tcPr>
            <w:tcW w:w="1418" w:type="dxa"/>
          </w:tcPr>
          <w:p w14:paraId="0946CAAB">
            <w:pPr>
              <w:overflowPunct w:val="0"/>
              <w:spacing w:line="360" w:lineRule="auto"/>
              <w:rPr>
                <w:rFonts w:ascii="仿宋" w:hAnsi="仿宋" w:eastAsia="仿宋" w:cs="仿宋"/>
                <w:bCs/>
                <w:sz w:val="24"/>
              </w:rPr>
            </w:pPr>
          </w:p>
        </w:tc>
      </w:tr>
      <w:tr w14:paraId="4A9B4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42E9EBE2">
            <w:pPr>
              <w:overflowPunct w:val="0"/>
              <w:spacing w:line="360" w:lineRule="auto"/>
              <w:rPr>
                <w:rFonts w:ascii="仿宋" w:hAnsi="仿宋" w:eastAsia="仿宋" w:cs="仿宋"/>
                <w:bCs/>
                <w:sz w:val="24"/>
              </w:rPr>
            </w:pPr>
          </w:p>
        </w:tc>
        <w:tc>
          <w:tcPr>
            <w:tcW w:w="1811" w:type="dxa"/>
          </w:tcPr>
          <w:p w14:paraId="0561C39D">
            <w:pPr>
              <w:overflowPunct w:val="0"/>
              <w:spacing w:line="360" w:lineRule="auto"/>
              <w:rPr>
                <w:rFonts w:ascii="仿宋" w:hAnsi="仿宋" w:eastAsia="仿宋" w:cs="仿宋"/>
                <w:bCs/>
                <w:sz w:val="24"/>
              </w:rPr>
            </w:pPr>
          </w:p>
        </w:tc>
        <w:tc>
          <w:tcPr>
            <w:tcW w:w="1440" w:type="dxa"/>
          </w:tcPr>
          <w:p w14:paraId="25D135DE">
            <w:pPr>
              <w:overflowPunct w:val="0"/>
              <w:spacing w:line="360" w:lineRule="auto"/>
              <w:rPr>
                <w:rFonts w:ascii="仿宋" w:hAnsi="仿宋" w:eastAsia="仿宋" w:cs="仿宋"/>
                <w:bCs/>
                <w:sz w:val="24"/>
              </w:rPr>
            </w:pPr>
          </w:p>
        </w:tc>
        <w:tc>
          <w:tcPr>
            <w:tcW w:w="1440" w:type="dxa"/>
          </w:tcPr>
          <w:p w14:paraId="26BAEE1C">
            <w:pPr>
              <w:overflowPunct w:val="0"/>
              <w:spacing w:line="360" w:lineRule="auto"/>
              <w:rPr>
                <w:rFonts w:ascii="仿宋" w:hAnsi="仿宋" w:eastAsia="仿宋" w:cs="仿宋"/>
                <w:bCs/>
                <w:sz w:val="24"/>
              </w:rPr>
            </w:pPr>
          </w:p>
        </w:tc>
        <w:tc>
          <w:tcPr>
            <w:tcW w:w="1971" w:type="dxa"/>
          </w:tcPr>
          <w:p w14:paraId="3DA82D23">
            <w:pPr>
              <w:overflowPunct w:val="0"/>
              <w:spacing w:line="360" w:lineRule="auto"/>
              <w:rPr>
                <w:rFonts w:ascii="仿宋" w:hAnsi="仿宋" w:eastAsia="仿宋" w:cs="仿宋"/>
                <w:bCs/>
                <w:sz w:val="24"/>
              </w:rPr>
            </w:pPr>
          </w:p>
        </w:tc>
        <w:tc>
          <w:tcPr>
            <w:tcW w:w="1418" w:type="dxa"/>
          </w:tcPr>
          <w:p w14:paraId="0C327AC4">
            <w:pPr>
              <w:overflowPunct w:val="0"/>
              <w:spacing w:line="360" w:lineRule="auto"/>
              <w:rPr>
                <w:rFonts w:ascii="仿宋" w:hAnsi="仿宋" w:eastAsia="仿宋" w:cs="仿宋"/>
                <w:bCs/>
                <w:sz w:val="24"/>
              </w:rPr>
            </w:pPr>
          </w:p>
        </w:tc>
      </w:tr>
      <w:tr w14:paraId="6741B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4FE5702A">
            <w:pPr>
              <w:overflowPunct w:val="0"/>
              <w:spacing w:line="360" w:lineRule="auto"/>
              <w:rPr>
                <w:rFonts w:ascii="仿宋" w:hAnsi="仿宋" w:eastAsia="仿宋" w:cs="仿宋"/>
                <w:bCs/>
                <w:sz w:val="24"/>
              </w:rPr>
            </w:pPr>
          </w:p>
        </w:tc>
        <w:tc>
          <w:tcPr>
            <w:tcW w:w="1811" w:type="dxa"/>
          </w:tcPr>
          <w:p w14:paraId="7497EE06">
            <w:pPr>
              <w:overflowPunct w:val="0"/>
              <w:spacing w:line="360" w:lineRule="auto"/>
              <w:rPr>
                <w:rFonts w:ascii="仿宋" w:hAnsi="仿宋" w:eastAsia="仿宋" w:cs="仿宋"/>
                <w:bCs/>
                <w:sz w:val="24"/>
              </w:rPr>
            </w:pPr>
          </w:p>
        </w:tc>
        <w:tc>
          <w:tcPr>
            <w:tcW w:w="1440" w:type="dxa"/>
          </w:tcPr>
          <w:p w14:paraId="4C8C21E0">
            <w:pPr>
              <w:overflowPunct w:val="0"/>
              <w:spacing w:line="360" w:lineRule="auto"/>
              <w:rPr>
                <w:rFonts w:ascii="仿宋" w:hAnsi="仿宋" w:eastAsia="仿宋" w:cs="仿宋"/>
                <w:bCs/>
                <w:sz w:val="24"/>
              </w:rPr>
            </w:pPr>
          </w:p>
        </w:tc>
        <w:tc>
          <w:tcPr>
            <w:tcW w:w="1440" w:type="dxa"/>
          </w:tcPr>
          <w:p w14:paraId="5BB8A549">
            <w:pPr>
              <w:overflowPunct w:val="0"/>
              <w:spacing w:line="360" w:lineRule="auto"/>
              <w:rPr>
                <w:rFonts w:ascii="仿宋" w:hAnsi="仿宋" w:eastAsia="仿宋" w:cs="仿宋"/>
                <w:bCs/>
                <w:sz w:val="24"/>
              </w:rPr>
            </w:pPr>
          </w:p>
        </w:tc>
        <w:tc>
          <w:tcPr>
            <w:tcW w:w="1971" w:type="dxa"/>
          </w:tcPr>
          <w:p w14:paraId="1B140A15">
            <w:pPr>
              <w:overflowPunct w:val="0"/>
              <w:spacing w:line="360" w:lineRule="auto"/>
              <w:rPr>
                <w:rFonts w:ascii="仿宋" w:hAnsi="仿宋" w:eastAsia="仿宋" w:cs="仿宋"/>
                <w:bCs/>
                <w:sz w:val="24"/>
              </w:rPr>
            </w:pPr>
          </w:p>
        </w:tc>
        <w:tc>
          <w:tcPr>
            <w:tcW w:w="1418" w:type="dxa"/>
          </w:tcPr>
          <w:p w14:paraId="4F232FD4">
            <w:pPr>
              <w:overflowPunct w:val="0"/>
              <w:spacing w:line="360" w:lineRule="auto"/>
              <w:rPr>
                <w:rFonts w:ascii="仿宋" w:hAnsi="仿宋" w:eastAsia="仿宋" w:cs="仿宋"/>
                <w:bCs/>
                <w:sz w:val="24"/>
              </w:rPr>
            </w:pPr>
          </w:p>
        </w:tc>
      </w:tr>
      <w:tr w14:paraId="36E54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5FEC0E4D">
            <w:pPr>
              <w:overflowPunct w:val="0"/>
              <w:spacing w:line="360" w:lineRule="auto"/>
              <w:rPr>
                <w:rFonts w:ascii="仿宋" w:hAnsi="仿宋" w:eastAsia="仿宋" w:cs="仿宋"/>
                <w:bCs/>
                <w:sz w:val="24"/>
              </w:rPr>
            </w:pPr>
          </w:p>
        </w:tc>
        <w:tc>
          <w:tcPr>
            <w:tcW w:w="1811" w:type="dxa"/>
          </w:tcPr>
          <w:p w14:paraId="63DB3EA3">
            <w:pPr>
              <w:overflowPunct w:val="0"/>
              <w:spacing w:line="360" w:lineRule="auto"/>
              <w:rPr>
                <w:rFonts w:ascii="仿宋" w:hAnsi="仿宋" w:eastAsia="仿宋" w:cs="仿宋"/>
                <w:bCs/>
                <w:sz w:val="24"/>
              </w:rPr>
            </w:pPr>
          </w:p>
        </w:tc>
        <w:tc>
          <w:tcPr>
            <w:tcW w:w="1440" w:type="dxa"/>
          </w:tcPr>
          <w:p w14:paraId="6AB810EA">
            <w:pPr>
              <w:overflowPunct w:val="0"/>
              <w:spacing w:line="360" w:lineRule="auto"/>
              <w:rPr>
                <w:rFonts w:ascii="仿宋" w:hAnsi="仿宋" w:eastAsia="仿宋" w:cs="仿宋"/>
                <w:bCs/>
                <w:sz w:val="24"/>
              </w:rPr>
            </w:pPr>
          </w:p>
        </w:tc>
        <w:tc>
          <w:tcPr>
            <w:tcW w:w="1440" w:type="dxa"/>
          </w:tcPr>
          <w:p w14:paraId="2CA36E96">
            <w:pPr>
              <w:overflowPunct w:val="0"/>
              <w:spacing w:line="360" w:lineRule="auto"/>
              <w:rPr>
                <w:rFonts w:ascii="仿宋" w:hAnsi="仿宋" w:eastAsia="仿宋" w:cs="仿宋"/>
                <w:bCs/>
                <w:sz w:val="24"/>
              </w:rPr>
            </w:pPr>
          </w:p>
        </w:tc>
        <w:tc>
          <w:tcPr>
            <w:tcW w:w="1971" w:type="dxa"/>
          </w:tcPr>
          <w:p w14:paraId="26483C70">
            <w:pPr>
              <w:overflowPunct w:val="0"/>
              <w:spacing w:line="360" w:lineRule="auto"/>
              <w:rPr>
                <w:rFonts w:ascii="仿宋" w:hAnsi="仿宋" w:eastAsia="仿宋" w:cs="仿宋"/>
                <w:bCs/>
                <w:sz w:val="24"/>
              </w:rPr>
            </w:pPr>
          </w:p>
        </w:tc>
        <w:tc>
          <w:tcPr>
            <w:tcW w:w="1418" w:type="dxa"/>
          </w:tcPr>
          <w:p w14:paraId="7A22F48A">
            <w:pPr>
              <w:overflowPunct w:val="0"/>
              <w:spacing w:line="360" w:lineRule="auto"/>
              <w:rPr>
                <w:rFonts w:ascii="仿宋" w:hAnsi="仿宋" w:eastAsia="仿宋" w:cs="仿宋"/>
                <w:bCs/>
                <w:sz w:val="24"/>
              </w:rPr>
            </w:pPr>
          </w:p>
        </w:tc>
      </w:tr>
      <w:tr w14:paraId="63EA3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0B2D23EB">
            <w:pPr>
              <w:overflowPunct w:val="0"/>
              <w:spacing w:line="360" w:lineRule="auto"/>
              <w:rPr>
                <w:rFonts w:ascii="仿宋" w:hAnsi="仿宋" w:eastAsia="仿宋" w:cs="仿宋"/>
                <w:bCs/>
                <w:sz w:val="24"/>
              </w:rPr>
            </w:pPr>
          </w:p>
        </w:tc>
        <w:tc>
          <w:tcPr>
            <w:tcW w:w="1811" w:type="dxa"/>
          </w:tcPr>
          <w:p w14:paraId="44418A22">
            <w:pPr>
              <w:overflowPunct w:val="0"/>
              <w:spacing w:line="360" w:lineRule="auto"/>
              <w:rPr>
                <w:rFonts w:ascii="仿宋" w:hAnsi="仿宋" w:eastAsia="仿宋" w:cs="仿宋"/>
                <w:bCs/>
                <w:sz w:val="24"/>
              </w:rPr>
            </w:pPr>
          </w:p>
        </w:tc>
        <w:tc>
          <w:tcPr>
            <w:tcW w:w="1440" w:type="dxa"/>
          </w:tcPr>
          <w:p w14:paraId="7AF8D908">
            <w:pPr>
              <w:overflowPunct w:val="0"/>
              <w:spacing w:line="360" w:lineRule="auto"/>
              <w:rPr>
                <w:rFonts w:ascii="仿宋" w:hAnsi="仿宋" w:eastAsia="仿宋" w:cs="仿宋"/>
                <w:bCs/>
                <w:sz w:val="24"/>
              </w:rPr>
            </w:pPr>
          </w:p>
        </w:tc>
        <w:tc>
          <w:tcPr>
            <w:tcW w:w="1440" w:type="dxa"/>
          </w:tcPr>
          <w:p w14:paraId="274F36F7">
            <w:pPr>
              <w:overflowPunct w:val="0"/>
              <w:spacing w:line="360" w:lineRule="auto"/>
              <w:rPr>
                <w:rFonts w:ascii="仿宋" w:hAnsi="仿宋" w:eastAsia="仿宋" w:cs="仿宋"/>
                <w:bCs/>
                <w:sz w:val="24"/>
              </w:rPr>
            </w:pPr>
          </w:p>
        </w:tc>
        <w:tc>
          <w:tcPr>
            <w:tcW w:w="1971" w:type="dxa"/>
          </w:tcPr>
          <w:p w14:paraId="463A9E55">
            <w:pPr>
              <w:overflowPunct w:val="0"/>
              <w:spacing w:line="360" w:lineRule="auto"/>
              <w:rPr>
                <w:rFonts w:ascii="仿宋" w:hAnsi="仿宋" w:eastAsia="仿宋" w:cs="仿宋"/>
                <w:bCs/>
                <w:sz w:val="24"/>
              </w:rPr>
            </w:pPr>
          </w:p>
        </w:tc>
        <w:tc>
          <w:tcPr>
            <w:tcW w:w="1418" w:type="dxa"/>
          </w:tcPr>
          <w:p w14:paraId="165E771D">
            <w:pPr>
              <w:overflowPunct w:val="0"/>
              <w:spacing w:line="360" w:lineRule="auto"/>
              <w:rPr>
                <w:rFonts w:ascii="仿宋" w:hAnsi="仿宋" w:eastAsia="仿宋" w:cs="仿宋"/>
                <w:bCs/>
                <w:sz w:val="24"/>
              </w:rPr>
            </w:pPr>
          </w:p>
        </w:tc>
      </w:tr>
      <w:tr w14:paraId="07A4E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4BAFCC24">
            <w:pPr>
              <w:overflowPunct w:val="0"/>
              <w:spacing w:line="360" w:lineRule="auto"/>
              <w:rPr>
                <w:rFonts w:ascii="仿宋" w:hAnsi="仿宋" w:eastAsia="仿宋" w:cs="仿宋"/>
                <w:bCs/>
                <w:sz w:val="24"/>
              </w:rPr>
            </w:pPr>
          </w:p>
        </w:tc>
        <w:tc>
          <w:tcPr>
            <w:tcW w:w="1811" w:type="dxa"/>
          </w:tcPr>
          <w:p w14:paraId="1CACC687">
            <w:pPr>
              <w:overflowPunct w:val="0"/>
              <w:spacing w:line="360" w:lineRule="auto"/>
              <w:rPr>
                <w:rFonts w:ascii="仿宋" w:hAnsi="仿宋" w:eastAsia="仿宋" w:cs="仿宋"/>
                <w:bCs/>
                <w:sz w:val="24"/>
              </w:rPr>
            </w:pPr>
          </w:p>
        </w:tc>
        <w:tc>
          <w:tcPr>
            <w:tcW w:w="1440" w:type="dxa"/>
          </w:tcPr>
          <w:p w14:paraId="5599803A">
            <w:pPr>
              <w:overflowPunct w:val="0"/>
              <w:spacing w:line="360" w:lineRule="auto"/>
              <w:rPr>
                <w:rFonts w:ascii="仿宋" w:hAnsi="仿宋" w:eastAsia="仿宋" w:cs="仿宋"/>
                <w:bCs/>
                <w:sz w:val="24"/>
              </w:rPr>
            </w:pPr>
          </w:p>
        </w:tc>
        <w:tc>
          <w:tcPr>
            <w:tcW w:w="1440" w:type="dxa"/>
          </w:tcPr>
          <w:p w14:paraId="31D725B6">
            <w:pPr>
              <w:overflowPunct w:val="0"/>
              <w:spacing w:line="360" w:lineRule="auto"/>
              <w:rPr>
                <w:rFonts w:ascii="仿宋" w:hAnsi="仿宋" w:eastAsia="仿宋" w:cs="仿宋"/>
                <w:bCs/>
                <w:sz w:val="24"/>
              </w:rPr>
            </w:pPr>
          </w:p>
        </w:tc>
        <w:tc>
          <w:tcPr>
            <w:tcW w:w="1971" w:type="dxa"/>
          </w:tcPr>
          <w:p w14:paraId="73A6265D">
            <w:pPr>
              <w:overflowPunct w:val="0"/>
              <w:spacing w:line="360" w:lineRule="auto"/>
              <w:rPr>
                <w:rFonts w:ascii="仿宋" w:hAnsi="仿宋" w:eastAsia="仿宋" w:cs="仿宋"/>
                <w:bCs/>
                <w:sz w:val="24"/>
              </w:rPr>
            </w:pPr>
          </w:p>
        </w:tc>
        <w:tc>
          <w:tcPr>
            <w:tcW w:w="1418" w:type="dxa"/>
          </w:tcPr>
          <w:p w14:paraId="16221183">
            <w:pPr>
              <w:overflowPunct w:val="0"/>
              <w:spacing w:line="360" w:lineRule="auto"/>
              <w:rPr>
                <w:rFonts w:ascii="仿宋" w:hAnsi="仿宋" w:eastAsia="仿宋" w:cs="仿宋"/>
                <w:bCs/>
                <w:sz w:val="24"/>
              </w:rPr>
            </w:pPr>
          </w:p>
        </w:tc>
      </w:tr>
      <w:tr w14:paraId="59D88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6EC063AE">
            <w:pPr>
              <w:overflowPunct w:val="0"/>
              <w:spacing w:line="360" w:lineRule="auto"/>
              <w:rPr>
                <w:rFonts w:ascii="仿宋" w:hAnsi="仿宋" w:eastAsia="仿宋" w:cs="仿宋"/>
                <w:bCs/>
                <w:sz w:val="24"/>
              </w:rPr>
            </w:pPr>
          </w:p>
        </w:tc>
        <w:tc>
          <w:tcPr>
            <w:tcW w:w="1811" w:type="dxa"/>
          </w:tcPr>
          <w:p w14:paraId="761F6E97">
            <w:pPr>
              <w:overflowPunct w:val="0"/>
              <w:spacing w:line="360" w:lineRule="auto"/>
              <w:rPr>
                <w:rFonts w:ascii="仿宋" w:hAnsi="仿宋" w:eastAsia="仿宋" w:cs="仿宋"/>
                <w:bCs/>
                <w:sz w:val="24"/>
              </w:rPr>
            </w:pPr>
          </w:p>
        </w:tc>
        <w:tc>
          <w:tcPr>
            <w:tcW w:w="1440" w:type="dxa"/>
          </w:tcPr>
          <w:p w14:paraId="7C50E971">
            <w:pPr>
              <w:overflowPunct w:val="0"/>
              <w:spacing w:line="360" w:lineRule="auto"/>
              <w:rPr>
                <w:rFonts w:ascii="仿宋" w:hAnsi="仿宋" w:eastAsia="仿宋" w:cs="仿宋"/>
                <w:bCs/>
                <w:sz w:val="24"/>
              </w:rPr>
            </w:pPr>
          </w:p>
        </w:tc>
        <w:tc>
          <w:tcPr>
            <w:tcW w:w="1440" w:type="dxa"/>
          </w:tcPr>
          <w:p w14:paraId="05E260D2">
            <w:pPr>
              <w:overflowPunct w:val="0"/>
              <w:spacing w:line="360" w:lineRule="auto"/>
              <w:rPr>
                <w:rFonts w:ascii="仿宋" w:hAnsi="仿宋" w:eastAsia="仿宋" w:cs="仿宋"/>
                <w:bCs/>
                <w:sz w:val="24"/>
              </w:rPr>
            </w:pPr>
          </w:p>
        </w:tc>
        <w:tc>
          <w:tcPr>
            <w:tcW w:w="1971" w:type="dxa"/>
          </w:tcPr>
          <w:p w14:paraId="444D4D51">
            <w:pPr>
              <w:overflowPunct w:val="0"/>
              <w:spacing w:line="360" w:lineRule="auto"/>
              <w:rPr>
                <w:rFonts w:ascii="仿宋" w:hAnsi="仿宋" w:eastAsia="仿宋" w:cs="仿宋"/>
                <w:bCs/>
                <w:sz w:val="24"/>
              </w:rPr>
            </w:pPr>
          </w:p>
        </w:tc>
        <w:tc>
          <w:tcPr>
            <w:tcW w:w="1418" w:type="dxa"/>
          </w:tcPr>
          <w:p w14:paraId="20ABDA63">
            <w:pPr>
              <w:overflowPunct w:val="0"/>
              <w:spacing w:line="360" w:lineRule="auto"/>
              <w:rPr>
                <w:rFonts w:ascii="仿宋" w:hAnsi="仿宋" w:eastAsia="仿宋" w:cs="仿宋"/>
                <w:bCs/>
                <w:sz w:val="24"/>
              </w:rPr>
            </w:pPr>
          </w:p>
        </w:tc>
      </w:tr>
      <w:tr w14:paraId="58E99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122CD734">
            <w:pPr>
              <w:overflowPunct w:val="0"/>
              <w:spacing w:line="360" w:lineRule="auto"/>
              <w:rPr>
                <w:rFonts w:ascii="仿宋" w:hAnsi="仿宋" w:eastAsia="仿宋" w:cs="仿宋"/>
                <w:bCs/>
                <w:sz w:val="24"/>
              </w:rPr>
            </w:pPr>
          </w:p>
        </w:tc>
        <w:tc>
          <w:tcPr>
            <w:tcW w:w="1811" w:type="dxa"/>
          </w:tcPr>
          <w:p w14:paraId="5BCCB652">
            <w:pPr>
              <w:overflowPunct w:val="0"/>
              <w:spacing w:line="360" w:lineRule="auto"/>
              <w:rPr>
                <w:rFonts w:ascii="仿宋" w:hAnsi="仿宋" w:eastAsia="仿宋" w:cs="仿宋"/>
                <w:bCs/>
                <w:sz w:val="24"/>
              </w:rPr>
            </w:pPr>
          </w:p>
        </w:tc>
        <w:tc>
          <w:tcPr>
            <w:tcW w:w="1440" w:type="dxa"/>
          </w:tcPr>
          <w:p w14:paraId="4F82333D">
            <w:pPr>
              <w:overflowPunct w:val="0"/>
              <w:spacing w:line="360" w:lineRule="auto"/>
              <w:rPr>
                <w:rFonts w:ascii="仿宋" w:hAnsi="仿宋" w:eastAsia="仿宋" w:cs="仿宋"/>
                <w:bCs/>
                <w:sz w:val="24"/>
              </w:rPr>
            </w:pPr>
          </w:p>
        </w:tc>
        <w:tc>
          <w:tcPr>
            <w:tcW w:w="1440" w:type="dxa"/>
          </w:tcPr>
          <w:p w14:paraId="5A405C99">
            <w:pPr>
              <w:overflowPunct w:val="0"/>
              <w:spacing w:line="360" w:lineRule="auto"/>
              <w:rPr>
                <w:rFonts w:ascii="仿宋" w:hAnsi="仿宋" w:eastAsia="仿宋" w:cs="仿宋"/>
                <w:bCs/>
                <w:sz w:val="24"/>
              </w:rPr>
            </w:pPr>
          </w:p>
        </w:tc>
        <w:tc>
          <w:tcPr>
            <w:tcW w:w="1971" w:type="dxa"/>
          </w:tcPr>
          <w:p w14:paraId="1C03494F">
            <w:pPr>
              <w:overflowPunct w:val="0"/>
              <w:spacing w:line="360" w:lineRule="auto"/>
              <w:rPr>
                <w:rFonts w:ascii="仿宋" w:hAnsi="仿宋" w:eastAsia="仿宋" w:cs="仿宋"/>
                <w:bCs/>
                <w:sz w:val="24"/>
              </w:rPr>
            </w:pPr>
          </w:p>
        </w:tc>
        <w:tc>
          <w:tcPr>
            <w:tcW w:w="1418" w:type="dxa"/>
          </w:tcPr>
          <w:p w14:paraId="36867908">
            <w:pPr>
              <w:overflowPunct w:val="0"/>
              <w:spacing w:line="360" w:lineRule="auto"/>
              <w:rPr>
                <w:rFonts w:ascii="仿宋" w:hAnsi="仿宋" w:eastAsia="仿宋" w:cs="仿宋"/>
                <w:bCs/>
                <w:sz w:val="24"/>
              </w:rPr>
            </w:pPr>
          </w:p>
        </w:tc>
      </w:tr>
    </w:tbl>
    <w:p w14:paraId="3F4EDE83">
      <w:pPr>
        <w:spacing w:before="156" w:beforeLines="50" w:after="156" w:afterLines="50" w:line="300" w:lineRule="exact"/>
        <w:ind w:firstLine="482" w:firstLineChars="200"/>
        <w:rPr>
          <w:rFonts w:ascii="仿宋" w:hAnsi="仿宋" w:eastAsia="仿宋" w:cs="仿宋"/>
          <w:b/>
          <w:bCs/>
          <w:sz w:val="24"/>
          <w:u w:val="single"/>
        </w:rPr>
      </w:pPr>
      <w:r>
        <w:rPr>
          <w:rFonts w:hint="eastAsia" w:ascii="仿宋" w:hAnsi="仿宋" w:eastAsia="仿宋" w:cs="仿宋"/>
          <w:b/>
          <w:bCs/>
          <w:sz w:val="24"/>
          <w:u w:val="single"/>
        </w:rPr>
        <w:t>须提供中标通知书或合同复印件并加盖单位公章。</w:t>
      </w:r>
    </w:p>
    <w:p w14:paraId="0F98B4C4">
      <w:pPr>
        <w:spacing w:before="156" w:beforeLines="50" w:after="156" w:afterLines="50" w:line="300" w:lineRule="exact"/>
        <w:ind w:firstLine="480" w:firstLineChars="200"/>
        <w:rPr>
          <w:rFonts w:ascii="仿宋" w:hAnsi="仿宋" w:eastAsia="仿宋" w:cs="仿宋"/>
          <w:sz w:val="24"/>
        </w:rPr>
      </w:pPr>
      <w:r>
        <w:rPr>
          <w:rFonts w:hint="eastAsia" w:ascii="仿宋" w:hAnsi="仿宋" w:eastAsia="仿宋" w:cs="仿宋"/>
          <w:sz w:val="24"/>
        </w:rPr>
        <w:t>供应商（盖章）：</w:t>
      </w:r>
    </w:p>
    <w:p w14:paraId="60FF85E5">
      <w:pPr>
        <w:spacing w:before="156" w:beforeLines="50" w:after="156" w:afterLines="50" w:line="300" w:lineRule="exact"/>
        <w:ind w:firstLine="480" w:firstLineChars="200"/>
        <w:rPr>
          <w:rFonts w:ascii="仿宋" w:hAnsi="仿宋" w:eastAsia="仿宋" w:cs="仿宋"/>
          <w:sz w:val="24"/>
        </w:rPr>
      </w:pPr>
      <w:r>
        <w:rPr>
          <w:rFonts w:hint="eastAsia" w:ascii="仿宋" w:hAnsi="仿宋" w:eastAsia="仿宋" w:cs="仿宋"/>
          <w:sz w:val="24"/>
        </w:rPr>
        <w:t>授权代表（签字）：</w:t>
      </w:r>
    </w:p>
    <w:p w14:paraId="6F5E9ACE">
      <w:pPr>
        <w:spacing w:line="400" w:lineRule="exact"/>
        <w:ind w:firstLine="480" w:firstLineChars="200"/>
        <w:jc w:val="left"/>
        <w:rPr>
          <w:rFonts w:ascii="仿宋" w:hAnsi="仿宋" w:eastAsia="仿宋" w:cs="仿宋"/>
          <w:sz w:val="24"/>
        </w:rPr>
      </w:pPr>
      <w:r>
        <w:rPr>
          <w:rFonts w:hint="eastAsia" w:ascii="仿宋" w:hAnsi="仿宋" w:eastAsia="仿宋" w:cs="仿宋"/>
          <w:sz w:val="24"/>
        </w:rPr>
        <w:t xml:space="preserve">日期： </w:t>
      </w:r>
    </w:p>
    <w:p w14:paraId="5C3ABC18">
      <w:pPr>
        <w:spacing w:line="400" w:lineRule="exact"/>
        <w:jc w:val="left"/>
        <w:rPr>
          <w:rFonts w:ascii="仿宋" w:hAnsi="仿宋" w:eastAsia="仿宋" w:cs="仿宋"/>
          <w:sz w:val="28"/>
          <w:szCs w:val="28"/>
        </w:rPr>
      </w:pPr>
    </w:p>
    <w:p w14:paraId="48DF003B">
      <w:pPr>
        <w:spacing w:line="400" w:lineRule="exact"/>
        <w:jc w:val="left"/>
        <w:rPr>
          <w:rFonts w:ascii="仿宋" w:hAnsi="仿宋" w:eastAsia="仿宋" w:cs="仿宋"/>
          <w:sz w:val="28"/>
          <w:szCs w:val="28"/>
        </w:rPr>
      </w:pPr>
    </w:p>
    <w:p w14:paraId="2B7A9241">
      <w:pPr>
        <w:spacing w:line="400" w:lineRule="exact"/>
        <w:jc w:val="left"/>
        <w:rPr>
          <w:rFonts w:ascii="仿宋" w:hAnsi="仿宋" w:eastAsia="仿宋" w:cs="仿宋"/>
          <w:sz w:val="28"/>
          <w:szCs w:val="28"/>
        </w:rPr>
      </w:pPr>
    </w:p>
    <w:p w14:paraId="1182712D">
      <w:pPr>
        <w:spacing w:line="400" w:lineRule="exact"/>
        <w:jc w:val="left"/>
        <w:rPr>
          <w:rFonts w:ascii="仿宋" w:hAnsi="仿宋" w:eastAsia="仿宋" w:cs="仿宋"/>
          <w:sz w:val="28"/>
          <w:szCs w:val="28"/>
        </w:rPr>
      </w:pPr>
    </w:p>
    <w:p w14:paraId="39A6DAAA">
      <w:pPr>
        <w:spacing w:line="400" w:lineRule="exact"/>
        <w:jc w:val="left"/>
        <w:rPr>
          <w:rFonts w:ascii="仿宋" w:hAnsi="仿宋" w:eastAsia="仿宋" w:cs="仿宋"/>
          <w:sz w:val="28"/>
          <w:szCs w:val="28"/>
        </w:rPr>
      </w:pPr>
    </w:p>
    <w:p w14:paraId="23A45975">
      <w:pPr>
        <w:spacing w:line="400" w:lineRule="exact"/>
        <w:jc w:val="left"/>
        <w:rPr>
          <w:rFonts w:ascii="仿宋" w:hAnsi="仿宋" w:eastAsia="仿宋" w:cs="仿宋"/>
          <w:sz w:val="28"/>
          <w:szCs w:val="28"/>
        </w:rPr>
      </w:pPr>
    </w:p>
    <w:p w14:paraId="7C4C21C7">
      <w:pPr>
        <w:spacing w:line="400" w:lineRule="exact"/>
        <w:jc w:val="left"/>
        <w:rPr>
          <w:rFonts w:ascii="仿宋" w:hAnsi="仿宋" w:eastAsia="仿宋" w:cs="仿宋"/>
          <w:sz w:val="28"/>
          <w:szCs w:val="28"/>
        </w:rPr>
      </w:pPr>
    </w:p>
    <w:p w14:paraId="52C51247">
      <w:pPr>
        <w:spacing w:line="400" w:lineRule="exact"/>
        <w:jc w:val="left"/>
        <w:rPr>
          <w:rFonts w:ascii="仿宋" w:hAnsi="仿宋" w:eastAsia="仿宋" w:cs="仿宋"/>
          <w:sz w:val="28"/>
          <w:szCs w:val="28"/>
        </w:rPr>
      </w:pPr>
    </w:p>
    <w:p w14:paraId="62031C8A">
      <w:pPr>
        <w:spacing w:line="400" w:lineRule="exact"/>
        <w:jc w:val="left"/>
        <w:rPr>
          <w:rFonts w:ascii="仿宋" w:hAnsi="仿宋" w:eastAsia="仿宋" w:cs="仿宋"/>
          <w:sz w:val="28"/>
          <w:szCs w:val="28"/>
        </w:rPr>
      </w:pPr>
    </w:p>
    <w:p w14:paraId="6333CF8D">
      <w:pPr>
        <w:spacing w:line="400" w:lineRule="exact"/>
        <w:jc w:val="left"/>
        <w:rPr>
          <w:rFonts w:ascii="仿宋" w:hAnsi="仿宋" w:eastAsia="仿宋" w:cs="仿宋"/>
          <w:sz w:val="28"/>
          <w:szCs w:val="28"/>
        </w:rPr>
      </w:pPr>
    </w:p>
    <w:p w14:paraId="58652E65">
      <w:pPr>
        <w:spacing w:line="400" w:lineRule="exact"/>
        <w:jc w:val="left"/>
        <w:rPr>
          <w:rFonts w:ascii="仿宋" w:hAnsi="仿宋" w:eastAsia="仿宋" w:cs="仿宋"/>
          <w:b/>
          <w:bCs/>
          <w:sz w:val="28"/>
          <w:szCs w:val="28"/>
        </w:rPr>
        <w:sectPr>
          <w:pgSz w:w="11906" w:h="16838"/>
          <w:pgMar w:top="1134" w:right="1134" w:bottom="1134" w:left="1134" w:header="567" w:footer="567" w:gutter="0"/>
          <w:cols w:space="720" w:num="1"/>
          <w:titlePg/>
          <w:docGrid w:type="lines" w:linePitch="312" w:charSpace="0"/>
        </w:sectPr>
      </w:pPr>
    </w:p>
    <w:p w14:paraId="5FBEC404">
      <w:pPr>
        <w:spacing w:line="400" w:lineRule="exact"/>
        <w:jc w:val="left"/>
        <w:rPr>
          <w:rFonts w:ascii="仿宋" w:hAnsi="仿宋" w:eastAsia="仿宋" w:cs="仿宋"/>
          <w:bCs/>
          <w:sz w:val="30"/>
          <w:szCs w:val="30"/>
        </w:rPr>
      </w:pPr>
      <w:r>
        <w:rPr>
          <w:rFonts w:hint="eastAsia" w:ascii="仿宋" w:hAnsi="仿宋" w:eastAsia="仿宋" w:cs="仿宋"/>
          <w:b/>
          <w:bCs/>
          <w:sz w:val="28"/>
          <w:szCs w:val="28"/>
        </w:rPr>
        <w:t>9、人员配置一览表格式</w:t>
      </w:r>
      <w:r>
        <w:rPr>
          <w:rFonts w:hint="eastAsia" w:ascii="仿宋" w:hAnsi="仿宋" w:eastAsia="仿宋" w:cs="仿宋"/>
          <w:b/>
          <w:sz w:val="28"/>
          <w:szCs w:val="28"/>
        </w:rPr>
        <w:t>（如有）</w:t>
      </w:r>
    </w:p>
    <w:p w14:paraId="7D7C6ABF">
      <w:pPr>
        <w:spacing w:line="360" w:lineRule="auto"/>
        <w:jc w:val="center"/>
        <w:rPr>
          <w:rFonts w:ascii="仿宋" w:hAnsi="仿宋" w:eastAsia="仿宋" w:cs="仿宋"/>
          <w:bCs/>
          <w:sz w:val="30"/>
          <w:szCs w:val="30"/>
        </w:rPr>
      </w:pPr>
    </w:p>
    <w:p w14:paraId="2AD7A1C8">
      <w:pPr>
        <w:spacing w:line="360" w:lineRule="auto"/>
        <w:jc w:val="center"/>
        <w:rPr>
          <w:rFonts w:ascii="仿宋" w:hAnsi="仿宋" w:eastAsia="仿宋" w:cs="仿宋"/>
          <w:b/>
          <w:sz w:val="32"/>
          <w:szCs w:val="32"/>
        </w:rPr>
      </w:pPr>
      <w:r>
        <w:rPr>
          <w:rFonts w:hint="eastAsia" w:ascii="仿宋" w:hAnsi="仿宋" w:eastAsia="仿宋" w:cs="仿宋"/>
          <w:b/>
          <w:sz w:val="32"/>
          <w:szCs w:val="32"/>
        </w:rPr>
        <w:t>人员配置一览表</w:t>
      </w:r>
    </w:p>
    <w:p w14:paraId="76BAD6AE">
      <w:pPr>
        <w:spacing w:line="360" w:lineRule="auto"/>
        <w:rPr>
          <w:rFonts w:ascii="仿宋" w:hAnsi="仿宋" w:eastAsia="仿宋" w:cs="仿宋"/>
          <w:bCs/>
          <w:sz w:val="30"/>
          <w:szCs w:val="30"/>
        </w:rPr>
      </w:pP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944"/>
        <w:gridCol w:w="1715"/>
        <w:gridCol w:w="1282"/>
        <w:gridCol w:w="2113"/>
        <w:gridCol w:w="1723"/>
      </w:tblGrid>
      <w:tr w14:paraId="260BA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exact"/>
          <w:jc w:val="center"/>
        </w:trPr>
        <w:tc>
          <w:tcPr>
            <w:tcW w:w="943" w:type="dxa"/>
            <w:vAlign w:val="center"/>
          </w:tcPr>
          <w:p w14:paraId="5653974D">
            <w:pPr>
              <w:spacing w:line="360" w:lineRule="exact"/>
              <w:jc w:val="center"/>
              <w:rPr>
                <w:rFonts w:ascii="仿宋" w:hAnsi="仿宋" w:eastAsia="仿宋" w:cs="仿宋"/>
                <w:sz w:val="24"/>
              </w:rPr>
            </w:pPr>
            <w:r>
              <w:rPr>
                <w:rFonts w:hint="eastAsia" w:ascii="仿宋" w:hAnsi="仿宋" w:eastAsia="仿宋" w:cs="仿宋"/>
                <w:sz w:val="24"/>
              </w:rPr>
              <w:t>姓名</w:t>
            </w:r>
          </w:p>
        </w:tc>
        <w:tc>
          <w:tcPr>
            <w:tcW w:w="944" w:type="dxa"/>
            <w:vAlign w:val="center"/>
          </w:tcPr>
          <w:p w14:paraId="6347A42E">
            <w:pPr>
              <w:spacing w:line="360" w:lineRule="exact"/>
              <w:jc w:val="center"/>
              <w:rPr>
                <w:rFonts w:ascii="仿宋" w:hAnsi="仿宋" w:eastAsia="仿宋" w:cs="仿宋"/>
                <w:sz w:val="24"/>
              </w:rPr>
            </w:pPr>
            <w:r>
              <w:rPr>
                <w:rFonts w:hint="eastAsia" w:ascii="仿宋" w:hAnsi="仿宋" w:eastAsia="仿宋" w:cs="仿宋"/>
                <w:sz w:val="24"/>
              </w:rPr>
              <w:t>职务</w:t>
            </w:r>
          </w:p>
        </w:tc>
        <w:tc>
          <w:tcPr>
            <w:tcW w:w="1715" w:type="dxa"/>
            <w:vAlign w:val="center"/>
          </w:tcPr>
          <w:p w14:paraId="3505560C">
            <w:pPr>
              <w:spacing w:line="360" w:lineRule="exact"/>
              <w:jc w:val="center"/>
              <w:rPr>
                <w:rFonts w:ascii="仿宋" w:hAnsi="仿宋" w:eastAsia="仿宋" w:cs="仿宋"/>
                <w:sz w:val="24"/>
              </w:rPr>
            </w:pPr>
            <w:r>
              <w:rPr>
                <w:rFonts w:hint="eastAsia" w:ascii="仿宋" w:hAnsi="仿宋" w:eastAsia="仿宋" w:cs="仿宋"/>
                <w:sz w:val="24"/>
              </w:rPr>
              <w:t>专业技术资格</w:t>
            </w:r>
          </w:p>
        </w:tc>
        <w:tc>
          <w:tcPr>
            <w:tcW w:w="1282" w:type="dxa"/>
            <w:vAlign w:val="center"/>
          </w:tcPr>
          <w:p w14:paraId="498A0BB4">
            <w:pPr>
              <w:spacing w:line="360" w:lineRule="exact"/>
              <w:jc w:val="center"/>
              <w:rPr>
                <w:rFonts w:ascii="仿宋" w:hAnsi="仿宋" w:eastAsia="仿宋" w:cs="仿宋"/>
                <w:sz w:val="24"/>
              </w:rPr>
            </w:pPr>
            <w:r>
              <w:rPr>
                <w:rFonts w:hint="eastAsia" w:ascii="仿宋" w:hAnsi="仿宋" w:eastAsia="仿宋" w:cs="仿宋"/>
                <w:sz w:val="24"/>
              </w:rPr>
              <w:t>执业资格</w:t>
            </w:r>
          </w:p>
        </w:tc>
        <w:tc>
          <w:tcPr>
            <w:tcW w:w="2113" w:type="dxa"/>
            <w:vAlign w:val="center"/>
          </w:tcPr>
          <w:p w14:paraId="738B2F39">
            <w:pPr>
              <w:spacing w:line="360" w:lineRule="exact"/>
              <w:jc w:val="center"/>
              <w:rPr>
                <w:rFonts w:ascii="仿宋" w:hAnsi="仿宋" w:eastAsia="仿宋" w:cs="仿宋"/>
                <w:sz w:val="24"/>
              </w:rPr>
            </w:pPr>
            <w:r>
              <w:rPr>
                <w:rFonts w:hint="eastAsia" w:ascii="仿宋" w:hAnsi="仿宋" w:eastAsia="仿宋" w:cs="仿宋"/>
                <w:sz w:val="24"/>
              </w:rPr>
              <w:t>参加本单位工作时间</w:t>
            </w:r>
          </w:p>
        </w:tc>
        <w:tc>
          <w:tcPr>
            <w:tcW w:w="1723" w:type="dxa"/>
            <w:vAlign w:val="center"/>
          </w:tcPr>
          <w:p w14:paraId="6EA8074C">
            <w:pPr>
              <w:spacing w:line="360" w:lineRule="exact"/>
              <w:jc w:val="center"/>
              <w:rPr>
                <w:rFonts w:ascii="仿宋" w:hAnsi="仿宋" w:eastAsia="仿宋" w:cs="仿宋"/>
                <w:sz w:val="24"/>
              </w:rPr>
            </w:pPr>
            <w:r>
              <w:rPr>
                <w:rFonts w:hint="eastAsia" w:ascii="仿宋" w:hAnsi="仿宋" w:eastAsia="仿宋" w:cs="仿宋"/>
                <w:sz w:val="24"/>
              </w:rPr>
              <w:t>备注</w:t>
            </w:r>
          </w:p>
        </w:tc>
      </w:tr>
      <w:tr w14:paraId="3A04E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43" w:type="dxa"/>
            <w:vAlign w:val="center"/>
          </w:tcPr>
          <w:p w14:paraId="66E81F97">
            <w:pPr>
              <w:spacing w:line="360" w:lineRule="exact"/>
              <w:jc w:val="center"/>
              <w:rPr>
                <w:rFonts w:ascii="仿宋" w:hAnsi="仿宋" w:eastAsia="仿宋" w:cs="仿宋"/>
                <w:sz w:val="24"/>
              </w:rPr>
            </w:pPr>
          </w:p>
        </w:tc>
        <w:tc>
          <w:tcPr>
            <w:tcW w:w="944" w:type="dxa"/>
            <w:vAlign w:val="center"/>
          </w:tcPr>
          <w:p w14:paraId="36DD99AA">
            <w:pPr>
              <w:spacing w:line="360" w:lineRule="exact"/>
              <w:jc w:val="center"/>
              <w:rPr>
                <w:rFonts w:ascii="仿宋" w:hAnsi="仿宋" w:eastAsia="仿宋" w:cs="仿宋"/>
                <w:sz w:val="24"/>
              </w:rPr>
            </w:pPr>
          </w:p>
        </w:tc>
        <w:tc>
          <w:tcPr>
            <w:tcW w:w="1715" w:type="dxa"/>
            <w:vAlign w:val="center"/>
          </w:tcPr>
          <w:p w14:paraId="6FC1E4EC">
            <w:pPr>
              <w:spacing w:line="360" w:lineRule="exact"/>
              <w:jc w:val="center"/>
              <w:rPr>
                <w:rFonts w:ascii="仿宋" w:hAnsi="仿宋" w:eastAsia="仿宋" w:cs="仿宋"/>
                <w:sz w:val="24"/>
              </w:rPr>
            </w:pPr>
          </w:p>
        </w:tc>
        <w:tc>
          <w:tcPr>
            <w:tcW w:w="1282" w:type="dxa"/>
            <w:vAlign w:val="center"/>
          </w:tcPr>
          <w:p w14:paraId="28BD48FA">
            <w:pPr>
              <w:spacing w:line="360" w:lineRule="exact"/>
              <w:jc w:val="center"/>
              <w:rPr>
                <w:rFonts w:ascii="仿宋" w:hAnsi="仿宋" w:eastAsia="仿宋" w:cs="仿宋"/>
                <w:sz w:val="24"/>
              </w:rPr>
            </w:pPr>
          </w:p>
        </w:tc>
        <w:tc>
          <w:tcPr>
            <w:tcW w:w="2113" w:type="dxa"/>
            <w:vAlign w:val="center"/>
          </w:tcPr>
          <w:p w14:paraId="7C6705AB">
            <w:pPr>
              <w:spacing w:line="360" w:lineRule="exact"/>
              <w:jc w:val="center"/>
              <w:rPr>
                <w:rFonts w:ascii="仿宋" w:hAnsi="仿宋" w:eastAsia="仿宋" w:cs="仿宋"/>
                <w:sz w:val="24"/>
              </w:rPr>
            </w:pPr>
          </w:p>
        </w:tc>
        <w:tc>
          <w:tcPr>
            <w:tcW w:w="1723" w:type="dxa"/>
            <w:vAlign w:val="center"/>
          </w:tcPr>
          <w:p w14:paraId="133DDEBB">
            <w:pPr>
              <w:spacing w:line="360" w:lineRule="exact"/>
              <w:jc w:val="center"/>
              <w:rPr>
                <w:rFonts w:ascii="仿宋" w:hAnsi="仿宋" w:eastAsia="仿宋" w:cs="仿宋"/>
                <w:sz w:val="24"/>
              </w:rPr>
            </w:pPr>
          </w:p>
        </w:tc>
      </w:tr>
      <w:tr w14:paraId="78E83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43" w:type="dxa"/>
            <w:vAlign w:val="center"/>
          </w:tcPr>
          <w:p w14:paraId="39491916">
            <w:pPr>
              <w:spacing w:line="360" w:lineRule="exact"/>
              <w:jc w:val="center"/>
              <w:rPr>
                <w:rFonts w:ascii="仿宋" w:hAnsi="仿宋" w:eastAsia="仿宋" w:cs="仿宋"/>
                <w:sz w:val="24"/>
              </w:rPr>
            </w:pPr>
          </w:p>
        </w:tc>
        <w:tc>
          <w:tcPr>
            <w:tcW w:w="944" w:type="dxa"/>
            <w:vAlign w:val="center"/>
          </w:tcPr>
          <w:p w14:paraId="0B830373">
            <w:pPr>
              <w:spacing w:line="360" w:lineRule="exact"/>
              <w:jc w:val="center"/>
              <w:rPr>
                <w:rFonts w:ascii="仿宋" w:hAnsi="仿宋" w:eastAsia="仿宋" w:cs="仿宋"/>
                <w:sz w:val="24"/>
              </w:rPr>
            </w:pPr>
          </w:p>
        </w:tc>
        <w:tc>
          <w:tcPr>
            <w:tcW w:w="1715" w:type="dxa"/>
            <w:vAlign w:val="center"/>
          </w:tcPr>
          <w:p w14:paraId="67CB426A">
            <w:pPr>
              <w:spacing w:line="360" w:lineRule="exact"/>
              <w:jc w:val="center"/>
              <w:rPr>
                <w:rFonts w:ascii="仿宋" w:hAnsi="仿宋" w:eastAsia="仿宋" w:cs="仿宋"/>
                <w:sz w:val="24"/>
              </w:rPr>
            </w:pPr>
          </w:p>
        </w:tc>
        <w:tc>
          <w:tcPr>
            <w:tcW w:w="1282" w:type="dxa"/>
            <w:vAlign w:val="center"/>
          </w:tcPr>
          <w:p w14:paraId="36B9E86C">
            <w:pPr>
              <w:spacing w:line="360" w:lineRule="exact"/>
              <w:jc w:val="center"/>
              <w:rPr>
                <w:rFonts w:ascii="仿宋" w:hAnsi="仿宋" w:eastAsia="仿宋" w:cs="仿宋"/>
                <w:sz w:val="24"/>
              </w:rPr>
            </w:pPr>
          </w:p>
        </w:tc>
        <w:tc>
          <w:tcPr>
            <w:tcW w:w="2113" w:type="dxa"/>
            <w:vAlign w:val="center"/>
          </w:tcPr>
          <w:p w14:paraId="3101D11A">
            <w:pPr>
              <w:spacing w:line="360" w:lineRule="exact"/>
              <w:jc w:val="center"/>
              <w:rPr>
                <w:rFonts w:ascii="仿宋" w:hAnsi="仿宋" w:eastAsia="仿宋" w:cs="仿宋"/>
                <w:sz w:val="24"/>
              </w:rPr>
            </w:pPr>
          </w:p>
        </w:tc>
        <w:tc>
          <w:tcPr>
            <w:tcW w:w="1723" w:type="dxa"/>
            <w:vAlign w:val="center"/>
          </w:tcPr>
          <w:p w14:paraId="096600B7">
            <w:pPr>
              <w:spacing w:line="360" w:lineRule="exact"/>
              <w:jc w:val="center"/>
              <w:rPr>
                <w:rFonts w:ascii="仿宋" w:hAnsi="仿宋" w:eastAsia="仿宋" w:cs="仿宋"/>
                <w:sz w:val="24"/>
              </w:rPr>
            </w:pPr>
          </w:p>
        </w:tc>
      </w:tr>
      <w:tr w14:paraId="5972E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43" w:type="dxa"/>
            <w:vAlign w:val="center"/>
          </w:tcPr>
          <w:p w14:paraId="52C0D2E3">
            <w:pPr>
              <w:spacing w:line="360" w:lineRule="exact"/>
              <w:jc w:val="center"/>
              <w:rPr>
                <w:rFonts w:ascii="仿宋" w:hAnsi="仿宋" w:eastAsia="仿宋" w:cs="仿宋"/>
                <w:sz w:val="24"/>
              </w:rPr>
            </w:pPr>
          </w:p>
        </w:tc>
        <w:tc>
          <w:tcPr>
            <w:tcW w:w="944" w:type="dxa"/>
            <w:vAlign w:val="center"/>
          </w:tcPr>
          <w:p w14:paraId="3BD8F250">
            <w:pPr>
              <w:spacing w:line="360" w:lineRule="exact"/>
              <w:jc w:val="center"/>
              <w:rPr>
                <w:rFonts w:ascii="仿宋" w:hAnsi="仿宋" w:eastAsia="仿宋" w:cs="仿宋"/>
                <w:sz w:val="24"/>
              </w:rPr>
            </w:pPr>
          </w:p>
        </w:tc>
        <w:tc>
          <w:tcPr>
            <w:tcW w:w="1715" w:type="dxa"/>
            <w:vAlign w:val="center"/>
          </w:tcPr>
          <w:p w14:paraId="71750B98">
            <w:pPr>
              <w:spacing w:line="360" w:lineRule="exact"/>
              <w:jc w:val="center"/>
              <w:rPr>
                <w:rFonts w:ascii="仿宋" w:hAnsi="仿宋" w:eastAsia="仿宋" w:cs="仿宋"/>
                <w:sz w:val="24"/>
              </w:rPr>
            </w:pPr>
          </w:p>
        </w:tc>
        <w:tc>
          <w:tcPr>
            <w:tcW w:w="1282" w:type="dxa"/>
            <w:vAlign w:val="center"/>
          </w:tcPr>
          <w:p w14:paraId="0D5C85E1">
            <w:pPr>
              <w:spacing w:line="360" w:lineRule="exact"/>
              <w:jc w:val="center"/>
              <w:rPr>
                <w:rFonts w:ascii="仿宋" w:hAnsi="仿宋" w:eastAsia="仿宋" w:cs="仿宋"/>
                <w:sz w:val="24"/>
              </w:rPr>
            </w:pPr>
          </w:p>
        </w:tc>
        <w:tc>
          <w:tcPr>
            <w:tcW w:w="2113" w:type="dxa"/>
            <w:vAlign w:val="center"/>
          </w:tcPr>
          <w:p w14:paraId="259C5B2C">
            <w:pPr>
              <w:spacing w:line="360" w:lineRule="exact"/>
              <w:jc w:val="center"/>
              <w:rPr>
                <w:rFonts w:ascii="仿宋" w:hAnsi="仿宋" w:eastAsia="仿宋" w:cs="仿宋"/>
                <w:sz w:val="24"/>
              </w:rPr>
            </w:pPr>
          </w:p>
        </w:tc>
        <w:tc>
          <w:tcPr>
            <w:tcW w:w="1723" w:type="dxa"/>
            <w:vAlign w:val="center"/>
          </w:tcPr>
          <w:p w14:paraId="164D2FCE">
            <w:pPr>
              <w:spacing w:line="360" w:lineRule="exact"/>
              <w:jc w:val="center"/>
              <w:rPr>
                <w:rFonts w:ascii="仿宋" w:hAnsi="仿宋" w:eastAsia="仿宋" w:cs="仿宋"/>
                <w:sz w:val="24"/>
              </w:rPr>
            </w:pPr>
          </w:p>
        </w:tc>
      </w:tr>
      <w:tr w14:paraId="11C7E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43" w:type="dxa"/>
            <w:vAlign w:val="center"/>
          </w:tcPr>
          <w:p w14:paraId="1044DD29">
            <w:pPr>
              <w:spacing w:line="360" w:lineRule="exact"/>
              <w:jc w:val="center"/>
              <w:rPr>
                <w:rFonts w:ascii="仿宋" w:hAnsi="仿宋" w:eastAsia="仿宋" w:cs="仿宋"/>
                <w:sz w:val="24"/>
              </w:rPr>
            </w:pPr>
          </w:p>
        </w:tc>
        <w:tc>
          <w:tcPr>
            <w:tcW w:w="944" w:type="dxa"/>
            <w:vAlign w:val="center"/>
          </w:tcPr>
          <w:p w14:paraId="713B6690">
            <w:pPr>
              <w:spacing w:line="360" w:lineRule="exact"/>
              <w:jc w:val="center"/>
              <w:rPr>
                <w:rFonts w:ascii="仿宋" w:hAnsi="仿宋" w:eastAsia="仿宋" w:cs="仿宋"/>
                <w:sz w:val="24"/>
              </w:rPr>
            </w:pPr>
          </w:p>
        </w:tc>
        <w:tc>
          <w:tcPr>
            <w:tcW w:w="1715" w:type="dxa"/>
            <w:vAlign w:val="center"/>
          </w:tcPr>
          <w:p w14:paraId="4EF5EA69">
            <w:pPr>
              <w:spacing w:line="360" w:lineRule="exact"/>
              <w:jc w:val="center"/>
              <w:rPr>
                <w:rFonts w:ascii="仿宋" w:hAnsi="仿宋" w:eastAsia="仿宋" w:cs="仿宋"/>
                <w:sz w:val="24"/>
              </w:rPr>
            </w:pPr>
          </w:p>
        </w:tc>
        <w:tc>
          <w:tcPr>
            <w:tcW w:w="1282" w:type="dxa"/>
            <w:vAlign w:val="center"/>
          </w:tcPr>
          <w:p w14:paraId="60D15B21">
            <w:pPr>
              <w:spacing w:line="360" w:lineRule="exact"/>
              <w:jc w:val="center"/>
              <w:rPr>
                <w:rFonts w:ascii="仿宋" w:hAnsi="仿宋" w:eastAsia="仿宋" w:cs="仿宋"/>
                <w:sz w:val="24"/>
              </w:rPr>
            </w:pPr>
          </w:p>
        </w:tc>
        <w:tc>
          <w:tcPr>
            <w:tcW w:w="2113" w:type="dxa"/>
            <w:vAlign w:val="center"/>
          </w:tcPr>
          <w:p w14:paraId="78C1ED12">
            <w:pPr>
              <w:spacing w:line="360" w:lineRule="exact"/>
              <w:jc w:val="center"/>
              <w:rPr>
                <w:rFonts w:ascii="仿宋" w:hAnsi="仿宋" w:eastAsia="仿宋" w:cs="仿宋"/>
                <w:sz w:val="24"/>
              </w:rPr>
            </w:pPr>
          </w:p>
        </w:tc>
        <w:tc>
          <w:tcPr>
            <w:tcW w:w="1723" w:type="dxa"/>
            <w:vAlign w:val="center"/>
          </w:tcPr>
          <w:p w14:paraId="3F6BD3C1">
            <w:pPr>
              <w:spacing w:line="360" w:lineRule="exact"/>
              <w:jc w:val="center"/>
              <w:rPr>
                <w:rFonts w:ascii="仿宋" w:hAnsi="仿宋" w:eastAsia="仿宋" w:cs="仿宋"/>
                <w:sz w:val="24"/>
              </w:rPr>
            </w:pPr>
          </w:p>
        </w:tc>
      </w:tr>
      <w:tr w14:paraId="63441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43" w:type="dxa"/>
            <w:vAlign w:val="center"/>
          </w:tcPr>
          <w:p w14:paraId="5C931666">
            <w:pPr>
              <w:spacing w:line="360" w:lineRule="exact"/>
              <w:jc w:val="center"/>
              <w:rPr>
                <w:rFonts w:ascii="仿宋" w:hAnsi="仿宋" w:eastAsia="仿宋" w:cs="仿宋"/>
                <w:sz w:val="24"/>
              </w:rPr>
            </w:pPr>
          </w:p>
        </w:tc>
        <w:tc>
          <w:tcPr>
            <w:tcW w:w="944" w:type="dxa"/>
            <w:vAlign w:val="center"/>
          </w:tcPr>
          <w:p w14:paraId="39CC39AE">
            <w:pPr>
              <w:spacing w:line="360" w:lineRule="exact"/>
              <w:jc w:val="center"/>
              <w:rPr>
                <w:rFonts w:ascii="仿宋" w:hAnsi="仿宋" w:eastAsia="仿宋" w:cs="仿宋"/>
                <w:sz w:val="24"/>
              </w:rPr>
            </w:pPr>
          </w:p>
        </w:tc>
        <w:tc>
          <w:tcPr>
            <w:tcW w:w="1715" w:type="dxa"/>
            <w:vAlign w:val="center"/>
          </w:tcPr>
          <w:p w14:paraId="38A0C219">
            <w:pPr>
              <w:spacing w:line="360" w:lineRule="exact"/>
              <w:jc w:val="center"/>
              <w:rPr>
                <w:rFonts w:ascii="仿宋" w:hAnsi="仿宋" w:eastAsia="仿宋" w:cs="仿宋"/>
                <w:sz w:val="24"/>
              </w:rPr>
            </w:pPr>
          </w:p>
        </w:tc>
        <w:tc>
          <w:tcPr>
            <w:tcW w:w="1282" w:type="dxa"/>
            <w:vAlign w:val="center"/>
          </w:tcPr>
          <w:p w14:paraId="5C7DE849">
            <w:pPr>
              <w:spacing w:line="360" w:lineRule="exact"/>
              <w:jc w:val="center"/>
              <w:rPr>
                <w:rFonts w:ascii="仿宋" w:hAnsi="仿宋" w:eastAsia="仿宋" w:cs="仿宋"/>
                <w:sz w:val="24"/>
              </w:rPr>
            </w:pPr>
          </w:p>
        </w:tc>
        <w:tc>
          <w:tcPr>
            <w:tcW w:w="2113" w:type="dxa"/>
            <w:vAlign w:val="center"/>
          </w:tcPr>
          <w:p w14:paraId="3D0B6380">
            <w:pPr>
              <w:spacing w:line="360" w:lineRule="exact"/>
              <w:jc w:val="center"/>
              <w:rPr>
                <w:rFonts w:ascii="仿宋" w:hAnsi="仿宋" w:eastAsia="仿宋" w:cs="仿宋"/>
                <w:sz w:val="24"/>
              </w:rPr>
            </w:pPr>
          </w:p>
        </w:tc>
        <w:tc>
          <w:tcPr>
            <w:tcW w:w="1723" w:type="dxa"/>
            <w:vAlign w:val="center"/>
          </w:tcPr>
          <w:p w14:paraId="52A67595">
            <w:pPr>
              <w:spacing w:line="360" w:lineRule="exact"/>
              <w:jc w:val="center"/>
              <w:rPr>
                <w:rFonts w:ascii="仿宋" w:hAnsi="仿宋" w:eastAsia="仿宋" w:cs="仿宋"/>
                <w:sz w:val="24"/>
              </w:rPr>
            </w:pPr>
          </w:p>
        </w:tc>
      </w:tr>
      <w:tr w14:paraId="098EB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43" w:type="dxa"/>
            <w:vAlign w:val="center"/>
          </w:tcPr>
          <w:p w14:paraId="3B168CF5">
            <w:pPr>
              <w:spacing w:line="360" w:lineRule="exact"/>
              <w:jc w:val="center"/>
              <w:rPr>
                <w:rFonts w:ascii="仿宋" w:hAnsi="仿宋" w:eastAsia="仿宋" w:cs="仿宋"/>
                <w:sz w:val="24"/>
              </w:rPr>
            </w:pPr>
          </w:p>
        </w:tc>
        <w:tc>
          <w:tcPr>
            <w:tcW w:w="944" w:type="dxa"/>
            <w:vAlign w:val="center"/>
          </w:tcPr>
          <w:p w14:paraId="573A9374">
            <w:pPr>
              <w:spacing w:line="360" w:lineRule="exact"/>
              <w:jc w:val="center"/>
              <w:rPr>
                <w:rFonts w:ascii="仿宋" w:hAnsi="仿宋" w:eastAsia="仿宋" w:cs="仿宋"/>
                <w:sz w:val="24"/>
              </w:rPr>
            </w:pPr>
          </w:p>
        </w:tc>
        <w:tc>
          <w:tcPr>
            <w:tcW w:w="1715" w:type="dxa"/>
            <w:vAlign w:val="center"/>
          </w:tcPr>
          <w:p w14:paraId="70A9477B">
            <w:pPr>
              <w:spacing w:line="360" w:lineRule="exact"/>
              <w:jc w:val="center"/>
              <w:rPr>
                <w:rFonts w:ascii="仿宋" w:hAnsi="仿宋" w:eastAsia="仿宋" w:cs="仿宋"/>
                <w:sz w:val="24"/>
              </w:rPr>
            </w:pPr>
          </w:p>
        </w:tc>
        <w:tc>
          <w:tcPr>
            <w:tcW w:w="1282" w:type="dxa"/>
            <w:vAlign w:val="center"/>
          </w:tcPr>
          <w:p w14:paraId="199F1A62">
            <w:pPr>
              <w:spacing w:line="360" w:lineRule="exact"/>
              <w:jc w:val="center"/>
              <w:rPr>
                <w:rFonts w:ascii="仿宋" w:hAnsi="仿宋" w:eastAsia="仿宋" w:cs="仿宋"/>
                <w:sz w:val="24"/>
              </w:rPr>
            </w:pPr>
          </w:p>
        </w:tc>
        <w:tc>
          <w:tcPr>
            <w:tcW w:w="2113" w:type="dxa"/>
            <w:vAlign w:val="center"/>
          </w:tcPr>
          <w:p w14:paraId="31B122A5">
            <w:pPr>
              <w:spacing w:line="360" w:lineRule="exact"/>
              <w:jc w:val="center"/>
              <w:rPr>
                <w:rFonts w:ascii="仿宋" w:hAnsi="仿宋" w:eastAsia="仿宋" w:cs="仿宋"/>
                <w:sz w:val="24"/>
              </w:rPr>
            </w:pPr>
          </w:p>
        </w:tc>
        <w:tc>
          <w:tcPr>
            <w:tcW w:w="1723" w:type="dxa"/>
            <w:vAlign w:val="center"/>
          </w:tcPr>
          <w:p w14:paraId="48BA79F0">
            <w:pPr>
              <w:spacing w:line="360" w:lineRule="exact"/>
              <w:jc w:val="center"/>
              <w:rPr>
                <w:rFonts w:ascii="仿宋" w:hAnsi="仿宋" w:eastAsia="仿宋" w:cs="仿宋"/>
                <w:sz w:val="24"/>
              </w:rPr>
            </w:pPr>
          </w:p>
        </w:tc>
      </w:tr>
      <w:tr w14:paraId="53C1F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43" w:type="dxa"/>
            <w:vAlign w:val="center"/>
          </w:tcPr>
          <w:p w14:paraId="71EFB8C4">
            <w:pPr>
              <w:spacing w:line="360" w:lineRule="exact"/>
              <w:jc w:val="center"/>
              <w:rPr>
                <w:rFonts w:ascii="仿宋" w:hAnsi="仿宋" w:eastAsia="仿宋" w:cs="仿宋"/>
                <w:sz w:val="24"/>
              </w:rPr>
            </w:pPr>
          </w:p>
        </w:tc>
        <w:tc>
          <w:tcPr>
            <w:tcW w:w="944" w:type="dxa"/>
            <w:vAlign w:val="center"/>
          </w:tcPr>
          <w:p w14:paraId="0929F7C3">
            <w:pPr>
              <w:spacing w:line="360" w:lineRule="exact"/>
              <w:jc w:val="center"/>
              <w:rPr>
                <w:rFonts w:ascii="仿宋" w:hAnsi="仿宋" w:eastAsia="仿宋" w:cs="仿宋"/>
                <w:sz w:val="24"/>
              </w:rPr>
            </w:pPr>
          </w:p>
        </w:tc>
        <w:tc>
          <w:tcPr>
            <w:tcW w:w="1715" w:type="dxa"/>
            <w:vAlign w:val="center"/>
          </w:tcPr>
          <w:p w14:paraId="6E51E3A4">
            <w:pPr>
              <w:spacing w:line="360" w:lineRule="exact"/>
              <w:jc w:val="center"/>
              <w:rPr>
                <w:rFonts w:ascii="仿宋" w:hAnsi="仿宋" w:eastAsia="仿宋" w:cs="仿宋"/>
                <w:sz w:val="24"/>
              </w:rPr>
            </w:pPr>
          </w:p>
        </w:tc>
        <w:tc>
          <w:tcPr>
            <w:tcW w:w="1282" w:type="dxa"/>
            <w:vAlign w:val="center"/>
          </w:tcPr>
          <w:p w14:paraId="4E421DC9">
            <w:pPr>
              <w:spacing w:line="360" w:lineRule="exact"/>
              <w:jc w:val="center"/>
              <w:rPr>
                <w:rFonts w:ascii="仿宋" w:hAnsi="仿宋" w:eastAsia="仿宋" w:cs="仿宋"/>
                <w:sz w:val="24"/>
              </w:rPr>
            </w:pPr>
          </w:p>
        </w:tc>
        <w:tc>
          <w:tcPr>
            <w:tcW w:w="2113" w:type="dxa"/>
            <w:vAlign w:val="center"/>
          </w:tcPr>
          <w:p w14:paraId="298BA048">
            <w:pPr>
              <w:spacing w:line="360" w:lineRule="exact"/>
              <w:jc w:val="center"/>
              <w:rPr>
                <w:rFonts w:ascii="仿宋" w:hAnsi="仿宋" w:eastAsia="仿宋" w:cs="仿宋"/>
                <w:sz w:val="24"/>
              </w:rPr>
            </w:pPr>
          </w:p>
        </w:tc>
        <w:tc>
          <w:tcPr>
            <w:tcW w:w="1723" w:type="dxa"/>
            <w:vAlign w:val="center"/>
          </w:tcPr>
          <w:p w14:paraId="34EC6395">
            <w:pPr>
              <w:spacing w:line="360" w:lineRule="exact"/>
              <w:jc w:val="center"/>
              <w:rPr>
                <w:rFonts w:ascii="仿宋" w:hAnsi="仿宋" w:eastAsia="仿宋" w:cs="仿宋"/>
                <w:sz w:val="24"/>
              </w:rPr>
            </w:pPr>
          </w:p>
        </w:tc>
      </w:tr>
      <w:tr w14:paraId="256EB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43" w:type="dxa"/>
            <w:vAlign w:val="center"/>
          </w:tcPr>
          <w:p w14:paraId="0B635354">
            <w:pPr>
              <w:spacing w:line="360" w:lineRule="exact"/>
              <w:jc w:val="center"/>
              <w:rPr>
                <w:rFonts w:ascii="仿宋" w:hAnsi="仿宋" w:eastAsia="仿宋" w:cs="仿宋"/>
                <w:sz w:val="24"/>
              </w:rPr>
            </w:pPr>
          </w:p>
        </w:tc>
        <w:tc>
          <w:tcPr>
            <w:tcW w:w="944" w:type="dxa"/>
            <w:vAlign w:val="center"/>
          </w:tcPr>
          <w:p w14:paraId="319C0CB6">
            <w:pPr>
              <w:spacing w:line="360" w:lineRule="exact"/>
              <w:jc w:val="center"/>
              <w:rPr>
                <w:rFonts w:ascii="仿宋" w:hAnsi="仿宋" w:eastAsia="仿宋" w:cs="仿宋"/>
                <w:sz w:val="24"/>
              </w:rPr>
            </w:pPr>
          </w:p>
        </w:tc>
        <w:tc>
          <w:tcPr>
            <w:tcW w:w="1715" w:type="dxa"/>
            <w:vAlign w:val="center"/>
          </w:tcPr>
          <w:p w14:paraId="623FC535">
            <w:pPr>
              <w:spacing w:line="360" w:lineRule="exact"/>
              <w:jc w:val="center"/>
              <w:rPr>
                <w:rFonts w:ascii="仿宋" w:hAnsi="仿宋" w:eastAsia="仿宋" w:cs="仿宋"/>
                <w:sz w:val="24"/>
              </w:rPr>
            </w:pPr>
          </w:p>
        </w:tc>
        <w:tc>
          <w:tcPr>
            <w:tcW w:w="1282" w:type="dxa"/>
            <w:vAlign w:val="center"/>
          </w:tcPr>
          <w:p w14:paraId="0CA1F47E">
            <w:pPr>
              <w:spacing w:line="360" w:lineRule="exact"/>
              <w:jc w:val="center"/>
              <w:rPr>
                <w:rFonts w:ascii="仿宋" w:hAnsi="仿宋" w:eastAsia="仿宋" w:cs="仿宋"/>
                <w:sz w:val="24"/>
              </w:rPr>
            </w:pPr>
          </w:p>
        </w:tc>
        <w:tc>
          <w:tcPr>
            <w:tcW w:w="2113" w:type="dxa"/>
            <w:vAlign w:val="center"/>
          </w:tcPr>
          <w:p w14:paraId="4E4EBD41">
            <w:pPr>
              <w:spacing w:line="360" w:lineRule="exact"/>
              <w:jc w:val="center"/>
              <w:rPr>
                <w:rFonts w:ascii="仿宋" w:hAnsi="仿宋" w:eastAsia="仿宋" w:cs="仿宋"/>
                <w:sz w:val="24"/>
              </w:rPr>
            </w:pPr>
          </w:p>
        </w:tc>
        <w:tc>
          <w:tcPr>
            <w:tcW w:w="1723" w:type="dxa"/>
            <w:vAlign w:val="center"/>
          </w:tcPr>
          <w:p w14:paraId="66FB1811">
            <w:pPr>
              <w:spacing w:line="360" w:lineRule="exact"/>
              <w:jc w:val="center"/>
              <w:rPr>
                <w:rFonts w:ascii="仿宋" w:hAnsi="仿宋" w:eastAsia="仿宋" w:cs="仿宋"/>
                <w:sz w:val="24"/>
              </w:rPr>
            </w:pPr>
          </w:p>
        </w:tc>
      </w:tr>
      <w:tr w14:paraId="75274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43" w:type="dxa"/>
            <w:vAlign w:val="center"/>
          </w:tcPr>
          <w:p w14:paraId="18F17056">
            <w:pPr>
              <w:spacing w:line="360" w:lineRule="exact"/>
              <w:jc w:val="center"/>
              <w:rPr>
                <w:rFonts w:ascii="仿宋" w:hAnsi="仿宋" w:eastAsia="仿宋" w:cs="仿宋"/>
                <w:sz w:val="24"/>
              </w:rPr>
            </w:pPr>
          </w:p>
        </w:tc>
        <w:tc>
          <w:tcPr>
            <w:tcW w:w="944" w:type="dxa"/>
            <w:vAlign w:val="center"/>
          </w:tcPr>
          <w:p w14:paraId="1C242333">
            <w:pPr>
              <w:spacing w:line="360" w:lineRule="exact"/>
              <w:jc w:val="center"/>
              <w:rPr>
                <w:rFonts w:ascii="仿宋" w:hAnsi="仿宋" w:eastAsia="仿宋" w:cs="仿宋"/>
                <w:sz w:val="24"/>
              </w:rPr>
            </w:pPr>
          </w:p>
        </w:tc>
        <w:tc>
          <w:tcPr>
            <w:tcW w:w="1715" w:type="dxa"/>
            <w:vAlign w:val="center"/>
          </w:tcPr>
          <w:p w14:paraId="67F5D015">
            <w:pPr>
              <w:spacing w:line="360" w:lineRule="exact"/>
              <w:jc w:val="center"/>
              <w:rPr>
                <w:rFonts w:ascii="仿宋" w:hAnsi="仿宋" w:eastAsia="仿宋" w:cs="仿宋"/>
                <w:sz w:val="24"/>
              </w:rPr>
            </w:pPr>
          </w:p>
        </w:tc>
        <w:tc>
          <w:tcPr>
            <w:tcW w:w="1282" w:type="dxa"/>
            <w:vAlign w:val="center"/>
          </w:tcPr>
          <w:p w14:paraId="3243A416">
            <w:pPr>
              <w:spacing w:line="360" w:lineRule="exact"/>
              <w:jc w:val="center"/>
              <w:rPr>
                <w:rFonts w:ascii="仿宋" w:hAnsi="仿宋" w:eastAsia="仿宋" w:cs="仿宋"/>
                <w:sz w:val="24"/>
              </w:rPr>
            </w:pPr>
          </w:p>
        </w:tc>
        <w:tc>
          <w:tcPr>
            <w:tcW w:w="2113" w:type="dxa"/>
            <w:vAlign w:val="center"/>
          </w:tcPr>
          <w:p w14:paraId="3C10197C">
            <w:pPr>
              <w:spacing w:line="360" w:lineRule="exact"/>
              <w:jc w:val="center"/>
              <w:rPr>
                <w:rFonts w:ascii="仿宋" w:hAnsi="仿宋" w:eastAsia="仿宋" w:cs="仿宋"/>
                <w:sz w:val="24"/>
              </w:rPr>
            </w:pPr>
          </w:p>
        </w:tc>
        <w:tc>
          <w:tcPr>
            <w:tcW w:w="1723" w:type="dxa"/>
            <w:vAlign w:val="center"/>
          </w:tcPr>
          <w:p w14:paraId="5AF0600C">
            <w:pPr>
              <w:spacing w:line="360" w:lineRule="exact"/>
              <w:jc w:val="center"/>
              <w:rPr>
                <w:rFonts w:ascii="仿宋" w:hAnsi="仿宋" w:eastAsia="仿宋" w:cs="仿宋"/>
                <w:sz w:val="24"/>
              </w:rPr>
            </w:pPr>
          </w:p>
        </w:tc>
      </w:tr>
      <w:tr w14:paraId="25B13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43" w:type="dxa"/>
            <w:vAlign w:val="center"/>
          </w:tcPr>
          <w:p w14:paraId="2FE4BDE7">
            <w:pPr>
              <w:spacing w:line="360" w:lineRule="exact"/>
              <w:jc w:val="center"/>
              <w:rPr>
                <w:rFonts w:ascii="仿宋" w:hAnsi="仿宋" w:eastAsia="仿宋" w:cs="仿宋"/>
                <w:sz w:val="24"/>
              </w:rPr>
            </w:pPr>
          </w:p>
        </w:tc>
        <w:tc>
          <w:tcPr>
            <w:tcW w:w="944" w:type="dxa"/>
            <w:vAlign w:val="center"/>
          </w:tcPr>
          <w:p w14:paraId="485AA19B">
            <w:pPr>
              <w:spacing w:line="360" w:lineRule="exact"/>
              <w:jc w:val="center"/>
              <w:rPr>
                <w:rFonts w:ascii="仿宋" w:hAnsi="仿宋" w:eastAsia="仿宋" w:cs="仿宋"/>
                <w:sz w:val="24"/>
              </w:rPr>
            </w:pPr>
          </w:p>
        </w:tc>
        <w:tc>
          <w:tcPr>
            <w:tcW w:w="1715" w:type="dxa"/>
            <w:vAlign w:val="center"/>
          </w:tcPr>
          <w:p w14:paraId="3EB76BA8">
            <w:pPr>
              <w:spacing w:line="360" w:lineRule="exact"/>
              <w:jc w:val="center"/>
              <w:rPr>
                <w:rFonts w:ascii="仿宋" w:hAnsi="仿宋" w:eastAsia="仿宋" w:cs="仿宋"/>
                <w:sz w:val="24"/>
              </w:rPr>
            </w:pPr>
          </w:p>
        </w:tc>
        <w:tc>
          <w:tcPr>
            <w:tcW w:w="1282" w:type="dxa"/>
            <w:vAlign w:val="center"/>
          </w:tcPr>
          <w:p w14:paraId="42BAEC87">
            <w:pPr>
              <w:spacing w:line="360" w:lineRule="exact"/>
              <w:jc w:val="center"/>
              <w:rPr>
                <w:rFonts w:ascii="仿宋" w:hAnsi="仿宋" w:eastAsia="仿宋" w:cs="仿宋"/>
                <w:sz w:val="24"/>
              </w:rPr>
            </w:pPr>
          </w:p>
        </w:tc>
        <w:tc>
          <w:tcPr>
            <w:tcW w:w="2113" w:type="dxa"/>
            <w:vAlign w:val="center"/>
          </w:tcPr>
          <w:p w14:paraId="1B82FA1C">
            <w:pPr>
              <w:spacing w:line="360" w:lineRule="exact"/>
              <w:jc w:val="center"/>
              <w:rPr>
                <w:rFonts w:ascii="仿宋" w:hAnsi="仿宋" w:eastAsia="仿宋" w:cs="仿宋"/>
                <w:sz w:val="24"/>
              </w:rPr>
            </w:pPr>
          </w:p>
        </w:tc>
        <w:tc>
          <w:tcPr>
            <w:tcW w:w="1723" w:type="dxa"/>
            <w:vAlign w:val="center"/>
          </w:tcPr>
          <w:p w14:paraId="165FE596">
            <w:pPr>
              <w:spacing w:line="360" w:lineRule="exact"/>
              <w:jc w:val="center"/>
              <w:rPr>
                <w:rFonts w:ascii="仿宋" w:hAnsi="仿宋" w:eastAsia="仿宋" w:cs="仿宋"/>
                <w:sz w:val="24"/>
              </w:rPr>
            </w:pPr>
          </w:p>
        </w:tc>
      </w:tr>
      <w:tr w14:paraId="76401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43" w:type="dxa"/>
            <w:vAlign w:val="center"/>
          </w:tcPr>
          <w:p w14:paraId="7281B919">
            <w:pPr>
              <w:spacing w:line="360" w:lineRule="exact"/>
              <w:jc w:val="center"/>
              <w:rPr>
                <w:rFonts w:ascii="仿宋" w:hAnsi="仿宋" w:eastAsia="仿宋" w:cs="仿宋"/>
                <w:sz w:val="24"/>
              </w:rPr>
            </w:pPr>
          </w:p>
        </w:tc>
        <w:tc>
          <w:tcPr>
            <w:tcW w:w="944" w:type="dxa"/>
            <w:vAlign w:val="center"/>
          </w:tcPr>
          <w:p w14:paraId="1D797F41">
            <w:pPr>
              <w:spacing w:line="360" w:lineRule="exact"/>
              <w:jc w:val="center"/>
              <w:rPr>
                <w:rFonts w:ascii="仿宋" w:hAnsi="仿宋" w:eastAsia="仿宋" w:cs="仿宋"/>
                <w:sz w:val="24"/>
              </w:rPr>
            </w:pPr>
          </w:p>
        </w:tc>
        <w:tc>
          <w:tcPr>
            <w:tcW w:w="1715" w:type="dxa"/>
            <w:vAlign w:val="center"/>
          </w:tcPr>
          <w:p w14:paraId="492AB49D">
            <w:pPr>
              <w:spacing w:line="360" w:lineRule="exact"/>
              <w:jc w:val="center"/>
              <w:rPr>
                <w:rFonts w:ascii="仿宋" w:hAnsi="仿宋" w:eastAsia="仿宋" w:cs="仿宋"/>
                <w:sz w:val="24"/>
              </w:rPr>
            </w:pPr>
          </w:p>
        </w:tc>
        <w:tc>
          <w:tcPr>
            <w:tcW w:w="1282" w:type="dxa"/>
            <w:vAlign w:val="center"/>
          </w:tcPr>
          <w:p w14:paraId="0C6CD236">
            <w:pPr>
              <w:spacing w:line="360" w:lineRule="exact"/>
              <w:jc w:val="center"/>
              <w:rPr>
                <w:rFonts w:ascii="仿宋" w:hAnsi="仿宋" w:eastAsia="仿宋" w:cs="仿宋"/>
                <w:sz w:val="24"/>
              </w:rPr>
            </w:pPr>
          </w:p>
        </w:tc>
        <w:tc>
          <w:tcPr>
            <w:tcW w:w="2113" w:type="dxa"/>
            <w:vAlign w:val="center"/>
          </w:tcPr>
          <w:p w14:paraId="1F01108A">
            <w:pPr>
              <w:spacing w:line="360" w:lineRule="exact"/>
              <w:jc w:val="center"/>
              <w:rPr>
                <w:rFonts w:ascii="仿宋" w:hAnsi="仿宋" w:eastAsia="仿宋" w:cs="仿宋"/>
                <w:sz w:val="24"/>
              </w:rPr>
            </w:pPr>
          </w:p>
        </w:tc>
        <w:tc>
          <w:tcPr>
            <w:tcW w:w="1723" w:type="dxa"/>
            <w:vAlign w:val="center"/>
          </w:tcPr>
          <w:p w14:paraId="1AA5841F">
            <w:pPr>
              <w:spacing w:line="360" w:lineRule="exact"/>
              <w:jc w:val="center"/>
              <w:rPr>
                <w:rFonts w:ascii="仿宋" w:hAnsi="仿宋" w:eastAsia="仿宋" w:cs="仿宋"/>
                <w:sz w:val="24"/>
              </w:rPr>
            </w:pPr>
          </w:p>
        </w:tc>
      </w:tr>
      <w:tr w14:paraId="43777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43" w:type="dxa"/>
            <w:vAlign w:val="center"/>
          </w:tcPr>
          <w:p w14:paraId="331B93D7">
            <w:pPr>
              <w:spacing w:line="360" w:lineRule="exact"/>
              <w:jc w:val="center"/>
              <w:rPr>
                <w:rFonts w:ascii="仿宋" w:hAnsi="仿宋" w:eastAsia="仿宋" w:cs="仿宋"/>
                <w:sz w:val="24"/>
              </w:rPr>
            </w:pPr>
          </w:p>
        </w:tc>
        <w:tc>
          <w:tcPr>
            <w:tcW w:w="944" w:type="dxa"/>
            <w:vAlign w:val="center"/>
          </w:tcPr>
          <w:p w14:paraId="48FBB6EA">
            <w:pPr>
              <w:spacing w:line="360" w:lineRule="exact"/>
              <w:jc w:val="center"/>
              <w:rPr>
                <w:rFonts w:ascii="仿宋" w:hAnsi="仿宋" w:eastAsia="仿宋" w:cs="仿宋"/>
                <w:sz w:val="24"/>
              </w:rPr>
            </w:pPr>
          </w:p>
        </w:tc>
        <w:tc>
          <w:tcPr>
            <w:tcW w:w="1715" w:type="dxa"/>
            <w:vAlign w:val="center"/>
          </w:tcPr>
          <w:p w14:paraId="53A2E654">
            <w:pPr>
              <w:spacing w:line="360" w:lineRule="exact"/>
              <w:jc w:val="center"/>
              <w:rPr>
                <w:rFonts w:ascii="仿宋" w:hAnsi="仿宋" w:eastAsia="仿宋" w:cs="仿宋"/>
                <w:sz w:val="24"/>
              </w:rPr>
            </w:pPr>
          </w:p>
        </w:tc>
        <w:tc>
          <w:tcPr>
            <w:tcW w:w="1282" w:type="dxa"/>
            <w:vAlign w:val="center"/>
          </w:tcPr>
          <w:p w14:paraId="4EB4C08F">
            <w:pPr>
              <w:spacing w:line="360" w:lineRule="exact"/>
              <w:jc w:val="center"/>
              <w:rPr>
                <w:rFonts w:ascii="仿宋" w:hAnsi="仿宋" w:eastAsia="仿宋" w:cs="仿宋"/>
                <w:sz w:val="24"/>
              </w:rPr>
            </w:pPr>
          </w:p>
        </w:tc>
        <w:tc>
          <w:tcPr>
            <w:tcW w:w="2113" w:type="dxa"/>
            <w:vAlign w:val="center"/>
          </w:tcPr>
          <w:p w14:paraId="175AE0D1">
            <w:pPr>
              <w:spacing w:line="360" w:lineRule="exact"/>
              <w:jc w:val="center"/>
              <w:rPr>
                <w:rFonts w:ascii="仿宋" w:hAnsi="仿宋" w:eastAsia="仿宋" w:cs="仿宋"/>
                <w:sz w:val="24"/>
              </w:rPr>
            </w:pPr>
          </w:p>
        </w:tc>
        <w:tc>
          <w:tcPr>
            <w:tcW w:w="1723" w:type="dxa"/>
            <w:vAlign w:val="center"/>
          </w:tcPr>
          <w:p w14:paraId="1E76CD17">
            <w:pPr>
              <w:spacing w:line="360" w:lineRule="exact"/>
              <w:jc w:val="center"/>
              <w:rPr>
                <w:rFonts w:ascii="仿宋" w:hAnsi="仿宋" w:eastAsia="仿宋" w:cs="仿宋"/>
                <w:sz w:val="24"/>
              </w:rPr>
            </w:pPr>
          </w:p>
        </w:tc>
      </w:tr>
    </w:tbl>
    <w:p w14:paraId="75C0BB8E">
      <w:pPr>
        <w:snapToGrid w:val="0"/>
        <w:spacing w:before="50" w:after="156" w:afterLines="50" w:line="360" w:lineRule="auto"/>
        <w:jc w:val="left"/>
        <w:rPr>
          <w:rFonts w:ascii="仿宋" w:hAnsi="仿宋" w:eastAsia="仿宋" w:cs="仿宋"/>
          <w:sz w:val="24"/>
        </w:rPr>
      </w:pPr>
      <w:r>
        <w:rPr>
          <w:rFonts w:hint="eastAsia" w:ascii="仿宋" w:hAnsi="仿宋" w:eastAsia="仿宋" w:cs="仿宋"/>
          <w:sz w:val="24"/>
        </w:rPr>
        <w:t xml:space="preserve">    注：在填写时，如本表格不适合单位的实际情况，可根据本表格式自行划表填写。</w:t>
      </w:r>
    </w:p>
    <w:p w14:paraId="1820BBC9">
      <w:pPr>
        <w:snapToGrid w:val="0"/>
        <w:spacing w:before="50" w:after="156" w:afterLines="50" w:line="360" w:lineRule="auto"/>
        <w:jc w:val="left"/>
        <w:rPr>
          <w:rFonts w:ascii="仿宋" w:hAnsi="仿宋" w:eastAsia="仿宋" w:cs="仿宋"/>
          <w:sz w:val="24"/>
        </w:rPr>
      </w:pPr>
    </w:p>
    <w:p w14:paraId="15FD5537">
      <w:pPr>
        <w:spacing w:before="156" w:beforeLines="50" w:after="156" w:afterLines="50" w:line="400" w:lineRule="exact"/>
        <w:rPr>
          <w:rFonts w:ascii="仿宋" w:hAnsi="仿宋" w:eastAsia="仿宋" w:cs="仿宋"/>
          <w:sz w:val="24"/>
        </w:rPr>
      </w:pPr>
      <w:r>
        <w:rPr>
          <w:rFonts w:hint="eastAsia" w:ascii="仿宋" w:hAnsi="仿宋" w:eastAsia="仿宋" w:cs="仿宋"/>
          <w:sz w:val="24"/>
        </w:rPr>
        <w:t>供应商（盖章）：</w:t>
      </w:r>
    </w:p>
    <w:p w14:paraId="578C86EF">
      <w:pPr>
        <w:spacing w:before="156" w:beforeLines="50" w:after="156" w:afterLines="50" w:line="400" w:lineRule="exact"/>
        <w:rPr>
          <w:rFonts w:ascii="仿宋" w:hAnsi="仿宋" w:eastAsia="仿宋" w:cs="仿宋"/>
          <w:sz w:val="24"/>
        </w:rPr>
      </w:pPr>
      <w:r>
        <w:rPr>
          <w:rFonts w:hint="eastAsia" w:ascii="仿宋" w:hAnsi="仿宋" w:eastAsia="仿宋" w:cs="仿宋"/>
          <w:sz w:val="24"/>
        </w:rPr>
        <w:t>授权代表（签字）：</w:t>
      </w:r>
    </w:p>
    <w:p w14:paraId="2C4A1C45">
      <w:pPr>
        <w:adjustRightInd w:val="0"/>
        <w:snapToGrid w:val="0"/>
        <w:spacing w:line="440" w:lineRule="exact"/>
        <w:rPr>
          <w:rFonts w:ascii="仿宋" w:hAnsi="仿宋" w:eastAsia="仿宋" w:cs="仿宋"/>
          <w:bCs/>
          <w:sz w:val="24"/>
        </w:rPr>
      </w:pPr>
      <w:r>
        <w:rPr>
          <w:rFonts w:hint="eastAsia" w:ascii="仿宋" w:hAnsi="仿宋" w:eastAsia="仿宋" w:cs="仿宋"/>
          <w:sz w:val="24"/>
        </w:rPr>
        <w:t>日期：</w:t>
      </w:r>
    </w:p>
    <w:p w14:paraId="08DA2DBB">
      <w:pPr>
        <w:adjustRightInd w:val="0"/>
        <w:snapToGrid w:val="0"/>
        <w:spacing w:before="156" w:beforeLines="50" w:after="156" w:afterLines="50" w:line="500" w:lineRule="exact"/>
        <w:rPr>
          <w:rFonts w:ascii="仿宋" w:hAnsi="仿宋" w:eastAsia="仿宋" w:cs="仿宋"/>
          <w:bCs/>
          <w:sz w:val="24"/>
        </w:rPr>
      </w:pPr>
    </w:p>
    <w:p w14:paraId="754A2B49">
      <w:pPr>
        <w:pStyle w:val="6"/>
        <w:ind w:firstLine="0"/>
        <w:rPr>
          <w:rFonts w:ascii="仿宋" w:hAnsi="仿宋" w:eastAsia="仿宋" w:cs="仿宋"/>
          <w:b/>
          <w:sz w:val="24"/>
        </w:rPr>
        <w:sectPr>
          <w:pgSz w:w="11906" w:h="16838"/>
          <w:pgMar w:top="1134" w:right="1134" w:bottom="1134" w:left="1134" w:header="567" w:footer="567" w:gutter="0"/>
          <w:cols w:space="720" w:num="1"/>
          <w:titlePg/>
          <w:docGrid w:type="lines" w:linePitch="312" w:charSpace="0"/>
        </w:sectPr>
      </w:pPr>
    </w:p>
    <w:p w14:paraId="1720BBA6">
      <w:pPr>
        <w:pStyle w:val="2"/>
        <w:numPr>
          <w:ilvl w:val="0"/>
          <w:numId w:val="3"/>
        </w:numPr>
        <w:spacing w:line="240" w:lineRule="auto"/>
        <w:jc w:val="center"/>
        <w:rPr>
          <w:rFonts w:ascii="仿宋" w:hAnsi="仿宋" w:eastAsia="仿宋" w:cs="仿宋"/>
        </w:rPr>
      </w:pPr>
      <w:bookmarkStart w:id="229" w:name="_Toc5945"/>
      <w:r>
        <w:rPr>
          <w:rFonts w:hint="eastAsia" w:ascii="仿宋" w:hAnsi="仿宋" w:eastAsia="仿宋" w:cs="仿宋"/>
        </w:rPr>
        <w:t>自评表</w:t>
      </w:r>
      <w:bookmarkEnd w:id="229"/>
    </w:p>
    <w:tbl>
      <w:tblPr>
        <w:tblStyle w:val="29"/>
        <w:tblW w:w="87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
        <w:gridCol w:w="2968"/>
        <w:gridCol w:w="1701"/>
        <w:gridCol w:w="1276"/>
        <w:gridCol w:w="930"/>
        <w:gridCol w:w="1154"/>
      </w:tblGrid>
      <w:tr w14:paraId="4C49C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677" w:type="dxa"/>
            <w:vAlign w:val="center"/>
          </w:tcPr>
          <w:p w14:paraId="4F6C4A01">
            <w:pPr>
              <w:spacing w:line="360" w:lineRule="exact"/>
              <w:jc w:val="center"/>
              <w:rPr>
                <w:rFonts w:ascii="仿宋" w:hAnsi="仿宋" w:eastAsia="仿宋" w:cs="仿宋"/>
                <w:sz w:val="24"/>
              </w:rPr>
            </w:pPr>
            <w:r>
              <w:rPr>
                <w:rFonts w:hint="eastAsia" w:ascii="仿宋" w:hAnsi="仿宋" w:eastAsia="仿宋" w:cs="仿宋"/>
                <w:sz w:val="24"/>
              </w:rPr>
              <w:t>序号</w:t>
            </w:r>
          </w:p>
        </w:tc>
        <w:tc>
          <w:tcPr>
            <w:tcW w:w="2968" w:type="dxa"/>
            <w:vAlign w:val="center"/>
          </w:tcPr>
          <w:p w14:paraId="3AF8AFFF">
            <w:pPr>
              <w:spacing w:line="360" w:lineRule="exact"/>
              <w:jc w:val="center"/>
              <w:rPr>
                <w:rFonts w:ascii="仿宋" w:hAnsi="仿宋" w:eastAsia="仿宋" w:cs="仿宋"/>
                <w:sz w:val="24"/>
              </w:rPr>
            </w:pPr>
            <w:r>
              <w:rPr>
                <w:rFonts w:hint="eastAsia" w:ascii="仿宋" w:hAnsi="仿宋" w:eastAsia="仿宋" w:cs="仿宋"/>
                <w:sz w:val="24"/>
              </w:rPr>
              <w:t>评分内容</w:t>
            </w:r>
          </w:p>
        </w:tc>
        <w:tc>
          <w:tcPr>
            <w:tcW w:w="1701" w:type="dxa"/>
            <w:vAlign w:val="center"/>
          </w:tcPr>
          <w:p w14:paraId="4709EB04">
            <w:pPr>
              <w:spacing w:line="360" w:lineRule="exact"/>
              <w:jc w:val="center"/>
              <w:rPr>
                <w:rFonts w:ascii="仿宋" w:hAnsi="仿宋" w:eastAsia="仿宋" w:cs="仿宋"/>
                <w:sz w:val="24"/>
              </w:rPr>
            </w:pPr>
            <w:r>
              <w:rPr>
                <w:rFonts w:hint="eastAsia" w:ascii="仿宋" w:hAnsi="仿宋" w:eastAsia="仿宋" w:cs="仿宋"/>
                <w:sz w:val="24"/>
              </w:rPr>
              <w:t>标准分</w:t>
            </w:r>
          </w:p>
        </w:tc>
        <w:tc>
          <w:tcPr>
            <w:tcW w:w="1276" w:type="dxa"/>
            <w:vAlign w:val="center"/>
          </w:tcPr>
          <w:p w14:paraId="30F0B475">
            <w:pPr>
              <w:spacing w:line="360" w:lineRule="exact"/>
              <w:jc w:val="center"/>
              <w:rPr>
                <w:rFonts w:ascii="仿宋" w:hAnsi="仿宋" w:eastAsia="仿宋" w:cs="仿宋"/>
                <w:sz w:val="24"/>
              </w:rPr>
            </w:pPr>
            <w:r>
              <w:rPr>
                <w:rFonts w:hint="eastAsia" w:ascii="仿宋" w:hAnsi="仿宋" w:eastAsia="仿宋" w:cs="仿宋"/>
                <w:sz w:val="24"/>
              </w:rPr>
              <w:t>自评分</w:t>
            </w:r>
          </w:p>
        </w:tc>
        <w:tc>
          <w:tcPr>
            <w:tcW w:w="930" w:type="dxa"/>
            <w:vAlign w:val="center"/>
          </w:tcPr>
          <w:p w14:paraId="206C15EF">
            <w:pPr>
              <w:spacing w:line="360" w:lineRule="exact"/>
              <w:jc w:val="center"/>
              <w:rPr>
                <w:rFonts w:ascii="仿宋" w:hAnsi="仿宋" w:eastAsia="仿宋" w:cs="仿宋"/>
                <w:sz w:val="24"/>
              </w:rPr>
            </w:pPr>
            <w:r>
              <w:rPr>
                <w:rFonts w:hint="eastAsia" w:ascii="仿宋" w:hAnsi="仿宋" w:eastAsia="仿宋" w:cs="仿宋"/>
                <w:sz w:val="24"/>
              </w:rPr>
              <w:t>自评</w:t>
            </w:r>
          </w:p>
          <w:p w14:paraId="627A20DE">
            <w:pPr>
              <w:spacing w:line="360" w:lineRule="exact"/>
              <w:jc w:val="center"/>
              <w:rPr>
                <w:rFonts w:ascii="仿宋" w:hAnsi="仿宋" w:eastAsia="仿宋" w:cs="仿宋"/>
                <w:sz w:val="24"/>
              </w:rPr>
            </w:pPr>
            <w:r>
              <w:rPr>
                <w:rFonts w:hint="eastAsia" w:ascii="仿宋" w:hAnsi="仿宋" w:eastAsia="仿宋" w:cs="仿宋"/>
                <w:sz w:val="24"/>
              </w:rPr>
              <w:t>依据</w:t>
            </w:r>
          </w:p>
        </w:tc>
        <w:tc>
          <w:tcPr>
            <w:tcW w:w="1154" w:type="dxa"/>
            <w:vAlign w:val="center"/>
          </w:tcPr>
          <w:p w14:paraId="3D961648">
            <w:pPr>
              <w:spacing w:line="360" w:lineRule="exact"/>
              <w:jc w:val="center"/>
              <w:rPr>
                <w:rFonts w:ascii="仿宋" w:hAnsi="仿宋" w:eastAsia="仿宋" w:cs="仿宋"/>
                <w:sz w:val="24"/>
              </w:rPr>
            </w:pPr>
            <w:r>
              <w:rPr>
                <w:rFonts w:hint="eastAsia" w:ascii="仿宋" w:hAnsi="仿宋" w:eastAsia="仿宋" w:cs="仿宋"/>
                <w:sz w:val="24"/>
              </w:rPr>
              <w:t>在投标文件中所对应的页码</w:t>
            </w:r>
          </w:p>
        </w:tc>
      </w:tr>
      <w:tr w14:paraId="11B1F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77" w:type="dxa"/>
            <w:vAlign w:val="center"/>
          </w:tcPr>
          <w:p w14:paraId="0169DD56">
            <w:pPr>
              <w:adjustRightInd w:val="0"/>
              <w:snapToGrid w:val="0"/>
              <w:spacing w:line="360" w:lineRule="exact"/>
              <w:jc w:val="center"/>
              <w:rPr>
                <w:rFonts w:ascii="仿宋" w:hAnsi="仿宋" w:eastAsia="仿宋" w:cs="仿宋"/>
                <w:snapToGrid w:val="0"/>
                <w:sz w:val="24"/>
              </w:rPr>
            </w:pPr>
            <w:r>
              <w:rPr>
                <w:rFonts w:hint="eastAsia" w:ascii="仿宋" w:hAnsi="仿宋" w:eastAsia="仿宋" w:cs="仿宋"/>
                <w:snapToGrid w:val="0"/>
                <w:sz w:val="24"/>
              </w:rPr>
              <w:t>1</w:t>
            </w:r>
          </w:p>
        </w:tc>
        <w:tc>
          <w:tcPr>
            <w:tcW w:w="2968" w:type="dxa"/>
            <w:vAlign w:val="center"/>
          </w:tcPr>
          <w:p w14:paraId="7460F2CD">
            <w:pPr>
              <w:spacing w:line="300" w:lineRule="exact"/>
              <w:jc w:val="center"/>
              <w:rPr>
                <w:rFonts w:ascii="仿宋" w:hAnsi="仿宋" w:eastAsia="仿宋" w:cs="仿宋"/>
                <w:b/>
                <w:sz w:val="24"/>
              </w:rPr>
            </w:pPr>
          </w:p>
        </w:tc>
        <w:tc>
          <w:tcPr>
            <w:tcW w:w="1701" w:type="dxa"/>
            <w:vAlign w:val="center"/>
          </w:tcPr>
          <w:p w14:paraId="183888A7">
            <w:pPr>
              <w:spacing w:line="300" w:lineRule="exact"/>
              <w:jc w:val="center"/>
              <w:rPr>
                <w:rFonts w:ascii="仿宋" w:hAnsi="仿宋" w:eastAsia="仿宋" w:cs="仿宋"/>
                <w:sz w:val="24"/>
              </w:rPr>
            </w:pPr>
          </w:p>
        </w:tc>
        <w:tc>
          <w:tcPr>
            <w:tcW w:w="1276" w:type="dxa"/>
            <w:vAlign w:val="center"/>
          </w:tcPr>
          <w:p w14:paraId="236F44C7">
            <w:pPr>
              <w:spacing w:line="360" w:lineRule="exact"/>
              <w:rPr>
                <w:rFonts w:ascii="仿宋" w:hAnsi="仿宋" w:eastAsia="仿宋" w:cs="仿宋"/>
                <w:sz w:val="24"/>
              </w:rPr>
            </w:pPr>
          </w:p>
        </w:tc>
        <w:tc>
          <w:tcPr>
            <w:tcW w:w="930" w:type="dxa"/>
            <w:vAlign w:val="center"/>
          </w:tcPr>
          <w:p w14:paraId="4552D4E3">
            <w:pPr>
              <w:spacing w:line="360" w:lineRule="exact"/>
              <w:rPr>
                <w:rFonts w:ascii="仿宋" w:hAnsi="仿宋" w:eastAsia="仿宋" w:cs="仿宋"/>
                <w:sz w:val="24"/>
              </w:rPr>
            </w:pPr>
          </w:p>
        </w:tc>
        <w:tc>
          <w:tcPr>
            <w:tcW w:w="1154" w:type="dxa"/>
            <w:vAlign w:val="center"/>
          </w:tcPr>
          <w:p w14:paraId="50404DAF">
            <w:pPr>
              <w:spacing w:line="360" w:lineRule="exact"/>
              <w:rPr>
                <w:rFonts w:ascii="仿宋" w:hAnsi="仿宋" w:eastAsia="仿宋" w:cs="仿宋"/>
                <w:sz w:val="24"/>
              </w:rPr>
            </w:pPr>
          </w:p>
        </w:tc>
      </w:tr>
      <w:tr w14:paraId="7F8A5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77" w:type="dxa"/>
            <w:vAlign w:val="center"/>
          </w:tcPr>
          <w:p w14:paraId="75D75653">
            <w:pPr>
              <w:adjustRightInd w:val="0"/>
              <w:snapToGrid w:val="0"/>
              <w:spacing w:line="360" w:lineRule="exact"/>
              <w:jc w:val="center"/>
              <w:rPr>
                <w:rFonts w:ascii="仿宋" w:hAnsi="仿宋" w:eastAsia="仿宋" w:cs="仿宋"/>
                <w:snapToGrid w:val="0"/>
                <w:sz w:val="24"/>
              </w:rPr>
            </w:pPr>
            <w:r>
              <w:rPr>
                <w:rFonts w:hint="eastAsia" w:ascii="仿宋" w:hAnsi="仿宋" w:eastAsia="仿宋" w:cs="仿宋"/>
                <w:snapToGrid w:val="0"/>
                <w:sz w:val="24"/>
              </w:rPr>
              <w:t>2</w:t>
            </w:r>
          </w:p>
        </w:tc>
        <w:tc>
          <w:tcPr>
            <w:tcW w:w="2968" w:type="dxa"/>
            <w:vAlign w:val="center"/>
          </w:tcPr>
          <w:p w14:paraId="18B5550E">
            <w:pPr>
              <w:spacing w:line="300" w:lineRule="exact"/>
              <w:jc w:val="center"/>
              <w:rPr>
                <w:rFonts w:ascii="仿宋" w:hAnsi="仿宋" w:eastAsia="仿宋" w:cs="仿宋"/>
                <w:b/>
                <w:sz w:val="24"/>
              </w:rPr>
            </w:pPr>
          </w:p>
        </w:tc>
        <w:tc>
          <w:tcPr>
            <w:tcW w:w="1701" w:type="dxa"/>
            <w:vAlign w:val="center"/>
          </w:tcPr>
          <w:p w14:paraId="62C771B0">
            <w:pPr>
              <w:spacing w:line="300" w:lineRule="exact"/>
              <w:jc w:val="center"/>
              <w:rPr>
                <w:rFonts w:ascii="仿宋" w:hAnsi="仿宋" w:eastAsia="仿宋" w:cs="仿宋"/>
                <w:sz w:val="24"/>
              </w:rPr>
            </w:pPr>
          </w:p>
        </w:tc>
        <w:tc>
          <w:tcPr>
            <w:tcW w:w="1276" w:type="dxa"/>
            <w:vAlign w:val="center"/>
          </w:tcPr>
          <w:p w14:paraId="567DE7A8">
            <w:pPr>
              <w:spacing w:line="360" w:lineRule="exact"/>
              <w:rPr>
                <w:rFonts w:ascii="仿宋" w:hAnsi="仿宋" w:eastAsia="仿宋" w:cs="仿宋"/>
                <w:sz w:val="24"/>
              </w:rPr>
            </w:pPr>
          </w:p>
        </w:tc>
        <w:tc>
          <w:tcPr>
            <w:tcW w:w="930" w:type="dxa"/>
            <w:vAlign w:val="center"/>
          </w:tcPr>
          <w:p w14:paraId="301941D1">
            <w:pPr>
              <w:spacing w:line="360" w:lineRule="exact"/>
              <w:rPr>
                <w:rFonts w:ascii="仿宋" w:hAnsi="仿宋" w:eastAsia="仿宋" w:cs="仿宋"/>
                <w:sz w:val="24"/>
              </w:rPr>
            </w:pPr>
          </w:p>
        </w:tc>
        <w:tc>
          <w:tcPr>
            <w:tcW w:w="1154" w:type="dxa"/>
            <w:vAlign w:val="center"/>
          </w:tcPr>
          <w:p w14:paraId="0E6FA8E5">
            <w:pPr>
              <w:spacing w:line="360" w:lineRule="exact"/>
              <w:rPr>
                <w:rFonts w:ascii="仿宋" w:hAnsi="仿宋" w:eastAsia="仿宋" w:cs="仿宋"/>
                <w:sz w:val="24"/>
              </w:rPr>
            </w:pPr>
          </w:p>
        </w:tc>
      </w:tr>
      <w:tr w14:paraId="25CFD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77" w:type="dxa"/>
            <w:vAlign w:val="center"/>
          </w:tcPr>
          <w:p w14:paraId="4F2DF045">
            <w:pPr>
              <w:adjustRightInd w:val="0"/>
              <w:snapToGrid w:val="0"/>
              <w:spacing w:line="360" w:lineRule="exact"/>
              <w:jc w:val="center"/>
              <w:rPr>
                <w:rFonts w:ascii="仿宋" w:hAnsi="仿宋" w:eastAsia="仿宋" w:cs="仿宋"/>
                <w:snapToGrid w:val="0"/>
                <w:sz w:val="24"/>
              </w:rPr>
            </w:pPr>
            <w:r>
              <w:rPr>
                <w:rFonts w:hint="eastAsia" w:ascii="仿宋" w:hAnsi="仿宋" w:eastAsia="仿宋" w:cs="仿宋"/>
                <w:snapToGrid w:val="0"/>
                <w:sz w:val="24"/>
              </w:rPr>
              <w:t>3</w:t>
            </w:r>
          </w:p>
        </w:tc>
        <w:tc>
          <w:tcPr>
            <w:tcW w:w="2968" w:type="dxa"/>
            <w:vAlign w:val="center"/>
          </w:tcPr>
          <w:p w14:paraId="1813979B">
            <w:pPr>
              <w:spacing w:line="300" w:lineRule="exact"/>
              <w:jc w:val="center"/>
              <w:rPr>
                <w:rFonts w:ascii="仿宋" w:hAnsi="仿宋" w:eastAsia="仿宋" w:cs="仿宋"/>
                <w:b/>
                <w:sz w:val="24"/>
              </w:rPr>
            </w:pPr>
          </w:p>
        </w:tc>
        <w:tc>
          <w:tcPr>
            <w:tcW w:w="1701" w:type="dxa"/>
            <w:vAlign w:val="center"/>
          </w:tcPr>
          <w:p w14:paraId="1382F593">
            <w:pPr>
              <w:spacing w:line="300" w:lineRule="exact"/>
              <w:jc w:val="center"/>
              <w:rPr>
                <w:rFonts w:ascii="仿宋" w:hAnsi="仿宋" w:eastAsia="仿宋" w:cs="仿宋"/>
                <w:sz w:val="24"/>
              </w:rPr>
            </w:pPr>
          </w:p>
        </w:tc>
        <w:tc>
          <w:tcPr>
            <w:tcW w:w="1276" w:type="dxa"/>
            <w:vAlign w:val="center"/>
          </w:tcPr>
          <w:p w14:paraId="1C917D9D">
            <w:pPr>
              <w:spacing w:line="360" w:lineRule="exact"/>
              <w:rPr>
                <w:rFonts w:ascii="仿宋" w:hAnsi="仿宋" w:eastAsia="仿宋" w:cs="仿宋"/>
                <w:sz w:val="24"/>
              </w:rPr>
            </w:pPr>
          </w:p>
        </w:tc>
        <w:tc>
          <w:tcPr>
            <w:tcW w:w="930" w:type="dxa"/>
            <w:vAlign w:val="center"/>
          </w:tcPr>
          <w:p w14:paraId="5791BFE1">
            <w:pPr>
              <w:spacing w:line="360" w:lineRule="exact"/>
              <w:rPr>
                <w:rFonts w:ascii="仿宋" w:hAnsi="仿宋" w:eastAsia="仿宋" w:cs="仿宋"/>
                <w:sz w:val="24"/>
              </w:rPr>
            </w:pPr>
          </w:p>
        </w:tc>
        <w:tc>
          <w:tcPr>
            <w:tcW w:w="1154" w:type="dxa"/>
            <w:vAlign w:val="center"/>
          </w:tcPr>
          <w:p w14:paraId="22FFEAAE">
            <w:pPr>
              <w:spacing w:line="360" w:lineRule="exact"/>
              <w:rPr>
                <w:rFonts w:ascii="仿宋" w:hAnsi="仿宋" w:eastAsia="仿宋" w:cs="仿宋"/>
                <w:sz w:val="24"/>
              </w:rPr>
            </w:pPr>
          </w:p>
        </w:tc>
      </w:tr>
      <w:tr w14:paraId="648B2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77" w:type="dxa"/>
            <w:vAlign w:val="center"/>
          </w:tcPr>
          <w:p w14:paraId="043D4EEB">
            <w:pPr>
              <w:adjustRightInd w:val="0"/>
              <w:snapToGrid w:val="0"/>
              <w:spacing w:line="360" w:lineRule="exact"/>
              <w:jc w:val="center"/>
              <w:rPr>
                <w:rFonts w:ascii="仿宋" w:hAnsi="仿宋" w:eastAsia="仿宋" w:cs="仿宋"/>
                <w:snapToGrid w:val="0"/>
                <w:sz w:val="24"/>
              </w:rPr>
            </w:pPr>
            <w:r>
              <w:rPr>
                <w:rFonts w:hint="eastAsia" w:ascii="仿宋" w:hAnsi="仿宋" w:eastAsia="仿宋" w:cs="仿宋"/>
                <w:snapToGrid w:val="0"/>
                <w:sz w:val="24"/>
              </w:rPr>
              <w:t>4</w:t>
            </w:r>
          </w:p>
        </w:tc>
        <w:tc>
          <w:tcPr>
            <w:tcW w:w="2968" w:type="dxa"/>
            <w:vAlign w:val="center"/>
          </w:tcPr>
          <w:p w14:paraId="578BFAC7">
            <w:pPr>
              <w:spacing w:line="300" w:lineRule="exact"/>
              <w:jc w:val="center"/>
              <w:rPr>
                <w:rFonts w:ascii="仿宋" w:hAnsi="仿宋" w:eastAsia="仿宋" w:cs="仿宋"/>
                <w:b/>
                <w:sz w:val="24"/>
              </w:rPr>
            </w:pPr>
          </w:p>
        </w:tc>
        <w:tc>
          <w:tcPr>
            <w:tcW w:w="1701" w:type="dxa"/>
            <w:vAlign w:val="center"/>
          </w:tcPr>
          <w:p w14:paraId="4FC3AE1E">
            <w:pPr>
              <w:spacing w:line="300" w:lineRule="exact"/>
              <w:jc w:val="center"/>
              <w:rPr>
                <w:rFonts w:ascii="仿宋" w:hAnsi="仿宋" w:eastAsia="仿宋" w:cs="仿宋"/>
                <w:sz w:val="24"/>
              </w:rPr>
            </w:pPr>
          </w:p>
        </w:tc>
        <w:tc>
          <w:tcPr>
            <w:tcW w:w="1276" w:type="dxa"/>
            <w:vAlign w:val="center"/>
          </w:tcPr>
          <w:p w14:paraId="2171D22E">
            <w:pPr>
              <w:spacing w:line="360" w:lineRule="exact"/>
              <w:rPr>
                <w:rFonts w:ascii="仿宋" w:hAnsi="仿宋" w:eastAsia="仿宋" w:cs="仿宋"/>
                <w:sz w:val="24"/>
              </w:rPr>
            </w:pPr>
          </w:p>
        </w:tc>
        <w:tc>
          <w:tcPr>
            <w:tcW w:w="930" w:type="dxa"/>
            <w:vAlign w:val="center"/>
          </w:tcPr>
          <w:p w14:paraId="431E814C">
            <w:pPr>
              <w:spacing w:line="360" w:lineRule="exact"/>
              <w:rPr>
                <w:rFonts w:ascii="仿宋" w:hAnsi="仿宋" w:eastAsia="仿宋" w:cs="仿宋"/>
                <w:sz w:val="24"/>
              </w:rPr>
            </w:pPr>
          </w:p>
        </w:tc>
        <w:tc>
          <w:tcPr>
            <w:tcW w:w="1154" w:type="dxa"/>
            <w:vAlign w:val="center"/>
          </w:tcPr>
          <w:p w14:paraId="6CFA4370">
            <w:pPr>
              <w:spacing w:line="360" w:lineRule="exact"/>
              <w:rPr>
                <w:rFonts w:ascii="仿宋" w:hAnsi="仿宋" w:eastAsia="仿宋" w:cs="仿宋"/>
                <w:sz w:val="24"/>
              </w:rPr>
            </w:pPr>
          </w:p>
        </w:tc>
      </w:tr>
      <w:tr w14:paraId="6A4C9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77" w:type="dxa"/>
            <w:vAlign w:val="center"/>
          </w:tcPr>
          <w:p w14:paraId="2EC03C8A">
            <w:pPr>
              <w:adjustRightInd w:val="0"/>
              <w:snapToGrid w:val="0"/>
              <w:spacing w:line="360" w:lineRule="exact"/>
              <w:jc w:val="center"/>
              <w:rPr>
                <w:rFonts w:ascii="仿宋" w:hAnsi="仿宋" w:eastAsia="仿宋" w:cs="仿宋"/>
                <w:snapToGrid w:val="0"/>
                <w:sz w:val="24"/>
              </w:rPr>
            </w:pPr>
            <w:r>
              <w:rPr>
                <w:rFonts w:hint="eastAsia" w:ascii="仿宋" w:hAnsi="仿宋" w:eastAsia="仿宋" w:cs="仿宋"/>
                <w:snapToGrid w:val="0"/>
                <w:sz w:val="24"/>
              </w:rPr>
              <w:t>5</w:t>
            </w:r>
          </w:p>
        </w:tc>
        <w:tc>
          <w:tcPr>
            <w:tcW w:w="2968" w:type="dxa"/>
            <w:vAlign w:val="center"/>
          </w:tcPr>
          <w:p w14:paraId="559B2EE8">
            <w:pPr>
              <w:spacing w:line="300" w:lineRule="exact"/>
              <w:jc w:val="center"/>
              <w:rPr>
                <w:rFonts w:ascii="仿宋" w:hAnsi="仿宋" w:eastAsia="仿宋" w:cs="仿宋"/>
                <w:b/>
                <w:sz w:val="24"/>
              </w:rPr>
            </w:pPr>
          </w:p>
        </w:tc>
        <w:tc>
          <w:tcPr>
            <w:tcW w:w="1701" w:type="dxa"/>
            <w:vAlign w:val="center"/>
          </w:tcPr>
          <w:p w14:paraId="79058731">
            <w:pPr>
              <w:spacing w:line="300" w:lineRule="exact"/>
              <w:jc w:val="center"/>
              <w:rPr>
                <w:rFonts w:ascii="仿宋" w:hAnsi="仿宋" w:eastAsia="仿宋" w:cs="仿宋"/>
                <w:sz w:val="24"/>
              </w:rPr>
            </w:pPr>
          </w:p>
        </w:tc>
        <w:tc>
          <w:tcPr>
            <w:tcW w:w="1276" w:type="dxa"/>
            <w:vAlign w:val="center"/>
          </w:tcPr>
          <w:p w14:paraId="3020C044">
            <w:pPr>
              <w:spacing w:line="360" w:lineRule="exact"/>
              <w:rPr>
                <w:rFonts w:ascii="仿宋" w:hAnsi="仿宋" w:eastAsia="仿宋" w:cs="仿宋"/>
                <w:sz w:val="24"/>
              </w:rPr>
            </w:pPr>
          </w:p>
        </w:tc>
        <w:tc>
          <w:tcPr>
            <w:tcW w:w="930" w:type="dxa"/>
            <w:vAlign w:val="center"/>
          </w:tcPr>
          <w:p w14:paraId="7BE4C0FB">
            <w:pPr>
              <w:spacing w:line="360" w:lineRule="exact"/>
              <w:rPr>
                <w:rFonts w:ascii="仿宋" w:hAnsi="仿宋" w:eastAsia="仿宋" w:cs="仿宋"/>
                <w:sz w:val="24"/>
              </w:rPr>
            </w:pPr>
          </w:p>
        </w:tc>
        <w:tc>
          <w:tcPr>
            <w:tcW w:w="1154" w:type="dxa"/>
            <w:vAlign w:val="center"/>
          </w:tcPr>
          <w:p w14:paraId="74EA97BE">
            <w:pPr>
              <w:spacing w:line="360" w:lineRule="exact"/>
              <w:rPr>
                <w:rFonts w:ascii="仿宋" w:hAnsi="仿宋" w:eastAsia="仿宋" w:cs="仿宋"/>
                <w:sz w:val="24"/>
              </w:rPr>
            </w:pPr>
          </w:p>
        </w:tc>
      </w:tr>
      <w:tr w14:paraId="773AA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77" w:type="dxa"/>
            <w:vAlign w:val="center"/>
          </w:tcPr>
          <w:p w14:paraId="78AFE772">
            <w:pPr>
              <w:adjustRightInd w:val="0"/>
              <w:snapToGrid w:val="0"/>
              <w:spacing w:line="360" w:lineRule="exact"/>
              <w:jc w:val="center"/>
              <w:rPr>
                <w:rFonts w:ascii="仿宋" w:hAnsi="仿宋" w:eastAsia="仿宋" w:cs="仿宋"/>
                <w:snapToGrid w:val="0"/>
                <w:sz w:val="24"/>
              </w:rPr>
            </w:pPr>
            <w:r>
              <w:rPr>
                <w:rFonts w:hint="eastAsia" w:ascii="仿宋" w:hAnsi="仿宋" w:eastAsia="仿宋" w:cs="仿宋"/>
                <w:snapToGrid w:val="0"/>
                <w:sz w:val="24"/>
              </w:rPr>
              <w:t>6</w:t>
            </w:r>
          </w:p>
        </w:tc>
        <w:tc>
          <w:tcPr>
            <w:tcW w:w="2968" w:type="dxa"/>
            <w:vAlign w:val="center"/>
          </w:tcPr>
          <w:p w14:paraId="194B9C60">
            <w:pPr>
              <w:spacing w:line="300" w:lineRule="exact"/>
              <w:jc w:val="center"/>
              <w:rPr>
                <w:rFonts w:ascii="仿宋" w:hAnsi="仿宋" w:eastAsia="仿宋" w:cs="仿宋"/>
                <w:b/>
                <w:kern w:val="0"/>
                <w:sz w:val="24"/>
              </w:rPr>
            </w:pPr>
          </w:p>
        </w:tc>
        <w:tc>
          <w:tcPr>
            <w:tcW w:w="1701" w:type="dxa"/>
            <w:vAlign w:val="center"/>
          </w:tcPr>
          <w:p w14:paraId="4B664883">
            <w:pPr>
              <w:spacing w:line="300" w:lineRule="exact"/>
              <w:jc w:val="center"/>
              <w:rPr>
                <w:rFonts w:ascii="仿宋" w:hAnsi="仿宋" w:eastAsia="仿宋" w:cs="仿宋"/>
                <w:sz w:val="24"/>
              </w:rPr>
            </w:pPr>
          </w:p>
        </w:tc>
        <w:tc>
          <w:tcPr>
            <w:tcW w:w="1276" w:type="dxa"/>
            <w:vAlign w:val="center"/>
          </w:tcPr>
          <w:p w14:paraId="5AC90BF6">
            <w:pPr>
              <w:spacing w:line="360" w:lineRule="exact"/>
              <w:rPr>
                <w:rFonts w:ascii="仿宋" w:hAnsi="仿宋" w:eastAsia="仿宋" w:cs="仿宋"/>
                <w:sz w:val="24"/>
              </w:rPr>
            </w:pPr>
          </w:p>
        </w:tc>
        <w:tc>
          <w:tcPr>
            <w:tcW w:w="930" w:type="dxa"/>
            <w:vAlign w:val="center"/>
          </w:tcPr>
          <w:p w14:paraId="245AF207">
            <w:pPr>
              <w:spacing w:line="360" w:lineRule="exact"/>
              <w:rPr>
                <w:rFonts w:ascii="仿宋" w:hAnsi="仿宋" w:eastAsia="仿宋" w:cs="仿宋"/>
                <w:sz w:val="24"/>
              </w:rPr>
            </w:pPr>
          </w:p>
        </w:tc>
        <w:tc>
          <w:tcPr>
            <w:tcW w:w="1154" w:type="dxa"/>
            <w:vAlign w:val="center"/>
          </w:tcPr>
          <w:p w14:paraId="3F750B80">
            <w:pPr>
              <w:spacing w:line="360" w:lineRule="exact"/>
              <w:rPr>
                <w:rFonts w:ascii="仿宋" w:hAnsi="仿宋" w:eastAsia="仿宋" w:cs="仿宋"/>
                <w:sz w:val="24"/>
              </w:rPr>
            </w:pPr>
          </w:p>
        </w:tc>
      </w:tr>
      <w:tr w14:paraId="3E040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77" w:type="dxa"/>
            <w:vAlign w:val="center"/>
          </w:tcPr>
          <w:p w14:paraId="12E10779">
            <w:pPr>
              <w:adjustRightInd w:val="0"/>
              <w:snapToGrid w:val="0"/>
              <w:spacing w:line="360" w:lineRule="exact"/>
              <w:jc w:val="center"/>
              <w:rPr>
                <w:rFonts w:ascii="仿宋" w:hAnsi="仿宋" w:eastAsia="仿宋" w:cs="仿宋"/>
                <w:snapToGrid w:val="0"/>
                <w:sz w:val="24"/>
              </w:rPr>
            </w:pPr>
            <w:r>
              <w:rPr>
                <w:rFonts w:hint="eastAsia" w:ascii="仿宋" w:hAnsi="仿宋" w:eastAsia="仿宋" w:cs="仿宋"/>
                <w:snapToGrid w:val="0"/>
                <w:sz w:val="24"/>
              </w:rPr>
              <w:t>7</w:t>
            </w:r>
          </w:p>
        </w:tc>
        <w:tc>
          <w:tcPr>
            <w:tcW w:w="2968" w:type="dxa"/>
            <w:vAlign w:val="center"/>
          </w:tcPr>
          <w:p w14:paraId="64F4127F">
            <w:pPr>
              <w:spacing w:line="300" w:lineRule="exact"/>
              <w:jc w:val="center"/>
              <w:rPr>
                <w:rFonts w:ascii="仿宋" w:hAnsi="仿宋" w:eastAsia="仿宋" w:cs="仿宋"/>
                <w:b/>
                <w:snapToGrid w:val="0"/>
                <w:sz w:val="24"/>
              </w:rPr>
            </w:pPr>
          </w:p>
        </w:tc>
        <w:tc>
          <w:tcPr>
            <w:tcW w:w="1701" w:type="dxa"/>
            <w:vAlign w:val="center"/>
          </w:tcPr>
          <w:p w14:paraId="4FA1FE59">
            <w:pPr>
              <w:spacing w:line="300" w:lineRule="exact"/>
              <w:jc w:val="center"/>
              <w:rPr>
                <w:rFonts w:ascii="仿宋" w:hAnsi="仿宋" w:eastAsia="仿宋" w:cs="仿宋"/>
                <w:snapToGrid w:val="0"/>
                <w:sz w:val="24"/>
              </w:rPr>
            </w:pPr>
          </w:p>
        </w:tc>
        <w:tc>
          <w:tcPr>
            <w:tcW w:w="1276" w:type="dxa"/>
            <w:vAlign w:val="center"/>
          </w:tcPr>
          <w:p w14:paraId="418A57E7">
            <w:pPr>
              <w:spacing w:line="360" w:lineRule="exact"/>
              <w:rPr>
                <w:rFonts w:ascii="仿宋" w:hAnsi="仿宋" w:eastAsia="仿宋" w:cs="仿宋"/>
                <w:sz w:val="24"/>
              </w:rPr>
            </w:pPr>
          </w:p>
        </w:tc>
        <w:tc>
          <w:tcPr>
            <w:tcW w:w="930" w:type="dxa"/>
            <w:vAlign w:val="center"/>
          </w:tcPr>
          <w:p w14:paraId="4194B9E2">
            <w:pPr>
              <w:spacing w:line="360" w:lineRule="exact"/>
              <w:rPr>
                <w:rFonts w:ascii="仿宋" w:hAnsi="仿宋" w:eastAsia="仿宋" w:cs="仿宋"/>
                <w:sz w:val="24"/>
              </w:rPr>
            </w:pPr>
          </w:p>
        </w:tc>
        <w:tc>
          <w:tcPr>
            <w:tcW w:w="1154" w:type="dxa"/>
            <w:vAlign w:val="center"/>
          </w:tcPr>
          <w:p w14:paraId="460DE610">
            <w:pPr>
              <w:spacing w:line="360" w:lineRule="exact"/>
              <w:rPr>
                <w:rFonts w:ascii="仿宋" w:hAnsi="仿宋" w:eastAsia="仿宋" w:cs="仿宋"/>
                <w:sz w:val="24"/>
              </w:rPr>
            </w:pPr>
          </w:p>
        </w:tc>
      </w:tr>
      <w:tr w14:paraId="41E82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77" w:type="dxa"/>
            <w:vAlign w:val="center"/>
          </w:tcPr>
          <w:p w14:paraId="1CDD2A28">
            <w:pPr>
              <w:adjustRightInd w:val="0"/>
              <w:snapToGrid w:val="0"/>
              <w:spacing w:line="360" w:lineRule="exact"/>
              <w:jc w:val="center"/>
              <w:rPr>
                <w:rFonts w:ascii="仿宋" w:hAnsi="仿宋" w:eastAsia="仿宋" w:cs="仿宋"/>
                <w:snapToGrid w:val="0"/>
                <w:sz w:val="24"/>
              </w:rPr>
            </w:pPr>
            <w:r>
              <w:rPr>
                <w:rFonts w:hint="eastAsia" w:ascii="仿宋" w:hAnsi="仿宋" w:eastAsia="仿宋" w:cs="仿宋"/>
                <w:snapToGrid w:val="0"/>
                <w:sz w:val="24"/>
              </w:rPr>
              <w:t>8</w:t>
            </w:r>
          </w:p>
        </w:tc>
        <w:tc>
          <w:tcPr>
            <w:tcW w:w="2968" w:type="dxa"/>
            <w:vAlign w:val="center"/>
          </w:tcPr>
          <w:p w14:paraId="5208A465">
            <w:pPr>
              <w:spacing w:line="300" w:lineRule="exact"/>
              <w:jc w:val="center"/>
              <w:rPr>
                <w:rFonts w:ascii="仿宋" w:hAnsi="仿宋" w:eastAsia="仿宋" w:cs="仿宋"/>
                <w:b/>
                <w:sz w:val="24"/>
              </w:rPr>
            </w:pPr>
          </w:p>
        </w:tc>
        <w:tc>
          <w:tcPr>
            <w:tcW w:w="1701" w:type="dxa"/>
            <w:vAlign w:val="center"/>
          </w:tcPr>
          <w:p w14:paraId="34CC7F52">
            <w:pPr>
              <w:spacing w:line="300" w:lineRule="exact"/>
              <w:jc w:val="center"/>
              <w:rPr>
                <w:rFonts w:ascii="仿宋" w:hAnsi="仿宋" w:eastAsia="仿宋" w:cs="仿宋"/>
                <w:snapToGrid w:val="0"/>
                <w:sz w:val="24"/>
              </w:rPr>
            </w:pPr>
          </w:p>
        </w:tc>
        <w:tc>
          <w:tcPr>
            <w:tcW w:w="1276" w:type="dxa"/>
            <w:vAlign w:val="center"/>
          </w:tcPr>
          <w:p w14:paraId="675641AF">
            <w:pPr>
              <w:spacing w:line="360" w:lineRule="exact"/>
              <w:rPr>
                <w:rFonts w:ascii="仿宋" w:hAnsi="仿宋" w:eastAsia="仿宋" w:cs="仿宋"/>
                <w:sz w:val="24"/>
              </w:rPr>
            </w:pPr>
          </w:p>
        </w:tc>
        <w:tc>
          <w:tcPr>
            <w:tcW w:w="930" w:type="dxa"/>
            <w:vAlign w:val="center"/>
          </w:tcPr>
          <w:p w14:paraId="6B70130B">
            <w:pPr>
              <w:spacing w:line="360" w:lineRule="exact"/>
              <w:rPr>
                <w:rFonts w:ascii="仿宋" w:hAnsi="仿宋" w:eastAsia="仿宋" w:cs="仿宋"/>
                <w:sz w:val="24"/>
              </w:rPr>
            </w:pPr>
          </w:p>
        </w:tc>
        <w:tc>
          <w:tcPr>
            <w:tcW w:w="1154" w:type="dxa"/>
            <w:vAlign w:val="center"/>
          </w:tcPr>
          <w:p w14:paraId="67BA3E84">
            <w:pPr>
              <w:spacing w:line="360" w:lineRule="exact"/>
              <w:rPr>
                <w:rFonts w:ascii="仿宋" w:hAnsi="仿宋" w:eastAsia="仿宋" w:cs="仿宋"/>
                <w:sz w:val="24"/>
              </w:rPr>
            </w:pPr>
          </w:p>
        </w:tc>
      </w:tr>
      <w:tr w14:paraId="243E0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77" w:type="dxa"/>
            <w:vAlign w:val="center"/>
          </w:tcPr>
          <w:p w14:paraId="267935AE">
            <w:pPr>
              <w:adjustRightInd w:val="0"/>
              <w:snapToGrid w:val="0"/>
              <w:spacing w:line="360" w:lineRule="exact"/>
              <w:jc w:val="center"/>
              <w:rPr>
                <w:rFonts w:ascii="仿宋" w:hAnsi="仿宋" w:eastAsia="仿宋" w:cs="仿宋"/>
                <w:snapToGrid w:val="0"/>
                <w:sz w:val="24"/>
              </w:rPr>
            </w:pPr>
            <w:r>
              <w:rPr>
                <w:rFonts w:hint="eastAsia" w:ascii="仿宋" w:hAnsi="仿宋" w:eastAsia="仿宋" w:cs="仿宋"/>
                <w:snapToGrid w:val="0"/>
                <w:sz w:val="24"/>
              </w:rPr>
              <w:t>9</w:t>
            </w:r>
          </w:p>
        </w:tc>
        <w:tc>
          <w:tcPr>
            <w:tcW w:w="2968" w:type="dxa"/>
            <w:vAlign w:val="center"/>
          </w:tcPr>
          <w:p w14:paraId="6B3AC984">
            <w:pPr>
              <w:spacing w:line="300" w:lineRule="exact"/>
              <w:jc w:val="center"/>
              <w:rPr>
                <w:rFonts w:ascii="仿宋" w:hAnsi="仿宋" w:eastAsia="仿宋" w:cs="仿宋"/>
                <w:b/>
                <w:sz w:val="24"/>
              </w:rPr>
            </w:pPr>
          </w:p>
        </w:tc>
        <w:tc>
          <w:tcPr>
            <w:tcW w:w="1701" w:type="dxa"/>
            <w:vAlign w:val="center"/>
          </w:tcPr>
          <w:p w14:paraId="36C38400">
            <w:pPr>
              <w:spacing w:line="300" w:lineRule="exact"/>
              <w:jc w:val="center"/>
              <w:rPr>
                <w:rFonts w:ascii="仿宋" w:hAnsi="仿宋" w:eastAsia="仿宋" w:cs="仿宋"/>
                <w:sz w:val="24"/>
              </w:rPr>
            </w:pPr>
          </w:p>
        </w:tc>
        <w:tc>
          <w:tcPr>
            <w:tcW w:w="1276" w:type="dxa"/>
            <w:vAlign w:val="center"/>
          </w:tcPr>
          <w:p w14:paraId="49A267D6">
            <w:pPr>
              <w:spacing w:line="360" w:lineRule="exact"/>
              <w:rPr>
                <w:rFonts w:ascii="仿宋" w:hAnsi="仿宋" w:eastAsia="仿宋" w:cs="仿宋"/>
                <w:sz w:val="24"/>
              </w:rPr>
            </w:pPr>
          </w:p>
        </w:tc>
        <w:tc>
          <w:tcPr>
            <w:tcW w:w="930" w:type="dxa"/>
            <w:vAlign w:val="center"/>
          </w:tcPr>
          <w:p w14:paraId="28567696">
            <w:pPr>
              <w:spacing w:line="360" w:lineRule="exact"/>
              <w:rPr>
                <w:rFonts w:ascii="仿宋" w:hAnsi="仿宋" w:eastAsia="仿宋" w:cs="仿宋"/>
                <w:sz w:val="24"/>
              </w:rPr>
            </w:pPr>
          </w:p>
        </w:tc>
        <w:tc>
          <w:tcPr>
            <w:tcW w:w="1154" w:type="dxa"/>
            <w:vAlign w:val="center"/>
          </w:tcPr>
          <w:p w14:paraId="6E7A1F91">
            <w:pPr>
              <w:spacing w:line="360" w:lineRule="exact"/>
              <w:rPr>
                <w:rFonts w:ascii="仿宋" w:hAnsi="仿宋" w:eastAsia="仿宋" w:cs="仿宋"/>
                <w:sz w:val="24"/>
              </w:rPr>
            </w:pPr>
          </w:p>
        </w:tc>
      </w:tr>
      <w:tr w14:paraId="5E5EF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77" w:type="dxa"/>
            <w:vAlign w:val="center"/>
          </w:tcPr>
          <w:p w14:paraId="675ECF7F">
            <w:pPr>
              <w:adjustRightInd w:val="0"/>
              <w:snapToGrid w:val="0"/>
              <w:spacing w:line="360" w:lineRule="exact"/>
              <w:jc w:val="center"/>
              <w:rPr>
                <w:rFonts w:ascii="仿宋" w:hAnsi="仿宋" w:eastAsia="仿宋" w:cs="仿宋"/>
                <w:snapToGrid w:val="0"/>
                <w:sz w:val="24"/>
              </w:rPr>
            </w:pPr>
            <w:r>
              <w:rPr>
                <w:rFonts w:hint="eastAsia" w:ascii="仿宋" w:hAnsi="仿宋" w:eastAsia="仿宋" w:cs="仿宋"/>
                <w:snapToGrid w:val="0"/>
                <w:sz w:val="24"/>
              </w:rPr>
              <w:t>10</w:t>
            </w:r>
          </w:p>
        </w:tc>
        <w:tc>
          <w:tcPr>
            <w:tcW w:w="2968" w:type="dxa"/>
            <w:vAlign w:val="center"/>
          </w:tcPr>
          <w:p w14:paraId="35153D32">
            <w:pPr>
              <w:spacing w:line="300" w:lineRule="exact"/>
              <w:jc w:val="center"/>
              <w:rPr>
                <w:rFonts w:ascii="仿宋" w:hAnsi="仿宋" w:eastAsia="仿宋" w:cs="仿宋"/>
                <w:b/>
                <w:sz w:val="24"/>
              </w:rPr>
            </w:pPr>
          </w:p>
        </w:tc>
        <w:tc>
          <w:tcPr>
            <w:tcW w:w="1701" w:type="dxa"/>
            <w:vAlign w:val="center"/>
          </w:tcPr>
          <w:p w14:paraId="3D500506">
            <w:pPr>
              <w:spacing w:line="300" w:lineRule="exact"/>
              <w:jc w:val="center"/>
              <w:rPr>
                <w:rFonts w:ascii="仿宋" w:hAnsi="仿宋" w:eastAsia="仿宋" w:cs="仿宋"/>
                <w:sz w:val="24"/>
              </w:rPr>
            </w:pPr>
          </w:p>
        </w:tc>
        <w:tc>
          <w:tcPr>
            <w:tcW w:w="1276" w:type="dxa"/>
            <w:vAlign w:val="center"/>
          </w:tcPr>
          <w:p w14:paraId="61A2947D">
            <w:pPr>
              <w:spacing w:line="360" w:lineRule="exact"/>
              <w:rPr>
                <w:rFonts w:ascii="仿宋" w:hAnsi="仿宋" w:eastAsia="仿宋" w:cs="仿宋"/>
                <w:sz w:val="24"/>
              </w:rPr>
            </w:pPr>
          </w:p>
        </w:tc>
        <w:tc>
          <w:tcPr>
            <w:tcW w:w="930" w:type="dxa"/>
            <w:vAlign w:val="center"/>
          </w:tcPr>
          <w:p w14:paraId="2D468AA6">
            <w:pPr>
              <w:spacing w:line="360" w:lineRule="exact"/>
              <w:rPr>
                <w:rFonts w:ascii="仿宋" w:hAnsi="仿宋" w:eastAsia="仿宋" w:cs="仿宋"/>
                <w:sz w:val="24"/>
              </w:rPr>
            </w:pPr>
          </w:p>
        </w:tc>
        <w:tc>
          <w:tcPr>
            <w:tcW w:w="1154" w:type="dxa"/>
            <w:vAlign w:val="center"/>
          </w:tcPr>
          <w:p w14:paraId="52727D92">
            <w:pPr>
              <w:spacing w:line="360" w:lineRule="exact"/>
              <w:rPr>
                <w:rFonts w:ascii="仿宋" w:hAnsi="仿宋" w:eastAsia="仿宋" w:cs="仿宋"/>
                <w:sz w:val="24"/>
              </w:rPr>
            </w:pPr>
          </w:p>
        </w:tc>
      </w:tr>
      <w:tr w14:paraId="7F3D3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677" w:type="dxa"/>
            <w:vAlign w:val="center"/>
          </w:tcPr>
          <w:p w14:paraId="5B6CB594">
            <w:pPr>
              <w:spacing w:line="360" w:lineRule="exact"/>
              <w:jc w:val="center"/>
              <w:rPr>
                <w:rFonts w:ascii="仿宋" w:hAnsi="仿宋" w:eastAsia="仿宋" w:cs="仿宋"/>
                <w:sz w:val="24"/>
              </w:rPr>
            </w:pPr>
          </w:p>
        </w:tc>
        <w:tc>
          <w:tcPr>
            <w:tcW w:w="2968" w:type="dxa"/>
            <w:vAlign w:val="center"/>
          </w:tcPr>
          <w:p w14:paraId="02CFC05F">
            <w:pPr>
              <w:spacing w:line="360" w:lineRule="exact"/>
              <w:jc w:val="center"/>
              <w:rPr>
                <w:rFonts w:ascii="仿宋" w:hAnsi="仿宋" w:eastAsia="仿宋" w:cs="仿宋"/>
                <w:sz w:val="24"/>
              </w:rPr>
            </w:pPr>
          </w:p>
        </w:tc>
        <w:tc>
          <w:tcPr>
            <w:tcW w:w="1701" w:type="dxa"/>
            <w:vAlign w:val="center"/>
          </w:tcPr>
          <w:p w14:paraId="64A3D170">
            <w:pPr>
              <w:spacing w:line="360" w:lineRule="exact"/>
              <w:jc w:val="center"/>
              <w:rPr>
                <w:rFonts w:ascii="仿宋" w:hAnsi="仿宋" w:eastAsia="仿宋" w:cs="仿宋"/>
                <w:sz w:val="24"/>
              </w:rPr>
            </w:pPr>
          </w:p>
        </w:tc>
        <w:tc>
          <w:tcPr>
            <w:tcW w:w="1276" w:type="dxa"/>
            <w:vAlign w:val="center"/>
          </w:tcPr>
          <w:p w14:paraId="254C436A">
            <w:pPr>
              <w:spacing w:line="360" w:lineRule="exact"/>
              <w:rPr>
                <w:rFonts w:ascii="仿宋" w:hAnsi="仿宋" w:eastAsia="仿宋" w:cs="仿宋"/>
                <w:sz w:val="24"/>
              </w:rPr>
            </w:pPr>
          </w:p>
        </w:tc>
        <w:tc>
          <w:tcPr>
            <w:tcW w:w="930" w:type="dxa"/>
            <w:vAlign w:val="center"/>
          </w:tcPr>
          <w:p w14:paraId="6270D2EE">
            <w:pPr>
              <w:spacing w:line="360" w:lineRule="exact"/>
              <w:rPr>
                <w:rFonts w:ascii="仿宋" w:hAnsi="仿宋" w:eastAsia="仿宋" w:cs="仿宋"/>
                <w:sz w:val="24"/>
              </w:rPr>
            </w:pPr>
          </w:p>
        </w:tc>
        <w:tc>
          <w:tcPr>
            <w:tcW w:w="1154" w:type="dxa"/>
            <w:vAlign w:val="center"/>
          </w:tcPr>
          <w:p w14:paraId="66E49B2D">
            <w:pPr>
              <w:spacing w:line="360" w:lineRule="exact"/>
              <w:rPr>
                <w:rFonts w:ascii="仿宋" w:hAnsi="仿宋" w:eastAsia="仿宋" w:cs="仿宋"/>
                <w:sz w:val="24"/>
              </w:rPr>
            </w:pPr>
          </w:p>
        </w:tc>
      </w:tr>
    </w:tbl>
    <w:p w14:paraId="7A94C2D6">
      <w:pPr>
        <w:ind w:left="479" w:leftChars="228"/>
      </w:pPr>
      <w:r>
        <w:rPr>
          <w:rFonts w:hint="eastAsia" w:ascii="仿宋" w:hAnsi="仿宋" w:eastAsia="仿宋" w:cs="仿宋"/>
          <w:b/>
          <w:sz w:val="24"/>
        </w:rPr>
        <w:t>注：“自评表”装订在技术商务文件首页。投标人应认真填写相关内容在投标文件中所对应的页码，否则有可能做无效标处理。</w:t>
      </w:r>
    </w:p>
    <w:sectPr>
      <w:pgSz w:w="11906" w:h="16838"/>
      <w:pgMar w:top="1134" w:right="1134" w:bottom="1134" w:left="1354" w:header="567" w:footer="567" w:gutter="0"/>
      <w:cols w:space="720" w:num="1"/>
      <w:titlePg/>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楷体_GB2312">
    <w:altName w:val="楷体"/>
    <w:panose1 w:val="00000000000000000000"/>
    <w:charset w:val="86"/>
    <w:family w:val="modern"/>
    <w:pitch w:val="default"/>
    <w:sig w:usb0="00000000" w:usb1="00000000" w:usb2="0000001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504020202030204"/>
    <w:charset w:val="00"/>
    <w:family w:val="swiss"/>
    <w:pitch w:val="default"/>
    <w:sig w:usb0="00000007" w:usb1="00000000" w:usb2="00000000" w:usb3="00000000" w:csb0="00000093" w:csb1="00000000"/>
  </w:font>
  <w:font w:name="Courier New">
    <w:panose1 w:val="02070309020205020404"/>
    <w:charset w:val="00"/>
    <w:family w:val="modern"/>
    <w:pitch w:val="default"/>
    <w:sig w:usb0="E0002EFF" w:usb1="C0007843" w:usb2="00000009" w:usb3="00000000" w:csb0="400001FF" w:csb1="FFFF0000"/>
  </w:font>
  <w:font w:name="仿宋_GB2312">
    <w:altName w:val="仿宋"/>
    <w:panose1 w:val="00000000000000000000"/>
    <w:charset w:val="86"/>
    <w:family w:val="modern"/>
    <w:pitch w:val="default"/>
    <w:sig w:usb0="00000000" w:usb1="00000000" w:usb2="00000010" w:usb3="00000000" w:csb0="00040000" w:csb1="00000000"/>
  </w:font>
  <w:font w:name="汉仪仿宋简">
    <w:altName w:val="仿宋"/>
    <w:panose1 w:val="00000000000000000000"/>
    <w:charset w:val="86"/>
    <w:family w:val="modern"/>
    <w:pitch w:val="default"/>
    <w:sig w:usb0="00000000" w:usb1="00000000" w:usb2="00000012"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华文仿宋">
    <w:altName w:val="仿宋"/>
    <w:panose1 w:val="02010600040101010101"/>
    <w:charset w:val="86"/>
    <w:family w:val="auto"/>
    <w:pitch w:val="default"/>
    <w:sig w:usb0="00000000" w:usb1="00000000" w:usb2="00000010" w:usb3="00000000" w:csb0="0004009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2EF267">
    <w:pPr>
      <w:pStyle w:val="21"/>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14935" cy="131445"/>
              <wp:effectExtent l="0" t="0" r="0" b="0"/>
              <wp:wrapNone/>
              <wp:docPr id="3" name="文本框 1029"/>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15875">
                        <a:noFill/>
                      </a:ln>
                      <a:effectLst/>
                    </wps:spPr>
                    <wps:txbx>
                      <w:txbxContent>
                        <w:p w14:paraId="737EF4BC">
                          <w:pPr>
                            <w:pStyle w:val="21"/>
                          </w:pPr>
                          <w:r>
                            <w:fldChar w:fldCharType="begin"/>
                          </w:r>
                          <w:r>
                            <w:instrText xml:space="preserve"> PAGE  \* MERGEFORMAT </w:instrText>
                          </w:r>
                          <w:r>
                            <w:fldChar w:fldCharType="separate"/>
                          </w:r>
                          <w:r>
                            <w:t>9</w:t>
                          </w:r>
                          <w:r>
                            <w:fldChar w:fldCharType="end"/>
                          </w:r>
                        </w:p>
                      </w:txbxContent>
                    </wps:txbx>
                    <wps:bodyPr wrap="none" lIns="0" tIns="0" rIns="0" bIns="0" upright="1">
                      <a:spAutoFit/>
                    </wps:bodyPr>
                  </wps:wsp>
                </a:graphicData>
              </a:graphic>
            </wp:anchor>
          </w:drawing>
        </mc:Choice>
        <mc:Fallback>
          <w:pict>
            <v:shape id="文本框 1029" o:spid="_x0000_s1026" o:spt="202" type="#_x0000_t202" style="position:absolute;left:0pt;margin-top:0pt;height:10.35pt;width:9.05pt;mso-position-horizontal:center;mso-position-horizontal-relative:margin;mso-wrap-style:none;z-index:251662336;mso-width-relative:page;mso-height-relative:page;" filled="f" stroked="f" coordsize="21600,21600" o:gfxdata="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EAMx4DUAAAAAwEAAA8AAAAA&#10;AAAAAQAgAAAAIgAAAGRycy9kb3ducmV2LnhtbFBLAQIUABQAAAAIAIdO4kA9MnBG3wEAALIDAAAO&#10;AAAAAAAAAAEAIAAAACMBAABkcnMvZTJvRG9jLnhtbFBLBQYAAAAABgAGAFkBAAB0BQAAAAA=&#10;">
              <v:fill on="f" focussize="0,0"/>
              <v:stroke on="f" weight="1.25pt"/>
              <v:imagedata o:title=""/>
              <o:lock v:ext="edit" aspectratio="f"/>
              <v:textbox inset="0mm,0mm,0mm,0mm" style="mso-fit-shape-to-text:t;">
                <w:txbxContent>
                  <w:p w14:paraId="737EF4BC">
                    <w:pPr>
                      <w:pStyle w:val="21"/>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047FB">
    <w:pPr>
      <w:pStyle w:val="21"/>
      <w:jc w:val="center"/>
      <w:rPr>
        <w:u w:val="single"/>
      </w:rPr>
    </w:pPr>
    <w:r>
      <w:rPr>
        <w:u w:val="single"/>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4935" cy="131445"/>
              <wp:effectExtent l="0" t="0" r="0" b="0"/>
              <wp:wrapNone/>
              <wp:docPr id="2" name="文本框 1030"/>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15875">
                        <a:noFill/>
                      </a:ln>
                      <a:effectLst/>
                    </wps:spPr>
                    <wps:txbx>
                      <w:txbxContent>
                        <w:p w14:paraId="05209087">
                          <w:pPr>
                            <w:pStyle w:val="21"/>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1030" o:spid="_x0000_s1026" o:spt="202" type="#_x0000_t202" style="position:absolute;left:0pt;margin-top:0pt;height:10.35pt;width:9.05pt;mso-position-horizontal:center;mso-position-horizontal-relative:margin;mso-wrap-style:none;z-index:251661312;mso-width-relative:page;mso-height-relative:page;" filled="f" stroked="f" coordsize="21600,21600" o:gfxdata="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QAzHgNQAAAADAQAADwAAAAAA&#10;AAABACAAAAAiAAAAZHJzL2Rvd25yZXYueG1sUEsBAhQAFAAAAAgAh07iQCVZURXeAQAAsgMAAA4A&#10;AAAAAAAAAQAgAAAAIwEAAGRycy9lMm9Eb2MueG1sUEsFBgAAAAAGAAYAWQEAAHMFAAAAAA==&#10;">
              <v:fill on="f" focussize="0,0"/>
              <v:stroke on="f" weight="1.25pt"/>
              <v:imagedata o:title=""/>
              <o:lock v:ext="edit" aspectratio="f"/>
              <v:textbox inset="0mm,0mm,0mm,0mm" style="mso-fit-shape-to-text:t;">
                <w:txbxContent>
                  <w:p w14:paraId="05209087">
                    <w:pPr>
                      <w:pStyle w:val="2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52C785">
    <w:pPr>
      <w:pStyle w:val="2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1F5231B">
                          <w:pPr>
                            <w:pStyle w:val="21"/>
                          </w:pPr>
                          <w:r>
                            <w:rPr>
                              <w:rFonts w:hint="eastAsia"/>
                            </w:rPr>
                            <w:fldChar w:fldCharType="begin"/>
                          </w:r>
                          <w:r>
                            <w:rPr>
                              <w:rFonts w:hint="eastAsia"/>
                            </w:rPr>
                            <w:instrText xml:space="preserve"> PAGE  \* MERGEFORMAT </w:instrText>
                          </w:r>
                          <w:r>
                            <w:rPr>
                              <w:rFonts w:hint="eastAsia"/>
                            </w:rPr>
                            <w:fldChar w:fldCharType="separate"/>
                          </w:r>
                          <w:r>
                            <w:t>35</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HaDCsYBAACbAwAADgAAAGRycy9lMm9Eb2MueG1srVNLbtswEN0X6B0I&#10;7mspR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SkjuhvD5HGyNMl1BGKWCWH3izzm/YrLcVjP1c9/FOb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sdoMKxgEAAJsDAAAOAAAAAAAAAAEAIAAAAB4BAABkcnMvZTJvRG9jLnht&#10;bFBLBQYAAAAABgAGAFkBAABWBQAAAAA=&#10;">
              <v:fill on="f" focussize="0,0"/>
              <v:stroke on="f"/>
              <v:imagedata o:title=""/>
              <o:lock v:ext="edit" aspectratio="f"/>
              <v:textbox inset="0mm,0mm,0mm,0mm" style="mso-fit-shape-to-text:t;">
                <w:txbxContent>
                  <w:p w14:paraId="61F5231B">
                    <w:pPr>
                      <w:pStyle w:val="21"/>
                    </w:pPr>
                    <w:r>
                      <w:rPr>
                        <w:rFonts w:hint="eastAsia"/>
                      </w:rPr>
                      <w:fldChar w:fldCharType="begin"/>
                    </w:r>
                    <w:r>
                      <w:rPr>
                        <w:rFonts w:hint="eastAsia"/>
                      </w:rPr>
                      <w:instrText xml:space="preserve"> PAGE  \* MERGEFORMAT </w:instrText>
                    </w:r>
                    <w:r>
                      <w:rPr>
                        <w:rFonts w:hint="eastAsia"/>
                      </w:rPr>
                      <w:fldChar w:fldCharType="separate"/>
                    </w:r>
                    <w:r>
                      <w:t>35</w:t>
                    </w:r>
                    <w:r>
                      <w:rPr>
                        <w:rFonts w:hint="eastAsia"/>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footnote>
  <w:footnote w:type="continuationSeparator" w:id="1">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5E3D82">
    <w:pPr>
      <w:pStyle w:val="22"/>
      <w:pBdr>
        <w:bottom w:val="none" w:color="auto" w:sz="0" w:space="0"/>
      </w:pBdr>
      <w:jc w:val="both"/>
      <w:rPr>
        <w:rFonts w:ascii="仿宋" w:hAnsi="仿宋" w:eastAsia="仿宋" w:cs="仿宋"/>
      </w:rPr>
    </w:pPr>
  </w:p>
  <w:p w14:paraId="7617B3AE">
    <w:pPr>
      <w:pStyle w:val="22"/>
      <w:pBdr>
        <w:bottom w:val="thinThickSmallGap" w:color="auto" w:sz="12" w:space="0"/>
      </w:pBdr>
      <w:rPr>
        <w:rFonts w:eastAsia="仿宋"/>
        <w:u w:val="single"/>
      </w:rPr>
    </w:pPr>
    <w:r>
      <w:rPr>
        <w:rFonts w:ascii="仿宋" w:hAnsi="仿宋" w:eastAsia="仿宋" w:cs="仿宋"/>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33985" cy="153035"/>
              <wp:effectExtent l="0" t="0" r="0" b="0"/>
              <wp:wrapNone/>
              <wp:docPr id="1" name="文本框 1026"/>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w="15875">
                        <a:noFill/>
                      </a:ln>
                      <a:effectLst/>
                    </wps:spPr>
                    <wps:txbx>
                      <w:txbxContent>
                        <w:p w14:paraId="771DC116"/>
                      </w:txbxContent>
                    </wps:txbx>
                    <wps:bodyPr wrap="none" lIns="0" tIns="0" rIns="0" bIns="0" upright="1">
                      <a:spAutoFit/>
                    </wps:bodyPr>
                  </wps:wsp>
                </a:graphicData>
              </a:graphic>
            </wp:anchor>
          </w:drawing>
        </mc:Choice>
        <mc:Fallback>
          <w:pict>
            <v:shape id="文本框 1026" o:spid="_x0000_s1026" o:spt="202" type="#_x0000_t202" style="position:absolute;left:0pt;margin-top:0pt;height:12.05pt;width:10.55pt;mso-position-horizontal:right;mso-position-horizontal-relative:margin;mso-wrap-style:none;z-index:251660288;mso-width-relative:page;mso-height-relative:page;" filled="f" stroked="f" coordsize="21600,21600" o:gfxdata="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CTkuT60wAAAAMBAAAPAAAAAAAA&#10;AAEAIAAAACIAAABkcnMvZG93bnJldi54bWxQSwECFAAUAAAACACHTuJA29+Ph94BAACyAwAADgAA&#10;AAAAAAABACAAAAAiAQAAZHJzL2Uyb0RvYy54bWxQSwUGAAAAAAYABgBZAQAAcgUAAAAA&#10;">
              <v:fill on="f" focussize="0,0"/>
              <v:stroke on="f" weight="1.25pt"/>
              <v:imagedata o:title=""/>
              <o:lock v:ext="edit" aspectratio="f"/>
              <v:textbox inset="0mm,0mm,0mm,0mm" style="mso-fit-shape-to-text:t;">
                <w:txbxContent>
                  <w:p w14:paraId="771DC116"/>
                </w:txbxContent>
              </v:textbox>
            </v:shape>
          </w:pict>
        </mc:Fallback>
      </mc:AlternateContent>
    </w:r>
    <w:r>
      <w:rPr>
        <w:rFonts w:hint="eastAsia" w:ascii="仿宋" w:hAnsi="仿宋" w:eastAsia="仿宋" w:cs="仿宋"/>
      </w:rPr>
      <w:t>双林镇镇域战略规划研究暨镇区总体城市设计项目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78E5A">
    <w:pPr>
      <w:pStyle w:val="22"/>
      <w:pBdr>
        <w:bottom w:val="thinThickSmallGap" w:color="auto" w:sz="12" w:space="1"/>
      </w:pBdr>
      <w:tabs>
        <w:tab w:val="left" w:pos="8485"/>
        <w:tab w:val="clear" w:pos="8306"/>
      </w:tabs>
      <w:rPr>
        <w:rFonts w:eastAsia="仿宋"/>
      </w:rPr>
    </w:pPr>
    <w:r>
      <w:rPr>
        <w:rFonts w:hint="eastAsia" w:ascii="仿宋" w:hAnsi="仿宋" w:eastAsia="仿宋" w:cs="仿宋"/>
      </w:rPr>
      <w:t>双林镇镇域战略规划研究暨镇区总体城市设计项目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F7EA77E"/>
    <w:multiLevelType w:val="singleLevel"/>
    <w:tmpl w:val="EF7EA77E"/>
    <w:lvl w:ilvl="0" w:tentative="0">
      <w:start w:val="7"/>
      <w:numFmt w:val="chineseCounting"/>
      <w:suff w:val="space"/>
      <w:lvlText w:val="第%1章"/>
      <w:lvlJc w:val="left"/>
      <w:rPr>
        <w:rFonts w:hint="eastAsia"/>
      </w:rPr>
    </w:lvl>
  </w:abstractNum>
  <w:abstractNum w:abstractNumId="1">
    <w:nsid w:val="5238D34A"/>
    <w:multiLevelType w:val="singleLevel"/>
    <w:tmpl w:val="5238D34A"/>
    <w:lvl w:ilvl="0" w:tentative="0">
      <w:start w:val="1"/>
      <w:numFmt w:val="decimal"/>
      <w:suff w:val="nothing"/>
      <w:lvlText w:val="%1、"/>
      <w:lvlJc w:val="left"/>
    </w:lvl>
  </w:abstractNum>
  <w:abstractNum w:abstractNumId="2">
    <w:nsid w:val="57E78534"/>
    <w:multiLevelType w:val="singleLevel"/>
    <w:tmpl w:val="57E78534"/>
    <w:lvl w:ilvl="0" w:tentative="0">
      <w:start w:val="5"/>
      <w:numFmt w:val="decimal"/>
      <w:suff w:val="nothing"/>
      <w:lvlText w:val="%1）"/>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5"/>
  <w:bordersDoNotSurroundHeader w:val="1"/>
  <w:bordersDoNotSurroundFooter w:val="1"/>
  <w:documentProtection w:enforcement="0"/>
  <w:defaultTabStop w:val="420"/>
  <w:drawingGridHorizontalSpacing w:val="105"/>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hhM2YwMTJhMmUwOGM0Y2VmYjc2ZTc5MDYzYmM0OWMifQ=="/>
  </w:docVars>
  <w:rsids>
    <w:rsidRoot w:val="00AA54CE"/>
    <w:rsid w:val="000015B1"/>
    <w:rsid w:val="000029F2"/>
    <w:rsid w:val="00002A20"/>
    <w:rsid w:val="00002F4E"/>
    <w:rsid w:val="00003CEB"/>
    <w:rsid w:val="00003DB3"/>
    <w:rsid w:val="0000720F"/>
    <w:rsid w:val="000103C3"/>
    <w:rsid w:val="000125E1"/>
    <w:rsid w:val="00013B67"/>
    <w:rsid w:val="000155B1"/>
    <w:rsid w:val="0001594F"/>
    <w:rsid w:val="00015C38"/>
    <w:rsid w:val="0001673C"/>
    <w:rsid w:val="00017268"/>
    <w:rsid w:val="000203E6"/>
    <w:rsid w:val="00022834"/>
    <w:rsid w:val="00023A79"/>
    <w:rsid w:val="00023C4C"/>
    <w:rsid w:val="000263C6"/>
    <w:rsid w:val="00026C9E"/>
    <w:rsid w:val="00031C8F"/>
    <w:rsid w:val="000352C0"/>
    <w:rsid w:val="00037869"/>
    <w:rsid w:val="00040750"/>
    <w:rsid w:val="000430C1"/>
    <w:rsid w:val="000446AB"/>
    <w:rsid w:val="00044981"/>
    <w:rsid w:val="00044A7D"/>
    <w:rsid w:val="00045302"/>
    <w:rsid w:val="0005129F"/>
    <w:rsid w:val="00053EB0"/>
    <w:rsid w:val="00055A42"/>
    <w:rsid w:val="00057F17"/>
    <w:rsid w:val="000603EF"/>
    <w:rsid w:val="00060724"/>
    <w:rsid w:val="000634EA"/>
    <w:rsid w:val="0006689E"/>
    <w:rsid w:val="00066B3B"/>
    <w:rsid w:val="0006711B"/>
    <w:rsid w:val="000678A0"/>
    <w:rsid w:val="00070CB2"/>
    <w:rsid w:val="0007165E"/>
    <w:rsid w:val="00071EE2"/>
    <w:rsid w:val="0007214B"/>
    <w:rsid w:val="00072284"/>
    <w:rsid w:val="0008056D"/>
    <w:rsid w:val="00083EEF"/>
    <w:rsid w:val="00086B28"/>
    <w:rsid w:val="0009178E"/>
    <w:rsid w:val="000918A1"/>
    <w:rsid w:val="00092F55"/>
    <w:rsid w:val="0009661D"/>
    <w:rsid w:val="00096D39"/>
    <w:rsid w:val="000A117C"/>
    <w:rsid w:val="000A140A"/>
    <w:rsid w:val="000A1E76"/>
    <w:rsid w:val="000A3461"/>
    <w:rsid w:val="000B0060"/>
    <w:rsid w:val="000B1259"/>
    <w:rsid w:val="000B1C3F"/>
    <w:rsid w:val="000B20D3"/>
    <w:rsid w:val="000B5D02"/>
    <w:rsid w:val="000C0545"/>
    <w:rsid w:val="000C51F3"/>
    <w:rsid w:val="000C6416"/>
    <w:rsid w:val="000C666E"/>
    <w:rsid w:val="000C70D1"/>
    <w:rsid w:val="000D224E"/>
    <w:rsid w:val="000D2E32"/>
    <w:rsid w:val="000E1F65"/>
    <w:rsid w:val="000E231A"/>
    <w:rsid w:val="000E2EAD"/>
    <w:rsid w:val="000E3B08"/>
    <w:rsid w:val="000E3E6A"/>
    <w:rsid w:val="000E43F4"/>
    <w:rsid w:val="000E66D6"/>
    <w:rsid w:val="000E6902"/>
    <w:rsid w:val="000E7414"/>
    <w:rsid w:val="000F10D3"/>
    <w:rsid w:val="000F3412"/>
    <w:rsid w:val="000F601A"/>
    <w:rsid w:val="000F6217"/>
    <w:rsid w:val="001036DE"/>
    <w:rsid w:val="00105B85"/>
    <w:rsid w:val="0010600F"/>
    <w:rsid w:val="0010677F"/>
    <w:rsid w:val="001073E0"/>
    <w:rsid w:val="00110E1A"/>
    <w:rsid w:val="0011159D"/>
    <w:rsid w:val="001121D9"/>
    <w:rsid w:val="001140D1"/>
    <w:rsid w:val="0011471D"/>
    <w:rsid w:val="00115377"/>
    <w:rsid w:val="001172B0"/>
    <w:rsid w:val="00117E99"/>
    <w:rsid w:val="001201F3"/>
    <w:rsid w:val="00121224"/>
    <w:rsid w:val="00121F64"/>
    <w:rsid w:val="00124952"/>
    <w:rsid w:val="00127B96"/>
    <w:rsid w:val="001336C1"/>
    <w:rsid w:val="001346E8"/>
    <w:rsid w:val="001352F3"/>
    <w:rsid w:val="00135BA9"/>
    <w:rsid w:val="00137D9D"/>
    <w:rsid w:val="00140A64"/>
    <w:rsid w:val="00141C8E"/>
    <w:rsid w:val="00142D03"/>
    <w:rsid w:val="00151A9F"/>
    <w:rsid w:val="00152697"/>
    <w:rsid w:val="00152F68"/>
    <w:rsid w:val="00155185"/>
    <w:rsid w:val="0016015F"/>
    <w:rsid w:val="00160841"/>
    <w:rsid w:val="00161EEE"/>
    <w:rsid w:val="00162189"/>
    <w:rsid w:val="001621EA"/>
    <w:rsid w:val="00162AF1"/>
    <w:rsid w:val="00163A6D"/>
    <w:rsid w:val="0016518C"/>
    <w:rsid w:val="00170AE7"/>
    <w:rsid w:val="00171E1F"/>
    <w:rsid w:val="001723A0"/>
    <w:rsid w:val="00174BD5"/>
    <w:rsid w:val="00175E3E"/>
    <w:rsid w:val="0017689A"/>
    <w:rsid w:val="00182078"/>
    <w:rsid w:val="00183629"/>
    <w:rsid w:val="00183B17"/>
    <w:rsid w:val="00185762"/>
    <w:rsid w:val="00190968"/>
    <w:rsid w:val="00190CEA"/>
    <w:rsid w:val="00191359"/>
    <w:rsid w:val="00193B08"/>
    <w:rsid w:val="00193D58"/>
    <w:rsid w:val="00194108"/>
    <w:rsid w:val="00196C69"/>
    <w:rsid w:val="001A120D"/>
    <w:rsid w:val="001A16A6"/>
    <w:rsid w:val="001A632F"/>
    <w:rsid w:val="001A7226"/>
    <w:rsid w:val="001B0F0B"/>
    <w:rsid w:val="001B19C2"/>
    <w:rsid w:val="001B3420"/>
    <w:rsid w:val="001B7314"/>
    <w:rsid w:val="001B7AF2"/>
    <w:rsid w:val="001B7E33"/>
    <w:rsid w:val="001C14A6"/>
    <w:rsid w:val="001C16C9"/>
    <w:rsid w:val="001C42B7"/>
    <w:rsid w:val="001C5B8F"/>
    <w:rsid w:val="001D05BF"/>
    <w:rsid w:val="001D5C43"/>
    <w:rsid w:val="001D6104"/>
    <w:rsid w:val="001E0026"/>
    <w:rsid w:val="001E2308"/>
    <w:rsid w:val="001E41A6"/>
    <w:rsid w:val="001E426F"/>
    <w:rsid w:val="001E52B2"/>
    <w:rsid w:val="001E56C7"/>
    <w:rsid w:val="001F0ADD"/>
    <w:rsid w:val="001F0D58"/>
    <w:rsid w:val="001F247E"/>
    <w:rsid w:val="001F2A43"/>
    <w:rsid w:val="001F3A4E"/>
    <w:rsid w:val="001F5141"/>
    <w:rsid w:val="00202902"/>
    <w:rsid w:val="002102AE"/>
    <w:rsid w:val="0021084D"/>
    <w:rsid w:val="0021112D"/>
    <w:rsid w:val="002114B4"/>
    <w:rsid w:val="002147A3"/>
    <w:rsid w:val="0021718C"/>
    <w:rsid w:val="00220831"/>
    <w:rsid w:val="002212F1"/>
    <w:rsid w:val="00221842"/>
    <w:rsid w:val="0022252B"/>
    <w:rsid w:val="00230930"/>
    <w:rsid w:val="00233B60"/>
    <w:rsid w:val="0023546C"/>
    <w:rsid w:val="00237C91"/>
    <w:rsid w:val="00237E5D"/>
    <w:rsid w:val="00240476"/>
    <w:rsid w:val="0024158E"/>
    <w:rsid w:val="00241FE6"/>
    <w:rsid w:val="002425C3"/>
    <w:rsid w:val="002426E8"/>
    <w:rsid w:val="00242727"/>
    <w:rsid w:val="00242F06"/>
    <w:rsid w:val="00246D75"/>
    <w:rsid w:val="002477DB"/>
    <w:rsid w:val="00250A1F"/>
    <w:rsid w:val="00250FCF"/>
    <w:rsid w:val="00252F20"/>
    <w:rsid w:val="002566DB"/>
    <w:rsid w:val="00257688"/>
    <w:rsid w:val="00257780"/>
    <w:rsid w:val="00263D6B"/>
    <w:rsid w:val="00266494"/>
    <w:rsid w:val="002668B0"/>
    <w:rsid w:val="00267599"/>
    <w:rsid w:val="00267E5D"/>
    <w:rsid w:val="0027008C"/>
    <w:rsid w:val="0027613F"/>
    <w:rsid w:val="00281B54"/>
    <w:rsid w:val="00283054"/>
    <w:rsid w:val="00283CC9"/>
    <w:rsid w:val="00286FCD"/>
    <w:rsid w:val="00290DA2"/>
    <w:rsid w:val="00296D97"/>
    <w:rsid w:val="002A4780"/>
    <w:rsid w:val="002B00A2"/>
    <w:rsid w:val="002B06A4"/>
    <w:rsid w:val="002B1CCA"/>
    <w:rsid w:val="002B27C0"/>
    <w:rsid w:val="002B34C5"/>
    <w:rsid w:val="002B4298"/>
    <w:rsid w:val="002B4D55"/>
    <w:rsid w:val="002B6797"/>
    <w:rsid w:val="002B7F94"/>
    <w:rsid w:val="002C2A8D"/>
    <w:rsid w:val="002C4ED1"/>
    <w:rsid w:val="002C6453"/>
    <w:rsid w:val="002C6CBA"/>
    <w:rsid w:val="002D0FCC"/>
    <w:rsid w:val="002D2E09"/>
    <w:rsid w:val="002D33FF"/>
    <w:rsid w:val="002D3FAD"/>
    <w:rsid w:val="002D4410"/>
    <w:rsid w:val="002D764D"/>
    <w:rsid w:val="002E0325"/>
    <w:rsid w:val="002E4A1C"/>
    <w:rsid w:val="002E4C8C"/>
    <w:rsid w:val="002E5BAA"/>
    <w:rsid w:val="002E6379"/>
    <w:rsid w:val="002F0C66"/>
    <w:rsid w:val="002F1BF8"/>
    <w:rsid w:val="002F24D2"/>
    <w:rsid w:val="002F275D"/>
    <w:rsid w:val="002F28C5"/>
    <w:rsid w:val="00300AC7"/>
    <w:rsid w:val="00301761"/>
    <w:rsid w:val="00301B69"/>
    <w:rsid w:val="00303029"/>
    <w:rsid w:val="003041B2"/>
    <w:rsid w:val="00305FD0"/>
    <w:rsid w:val="0030762C"/>
    <w:rsid w:val="00311BB8"/>
    <w:rsid w:val="003125CB"/>
    <w:rsid w:val="003164B6"/>
    <w:rsid w:val="0032052F"/>
    <w:rsid w:val="00320B83"/>
    <w:rsid w:val="003238DB"/>
    <w:rsid w:val="00324FF3"/>
    <w:rsid w:val="00325742"/>
    <w:rsid w:val="003273ED"/>
    <w:rsid w:val="00331C5C"/>
    <w:rsid w:val="00334FB3"/>
    <w:rsid w:val="003365A2"/>
    <w:rsid w:val="00336ABA"/>
    <w:rsid w:val="00336C75"/>
    <w:rsid w:val="00337D86"/>
    <w:rsid w:val="00341E07"/>
    <w:rsid w:val="003428D5"/>
    <w:rsid w:val="00346EA7"/>
    <w:rsid w:val="003500A6"/>
    <w:rsid w:val="00350C22"/>
    <w:rsid w:val="0035105C"/>
    <w:rsid w:val="003516FF"/>
    <w:rsid w:val="0035311E"/>
    <w:rsid w:val="0035448C"/>
    <w:rsid w:val="003544B2"/>
    <w:rsid w:val="00354BED"/>
    <w:rsid w:val="00357744"/>
    <w:rsid w:val="00361E5E"/>
    <w:rsid w:val="003636BC"/>
    <w:rsid w:val="00364250"/>
    <w:rsid w:val="00364EEF"/>
    <w:rsid w:val="003661AF"/>
    <w:rsid w:val="0036769D"/>
    <w:rsid w:val="00371354"/>
    <w:rsid w:val="00372323"/>
    <w:rsid w:val="00377D4F"/>
    <w:rsid w:val="00383688"/>
    <w:rsid w:val="00383974"/>
    <w:rsid w:val="00385CD5"/>
    <w:rsid w:val="00385E22"/>
    <w:rsid w:val="00391231"/>
    <w:rsid w:val="00392D05"/>
    <w:rsid w:val="00395B28"/>
    <w:rsid w:val="003A2917"/>
    <w:rsid w:val="003A4FF0"/>
    <w:rsid w:val="003A74B5"/>
    <w:rsid w:val="003B185A"/>
    <w:rsid w:val="003B21E1"/>
    <w:rsid w:val="003B2678"/>
    <w:rsid w:val="003B4062"/>
    <w:rsid w:val="003B4BF1"/>
    <w:rsid w:val="003B5278"/>
    <w:rsid w:val="003B67C3"/>
    <w:rsid w:val="003B7995"/>
    <w:rsid w:val="003C223C"/>
    <w:rsid w:val="003C3AB1"/>
    <w:rsid w:val="003C3CB7"/>
    <w:rsid w:val="003C58F4"/>
    <w:rsid w:val="003C68EE"/>
    <w:rsid w:val="003D1637"/>
    <w:rsid w:val="003D26C7"/>
    <w:rsid w:val="003E210B"/>
    <w:rsid w:val="003E2249"/>
    <w:rsid w:val="003E2AD2"/>
    <w:rsid w:val="003E34A2"/>
    <w:rsid w:val="003E386D"/>
    <w:rsid w:val="003E4682"/>
    <w:rsid w:val="003E485C"/>
    <w:rsid w:val="003E6DAC"/>
    <w:rsid w:val="003F1202"/>
    <w:rsid w:val="003F3622"/>
    <w:rsid w:val="003F364D"/>
    <w:rsid w:val="003F3A25"/>
    <w:rsid w:val="003F44B7"/>
    <w:rsid w:val="003F5A1B"/>
    <w:rsid w:val="003F6396"/>
    <w:rsid w:val="00400053"/>
    <w:rsid w:val="00400D32"/>
    <w:rsid w:val="004017B7"/>
    <w:rsid w:val="00406766"/>
    <w:rsid w:val="00407BBF"/>
    <w:rsid w:val="004115DB"/>
    <w:rsid w:val="004152CB"/>
    <w:rsid w:val="00417139"/>
    <w:rsid w:val="00417282"/>
    <w:rsid w:val="004204D5"/>
    <w:rsid w:val="0042151A"/>
    <w:rsid w:val="00422EC8"/>
    <w:rsid w:val="00426915"/>
    <w:rsid w:val="00426D29"/>
    <w:rsid w:val="0043390D"/>
    <w:rsid w:val="00434796"/>
    <w:rsid w:val="00434F3C"/>
    <w:rsid w:val="00435FA3"/>
    <w:rsid w:val="00436E9E"/>
    <w:rsid w:val="00441752"/>
    <w:rsid w:val="004417EB"/>
    <w:rsid w:val="00441DE7"/>
    <w:rsid w:val="00442E9E"/>
    <w:rsid w:val="004430E9"/>
    <w:rsid w:val="00443FAB"/>
    <w:rsid w:val="00444638"/>
    <w:rsid w:val="00445930"/>
    <w:rsid w:val="00452F11"/>
    <w:rsid w:val="00453EE0"/>
    <w:rsid w:val="00456262"/>
    <w:rsid w:val="004563CD"/>
    <w:rsid w:val="00456454"/>
    <w:rsid w:val="00457613"/>
    <w:rsid w:val="00457E27"/>
    <w:rsid w:val="0046029F"/>
    <w:rsid w:val="00464E27"/>
    <w:rsid w:val="00470854"/>
    <w:rsid w:val="004726E4"/>
    <w:rsid w:val="00475695"/>
    <w:rsid w:val="00477662"/>
    <w:rsid w:val="004805C7"/>
    <w:rsid w:val="00482DC5"/>
    <w:rsid w:val="0048689A"/>
    <w:rsid w:val="00487608"/>
    <w:rsid w:val="00490014"/>
    <w:rsid w:val="004901EC"/>
    <w:rsid w:val="00490AF8"/>
    <w:rsid w:val="00491388"/>
    <w:rsid w:val="004926DD"/>
    <w:rsid w:val="00493D5F"/>
    <w:rsid w:val="004952A3"/>
    <w:rsid w:val="004956AC"/>
    <w:rsid w:val="004957F8"/>
    <w:rsid w:val="0049587E"/>
    <w:rsid w:val="00496355"/>
    <w:rsid w:val="004A0996"/>
    <w:rsid w:val="004A1D26"/>
    <w:rsid w:val="004A3BCA"/>
    <w:rsid w:val="004A3F5B"/>
    <w:rsid w:val="004A7105"/>
    <w:rsid w:val="004B26F4"/>
    <w:rsid w:val="004B2A65"/>
    <w:rsid w:val="004B3130"/>
    <w:rsid w:val="004B4920"/>
    <w:rsid w:val="004B6B09"/>
    <w:rsid w:val="004B6EC5"/>
    <w:rsid w:val="004B7448"/>
    <w:rsid w:val="004B7C8B"/>
    <w:rsid w:val="004C0B20"/>
    <w:rsid w:val="004C10B7"/>
    <w:rsid w:val="004C157E"/>
    <w:rsid w:val="004C4B3A"/>
    <w:rsid w:val="004C675F"/>
    <w:rsid w:val="004D0C91"/>
    <w:rsid w:val="004D2B1A"/>
    <w:rsid w:val="004D7756"/>
    <w:rsid w:val="004E103A"/>
    <w:rsid w:val="004E32ED"/>
    <w:rsid w:val="004E511F"/>
    <w:rsid w:val="004E6F8A"/>
    <w:rsid w:val="004F3DC3"/>
    <w:rsid w:val="004F494D"/>
    <w:rsid w:val="004F4FA7"/>
    <w:rsid w:val="004F6F57"/>
    <w:rsid w:val="004F7D2B"/>
    <w:rsid w:val="005030A3"/>
    <w:rsid w:val="0050349B"/>
    <w:rsid w:val="005042B3"/>
    <w:rsid w:val="00504D39"/>
    <w:rsid w:val="00506984"/>
    <w:rsid w:val="00506BA9"/>
    <w:rsid w:val="00510C42"/>
    <w:rsid w:val="005118D2"/>
    <w:rsid w:val="00515618"/>
    <w:rsid w:val="00515B95"/>
    <w:rsid w:val="005172A0"/>
    <w:rsid w:val="00517DD9"/>
    <w:rsid w:val="00525F6C"/>
    <w:rsid w:val="005261E7"/>
    <w:rsid w:val="00526689"/>
    <w:rsid w:val="00526C60"/>
    <w:rsid w:val="00527E9F"/>
    <w:rsid w:val="00530B24"/>
    <w:rsid w:val="005320A2"/>
    <w:rsid w:val="00534FE0"/>
    <w:rsid w:val="005379B4"/>
    <w:rsid w:val="00541206"/>
    <w:rsid w:val="00551C42"/>
    <w:rsid w:val="00554FBD"/>
    <w:rsid w:val="00556487"/>
    <w:rsid w:val="00560A9E"/>
    <w:rsid w:val="00572033"/>
    <w:rsid w:val="0057358F"/>
    <w:rsid w:val="00574712"/>
    <w:rsid w:val="00575126"/>
    <w:rsid w:val="00576E9A"/>
    <w:rsid w:val="00577324"/>
    <w:rsid w:val="00580752"/>
    <w:rsid w:val="00580792"/>
    <w:rsid w:val="00582305"/>
    <w:rsid w:val="00582391"/>
    <w:rsid w:val="00583B23"/>
    <w:rsid w:val="00585EB4"/>
    <w:rsid w:val="005867EC"/>
    <w:rsid w:val="00587AAF"/>
    <w:rsid w:val="00590E6C"/>
    <w:rsid w:val="0059367C"/>
    <w:rsid w:val="005944A5"/>
    <w:rsid w:val="00594837"/>
    <w:rsid w:val="00596383"/>
    <w:rsid w:val="0059757E"/>
    <w:rsid w:val="005A0953"/>
    <w:rsid w:val="005A202B"/>
    <w:rsid w:val="005A3BCD"/>
    <w:rsid w:val="005A3E02"/>
    <w:rsid w:val="005A4852"/>
    <w:rsid w:val="005A4890"/>
    <w:rsid w:val="005A5B45"/>
    <w:rsid w:val="005A66F6"/>
    <w:rsid w:val="005A6D0C"/>
    <w:rsid w:val="005A73EF"/>
    <w:rsid w:val="005B048A"/>
    <w:rsid w:val="005B0F93"/>
    <w:rsid w:val="005B1079"/>
    <w:rsid w:val="005B1850"/>
    <w:rsid w:val="005B3439"/>
    <w:rsid w:val="005B3A1D"/>
    <w:rsid w:val="005B6023"/>
    <w:rsid w:val="005C4A50"/>
    <w:rsid w:val="005C4BD7"/>
    <w:rsid w:val="005C4E24"/>
    <w:rsid w:val="005C5604"/>
    <w:rsid w:val="005C6CF3"/>
    <w:rsid w:val="005D09CE"/>
    <w:rsid w:val="005D0B2C"/>
    <w:rsid w:val="005D3840"/>
    <w:rsid w:val="005E0B4C"/>
    <w:rsid w:val="005E15EA"/>
    <w:rsid w:val="005E2ADE"/>
    <w:rsid w:val="005E6525"/>
    <w:rsid w:val="005F082C"/>
    <w:rsid w:val="005F099B"/>
    <w:rsid w:val="005F2C37"/>
    <w:rsid w:val="005F3D6B"/>
    <w:rsid w:val="005F5E34"/>
    <w:rsid w:val="005F6CA6"/>
    <w:rsid w:val="00600A46"/>
    <w:rsid w:val="00601491"/>
    <w:rsid w:val="006028D5"/>
    <w:rsid w:val="00610A0A"/>
    <w:rsid w:val="00612655"/>
    <w:rsid w:val="00612DE7"/>
    <w:rsid w:val="0061367F"/>
    <w:rsid w:val="0061381F"/>
    <w:rsid w:val="00613EA3"/>
    <w:rsid w:val="0061611B"/>
    <w:rsid w:val="0061633E"/>
    <w:rsid w:val="0061678C"/>
    <w:rsid w:val="00621B9E"/>
    <w:rsid w:val="00622793"/>
    <w:rsid w:val="00622AD1"/>
    <w:rsid w:val="00625C8E"/>
    <w:rsid w:val="00630766"/>
    <w:rsid w:val="0063116F"/>
    <w:rsid w:val="00632CCF"/>
    <w:rsid w:val="006344E2"/>
    <w:rsid w:val="00636AC1"/>
    <w:rsid w:val="00636C6B"/>
    <w:rsid w:val="006370DA"/>
    <w:rsid w:val="00640492"/>
    <w:rsid w:val="006452B8"/>
    <w:rsid w:val="00645B1D"/>
    <w:rsid w:val="006460F8"/>
    <w:rsid w:val="00650BE0"/>
    <w:rsid w:val="006526F1"/>
    <w:rsid w:val="00654734"/>
    <w:rsid w:val="00656F93"/>
    <w:rsid w:val="00657387"/>
    <w:rsid w:val="006602FC"/>
    <w:rsid w:val="00660662"/>
    <w:rsid w:val="00661031"/>
    <w:rsid w:val="00664F52"/>
    <w:rsid w:val="00665484"/>
    <w:rsid w:val="0066548B"/>
    <w:rsid w:val="0066666B"/>
    <w:rsid w:val="0066698A"/>
    <w:rsid w:val="0067048E"/>
    <w:rsid w:val="00671728"/>
    <w:rsid w:val="00671913"/>
    <w:rsid w:val="00674505"/>
    <w:rsid w:val="006754D4"/>
    <w:rsid w:val="00675E62"/>
    <w:rsid w:val="006767E5"/>
    <w:rsid w:val="00676A84"/>
    <w:rsid w:val="00681063"/>
    <w:rsid w:val="00681C36"/>
    <w:rsid w:val="00683E5C"/>
    <w:rsid w:val="0068649E"/>
    <w:rsid w:val="00690B4C"/>
    <w:rsid w:val="006910B6"/>
    <w:rsid w:val="006920B0"/>
    <w:rsid w:val="006943FB"/>
    <w:rsid w:val="00697030"/>
    <w:rsid w:val="006A1CCE"/>
    <w:rsid w:val="006A280E"/>
    <w:rsid w:val="006A36E7"/>
    <w:rsid w:val="006A3AAD"/>
    <w:rsid w:val="006A5138"/>
    <w:rsid w:val="006A5AD2"/>
    <w:rsid w:val="006A5DF1"/>
    <w:rsid w:val="006A6FE5"/>
    <w:rsid w:val="006A7F7A"/>
    <w:rsid w:val="006B0667"/>
    <w:rsid w:val="006B0E59"/>
    <w:rsid w:val="006B1125"/>
    <w:rsid w:val="006B112C"/>
    <w:rsid w:val="006B46C1"/>
    <w:rsid w:val="006B65FC"/>
    <w:rsid w:val="006B6B61"/>
    <w:rsid w:val="006B7768"/>
    <w:rsid w:val="006C0163"/>
    <w:rsid w:val="006C15E4"/>
    <w:rsid w:val="006C45EB"/>
    <w:rsid w:val="006C4736"/>
    <w:rsid w:val="006C4788"/>
    <w:rsid w:val="006D26D8"/>
    <w:rsid w:val="006D38DA"/>
    <w:rsid w:val="006D61AF"/>
    <w:rsid w:val="006D7950"/>
    <w:rsid w:val="006E0713"/>
    <w:rsid w:val="006E2AF2"/>
    <w:rsid w:val="006E3409"/>
    <w:rsid w:val="006E3DDA"/>
    <w:rsid w:val="006E6B0C"/>
    <w:rsid w:val="006E7270"/>
    <w:rsid w:val="006F3FF9"/>
    <w:rsid w:val="006F57D8"/>
    <w:rsid w:val="006F5A9F"/>
    <w:rsid w:val="006F72FD"/>
    <w:rsid w:val="00700B4B"/>
    <w:rsid w:val="00701473"/>
    <w:rsid w:val="0070661F"/>
    <w:rsid w:val="00706B0B"/>
    <w:rsid w:val="007077A2"/>
    <w:rsid w:val="00707D9E"/>
    <w:rsid w:val="00711017"/>
    <w:rsid w:val="00714646"/>
    <w:rsid w:val="0071538E"/>
    <w:rsid w:val="00717619"/>
    <w:rsid w:val="00721ABA"/>
    <w:rsid w:val="00722DE4"/>
    <w:rsid w:val="0072465A"/>
    <w:rsid w:val="00725414"/>
    <w:rsid w:val="00733F15"/>
    <w:rsid w:val="00736A40"/>
    <w:rsid w:val="00744535"/>
    <w:rsid w:val="00744591"/>
    <w:rsid w:val="007450FB"/>
    <w:rsid w:val="0074540E"/>
    <w:rsid w:val="00746DCE"/>
    <w:rsid w:val="00747BF8"/>
    <w:rsid w:val="00747EDD"/>
    <w:rsid w:val="00750C31"/>
    <w:rsid w:val="007516CB"/>
    <w:rsid w:val="00751D64"/>
    <w:rsid w:val="00751E2C"/>
    <w:rsid w:val="00755A0E"/>
    <w:rsid w:val="0075611C"/>
    <w:rsid w:val="00756BAD"/>
    <w:rsid w:val="00760F7D"/>
    <w:rsid w:val="00766C9E"/>
    <w:rsid w:val="007716DB"/>
    <w:rsid w:val="00775766"/>
    <w:rsid w:val="00775A5A"/>
    <w:rsid w:val="00776E29"/>
    <w:rsid w:val="00782A9E"/>
    <w:rsid w:val="00785338"/>
    <w:rsid w:val="00785C94"/>
    <w:rsid w:val="007869A4"/>
    <w:rsid w:val="00787A6E"/>
    <w:rsid w:val="00790B8C"/>
    <w:rsid w:val="00790CD6"/>
    <w:rsid w:val="00790EFD"/>
    <w:rsid w:val="00792BD6"/>
    <w:rsid w:val="0079490D"/>
    <w:rsid w:val="0079656C"/>
    <w:rsid w:val="007A6D46"/>
    <w:rsid w:val="007B0031"/>
    <w:rsid w:val="007B32E0"/>
    <w:rsid w:val="007B72E8"/>
    <w:rsid w:val="007C2601"/>
    <w:rsid w:val="007C2BA0"/>
    <w:rsid w:val="007C2E91"/>
    <w:rsid w:val="007C4A5C"/>
    <w:rsid w:val="007C74BB"/>
    <w:rsid w:val="007C75D0"/>
    <w:rsid w:val="007D1B74"/>
    <w:rsid w:val="007D5803"/>
    <w:rsid w:val="007E15F7"/>
    <w:rsid w:val="007E23D6"/>
    <w:rsid w:val="007E26BB"/>
    <w:rsid w:val="007E30A3"/>
    <w:rsid w:val="007F0BEB"/>
    <w:rsid w:val="007F756D"/>
    <w:rsid w:val="00800CBA"/>
    <w:rsid w:val="008023DE"/>
    <w:rsid w:val="008031D5"/>
    <w:rsid w:val="00805B3B"/>
    <w:rsid w:val="00806702"/>
    <w:rsid w:val="00806E0A"/>
    <w:rsid w:val="00810FFF"/>
    <w:rsid w:val="00812F6B"/>
    <w:rsid w:val="00813BF0"/>
    <w:rsid w:val="008143C3"/>
    <w:rsid w:val="00816A05"/>
    <w:rsid w:val="00816FFB"/>
    <w:rsid w:val="008175EB"/>
    <w:rsid w:val="0082155A"/>
    <w:rsid w:val="00821618"/>
    <w:rsid w:val="00822693"/>
    <w:rsid w:val="00824BD6"/>
    <w:rsid w:val="00824D95"/>
    <w:rsid w:val="00827DA5"/>
    <w:rsid w:val="008329F5"/>
    <w:rsid w:val="00832BCD"/>
    <w:rsid w:val="00832E1A"/>
    <w:rsid w:val="00835D16"/>
    <w:rsid w:val="0084092B"/>
    <w:rsid w:val="00841572"/>
    <w:rsid w:val="00842877"/>
    <w:rsid w:val="00843EE9"/>
    <w:rsid w:val="00844243"/>
    <w:rsid w:val="008454DC"/>
    <w:rsid w:val="008455EC"/>
    <w:rsid w:val="00850693"/>
    <w:rsid w:val="008530A8"/>
    <w:rsid w:val="008541D0"/>
    <w:rsid w:val="0085464F"/>
    <w:rsid w:val="008547D5"/>
    <w:rsid w:val="008552B5"/>
    <w:rsid w:val="00855769"/>
    <w:rsid w:val="00860B5A"/>
    <w:rsid w:val="0086235E"/>
    <w:rsid w:val="00863113"/>
    <w:rsid w:val="00865AAA"/>
    <w:rsid w:val="0086614C"/>
    <w:rsid w:val="00870AD4"/>
    <w:rsid w:val="00871802"/>
    <w:rsid w:val="00872225"/>
    <w:rsid w:val="00872E7C"/>
    <w:rsid w:val="0088178F"/>
    <w:rsid w:val="00882EC8"/>
    <w:rsid w:val="00886AF3"/>
    <w:rsid w:val="00886D68"/>
    <w:rsid w:val="00887A11"/>
    <w:rsid w:val="0089040B"/>
    <w:rsid w:val="00891941"/>
    <w:rsid w:val="00891C14"/>
    <w:rsid w:val="008954DE"/>
    <w:rsid w:val="008A45EE"/>
    <w:rsid w:val="008A5A78"/>
    <w:rsid w:val="008B1273"/>
    <w:rsid w:val="008B2198"/>
    <w:rsid w:val="008B2744"/>
    <w:rsid w:val="008B3C6C"/>
    <w:rsid w:val="008B6491"/>
    <w:rsid w:val="008B73F8"/>
    <w:rsid w:val="008C7BE4"/>
    <w:rsid w:val="008D21BB"/>
    <w:rsid w:val="008D21F8"/>
    <w:rsid w:val="008D304C"/>
    <w:rsid w:val="008D34B7"/>
    <w:rsid w:val="008D67DC"/>
    <w:rsid w:val="008E1815"/>
    <w:rsid w:val="008E2F5A"/>
    <w:rsid w:val="008E32EE"/>
    <w:rsid w:val="008E3B63"/>
    <w:rsid w:val="008E55BC"/>
    <w:rsid w:val="008E6D03"/>
    <w:rsid w:val="008E7179"/>
    <w:rsid w:val="008F094C"/>
    <w:rsid w:val="008F255A"/>
    <w:rsid w:val="008F2B5D"/>
    <w:rsid w:val="008F548F"/>
    <w:rsid w:val="008F5FDA"/>
    <w:rsid w:val="008F7F5A"/>
    <w:rsid w:val="00904AEA"/>
    <w:rsid w:val="00905448"/>
    <w:rsid w:val="0090601F"/>
    <w:rsid w:val="009123A0"/>
    <w:rsid w:val="00912AEA"/>
    <w:rsid w:val="0091414E"/>
    <w:rsid w:val="00914B1E"/>
    <w:rsid w:val="00915593"/>
    <w:rsid w:val="009157C7"/>
    <w:rsid w:val="00921492"/>
    <w:rsid w:val="00931790"/>
    <w:rsid w:val="00932D2B"/>
    <w:rsid w:val="009375CD"/>
    <w:rsid w:val="00940037"/>
    <w:rsid w:val="00943333"/>
    <w:rsid w:val="00945657"/>
    <w:rsid w:val="00946518"/>
    <w:rsid w:val="00950A6F"/>
    <w:rsid w:val="00952222"/>
    <w:rsid w:val="009576A7"/>
    <w:rsid w:val="009602C1"/>
    <w:rsid w:val="00961653"/>
    <w:rsid w:val="009646CA"/>
    <w:rsid w:val="0096576B"/>
    <w:rsid w:val="00966601"/>
    <w:rsid w:val="0096733A"/>
    <w:rsid w:val="00971EA0"/>
    <w:rsid w:val="0097433D"/>
    <w:rsid w:val="009745F7"/>
    <w:rsid w:val="00975A0A"/>
    <w:rsid w:val="00980E74"/>
    <w:rsid w:val="00981191"/>
    <w:rsid w:val="0098327C"/>
    <w:rsid w:val="009837ED"/>
    <w:rsid w:val="0098605B"/>
    <w:rsid w:val="009877CA"/>
    <w:rsid w:val="00992AAE"/>
    <w:rsid w:val="0099610C"/>
    <w:rsid w:val="009A0015"/>
    <w:rsid w:val="009A29A4"/>
    <w:rsid w:val="009A2AB9"/>
    <w:rsid w:val="009A2FEF"/>
    <w:rsid w:val="009A395C"/>
    <w:rsid w:val="009A6009"/>
    <w:rsid w:val="009B1682"/>
    <w:rsid w:val="009B2CF5"/>
    <w:rsid w:val="009B36F4"/>
    <w:rsid w:val="009B5FC5"/>
    <w:rsid w:val="009B7AA7"/>
    <w:rsid w:val="009C18AC"/>
    <w:rsid w:val="009C2D8F"/>
    <w:rsid w:val="009C4B58"/>
    <w:rsid w:val="009C5213"/>
    <w:rsid w:val="009C52DA"/>
    <w:rsid w:val="009C5964"/>
    <w:rsid w:val="009C5B1E"/>
    <w:rsid w:val="009C6A84"/>
    <w:rsid w:val="009D162B"/>
    <w:rsid w:val="009D1AEC"/>
    <w:rsid w:val="009D2944"/>
    <w:rsid w:val="009D3D58"/>
    <w:rsid w:val="009D6198"/>
    <w:rsid w:val="009D6B94"/>
    <w:rsid w:val="009D7775"/>
    <w:rsid w:val="009E4B97"/>
    <w:rsid w:val="009F0E74"/>
    <w:rsid w:val="009F1C81"/>
    <w:rsid w:val="009F1E28"/>
    <w:rsid w:val="009F315C"/>
    <w:rsid w:val="009F3499"/>
    <w:rsid w:val="009F54C5"/>
    <w:rsid w:val="009F6F7E"/>
    <w:rsid w:val="00A01495"/>
    <w:rsid w:val="00A0189A"/>
    <w:rsid w:val="00A01D02"/>
    <w:rsid w:val="00A0734C"/>
    <w:rsid w:val="00A11EEF"/>
    <w:rsid w:val="00A125BD"/>
    <w:rsid w:val="00A1360B"/>
    <w:rsid w:val="00A1407A"/>
    <w:rsid w:val="00A14594"/>
    <w:rsid w:val="00A15453"/>
    <w:rsid w:val="00A1692A"/>
    <w:rsid w:val="00A17388"/>
    <w:rsid w:val="00A2019F"/>
    <w:rsid w:val="00A2569D"/>
    <w:rsid w:val="00A2640E"/>
    <w:rsid w:val="00A276DE"/>
    <w:rsid w:val="00A30DB6"/>
    <w:rsid w:val="00A3355D"/>
    <w:rsid w:val="00A362B6"/>
    <w:rsid w:val="00A36D70"/>
    <w:rsid w:val="00A4094A"/>
    <w:rsid w:val="00A453C4"/>
    <w:rsid w:val="00A465C7"/>
    <w:rsid w:val="00A465E0"/>
    <w:rsid w:val="00A468A4"/>
    <w:rsid w:val="00A546F7"/>
    <w:rsid w:val="00A55B9A"/>
    <w:rsid w:val="00A565A4"/>
    <w:rsid w:val="00A572CA"/>
    <w:rsid w:val="00A61A0E"/>
    <w:rsid w:val="00A64156"/>
    <w:rsid w:val="00A66EA0"/>
    <w:rsid w:val="00A6705F"/>
    <w:rsid w:val="00A71272"/>
    <w:rsid w:val="00A7305D"/>
    <w:rsid w:val="00A764E7"/>
    <w:rsid w:val="00A76959"/>
    <w:rsid w:val="00A77931"/>
    <w:rsid w:val="00A807B4"/>
    <w:rsid w:val="00A81ECD"/>
    <w:rsid w:val="00A841FC"/>
    <w:rsid w:val="00A8424C"/>
    <w:rsid w:val="00A8564F"/>
    <w:rsid w:val="00A85D52"/>
    <w:rsid w:val="00A86D62"/>
    <w:rsid w:val="00A873E4"/>
    <w:rsid w:val="00A9450F"/>
    <w:rsid w:val="00A94712"/>
    <w:rsid w:val="00A96D0D"/>
    <w:rsid w:val="00A970C0"/>
    <w:rsid w:val="00AA0D56"/>
    <w:rsid w:val="00AA0E09"/>
    <w:rsid w:val="00AA3CFE"/>
    <w:rsid w:val="00AA54CE"/>
    <w:rsid w:val="00AB11DE"/>
    <w:rsid w:val="00AB1BF4"/>
    <w:rsid w:val="00AB295D"/>
    <w:rsid w:val="00AB2F1E"/>
    <w:rsid w:val="00AB5021"/>
    <w:rsid w:val="00AB5136"/>
    <w:rsid w:val="00AC0E61"/>
    <w:rsid w:val="00AC24F7"/>
    <w:rsid w:val="00AC49D7"/>
    <w:rsid w:val="00AC564A"/>
    <w:rsid w:val="00AC7D28"/>
    <w:rsid w:val="00AD02D8"/>
    <w:rsid w:val="00AD20D8"/>
    <w:rsid w:val="00AD2281"/>
    <w:rsid w:val="00AD24E9"/>
    <w:rsid w:val="00AD6027"/>
    <w:rsid w:val="00AE0312"/>
    <w:rsid w:val="00AE0F01"/>
    <w:rsid w:val="00AE2B95"/>
    <w:rsid w:val="00AE4405"/>
    <w:rsid w:val="00AF01C9"/>
    <w:rsid w:val="00AF171F"/>
    <w:rsid w:val="00AF2B43"/>
    <w:rsid w:val="00AF5A32"/>
    <w:rsid w:val="00AF5C41"/>
    <w:rsid w:val="00AF6348"/>
    <w:rsid w:val="00AF6F81"/>
    <w:rsid w:val="00B02FEA"/>
    <w:rsid w:val="00B04261"/>
    <w:rsid w:val="00B107AF"/>
    <w:rsid w:val="00B1092E"/>
    <w:rsid w:val="00B10AC4"/>
    <w:rsid w:val="00B1118E"/>
    <w:rsid w:val="00B1467B"/>
    <w:rsid w:val="00B14C48"/>
    <w:rsid w:val="00B1542A"/>
    <w:rsid w:val="00B16C20"/>
    <w:rsid w:val="00B20D87"/>
    <w:rsid w:val="00B211F5"/>
    <w:rsid w:val="00B2248E"/>
    <w:rsid w:val="00B226F7"/>
    <w:rsid w:val="00B2378D"/>
    <w:rsid w:val="00B257C8"/>
    <w:rsid w:val="00B258C7"/>
    <w:rsid w:val="00B25B59"/>
    <w:rsid w:val="00B25DE0"/>
    <w:rsid w:val="00B316BD"/>
    <w:rsid w:val="00B33DC8"/>
    <w:rsid w:val="00B34A55"/>
    <w:rsid w:val="00B35DF6"/>
    <w:rsid w:val="00B367D1"/>
    <w:rsid w:val="00B3713F"/>
    <w:rsid w:val="00B40CC5"/>
    <w:rsid w:val="00B43959"/>
    <w:rsid w:val="00B43CF4"/>
    <w:rsid w:val="00B453B7"/>
    <w:rsid w:val="00B457AC"/>
    <w:rsid w:val="00B475BC"/>
    <w:rsid w:val="00B51DE2"/>
    <w:rsid w:val="00B53BC1"/>
    <w:rsid w:val="00B55065"/>
    <w:rsid w:val="00B5527F"/>
    <w:rsid w:val="00B56023"/>
    <w:rsid w:val="00B5658B"/>
    <w:rsid w:val="00B56F4C"/>
    <w:rsid w:val="00B571E9"/>
    <w:rsid w:val="00B62028"/>
    <w:rsid w:val="00B62C2D"/>
    <w:rsid w:val="00B67F4D"/>
    <w:rsid w:val="00B70F17"/>
    <w:rsid w:val="00B72701"/>
    <w:rsid w:val="00B73DA3"/>
    <w:rsid w:val="00B764CC"/>
    <w:rsid w:val="00B80C53"/>
    <w:rsid w:val="00B82775"/>
    <w:rsid w:val="00B82E84"/>
    <w:rsid w:val="00B831AE"/>
    <w:rsid w:val="00B85E24"/>
    <w:rsid w:val="00B85EE9"/>
    <w:rsid w:val="00B868D9"/>
    <w:rsid w:val="00B9042B"/>
    <w:rsid w:val="00B91F76"/>
    <w:rsid w:val="00B92824"/>
    <w:rsid w:val="00B93887"/>
    <w:rsid w:val="00B94122"/>
    <w:rsid w:val="00B975F1"/>
    <w:rsid w:val="00B9776D"/>
    <w:rsid w:val="00B97B4C"/>
    <w:rsid w:val="00BA050A"/>
    <w:rsid w:val="00BA072E"/>
    <w:rsid w:val="00BA0FD4"/>
    <w:rsid w:val="00BA14C9"/>
    <w:rsid w:val="00BA2CB7"/>
    <w:rsid w:val="00BA3573"/>
    <w:rsid w:val="00BA4FB6"/>
    <w:rsid w:val="00BA5839"/>
    <w:rsid w:val="00BA5E00"/>
    <w:rsid w:val="00BA5FFA"/>
    <w:rsid w:val="00BA793F"/>
    <w:rsid w:val="00BB04EF"/>
    <w:rsid w:val="00BB0AED"/>
    <w:rsid w:val="00BB23B4"/>
    <w:rsid w:val="00BB2C6B"/>
    <w:rsid w:val="00BB43B5"/>
    <w:rsid w:val="00BB590F"/>
    <w:rsid w:val="00BB7248"/>
    <w:rsid w:val="00BC6594"/>
    <w:rsid w:val="00BC6AF0"/>
    <w:rsid w:val="00BC7EB5"/>
    <w:rsid w:val="00BD2807"/>
    <w:rsid w:val="00BD2809"/>
    <w:rsid w:val="00BD2A2A"/>
    <w:rsid w:val="00BD3468"/>
    <w:rsid w:val="00BD36C7"/>
    <w:rsid w:val="00BD3E20"/>
    <w:rsid w:val="00BD3E28"/>
    <w:rsid w:val="00BD524E"/>
    <w:rsid w:val="00BE345F"/>
    <w:rsid w:val="00BE39F3"/>
    <w:rsid w:val="00BE42E4"/>
    <w:rsid w:val="00BE7B30"/>
    <w:rsid w:val="00BF1E71"/>
    <w:rsid w:val="00BF1F1C"/>
    <w:rsid w:val="00BF240C"/>
    <w:rsid w:val="00BF70B7"/>
    <w:rsid w:val="00C008F7"/>
    <w:rsid w:val="00C03893"/>
    <w:rsid w:val="00C1046C"/>
    <w:rsid w:val="00C129BA"/>
    <w:rsid w:val="00C148CC"/>
    <w:rsid w:val="00C15B12"/>
    <w:rsid w:val="00C24ED5"/>
    <w:rsid w:val="00C2678D"/>
    <w:rsid w:val="00C33FA8"/>
    <w:rsid w:val="00C34C38"/>
    <w:rsid w:val="00C35DB1"/>
    <w:rsid w:val="00C3618C"/>
    <w:rsid w:val="00C36C92"/>
    <w:rsid w:val="00C37AD1"/>
    <w:rsid w:val="00C413CF"/>
    <w:rsid w:val="00C4222A"/>
    <w:rsid w:val="00C430DF"/>
    <w:rsid w:val="00C44570"/>
    <w:rsid w:val="00C45871"/>
    <w:rsid w:val="00C47F21"/>
    <w:rsid w:val="00C53F36"/>
    <w:rsid w:val="00C55061"/>
    <w:rsid w:val="00C56C78"/>
    <w:rsid w:val="00C56E4E"/>
    <w:rsid w:val="00C576C7"/>
    <w:rsid w:val="00C60BB7"/>
    <w:rsid w:val="00C61A88"/>
    <w:rsid w:val="00C63366"/>
    <w:rsid w:val="00C634D3"/>
    <w:rsid w:val="00C63EBD"/>
    <w:rsid w:val="00C64533"/>
    <w:rsid w:val="00C65134"/>
    <w:rsid w:val="00C71B71"/>
    <w:rsid w:val="00C73778"/>
    <w:rsid w:val="00C73C6A"/>
    <w:rsid w:val="00C747F9"/>
    <w:rsid w:val="00C75946"/>
    <w:rsid w:val="00C76B6D"/>
    <w:rsid w:val="00C77504"/>
    <w:rsid w:val="00C80C0F"/>
    <w:rsid w:val="00C811D1"/>
    <w:rsid w:val="00C82D64"/>
    <w:rsid w:val="00C91119"/>
    <w:rsid w:val="00C92447"/>
    <w:rsid w:val="00C930E2"/>
    <w:rsid w:val="00C94FF0"/>
    <w:rsid w:val="00CA205E"/>
    <w:rsid w:val="00CA3834"/>
    <w:rsid w:val="00CA507C"/>
    <w:rsid w:val="00CA6AAD"/>
    <w:rsid w:val="00CA7036"/>
    <w:rsid w:val="00CB068D"/>
    <w:rsid w:val="00CB1FDF"/>
    <w:rsid w:val="00CB2EE5"/>
    <w:rsid w:val="00CB4415"/>
    <w:rsid w:val="00CB4BA0"/>
    <w:rsid w:val="00CB4DBC"/>
    <w:rsid w:val="00CB5D8A"/>
    <w:rsid w:val="00CB5F1D"/>
    <w:rsid w:val="00CB6882"/>
    <w:rsid w:val="00CB75C3"/>
    <w:rsid w:val="00CB776C"/>
    <w:rsid w:val="00CB7BA9"/>
    <w:rsid w:val="00CC23C5"/>
    <w:rsid w:val="00CC3841"/>
    <w:rsid w:val="00CC6005"/>
    <w:rsid w:val="00CD0C33"/>
    <w:rsid w:val="00CD1603"/>
    <w:rsid w:val="00CD2A30"/>
    <w:rsid w:val="00CD5CD6"/>
    <w:rsid w:val="00CD681E"/>
    <w:rsid w:val="00CD71C2"/>
    <w:rsid w:val="00CD7978"/>
    <w:rsid w:val="00CE057E"/>
    <w:rsid w:val="00CE1F6B"/>
    <w:rsid w:val="00CE26EC"/>
    <w:rsid w:val="00CE36DE"/>
    <w:rsid w:val="00CE6E11"/>
    <w:rsid w:val="00CF0249"/>
    <w:rsid w:val="00CF13DB"/>
    <w:rsid w:val="00CF228A"/>
    <w:rsid w:val="00CF5C50"/>
    <w:rsid w:val="00CF7208"/>
    <w:rsid w:val="00D01923"/>
    <w:rsid w:val="00D03E8B"/>
    <w:rsid w:val="00D10413"/>
    <w:rsid w:val="00D12D17"/>
    <w:rsid w:val="00D15EE6"/>
    <w:rsid w:val="00D16978"/>
    <w:rsid w:val="00D17C46"/>
    <w:rsid w:val="00D20684"/>
    <w:rsid w:val="00D21ABC"/>
    <w:rsid w:val="00D22025"/>
    <w:rsid w:val="00D22F8F"/>
    <w:rsid w:val="00D24532"/>
    <w:rsid w:val="00D2624F"/>
    <w:rsid w:val="00D3076F"/>
    <w:rsid w:val="00D30DA6"/>
    <w:rsid w:val="00D42DB9"/>
    <w:rsid w:val="00D442AB"/>
    <w:rsid w:val="00D47A7E"/>
    <w:rsid w:val="00D5054C"/>
    <w:rsid w:val="00D53DB1"/>
    <w:rsid w:val="00D54A3E"/>
    <w:rsid w:val="00D60DE0"/>
    <w:rsid w:val="00D614DB"/>
    <w:rsid w:val="00D61A27"/>
    <w:rsid w:val="00D62DC9"/>
    <w:rsid w:val="00D62F06"/>
    <w:rsid w:val="00D70295"/>
    <w:rsid w:val="00D73C16"/>
    <w:rsid w:val="00D745EB"/>
    <w:rsid w:val="00D7581D"/>
    <w:rsid w:val="00D76D8E"/>
    <w:rsid w:val="00D81748"/>
    <w:rsid w:val="00D860BC"/>
    <w:rsid w:val="00D862FA"/>
    <w:rsid w:val="00D90E4C"/>
    <w:rsid w:val="00D948E4"/>
    <w:rsid w:val="00D94C4C"/>
    <w:rsid w:val="00D951E8"/>
    <w:rsid w:val="00D969BB"/>
    <w:rsid w:val="00D97B29"/>
    <w:rsid w:val="00DA02BA"/>
    <w:rsid w:val="00DA26B6"/>
    <w:rsid w:val="00DA4E0A"/>
    <w:rsid w:val="00DA5E6A"/>
    <w:rsid w:val="00DB0D1D"/>
    <w:rsid w:val="00DB143B"/>
    <w:rsid w:val="00DB42F4"/>
    <w:rsid w:val="00DB61E3"/>
    <w:rsid w:val="00DB6D6F"/>
    <w:rsid w:val="00DC2172"/>
    <w:rsid w:val="00DC5452"/>
    <w:rsid w:val="00DC6897"/>
    <w:rsid w:val="00DD23F2"/>
    <w:rsid w:val="00DD3BE6"/>
    <w:rsid w:val="00DD3CA9"/>
    <w:rsid w:val="00DD40E7"/>
    <w:rsid w:val="00DD42D0"/>
    <w:rsid w:val="00DD4AF1"/>
    <w:rsid w:val="00DD6DB2"/>
    <w:rsid w:val="00DE0EB5"/>
    <w:rsid w:val="00DE1E76"/>
    <w:rsid w:val="00DE3368"/>
    <w:rsid w:val="00DE4CA5"/>
    <w:rsid w:val="00DE4E42"/>
    <w:rsid w:val="00DE61FE"/>
    <w:rsid w:val="00DE64A4"/>
    <w:rsid w:val="00DF004B"/>
    <w:rsid w:val="00DF0A71"/>
    <w:rsid w:val="00DF1204"/>
    <w:rsid w:val="00DF19BE"/>
    <w:rsid w:val="00DF61DE"/>
    <w:rsid w:val="00DF746E"/>
    <w:rsid w:val="00E0006A"/>
    <w:rsid w:val="00E00EE1"/>
    <w:rsid w:val="00E03832"/>
    <w:rsid w:val="00E03C54"/>
    <w:rsid w:val="00E06C53"/>
    <w:rsid w:val="00E06F0D"/>
    <w:rsid w:val="00E07959"/>
    <w:rsid w:val="00E1113B"/>
    <w:rsid w:val="00E11B79"/>
    <w:rsid w:val="00E127B8"/>
    <w:rsid w:val="00E14722"/>
    <w:rsid w:val="00E150F3"/>
    <w:rsid w:val="00E16127"/>
    <w:rsid w:val="00E23751"/>
    <w:rsid w:val="00E246B0"/>
    <w:rsid w:val="00E2539D"/>
    <w:rsid w:val="00E25AC4"/>
    <w:rsid w:val="00E30C85"/>
    <w:rsid w:val="00E31C39"/>
    <w:rsid w:val="00E32158"/>
    <w:rsid w:val="00E33CCD"/>
    <w:rsid w:val="00E37E31"/>
    <w:rsid w:val="00E40F3E"/>
    <w:rsid w:val="00E430A1"/>
    <w:rsid w:val="00E478BD"/>
    <w:rsid w:val="00E5060B"/>
    <w:rsid w:val="00E50D87"/>
    <w:rsid w:val="00E543C2"/>
    <w:rsid w:val="00E55AFB"/>
    <w:rsid w:val="00E55B35"/>
    <w:rsid w:val="00E55F27"/>
    <w:rsid w:val="00E56702"/>
    <w:rsid w:val="00E5738A"/>
    <w:rsid w:val="00E57BAD"/>
    <w:rsid w:val="00E60336"/>
    <w:rsid w:val="00E606E4"/>
    <w:rsid w:val="00E66F59"/>
    <w:rsid w:val="00E711A6"/>
    <w:rsid w:val="00E7171C"/>
    <w:rsid w:val="00E73ED1"/>
    <w:rsid w:val="00E740A9"/>
    <w:rsid w:val="00E75C3F"/>
    <w:rsid w:val="00E75F1A"/>
    <w:rsid w:val="00E7625D"/>
    <w:rsid w:val="00E807BA"/>
    <w:rsid w:val="00E80F25"/>
    <w:rsid w:val="00E82CEE"/>
    <w:rsid w:val="00E84343"/>
    <w:rsid w:val="00E851E3"/>
    <w:rsid w:val="00E86369"/>
    <w:rsid w:val="00E86EFF"/>
    <w:rsid w:val="00E876AC"/>
    <w:rsid w:val="00E90137"/>
    <w:rsid w:val="00E95465"/>
    <w:rsid w:val="00E959D0"/>
    <w:rsid w:val="00E95EFA"/>
    <w:rsid w:val="00E96C7C"/>
    <w:rsid w:val="00E97F23"/>
    <w:rsid w:val="00EA4A0B"/>
    <w:rsid w:val="00EA4A99"/>
    <w:rsid w:val="00EA60DC"/>
    <w:rsid w:val="00EA6162"/>
    <w:rsid w:val="00EB49CF"/>
    <w:rsid w:val="00EB6ABB"/>
    <w:rsid w:val="00EC19E0"/>
    <w:rsid w:val="00EC7909"/>
    <w:rsid w:val="00EC7EF1"/>
    <w:rsid w:val="00ED0C4F"/>
    <w:rsid w:val="00ED7411"/>
    <w:rsid w:val="00EE048F"/>
    <w:rsid w:val="00EE712A"/>
    <w:rsid w:val="00EF2A2C"/>
    <w:rsid w:val="00EF2FC8"/>
    <w:rsid w:val="00EF43DF"/>
    <w:rsid w:val="00EF49DE"/>
    <w:rsid w:val="00EF565B"/>
    <w:rsid w:val="00EF56FA"/>
    <w:rsid w:val="00EF6986"/>
    <w:rsid w:val="00EF76A1"/>
    <w:rsid w:val="00F0064B"/>
    <w:rsid w:val="00F0302F"/>
    <w:rsid w:val="00F07987"/>
    <w:rsid w:val="00F11C78"/>
    <w:rsid w:val="00F134E2"/>
    <w:rsid w:val="00F1427F"/>
    <w:rsid w:val="00F14712"/>
    <w:rsid w:val="00F147BD"/>
    <w:rsid w:val="00F15CB2"/>
    <w:rsid w:val="00F15EB6"/>
    <w:rsid w:val="00F17B70"/>
    <w:rsid w:val="00F20123"/>
    <w:rsid w:val="00F3056F"/>
    <w:rsid w:val="00F31513"/>
    <w:rsid w:val="00F3154F"/>
    <w:rsid w:val="00F3425C"/>
    <w:rsid w:val="00F3743A"/>
    <w:rsid w:val="00F377C6"/>
    <w:rsid w:val="00F37A83"/>
    <w:rsid w:val="00F4007A"/>
    <w:rsid w:val="00F40F2B"/>
    <w:rsid w:val="00F4246B"/>
    <w:rsid w:val="00F425B5"/>
    <w:rsid w:val="00F448C0"/>
    <w:rsid w:val="00F468C6"/>
    <w:rsid w:val="00F468D2"/>
    <w:rsid w:val="00F507FC"/>
    <w:rsid w:val="00F511CE"/>
    <w:rsid w:val="00F52F5E"/>
    <w:rsid w:val="00F54F05"/>
    <w:rsid w:val="00F60D96"/>
    <w:rsid w:val="00F62337"/>
    <w:rsid w:val="00F63D03"/>
    <w:rsid w:val="00F6430A"/>
    <w:rsid w:val="00F6438F"/>
    <w:rsid w:val="00F64E27"/>
    <w:rsid w:val="00F67572"/>
    <w:rsid w:val="00F712B5"/>
    <w:rsid w:val="00F74B52"/>
    <w:rsid w:val="00F74B67"/>
    <w:rsid w:val="00F75390"/>
    <w:rsid w:val="00F76BD9"/>
    <w:rsid w:val="00F7707A"/>
    <w:rsid w:val="00F80EE8"/>
    <w:rsid w:val="00F8110F"/>
    <w:rsid w:val="00F817A7"/>
    <w:rsid w:val="00F829CF"/>
    <w:rsid w:val="00F9086E"/>
    <w:rsid w:val="00F91CC4"/>
    <w:rsid w:val="00F9550F"/>
    <w:rsid w:val="00F97D86"/>
    <w:rsid w:val="00FA27B2"/>
    <w:rsid w:val="00FA2CA7"/>
    <w:rsid w:val="00FA47AB"/>
    <w:rsid w:val="00FB2A0D"/>
    <w:rsid w:val="00FB2D04"/>
    <w:rsid w:val="00FB4EC9"/>
    <w:rsid w:val="00FB546E"/>
    <w:rsid w:val="00FB6BE6"/>
    <w:rsid w:val="00FC1346"/>
    <w:rsid w:val="00FC1F17"/>
    <w:rsid w:val="00FC33CE"/>
    <w:rsid w:val="00FC3582"/>
    <w:rsid w:val="00FC36D9"/>
    <w:rsid w:val="00FC5462"/>
    <w:rsid w:val="00FC5A91"/>
    <w:rsid w:val="00FD0547"/>
    <w:rsid w:val="00FD121D"/>
    <w:rsid w:val="00FD1CC3"/>
    <w:rsid w:val="00FD1F1E"/>
    <w:rsid w:val="00FD7138"/>
    <w:rsid w:val="00FD770B"/>
    <w:rsid w:val="00FD7B44"/>
    <w:rsid w:val="00FD7D31"/>
    <w:rsid w:val="00FE4FC3"/>
    <w:rsid w:val="00FE57A2"/>
    <w:rsid w:val="00FE73FE"/>
    <w:rsid w:val="00FE7F3D"/>
    <w:rsid w:val="00FF32ED"/>
    <w:rsid w:val="00FF502C"/>
    <w:rsid w:val="00FF5A28"/>
    <w:rsid w:val="00FF5B4F"/>
    <w:rsid w:val="00FF6187"/>
    <w:rsid w:val="00FF6DB6"/>
    <w:rsid w:val="00FF76F5"/>
    <w:rsid w:val="014F6641"/>
    <w:rsid w:val="01656F24"/>
    <w:rsid w:val="01C90C4A"/>
    <w:rsid w:val="01D61C20"/>
    <w:rsid w:val="01F863FC"/>
    <w:rsid w:val="02215985"/>
    <w:rsid w:val="022962B0"/>
    <w:rsid w:val="023D7796"/>
    <w:rsid w:val="028E26C7"/>
    <w:rsid w:val="02B524D4"/>
    <w:rsid w:val="02D96E17"/>
    <w:rsid w:val="030233D9"/>
    <w:rsid w:val="033A7662"/>
    <w:rsid w:val="036605E0"/>
    <w:rsid w:val="041720E0"/>
    <w:rsid w:val="044F7FBF"/>
    <w:rsid w:val="046A3DDB"/>
    <w:rsid w:val="046E63E9"/>
    <w:rsid w:val="04926F01"/>
    <w:rsid w:val="04BB20DB"/>
    <w:rsid w:val="04C60D8D"/>
    <w:rsid w:val="04D17C39"/>
    <w:rsid w:val="04FA6F51"/>
    <w:rsid w:val="05322C2F"/>
    <w:rsid w:val="056B197B"/>
    <w:rsid w:val="056F0AFC"/>
    <w:rsid w:val="059B1E55"/>
    <w:rsid w:val="05CA44E8"/>
    <w:rsid w:val="05E5378E"/>
    <w:rsid w:val="060E37AA"/>
    <w:rsid w:val="066000AD"/>
    <w:rsid w:val="07143072"/>
    <w:rsid w:val="077741A5"/>
    <w:rsid w:val="07B14AA4"/>
    <w:rsid w:val="07EC6DCD"/>
    <w:rsid w:val="07F95346"/>
    <w:rsid w:val="081B73E7"/>
    <w:rsid w:val="08485D2B"/>
    <w:rsid w:val="086955C6"/>
    <w:rsid w:val="08A113FE"/>
    <w:rsid w:val="08E12F9E"/>
    <w:rsid w:val="08FB286E"/>
    <w:rsid w:val="09355BE0"/>
    <w:rsid w:val="096A3E13"/>
    <w:rsid w:val="0A341367"/>
    <w:rsid w:val="0A3D7005"/>
    <w:rsid w:val="0A805B7E"/>
    <w:rsid w:val="0A861E7A"/>
    <w:rsid w:val="0B0F03EC"/>
    <w:rsid w:val="0B1B07ED"/>
    <w:rsid w:val="0B6D6042"/>
    <w:rsid w:val="0B6E3E0F"/>
    <w:rsid w:val="0B8B75F2"/>
    <w:rsid w:val="0BC929F4"/>
    <w:rsid w:val="0BE87CEE"/>
    <w:rsid w:val="0BF517EC"/>
    <w:rsid w:val="0BF6462C"/>
    <w:rsid w:val="0BFC0B72"/>
    <w:rsid w:val="0C614203"/>
    <w:rsid w:val="0C7620CF"/>
    <w:rsid w:val="0D63265E"/>
    <w:rsid w:val="0D8B4C55"/>
    <w:rsid w:val="0DD43FF0"/>
    <w:rsid w:val="0DE76366"/>
    <w:rsid w:val="0E1C0117"/>
    <w:rsid w:val="0E1D7F43"/>
    <w:rsid w:val="0E2A4679"/>
    <w:rsid w:val="0E4A51B6"/>
    <w:rsid w:val="0E5D5AD1"/>
    <w:rsid w:val="0EC32BB4"/>
    <w:rsid w:val="0F066B74"/>
    <w:rsid w:val="0F1E7653"/>
    <w:rsid w:val="0F5D7044"/>
    <w:rsid w:val="0F9B068F"/>
    <w:rsid w:val="0FD26EBC"/>
    <w:rsid w:val="104345D2"/>
    <w:rsid w:val="106738A4"/>
    <w:rsid w:val="107C3B75"/>
    <w:rsid w:val="10837911"/>
    <w:rsid w:val="10843E72"/>
    <w:rsid w:val="10A56081"/>
    <w:rsid w:val="10F34432"/>
    <w:rsid w:val="10F52B46"/>
    <w:rsid w:val="118E5F95"/>
    <w:rsid w:val="11A224A0"/>
    <w:rsid w:val="11B1259E"/>
    <w:rsid w:val="12226D6D"/>
    <w:rsid w:val="122E5876"/>
    <w:rsid w:val="124302B5"/>
    <w:rsid w:val="12545BAE"/>
    <w:rsid w:val="125E4936"/>
    <w:rsid w:val="1288628B"/>
    <w:rsid w:val="12F5413C"/>
    <w:rsid w:val="131107A6"/>
    <w:rsid w:val="131C1BCB"/>
    <w:rsid w:val="13370827"/>
    <w:rsid w:val="13511DA5"/>
    <w:rsid w:val="139B3AAC"/>
    <w:rsid w:val="13C95DDF"/>
    <w:rsid w:val="13CF1D2C"/>
    <w:rsid w:val="13D428C4"/>
    <w:rsid w:val="14547E5E"/>
    <w:rsid w:val="148C3D75"/>
    <w:rsid w:val="14E3723D"/>
    <w:rsid w:val="151848C9"/>
    <w:rsid w:val="15310F01"/>
    <w:rsid w:val="153D4BE9"/>
    <w:rsid w:val="153E337E"/>
    <w:rsid w:val="15537139"/>
    <w:rsid w:val="15A94553"/>
    <w:rsid w:val="16386AB0"/>
    <w:rsid w:val="16600424"/>
    <w:rsid w:val="16940BAF"/>
    <w:rsid w:val="16C5279C"/>
    <w:rsid w:val="16EE1BB5"/>
    <w:rsid w:val="17210EA8"/>
    <w:rsid w:val="17343802"/>
    <w:rsid w:val="174B6C8A"/>
    <w:rsid w:val="175C5697"/>
    <w:rsid w:val="17795761"/>
    <w:rsid w:val="17AC3DF0"/>
    <w:rsid w:val="17B80619"/>
    <w:rsid w:val="17BD3615"/>
    <w:rsid w:val="17D04F38"/>
    <w:rsid w:val="17EA16A1"/>
    <w:rsid w:val="17F432CD"/>
    <w:rsid w:val="180D06ED"/>
    <w:rsid w:val="183F0D66"/>
    <w:rsid w:val="18925339"/>
    <w:rsid w:val="18A81DA2"/>
    <w:rsid w:val="18DF09D8"/>
    <w:rsid w:val="18FA0730"/>
    <w:rsid w:val="1940037D"/>
    <w:rsid w:val="19913C87"/>
    <w:rsid w:val="19A37650"/>
    <w:rsid w:val="19C05CDF"/>
    <w:rsid w:val="19C1757B"/>
    <w:rsid w:val="1A1F00B3"/>
    <w:rsid w:val="1A2F46C1"/>
    <w:rsid w:val="1A4B3962"/>
    <w:rsid w:val="1A5003B0"/>
    <w:rsid w:val="1A99651C"/>
    <w:rsid w:val="1AED1401"/>
    <w:rsid w:val="1AFC57DB"/>
    <w:rsid w:val="1B0016FF"/>
    <w:rsid w:val="1B4712B4"/>
    <w:rsid w:val="1C265C92"/>
    <w:rsid w:val="1C2B5C85"/>
    <w:rsid w:val="1C35495A"/>
    <w:rsid w:val="1C45364B"/>
    <w:rsid w:val="1C5727E7"/>
    <w:rsid w:val="1CB17DE9"/>
    <w:rsid w:val="1CBE0058"/>
    <w:rsid w:val="1CCD7E04"/>
    <w:rsid w:val="1CE356A9"/>
    <w:rsid w:val="1D282323"/>
    <w:rsid w:val="1D885188"/>
    <w:rsid w:val="1DE20D81"/>
    <w:rsid w:val="1DF279B4"/>
    <w:rsid w:val="1E0E3B64"/>
    <w:rsid w:val="1E4B5802"/>
    <w:rsid w:val="1E7B305D"/>
    <w:rsid w:val="1E8D7AD7"/>
    <w:rsid w:val="1EE1349B"/>
    <w:rsid w:val="1EF70EBC"/>
    <w:rsid w:val="1EF73293"/>
    <w:rsid w:val="1F274F5A"/>
    <w:rsid w:val="1F43738D"/>
    <w:rsid w:val="1F521091"/>
    <w:rsid w:val="1F595B6B"/>
    <w:rsid w:val="1F9319B3"/>
    <w:rsid w:val="1FAF3A62"/>
    <w:rsid w:val="20020213"/>
    <w:rsid w:val="206E5CA6"/>
    <w:rsid w:val="20891ADB"/>
    <w:rsid w:val="209439DE"/>
    <w:rsid w:val="20A96413"/>
    <w:rsid w:val="20B44D9E"/>
    <w:rsid w:val="20CD63E6"/>
    <w:rsid w:val="21061AE7"/>
    <w:rsid w:val="21161DC5"/>
    <w:rsid w:val="215E1BCB"/>
    <w:rsid w:val="21BB5357"/>
    <w:rsid w:val="21E817FF"/>
    <w:rsid w:val="21F00C38"/>
    <w:rsid w:val="21F74DA9"/>
    <w:rsid w:val="2211244F"/>
    <w:rsid w:val="2214007A"/>
    <w:rsid w:val="221B126A"/>
    <w:rsid w:val="22482AAD"/>
    <w:rsid w:val="22491A77"/>
    <w:rsid w:val="225E5953"/>
    <w:rsid w:val="22F259F1"/>
    <w:rsid w:val="22F664C5"/>
    <w:rsid w:val="23641680"/>
    <w:rsid w:val="23D45BF3"/>
    <w:rsid w:val="23D609B6"/>
    <w:rsid w:val="23FA301E"/>
    <w:rsid w:val="244B2840"/>
    <w:rsid w:val="245C7F95"/>
    <w:rsid w:val="24727D09"/>
    <w:rsid w:val="2476229D"/>
    <w:rsid w:val="24D532CA"/>
    <w:rsid w:val="250A1958"/>
    <w:rsid w:val="25245F91"/>
    <w:rsid w:val="254A3258"/>
    <w:rsid w:val="25E410CE"/>
    <w:rsid w:val="25EB0814"/>
    <w:rsid w:val="25F7163A"/>
    <w:rsid w:val="26030BE4"/>
    <w:rsid w:val="266613DF"/>
    <w:rsid w:val="26720583"/>
    <w:rsid w:val="268D3A24"/>
    <w:rsid w:val="26A8214C"/>
    <w:rsid w:val="26BC6432"/>
    <w:rsid w:val="26C12755"/>
    <w:rsid w:val="26D70F8A"/>
    <w:rsid w:val="26ED075F"/>
    <w:rsid w:val="26F05EFD"/>
    <w:rsid w:val="273E7EE8"/>
    <w:rsid w:val="276A2DEC"/>
    <w:rsid w:val="2774468E"/>
    <w:rsid w:val="27B210AF"/>
    <w:rsid w:val="27C653AD"/>
    <w:rsid w:val="281771FE"/>
    <w:rsid w:val="287F6F0B"/>
    <w:rsid w:val="288655D8"/>
    <w:rsid w:val="28E37C83"/>
    <w:rsid w:val="29120778"/>
    <w:rsid w:val="292204E8"/>
    <w:rsid w:val="29306DBA"/>
    <w:rsid w:val="29947266"/>
    <w:rsid w:val="29AA6B0E"/>
    <w:rsid w:val="29FE2001"/>
    <w:rsid w:val="2A15053B"/>
    <w:rsid w:val="2A2543E7"/>
    <w:rsid w:val="2A42463D"/>
    <w:rsid w:val="2A754B36"/>
    <w:rsid w:val="2A813031"/>
    <w:rsid w:val="2AA646BC"/>
    <w:rsid w:val="2AAD6037"/>
    <w:rsid w:val="2B3F60BC"/>
    <w:rsid w:val="2B6B4E3F"/>
    <w:rsid w:val="2BA6719E"/>
    <w:rsid w:val="2BE945FC"/>
    <w:rsid w:val="2BEF0A25"/>
    <w:rsid w:val="2C4769F3"/>
    <w:rsid w:val="2C6023A6"/>
    <w:rsid w:val="2CB928AC"/>
    <w:rsid w:val="2D665813"/>
    <w:rsid w:val="2D683CE8"/>
    <w:rsid w:val="2D7C3E5B"/>
    <w:rsid w:val="2DB926E3"/>
    <w:rsid w:val="2E06749A"/>
    <w:rsid w:val="2E3409C2"/>
    <w:rsid w:val="2E7E5611"/>
    <w:rsid w:val="2E9D7DC4"/>
    <w:rsid w:val="2F045B51"/>
    <w:rsid w:val="2F354433"/>
    <w:rsid w:val="2F63356A"/>
    <w:rsid w:val="2F862062"/>
    <w:rsid w:val="2F864A2B"/>
    <w:rsid w:val="2F9D7AE1"/>
    <w:rsid w:val="2FAD7D00"/>
    <w:rsid w:val="2FD4296E"/>
    <w:rsid w:val="2FDC1300"/>
    <w:rsid w:val="2FE77813"/>
    <w:rsid w:val="2FFF1822"/>
    <w:rsid w:val="30A4121D"/>
    <w:rsid w:val="31143177"/>
    <w:rsid w:val="312F769E"/>
    <w:rsid w:val="31AD5DB1"/>
    <w:rsid w:val="31E07300"/>
    <w:rsid w:val="32786D65"/>
    <w:rsid w:val="327A16BC"/>
    <w:rsid w:val="32D229B4"/>
    <w:rsid w:val="32D428B1"/>
    <w:rsid w:val="32D76828"/>
    <w:rsid w:val="32D90296"/>
    <w:rsid w:val="331E10B5"/>
    <w:rsid w:val="332D0B55"/>
    <w:rsid w:val="339D05D5"/>
    <w:rsid w:val="33B70ED4"/>
    <w:rsid w:val="33D25C33"/>
    <w:rsid w:val="33FF390C"/>
    <w:rsid w:val="3438483D"/>
    <w:rsid w:val="3487066E"/>
    <w:rsid w:val="352D18C5"/>
    <w:rsid w:val="35394A00"/>
    <w:rsid w:val="356F5124"/>
    <w:rsid w:val="35A1483D"/>
    <w:rsid w:val="35D54B2F"/>
    <w:rsid w:val="35E64B3E"/>
    <w:rsid w:val="361104EB"/>
    <w:rsid w:val="36374761"/>
    <w:rsid w:val="364F295F"/>
    <w:rsid w:val="3678368B"/>
    <w:rsid w:val="36C605C7"/>
    <w:rsid w:val="36D41E84"/>
    <w:rsid w:val="36DA7901"/>
    <w:rsid w:val="36E37CAA"/>
    <w:rsid w:val="36E61B67"/>
    <w:rsid w:val="371328BA"/>
    <w:rsid w:val="377759CE"/>
    <w:rsid w:val="37DB28F8"/>
    <w:rsid w:val="37F70021"/>
    <w:rsid w:val="38234F8D"/>
    <w:rsid w:val="38FA3EA7"/>
    <w:rsid w:val="39014370"/>
    <w:rsid w:val="390A0A90"/>
    <w:rsid w:val="390C498C"/>
    <w:rsid w:val="39130728"/>
    <w:rsid w:val="391C1D28"/>
    <w:rsid w:val="393048AB"/>
    <w:rsid w:val="395525D9"/>
    <w:rsid w:val="397E68FE"/>
    <w:rsid w:val="39ED0932"/>
    <w:rsid w:val="39ED339B"/>
    <w:rsid w:val="3A292DA0"/>
    <w:rsid w:val="3A2D2830"/>
    <w:rsid w:val="3A96547D"/>
    <w:rsid w:val="3A9C0648"/>
    <w:rsid w:val="3AD179CD"/>
    <w:rsid w:val="3AE04FC9"/>
    <w:rsid w:val="3AED005D"/>
    <w:rsid w:val="3B37435C"/>
    <w:rsid w:val="3B3E796D"/>
    <w:rsid w:val="3B434AA0"/>
    <w:rsid w:val="3B691DFF"/>
    <w:rsid w:val="3B7E3082"/>
    <w:rsid w:val="3B7F4030"/>
    <w:rsid w:val="3B8406BA"/>
    <w:rsid w:val="3B961E09"/>
    <w:rsid w:val="3B997D5E"/>
    <w:rsid w:val="3BBD4D3D"/>
    <w:rsid w:val="3BDC690B"/>
    <w:rsid w:val="3BDF7187"/>
    <w:rsid w:val="3C222A5F"/>
    <w:rsid w:val="3C503419"/>
    <w:rsid w:val="3C5366EB"/>
    <w:rsid w:val="3CF165CE"/>
    <w:rsid w:val="3D012F52"/>
    <w:rsid w:val="3D0706E0"/>
    <w:rsid w:val="3D0B5459"/>
    <w:rsid w:val="3D187DE7"/>
    <w:rsid w:val="3D630FBF"/>
    <w:rsid w:val="3E4C1002"/>
    <w:rsid w:val="3E5006D8"/>
    <w:rsid w:val="3E6952D0"/>
    <w:rsid w:val="3EDC64A0"/>
    <w:rsid w:val="3EF1596A"/>
    <w:rsid w:val="3EFB73C4"/>
    <w:rsid w:val="3F467E33"/>
    <w:rsid w:val="3F801255"/>
    <w:rsid w:val="3FA9166D"/>
    <w:rsid w:val="3FF971CD"/>
    <w:rsid w:val="40002C39"/>
    <w:rsid w:val="404F314F"/>
    <w:rsid w:val="40627EA0"/>
    <w:rsid w:val="41C704C5"/>
    <w:rsid w:val="41F212BF"/>
    <w:rsid w:val="42107830"/>
    <w:rsid w:val="421F5007"/>
    <w:rsid w:val="42981012"/>
    <w:rsid w:val="42A2632D"/>
    <w:rsid w:val="42E5616C"/>
    <w:rsid w:val="42F02F70"/>
    <w:rsid w:val="42F245C7"/>
    <w:rsid w:val="431A0428"/>
    <w:rsid w:val="437A7046"/>
    <w:rsid w:val="437F2CCD"/>
    <w:rsid w:val="43806C1A"/>
    <w:rsid w:val="43BE25A5"/>
    <w:rsid w:val="43D234C2"/>
    <w:rsid w:val="43ED0DC6"/>
    <w:rsid w:val="44120E71"/>
    <w:rsid w:val="442C60E8"/>
    <w:rsid w:val="445C4143"/>
    <w:rsid w:val="447A4A8B"/>
    <w:rsid w:val="44880C4A"/>
    <w:rsid w:val="450D1680"/>
    <w:rsid w:val="45462FC3"/>
    <w:rsid w:val="455A2497"/>
    <w:rsid w:val="461A46B9"/>
    <w:rsid w:val="4659102E"/>
    <w:rsid w:val="467848DB"/>
    <w:rsid w:val="468476BE"/>
    <w:rsid w:val="47051099"/>
    <w:rsid w:val="470F3C79"/>
    <w:rsid w:val="475E3449"/>
    <w:rsid w:val="47982284"/>
    <w:rsid w:val="47C6635A"/>
    <w:rsid w:val="47C83F0B"/>
    <w:rsid w:val="47EF67FD"/>
    <w:rsid w:val="48382A1A"/>
    <w:rsid w:val="486652A7"/>
    <w:rsid w:val="48C83BB4"/>
    <w:rsid w:val="49FE09B0"/>
    <w:rsid w:val="4A366781"/>
    <w:rsid w:val="4A4756D4"/>
    <w:rsid w:val="4A757E64"/>
    <w:rsid w:val="4A823874"/>
    <w:rsid w:val="4A86206C"/>
    <w:rsid w:val="4A881878"/>
    <w:rsid w:val="4B244615"/>
    <w:rsid w:val="4B263FD8"/>
    <w:rsid w:val="4B2671E6"/>
    <w:rsid w:val="4B7E6C22"/>
    <w:rsid w:val="4C1759FF"/>
    <w:rsid w:val="4C45100A"/>
    <w:rsid w:val="4C7B2D4A"/>
    <w:rsid w:val="4C806C7C"/>
    <w:rsid w:val="4CA938A5"/>
    <w:rsid w:val="4CC94DF4"/>
    <w:rsid w:val="4D094FC4"/>
    <w:rsid w:val="4D1F09C9"/>
    <w:rsid w:val="4D98533A"/>
    <w:rsid w:val="4DDA4CCC"/>
    <w:rsid w:val="4DF95179"/>
    <w:rsid w:val="4E3872EE"/>
    <w:rsid w:val="4E7D3A22"/>
    <w:rsid w:val="4EBD23F9"/>
    <w:rsid w:val="4EC731AC"/>
    <w:rsid w:val="4EE17F3A"/>
    <w:rsid w:val="4EF62370"/>
    <w:rsid w:val="4F512F2C"/>
    <w:rsid w:val="4F582B8A"/>
    <w:rsid w:val="4F652159"/>
    <w:rsid w:val="4F922963"/>
    <w:rsid w:val="4F942E56"/>
    <w:rsid w:val="4F9554B4"/>
    <w:rsid w:val="4FEE7B91"/>
    <w:rsid w:val="50A619E2"/>
    <w:rsid w:val="50A6515E"/>
    <w:rsid w:val="50BA786B"/>
    <w:rsid w:val="50DD4900"/>
    <w:rsid w:val="520C67D5"/>
    <w:rsid w:val="524F1A68"/>
    <w:rsid w:val="52513323"/>
    <w:rsid w:val="52666EC0"/>
    <w:rsid w:val="52CD45AB"/>
    <w:rsid w:val="5318164F"/>
    <w:rsid w:val="53214673"/>
    <w:rsid w:val="53DC5D4A"/>
    <w:rsid w:val="54105E10"/>
    <w:rsid w:val="54220010"/>
    <w:rsid w:val="542F7157"/>
    <w:rsid w:val="5443169F"/>
    <w:rsid w:val="544D6C0C"/>
    <w:rsid w:val="54AE08D9"/>
    <w:rsid w:val="54BE3F26"/>
    <w:rsid w:val="5505576D"/>
    <w:rsid w:val="550664E7"/>
    <w:rsid w:val="551C62C9"/>
    <w:rsid w:val="554329FC"/>
    <w:rsid w:val="556270B4"/>
    <w:rsid w:val="558C1468"/>
    <w:rsid w:val="558D5164"/>
    <w:rsid w:val="5626221C"/>
    <w:rsid w:val="563B0804"/>
    <w:rsid w:val="56951D81"/>
    <w:rsid w:val="56AB372E"/>
    <w:rsid w:val="56CF0F2B"/>
    <w:rsid w:val="56D23D2A"/>
    <w:rsid w:val="56DA2E2C"/>
    <w:rsid w:val="5775155A"/>
    <w:rsid w:val="577801EC"/>
    <w:rsid w:val="57842F19"/>
    <w:rsid w:val="57867F62"/>
    <w:rsid w:val="57F602EC"/>
    <w:rsid w:val="58112409"/>
    <w:rsid w:val="58117210"/>
    <w:rsid w:val="58290D20"/>
    <w:rsid w:val="58822E3F"/>
    <w:rsid w:val="58E9507A"/>
    <w:rsid w:val="58EA15EB"/>
    <w:rsid w:val="590D482E"/>
    <w:rsid w:val="592F2358"/>
    <w:rsid w:val="596F5B34"/>
    <w:rsid w:val="5990115C"/>
    <w:rsid w:val="59984A2E"/>
    <w:rsid w:val="5A4271B6"/>
    <w:rsid w:val="5B12188D"/>
    <w:rsid w:val="5B33722F"/>
    <w:rsid w:val="5B3C46B5"/>
    <w:rsid w:val="5B45763D"/>
    <w:rsid w:val="5B9D063F"/>
    <w:rsid w:val="5BA8527C"/>
    <w:rsid w:val="5BC12B3F"/>
    <w:rsid w:val="5BE53848"/>
    <w:rsid w:val="5BE76CA9"/>
    <w:rsid w:val="5C046A5C"/>
    <w:rsid w:val="5C052729"/>
    <w:rsid w:val="5C4A2849"/>
    <w:rsid w:val="5C54498E"/>
    <w:rsid w:val="5C5B57F1"/>
    <w:rsid w:val="5D3636B1"/>
    <w:rsid w:val="5D38775F"/>
    <w:rsid w:val="5D4D73CD"/>
    <w:rsid w:val="5D76051C"/>
    <w:rsid w:val="5D787FB8"/>
    <w:rsid w:val="5DF35480"/>
    <w:rsid w:val="5DFA71D3"/>
    <w:rsid w:val="5E4774AC"/>
    <w:rsid w:val="5EC926C7"/>
    <w:rsid w:val="5ED657C7"/>
    <w:rsid w:val="5F122193"/>
    <w:rsid w:val="5F604DF4"/>
    <w:rsid w:val="5F7D5C43"/>
    <w:rsid w:val="5F953188"/>
    <w:rsid w:val="606E6168"/>
    <w:rsid w:val="60BC0900"/>
    <w:rsid w:val="60FB4ACC"/>
    <w:rsid w:val="6131633F"/>
    <w:rsid w:val="61342EE0"/>
    <w:rsid w:val="61603634"/>
    <w:rsid w:val="61664963"/>
    <w:rsid w:val="618D3C3C"/>
    <w:rsid w:val="61B719C0"/>
    <w:rsid w:val="61E15FB7"/>
    <w:rsid w:val="620E2F87"/>
    <w:rsid w:val="6227146E"/>
    <w:rsid w:val="631A396D"/>
    <w:rsid w:val="631E0515"/>
    <w:rsid w:val="637553AF"/>
    <w:rsid w:val="638C2CB2"/>
    <w:rsid w:val="63DF382B"/>
    <w:rsid w:val="644B146B"/>
    <w:rsid w:val="646669F4"/>
    <w:rsid w:val="647F3A27"/>
    <w:rsid w:val="64AC452B"/>
    <w:rsid w:val="64AE04B2"/>
    <w:rsid w:val="64C151D9"/>
    <w:rsid w:val="64D20092"/>
    <w:rsid w:val="64D37E39"/>
    <w:rsid w:val="64E752BD"/>
    <w:rsid w:val="65967D35"/>
    <w:rsid w:val="65BF5438"/>
    <w:rsid w:val="65E1359C"/>
    <w:rsid w:val="65F24DA2"/>
    <w:rsid w:val="65F7082A"/>
    <w:rsid w:val="65FF3823"/>
    <w:rsid w:val="66663562"/>
    <w:rsid w:val="66744AA5"/>
    <w:rsid w:val="66A01E20"/>
    <w:rsid w:val="66C2204A"/>
    <w:rsid w:val="670A6088"/>
    <w:rsid w:val="671154B7"/>
    <w:rsid w:val="67186F4B"/>
    <w:rsid w:val="673962FA"/>
    <w:rsid w:val="679F4F83"/>
    <w:rsid w:val="6824093F"/>
    <w:rsid w:val="686B6F42"/>
    <w:rsid w:val="686E3734"/>
    <w:rsid w:val="68792F69"/>
    <w:rsid w:val="68843A54"/>
    <w:rsid w:val="68B56363"/>
    <w:rsid w:val="68EA010D"/>
    <w:rsid w:val="68F656F3"/>
    <w:rsid w:val="69BD27A4"/>
    <w:rsid w:val="69C56A18"/>
    <w:rsid w:val="69E50204"/>
    <w:rsid w:val="69F947C4"/>
    <w:rsid w:val="6A0015CA"/>
    <w:rsid w:val="6A065370"/>
    <w:rsid w:val="6A142AE4"/>
    <w:rsid w:val="6A5F5901"/>
    <w:rsid w:val="6A887328"/>
    <w:rsid w:val="6AA638F9"/>
    <w:rsid w:val="6AC350C9"/>
    <w:rsid w:val="6AC70E68"/>
    <w:rsid w:val="6AE63AF2"/>
    <w:rsid w:val="6B1D3BCB"/>
    <w:rsid w:val="6B205293"/>
    <w:rsid w:val="6BA35411"/>
    <w:rsid w:val="6BCF3DB4"/>
    <w:rsid w:val="6BDD21BA"/>
    <w:rsid w:val="6C201B81"/>
    <w:rsid w:val="6C3E5445"/>
    <w:rsid w:val="6C6D6F91"/>
    <w:rsid w:val="6C88625E"/>
    <w:rsid w:val="6CA13DFE"/>
    <w:rsid w:val="6CB8670C"/>
    <w:rsid w:val="6DA94EBA"/>
    <w:rsid w:val="6DF17B9D"/>
    <w:rsid w:val="6E0E3C8F"/>
    <w:rsid w:val="6E58511B"/>
    <w:rsid w:val="6E6A26C1"/>
    <w:rsid w:val="6EBB2BEC"/>
    <w:rsid w:val="6ED21F10"/>
    <w:rsid w:val="6F080338"/>
    <w:rsid w:val="6F0863D7"/>
    <w:rsid w:val="6F731E10"/>
    <w:rsid w:val="6FBB5014"/>
    <w:rsid w:val="6FFF269B"/>
    <w:rsid w:val="70954477"/>
    <w:rsid w:val="7149603D"/>
    <w:rsid w:val="719321A3"/>
    <w:rsid w:val="71A619AC"/>
    <w:rsid w:val="71E65233"/>
    <w:rsid w:val="71F108D3"/>
    <w:rsid w:val="721A6453"/>
    <w:rsid w:val="726218A5"/>
    <w:rsid w:val="72853095"/>
    <w:rsid w:val="72A34FCB"/>
    <w:rsid w:val="72D111A5"/>
    <w:rsid w:val="72DA194E"/>
    <w:rsid w:val="72E1796D"/>
    <w:rsid w:val="72F37AC4"/>
    <w:rsid w:val="72FF03B9"/>
    <w:rsid w:val="737671A3"/>
    <w:rsid w:val="739E27B8"/>
    <w:rsid w:val="73A44841"/>
    <w:rsid w:val="73C36C71"/>
    <w:rsid w:val="73EA2AA9"/>
    <w:rsid w:val="73FE7F01"/>
    <w:rsid w:val="740B755E"/>
    <w:rsid w:val="74106863"/>
    <w:rsid w:val="7470332F"/>
    <w:rsid w:val="748C090A"/>
    <w:rsid w:val="74902403"/>
    <w:rsid w:val="749C4AA7"/>
    <w:rsid w:val="74B0081B"/>
    <w:rsid w:val="74DC1E43"/>
    <w:rsid w:val="7521699E"/>
    <w:rsid w:val="75B20134"/>
    <w:rsid w:val="75E562F0"/>
    <w:rsid w:val="7623310A"/>
    <w:rsid w:val="76337DDA"/>
    <w:rsid w:val="763D716F"/>
    <w:rsid w:val="764A4782"/>
    <w:rsid w:val="76D4241C"/>
    <w:rsid w:val="76E41FD6"/>
    <w:rsid w:val="76E51D0E"/>
    <w:rsid w:val="77127905"/>
    <w:rsid w:val="77214B23"/>
    <w:rsid w:val="779919FD"/>
    <w:rsid w:val="779D37F4"/>
    <w:rsid w:val="77D86B3F"/>
    <w:rsid w:val="77E068D1"/>
    <w:rsid w:val="77E12D5E"/>
    <w:rsid w:val="782177E4"/>
    <w:rsid w:val="7845344B"/>
    <w:rsid w:val="786E00E8"/>
    <w:rsid w:val="78831703"/>
    <w:rsid w:val="78A47DD7"/>
    <w:rsid w:val="78BF1E08"/>
    <w:rsid w:val="78D340D0"/>
    <w:rsid w:val="78EA5C27"/>
    <w:rsid w:val="7912616A"/>
    <w:rsid w:val="791D2ACC"/>
    <w:rsid w:val="79292630"/>
    <w:rsid w:val="7976537A"/>
    <w:rsid w:val="799E363A"/>
    <w:rsid w:val="7A3915CB"/>
    <w:rsid w:val="7AAD2296"/>
    <w:rsid w:val="7AE31134"/>
    <w:rsid w:val="7B13514F"/>
    <w:rsid w:val="7B265E6F"/>
    <w:rsid w:val="7B37261F"/>
    <w:rsid w:val="7B8560E6"/>
    <w:rsid w:val="7B980403"/>
    <w:rsid w:val="7BA7345B"/>
    <w:rsid w:val="7BAC63E8"/>
    <w:rsid w:val="7BEB5709"/>
    <w:rsid w:val="7BF80007"/>
    <w:rsid w:val="7C0E3172"/>
    <w:rsid w:val="7C5C1439"/>
    <w:rsid w:val="7C5F24FD"/>
    <w:rsid w:val="7C8A120B"/>
    <w:rsid w:val="7CA0132C"/>
    <w:rsid w:val="7CD24305"/>
    <w:rsid w:val="7D0C7D05"/>
    <w:rsid w:val="7D43380C"/>
    <w:rsid w:val="7D650B9A"/>
    <w:rsid w:val="7D690782"/>
    <w:rsid w:val="7D870A88"/>
    <w:rsid w:val="7D8E070A"/>
    <w:rsid w:val="7DD76825"/>
    <w:rsid w:val="7E066BDD"/>
    <w:rsid w:val="7E1B0B6B"/>
    <w:rsid w:val="7E3F3E40"/>
    <w:rsid w:val="7EA873A0"/>
    <w:rsid w:val="7EDC0414"/>
    <w:rsid w:val="7F935318"/>
    <w:rsid w:val="7F9E42D4"/>
    <w:rsid w:val="7FB36B52"/>
    <w:rsid w:val="7FB66DFD"/>
    <w:rsid w:val="BFE6E94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uiPriority="0" w:name="toc 4"/>
    <w:lsdException w:uiPriority="0" w:name="toc 5"/>
    <w:lsdException w:qFormat="1" w:unhideWhenUsed="0" w:uiPriority="0" w:semiHidden="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qFormat="1"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38"/>
    <w:autoRedefine/>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49"/>
    <w:autoRedefine/>
    <w:qFormat/>
    <w:uiPriority w:val="0"/>
    <w:pPr>
      <w:keepNext/>
      <w:keepLines/>
      <w:spacing w:before="260" w:after="260" w:line="416" w:lineRule="auto"/>
      <w:outlineLvl w:val="1"/>
    </w:pPr>
    <w:rPr>
      <w:rFonts w:ascii="Arial" w:hAnsi="Arial" w:eastAsia="黑体"/>
      <w:sz w:val="32"/>
      <w:szCs w:val="32"/>
    </w:rPr>
  </w:style>
  <w:style w:type="paragraph" w:styleId="4">
    <w:name w:val="heading 3"/>
    <w:basedOn w:val="1"/>
    <w:next w:val="1"/>
    <w:autoRedefine/>
    <w:unhideWhenUsed/>
    <w:qFormat/>
    <w:uiPriority w:val="9"/>
    <w:pPr>
      <w:keepNext/>
      <w:keepLines/>
      <w:spacing w:line="413" w:lineRule="auto"/>
      <w:outlineLvl w:val="2"/>
    </w:pPr>
    <w:rPr>
      <w:b/>
      <w:sz w:val="32"/>
    </w:rPr>
  </w:style>
  <w:style w:type="paragraph" w:styleId="5">
    <w:name w:val="heading 4"/>
    <w:basedOn w:val="1"/>
    <w:next w:val="1"/>
    <w:autoRedefine/>
    <w:qFormat/>
    <w:uiPriority w:val="9"/>
    <w:pPr>
      <w:keepNext/>
      <w:keepLines/>
      <w:spacing w:before="280" w:after="290" w:line="372" w:lineRule="auto"/>
      <w:outlineLvl w:val="3"/>
    </w:pPr>
    <w:rPr>
      <w:rFonts w:ascii="Arial" w:hAnsi="Arial" w:eastAsia="黑体"/>
      <w:b/>
      <w:bCs/>
      <w:sz w:val="28"/>
      <w:szCs w:val="28"/>
    </w:rPr>
  </w:style>
  <w:style w:type="character" w:default="1" w:styleId="32">
    <w:name w:val="Default Paragraph Font"/>
    <w:semiHidden/>
    <w:unhideWhenUsed/>
    <w:uiPriority w:val="1"/>
  </w:style>
  <w:style w:type="table" w:default="1" w:styleId="29">
    <w:name w:val="Normal Table"/>
    <w:semiHidden/>
    <w:unhideWhenUsed/>
    <w:uiPriority w:val="99"/>
    <w:tblPr>
      <w:tblCellMar>
        <w:top w:w="0" w:type="dxa"/>
        <w:left w:w="108" w:type="dxa"/>
        <w:bottom w:w="0" w:type="dxa"/>
        <w:right w:w="108" w:type="dxa"/>
      </w:tblCellMar>
    </w:tblPr>
  </w:style>
  <w:style w:type="paragraph" w:styleId="6">
    <w:name w:val="Normal Indent"/>
    <w:basedOn w:val="1"/>
    <w:next w:val="1"/>
    <w:link w:val="48"/>
    <w:autoRedefine/>
    <w:qFormat/>
    <w:uiPriority w:val="0"/>
    <w:pPr>
      <w:ind w:firstLine="420"/>
    </w:pPr>
    <w:rPr>
      <w:szCs w:val="20"/>
    </w:rPr>
  </w:style>
  <w:style w:type="paragraph" w:styleId="7">
    <w:name w:val="caption"/>
    <w:basedOn w:val="1"/>
    <w:next w:val="1"/>
    <w:autoRedefine/>
    <w:qFormat/>
    <w:uiPriority w:val="0"/>
    <w:pPr>
      <w:widowControl/>
      <w:spacing w:after="200" w:line="276" w:lineRule="auto"/>
      <w:jc w:val="left"/>
    </w:pPr>
    <w:rPr>
      <w:b/>
      <w:bCs/>
      <w:caps/>
      <w:kern w:val="0"/>
      <w:sz w:val="16"/>
      <w:szCs w:val="18"/>
      <w:lang w:eastAsia="en-US" w:bidi="en-US"/>
    </w:rPr>
  </w:style>
  <w:style w:type="paragraph" w:styleId="8">
    <w:name w:val="annotation text"/>
    <w:basedOn w:val="1"/>
    <w:link w:val="41"/>
    <w:autoRedefine/>
    <w:qFormat/>
    <w:uiPriority w:val="0"/>
    <w:pPr>
      <w:jc w:val="left"/>
    </w:pPr>
  </w:style>
  <w:style w:type="paragraph" w:styleId="9">
    <w:name w:val="Body Text"/>
    <w:basedOn w:val="1"/>
    <w:autoRedefine/>
    <w:qFormat/>
    <w:uiPriority w:val="0"/>
    <w:pPr>
      <w:spacing w:after="120"/>
    </w:pPr>
    <w:rPr>
      <w:sz w:val="28"/>
    </w:rPr>
  </w:style>
  <w:style w:type="paragraph" w:styleId="10">
    <w:name w:val="Body Text Indent"/>
    <w:basedOn w:val="1"/>
    <w:next w:val="11"/>
    <w:autoRedefine/>
    <w:qFormat/>
    <w:uiPriority w:val="0"/>
    <w:pPr>
      <w:widowControl/>
      <w:spacing w:before="100" w:beforeAutospacing="1" w:after="100" w:afterAutospacing="1"/>
      <w:jc w:val="left"/>
    </w:pPr>
    <w:rPr>
      <w:rFonts w:ascii="宋体" w:hAnsi="宋体" w:cs="宋体"/>
      <w:kern w:val="0"/>
      <w:sz w:val="24"/>
    </w:rPr>
  </w:style>
  <w:style w:type="paragraph" w:styleId="11">
    <w:name w:val="Body Text First Indent 2"/>
    <w:basedOn w:val="10"/>
    <w:next w:val="12"/>
    <w:autoRedefine/>
    <w:qFormat/>
    <w:uiPriority w:val="0"/>
    <w:pPr>
      <w:spacing w:after="120"/>
      <w:ind w:left="420" w:leftChars="200" w:firstLine="420"/>
    </w:pPr>
    <w:rPr>
      <w:rFonts w:ascii="Times New Roman" w:hAnsi="Times New Roman" w:eastAsia="楷体_GB2312"/>
      <w:sz w:val="21"/>
    </w:rPr>
  </w:style>
  <w:style w:type="paragraph" w:styleId="12">
    <w:name w:val="Body Text First Indent"/>
    <w:basedOn w:val="9"/>
    <w:next w:val="13"/>
    <w:autoRedefine/>
    <w:qFormat/>
    <w:uiPriority w:val="0"/>
    <w:pPr>
      <w:ind w:firstLine="420" w:firstLineChars="100"/>
    </w:pPr>
  </w:style>
  <w:style w:type="paragraph" w:styleId="13">
    <w:name w:val="toc 6"/>
    <w:basedOn w:val="1"/>
    <w:next w:val="1"/>
    <w:autoRedefine/>
    <w:qFormat/>
    <w:uiPriority w:val="0"/>
    <w:pPr>
      <w:ind w:left="2100" w:leftChars="1000"/>
    </w:pPr>
  </w:style>
  <w:style w:type="paragraph" w:styleId="14">
    <w:name w:val="List Number 3"/>
    <w:basedOn w:val="1"/>
    <w:autoRedefine/>
    <w:qFormat/>
    <w:uiPriority w:val="0"/>
    <w:pPr>
      <w:tabs>
        <w:tab w:val="left" w:pos="1200"/>
      </w:tabs>
      <w:ind w:left="1200" w:hanging="360"/>
    </w:pPr>
  </w:style>
  <w:style w:type="paragraph" w:styleId="15">
    <w:name w:val="Block Text"/>
    <w:basedOn w:val="1"/>
    <w:autoRedefine/>
    <w:qFormat/>
    <w:uiPriority w:val="0"/>
    <w:pPr>
      <w:spacing w:line="390" w:lineRule="exact"/>
      <w:ind w:left="735" w:right="-296" w:rightChars="-141"/>
    </w:pPr>
    <w:rPr>
      <w:rFonts w:ascii="宋体"/>
    </w:rPr>
  </w:style>
  <w:style w:type="paragraph" w:styleId="16">
    <w:name w:val="toc 3"/>
    <w:basedOn w:val="1"/>
    <w:next w:val="1"/>
    <w:autoRedefine/>
    <w:qFormat/>
    <w:uiPriority w:val="0"/>
    <w:pPr>
      <w:ind w:left="840" w:leftChars="400"/>
    </w:pPr>
  </w:style>
  <w:style w:type="paragraph" w:styleId="17">
    <w:name w:val="Plain Text"/>
    <w:basedOn w:val="1"/>
    <w:link w:val="53"/>
    <w:autoRedefine/>
    <w:qFormat/>
    <w:uiPriority w:val="0"/>
    <w:pPr>
      <w:widowControl/>
      <w:spacing w:before="100" w:beforeAutospacing="1" w:after="100" w:afterAutospacing="1"/>
      <w:jc w:val="left"/>
    </w:pPr>
    <w:rPr>
      <w:rFonts w:ascii="宋体" w:hAnsi="宋体"/>
      <w:kern w:val="0"/>
      <w:sz w:val="24"/>
    </w:rPr>
  </w:style>
  <w:style w:type="paragraph" w:styleId="18">
    <w:name w:val="Date"/>
    <w:basedOn w:val="1"/>
    <w:next w:val="1"/>
    <w:link w:val="42"/>
    <w:autoRedefine/>
    <w:qFormat/>
    <w:uiPriority w:val="0"/>
    <w:pPr>
      <w:widowControl/>
      <w:spacing w:before="100" w:beforeAutospacing="1" w:after="100" w:afterAutospacing="1"/>
      <w:jc w:val="left"/>
    </w:pPr>
    <w:rPr>
      <w:rFonts w:ascii="宋体" w:hAnsi="宋体"/>
      <w:kern w:val="0"/>
      <w:sz w:val="24"/>
    </w:rPr>
  </w:style>
  <w:style w:type="paragraph" w:styleId="19">
    <w:name w:val="Body Text Indent 2"/>
    <w:basedOn w:val="1"/>
    <w:link w:val="47"/>
    <w:autoRedefine/>
    <w:qFormat/>
    <w:uiPriority w:val="0"/>
    <w:pPr>
      <w:spacing w:after="120" w:line="480" w:lineRule="auto"/>
      <w:ind w:left="420" w:leftChars="200"/>
    </w:pPr>
  </w:style>
  <w:style w:type="paragraph" w:styleId="20">
    <w:name w:val="Balloon Text"/>
    <w:basedOn w:val="1"/>
    <w:autoRedefine/>
    <w:semiHidden/>
    <w:qFormat/>
    <w:uiPriority w:val="0"/>
    <w:rPr>
      <w:sz w:val="18"/>
      <w:szCs w:val="18"/>
    </w:rPr>
  </w:style>
  <w:style w:type="paragraph" w:styleId="21">
    <w:name w:val="footer"/>
    <w:basedOn w:val="1"/>
    <w:link w:val="51"/>
    <w:autoRedefine/>
    <w:qFormat/>
    <w:uiPriority w:val="99"/>
    <w:pPr>
      <w:tabs>
        <w:tab w:val="center" w:pos="4153"/>
        <w:tab w:val="right" w:pos="8306"/>
      </w:tabs>
      <w:snapToGrid w:val="0"/>
      <w:jc w:val="left"/>
    </w:pPr>
    <w:rPr>
      <w:sz w:val="18"/>
      <w:szCs w:val="18"/>
    </w:rPr>
  </w:style>
  <w:style w:type="paragraph" w:styleId="22">
    <w:name w:val="header"/>
    <w:basedOn w:val="1"/>
    <w:link w:val="43"/>
    <w:autoRedefine/>
    <w:qFormat/>
    <w:uiPriority w:val="99"/>
    <w:pPr>
      <w:pBdr>
        <w:bottom w:val="single" w:color="auto" w:sz="6" w:space="1"/>
      </w:pBdr>
      <w:tabs>
        <w:tab w:val="center" w:pos="4153"/>
        <w:tab w:val="right" w:pos="8306"/>
      </w:tabs>
      <w:snapToGrid w:val="0"/>
      <w:jc w:val="center"/>
    </w:pPr>
    <w:rPr>
      <w:sz w:val="18"/>
      <w:szCs w:val="18"/>
    </w:rPr>
  </w:style>
  <w:style w:type="paragraph" w:styleId="23">
    <w:name w:val="toc 1"/>
    <w:basedOn w:val="1"/>
    <w:next w:val="1"/>
    <w:autoRedefine/>
    <w:qFormat/>
    <w:uiPriority w:val="0"/>
    <w:pPr>
      <w:tabs>
        <w:tab w:val="right" w:leader="dot" w:pos="8494"/>
      </w:tabs>
    </w:pPr>
    <w:rPr>
      <w:rFonts w:ascii="宋体" w:hAnsi="宋体"/>
      <w:sz w:val="32"/>
    </w:rPr>
  </w:style>
  <w:style w:type="paragraph" w:styleId="24">
    <w:name w:val="List"/>
    <w:basedOn w:val="1"/>
    <w:autoRedefine/>
    <w:qFormat/>
    <w:uiPriority w:val="0"/>
    <w:pPr>
      <w:ind w:left="200" w:hanging="200" w:hangingChars="200"/>
    </w:pPr>
    <w:rPr>
      <w:szCs w:val="22"/>
    </w:rPr>
  </w:style>
  <w:style w:type="paragraph" w:styleId="25">
    <w:name w:val="Body Text Indent 3"/>
    <w:basedOn w:val="1"/>
    <w:link w:val="52"/>
    <w:autoRedefine/>
    <w:qFormat/>
    <w:uiPriority w:val="0"/>
    <w:pPr>
      <w:spacing w:after="120"/>
      <w:ind w:left="420" w:leftChars="200"/>
    </w:pPr>
    <w:rPr>
      <w:kern w:val="0"/>
      <w:sz w:val="16"/>
      <w:szCs w:val="16"/>
    </w:rPr>
  </w:style>
  <w:style w:type="paragraph" w:styleId="26">
    <w:name w:val="toc 2"/>
    <w:basedOn w:val="1"/>
    <w:next w:val="1"/>
    <w:autoRedefine/>
    <w:qFormat/>
    <w:uiPriority w:val="0"/>
    <w:pPr>
      <w:tabs>
        <w:tab w:val="right" w:leader="dot" w:pos="8494"/>
      </w:tabs>
    </w:pPr>
    <w:rPr>
      <w:sz w:val="30"/>
    </w:rPr>
  </w:style>
  <w:style w:type="paragraph" w:styleId="27">
    <w:name w:val="Normal (Web)"/>
    <w:basedOn w:val="1"/>
    <w:autoRedefine/>
    <w:qFormat/>
    <w:uiPriority w:val="0"/>
    <w:pPr>
      <w:spacing w:before="100" w:beforeAutospacing="1" w:after="100" w:afterAutospacing="1"/>
    </w:pPr>
    <w:rPr>
      <w:rFonts w:ascii="Arial Unicode MS" w:hAnsi="Arial Unicode MS" w:eastAsia="Times New Roman"/>
      <w:color w:val="000000"/>
      <w:sz w:val="24"/>
    </w:rPr>
  </w:style>
  <w:style w:type="paragraph" w:styleId="28">
    <w:name w:val="annotation subject"/>
    <w:basedOn w:val="8"/>
    <w:next w:val="8"/>
    <w:link w:val="56"/>
    <w:autoRedefine/>
    <w:qFormat/>
    <w:uiPriority w:val="0"/>
    <w:rPr>
      <w:b/>
      <w:bCs/>
    </w:rPr>
  </w:style>
  <w:style w:type="table" w:styleId="30">
    <w:name w:val="Table Grid"/>
    <w:basedOn w:val="2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31">
    <w:name w:val="Table Theme"/>
    <w:basedOn w:val="2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blStylePr w:type="firstRow">
      <w:tblPr/>
      <w:trPr>
        <w:tblHeader/>
      </w:trPr>
      <w:tcPr>
        <w:shd w:val="clear" w:color="auto" w:fill="A6A6A6"/>
      </w:tcPr>
    </w:tblStylePr>
  </w:style>
  <w:style w:type="character" w:styleId="33">
    <w:name w:val="Strong"/>
    <w:autoRedefine/>
    <w:qFormat/>
    <w:uiPriority w:val="0"/>
    <w:rPr>
      <w:b/>
      <w:bCs/>
    </w:rPr>
  </w:style>
  <w:style w:type="character" w:styleId="34">
    <w:name w:val="Hyperlink"/>
    <w:autoRedefine/>
    <w:qFormat/>
    <w:uiPriority w:val="0"/>
    <w:rPr>
      <w:color w:val="0000FF"/>
      <w:u w:val="single"/>
    </w:rPr>
  </w:style>
  <w:style w:type="character" w:styleId="35">
    <w:name w:val="annotation reference"/>
    <w:autoRedefine/>
    <w:qFormat/>
    <w:uiPriority w:val="0"/>
    <w:rPr>
      <w:sz w:val="21"/>
      <w:szCs w:val="21"/>
    </w:rPr>
  </w:style>
  <w:style w:type="paragraph" w:customStyle="1" w:styleId="36">
    <w:name w:val="Default"/>
    <w:next w:val="1"/>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7">
    <w:name w:val="章正文"/>
    <w:basedOn w:val="1"/>
    <w:autoRedefine/>
    <w:qFormat/>
    <w:uiPriority w:val="0"/>
    <w:pPr>
      <w:spacing w:beforeLines="50" w:line="300" w:lineRule="auto"/>
      <w:ind w:firstLine="480"/>
    </w:pPr>
    <w:rPr>
      <w:rFonts w:ascii="Helvetica" w:hAnsi="Helvetica"/>
      <w:kern w:val="0"/>
      <w:sz w:val="24"/>
    </w:rPr>
  </w:style>
  <w:style w:type="character" w:customStyle="1" w:styleId="38">
    <w:name w:val="标题 1 Char"/>
    <w:link w:val="2"/>
    <w:autoRedefine/>
    <w:qFormat/>
    <w:uiPriority w:val="0"/>
    <w:rPr>
      <w:b/>
      <w:bCs/>
      <w:kern w:val="44"/>
      <w:sz w:val="44"/>
      <w:szCs w:val="44"/>
    </w:rPr>
  </w:style>
  <w:style w:type="paragraph" w:customStyle="1" w:styleId="39">
    <w:name w:val="表格文字"/>
    <w:basedOn w:val="1"/>
    <w:next w:val="9"/>
    <w:autoRedefine/>
    <w:qFormat/>
    <w:uiPriority w:val="0"/>
    <w:pPr>
      <w:adjustRightInd w:val="0"/>
      <w:spacing w:line="420" w:lineRule="atLeast"/>
      <w:jc w:val="left"/>
      <w:textAlignment w:val="baseline"/>
    </w:pPr>
    <w:rPr>
      <w:rFonts w:ascii="Times New Roman" w:hAnsi="Times New Roman"/>
      <w:kern w:val="0"/>
    </w:rPr>
  </w:style>
  <w:style w:type="paragraph" w:customStyle="1" w:styleId="40">
    <w:name w:val="_Style 3"/>
    <w:autoRedefine/>
    <w:qFormat/>
    <w:uiPriority w:val="0"/>
    <w:rPr>
      <w:rFonts w:ascii="Times New Roman" w:hAnsi="Times New Roman" w:eastAsia="宋体" w:cs="Times New Roman"/>
      <w:sz w:val="22"/>
      <w:szCs w:val="22"/>
      <w:lang w:val="en-US" w:eastAsia="zh-CN" w:bidi="ar-SA"/>
    </w:rPr>
  </w:style>
  <w:style w:type="character" w:customStyle="1" w:styleId="41">
    <w:name w:val="批注文字 Char"/>
    <w:link w:val="8"/>
    <w:autoRedefine/>
    <w:qFormat/>
    <w:uiPriority w:val="0"/>
    <w:rPr>
      <w:kern w:val="2"/>
      <w:sz w:val="21"/>
      <w:szCs w:val="24"/>
    </w:rPr>
  </w:style>
  <w:style w:type="character" w:customStyle="1" w:styleId="42">
    <w:name w:val="日期 Char"/>
    <w:link w:val="18"/>
    <w:autoRedefine/>
    <w:qFormat/>
    <w:uiPriority w:val="0"/>
    <w:rPr>
      <w:rFonts w:ascii="宋体" w:hAnsi="宋体" w:cs="宋体"/>
      <w:sz w:val="24"/>
      <w:szCs w:val="24"/>
    </w:rPr>
  </w:style>
  <w:style w:type="character" w:customStyle="1" w:styleId="43">
    <w:name w:val="页眉 Char"/>
    <w:link w:val="22"/>
    <w:autoRedefine/>
    <w:qFormat/>
    <w:uiPriority w:val="99"/>
    <w:rPr>
      <w:kern w:val="2"/>
      <w:sz w:val="18"/>
      <w:szCs w:val="18"/>
    </w:rPr>
  </w:style>
  <w:style w:type="character" w:customStyle="1" w:styleId="44">
    <w:name w:val="标题1 Char"/>
    <w:link w:val="45"/>
    <w:autoRedefine/>
    <w:qFormat/>
    <w:uiPriority w:val="0"/>
    <w:rPr>
      <w:rFonts w:ascii="宋体" w:hAnsi="Courier New"/>
      <w:b/>
      <w:sz w:val="30"/>
      <w:szCs w:val="21"/>
    </w:rPr>
  </w:style>
  <w:style w:type="paragraph" w:customStyle="1" w:styleId="45">
    <w:name w:val="标题1"/>
    <w:basedOn w:val="1"/>
    <w:link w:val="44"/>
    <w:autoRedefine/>
    <w:qFormat/>
    <w:uiPriority w:val="0"/>
    <w:pPr>
      <w:spacing w:line="360" w:lineRule="auto"/>
    </w:pPr>
    <w:rPr>
      <w:rFonts w:ascii="宋体" w:hAnsi="Courier New"/>
      <w:b/>
      <w:kern w:val="0"/>
      <w:sz w:val="30"/>
      <w:szCs w:val="21"/>
    </w:rPr>
  </w:style>
  <w:style w:type="character" w:customStyle="1" w:styleId="46">
    <w:name w:val="正文文本缩进 3 Char1"/>
    <w:autoRedefine/>
    <w:qFormat/>
    <w:uiPriority w:val="0"/>
    <w:rPr>
      <w:kern w:val="2"/>
      <w:sz w:val="16"/>
      <w:szCs w:val="16"/>
    </w:rPr>
  </w:style>
  <w:style w:type="character" w:customStyle="1" w:styleId="47">
    <w:name w:val="正文文本缩进 2 Char"/>
    <w:link w:val="19"/>
    <w:autoRedefine/>
    <w:qFormat/>
    <w:uiPriority w:val="0"/>
    <w:rPr>
      <w:kern w:val="2"/>
      <w:sz w:val="21"/>
      <w:szCs w:val="24"/>
    </w:rPr>
  </w:style>
  <w:style w:type="character" w:customStyle="1" w:styleId="48">
    <w:name w:val="正文缩进 Char"/>
    <w:link w:val="6"/>
    <w:autoRedefine/>
    <w:qFormat/>
    <w:uiPriority w:val="0"/>
    <w:rPr>
      <w:kern w:val="2"/>
      <w:sz w:val="21"/>
    </w:rPr>
  </w:style>
  <w:style w:type="character" w:customStyle="1" w:styleId="49">
    <w:name w:val="标题 2 Char"/>
    <w:link w:val="3"/>
    <w:autoRedefine/>
    <w:qFormat/>
    <w:uiPriority w:val="0"/>
    <w:rPr>
      <w:rFonts w:ascii="Arial" w:hAnsi="Arial" w:eastAsia="黑体"/>
      <w:b/>
      <w:bCs/>
      <w:kern w:val="2"/>
      <w:sz w:val="32"/>
      <w:szCs w:val="32"/>
    </w:rPr>
  </w:style>
  <w:style w:type="character" w:customStyle="1" w:styleId="50">
    <w:name w:val="纯文本 Char1"/>
    <w:autoRedefine/>
    <w:qFormat/>
    <w:uiPriority w:val="0"/>
    <w:rPr>
      <w:rFonts w:ascii="宋体" w:hAnsi="Courier New" w:eastAsia="宋体"/>
      <w:kern w:val="2"/>
      <w:sz w:val="24"/>
      <w:szCs w:val="24"/>
      <w:lang w:val="en-US" w:eastAsia="zh-CN" w:bidi="ar-SA"/>
    </w:rPr>
  </w:style>
  <w:style w:type="character" w:customStyle="1" w:styleId="51">
    <w:name w:val="页脚 Char"/>
    <w:link w:val="21"/>
    <w:autoRedefine/>
    <w:qFormat/>
    <w:uiPriority w:val="99"/>
    <w:rPr>
      <w:kern w:val="2"/>
      <w:sz w:val="18"/>
      <w:szCs w:val="18"/>
    </w:rPr>
  </w:style>
  <w:style w:type="character" w:customStyle="1" w:styleId="52">
    <w:name w:val="正文文本缩进 3 Char"/>
    <w:link w:val="25"/>
    <w:autoRedefine/>
    <w:qFormat/>
    <w:uiPriority w:val="0"/>
    <w:rPr>
      <w:sz w:val="16"/>
      <w:szCs w:val="16"/>
    </w:rPr>
  </w:style>
  <w:style w:type="character" w:customStyle="1" w:styleId="53">
    <w:name w:val="纯文本 Char"/>
    <w:link w:val="17"/>
    <w:autoRedefine/>
    <w:qFormat/>
    <w:uiPriority w:val="0"/>
    <w:rPr>
      <w:rFonts w:ascii="宋体" w:hAnsi="宋体" w:cs="宋体"/>
      <w:sz w:val="24"/>
      <w:szCs w:val="24"/>
    </w:rPr>
  </w:style>
  <w:style w:type="character" w:customStyle="1" w:styleId="54">
    <w:name w:val="无间隔 Char"/>
    <w:link w:val="55"/>
    <w:autoRedefine/>
    <w:qFormat/>
    <w:uiPriority w:val="1"/>
    <w:rPr>
      <w:rFonts w:ascii="Calibri" w:hAnsi="Calibri"/>
      <w:sz w:val="22"/>
      <w:szCs w:val="22"/>
      <w:lang w:val="en-US" w:eastAsia="zh-CN" w:bidi="ar-SA"/>
    </w:rPr>
  </w:style>
  <w:style w:type="paragraph" w:styleId="55">
    <w:name w:val="No Spacing"/>
    <w:link w:val="54"/>
    <w:autoRedefine/>
    <w:qFormat/>
    <w:uiPriority w:val="1"/>
    <w:rPr>
      <w:rFonts w:ascii="Calibri" w:hAnsi="Calibri" w:eastAsia="宋体" w:cs="Times New Roman"/>
      <w:sz w:val="22"/>
      <w:szCs w:val="22"/>
      <w:lang w:val="en-US" w:eastAsia="zh-CN" w:bidi="ar-SA"/>
    </w:rPr>
  </w:style>
  <w:style w:type="character" w:customStyle="1" w:styleId="56">
    <w:name w:val="批注主题 Char"/>
    <w:link w:val="28"/>
    <w:autoRedefine/>
    <w:qFormat/>
    <w:uiPriority w:val="0"/>
    <w:rPr>
      <w:b/>
      <w:bCs/>
      <w:kern w:val="2"/>
      <w:sz w:val="21"/>
      <w:szCs w:val="24"/>
    </w:rPr>
  </w:style>
  <w:style w:type="paragraph" w:customStyle="1" w:styleId="57">
    <w:name w:val="正文1"/>
    <w:basedOn w:val="1"/>
    <w:autoRedefine/>
    <w:qFormat/>
    <w:uiPriority w:val="0"/>
    <w:pPr>
      <w:widowControl/>
      <w:spacing w:line="360" w:lineRule="auto"/>
      <w:ind w:firstLine="200" w:firstLineChars="200"/>
      <w:jc w:val="left"/>
    </w:pPr>
    <w:rPr>
      <w:rFonts w:cs="仿宋_GB2312"/>
      <w:snapToGrid w:val="0"/>
      <w:color w:val="000000"/>
      <w:sz w:val="24"/>
    </w:rPr>
  </w:style>
  <w:style w:type="paragraph" w:customStyle="1" w:styleId="58">
    <w:name w:val="Normal Indent1"/>
    <w:basedOn w:val="1"/>
    <w:autoRedefine/>
    <w:qFormat/>
    <w:uiPriority w:val="0"/>
    <w:pPr>
      <w:ind w:firstLine="420" w:firstLineChars="200"/>
    </w:pPr>
  </w:style>
  <w:style w:type="paragraph" w:customStyle="1" w:styleId="59">
    <w:name w:val="0-正文"/>
    <w:basedOn w:val="1"/>
    <w:autoRedefine/>
    <w:qFormat/>
    <w:uiPriority w:val="0"/>
    <w:pPr>
      <w:ind w:firstLine="420" w:firstLineChars="200"/>
    </w:pPr>
    <w:rPr>
      <w:rFonts w:ascii="汉仪仿宋简" w:hAnsi="仿宋"/>
      <w:szCs w:val="28"/>
    </w:rPr>
  </w:style>
  <w:style w:type="paragraph" w:customStyle="1" w:styleId="60">
    <w:name w:val="p0"/>
    <w:basedOn w:val="1"/>
    <w:autoRedefine/>
    <w:qFormat/>
    <w:uiPriority w:val="99"/>
    <w:pPr>
      <w:widowControl/>
    </w:pPr>
    <w:rPr>
      <w:kern w:val="0"/>
      <w:sz w:val="28"/>
      <w:szCs w:val="28"/>
    </w:rPr>
  </w:style>
  <w:style w:type="paragraph" w:customStyle="1" w:styleId="61">
    <w:name w:val="段"/>
    <w:next w:val="1"/>
    <w:autoRedefine/>
    <w:qFormat/>
    <w:uiPriority w:val="0"/>
    <w:pPr>
      <w:autoSpaceDE w:val="0"/>
      <w:autoSpaceDN w:val="0"/>
      <w:ind w:firstLine="200" w:firstLineChars="200"/>
      <w:jc w:val="both"/>
    </w:pPr>
    <w:rPr>
      <w:rFonts w:ascii="宋体" w:hAnsi="Calibri" w:eastAsia="宋体" w:cs="Times New Roman"/>
      <w:sz w:val="21"/>
      <w:szCs w:val="22"/>
      <w:lang w:val="en-US" w:eastAsia="zh-CN" w:bidi="ar-SA"/>
    </w:rPr>
  </w:style>
  <w:style w:type="paragraph" w:styleId="62">
    <w:name w:val="List Paragraph"/>
    <w:basedOn w:val="1"/>
    <w:autoRedefine/>
    <w:qFormat/>
    <w:uiPriority w:val="34"/>
    <w:pPr>
      <w:ind w:firstLine="420" w:firstLineChars="200"/>
    </w:pPr>
  </w:style>
  <w:style w:type="paragraph" w:customStyle="1" w:styleId="63">
    <w:name w:val="_Style 1"/>
    <w:autoRedefine/>
    <w:qFormat/>
    <w:uiPriority w:val="0"/>
    <w:rPr>
      <w:rFonts w:ascii="Calibri" w:hAnsi="Calibri" w:eastAsia="宋体" w:cs="Times New Roman"/>
      <w:kern w:val="2"/>
      <w:sz w:val="28"/>
      <w:szCs w:val="22"/>
      <w:lang w:val="en-US" w:eastAsia="zh-CN" w:bidi="ar-SA"/>
    </w:rPr>
  </w:style>
  <w:style w:type="paragraph" w:customStyle="1" w:styleId="64">
    <w:name w:val="List Paragraph1"/>
    <w:basedOn w:val="1"/>
    <w:autoRedefine/>
    <w:qFormat/>
    <w:uiPriority w:val="0"/>
    <w:pPr>
      <w:widowControl/>
      <w:spacing w:after="200" w:line="276" w:lineRule="auto"/>
      <w:ind w:firstLine="420" w:firstLineChars="200"/>
      <w:jc w:val="left"/>
    </w:pPr>
    <w:rPr>
      <w:kern w:val="0"/>
      <w:sz w:val="22"/>
      <w:szCs w:val="22"/>
      <w:lang w:eastAsia="en-US" w:bidi="en-US"/>
    </w:rPr>
  </w:style>
  <w:style w:type="paragraph" w:customStyle="1" w:styleId="65">
    <w:name w:val="中等深浅网格 1 - 强调文字颜色 21"/>
    <w:basedOn w:val="1"/>
    <w:autoRedefine/>
    <w:qFormat/>
    <w:uiPriority w:val="0"/>
    <w:pPr>
      <w:spacing w:line="360" w:lineRule="auto"/>
      <w:ind w:firstLine="420" w:firstLineChars="200"/>
    </w:pPr>
    <w:rPr>
      <w:kern w:val="0"/>
      <w:sz w:val="34"/>
      <w:szCs w:val="20"/>
    </w:rPr>
  </w:style>
  <w:style w:type="paragraph" w:customStyle="1" w:styleId="66">
    <w:name w:val="reader-word-laye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7">
    <w:name w:val="纯文本1"/>
    <w:basedOn w:val="1"/>
    <w:autoRedefine/>
    <w:qFormat/>
    <w:uiPriority w:val="0"/>
    <w:pPr>
      <w:widowControl/>
      <w:adjustRightInd w:val="0"/>
      <w:jc w:val="left"/>
      <w:textAlignment w:val="baseline"/>
    </w:pPr>
    <w:rPr>
      <w:rFonts w:ascii="宋体" w:hAnsi="Courier New" w:eastAsia="楷体_GB2312"/>
      <w:kern w:val="0"/>
      <w:sz w:val="26"/>
      <w:szCs w:val="20"/>
    </w:rPr>
  </w:style>
  <w:style w:type="paragraph" w:customStyle="1" w:styleId="68">
    <w:name w:val="首行缩进"/>
    <w:basedOn w:val="1"/>
    <w:autoRedefine/>
    <w:qFormat/>
    <w:uiPriority w:val="0"/>
    <w:pPr>
      <w:spacing w:line="360" w:lineRule="auto"/>
      <w:ind w:firstLine="480" w:firstLineChars="200"/>
    </w:pPr>
    <w:rPr>
      <w:sz w:val="24"/>
      <w:lang w:val="zh-CN"/>
    </w:rPr>
  </w:style>
  <w:style w:type="paragraph" w:customStyle="1" w:styleId="69">
    <w:name w:val="Char Char Char"/>
    <w:basedOn w:val="1"/>
    <w:autoRedefine/>
    <w:qFormat/>
    <w:uiPriority w:val="0"/>
    <w:rPr>
      <w:rFonts w:ascii="Tahoma" w:hAnsi="Tahoma"/>
      <w:sz w:val="24"/>
      <w:szCs w:val="20"/>
    </w:rPr>
  </w:style>
  <w:style w:type="character" w:customStyle="1" w:styleId="70">
    <w:name w:val="font21"/>
    <w:basedOn w:val="32"/>
    <w:autoRedefine/>
    <w:qFormat/>
    <w:uiPriority w:val="0"/>
    <w:rPr>
      <w:rFonts w:hint="default" w:ascii="Symbol" w:hAnsi="Symbol" w:cs="Symbol"/>
      <w:color w:val="FF0000"/>
      <w:sz w:val="22"/>
      <w:szCs w:val="22"/>
      <w:u w:val="none"/>
    </w:rPr>
  </w:style>
  <w:style w:type="character" w:customStyle="1" w:styleId="71">
    <w:name w:val="font31"/>
    <w:basedOn w:val="32"/>
    <w:autoRedefine/>
    <w:qFormat/>
    <w:uiPriority w:val="0"/>
    <w:rPr>
      <w:rFonts w:hint="eastAsia" w:ascii="微软雅黑" w:hAnsi="微软雅黑" w:eastAsia="微软雅黑" w:cs="微软雅黑"/>
      <w:color w:val="FF0000"/>
      <w:sz w:val="22"/>
      <w:szCs w:val="22"/>
      <w:u w:val="none"/>
    </w:rPr>
  </w:style>
  <w:style w:type="character" w:customStyle="1" w:styleId="72">
    <w:name w:val="fontstyle01"/>
    <w:basedOn w:val="32"/>
    <w:autoRedefine/>
    <w:qFormat/>
    <w:uiPriority w:val="0"/>
    <w:rPr>
      <w:rFonts w:hint="eastAsia" w:ascii="宋体" w:hAnsi="宋体" w:eastAsia="宋体"/>
      <w:color w:val="000000"/>
      <w:sz w:val="24"/>
      <w:szCs w:val="24"/>
    </w:rPr>
  </w:style>
  <w:style w:type="character" w:customStyle="1" w:styleId="73">
    <w:name w:val="fontstyle21"/>
    <w:basedOn w:val="32"/>
    <w:autoRedefine/>
    <w:qFormat/>
    <w:uiPriority w:val="0"/>
    <w:rPr>
      <w:rFonts w:hint="default" w:ascii="Times New Roman" w:hAnsi="Times New Roman" w:cs="Times New Roman"/>
      <w:color w:val="000000"/>
      <w:sz w:val="24"/>
      <w:szCs w:val="24"/>
    </w:rPr>
  </w:style>
  <w:style w:type="paragraph" w:customStyle="1" w:styleId="74">
    <w:name w:val="Table Paragraph"/>
    <w:basedOn w:val="1"/>
    <w:autoRedefine/>
    <w:qFormat/>
    <w:uiPriority w:val="1"/>
    <w:rPr>
      <w:rFonts w:ascii="宋体" w:hAnsi="宋体" w:cs="宋体"/>
      <w:lang w:val="zh-CN" w:bidi="zh-CN"/>
    </w:rPr>
  </w:style>
  <w:style w:type="paragraph" w:customStyle="1" w:styleId="75">
    <w:name w:val="Other|1"/>
    <w:basedOn w:val="1"/>
    <w:autoRedefine/>
    <w:qFormat/>
    <w:uiPriority w:val="0"/>
    <w:pPr>
      <w:spacing w:after="100" w:line="430" w:lineRule="auto"/>
      <w:ind w:firstLine="400"/>
    </w:pPr>
    <w:rPr>
      <w:rFonts w:ascii="宋体" w:hAnsi="宋体" w:cs="宋体"/>
      <w:sz w:val="20"/>
      <w:szCs w:val="20"/>
      <w:lang w:val="zh-TW" w:eastAsia="zh-TW" w:bidi="zh-TW"/>
    </w:rPr>
  </w:style>
  <w:style w:type="paragraph" w:customStyle="1" w:styleId="76">
    <w:name w:val="正文_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7">
    <w:name w:val="正文_2_2"/>
    <w:basedOn w:val="1"/>
    <w:autoRedefine/>
    <w:qFormat/>
    <w:uiPriority w:val="0"/>
    <w:rPr>
      <w:rFonts w:cs="宋体"/>
      <w:szCs w:val="21"/>
    </w:rPr>
  </w:style>
  <w:style w:type="character" w:customStyle="1" w:styleId="78">
    <w:name w:val="15"/>
    <w:autoRedefine/>
    <w:qFormat/>
    <w:uiPriority w:val="0"/>
    <w:rPr>
      <w:rFonts w:hint="default" w:ascii="Times New Roman" w:hAnsi="Times New Roman" w:cs="Times New Roman"/>
      <w:color w:val="0000FF"/>
      <w:sz w:val="21"/>
      <w:szCs w:val="24"/>
      <w:u w:val="single"/>
    </w:rPr>
  </w:style>
  <w:style w:type="paragraph" w:customStyle="1" w:styleId="79">
    <w:name w:val="正文_2_0_0"/>
    <w:basedOn w:val="1"/>
    <w:autoRedefine/>
    <w:qFormat/>
    <w:uiPriority w:val="0"/>
    <w:rPr>
      <w:rFonts w:cs="宋体"/>
      <w:szCs w:val="21"/>
    </w:rPr>
  </w:style>
  <w:style w:type="paragraph" w:customStyle="1" w:styleId="80">
    <w:name w:val="正文_2_0_0_0"/>
    <w:basedOn w:val="1"/>
    <w:autoRedefine/>
    <w:qFormat/>
    <w:uiPriority w:val="0"/>
    <w:rPr>
      <w:szCs w:val="21"/>
    </w:rPr>
  </w:style>
  <w:style w:type="paragraph" w:customStyle="1" w:styleId="81">
    <w:name w:val="【正文】"/>
    <w:basedOn w:val="1"/>
    <w:autoRedefine/>
    <w:qFormat/>
    <w:uiPriority w:val="0"/>
    <w:pPr>
      <w:spacing w:line="480" w:lineRule="auto"/>
      <w:ind w:firstLine="560" w:firstLineChars="200"/>
    </w:pPr>
    <w:rPr>
      <w:rFonts w:ascii="仿宋" w:hAnsi="仿宋"/>
      <w:kern w:val="0"/>
      <w:sz w:val="28"/>
      <w:szCs w:val="28"/>
    </w:rPr>
  </w:style>
  <w:style w:type="paragraph" w:customStyle="1" w:styleId="82">
    <w:name w:val="_正文段落"/>
    <w:basedOn w:val="1"/>
    <w:autoRedefine/>
    <w:qFormat/>
    <w:uiPriority w:val="0"/>
    <w:pPr>
      <w:spacing w:beforeLines="15" w:afterLines="15"/>
      <w:ind w:firstLine="200" w:firstLineChars="200"/>
    </w:pPr>
    <w:rPr>
      <w:szCs w:val="22"/>
    </w:rPr>
  </w:style>
  <w:style w:type="paragraph" w:customStyle="1" w:styleId="83">
    <w:name w:val="**表"/>
    <w:basedOn w:val="1"/>
    <w:autoRedefine/>
    <w:qFormat/>
    <w:uiPriority w:val="0"/>
    <w:pPr>
      <w:widowControl/>
      <w:jc w:val="left"/>
    </w:pPr>
    <w:rPr>
      <w:rFonts w:ascii="宋体" w:hAnsi="宋体" w:eastAsia="仿宋" w:cs="宋体"/>
      <w:bCs/>
      <w:color w:val="000000"/>
      <w:kern w:val="0"/>
      <w:szCs w:val="21"/>
    </w:rPr>
  </w:style>
  <w:style w:type="paragraph" w:customStyle="1" w:styleId="84">
    <w:name w:val="FC正文"/>
    <w:basedOn w:val="1"/>
    <w:autoRedefine/>
    <w:qFormat/>
    <w:uiPriority w:val="0"/>
    <w:pPr>
      <w:snapToGrid w:val="0"/>
      <w:spacing w:beforeLines="50" w:afterLines="50" w:line="360" w:lineRule="auto"/>
      <w:ind w:firstLine="200" w:firstLineChars="200"/>
      <w:contextualSpacing/>
    </w:pPr>
    <w:rPr>
      <w:rFonts w:cs="宋体"/>
      <w:kern w:val="0"/>
      <w:sz w:val="24"/>
      <w:szCs w:val="20"/>
    </w:rPr>
  </w:style>
  <w:style w:type="paragraph" w:customStyle="1" w:styleId="85">
    <w:name w:val="!!正文"/>
    <w:basedOn w:val="1"/>
    <w:autoRedefine/>
    <w:qFormat/>
    <w:uiPriority w:val="0"/>
    <w:pPr>
      <w:snapToGrid w:val="0"/>
      <w:spacing w:beforeLines="30" w:afterLines="30" w:line="360" w:lineRule="auto"/>
      <w:ind w:firstLine="200" w:firstLineChars="200"/>
    </w:pPr>
    <w:rPr>
      <w:rFonts w:ascii="宋体" w:hAnsi="宋体" w:cs="宋体"/>
      <w:sz w:val="24"/>
      <w:szCs w:val="20"/>
    </w:rPr>
  </w:style>
  <w:style w:type="paragraph" w:customStyle="1" w:styleId="86">
    <w:name w:val="A_正文_黑"/>
    <w:basedOn w:val="1"/>
    <w:autoRedefine/>
    <w:qFormat/>
    <w:uiPriority w:val="0"/>
    <w:pPr>
      <w:tabs>
        <w:tab w:val="left" w:pos="1547"/>
      </w:tabs>
      <w:spacing w:line="360" w:lineRule="auto"/>
      <w:ind w:firstLine="600" w:firstLineChars="200"/>
    </w:pPr>
    <w:rPr>
      <w:rFonts w:ascii="Times New Roman" w:hAnsi="Times New Roman" w:eastAsia="仿宋"/>
      <w:color w:val="000000" w:themeColor="text1"/>
      <w:sz w:val="30"/>
      <w:szCs w:val="22"/>
      <w14:textFill>
        <w14:solidFill>
          <w14:schemeClr w14:val="tx1"/>
        </w14:solidFill>
      </w14:textFill>
    </w:rPr>
  </w:style>
  <w:style w:type="paragraph" w:customStyle="1" w:styleId="87">
    <w:name w:val="正文2"/>
    <w:basedOn w:val="1"/>
    <w:autoRedefine/>
    <w:qFormat/>
    <w:uiPriority w:val="0"/>
    <w:pPr>
      <w:widowControl/>
      <w:jc w:val="left"/>
    </w:pPr>
    <w:rPr>
      <w:rFonts w:eastAsia="Times New Roman"/>
      <w:kern w:val="0"/>
      <w:sz w:val="24"/>
    </w:rPr>
  </w:style>
  <w:style w:type="paragraph" w:customStyle="1" w:styleId="88">
    <w:name w:val="列出段落1"/>
    <w:basedOn w:val="1"/>
    <w:autoRedefine/>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44</Pages>
  <Words>24365</Words>
  <Characters>25706</Characters>
  <Lines>209</Lines>
  <Paragraphs>59</Paragraphs>
  <TotalTime>3</TotalTime>
  <ScaleCrop>false</ScaleCrop>
  <LinksUpToDate>false</LinksUpToDate>
  <CharactersWithSpaces>27109</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2024-06-18T00:30:00Z</dcterms:created>
  <dc:creator>庞诗文</dc:creator>
  <cp:lastModifiedBy>兔子菌</cp:lastModifiedBy>
  <cp:lastPrinted>2022-10-29T08:41:00Z</cp:lastPrinted>
  <dcterms:modified xsi:type="dcterms:W3CDTF">2024-06-18T06:37:53Z</dcterms:modified>
  <dc:title>南宁市政府集中采购中心政府采购项目委托办理须知</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03E2E4E484A64342B23BED7C0D04695C</vt:lpwstr>
  </property>
</Properties>
</file>