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2A27834">
      <w:pPr>
        <w:spacing w:line="360" w:lineRule="auto"/>
        <w:jc w:val="center"/>
        <w:rPr>
          <w:rFonts w:ascii="宋体" w:hAnsi="宋体" w:cs="宋体"/>
          <w:b/>
          <w:color w:val="auto"/>
          <w:sz w:val="24"/>
        </w:rPr>
      </w:pPr>
    </w:p>
    <w:p w14:paraId="236FE27D">
      <w:pPr>
        <w:spacing w:line="360" w:lineRule="auto"/>
        <w:jc w:val="center"/>
        <w:rPr>
          <w:rFonts w:ascii="宋体" w:hAnsi="宋体" w:cs="宋体"/>
          <w:b/>
          <w:color w:val="auto"/>
          <w:sz w:val="24"/>
        </w:rPr>
      </w:pPr>
    </w:p>
    <w:p w14:paraId="3788A495">
      <w:pPr>
        <w:adjustRightInd/>
        <w:spacing w:line="360" w:lineRule="auto"/>
        <w:jc w:val="center"/>
        <w:rPr>
          <w:rFonts w:hint="eastAsia" w:ascii="宋体" w:hAnsi="宋体" w:cs="宋体"/>
          <w:color w:val="auto"/>
          <w:sz w:val="48"/>
          <w:szCs w:val="48"/>
        </w:rPr>
      </w:pPr>
      <w:r>
        <w:rPr>
          <w:rFonts w:hint="eastAsia" w:ascii="宋体" w:hAnsi="宋体" w:cs="宋体"/>
          <w:color w:val="auto"/>
          <w:sz w:val="48"/>
          <w:szCs w:val="48"/>
          <w:lang w:eastAsia="zh-CN"/>
        </w:rPr>
        <w:t>天元公学和睦校区建设项目设计采购施工(EPC)工程总承包项目幼儿园教玩具采购项目</w:t>
      </w:r>
    </w:p>
    <w:p w14:paraId="421F0365">
      <w:pPr>
        <w:adjustRightInd/>
        <w:spacing w:line="360" w:lineRule="auto"/>
        <w:jc w:val="center"/>
        <w:rPr>
          <w:rFonts w:ascii="宋体" w:hAnsi="宋体" w:cs="宋体"/>
          <w:color w:val="auto"/>
          <w:sz w:val="48"/>
          <w:szCs w:val="48"/>
        </w:rPr>
      </w:pPr>
      <w:r>
        <w:rPr>
          <w:rFonts w:hint="eastAsia" w:ascii="宋体" w:hAnsi="宋体" w:cs="宋体"/>
          <w:color w:val="auto"/>
          <w:sz w:val="48"/>
          <w:szCs w:val="48"/>
        </w:rPr>
        <w:t xml:space="preserve">招标文件 </w:t>
      </w:r>
    </w:p>
    <w:p w14:paraId="3CE3FDD0">
      <w:pPr>
        <w:adjustRightInd/>
        <w:spacing w:line="360" w:lineRule="auto"/>
        <w:jc w:val="center"/>
        <w:rPr>
          <w:rFonts w:ascii="宋体" w:hAnsi="宋体" w:cs="宋体"/>
          <w:b/>
          <w:color w:val="auto"/>
          <w:sz w:val="44"/>
          <w:szCs w:val="44"/>
        </w:rPr>
      </w:pPr>
      <w:r>
        <w:rPr>
          <w:rFonts w:hint="eastAsia" w:ascii="宋体" w:hAnsi="宋体" w:cs="宋体"/>
          <w:b/>
          <w:color w:val="auto"/>
          <w:sz w:val="44"/>
          <w:szCs w:val="44"/>
        </w:rPr>
        <w:t xml:space="preserve"> （电子招投标）</w:t>
      </w:r>
    </w:p>
    <w:p w14:paraId="1B68E7D2">
      <w:pPr>
        <w:snapToGrid w:val="0"/>
        <w:spacing w:line="360" w:lineRule="auto"/>
        <w:jc w:val="center"/>
        <w:rPr>
          <w:rFonts w:ascii="宋体" w:hAnsi="宋体" w:cs="宋体"/>
          <w:color w:val="auto"/>
          <w:sz w:val="30"/>
          <w:szCs w:val="30"/>
        </w:rPr>
      </w:pPr>
      <w:r>
        <w:rPr>
          <w:rFonts w:hint="eastAsia" w:ascii="宋体" w:hAnsi="宋体" w:cs="宋体"/>
          <w:color w:val="auto"/>
          <w:sz w:val="30"/>
          <w:szCs w:val="30"/>
        </w:rPr>
        <w:t>编号:ZJOB-</w:t>
      </w:r>
      <w:r>
        <w:rPr>
          <w:rFonts w:hint="eastAsia" w:ascii="宋体" w:hAnsi="宋体" w:cs="宋体"/>
          <w:color w:val="auto"/>
          <w:sz w:val="30"/>
          <w:szCs w:val="30"/>
          <w:lang w:val="en-US" w:eastAsia="zh-CN"/>
        </w:rPr>
        <w:t>TYGX</w:t>
      </w:r>
      <w:r>
        <w:rPr>
          <w:rFonts w:hint="eastAsia" w:ascii="宋体" w:hAnsi="宋体" w:cs="宋体"/>
          <w:color w:val="auto"/>
          <w:sz w:val="30"/>
          <w:szCs w:val="30"/>
        </w:rPr>
        <w:t>-2025001</w:t>
      </w:r>
    </w:p>
    <w:p w14:paraId="7CB8C5DB">
      <w:pPr>
        <w:adjustRightInd/>
        <w:spacing w:line="360" w:lineRule="auto"/>
        <w:rPr>
          <w:rFonts w:ascii="宋体" w:hAnsi="宋体" w:cs="宋体"/>
          <w:color w:val="auto"/>
          <w:sz w:val="28"/>
          <w:szCs w:val="20"/>
        </w:rPr>
      </w:pPr>
    </w:p>
    <w:p w14:paraId="1456CC01">
      <w:pPr>
        <w:spacing w:line="360" w:lineRule="auto"/>
        <w:jc w:val="center"/>
        <w:rPr>
          <w:rFonts w:ascii="宋体" w:hAnsi="宋体" w:cs="宋体"/>
          <w:b/>
          <w:color w:val="auto"/>
          <w:sz w:val="44"/>
          <w:szCs w:val="44"/>
        </w:rPr>
      </w:pPr>
      <w:r>
        <w:rPr>
          <w:rFonts w:hint="eastAsia" w:ascii="宋体" w:hAnsi="宋体" w:cs="宋体"/>
          <w:b/>
          <w:color w:val="auto"/>
          <w:sz w:val="44"/>
          <w:szCs w:val="44"/>
        </w:rPr>
        <w:t xml:space="preserve"> </w:t>
      </w:r>
    </w:p>
    <w:p w14:paraId="0227EBE0">
      <w:pPr>
        <w:spacing w:line="360" w:lineRule="auto"/>
        <w:jc w:val="center"/>
        <w:rPr>
          <w:rFonts w:ascii="宋体" w:hAnsi="宋体" w:cs="宋体"/>
          <w:b/>
          <w:color w:val="auto"/>
          <w:sz w:val="44"/>
          <w:szCs w:val="44"/>
        </w:rPr>
      </w:pPr>
    </w:p>
    <w:p w14:paraId="639723AE">
      <w:pPr>
        <w:spacing w:line="360" w:lineRule="auto"/>
        <w:jc w:val="center"/>
        <w:rPr>
          <w:rFonts w:hint="eastAsia" w:ascii="宋体" w:hAnsi="宋体" w:cs="宋体"/>
          <w:color w:val="auto"/>
          <w:sz w:val="32"/>
          <w:szCs w:val="32"/>
          <w:highlight w:val="none"/>
        </w:rPr>
      </w:pPr>
    </w:p>
    <w:p w14:paraId="01227865">
      <w:pPr>
        <w:pStyle w:val="23"/>
        <w:rPr>
          <w:rFonts w:hint="eastAsia" w:ascii="宋体" w:hAnsi="宋体" w:cs="宋体"/>
          <w:color w:val="auto"/>
          <w:sz w:val="32"/>
          <w:szCs w:val="32"/>
          <w:highlight w:val="none"/>
        </w:rPr>
      </w:pPr>
    </w:p>
    <w:p w14:paraId="308758A7">
      <w:pPr>
        <w:pStyle w:val="60"/>
        <w:rPr>
          <w:rFonts w:hint="eastAsia"/>
          <w:color w:val="auto"/>
        </w:rPr>
      </w:pPr>
    </w:p>
    <w:p w14:paraId="2540C7BD">
      <w:pPr>
        <w:spacing w:line="360" w:lineRule="auto"/>
        <w:jc w:val="center"/>
        <w:rPr>
          <w:rFonts w:hint="eastAsia" w:ascii="宋体" w:hAnsi="宋体" w:cs="宋体"/>
          <w:color w:val="auto"/>
          <w:sz w:val="32"/>
          <w:szCs w:val="32"/>
          <w:highlight w:val="none"/>
        </w:rPr>
      </w:pPr>
    </w:p>
    <w:p w14:paraId="3DA23AED">
      <w:pPr>
        <w:spacing w:line="360" w:lineRule="auto"/>
        <w:jc w:val="center"/>
        <w:rPr>
          <w:rFonts w:hint="eastAsia" w:ascii="宋体" w:hAnsi="宋体" w:cs="宋体"/>
          <w:color w:val="auto"/>
          <w:sz w:val="32"/>
          <w:szCs w:val="32"/>
          <w:highlight w:val="none"/>
        </w:rPr>
      </w:pPr>
      <w:r>
        <w:rPr>
          <w:rFonts w:hint="eastAsia" w:ascii="宋体" w:hAnsi="宋体" w:cs="宋体"/>
          <w:color w:val="auto"/>
          <w:sz w:val="32"/>
          <w:szCs w:val="32"/>
          <w:highlight w:val="none"/>
        </w:rPr>
        <w:t>采购人：杭州师范大学附属未来科技城学校（杭州二中教育集团未来科技城学校）</w:t>
      </w:r>
    </w:p>
    <w:p w14:paraId="60498A97">
      <w:pPr>
        <w:adjustRightInd w:val="0"/>
        <w:snapToGrid w:val="0"/>
        <w:spacing w:line="360" w:lineRule="auto"/>
        <w:jc w:val="center"/>
        <w:rPr>
          <w:rFonts w:hint="eastAsia" w:ascii="宋体" w:hAnsi="宋体" w:cs="宋体"/>
          <w:bCs/>
          <w:color w:val="auto"/>
          <w:sz w:val="32"/>
          <w:szCs w:val="32"/>
          <w:highlight w:val="none"/>
        </w:rPr>
      </w:pPr>
      <w:r>
        <w:rPr>
          <w:rFonts w:hint="eastAsia" w:ascii="宋体" w:hAnsi="宋体" w:cs="宋体"/>
          <w:bCs/>
          <w:color w:val="auto"/>
          <w:sz w:val="32"/>
          <w:szCs w:val="32"/>
          <w:highlight w:val="none"/>
        </w:rPr>
        <w:t>采购代理机构：欧邦工程管理集团有限公司</w:t>
      </w:r>
    </w:p>
    <w:p w14:paraId="5E740A20">
      <w:pPr>
        <w:spacing w:line="360" w:lineRule="auto"/>
        <w:jc w:val="center"/>
        <w:rPr>
          <w:rFonts w:ascii="宋体" w:hAnsi="宋体" w:cs="宋体"/>
          <w:color w:val="auto"/>
          <w:sz w:val="24"/>
        </w:rPr>
      </w:pPr>
    </w:p>
    <w:p w14:paraId="34CF5C20">
      <w:pPr>
        <w:spacing w:line="360" w:lineRule="auto"/>
        <w:jc w:val="center"/>
        <w:rPr>
          <w:rFonts w:ascii="宋体" w:hAnsi="宋体" w:cs="宋体"/>
          <w:color w:val="auto"/>
          <w:sz w:val="24"/>
        </w:rPr>
      </w:pPr>
    </w:p>
    <w:p w14:paraId="6D9E8612">
      <w:pPr>
        <w:snapToGrid w:val="0"/>
        <w:spacing w:line="360" w:lineRule="auto"/>
        <w:jc w:val="center"/>
        <w:rPr>
          <w:rFonts w:ascii="宋体" w:hAnsi="宋体" w:cs="宋体"/>
          <w:bCs/>
          <w:color w:val="auto"/>
          <w:sz w:val="32"/>
          <w:szCs w:val="32"/>
        </w:rPr>
      </w:pPr>
      <w:r>
        <w:rPr>
          <w:rFonts w:hint="eastAsia" w:ascii="宋体" w:hAnsi="宋体" w:cs="宋体"/>
          <w:bCs/>
          <w:color w:val="auto"/>
          <w:sz w:val="32"/>
          <w:szCs w:val="32"/>
        </w:rPr>
        <w:t>二〇二</w:t>
      </w:r>
      <w:r>
        <w:rPr>
          <w:rFonts w:hint="eastAsia" w:ascii="宋体" w:hAnsi="宋体" w:cs="宋体"/>
          <w:bCs/>
          <w:color w:val="auto"/>
          <w:sz w:val="32"/>
          <w:szCs w:val="32"/>
          <w:lang w:val="en-US" w:eastAsia="zh-CN"/>
        </w:rPr>
        <w:t>五</w:t>
      </w:r>
      <w:r>
        <w:rPr>
          <w:rFonts w:hint="eastAsia" w:ascii="宋体" w:hAnsi="宋体" w:cs="宋体"/>
          <w:bCs/>
          <w:color w:val="auto"/>
          <w:sz w:val="32"/>
          <w:szCs w:val="32"/>
        </w:rPr>
        <w:t>年</w:t>
      </w:r>
      <w:r>
        <w:rPr>
          <w:rFonts w:hint="eastAsia" w:ascii="宋体" w:hAnsi="宋体" w:cs="宋体"/>
          <w:bCs/>
          <w:color w:val="auto"/>
          <w:sz w:val="32"/>
          <w:szCs w:val="32"/>
          <w:lang w:val="en-US" w:eastAsia="zh-CN"/>
        </w:rPr>
        <w:t>三</w:t>
      </w:r>
      <w:r>
        <w:rPr>
          <w:rFonts w:hint="eastAsia" w:ascii="宋体" w:hAnsi="宋体" w:cs="宋体"/>
          <w:bCs/>
          <w:color w:val="auto"/>
          <w:sz w:val="32"/>
          <w:szCs w:val="32"/>
        </w:rPr>
        <w:t>月</w:t>
      </w:r>
      <w:r>
        <w:rPr>
          <w:rFonts w:hint="eastAsia" w:ascii="宋体" w:hAnsi="宋体" w:cs="宋体"/>
          <w:bCs/>
          <w:color w:val="auto"/>
          <w:sz w:val="32"/>
          <w:szCs w:val="32"/>
          <w:lang w:val="en-US" w:eastAsia="zh-CN"/>
        </w:rPr>
        <w:t>三十一</w:t>
      </w:r>
      <w:r>
        <w:rPr>
          <w:rFonts w:hint="eastAsia" w:ascii="宋体" w:hAnsi="宋体" w:cs="宋体"/>
          <w:bCs/>
          <w:color w:val="auto"/>
          <w:sz w:val="32"/>
          <w:szCs w:val="32"/>
        </w:rPr>
        <w:t>日</w:t>
      </w:r>
    </w:p>
    <w:p w14:paraId="36EACAD1">
      <w:pPr>
        <w:spacing w:line="360" w:lineRule="auto"/>
        <w:jc w:val="center"/>
        <w:rPr>
          <w:rFonts w:ascii="宋体" w:hAnsi="宋体" w:cs="宋体"/>
          <w:color w:val="auto"/>
          <w:sz w:val="24"/>
        </w:rPr>
      </w:pPr>
      <w:r>
        <w:rPr>
          <w:rFonts w:hint="eastAsia" w:ascii="宋体" w:hAnsi="宋体" w:cs="宋体"/>
          <w:color w:val="auto"/>
          <w:sz w:val="24"/>
        </w:rPr>
        <w:br w:type="page"/>
      </w:r>
      <w:bookmarkStart w:id="0" w:name="_Hlt67893495"/>
      <w:bookmarkEnd w:id="0"/>
    </w:p>
    <w:p w14:paraId="74A0B084">
      <w:pPr>
        <w:spacing w:line="360" w:lineRule="auto"/>
        <w:jc w:val="center"/>
        <w:rPr>
          <w:rFonts w:ascii="宋体" w:hAnsi="宋体" w:cs="宋体"/>
          <w:color w:val="auto"/>
          <w:sz w:val="24"/>
        </w:rPr>
      </w:pPr>
    </w:p>
    <w:p w14:paraId="3F650AC7">
      <w:pPr>
        <w:spacing w:line="360" w:lineRule="auto"/>
        <w:jc w:val="center"/>
        <w:rPr>
          <w:rFonts w:ascii="宋体" w:hAnsi="宋体" w:cs="宋体"/>
          <w:b/>
          <w:color w:val="auto"/>
          <w:sz w:val="48"/>
          <w:szCs w:val="48"/>
        </w:rPr>
      </w:pPr>
      <w:r>
        <w:rPr>
          <w:rFonts w:hint="eastAsia" w:ascii="宋体" w:hAnsi="宋体" w:cs="宋体"/>
          <w:b/>
          <w:color w:val="auto"/>
          <w:sz w:val="48"/>
          <w:szCs w:val="48"/>
        </w:rPr>
        <w:t>目  录</w:t>
      </w:r>
    </w:p>
    <w:p w14:paraId="0EEFEBC4">
      <w:pPr>
        <w:spacing w:line="360" w:lineRule="auto"/>
        <w:rPr>
          <w:rFonts w:ascii="宋体" w:hAnsi="宋体" w:cs="宋体"/>
          <w:color w:val="auto"/>
          <w:sz w:val="32"/>
          <w:szCs w:val="32"/>
        </w:rPr>
      </w:pPr>
    </w:p>
    <w:p w14:paraId="19759A7C">
      <w:pPr>
        <w:spacing w:line="360" w:lineRule="auto"/>
        <w:rPr>
          <w:rFonts w:ascii="宋体" w:hAnsi="宋体" w:cs="宋体"/>
          <w:color w:val="auto"/>
          <w:sz w:val="32"/>
          <w:szCs w:val="32"/>
        </w:rPr>
      </w:pPr>
    </w:p>
    <w:p w14:paraId="3EE861BC">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第一部分      招标公告</w:t>
      </w:r>
    </w:p>
    <w:p w14:paraId="3006C32A">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第二部分      投标人须知</w:t>
      </w:r>
    </w:p>
    <w:p w14:paraId="79E1176A">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第三部分      采购需求</w:t>
      </w:r>
    </w:p>
    <w:p w14:paraId="080323DB">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第四部分      评标办法</w:t>
      </w:r>
    </w:p>
    <w:p w14:paraId="13F6CCBB">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第五部分      拟签订的合同文本</w:t>
      </w:r>
    </w:p>
    <w:p w14:paraId="4821DB0E">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第六部分      应提交的有关格式范例</w:t>
      </w:r>
    </w:p>
    <w:p w14:paraId="7533690A">
      <w:pPr>
        <w:spacing w:line="360" w:lineRule="auto"/>
        <w:ind w:firstLine="549" w:firstLineChars="229"/>
        <w:rPr>
          <w:rFonts w:ascii="宋体" w:hAnsi="宋体" w:cs="宋体"/>
          <w:color w:val="auto"/>
          <w:sz w:val="24"/>
        </w:rPr>
      </w:pPr>
      <w:bookmarkStart w:id="1" w:name="_Hlt91233176"/>
      <w:bookmarkEnd w:id="1"/>
      <w:bookmarkStart w:id="2" w:name="_Toc91899869"/>
    </w:p>
    <w:p w14:paraId="4BCD9BB7">
      <w:pPr>
        <w:spacing w:line="360" w:lineRule="auto"/>
        <w:ind w:firstLine="549" w:firstLineChars="229"/>
        <w:rPr>
          <w:rFonts w:ascii="宋体" w:hAnsi="宋体" w:cs="宋体"/>
          <w:color w:val="auto"/>
          <w:sz w:val="24"/>
        </w:rPr>
      </w:pPr>
    </w:p>
    <w:p w14:paraId="16FDA040">
      <w:pPr>
        <w:spacing w:line="360" w:lineRule="auto"/>
        <w:ind w:firstLine="549" w:firstLineChars="229"/>
        <w:rPr>
          <w:rFonts w:ascii="宋体" w:hAnsi="宋体" w:cs="宋体"/>
          <w:color w:val="auto"/>
          <w:sz w:val="24"/>
        </w:rPr>
      </w:pPr>
    </w:p>
    <w:p w14:paraId="4B9CE9C3">
      <w:pPr>
        <w:spacing w:line="360" w:lineRule="auto"/>
        <w:ind w:firstLine="549" w:firstLineChars="229"/>
        <w:rPr>
          <w:rFonts w:ascii="宋体" w:hAnsi="宋体" w:cs="宋体"/>
          <w:color w:val="auto"/>
          <w:sz w:val="24"/>
        </w:rPr>
      </w:pPr>
    </w:p>
    <w:p w14:paraId="38332A23">
      <w:pPr>
        <w:spacing w:line="360" w:lineRule="auto"/>
        <w:ind w:firstLine="549" w:firstLineChars="229"/>
        <w:rPr>
          <w:rFonts w:ascii="宋体" w:hAnsi="宋体" w:cs="宋体"/>
          <w:color w:val="auto"/>
          <w:sz w:val="24"/>
        </w:rPr>
      </w:pPr>
    </w:p>
    <w:p w14:paraId="71B1B648">
      <w:pPr>
        <w:spacing w:line="360" w:lineRule="auto"/>
        <w:ind w:firstLine="549" w:firstLineChars="229"/>
        <w:rPr>
          <w:rFonts w:ascii="宋体" w:hAnsi="宋体" w:cs="宋体"/>
          <w:color w:val="auto"/>
          <w:sz w:val="24"/>
        </w:rPr>
      </w:pPr>
    </w:p>
    <w:p w14:paraId="1527A23E">
      <w:pPr>
        <w:spacing w:line="360" w:lineRule="auto"/>
        <w:ind w:firstLine="549" w:firstLineChars="229"/>
        <w:rPr>
          <w:rFonts w:ascii="宋体" w:hAnsi="宋体" w:cs="宋体"/>
          <w:color w:val="auto"/>
          <w:sz w:val="24"/>
        </w:rPr>
      </w:pPr>
    </w:p>
    <w:p w14:paraId="79FBC017">
      <w:pPr>
        <w:spacing w:line="360" w:lineRule="auto"/>
        <w:ind w:firstLine="549" w:firstLineChars="229"/>
        <w:rPr>
          <w:rFonts w:ascii="宋体" w:hAnsi="宋体" w:cs="宋体"/>
          <w:color w:val="auto"/>
          <w:sz w:val="24"/>
        </w:rPr>
      </w:pPr>
    </w:p>
    <w:p w14:paraId="4A2FEF24">
      <w:pPr>
        <w:spacing w:line="360" w:lineRule="auto"/>
        <w:ind w:firstLine="549" w:firstLineChars="229"/>
        <w:rPr>
          <w:rFonts w:ascii="宋体" w:hAnsi="宋体" w:cs="宋体"/>
          <w:color w:val="auto"/>
          <w:sz w:val="24"/>
        </w:rPr>
      </w:pPr>
    </w:p>
    <w:p w14:paraId="0B271DF8">
      <w:pPr>
        <w:spacing w:line="360" w:lineRule="auto"/>
        <w:ind w:firstLine="549" w:firstLineChars="229"/>
        <w:rPr>
          <w:rFonts w:ascii="宋体" w:hAnsi="宋体" w:cs="宋体"/>
          <w:color w:val="auto"/>
          <w:sz w:val="24"/>
        </w:rPr>
      </w:pPr>
    </w:p>
    <w:p w14:paraId="379A4784">
      <w:pPr>
        <w:spacing w:line="360" w:lineRule="auto"/>
        <w:ind w:firstLine="549" w:firstLineChars="229"/>
        <w:rPr>
          <w:rFonts w:ascii="宋体" w:hAnsi="宋体" w:cs="宋体"/>
          <w:color w:val="auto"/>
          <w:sz w:val="24"/>
        </w:rPr>
      </w:pPr>
    </w:p>
    <w:p w14:paraId="5D8A612D">
      <w:pPr>
        <w:spacing w:line="360" w:lineRule="auto"/>
        <w:ind w:firstLine="549" w:firstLineChars="229"/>
        <w:rPr>
          <w:rFonts w:ascii="宋体" w:hAnsi="宋体" w:cs="宋体"/>
          <w:color w:val="auto"/>
          <w:sz w:val="24"/>
        </w:rPr>
      </w:pPr>
    </w:p>
    <w:p w14:paraId="4E43B7B5">
      <w:pPr>
        <w:spacing w:line="360" w:lineRule="auto"/>
        <w:ind w:firstLine="549" w:firstLineChars="229"/>
        <w:rPr>
          <w:rFonts w:ascii="宋体" w:hAnsi="宋体" w:cs="宋体"/>
          <w:color w:val="auto"/>
          <w:sz w:val="24"/>
        </w:rPr>
      </w:pPr>
    </w:p>
    <w:p w14:paraId="12881D3C">
      <w:pPr>
        <w:spacing w:line="360" w:lineRule="auto"/>
        <w:rPr>
          <w:rFonts w:ascii="宋体" w:hAnsi="宋体" w:cs="宋体"/>
          <w:color w:val="auto"/>
          <w:sz w:val="24"/>
        </w:rPr>
      </w:pPr>
    </w:p>
    <w:p w14:paraId="1EA4AC02">
      <w:pPr>
        <w:adjustRightInd/>
        <w:spacing w:line="360" w:lineRule="auto"/>
        <w:jc w:val="center"/>
        <w:outlineLvl w:val="0"/>
        <w:rPr>
          <w:rFonts w:ascii="宋体" w:hAnsi="宋体" w:cs="宋体"/>
          <w:b/>
          <w:color w:val="auto"/>
          <w:sz w:val="36"/>
          <w:szCs w:val="20"/>
        </w:rPr>
      </w:pPr>
      <w:bookmarkStart w:id="3" w:name="第一部分"/>
      <w:r>
        <w:rPr>
          <w:rFonts w:hint="eastAsia" w:ascii="宋体" w:hAnsi="宋体" w:cs="宋体"/>
          <w:b/>
          <w:color w:val="auto"/>
          <w:sz w:val="36"/>
          <w:szCs w:val="36"/>
        </w:rPr>
        <w:br w:type="page"/>
      </w:r>
      <w:bookmarkEnd w:id="2"/>
      <w:bookmarkEnd w:id="3"/>
      <w:bookmarkStart w:id="4" w:name="_Hlt74729822"/>
      <w:bookmarkEnd w:id="4"/>
      <w:bookmarkStart w:id="5" w:name="_Hlt74707423"/>
      <w:bookmarkEnd w:id="5"/>
      <w:bookmarkStart w:id="6" w:name="_Hlt74649545"/>
      <w:bookmarkEnd w:id="6"/>
      <w:bookmarkStart w:id="7" w:name="_Hlt74728647"/>
      <w:bookmarkEnd w:id="7"/>
      <w:bookmarkStart w:id="8" w:name="第二部分"/>
      <w:bookmarkStart w:id="9" w:name="_Toc91899870"/>
      <w:bookmarkStart w:id="10" w:name="_Toc91899871"/>
      <w:r>
        <w:rPr>
          <w:rFonts w:hint="eastAsia" w:ascii="宋体" w:hAnsi="宋体" w:cs="宋体"/>
          <w:b/>
          <w:color w:val="auto"/>
          <w:sz w:val="36"/>
          <w:szCs w:val="20"/>
        </w:rPr>
        <w:t>第一部分 招标公告</w:t>
      </w:r>
    </w:p>
    <w:p w14:paraId="33A3FB20">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项目概况</w:t>
      </w:r>
    </w:p>
    <w:p w14:paraId="3A2C0795">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u w:val="single"/>
          <w:lang w:eastAsia="zh-CN"/>
        </w:rPr>
        <w:t>天元公学和睦校区建设项目设计采购施工(EPC)工程总承包项目幼儿园教玩具采购项目</w:t>
      </w:r>
      <w:r>
        <w:rPr>
          <w:rFonts w:hint="eastAsia" w:asciiTheme="minorEastAsia" w:hAnsiTheme="minorEastAsia" w:eastAsiaTheme="minorEastAsia"/>
          <w:color w:val="auto"/>
          <w:sz w:val="24"/>
        </w:rPr>
        <w:t>招标项目的潜在投标人应在政采云平台（</w:t>
      </w:r>
      <w:r>
        <w:rPr>
          <w:color w:val="auto"/>
        </w:rPr>
        <w:fldChar w:fldCharType="begin"/>
      </w:r>
      <w:r>
        <w:rPr>
          <w:color w:val="auto"/>
        </w:rPr>
        <w:instrText xml:space="preserve"> HYPERLINK "https://www.zcygov.cn/）获取（下载）招标文件，并于202%20年%20月%20日%20点%20分00秒" </w:instrText>
      </w:r>
      <w:r>
        <w:rPr>
          <w:color w:val="auto"/>
        </w:rPr>
        <w:fldChar w:fldCharType="separate"/>
      </w:r>
      <w:r>
        <w:rPr>
          <w:rStyle w:val="76"/>
          <w:rFonts w:cs="Times New Roman" w:asciiTheme="minorEastAsia" w:hAnsiTheme="minorEastAsia" w:eastAsiaTheme="minorEastAsia"/>
          <w:snapToGrid/>
          <w:color w:val="auto"/>
          <w:kern w:val="2"/>
          <w:sz w:val="24"/>
          <w:szCs w:val="24"/>
        </w:rPr>
        <w:t>https://www.zcygov.cn/）获取（下载）招标文件，并于</w:t>
      </w:r>
      <w:r>
        <w:rPr>
          <w:rStyle w:val="76"/>
          <w:rFonts w:hint="eastAsia" w:cs="Times New Roman" w:asciiTheme="minorEastAsia" w:hAnsiTheme="minorEastAsia" w:eastAsiaTheme="minorEastAsia"/>
          <w:snapToGrid/>
          <w:color w:val="auto"/>
          <w:kern w:val="2"/>
          <w:sz w:val="24"/>
          <w:szCs w:val="24"/>
        </w:rPr>
        <w:t>202</w:t>
      </w:r>
      <w:r>
        <w:rPr>
          <w:rStyle w:val="76"/>
          <w:rFonts w:hint="eastAsia" w:cs="Times New Roman" w:asciiTheme="minorEastAsia" w:hAnsiTheme="minorEastAsia" w:eastAsiaTheme="minorEastAsia"/>
          <w:snapToGrid/>
          <w:color w:val="auto"/>
          <w:kern w:val="2"/>
          <w:sz w:val="24"/>
          <w:szCs w:val="24"/>
          <w:lang w:val="en-US" w:eastAsia="zh-CN"/>
        </w:rPr>
        <w:t>5</w:t>
      </w:r>
      <w:r>
        <w:rPr>
          <w:rStyle w:val="76"/>
          <w:rFonts w:cs="Times New Roman" w:asciiTheme="minorEastAsia" w:hAnsiTheme="minorEastAsia" w:eastAsiaTheme="minorEastAsia"/>
          <w:snapToGrid/>
          <w:color w:val="auto"/>
          <w:kern w:val="2"/>
          <w:sz w:val="24"/>
          <w:szCs w:val="24"/>
        </w:rPr>
        <w:t>年</w:t>
      </w:r>
      <w:r>
        <w:rPr>
          <w:rStyle w:val="76"/>
          <w:rFonts w:hint="eastAsia" w:cs="Times New Roman" w:asciiTheme="minorEastAsia" w:hAnsiTheme="minorEastAsia" w:eastAsiaTheme="minorEastAsia"/>
          <w:snapToGrid/>
          <w:color w:val="auto"/>
          <w:kern w:val="2"/>
          <w:sz w:val="24"/>
          <w:szCs w:val="24"/>
          <w:lang w:val="en-US" w:eastAsia="zh-CN"/>
        </w:rPr>
        <w:t>4</w:t>
      </w:r>
      <w:r>
        <w:rPr>
          <w:rStyle w:val="76"/>
          <w:rFonts w:hint="eastAsia" w:cs="Times New Roman" w:asciiTheme="minorEastAsia" w:hAnsiTheme="minorEastAsia" w:eastAsiaTheme="minorEastAsia"/>
          <w:snapToGrid/>
          <w:color w:val="auto"/>
          <w:kern w:val="2"/>
          <w:sz w:val="24"/>
          <w:szCs w:val="24"/>
        </w:rPr>
        <w:t>月</w:t>
      </w:r>
      <w:r>
        <w:rPr>
          <w:rStyle w:val="76"/>
          <w:rFonts w:hint="eastAsia" w:cs="Times New Roman" w:asciiTheme="minorEastAsia" w:hAnsiTheme="minorEastAsia" w:eastAsiaTheme="minorEastAsia"/>
          <w:snapToGrid/>
          <w:color w:val="auto"/>
          <w:kern w:val="2"/>
          <w:sz w:val="24"/>
          <w:szCs w:val="24"/>
          <w:lang w:val="en-US" w:eastAsia="zh-CN"/>
        </w:rPr>
        <w:t>22</w:t>
      </w:r>
      <w:r>
        <w:rPr>
          <w:rStyle w:val="76"/>
          <w:rFonts w:hint="eastAsia" w:cs="Times New Roman" w:asciiTheme="minorEastAsia" w:hAnsiTheme="minorEastAsia" w:eastAsiaTheme="minorEastAsia"/>
          <w:snapToGrid/>
          <w:color w:val="auto"/>
          <w:kern w:val="2"/>
          <w:sz w:val="24"/>
          <w:szCs w:val="24"/>
        </w:rPr>
        <w:t>日</w:t>
      </w:r>
      <w:r>
        <w:rPr>
          <w:rStyle w:val="76"/>
          <w:rFonts w:hint="eastAsia" w:cs="Times New Roman" w:asciiTheme="minorEastAsia" w:hAnsiTheme="minorEastAsia" w:eastAsiaTheme="minorEastAsia"/>
          <w:snapToGrid/>
          <w:color w:val="auto"/>
          <w:kern w:val="2"/>
          <w:sz w:val="24"/>
          <w:szCs w:val="24"/>
          <w:lang w:val="en-US" w:eastAsia="zh-CN"/>
        </w:rPr>
        <w:t>13</w:t>
      </w:r>
      <w:r>
        <w:rPr>
          <w:rStyle w:val="76"/>
          <w:rFonts w:hint="eastAsia" w:cs="Times New Roman" w:asciiTheme="minorEastAsia" w:hAnsiTheme="minorEastAsia" w:eastAsiaTheme="minorEastAsia"/>
          <w:snapToGrid/>
          <w:color w:val="auto"/>
          <w:kern w:val="2"/>
          <w:sz w:val="24"/>
          <w:szCs w:val="24"/>
        </w:rPr>
        <w:t>点</w:t>
      </w:r>
      <w:r>
        <w:rPr>
          <w:rStyle w:val="76"/>
          <w:rFonts w:hint="eastAsia" w:cs="Times New Roman" w:asciiTheme="minorEastAsia" w:hAnsiTheme="minorEastAsia" w:eastAsiaTheme="minorEastAsia"/>
          <w:snapToGrid/>
          <w:color w:val="auto"/>
          <w:kern w:val="2"/>
          <w:sz w:val="24"/>
          <w:szCs w:val="24"/>
          <w:lang w:val="en-US" w:eastAsia="zh-CN"/>
        </w:rPr>
        <w:t>30</w:t>
      </w:r>
      <w:r>
        <w:rPr>
          <w:rStyle w:val="76"/>
          <w:rFonts w:hint="eastAsia" w:cs="Times New Roman" w:asciiTheme="minorEastAsia" w:hAnsiTheme="minorEastAsia" w:eastAsiaTheme="minorEastAsia"/>
          <w:snapToGrid/>
          <w:color w:val="auto"/>
          <w:kern w:val="2"/>
          <w:sz w:val="24"/>
          <w:szCs w:val="24"/>
        </w:rPr>
        <w:t>分</w:t>
      </w:r>
      <w:r>
        <w:rPr>
          <w:rStyle w:val="76"/>
          <w:rFonts w:hint="eastAsia" w:cs="Times New Roman" w:asciiTheme="minorEastAsia" w:hAnsiTheme="minorEastAsia" w:eastAsiaTheme="minorEastAsia"/>
          <w:bCs/>
          <w:snapToGrid/>
          <w:color w:val="auto"/>
          <w:kern w:val="2"/>
          <w:sz w:val="24"/>
          <w:szCs w:val="24"/>
        </w:rPr>
        <w:t>00秒</w:t>
      </w:r>
      <w:r>
        <w:rPr>
          <w:rStyle w:val="76"/>
          <w:rFonts w:hint="eastAsia" w:cs="Times New Roman" w:asciiTheme="minorEastAsia" w:hAnsiTheme="minorEastAsia" w:eastAsiaTheme="minorEastAsia"/>
          <w:bCs/>
          <w:snapToGrid/>
          <w:color w:val="auto"/>
          <w:kern w:val="2"/>
          <w:sz w:val="24"/>
          <w:szCs w:val="24"/>
        </w:rPr>
        <w:fldChar w:fldCharType="end"/>
      </w:r>
      <w:r>
        <w:rPr>
          <w:rFonts w:hint="eastAsia" w:asciiTheme="minorEastAsia" w:hAnsiTheme="minorEastAsia" w:eastAsiaTheme="minorEastAsia"/>
          <w:bCs/>
          <w:color w:val="auto"/>
          <w:sz w:val="24"/>
        </w:rPr>
        <w:t>（北京时间）前</w:t>
      </w:r>
      <w:r>
        <w:rPr>
          <w:rFonts w:hint="eastAsia" w:asciiTheme="minorEastAsia" w:hAnsiTheme="minorEastAsia" w:eastAsiaTheme="minorEastAsia"/>
          <w:color w:val="auto"/>
          <w:sz w:val="24"/>
        </w:rPr>
        <w:t>递交（上传）投标文件。</w:t>
      </w:r>
    </w:p>
    <w:p w14:paraId="098B5402">
      <w:pPr>
        <w:spacing w:line="360" w:lineRule="auto"/>
        <w:rPr>
          <w:rFonts w:ascii="宋体" w:hAnsi="宋体" w:cs="宋体"/>
          <w:b/>
          <w:color w:val="auto"/>
          <w:sz w:val="24"/>
        </w:rPr>
      </w:pPr>
      <w:r>
        <w:rPr>
          <w:rFonts w:hint="eastAsia" w:ascii="宋体" w:hAnsi="宋体" w:cs="宋体"/>
          <w:b/>
          <w:color w:val="auto"/>
          <w:sz w:val="24"/>
        </w:rPr>
        <w:t xml:space="preserve">一、项目基本情况                                            </w:t>
      </w:r>
    </w:p>
    <w:p w14:paraId="5EAD157E">
      <w:pPr>
        <w:spacing w:line="360" w:lineRule="auto"/>
        <w:rPr>
          <w:rFonts w:ascii="宋体" w:hAnsi="宋体" w:cs="宋体"/>
          <w:color w:val="auto"/>
          <w:sz w:val="24"/>
        </w:rPr>
      </w:pPr>
      <w:r>
        <w:rPr>
          <w:rFonts w:hint="eastAsia" w:ascii="宋体" w:hAnsi="宋体" w:cs="宋体"/>
          <w:color w:val="auto"/>
          <w:sz w:val="24"/>
        </w:rPr>
        <w:t xml:space="preserve">    </w:t>
      </w:r>
      <w:r>
        <w:rPr>
          <w:rFonts w:hint="eastAsia" w:ascii="宋体" w:hAnsi="宋体" w:cs="宋体"/>
          <w:b/>
          <w:color w:val="auto"/>
          <w:sz w:val="24"/>
        </w:rPr>
        <w:t>项目编号：</w:t>
      </w:r>
      <w:r>
        <w:rPr>
          <w:rFonts w:hint="eastAsia" w:ascii="宋体" w:hAnsi="宋体" w:cs="宋体"/>
          <w:color w:val="auto"/>
          <w:sz w:val="24"/>
        </w:rPr>
        <w:t>ZJOB-TYGX-2025001</w:t>
      </w:r>
    </w:p>
    <w:p w14:paraId="29597EDB">
      <w:pPr>
        <w:spacing w:line="360" w:lineRule="auto"/>
        <w:rPr>
          <w:rFonts w:hint="eastAsia" w:ascii="宋体" w:hAnsi="宋体" w:eastAsia="宋体" w:cs="宋体"/>
          <w:color w:val="auto"/>
          <w:sz w:val="24"/>
          <w:lang w:eastAsia="zh-CN"/>
        </w:rPr>
      </w:pPr>
      <w:r>
        <w:rPr>
          <w:rFonts w:hint="eastAsia" w:ascii="宋体" w:hAnsi="宋体" w:cs="宋体"/>
          <w:color w:val="auto"/>
          <w:sz w:val="24"/>
        </w:rPr>
        <w:t xml:space="preserve">   </w:t>
      </w:r>
      <w:r>
        <w:rPr>
          <w:rFonts w:hint="eastAsia" w:ascii="宋体" w:hAnsi="宋体" w:cs="宋体"/>
          <w:b/>
          <w:color w:val="auto"/>
          <w:sz w:val="24"/>
        </w:rPr>
        <w:t xml:space="preserve"> 项目名称：</w:t>
      </w:r>
      <w:r>
        <w:rPr>
          <w:rFonts w:hint="eastAsia" w:ascii="宋体" w:hAnsi="宋体" w:cs="宋体"/>
          <w:color w:val="auto"/>
          <w:sz w:val="24"/>
          <w:lang w:eastAsia="zh-CN"/>
        </w:rPr>
        <w:t>天元公学和睦校区建设项目设计采购施工(EPC)工程总承包项目幼儿园教玩具采购项目</w:t>
      </w:r>
    </w:p>
    <w:p w14:paraId="79486B99">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rPr>
        <w:t xml:space="preserve">   </w:t>
      </w:r>
      <w:r>
        <w:rPr>
          <w:rFonts w:hint="eastAsia" w:ascii="宋体" w:hAnsi="宋体" w:cs="宋体"/>
          <w:b/>
          <w:color w:val="auto"/>
          <w:sz w:val="24"/>
        </w:rPr>
        <w:t xml:space="preserve"> </w:t>
      </w:r>
      <w:r>
        <w:rPr>
          <w:rFonts w:hint="eastAsia" w:ascii="宋体" w:hAnsi="宋体" w:cs="宋体"/>
          <w:b/>
          <w:color w:val="auto"/>
          <w:sz w:val="24"/>
          <w:highlight w:val="none"/>
        </w:rPr>
        <w:t>预算金额（元）：</w:t>
      </w:r>
      <w:r>
        <w:rPr>
          <w:rFonts w:hint="eastAsia" w:ascii="宋体" w:hAnsi="宋体" w:cs="宋体"/>
          <w:color w:val="auto"/>
          <w:sz w:val="24"/>
          <w:highlight w:val="none"/>
          <w:lang w:val="en-US" w:eastAsia="zh-CN"/>
        </w:rPr>
        <w:t>638648</w:t>
      </w:r>
    </w:p>
    <w:p w14:paraId="2A9AE91C">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color w:val="auto"/>
          <w:sz w:val="24"/>
          <w:highlight w:val="none"/>
          <w:lang w:val="en-US" w:eastAsia="zh-CN"/>
        </w:rPr>
        <w:t>638648</w:t>
      </w:r>
    </w:p>
    <w:p w14:paraId="12E26824">
      <w:pPr>
        <w:pStyle w:val="5"/>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lang w:eastAsia="zh-CN"/>
        </w:rPr>
        <w:t>天元公学和睦校区建设项目设计采购施工(EPC)工程总承包项目幼儿园教玩具采购项目</w:t>
      </w:r>
      <w:r>
        <w:rPr>
          <w:rFonts w:hint="eastAsia" w:hAnsi="宋体" w:cs="宋体"/>
          <w:bCs/>
          <w:snapToGrid/>
          <w:color w:val="auto"/>
          <w:kern w:val="2"/>
          <w:sz w:val="24"/>
          <w:szCs w:val="24"/>
          <w:highlight w:val="none"/>
        </w:rPr>
        <w:t>主要内容：幼儿园教玩具采购项目。本项目为“交钥匙”项目，采购内容包括采购清单中货物供货、安装调试、货物验收、培训、质保期内的售后服务等。</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78CE2697">
      <w:pPr>
        <w:pStyle w:val="131"/>
        <w:ind w:firstLine="482"/>
        <w:outlineLvl w:val="2"/>
        <w:rPr>
          <w:rFonts w:ascii="宋体" w:hAnsi="宋体" w:cs="宋体"/>
          <w:color w:val="auto"/>
          <w:highlight w:val="none"/>
        </w:rPr>
      </w:pPr>
      <w:r>
        <w:rPr>
          <w:rFonts w:hint="eastAsia" w:ascii="宋体" w:hAnsi="宋体" w:cs="宋体"/>
          <w:b/>
          <w:color w:val="auto"/>
          <w:highlight w:val="none"/>
        </w:rPr>
        <w:t>合同履约期限：2025年</w:t>
      </w:r>
      <w:r>
        <w:rPr>
          <w:rFonts w:hint="eastAsia" w:ascii="宋体" w:hAnsi="宋体" w:cs="宋体"/>
          <w:b/>
          <w:color w:val="auto"/>
          <w:highlight w:val="none"/>
          <w:lang w:val="en-US" w:eastAsia="zh-CN"/>
        </w:rPr>
        <w:t>5</w:t>
      </w:r>
      <w:r>
        <w:rPr>
          <w:rFonts w:hint="eastAsia" w:ascii="宋体" w:hAnsi="宋体" w:cs="宋体"/>
          <w:b/>
          <w:color w:val="auto"/>
          <w:highlight w:val="none"/>
        </w:rPr>
        <w:t>月</w:t>
      </w:r>
      <w:r>
        <w:rPr>
          <w:rFonts w:hint="eastAsia" w:ascii="宋体" w:hAnsi="宋体" w:cs="宋体"/>
          <w:b/>
          <w:color w:val="auto"/>
          <w:highlight w:val="none"/>
          <w:lang w:val="en-US" w:eastAsia="zh-CN"/>
        </w:rPr>
        <w:t>30</w:t>
      </w:r>
      <w:r>
        <w:rPr>
          <w:rFonts w:hint="eastAsia" w:ascii="宋体" w:hAnsi="宋体" w:cs="宋体"/>
          <w:b/>
          <w:color w:val="auto"/>
          <w:highlight w:val="none"/>
        </w:rPr>
        <w:t>日前完成供货、安装调试及验收完成。</w:t>
      </w:r>
    </w:p>
    <w:p w14:paraId="39A00C9C">
      <w:pPr>
        <w:pStyle w:val="5"/>
        <w:spacing w:line="360" w:lineRule="auto"/>
        <w:ind w:firstLine="480"/>
        <w:rPr>
          <w:rFonts w:hAnsi="宋体" w:cs="宋体"/>
          <w:color w:val="auto"/>
          <w:kern w:val="0"/>
          <w:sz w:val="24"/>
        </w:rPr>
      </w:pPr>
      <w:r>
        <w:rPr>
          <w:rFonts w:hint="eastAsia" w:hAnsi="宋体" w:cs="宋体"/>
          <w:b/>
          <w:color w:val="auto"/>
          <w:sz w:val="24"/>
        </w:rPr>
        <w:t>本项目接受联合体投标：</w:t>
      </w:r>
      <w:sdt>
        <w:sdtPr>
          <w:rPr>
            <w:rFonts w:hint="eastAsia" w:hAnsi="宋体" w:cs="宋体"/>
            <w:color w:val="auto"/>
            <w:kern w:val="0"/>
            <w:sz w:val="24"/>
          </w:rPr>
          <w:id w:val="2035453831"/>
          <w14:checkbox>
            <w14:checked w14:val="1"/>
            <w14:checkedState w14:val="00FE" w14:font="Wingdings"/>
            <w14:uncheckedState w14:val="2610" w14:font="MS Gothic"/>
          </w14:checkbox>
        </w:sdtPr>
        <w:sdtEndPr>
          <w:rPr>
            <w:rFonts w:hint="eastAsia" w:hAnsi="宋体" w:cs="宋体"/>
            <w:color w:val="auto"/>
            <w:kern w:val="0"/>
            <w:sz w:val="24"/>
          </w:rPr>
        </w:sdtEndPr>
        <w:sdtContent>
          <w:r>
            <w:rPr>
              <w:rFonts w:hint="eastAsia" w:hAnsi="宋体" w:cs="宋体"/>
              <w:color w:val="auto"/>
              <w:kern w:val="0"/>
              <w:sz w:val="24"/>
            </w:rPr>
            <w:sym w:font="Wingdings" w:char="F0FE"/>
          </w:r>
        </w:sdtContent>
      </w:sdt>
      <w:r>
        <w:rPr>
          <w:rFonts w:hint="eastAsia" w:hAnsi="宋体" w:cs="宋体"/>
          <w:b/>
          <w:color w:val="auto"/>
          <w:sz w:val="24"/>
        </w:rPr>
        <w:t>是</w:t>
      </w:r>
      <w:r>
        <w:rPr>
          <w:rFonts w:hint="eastAsia" w:hAnsi="宋体" w:cs="宋体"/>
          <w:b/>
          <w:snapToGrid/>
          <w:color w:val="auto"/>
          <w:kern w:val="2"/>
          <w:sz w:val="24"/>
        </w:rPr>
        <w:t>；</w:t>
      </w:r>
      <w:sdt>
        <w:sdtPr>
          <w:rPr>
            <w:rFonts w:hint="eastAsia" w:hAnsi="宋体" w:cs="宋体"/>
            <w:color w:val="auto"/>
            <w:kern w:val="0"/>
            <w:sz w:val="24"/>
          </w:rPr>
          <w:id w:val="-1765526721"/>
          <w14:checkbox>
            <w14:checked w14:val="0"/>
            <w14:checkedState w14:val="00FE" w14:font="Wingdings"/>
            <w14:uncheckedState w14:val="2610" w14:font="MS Gothic"/>
          </w14:checkbox>
        </w:sdtPr>
        <w:sdtEndPr>
          <w:rPr>
            <w:rFonts w:hint="eastAsia" w:hAnsi="宋体" w:cs="宋体"/>
            <w:color w:val="auto"/>
            <w:kern w:val="0"/>
            <w:sz w:val="24"/>
          </w:rPr>
        </w:sdtEndPr>
        <w:sdtContent>
          <w:r>
            <w:rPr>
              <w:rFonts w:hint="eastAsia" w:hAnsi="宋体" w:cs="宋体"/>
              <w:color w:val="auto"/>
              <w:kern w:val="0"/>
              <w:sz w:val="24"/>
            </w:rPr>
            <w:t>☐</w:t>
          </w:r>
        </w:sdtContent>
      </w:sdt>
      <w:r>
        <w:rPr>
          <w:rFonts w:hint="eastAsia" w:hAnsi="宋体" w:cs="宋体"/>
          <w:b/>
          <w:color w:val="auto"/>
          <w:sz w:val="24"/>
        </w:rPr>
        <w:t>否</w:t>
      </w:r>
      <w:r>
        <w:rPr>
          <w:rFonts w:hint="eastAsia" w:hAnsi="宋体" w:cs="宋体"/>
          <w:color w:val="auto"/>
          <w:kern w:val="0"/>
          <w:sz w:val="24"/>
        </w:rPr>
        <w:t>。</w:t>
      </w:r>
    </w:p>
    <w:p w14:paraId="7F365363">
      <w:pPr>
        <w:spacing w:line="360" w:lineRule="auto"/>
        <w:rPr>
          <w:rFonts w:ascii="宋体" w:hAnsi="宋体" w:cs="宋体"/>
          <w:b/>
          <w:color w:val="auto"/>
          <w:sz w:val="24"/>
        </w:rPr>
      </w:pPr>
      <w:r>
        <w:rPr>
          <w:rFonts w:hint="eastAsia" w:ascii="宋体" w:hAnsi="宋体" w:cs="宋体"/>
          <w:b/>
          <w:color w:val="auto"/>
          <w:sz w:val="24"/>
        </w:rPr>
        <w:t>二、</w:t>
      </w:r>
      <w:bookmarkStart w:id="11" w:name="_Hlk101132948"/>
      <w:r>
        <w:rPr>
          <w:rFonts w:hint="eastAsia" w:ascii="宋体" w:hAnsi="宋体" w:cs="宋体"/>
          <w:b/>
          <w:color w:val="auto"/>
          <w:sz w:val="24"/>
        </w:rPr>
        <w:t>申请人的资格要求</w:t>
      </w:r>
      <w:bookmarkEnd w:id="11"/>
      <w:r>
        <w:rPr>
          <w:rFonts w:hint="eastAsia" w:ascii="宋体" w:hAnsi="宋体" w:cs="宋体"/>
          <w:b/>
          <w:color w:val="auto"/>
          <w:sz w:val="24"/>
        </w:rPr>
        <w:t>：</w:t>
      </w:r>
    </w:p>
    <w:p w14:paraId="4DBDA8AF">
      <w:pPr>
        <w:spacing w:line="360" w:lineRule="auto"/>
        <w:ind w:firstLine="480"/>
        <w:rPr>
          <w:rFonts w:ascii="宋体" w:hAnsi="宋体" w:cs="宋体"/>
          <w:snapToGrid w:val="0"/>
          <w:color w:val="auto"/>
          <w:kern w:val="28"/>
          <w:sz w:val="24"/>
          <w:szCs w:val="20"/>
        </w:rPr>
      </w:pPr>
      <w:r>
        <w:rPr>
          <w:rFonts w:hint="eastAsia" w:ascii="宋体" w:hAnsi="宋体" w:cs="宋体"/>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698B9129">
      <w:pPr>
        <w:spacing w:line="360" w:lineRule="auto"/>
        <w:rPr>
          <w:rFonts w:ascii="宋体" w:hAnsi="宋体" w:cs="宋体"/>
          <w:snapToGrid w:val="0"/>
          <w:color w:val="auto"/>
          <w:kern w:val="28"/>
          <w:sz w:val="24"/>
          <w:szCs w:val="20"/>
        </w:rPr>
      </w:pPr>
      <w:r>
        <w:rPr>
          <w:rFonts w:hint="eastAsia" w:ascii="宋体" w:hAnsi="宋体" w:cs="宋体"/>
          <w:snapToGrid w:val="0"/>
          <w:color w:val="auto"/>
          <w:kern w:val="28"/>
          <w:sz w:val="24"/>
          <w:szCs w:val="20"/>
        </w:rPr>
        <w:t xml:space="preserve">    </w:t>
      </w:r>
      <w:r>
        <w:rPr>
          <w:rFonts w:ascii="宋体" w:hAnsi="宋体" w:cs="宋体"/>
          <w:snapToGrid w:val="0"/>
          <w:color w:val="auto"/>
          <w:kern w:val="28"/>
          <w:sz w:val="24"/>
          <w:szCs w:val="20"/>
        </w:rPr>
        <w:t>2</w:t>
      </w:r>
      <w:r>
        <w:rPr>
          <w:rFonts w:hint="eastAsia" w:ascii="宋体" w:hAnsi="宋体" w:cs="宋体"/>
          <w:snapToGrid w:val="0"/>
          <w:color w:val="auto"/>
          <w:kern w:val="28"/>
          <w:sz w:val="24"/>
          <w:szCs w:val="20"/>
        </w:rPr>
        <w:t>.</w:t>
      </w:r>
      <w:r>
        <w:rPr>
          <w:rFonts w:hint="eastAsia"/>
          <w:color w:val="auto"/>
        </w:rPr>
        <w:t xml:space="preserve"> </w:t>
      </w:r>
      <w:r>
        <w:rPr>
          <w:rFonts w:hint="eastAsia" w:ascii="宋体" w:hAnsi="宋体" w:cs="宋体"/>
          <w:snapToGrid w:val="0"/>
          <w:color w:val="auto"/>
          <w:kern w:val="28"/>
          <w:sz w:val="24"/>
          <w:szCs w:val="20"/>
        </w:rPr>
        <w:t>以联合体形式投标的，提供联合协议(本项目不接受联合体投标或者投标人不以联合体形式投标的，则不需要提供) ；</w:t>
      </w:r>
    </w:p>
    <w:p w14:paraId="3EF34008">
      <w:pPr>
        <w:spacing w:line="360" w:lineRule="auto"/>
        <w:ind w:firstLine="480" w:firstLineChars="200"/>
        <w:rPr>
          <w:rFonts w:ascii="宋体" w:hAnsi="宋体" w:cs="宋体"/>
          <w:snapToGrid w:val="0"/>
          <w:color w:val="auto"/>
          <w:kern w:val="28"/>
          <w:sz w:val="24"/>
          <w:szCs w:val="20"/>
        </w:rPr>
      </w:pPr>
      <w:r>
        <w:rPr>
          <w:rFonts w:ascii="宋体" w:hAnsi="宋体" w:cs="宋体"/>
          <w:snapToGrid w:val="0"/>
          <w:color w:val="auto"/>
          <w:kern w:val="28"/>
          <w:sz w:val="24"/>
          <w:szCs w:val="20"/>
        </w:rPr>
        <w:t>3</w:t>
      </w:r>
      <w:r>
        <w:rPr>
          <w:rFonts w:hint="eastAsia" w:ascii="宋体" w:hAnsi="宋体" w:cs="宋体"/>
          <w:snapToGrid w:val="0"/>
          <w:color w:val="auto"/>
          <w:kern w:val="28"/>
          <w:sz w:val="24"/>
          <w:szCs w:val="20"/>
        </w:rPr>
        <w:t>.落实政府采购政策需满足的资格要求：</w:t>
      </w:r>
    </w:p>
    <w:p w14:paraId="154D4F0D">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928616923"/>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无</w:t>
      </w:r>
      <w:r>
        <w:rPr>
          <w:rFonts w:hint="eastAsia" w:ascii="宋体" w:hAnsi="宋体" w:cs="宋体"/>
          <w:snapToGrid w:val="0"/>
          <w:color w:val="auto"/>
          <w:kern w:val="28"/>
          <w:sz w:val="24"/>
          <w:szCs w:val="20"/>
        </w:rPr>
        <w:t>（注：不得限制大中型企业与小微企业组成联合体参与投标）</w:t>
      </w:r>
      <w:r>
        <w:rPr>
          <w:rFonts w:hint="eastAsia" w:ascii="宋体" w:hAnsi="宋体" w:cs="宋体"/>
          <w:color w:val="auto"/>
          <w:sz w:val="24"/>
        </w:rPr>
        <w:t>；</w:t>
      </w:r>
    </w:p>
    <w:p w14:paraId="7E8EB448">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024704304"/>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ascii="宋体" w:hAnsi="宋体" w:cs="宋体"/>
          <w:color w:val="auto"/>
          <w:kern w:val="0"/>
          <w:sz w:val="24"/>
        </w:rPr>
        <w:t>专</w:t>
      </w:r>
      <w:r>
        <w:rPr>
          <w:rFonts w:hint="eastAsia" w:ascii="宋体" w:hAnsi="宋体" w:cs="宋体"/>
          <w:color w:val="auto"/>
          <w:sz w:val="24"/>
        </w:rPr>
        <w:t>门面向中小企业</w:t>
      </w:r>
    </w:p>
    <w:p w14:paraId="365C3942">
      <w:pPr>
        <w:spacing w:line="360" w:lineRule="auto"/>
        <w:ind w:firstLine="897" w:firstLineChars="374"/>
        <w:rPr>
          <w:rFonts w:ascii="宋体" w:hAnsi="宋体" w:cs="宋体"/>
          <w:color w:val="auto"/>
          <w:sz w:val="24"/>
          <w:u w:val="single"/>
        </w:rPr>
      </w:pPr>
      <w:sdt>
        <w:sdtPr>
          <w:rPr>
            <w:rFonts w:hint="eastAsia" w:ascii="宋体" w:hAnsi="宋体" w:cs="宋体"/>
            <w:color w:val="auto"/>
            <w:kern w:val="0"/>
            <w:sz w:val="24"/>
          </w:rPr>
          <w:id w:val="-924730588"/>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ascii="宋体" w:hAnsi="宋体" w:cs="宋体"/>
          <w:color w:val="auto"/>
          <w:sz w:val="24"/>
        </w:rPr>
        <w:t>货物全部由符合政策要求的中小企业制造，提供中小企业声明函；</w:t>
      </w:r>
    </w:p>
    <w:p w14:paraId="2B0C27ED">
      <w:pPr>
        <w:spacing w:line="360" w:lineRule="auto"/>
        <w:ind w:firstLine="897" w:firstLineChars="374"/>
        <w:rPr>
          <w:rFonts w:ascii="宋体" w:hAnsi="宋体" w:cs="宋体"/>
          <w:color w:val="auto"/>
          <w:sz w:val="24"/>
        </w:rPr>
      </w:pPr>
      <w:sdt>
        <w:sdtPr>
          <w:rPr>
            <w:rFonts w:hint="eastAsia" w:ascii="宋体" w:hAnsi="宋体" w:cs="宋体"/>
            <w:color w:val="auto"/>
            <w:kern w:val="0"/>
            <w:sz w:val="24"/>
          </w:rPr>
          <w:id w:val="-1152604937"/>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货物全部由符合政策要求的小微企业制造，提供中小企业声明函；</w:t>
      </w:r>
    </w:p>
    <w:p w14:paraId="4CCB33F3">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98560779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bookmarkStart w:id="12" w:name="_Hlk101132524"/>
        </w:sdtContent>
      </w:sdt>
      <w:r>
        <w:rPr>
          <w:rFonts w:hint="eastAsia" w:ascii="宋体" w:hAnsi="宋体" w:cs="宋体"/>
          <w:color w:val="auto"/>
          <w:sz w:val="24"/>
        </w:rPr>
        <w:t>要求以联合体形式参加，提供联合协议和中小企业声明函，联合协议中中小企业合同金额应当达到</w:t>
      </w:r>
      <w:r>
        <w:rPr>
          <w:rFonts w:hint="eastAsia" w:ascii="宋体" w:hAnsi="宋体" w:cs="宋体"/>
          <w:color w:val="auto"/>
          <w:sz w:val="24"/>
          <w:u w:val="single"/>
        </w:rPr>
        <w:t xml:space="preserve">  </w:t>
      </w:r>
      <w:r>
        <w:rPr>
          <w:rFonts w:hint="eastAsia" w:ascii="宋体" w:hAnsi="宋体" w:cs="宋体"/>
          <w:color w:val="auto"/>
          <w:sz w:val="24"/>
        </w:rPr>
        <w:t>%，其中小微企业合同金额应当达到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sz w:val="24"/>
          <w:lang w:eastAsia="zh-CN"/>
        </w:rPr>
        <w:t>。</w:t>
      </w:r>
      <w:r>
        <w:rPr>
          <w:rFonts w:hint="eastAsia" w:ascii="宋体" w:hAnsi="宋体" w:cs="宋体"/>
          <w:color w:val="auto"/>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rPr>
        <w:t>；</w:t>
      </w:r>
    </w:p>
    <w:bookmarkEnd w:id="12"/>
    <w:p w14:paraId="0C45CB65">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3463064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要求合同分包，提供分包意向协议和中小企业声明函，分包意向协议中中小企业合同金额应当达到达到</w:t>
      </w:r>
      <w:r>
        <w:rPr>
          <w:rFonts w:hint="eastAsia" w:ascii="宋体" w:hAnsi="宋体" w:cs="宋体"/>
          <w:color w:val="auto"/>
          <w:sz w:val="24"/>
          <w:u w:val="single"/>
        </w:rPr>
        <w:t xml:space="preserve">  </w:t>
      </w:r>
      <w:r>
        <w:rPr>
          <w:rFonts w:hint="eastAsia" w:ascii="宋体" w:hAnsi="宋体" w:cs="宋体"/>
          <w:color w:val="auto"/>
          <w:sz w:val="24"/>
        </w:rPr>
        <w:t>% ，其中小微企业合同金额应当达到</w:t>
      </w:r>
      <w:r>
        <w:rPr>
          <w:rFonts w:hint="eastAsia" w:ascii="宋体" w:hAnsi="宋体" w:cs="宋体"/>
          <w:color w:val="auto"/>
          <w:sz w:val="24"/>
          <w:u w:val="single"/>
        </w:rPr>
        <w:t xml:space="preserve"> </w:t>
      </w:r>
      <w:r>
        <w:rPr>
          <w:rFonts w:hint="eastAsia" w:ascii="宋体" w:hAnsi="宋体" w:cs="宋体"/>
          <w:color w:val="auto"/>
          <w:sz w:val="24"/>
        </w:rPr>
        <w:t xml:space="preserve">% </w:t>
      </w:r>
      <w:r>
        <w:rPr>
          <w:rFonts w:hint="eastAsia" w:ascii="宋体" w:hAnsi="宋体" w:cs="宋体"/>
          <w:color w:val="auto"/>
          <w:sz w:val="24"/>
          <w:lang w:eastAsia="zh-CN"/>
        </w:rPr>
        <w:t>。</w:t>
      </w:r>
      <w:r>
        <w:rPr>
          <w:rFonts w:hint="eastAsia" w:ascii="宋体" w:hAnsi="宋体" w:cs="宋体"/>
          <w:color w:val="auto"/>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rPr>
        <w:t>；</w:t>
      </w:r>
    </w:p>
    <w:p w14:paraId="73127753">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10CA5DA4">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无。</w:t>
      </w:r>
    </w:p>
    <w:p w14:paraId="5FA70B6E">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60711229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1F1D592">
      <w:pPr>
        <w:snapToGrid w:val="0"/>
        <w:spacing w:line="360" w:lineRule="auto"/>
        <w:ind w:firstLine="480" w:firstLineChars="200"/>
        <w:rPr>
          <w:rFonts w:ascii="宋体" w:hAnsi="宋体" w:cs="宋体"/>
          <w:color w:val="auto"/>
          <w:sz w:val="24"/>
        </w:rPr>
      </w:pPr>
      <w:r>
        <w:rPr>
          <w:rFonts w:ascii="宋体" w:hAnsi="宋体" w:cs="宋体"/>
          <w:color w:val="auto"/>
          <w:sz w:val="24"/>
        </w:rPr>
        <w:t>5</w:t>
      </w:r>
      <w:r>
        <w:rPr>
          <w:rFonts w:hint="eastAsia" w:ascii="宋体" w:hAnsi="宋体" w:cs="宋体"/>
          <w:color w:val="auto"/>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D8408B5">
      <w:pPr>
        <w:spacing w:line="360" w:lineRule="auto"/>
        <w:rPr>
          <w:rFonts w:ascii="宋体" w:hAnsi="宋体" w:cs="宋体"/>
          <w:b/>
          <w:color w:val="auto"/>
          <w:sz w:val="24"/>
        </w:rPr>
      </w:pPr>
      <w:r>
        <w:rPr>
          <w:rFonts w:hint="eastAsia" w:ascii="宋体" w:hAnsi="宋体" w:cs="宋体"/>
          <w:b/>
          <w:color w:val="auto"/>
          <w:sz w:val="24"/>
        </w:rPr>
        <w:t xml:space="preserve">三、获取招标文件 </w:t>
      </w:r>
    </w:p>
    <w:p w14:paraId="00F2CC33">
      <w:pPr>
        <w:spacing w:line="360" w:lineRule="auto"/>
        <w:ind w:firstLine="482" w:firstLineChars="200"/>
        <w:rPr>
          <w:rFonts w:ascii="宋体" w:hAnsi="宋体" w:cs="宋体"/>
          <w:color w:val="auto"/>
          <w:sz w:val="24"/>
        </w:rPr>
      </w:pPr>
      <w:r>
        <w:rPr>
          <w:rFonts w:hint="eastAsia" w:ascii="宋体" w:hAnsi="宋体" w:cs="宋体"/>
          <w:b/>
          <w:color w:val="auto"/>
          <w:sz w:val="24"/>
        </w:rPr>
        <w:t>时间：</w:t>
      </w:r>
      <w:r>
        <w:rPr>
          <w:rFonts w:hint="eastAsia" w:ascii="宋体" w:hAnsi="宋体" w:cs="宋体"/>
          <w:color w:val="auto"/>
          <w:sz w:val="24"/>
        </w:rPr>
        <w:t>/至</w:t>
      </w:r>
      <w:r>
        <w:rPr>
          <w:rFonts w:hint="eastAsia" w:ascii="宋体" w:hAnsi="宋体" w:cs="宋体"/>
          <w:color w:val="auto"/>
          <w:sz w:val="24"/>
          <w:u w:val="single"/>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4</w:t>
      </w:r>
      <w:r>
        <w:rPr>
          <w:rFonts w:hint="eastAsia" w:ascii="宋体" w:hAnsi="宋体" w:cs="宋体"/>
          <w:color w:val="auto"/>
          <w:sz w:val="24"/>
          <w:u w:val="single"/>
        </w:rPr>
        <w:t>月</w:t>
      </w:r>
      <w:r>
        <w:rPr>
          <w:rFonts w:hint="eastAsia" w:ascii="宋体" w:hAnsi="宋体" w:cs="宋体"/>
          <w:color w:val="auto"/>
          <w:sz w:val="24"/>
          <w:u w:val="single"/>
          <w:lang w:val="en-US" w:eastAsia="zh-CN"/>
        </w:rPr>
        <w:t>22</w:t>
      </w:r>
      <w:r>
        <w:rPr>
          <w:rFonts w:hint="eastAsia" w:ascii="宋体" w:hAnsi="宋体" w:cs="宋体"/>
          <w:color w:val="auto"/>
          <w:sz w:val="24"/>
          <w:u w:val="single"/>
        </w:rPr>
        <w:t>日</w:t>
      </w:r>
      <w:r>
        <w:rPr>
          <w:rFonts w:hint="eastAsia" w:ascii="宋体" w:hAnsi="宋体" w:cs="宋体"/>
          <w:color w:val="auto"/>
          <w:sz w:val="24"/>
        </w:rPr>
        <w:t>，每天上午00:00至12:00 ，下午12:00至23:59（北京时间，线上获取法定节假日均可，线下获取文件法定节假日除外）</w:t>
      </w:r>
    </w:p>
    <w:p w14:paraId="4D5FF8C3">
      <w:pPr>
        <w:spacing w:line="360" w:lineRule="auto"/>
        <w:ind w:firstLine="482" w:firstLineChars="200"/>
        <w:rPr>
          <w:rFonts w:ascii="宋体" w:hAnsi="宋体" w:cs="宋体"/>
          <w:color w:val="auto"/>
          <w:sz w:val="24"/>
        </w:rPr>
      </w:pPr>
      <w:r>
        <w:rPr>
          <w:rFonts w:hint="eastAsia" w:ascii="宋体" w:hAnsi="宋体" w:cs="宋体"/>
          <w:b/>
          <w:color w:val="auto"/>
          <w:sz w:val="24"/>
        </w:rPr>
        <w:t>地点（网址）：</w:t>
      </w:r>
      <w:r>
        <w:rPr>
          <w:rFonts w:hint="eastAsia" w:ascii="宋体" w:hAnsi="宋体" w:cs="宋体"/>
          <w:color w:val="auto"/>
          <w:sz w:val="24"/>
        </w:rPr>
        <w:t xml:space="preserve">政采云平台（https://www.zcygov.cn/） </w:t>
      </w:r>
    </w:p>
    <w:p w14:paraId="3024803C">
      <w:pPr>
        <w:spacing w:line="360" w:lineRule="auto"/>
        <w:ind w:firstLine="482" w:firstLineChars="200"/>
        <w:rPr>
          <w:rFonts w:ascii="宋体" w:hAnsi="宋体" w:cs="宋体"/>
          <w:color w:val="auto"/>
          <w:sz w:val="24"/>
        </w:rPr>
      </w:pPr>
      <w:r>
        <w:rPr>
          <w:rFonts w:hint="eastAsia" w:ascii="宋体" w:hAnsi="宋体" w:cs="宋体"/>
          <w:b/>
          <w:color w:val="auto"/>
          <w:sz w:val="24"/>
        </w:rPr>
        <w:t>方式：</w:t>
      </w:r>
      <w:r>
        <w:rPr>
          <w:rFonts w:hint="eastAsia" w:ascii="宋体" w:hAnsi="宋体" w:cs="宋体"/>
          <w:color w:val="auto"/>
          <w:sz w:val="24"/>
        </w:rPr>
        <w:t xml:space="preserve">供应商登录政采云平台https://www.zcygov.cn/在线申请获取采购文件（进入“项目采购”应用，在获取采购文件菜单中选择项目，申请获取采购文件）。 </w:t>
      </w:r>
    </w:p>
    <w:p w14:paraId="041974B8">
      <w:pPr>
        <w:spacing w:line="360" w:lineRule="auto"/>
        <w:ind w:firstLine="482" w:firstLineChars="200"/>
        <w:rPr>
          <w:rFonts w:ascii="宋体" w:hAnsi="宋体" w:cs="宋体"/>
          <w:color w:val="auto"/>
          <w:sz w:val="24"/>
        </w:rPr>
      </w:pPr>
      <w:r>
        <w:rPr>
          <w:rFonts w:hint="eastAsia" w:ascii="宋体" w:hAnsi="宋体" w:cs="宋体"/>
          <w:b/>
          <w:color w:val="auto"/>
          <w:sz w:val="24"/>
        </w:rPr>
        <w:t>售价（元）：</w:t>
      </w:r>
      <w:r>
        <w:rPr>
          <w:rFonts w:hint="eastAsia" w:ascii="宋体" w:hAnsi="宋体" w:cs="宋体"/>
          <w:color w:val="auto"/>
          <w:sz w:val="24"/>
        </w:rPr>
        <w:t xml:space="preserve">0 </w:t>
      </w:r>
      <w:r>
        <w:rPr>
          <w:rFonts w:hint="eastAsia" w:ascii="宋体" w:hAnsi="宋体" w:cs="宋体"/>
          <w:color w:val="auto"/>
          <w:sz w:val="24"/>
        </w:rPr>
        <w:tab/>
      </w:r>
    </w:p>
    <w:p w14:paraId="598E90B8">
      <w:pPr>
        <w:spacing w:line="360" w:lineRule="auto"/>
        <w:rPr>
          <w:rFonts w:ascii="宋体" w:hAnsi="宋体" w:cs="宋体"/>
          <w:b/>
          <w:color w:val="auto"/>
          <w:sz w:val="24"/>
        </w:rPr>
      </w:pPr>
      <w:r>
        <w:rPr>
          <w:rFonts w:hint="eastAsia" w:ascii="宋体" w:hAnsi="宋体" w:cs="宋体"/>
          <w:b/>
          <w:color w:val="auto"/>
          <w:sz w:val="24"/>
        </w:rPr>
        <w:t>四、提交投标文件截止时间、开标时间和地点</w:t>
      </w:r>
    </w:p>
    <w:p w14:paraId="00630B59">
      <w:pPr>
        <w:spacing w:line="360" w:lineRule="auto"/>
        <w:ind w:firstLine="482" w:firstLineChars="200"/>
        <w:rPr>
          <w:rFonts w:ascii="宋体" w:hAnsi="宋体" w:cs="宋体"/>
          <w:color w:val="auto"/>
          <w:sz w:val="24"/>
        </w:rPr>
      </w:pPr>
      <w:r>
        <w:rPr>
          <w:rFonts w:hint="eastAsia" w:ascii="宋体" w:hAnsi="宋体" w:cs="宋体"/>
          <w:b/>
          <w:color w:val="auto"/>
          <w:sz w:val="24"/>
        </w:rPr>
        <w:t>提交投标文件截止时间：</w:t>
      </w:r>
      <w:r>
        <w:rPr>
          <w:rFonts w:hint="eastAsia" w:ascii="宋体" w:hAnsi="宋体" w:cs="宋体"/>
          <w:color w:val="auto"/>
          <w:sz w:val="24"/>
          <w:u w:val="single"/>
        </w:rPr>
        <w:t xml:space="preserve"> 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4</w:t>
      </w:r>
      <w:r>
        <w:rPr>
          <w:rFonts w:hint="eastAsia" w:ascii="宋体" w:hAnsi="宋体" w:cs="宋体"/>
          <w:color w:val="auto"/>
          <w:sz w:val="24"/>
          <w:u w:val="single"/>
        </w:rPr>
        <w:t>月</w:t>
      </w:r>
      <w:r>
        <w:rPr>
          <w:rFonts w:hint="eastAsia" w:ascii="宋体" w:hAnsi="宋体" w:cs="宋体"/>
          <w:color w:val="auto"/>
          <w:sz w:val="24"/>
          <w:u w:val="single"/>
          <w:lang w:val="en-US" w:eastAsia="zh-CN"/>
        </w:rPr>
        <w:t>22</w:t>
      </w:r>
      <w:r>
        <w:rPr>
          <w:rFonts w:hint="eastAsia" w:ascii="宋体" w:hAnsi="宋体" w:cs="宋体"/>
          <w:color w:val="auto"/>
          <w:sz w:val="24"/>
          <w:u w:val="single"/>
        </w:rPr>
        <w:t>日</w:t>
      </w:r>
      <w:r>
        <w:rPr>
          <w:rFonts w:hint="eastAsia" w:ascii="宋体" w:hAnsi="宋体" w:cs="宋体"/>
          <w:color w:val="auto"/>
          <w:sz w:val="24"/>
          <w:u w:val="single"/>
          <w:lang w:val="en-US" w:eastAsia="zh-CN"/>
        </w:rPr>
        <w:t>13</w:t>
      </w:r>
      <w:r>
        <w:rPr>
          <w:rFonts w:hint="eastAsia" w:ascii="宋体" w:hAnsi="宋体" w:cs="宋体"/>
          <w:color w:val="auto"/>
          <w:sz w:val="24"/>
          <w:u w:val="single"/>
        </w:rPr>
        <w:t>点</w:t>
      </w:r>
      <w:r>
        <w:rPr>
          <w:rFonts w:hint="eastAsia" w:ascii="宋体" w:hAnsi="宋体" w:cs="宋体"/>
          <w:color w:val="auto"/>
          <w:sz w:val="24"/>
          <w:u w:val="single"/>
          <w:lang w:val="en-US" w:eastAsia="zh-CN"/>
        </w:rPr>
        <w:t>30</w:t>
      </w:r>
      <w:r>
        <w:rPr>
          <w:rFonts w:hint="eastAsia" w:ascii="宋体" w:hAnsi="宋体" w:cs="宋体"/>
          <w:color w:val="auto"/>
          <w:sz w:val="24"/>
          <w:u w:val="single"/>
        </w:rPr>
        <w:t>分00秒</w:t>
      </w:r>
      <w:r>
        <w:rPr>
          <w:rFonts w:hint="eastAsia" w:ascii="宋体" w:hAnsi="宋体" w:cs="宋体"/>
          <w:color w:val="auto"/>
          <w:sz w:val="24"/>
        </w:rPr>
        <w:t>（北京时间）</w:t>
      </w:r>
    </w:p>
    <w:p w14:paraId="36DA6FD2">
      <w:pPr>
        <w:spacing w:line="360" w:lineRule="auto"/>
        <w:ind w:firstLine="482" w:firstLineChars="200"/>
        <w:rPr>
          <w:rFonts w:ascii="宋体" w:hAnsi="宋体" w:cs="宋体"/>
          <w:b/>
          <w:color w:val="auto"/>
          <w:sz w:val="24"/>
        </w:rPr>
      </w:pPr>
      <w:r>
        <w:rPr>
          <w:rFonts w:hint="eastAsia" w:ascii="宋体" w:hAnsi="宋体" w:cs="宋体"/>
          <w:b/>
          <w:color w:val="auto"/>
          <w:sz w:val="24"/>
        </w:rPr>
        <w:t>投标地点（网址）：</w:t>
      </w:r>
      <w:r>
        <w:rPr>
          <w:rFonts w:hint="eastAsia" w:ascii="宋体" w:hAnsi="宋体" w:cs="宋体"/>
          <w:color w:val="auto"/>
          <w:sz w:val="24"/>
        </w:rPr>
        <w:t xml:space="preserve">政采云平台（https://www.zcygov.cn/） </w:t>
      </w:r>
    </w:p>
    <w:p w14:paraId="065AD19E">
      <w:pPr>
        <w:spacing w:line="360" w:lineRule="auto"/>
        <w:ind w:firstLine="482" w:firstLineChars="200"/>
        <w:rPr>
          <w:rFonts w:ascii="宋体" w:hAnsi="宋体" w:cs="宋体"/>
          <w:bCs/>
          <w:color w:val="auto"/>
          <w:sz w:val="24"/>
          <w:u w:val="single"/>
        </w:rPr>
      </w:pPr>
      <w:r>
        <w:rPr>
          <w:rFonts w:hint="eastAsia" w:ascii="宋体" w:hAnsi="宋体" w:cs="宋体"/>
          <w:b/>
          <w:color w:val="auto"/>
          <w:sz w:val="24"/>
        </w:rPr>
        <w:t>开标时间：</w:t>
      </w:r>
      <w:r>
        <w:rPr>
          <w:rFonts w:hint="eastAsia" w:ascii="宋体" w:hAnsi="宋体" w:cs="宋体"/>
          <w:color w:val="auto"/>
          <w:sz w:val="24"/>
          <w:u w:val="single"/>
        </w:rPr>
        <w:t xml:space="preserve"> 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4</w:t>
      </w:r>
      <w:r>
        <w:rPr>
          <w:rFonts w:hint="eastAsia" w:ascii="宋体" w:hAnsi="宋体" w:cs="宋体"/>
          <w:color w:val="auto"/>
          <w:sz w:val="24"/>
          <w:u w:val="single"/>
        </w:rPr>
        <w:t>月</w:t>
      </w:r>
      <w:r>
        <w:rPr>
          <w:rFonts w:hint="eastAsia" w:ascii="宋体" w:hAnsi="宋体" w:cs="宋体"/>
          <w:color w:val="auto"/>
          <w:sz w:val="24"/>
          <w:u w:val="single"/>
          <w:lang w:val="en-US" w:eastAsia="zh-CN"/>
        </w:rPr>
        <w:t>22</w:t>
      </w:r>
      <w:r>
        <w:rPr>
          <w:rFonts w:hint="eastAsia" w:ascii="宋体" w:hAnsi="宋体" w:cs="宋体"/>
          <w:color w:val="auto"/>
          <w:sz w:val="24"/>
          <w:u w:val="single"/>
        </w:rPr>
        <w:t>日</w:t>
      </w:r>
      <w:r>
        <w:rPr>
          <w:rFonts w:hint="eastAsia" w:ascii="宋体" w:hAnsi="宋体" w:cs="宋体"/>
          <w:color w:val="auto"/>
          <w:sz w:val="24"/>
          <w:u w:val="single"/>
          <w:lang w:val="en-US" w:eastAsia="zh-CN"/>
        </w:rPr>
        <w:t>13</w:t>
      </w:r>
      <w:r>
        <w:rPr>
          <w:rFonts w:hint="eastAsia" w:ascii="宋体" w:hAnsi="宋体" w:cs="宋体"/>
          <w:color w:val="auto"/>
          <w:sz w:val="24"/>
          <w:u w:val="single"/>
        </w:rPr>
        <w:t>点</w:t>
      </w:r>
      <w:r>
        <w:rPr>
          <w:rFonts w:hint="eastAsia" w:ascii="宋体" w:hAnsi="宋体" w:cs="宋体"/>
          <w:color w:val="auto"/>
          <w:sz w:val="24"/>
          <w:u w:val="single"/>
          <w:lang w:val="en-US" w:eastAsia="zh-CN"/>
        </w:rPr>
        <w:t>30</w:t>
      </w:r>
      <w:r>
        <w:rPr>
          <w:rFonts w:hint="eastAsia" w:ascii="宋体" w:hAnsi="宋体" w:cs="宋体"/>
          <w:color w:val="auto"/>
          <w:sz w:val="24"/>
          <w:u w:val="single"/>
        </w:rPr>
        <w:t>分00秒</w:t>
      </w:r>
    </w:p>
    <w:p w14:paraId="72319CBC">
      <w:pPr>
        <w:spacing w:line="360" w:lineRule="auto"/>
        <w:ind w:firstLine="482" w:firstLineChars="200"/>
        <w:rPr>
          <w:rFonts w:ascii="宋体" w:hAnsi="宋体" w:cs="宋体"/>
          <w:color w:val="auto"/>
          <w:sz w:val="24"/>
        </w:rPr>
      </w:pPr>
      <w:r>
        <w:rPr>
          <w:rFonts w:hint="eastAsia" w:ascii="宋体" w:hAnsi="宋体" w:cs="宋体"/>
          <w:b/>
          <w:color w:val="auto"/>
          <w:sz w:val="24"/>
        </w:rPr>
        <w:t>开标地点（网址）：</w:t>
      </w:r>
      <w:r>
        <w:rPr>
          <w:rFonts w:hint="eastAsia" w:ascii="宋体" w:hAnsi="宋体" w:cs="宋体"/>
          <w:color w:val="auto"/>
          <w:sz w:val="24"/>
        </w:rPr>
        <w:t>政采云平台（https://www.zcygov.cn/）</w:t>
      </w:r>
    </w:p>
    <w:p w14:paraId="149D5405">
      <w:pPr>
        <w:spacing w:line="360" w:lineRule="auto"/>
        <w:rPr>
          <w:rFonts w:ascii="宋体" w:hAnsi="宋体" w:cs="宋体"/>
          <w:color w:val="auto"/>
          <w:sz w:val="24"/>
        </w:rPr>
      </w:pPr>
      <w:r>
        <w:rPr>
          <w:rFonts w:hint="eastAsia" w:ascii="宋体" w:hAnsi="宋体" w:cs="宋体"/>
          <w:b/>
          <w:color w:val="auto"/>
          <w:sz w:val="24"/>
        </w:rPr>
        <w:t xml:space="preserve">五、公告期限 </w:t>
      </w:r>
    </w:p>
    <w:p w14:paraId="77264FCF">
      <w:pPr>
        <w:spacing w:line="360" w:lineRule="auto"/>
        <w:ind w:firstLine="480" w:firstLineChars="200"/>
        <w:rPr>
          <w:rFonts w:ascii="宋体" w:hAnsi="宋体" w:cs="宋体"/>
          <w:color w:val="auto"/>
          <w:sz w:val="24"/>
        </w:rPr>
      </w:pPr>
      <w:r>
        <w:rPr>
          <w:rFonts w:hint="eastAsia" w:ascii="宋体" w:hAnsi="宋体" w:cs="宋体"/>
          <w:color w:val="auto"/>
          <w:sz w:val="24"/>
        </w:rPr>
        <w:t>自本公告发布之日起5个工作日。</w:t>
      </w:r>
    </w:p>
    <w:p w14:paraId="783C2D3A">
      <w:pPr>
        <w:spacing w:line="360" w:lineRule="auto"/>
        <w:rPr>
          <w:rFonts w:ascii="宋体" w:hAnsi="宋体" w:cs="宋体"/>
          <w:b/>
          <w:color w:val="auto"/>
          <w:sz w:val="24"/>
        </w:rPr>
      </w:pPr>
      <w:r>
        <w:rPr>
          <w:rFonts w:hint="eastAsia" w:ascii="宋体" w:hAnsi="宋体" w:cs="宋体"/>
          <w:b/>
          <w:color w:val="auto"/>
          <w:sz w:val="24"/>
        </w:rPr>
        <w:t>六、其他补充事宜</w:t>
      </w:r>
    </w:p>
    <w:p w14:paraId="5990F262">
      <w:pPr>
        <w:spacing w:line="360" w:lineRule="auto"/>
        <w:ind w:firstLine="480" w:firstLineChars="200"/>
        <w:rPr>
          <w:rFonts w:ascii="宋体" w:hAnsi="宋体" w:cs="宋体"/>
          <w:color w:val="auto"/>
          <w:sz w:val="24"/>
        </w:rPr>
      </w:pPr>
      <w:r>
        <w:rPr>
          <w:rFonts w:hint="eastAsia" w:ascii="宋体" w:hAnsi="宋体" w:cs="宋体"/>
          <w:color w:val="auto"/>
          <w:sz w:val="24"/>
        </w:rPr>
        <w:t xml:space="preserve"> 1. </w:t>
      </w:r>
      <w:r>
        <w:rPr>
          <w:rFonts w:ascii="宋体" w:hAnsi="宋体" w:cs="宋体"/>
          <w:color w:val="auto"/>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rPr>
        <w:t>。</w:t>
      </w:r>
    </w:p>
    <w:p w14:paraId="40C65D45">
      <w:pPr>
        <w:spacing w:line="360" w:lineRule="auto"/>
        <w:ind w:firstLine="480" w:firstLineChars="200"/>
        <w:rPr>
          <w:rFonts w:ascii="宋体" w:hAnsi="宋体" w:cs="宋体"/>
          <w:color w:val="auto"/>
          <w:sz w:val="24"/>
        </w:rPr>
      </w:pPr>
      <w:r>
        <w:rPr>
          <w:rFonts w:hint="eastAsia" w:ascii="宋体" w:hAnsi="宋体" w:cs="宋体"/>
          <w:color w:val="auto"/>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4FFCBF6">
      <w:pPr>
        <w:spacing w:line="360" w:lineRule="auto"/>
        <w:ind w:firstLine="480" w:firstLineChars="200"/>
        <w:rPr>
          <w:rFonts w:ascii="宋体" w:hAnsi="宋体" w:cs="宋体"/>
          <w:color w:val="auto"/>
          <w:sz w:val="24"/>
        </w:rPr>
      </w:pPr>
      <w:r>
        <w:rPr>
          <w:rFonts w:hint="eastAsia" w:ascii="宋体" w:hAnsi="宋体" w:cs="宋体"/>
          <w:color w:val="auto"/>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68272F1">
      <w:pPr>
        <w:spacing w:line="360" w:lineRule="auto"/>
        <w:ind w:firstLine="480" w:firstLineChars="200"/>
        <w:rPr>
          <w:rFonts w:ascii="宋体" w:hAnsi="宋体" w:cs="宋体"/>
          <w:color w:val="auto"/>
          <w:sz w:val="24"/>
        </w:rPr>
      </w:pPr>
      <w:r>
        <w:rPr>
          <w:rFonts w:hint="eastAsia" w:ascii="宋体" w:hAnsi="宋体" w:cs="宋体"/>
          <w:color w:val="auto"/>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lang w:eastAsia="zh-CN"/>
        </w:rPr>
        <w:t>采购代理机构</w:t>
      </w:r>
      <w:r>
        <w:rPr>
          <w:rFonts w:hint="eastAsia" w:ascii="宋体" w:hAnsi="宋体" w:cs="宋体"/>
          <w:color w:val="auto"/>
          <w:sz w:val="24"/>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3C007637">
      <w:pPr>
        <w:spacing w:line="360" w:lineRule="auto"/>
        <w:rPr>
          <w:rFonts w:ascii="宋体" w:hAnsi="宋体" w:cs="宋体"/>
          <w:b/>
          <w:color w:val="auto"/>
          <w:sz w:val="24"/>
        </w:rPr>
      </w:pPr>
      <w:r>
        <w:rPr>
          <w:rFonts w:hint="eastAsia" w:ascii="宋体" w:hAnsi="宋体" w:cs="宋体"/>
          <w:b/>
          <w:color w:val="auto"/>
          <w:sz w:val="24"/>
        </w:rPr>
        <w:t>七、对本次采购提出询问、质疑、投诉，请按以下方式联系</w:t>
      </w:r>
    </w:p>
    <w:p w14:paraId="77B3507D">
      <w:pPr>
        <w:spacing w:line="360" w:lineRule="auto"/>
        <w:rPr>
          <w:rFonts w:ascii="宋体" w:hAnsi="宋体" w:cs="宋体"/>
          <w:color w:val="auto"/>
          <w:sz w:val="24"/>
        </w:rPr>
      </w:pPr>
      <w:r>
        <w:rPr>
          <w:rFonts w:hint="eastAsia" w:ascii="宋体" w:hAnsi="宋体" w:cs="宋体"/>
          <w:color w:val="auto"/>
          <w:sz w:val="24"/>
        </w:rPr>
        <w:t xml:space="preserve">    1.采购人信息</w:t>
      </w:r>
    </w:p>
    <w:p w14:paraId="4BB28EC1">
      <w:pPr>
        <w:spacing w:line="360" w:lineRule="auto"/>
        <w:rPr>
          <w:rFonts w:ascii="宋体" w:hAnsi="宋体" w:cs="宋体"/>
          <w:color w:val="auto"/>
          <w:sz w:val="24"/>
        </w:rPr>
      </w:pPr>
      <w:r>
        <w:rPr>
          <w:rFonts w:hint="eastAsia" w:ascii="宋体" w:hAnsi="宋体" w:cs="宋体"/>
          <w:color w:val="auto"/>
          <w:sz w:val="24"/>
        </w:rPr>
        <w:t xml:space="preserve">    名    称：杭州师范大学附属未来科技城学校（杭州二中教育集团未来科技城学校） </w:t>
      </w:r>
    </w:p>
    <w:p w14:paraId="11416D05">
      <w:pPr>
        <w:spacing w:line="360" w:lineRule="auto"/>
        <w:rPr>
          <w:rFonts w:ascii="宋体" w:hAnsi="宋体" w:cs="宋体"/>
          <w:color w:val="auto"/>
          <w:sz w:val="24"/>
        </w:rPr>
      </w:pPr>
      <w:r>
        <w:rPr>
          <w:rFonts w:hint="eastAsia" w:ascii="宋体" w:hAnsi="宋体" w:cs="宋体"/>
          <w:color w:val="auto"/>
          <w:sz w:val="24"/>
        </w:rPr>
        <w:t xml:space="preserve">    地    址：浙江省杭州市余杭区钱学森路66号天元楼       </w:t>
      </w:r>
    </w:p>
    <w:p w14:paraId="71734459">
      <w:pPr>
        <w:spacing w:line="360" w:lineRule="auto"/>
        <w:ind w:firstLine="480"/>
        <w:rPr>
          <w:rFonts w:ascii="宋体" w:hAnsi="宋体" w:cs="宋体"/>
          <w:color w:val="auto"/>
          <w:sz w:val="24"/>
        </w:rPr>
      </w:pPr>
      <w:r>
        <w:rPr>
          <w:rFonts w:hint="eastAsia" w:ascii="宋体" w:hAnsi="宋体" w:cs="宋体"/>
          <w:color w:val="auto"/>
          <w:sz w:val="24"/>
        </w:rPr>
        <w:t>传    真： /</w:t>
      </w:r>
    </w:p>
    <w:p w14:paraId="190D4CFE">
      <w:pPr>
        <w:spacing w:line="360" w:lineRule="auto"/>
        <w:ind w:firstLine="480" w:firstLineChars="200"/>
        <w:rPr>
          <w:rFonts w:ascii="宋体" w:hAnsi="宋体" w:cs="宋体"/>
          <w:color w:val="auto"/>
          <w:sz w:val="24"/>
        </w:rPr>
      </w:pPr>
      <w:r>
        <w:rPr>
          <w:rFonts w:hint="eastAsia" w:ascii="宋体" w:hAnsi="宋体" w:cs="宋体"/>
          <w:color w:val="auto"/>
          <w:sz w:val="24"/>
        </w:rPr>
        <w:t>项目联系人（询问）：</w:t>
      </w:r>
      <w:r>
        <w:rPr>
          <w:rFonts w:hint="eastAsia" w:ascii="宋体" w:hAnsi="宋体" w:eastAsia="宋体" w:cs="宋体"/>
          <w:i w:val="0"/>
          <w:iCs w:val="0"/>
          <w:caps w:val="0"/>
          <w:color w:val="auto"/>
          <w:spacing w:val="0"/>
          <w:sz w:val="24"/>
          <w:szCs w:val="24"/>
        </w:rPr>
        <w:t>曹老师</w:t>
      </w:r>
      <w:r>
        <w:rPr>
          <w:rFonts w:hint="eastAsia" w:ascii="宋体" w:hAnsi="宋体" w:cs="宋体"/>
          <w:color w:val="auto"/>
          <w:sz w:val="24"/>
        </w:rPr>
        <w:t xml:space="preserve">  </w:t>
      </w:r>
    </w:p>
    <w:p w14:paraId="32C4BC77">
      <w:pPr>
        <w:spacing w:line="360" w:lineRule="auto"/>
        <w:rPr>
          <w:rFonts w:ascii="宋体" w:hAnsi="宋体" w:cs="宋体"/>
          <w:color w:val="auto"/>
          <w:sz w:val="24"/>
        </w:rPr>
      </w:pPr>
      <w:r>
        <w:rPr>
          <w:rFonts w:hint="eastAsia" w:ascii="宋体" w:hAnsi="宋体" w:cs="宋体"/>
          <w:color w:val="auto"/>
          <w:sz w:val="24"/>
        </w:rPr>
        <w:t xml:space="preserve">    项目联系方式（询问）：0571-8930997</w:t>
      </w:r>
      <w:r>
        <w:rPr>
          <w:rFonts w:hint="eastAsia" w:ascii="宋体" w:hAnsi="宋体" w:cs="宋体"/>
          <w:color w:val="auto"/>
          <w:sz w:val="24"/>
          <w:lang w:val="en-US" w:eastAsia="zh-CN"/>
        </w:rPr>
        <w:t>1</w:t>
      </w:r>
    </w:p>
    <w:p w14:paraId="225EF464">
      <w:pPr>
        <w:spacing w:line="360" w:lineRule="auto"/>
        <w:rPr>
          <w:rFonts w:ascii="宋体" w:hAnsi="宋体" w:cs="宋体"/>
          <w:color w:val="auto"/>
          <w:sz w:val="24"/>
        </w:rPr>
      </w:pPr>
      <w:r>
        <w:rPr>
          <w:rFonts w:hint="eastAsia" w:ascii="宋体" w:hAnsi="宋体" w:cs="宋体"/>
          <w:color w:val="auto"/>
          <w:sz w:val="24"/>
        </w:rPr>
        <w:t xml:space="preserve">    质疑联系人：</w:t>
      </w:r>
      <w:r>
        <w:rPr>
          <w:rFonts w:hint="eastAsia" w:ascii="宋体" w:hAnsi="宋体" w:cs="宋体"/>
          <w:color w:val="auto"/>
          <w:sz w:val="24"/>
          <w:lang w:val="en-US" w:eastAsia="zh-CN"/>
        </w:rPr>
        <w:t>马</w:t>
      </w:r>
      <w:r>
        <w:rPr>
          <w:rFonts w:hint="eastAsia" w:ascii="宋体" w:hAnsi="宋体" w:cs="宋体"/>
          <w:color w:val="auto"/>
          <w:sz w:val="24"/>
        </w:rPr>
        <w:t xml:space="preserve">老师 </w:t>
      </w:r>
    </w:p>
    <w:p w14:paraId="66F7F8C4">
      <w:pPr>
        <w:spacing w:line="360" w:lineRule="auto"/>
        <w:rPr>
          <w:rFonts w:ascii="宋体" w:hAnsi="宋体" w:cs="宋体"/>
          <w:color w:val="auto"/>
          <w:sz w:val="24"/>
        </w:rPr>
      </w:pPr>
      <w:r>
        <w:rPr>
          <w:rFonts w:hint="eastAsia" w:ascii="宋体" w:hAnsi="宋体" w:cs="宋体"/>
          <w:color w:val="auto"/>
          <w:sz w:val="24"/>
        </w:rPr>
        <w:t xml:space="preserve">    质疑联系方式：0571-8930</w:t>
      </w:r>
      <w:r>
        <w:rPr>
          <w:rFonts w:hint="eastAsia" w:ascii="宋体" w:hAnsi="宋体" w:cs="宋体"/>
          <w:color w:val="auto"/>
          <w:sz w:val="24"/>
          <w:lang w:val="en-US" w:eastAsia="zh-CN"/>
        </w:rPr>
        <w:t>9979</w:t>
      </w:r>
      <w:r>
        <w:rPr>
          <w:rFonts w:hint="eastAsia" w:ascii="宋体" w:hAnsi="宋体" w:cs="宋体"/>
          <w:color w:val="auto"/>
          <w:sz w:val="24"/>
        </w:rPr>
        <w:t xml:space="preserve"> </w:t>
      </w:r>
    </w:p>
    <w:p w14:paraId="0D73C160">
      <w:pPr>
        <w:spacing w:line="360" w:lineRule="auto"/>
        <w:rPr>
          <w:rFonts w:ascii="宋体" w:hAnsi="宋体" w:cs="宋体"/>
          <w:color w:val="auto"/>
          <w:sz w:val="24"/>
        </w:rPr>
      </w:pPr>
      <w:r>
        <w:rPr>
          <w:rFonts w:hint="eastAsia" w:ascii="宋体" w:hAnsi="宋体" w:cs="宋体"/>
          <w:color w:val="auto"/>
          <w:sz w:val="24"/>
        </w:rPr>
        <w:t xml:space="preserve">    2.采购代理机构信息            </w:t>
      </w:r>
    </w:p>
    <w:p w14:paraId="7792F81C">
      <w:pPr>
        <w:spacing w:line="360" w:lineRule="auto"/>
        <w:ind w:firstLine="480"/>
        <w:rPr>
          <w:rFonts w:ascii="宋体" w:hAnsi="宋体" w:cs="宋体"/>
          <w:color w:val="auto"/>
          <w:sz w:val="24"/>
        </w:rPr>
      </w:pPr>
      <w:r>
        <w:rPr>
          <w:rFonts w:hint="eastAsia" w:ascii="宋体" w:hAnsi="宋体" w:cs="宋体"/>
          <w:color w:val="auto"/>
          <w:sz w:val="24"/>
        </w:rPr>
        <w:t>名    称：欧邦工程管理集团有限公司</w:t>
      </w:r>
    </w:p>
    <w:p w14:paraId="66AA9BA6">
      <w:pPr>
        <w:spacing w:line="360" w:lineRule="auto"/>
        <w:ind w:firstLine="480"/>
        <w:rPr>
          <w:rFonts w:ascii="宋体" w:hAnsi="宋体" w:cs="宋体"/>
          <w:color w:val="auto"/>
          <w:sz w:val="24"/>
        </w:rPr>
      </w:pPr>
      <w:r>
        <w:rPr>
          <w:rFonts w:hint="eastAsia" w:ascii="宋体" w:hAnsi="宋体" w:cs="宋体"/>
          <w:color w:val="auto"/>
          <w:sz w:val="24"/>
        </w:rPr>
        <w:t>地    址：杭州市文一西路558号绿城西溪诚园诚公馆1号楼9楼</w:t>
      </w:r>
    </w:p>
    <w:p w14:paraId="25ACB814">
      <w:pPr>
        <w:spacing w:line="360" w:lineRule="auto"/>
        <w:rPr>
          <w:rFonts w:ascii="宋体" w:hAnsi="宋体" w:cs="宋体"/>
          <w:color w:val="auto"/>
          <w:sz w:val="24"/>
        </w:rPr>
      </w:pPr>
      <w:r>
        <w:rPr>
          <w:rFonts w:hint="eastAsia" w:ascii="宋体" w:hAnsi="宋体" w:cs="宋体"/>
          <w:color w:val="auto"/>
          <w:sz w:val="24"/>
        </w:rPr>
        <w:t xml:space="preserve">    传    真：0571-88808387 </w:t>
      </w:r>
    </w:p>
    <w:p w14:paraId="684691E9">
      <w:pPr>
        <w:spacing w:line="360" w:lineRule="auto"/>
        <w:rPr>
          <w:rFonts w:ascii="宋体" w:hAnsi="宋体" w:cs="宋体"/>
          <w:color w:val="auto"/>
          <w:sz w:val="24"/>
        </w:rPr>
      </w:pPr>
      <w:r>
        <w:rPr>
          <w:rFonts w:hint="eastAsia" w:ascii="宋体" w:hAnsi="宋体" w:cs="宋体"/>
          <w:color w:val="auto"/>
          <w:sz w:val="24"/>
        </w:rPr>
        <w:t xml:space="preserve">    项目联系人（询问）：张琛 </w:t>
      </w:r>
    </w:p>
    <w:p w14:paraId="210F2674">
      <w:pPr>
        <w:spacing w:line="360" w:lineRule="auto"/>
        <w:rPr>
          <w:rFonts w:ascii="宋体" w:hAnsi="宋体" w:cs="宋体"/>
          <w:color w:val="auto"/>
          <w:sz w:val="24"/>
        </w:rPr>
      </w:pPr>
      <w:r>
        <w:rPr>
          <w:rFonts w:hint="eastAsia" w:ascii="宋体" w:hAnsi="宋体" w:cs="宋体"/>
          <w:color w:val="auto"/>
          <w:sz w:val="24"/>
        </w:rPr>
        <w:t xml:space="preserve">    项目联系方式（询问）：13758250560</w:t>
      </w:r>
    </w:p>
    <w:p w14:paraId="4181155B">
      <w:pPr>
        <w:spacing w:line="360" w:lineRule="auto"/>
        <w:rPr>
          <w:rFonts w:ascii="宋体" w:hAnsi="宋体" w:cs="宋体"/>
          <w:color w:val="auto"/>
          <w:sz w:val="24"/>
        </w:rPr>
      </w:pPr>
      <w:r>
        <w:rPr>
          <w:rFonts w:hint="eastAsia" w:ascii="宋体" w:hAnsi="宋体" w:cs="宋体"/>
          <w:color w:val="auto"/>
          <w:sz w:val="24"/>
        </w:rPr>
        <w:t xml:space="preserve">    质疑联系人：周波 </w:t>
      </w:r>
    </w:p>
    <w:p w14:paraId="4E48969C">
      <w:pPr>
        <w:spacing w:line="360" w:lineRule="auto"/>
        <w:rPr>
          <w:rFonts w:ascii="宋体" w:hAnsi="宋体" w:cs="宋体"/>
          <w:color w:val="auto"/>
          <w:sz w:val="24"/>
        </w:rPr>
      </w:pPr>
      <w:r>
        <w:rPr>
          <w:rFonts w:hint="eastAsia" w:ascii="宋体" w:hAnsi="宋体" w:cs="宋体"/>
          <w:color w:val="auto"/>
          <w:sz w:val="24"/>
        </w:rPr>
        <w:t xml:space="preserve">    质疑联系方式：0571-87209515（请通过以下路径在线提起质疑：政采云-项目采购-询问质疑投诉-质疑列表）</w:t>
      </w:r>
    </w:p>
    <w:p w14:paraId="03A9DF26">
      <w:pPr>
        <w:spacing w:line="360" w:lineRule="auto"/>
        <w:rPr>
          <w:rFonts w:ascii="宋体" w:hAnsi="宋体" w:cs="宋体"/>
          <w:color w:val="auto"/>
          <w:sz w:val="24"/>
        </w:rPr>
      </w:pPr>
      <w:r>
        <w:rPr>
          <w:rFonts w:hint="eastAsia" w:ascii="宋体" w:hAnsi="宋体" w:cs="宋体"/>
          <w:color w:val="auto"/>
          <w:sz w:val="24"/>
        </w:rPr>
        <w:t xml:space="preserve">    3.</w:t>
      </w:r>
      <w:r>
        <w:rPr>
          <w:rFonts w:hint="eastAsia"/>
          <w:color w:val="auto"/>
        </w:rPr>
        <w:t xml:space="preserve"> </w:t>
      </w:r>
      <w:r>
        <w:rPr>
          <w:rFonts w:hint="eastAsia" w:ascii="宋体" w:hAnsi="宋体" w:cs="宋体"/>
          <w:color w:val="auto"/>
          <w:sz w:val="24"/>
        </w:rPr>
        <w:t xml:space="preserve">同级政府采购监督管理部门            </w:t>
      </w:r>
    </w:p>
    <w:p w14:paraId="1443DACC">
      <w:pPr>
        <w:spacing w:line="360" w:lineRule="auto"/>
        <w:rPr>
          <w:rFonts w:ascii="宋体" w:hAnsi="宋体" w:cs="宋体"/>
          <w:color w:val="auto"/>
          <w:sz w:val="24"/>
        </w:rPr>
      </w:pPr>
      <w:r>
        <w:rPr>
          <w:rFonts w:hint="eastAsia" w:ascii="宋体" w:hAnsi="宋体" w:cs="宋体"/>
          <w:color w:val="auto"/>
          <w:sz w:val="24"/>
        </w:rPr>
        <w:t xml:space="preserve">     3.</w:t>
      </w:r>
      <w:r>
        <w:rPr>
          <w:rFonts w:hint="eastAsia"/>
          <w:color w:val="auto"/>
        </w:rPr>
        <w:t xml:space="preserve"> </w:t>
      </w:r>
      <w:r>
        <w:rPr>
          <w:rFonts w:hint="eastAsia" w:ascii="宋体" w:hAnsi="宋体" w:cs="宋体"/>
          <w:color w:val="auto"/>
          <w:sz w:val="24"/>
        </w:rPr>
        <w:t xml:space="preserve">同级政府采购监督管理部门            </w:t>
      </w:r>
    </w:p>
    <w:p w14:paraId="3167308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名    称：杭州市余杭区财政局、浙江省政府采购行政裁决服务中心（杭州）</w:t>
      </w:r>
    </w:p>
    <w:p w14:paraId="1CBDABF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地    址：杭州市上城区四季青街道新业路市民之家G03办公室（快递仅限ems或顺丰）</w:t>
      </w:r>
    </w:p>
    <w:p w14:paraId="61921EA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联系人：朱女士、王女士</w:t>
      </w:r>
    </w:p>
    <w:p w14:paraId="4DD88EC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监督投诉电话：0571</w:t>
      </w:r>
      <w:r>
        <w:rPr>
          <w:rFonts w:hint="eastAsia" w:ascii="宋体" w:hAnsi="宋体" w:eastAsia="宋体" w:cs="宋体"/>
          <w:color w:val="auto"/>
          <w:sz w:val="24"/>
          <w:highlight w:val="none"/>
        </w:rPr>
        <w:t>-85252453（仅限投诉事项）</w:t>
      </w:r>
    </w:p>
    <w:p w14:paraId="77AB93E9">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政策咨询：马女士，0571-88728858</w:t>
      </w:r>
    </w:p>
    <w:p w14:paraId="4F5AFD83">
      <w:pPr>
        <w:spacing w:line="360" w:lineRule="auto"/>
        <w:ind w:firstLine="480"/>
        <w:rPr>
          <w:rFonts w:hint="eastAsia" w:ascii="宋体" w:hAnsi="宋体" w:cs="宋体"/>
          <w:color w:val="auto"/>
          <w:sz w:val="24"/>
          <w:lang w:val="en-US" w:eastAsia="zh-CN"/>
        </w:rPr>
      </w:pPr>
    </w:p>
    <w:p w14:paraId="43BDBAEE">
      <w:pPr>
        <w:spacing w:line="360" w:lineRule="auto"/>
        <w:ind w:firstLine="480"/>
        <w:rPr>
          <w:rFonts w:ascii="宋体" w:hAnsi="宋体" w:cs="宋体"/>
          <w:color w:val="auto"/>
          <w:sz w:val="24"/>
        </w:rPr>
      </w:pPr>
      <w:r>
        <w:rPr>
          <w:rFonts w:hint="eastAsia" w:ascii="宋体" w:hAnsi="宋体" w:cs="宋体"/>
          <w:color w:val="auto"/>
          <w:sz w:val="24"/>
        </w:rPr>
        <w:t xml:space="preserve">    </w:t>
      </w:r>
    </w:p>
    <w:p w14:paraId="23C04C03">
      <w:pPr>
        <w:spacing w:line="360" w:lineRule="auto"/>
        <w:ind w:firstLine="480" w:firstLineChars="200"/>
        <w:rPr>
          <w:rFonts w:ascii="宋体" w:hAnsi="宋体" w:cs="宋体"/>
          <w:color w:val="auto"/>
          <w:sz w:val="24"/>
        </w:rPr>
      </w:pPr>
      <w:r>
        <w:rPr>
          <w:rFonts w:hint="eastAsia" w:ascii="宋体" w:hAnsi="宋体" w:cs="宋体"/>
          <w:color w:val="auto"/>
          <w:sz w:val="24"/>
        </w:rPr>
        <w:t>若对项目采购电子交易系统操作有疑问，可登录政采云（https://www.zcygov.cn/），点击右侧咨询小采，获取采小蜜智能服务管家帮助，或拨打政采云服务热线</w:t>
      </w:r>
      <w:r>
        <w:rPr>
          <w:rFonts w:hint="eastAsia" w:ascii="宋体" w:hAnsi="宋体" w:cs="宋体"/>
          <w:color w:val="auto"/>
          <w:sz w:val="24"/>
          <w:highlight w:val="none"/>
        </w:rPr>
        <w:t>95763</w:t>
      </w:r>
      <w:r>
        <w:rPr>
          <w:rFonts w:hint="eastAsia" w:ascii="宋体" w:hAnsi="宋体" w:cs="宋体"/>
          <w:color w:val="auto"/>
          <w:sz w:val="24"/>
        </w:rPr>
        <w:t>获取热线服务帮助。</w:t>
      </w:r>
    </w:p>
    <w:p w14:paraId="76B4D047">
      <w:pPr>
        <w:spacing w:line="360" w:lineRule="auto"/>
        <w:ind w:firstLine="480" w:firstLineChars="200"/>
        <w:rPr>
          <w:rFonts w:ascii="宋体" w:hAnsi="宋体" w:cs="宋体"/>
          <w:color w:val="auto"/>
          <w:sz w:val="24"/>
        </w:rPr>
      </w:pPr>
      <w:r>
        <w:rPr>
          <w:rFonts w:hint="eastAsia" w:ascii="宋体" w:hAnsi="宋体" w:cs="宋体"/>
          <w:color w:val="auto"/>
          <w:sz w:val="24"/>
        </w:rPr>
        <w:t>CA问题联系电话（人工）：汇信CA 400-888-4636；天谷CA 400-087-8198。</w:t>
      </w:r>
    </w:p>
    <w:p w14:paraId="49D133D9">
      <w:pPr>
        <w:pStyle w:val="32"/>
        <w:spacing w:line="360" w:lineRule="auto"/>
        <w:rPr>
          <w:rFonts w:hAnsi="宋体" w:cs="宋体"/>
          <w:b/>
          <w:color w:val="auto"/>
          <w:sz w:val="36"/>
          <w:szCs w:val="20"/>
        </w:rPr>
      </w:pPr>
      <w:r>
        <w:rPr>
          <w:rFonts w:hint="eastAsia" w:hAnsi="宋体" w:cs="宋体"/>
          <w:color w:val="auto"/>
          <w:sz w:val="24"/>
        </w:rPr>
        <w:t xml:space="preserve">                        </w:t>
      </w:r>
      <w:r>
        <w:rPr>
          <w:rFonts w:hAnsi="宋体" w:cs="宋体"/>
          <w:b/>
          <w:color w:val="auto"/>
          <w:sz w:val="36"/>
          <w:szCs w:val="20"/>
        </w:rPr>
        <w:t xml:space="preserve"> </w:t>
      </w:r>
    </w:p>
    <w:p w14:paraId="19E3B988">
      <w:pPr>
        <w:pStyle w:val="3"/>
        <w:rPr>
          <w:rFonts w:ascii="宋体"/>
          <w:snapToGrid w:val="0"/>
          <w:color w:val="auto"/>
        </w:rPr>
      </w:pPr>
      <w:r>
        <w:rPr>
          <w:color w:val="auto"/>
        </w:rPr>
        <w:br w:type="page"/>
      </w:r>
    </w:p>
    <w:p w14:paraId="1CC6E62E">
      <w:pPr>
        <w:adjustRightInd/>
        <w:spacing w:line="360" w:lineRule="auto"/>
        <w:jc w:val="center"/>
        <w:outlineLvl w:val="0"/>
        <w:rPr>
          <w:rFonts w:ascii="宋体" w:hAnsi="宋体" w:cs="宋体"/>
          <w:b/>
          <w:color w:val="auto"/>
          <w:sz w:val="36"/>
          <w:szCs w:val="20"/>
        </w:rPr>
      </w:pPr>
      <w:r>
        <w:rPr>
          <w:rFonts w:hint="eastAsia" w:ascii="宋体" w:hAnsi="宋体" w:cs="宋体"/>
          <w:b/>
          <w:color w:val="auto"/>
          <w:sz w:val="36"/>
          <w:szCs w:val="20"/>
        </w:rPr>
        <w:t>第二部分</w:t>
      </w:r>
      <w:bookmarkEnd w:id="8"/>
      <w:r>
        <w:rPr>
          <w:rFonts w:hint="eastAsia" w:ascii="宋体" w:hAnsi="宋体" w:cs="宋体"/>
          <w:b/>
          <w:color w:val="auto"/>
          <w:sz w:val="36"/>
          <w:szCs w:val="20"/>
        </w:rPr>
        <w:t xml:space="preserve"> 投标人须知</w:t>
      </w:r>
      <w:bookmarkEnd w:id="9"/>
    </w:p>
    <w:p w14:paraId="205FC77B">
      <w:pPr>
        <w:adjustRightInd/>
        <w:spacing w:line="360" w:lineRule="auto"/>
        <w:ind w:firstLine="3845" w:firstLineChars="1197"/>
        <w:outlineLvl w:val="0"/>
        <w:rPr>
          <w:rFonts w:ascii="宋体" w:hAnsi="宋体" w:cs="宋体"/>
          <w:b/>
          <w:color w:val="auto"/>
          <w:sz w:val="32"/>
          <w:szCs w:val="20"/>
        </w:rPr>
      </w:pPr>
      <w:r>
        <w:rPr>
          <w:rFonts w:hint="eastAsia" w:ascii="宋体" w:hAnsi="宋体" w:cs="宋体"/>
          <w:b/>
          <w:color w:val="auto"/>
          <w:sz w:val="32"/>
          <w:szCs w:val="20"/>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34E426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115A6A71">
            <w:pPr>
              <w:snapToGrid w:val="0"/>
              <w:spacing w:line="360" w:lineRule="auto"/>
              <w:jc w:val="center"/>
              <w:rPr>
                <w:rFonts w:ascii="宋体" w:hAnsi="宋体" w:cs="宋体"/>
                <w:b/>
                <w:color w:val="auto"/>
                <w:sz w:val="24"/>
              </w:rPr>
            </w:pPr>
            <w:r>
              <w:rPr>
                <w:rFonts w:hint="eastAsia" w:ascii="宋体" w:hAnsi="宋体" w:cs="宋体"/>
                <w:b/>
                <w:color w:val="auto"/>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742B845B">
            <w:pPr>
              <w:snapToGrid w:val="0"/>
              <w:spacing w:line="360" w:lineRule="auto"/>
              <w:jc w:val="center"/>
              <w:rPr>
                <w:rFonts w:ascii="宋体" w:hAnsi="宋体" w:cs="宋体"/>
                <w:b/>
                <w:color w:val="auto"/>
                <w:sz w:val="24"/>
              </w:rPr>
            </w:pPr>
            <w:r>
              <w:rPr>
                <w:rFonts w:hint="eastAsia" w:ascii="宋体" w:hAnsi="宋体" w:cs="宋体"/>
                <w:b/>
                <w:color w:val="auto"/>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D775567">
            <w:pPr>
              <w:snapToGrid w:val="0"/>
              <w:spacing w:line="360" w:lineRule="auto"/>
              <w:jc w:val="center"/>
              <w:rPr>
                <w:rFonts w:ascii="宋体" w:hAnsi="宋体" w:cs="宋体"/>
                <w:b/>
                <w:color w:val="auto"/>
                <w:sz w:val="24"/>
              </w:rPr>
            </w:pPr>
            <w:r>
              <w:rPr>
                <w:rFonts w:hint="eastAsia" w:ascii="宋体" w:hAnsi="宋体" w:cs="宋体"/>
                <w:b/>
                <w:color w:val="auto"/>
                <w:sz w:val="24"/>
              </w:rPr>
              <w:t>本项目的特别规定</w:t>
            </w:r>
          </w:p>
        </w:tc>
      </w:tr>
      <w:tr w14:paraId="31B5E4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blHeader/>
        </w:trPr>
        <w:tc>
          <w:tcPr>
            <w:tcW w:w="629" w:type="dxa"/>
            <w:tcBorders>
              <w:top w:val="single" w:color="auto" w:sz="4" w:space="0"/>
              <w:left w:val="single" w:color="auto" w:sz="4" w:space="0"/>
              <w:bottom w:val="single" w:color="auto" w:sz="4" w:space="0"/>
              <w:right w:val="single" w:color="auto" w:sz="4" w:space="0"/>
            </w:tcBorders>
          </w:tcPr>
          <w:p w14:paraId="47AF5B8C">
            <w:pPr>
              <w:snapToGrid w:val="0"/>
              <w:spacing w:line="360" w:lineRule="auto"/>
              <w:jc w:val="center"/>
              <w:rPr>
                <w:rFonts w:ascii="宋体" w:hAnsi="宋体" w:cs="宋体"/>
                <w:color w:val="auto"/>
                <w:sz w:val="24"/>
              </w:rPr>
            </w:pPr>
          </w:p>
          <w:p w14:paraId="54ECD38D">
            <w:pPr>
              <w:snapToGrid w:val="0"/>
              <w:spacing w:line="360" w:lineRule="auto"/>
              <w:jc w:val="center"/>
              <w:rPr>
                <w:rFonts w:ascii="宋体" w:hAnsi="宋体" w:cs="宋体"/>
                <w:color w:val="auto"/>
                <w:sz w:val="24"/>
              </w:rPr>
            </w:pPr>
            <w:r>
              <w:rPr>
                <w:rFonts w:hint="eastAsia" w:ascii="宋体" w:hAnsi="宋体" w:cs="宋体"/>
                <w:color w:val="auto"/>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745FF27A">
            <w:pPr>
              <w:snapToGrid w:val="0"/>
              <w:spacing w:line="360" w:lineRule="auto"/>
              <w:jc w:val="center"/>
              <w:rPr>
                <w:rFonts w:ascii="宋体" w:hAnsi="宋体" w:cs="宋体"/>
                <w:b/>
                <w:color w:val="auto"/>
                <w:sz w:val="24"/>
              </w:rPr>
            </w:pPr>
            <w:r>
              <w:rPr>
                <w:rFonts w:hint="eastAsia" w:ascii="宋体" w:hAnsi="宋体" w:cs="宋体"/>
                <w:b/>
                <w:color w:val="auto"/>
                <w:sz w:val="24"/>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24B532C">
            <w:pPr>
              <w:spacing w:line="360" w:lineRule="auto"/>
              <w:rPr>
                <w:rFonts w:ascii="宋体" w:hAnsi="宋体" w:cs="宋体"/>
                <w:color w:val="auto"/>
                <w:sz w:val="24"/>
              </w:rPr>
            </w:pPr>
            <w:r>
              <w:rPr>
                <w:rFonts w:hint="eastAsia" w:ascii="宋体" w:hAnsi="宋体" w:cs="宋体"/>
                <w:color w:val="auto"/>
                <w:sz w:val="24"/>
                <w:highlight w:val="none"/>
              </w:rPr>
              <w:t>货物类，单一产品或</w:t>
            </w:r>
            <w:r>
              <w:rPr>
                <w:rFonts w:hint="eastAsia" w:ascii="宋体" w:hAnsi="宋体" w:cs="宋体"/>
                <w:color w:val="auto"/>
                <w:kern w:val="0"/>
                <w:sz w:val="24"/>
                <w:highlight w:val="none"/>
              </w:rPr>
              <w:t>核心产品为：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彩窗磁力片 </w:t>
            </w:r>
            <w:r>
              <w:rPr>
                <w:rFonts w:hint="eastAsia" w:ascii="宋体" w:hAnsi="宋体" w:cs="宋体"/>
                <w:color w:val="auto"/>
                <w:sz w:val="24"/>
                <w:highlight w:val="none"/>
              </w:rPr>
              <w:t>。</w:t>
            </w:r>
          </w:p>
        </w:tc>
      </w:tr>
      <w:tr w14:paraId="39C230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03FF8C76">
            <w:pPr>
              <w:snapToGrid w:val="0"/>
              <w:spacing w:line="360" w:lineRule="auto"/>
              <w:jc w:val="center"/>
              <w:rPr>
                <w:rFonts w:ascii="宋体" w:hAnsi="宋体" w:cs="宋体"/>
                <w:color w:val="auto"/>
                <w:sz w:val="24"/>
              </w:rPr>
            </w:pPr>
          </w:p>
          <w:p w14:paraId="70BA8FF7">
            <w:pPr>
              <w:snapToGrid w:val="0"/>
              <w:spacing w:line="360" w:lineRule="auto"/>
              <w:jc w:val="center"/>
              <w:rPr>
                <w:rFonts w:ascii="宋体" w:hAnsi="宋体" w:cs="宋体"/>
                <w:color w:val="auto"/>
                <w:sz w:val="24"/>
              </w:rPr>
            </w:pPr>
            <w:r>
              <w:rPr>
                <w:rFonts w:hint="eastAsia" w:ascii="宋体" w:hAnsi="宋体" w:cs="宋体"/>
                <w:color w:val="auto"/>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48D796FF">
            <w:pPr>
              <w:snapToGrid w:val="0"/>
              <w:spacing w:line="360" w:lineRule="auto"/>
              <w:jc w:val="center"/>
              <w:rPr>
                <w:rFonts w:ascii="宋体" w:hAnsi="宋体" w:cs="宋体"/>
                <w:b/>
                <w:color w:val="auto"/>
                <w:sz w:val="24"/>
              </w:rPr>
            </w:pPr>
            <w:r>
              <w:rPr>
                <w:rFonts w:hint="eastAsia" w:ascii="宋体" w:hAnsi="宋体" w:cs="宋体"/>
                <w:b/>
                <w:color w:val="auto"/>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8167C28">
            <w:pPr>
              <w:snapToGrid w:val="0"/>
              <w:spacing w:line="360" w:lineRule="auto"/>
              <w:rPr>
                <w:rFonts w:ascii="宋体" w:hAnsi="宋体" w:cs="宋体"/>
                <w:color w:val="auto"/>
                <w:kern w:val="0"/>
                <w:sz w:val="24"/>
              </w:rPr>
            </w:pPr>
            <w:r>
              <w:rPr>
                <w:rFonts w:hint="eastAsia" w:ascii="宋体" w:hAnsi="宋体" w:cs="宋体"/>
                <w:color w:val="auto"/>
                <w:kern w:val="0"/>
                <w:sz w:val="24"/>
              </w:rPr>
              <w:t>（1）标的：</w:t>
            </w:r>
            <w:r>
              <w:rPr>
                <w:rFonts w:hint="eastAsia" w:ascii="宋体" w:hAnsi="宋体" w:cs="宋体"/>
                <w:color w:val="auto"/>
                <w:kern w:val="0"/>
                <w:sz w:val="24"/>
                <w:highlight w:val="none"/>
                <w:u w:val="single"/>
              </w:rPr>
              <w:t>货物清单中的全部产品</w:t>
            </w:r>
            <w:r>
              <w:rPr>
                <w:rFonts w:hint="eastAsia" w:ascii="宋体" w:hAnsi="宋体" w:cs="宋体"/>
                <w:color w:val="auto"/>
                <w:kern w:val="0"/>
                <w:sz w:val="24"/>
              </w:rPr>
              <w:t>，属于</w:t>
            </w:r>
            <w:r>
              <w:rPr>
                <w:rFonts w:hint="eastAsia" w:ascii="宋体" w:hAnsi="宋体" w:cs="宋体"/>
                <w:color w:val="auto"/>
                <w:kern w:val="0"/>
                <w:sz w:val="24"/>
                <w:u w:val="single"/>
              </w:rPr>
              <w:t xml:space="preserve"> 工业</w:t>
            </w:r>
            <w:r>
              <w:rPr>
                <w:rFonts w:hint="eastAsia" w:ascii="宋体" w:hAnsi="宋体" w:cs="宋体"/>
                <w:color w:val="auto"/>
                <w:kern w:val="0"/>
                <w:sz w:val="24"/>
              </w:rPr>
              <w:t>行业；</w:t>
            </w:r>
          </w:p>
          <w:p w14:paraId="4D181092">
            <w:pPr>
              <w:pStyle w:val="3"/>
              <w:ind w:left="438" w:leftChars="88" w:hanging="253" w:hangingChars="105"/>
              <w:rPr>
                <w:rFonts w:ascii="宋体" w:hAnsi="宋体" w:eastAsia="宋体" w:cs="宋体"/>
                <w:color w:val="auto"/>
                <w:lang w:val="en-US"/>
              </w:rPr>
            </w:pPr>
            <w:r>
              <w:rPr>
                <w:rFonts w:hint="eastAsia" w:ascii="宋体" w:hAnsi="宋体" w:cs="宋体"/>
                <w:color w:val="auto"/>
                <w:kern w:val="0"/>
                <w:sz w:val="24"/>
                <w:highlight w:val="none"/>
                <w:lang w:val="en-US" w:eastAsia="zh-CN"/>
              </w:rPr>
              <w:t>《关于印发中小企业划型标准规定的通知》（工信部联企业〔2011〕300）：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tc>
      </w:tr>
      <w:tr w14:paraId="7FB6FD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59DD4E0">
            <w:pPr>
              <w:snapToGrid w:val="0"/>
              <w:spacing w:line="360" w:lineRule="auto"/>
              <w:jc w:val="center"/>
              <w:rPr>
                <w:rFonts w:ascii="宋体" w:hAnsi="宋体" w:cs="宋体"/>
                <w:color w:val="auto"/>
                <w:sz w:val="24"/>
              </w:rPr>
            </w:pPr>
          </w:p>
          <w:p w14:paraId="0E57D27B">
            <w:pPr>
              <w:snapToGrid w:val="0"/>
              <w:spacing w:line="360" w:lineRule="auto"/>
              <w:jc w:val="center"/>
              <w:rPr>
                <w:rFonts w:ascii="宋体" w:hAnsi="宋体" w:cs="宋体"/>
                <w:color w:val="auto"/>
                <w:sz w:val="24"/>
              </w:rPr>
            </w:pPr>
          </w:p>
          <w:p w14:paraId="168603A3">
            <w:pPr>
              <w:snapToGrid w:val="0"/>
              <w:spacing w:line="360" w:lineRule="auto"/>
              <w:jc w:val="center"/>
              <w:rPr>
                <w:rFonts w:ascii="宋体" w:hAnsi="宋体" w:cs="宋体"/>
                <w:color w:val="auto"/>
                <w:sz w:val="24"/>
              </w:rPr>
            </w:pPr>
            <w:r>
              <w:rPr>
                <w:rFonts w:hint="eastAsia" w:ascii="宋体" w:hAnsi="宋体" w:cs="宋体"/>
                <w:color w:val="auto"/>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390DBB7">
            <w:pPr>
              <w:snapToGrid w:val="0"/>
              <w:spacing w:line="360" w:lineRule="auto"/>
              <w:jc w:val="center"/>
              <w:rPr>
                <w:rFonts w:ascii="宋体" w:hAnsi="宋体" w:cs="宋体"/>
                <w:b/>
                <w:color w:val="auto"/>
                <w:sz w:val="24"/>
              </w:rPr>
            </w:pPr>
            <w:r>
              <w:rPr>
                <w:rFonts w:hint="eastAsia" w:ascii="宋体" w:hAnsi="宋体" w:cs="宋体"/>
                <w:b/>
                <w:color w:val="auto"/>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699A7429">
            <w:pPr>
              <w:spacing w:line="360" w:lineRule="auto"/>
              <w:rPr>
                <w:rFonts w:ascii="宋体" w:hAnsi="宋体" w:cs="宋体"/>
                <w:color w:val="auto"/>
                <w:kern w:val="0"/>
                <w:sz w:val="24"/>
              </w:rPr>
            </w:pPr>
            <w:sdt>
              <w:sdtPr>
                <w:rPr>
                  <w:rFonts w:hint="eastAsia" w:ascii="宋体" w:hAnsi="宋体" w:cs="宋体"/>
                  <w:color w:val="auto"/>
                  <w:kern w:val="0"/>
                  <w:sz w:val="24"/>
                </w:rPr>
                <w:id w:val="-1828425707"/>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sym w:font="Wingdings" w:char="F0FE"/>
                </w:r>
              </w:sdtContent>
            </w:sdt>
            <w:r>
              <w:rPr>
                <w:rFonts w:hint="eastAsia" w:ascii="宋体" w:hAnsi="宋体" w:cs="宋体"/>
                <w:color w:val="auto"/>
                <w:kern w:val="0"/>
                <w:sz w:val="24"/>
              </w:rPr>
              <w:t>本项目不允许采购进口产品。</w:t>
            </w:r>
          </w:p>
          <w:p w14:paraId="12FB4484">
            <w:pPr>
              <w:spacing w:line="360" w:lineRule="auto"/>
              <w:rPr>
                <w:rFonts w:ascii="宋体" w:hAnsi="宋体" w:cs="宋体"/>
                <w:color w:val="auto"/>
              </w:rPr>
            </w:pPr>
            <w:sdt>
              <w:sdtPr>
                <w:rPr>
                  <w:rFonts w:hint="eastAsia" w:ascii="宋体" w:hAnsi="宋体" w:cs="宋体"/>
                  <w:color w:val="auto"/>
                  <w:kern w:val="0"/>
                  <w:sz w:val="24"/>
                </w:rPr>
                <w:id w:val="-52852824"/>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kern w:val="0"/>
                <w:sz w:val="24"/>
              </w:rPr>
              <w:t>可以就</w:t>
            </w:r>
            <w:r>
              <w:rPr>
                <w:rFonts w:hint="eastAsia" w:ascii="宋体" w:hAnsi="宋体" w:cs="宋体"/>
                <w:color w:val="auto"/>
                <w:sz w:val="24"/>
                <w:u w:val="single"/>
              </w:rPr>
              <w:t xml:space="preserve">    </w:t>
            </w:r>
            <w:r>
              <w:rPr>
                <w:rFonts w:hint="eastAsia" w:ascii="宋体" w:hAnsi="宋体" w:cs="宋体"/>
                <w:color w:val="auto"/>
                <w:kern w:val="0"/>
                <w:sz w:val="24"/>
              </w:rPr>
              <w:t>采购进口产品。</w:t>
            </w:r>
          </w:p>
        </w:tc>
      </w:tr>
      <w:tr w14:paraId="2E1BE8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DA37DD8">
            <w:pPr>
              <w:snapToGrid w:val="0"/>
              <w:spacing w:line="360" w:lineRule="auto"/>
              <w:jc w:val="center"/>
              <w:rPr>
                <w:rFonts w:ascii="宋体" w:hAnsi="宋体" w:cs="宋体"/>
                <w:color w:val="auto"/>
                <w:sz w:val="24"/>
              </w:rPr>
            </w:pPr>
            <w:r>
              <w:rPr>
                <w:rFonts w:hint="eastAsia" w:ascii="宋体" w:hAnsi="宋体" w:cs="宋体"/>
                <w:color w:val="auto"/>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76D158A">
            <w:pPr>
              <w:snapToGrid w:val="0"/>
              <w:spacing w:line="360" w:lineRule="auto"/>
              <w:ind w:firstLine="482" w:firstLineChars="200"/>
              <w:rPr>
                <w:rFonts w:ascii="宋体" w:hAnsi="宋体" w:cs="宋体"/>
                <w:b/>
                <w:color w:val="auto"/>
                <w:sz w:val="24"/>
              </w:rPr>
            </w:pPr>
            <w:r>
              <w:rPr>
                <w:rFonts w:hint="eastAsia" w:ascii="宋体" w:hAnsi="宋体" w:cs="宋体"/>
                <w:b/>
                <w:color w:val="auto"/>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2434639E">
            <w:pPr>
              <w:spacing w:line="360" w:lineRule="auto"/>
              <w:rPr>
                <w:rFonts w:ascii="宋体" w:hAnsi="宋体" w:cs="宋体"/>
                <w:color w:val="auto"/>
                <w:sz w:val="24"/>
              </w:rPr>
            </w:pPr>
            <w:sdt>
              <w:sdtPr>
                <w:rPr>
                  <w:rFonts w:hint="eastAsia" w:ascii="宋体" w:hAnsi="宋体" w:cs="宋体"/>
                  <w:color w:val="auto"/>
                  <w:kern w:val="0"/>
                  <w:sz w:val="24"/>
                </w:rPr>
                <w:id w:val="-1477286927"/>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ascii="Wingdings" w:hAnsi="Wingdings" w:cs="宋体"/>
                    <w:color w:val="auto"/>
                    <w:kern w:val="0"/>
                    <w:sz w:val="24"/>
                  </w:rPr>
                  <w:t></w:t>
                </w:r>
              </w:sdtContent>
            </w:sdt>
            <w:r>
              <w:rPr>
                <w:rFonts w:hint="eastAsia" w:ascii="宋体" w:hAnsi="宋体" w:cs="宋体"/>
                <w:color w:val="auto"/>
                <w:kern w:val="0"/>
                <w:sz w:val="24"/>
              </w:rPr>
              <w:t xml:space="preserve"> A</w:t>
            </w:r>
            <w:r>
              <w:rPr>
                <w:rFonts w:hint="eastAsia" w:ascii="宋体" w:hAnsi="宋体" w:cs="宋体"/>
                <w:color w:val="auto"/>
                <w:sz w:val="24"/>
              </w:rPr>
              <w:t>同意将非主体、非关键性的</w:t>
            </w:r>
            <w:r>
              <w:rPr>
                <w:rFonts w:hint="eastAsia" w:ascii="宋体" w:hAnsi="宋体" w:cs="宋体"/>
                <w:color w:val="auto"/>
                <w:sz w:val="24"/>
                <w:u w:val="single"/>
              </w:rPr>
              <w:t xml:space="preserve">    运输   </w:t>
            </w:r>
            <w:r>
              <w:rPr>
                <w:rFonts w:hint="eastAsia" w:ascii="宋体" w:hAnsi="宋体" w:cs="宋体"/>
                <w:color w:val="auto"/>
                <w:sz w:val="24"/>
              </w:rPr>
              <w:t>工作分包。</w:t>
            </w:r>
            <w:sdt>
              <w:sdtPr>
                <w:rPr>
                  <w:rFonts w:hint="eastAsia" w:ascii="宋体" w:hAnsi="宋体" w:cs="宋体"/>
                  <w:color w:val="auto"/>
                  <w:kern w:val="0"/>
                  <w:sz w:val="24"/>
                </w:rPr>
                <w:id w:val="-1276331357"/>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cs="宋体"/>
                    <w:color w:val="auto"/>
                    <w:kern w:val="0"/>
                    <w:sz w:val="24"/>
                  </w:rPr>
                  <w:t>☐</w:t>
                </w:r>
              </w:sdtContent>
            </w:sdt>
            <w:r>
              <w:rPr>
                <w:rFonts w:hint="eastAsia" w:ascii="宋体" w:hAnsi="宋体" w:cs="宋体"/>
                <w:color w:val="auto"/>
                <w:kern w:val="0"/>
                <w:sz w:val="24"/>
              </w:rPr>
              <w:t xml:space="preserve"> B</w:t>
            </w:r>
            <w:r>
              <w:rPr>
                <w:rFonts w:hint="eastAsia" w:ascii="宋体" w:hAnsi="宋体" w:cs="宋体"/>
                <w:color w:val="auto"/>
                <w:sz w:val="24"/>
              </w:rPr>
              <w:t>不同意分包。</w:t>
            </w:r>
          </w:p>
          <w:p w14:paraId="4E27C8D1">
            <w:pPr>
              <w:spacing w:line="360" w:lineRule="auto"/>
              <w:rPr>
                <w:rFonts w:ascii="宋体" w:hAnsi="宋体" w:cs="宋体"/>
                <w:color w:val="auto"/>
                <w:sz w:val="24"/>
              </w:rPr>
            </w:pPr>
            <w:r>
              <w:rPr>
                <w:rFonts w:hint="eastAsia" w:ascii="宋体" w:hAnsi="宋体" w:cs="宋体"/>
                <w:color w:val="auto"/>
                <w:sz w:val="24"/>
              </w:rPr>
              <w:t>注：不得限制大中型企业向小微企业合理分包。</w:t>
            </w:r>
          </w:p>
        </w:tc>
      </w:tr>
      <w:tr w14:paraId="4E23C2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74C01BC0">
            <w:pPr>
              <w:snapToGrid w:val="0"/>
              <w:spacing w:line="360" w:lineRule="auto"/>
              <w:jc w:val="center"/>
              <w:rPr>
                <w:rFonts w:ascii="宋体" w:hAnsi="宋体" w:cs="宋体"/>
                <w:color w:val="auto"/>
                <w:sz w:val="24"/>
              </w:rPr>
            </w:pPr>
          </w:p>
          <w:p w14:paraId="0DA587C2">
            <w:pPr>
              <w:snapToGrid w:val="0"/>
              <w:spacing w:line="360" w:lineRule="auto"/>
              <w:jc w:val="center"/>
              <w:rPr>
                <w:rFonts w:ascii="宋体" w:hAnsi="宋体" w:cs="宋体"/>
                <w:color w:val="auto"/>
                <w:sz w:val="24"/>
              </w:rPr>
            </w:pPr>
          </w:p>
          <w:p w14:paraId="24E286C4">
            <w:pPr>
              <w:snapToGrid w:val="0"/>
              <w:spacing w:line="360" w:lineRule="auto"/>
              <w:jc w:val="center"/>
              <w:rPr>
                <w:rFonts w:ascii="宋体" w:hAnsi="宋体" w:cs="宋体"/>
                <w:color w:val="auto"/>
                <w:sz w:val="24"/>
              </w:rPr>
            </w:pPr>
            <w:r>
              <w:rPr>
                <w:rFonts w:hint="eastAsia" w:ascii="宋体" w:hAnsi="宋体" w:cs="宋体"/>
                <w:color w:val="auto"/>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41A5963D">
            <w:pPr>
              <w:snapToGrid w:val="0"/>
              <w:spacing w:line="360" w:lineRule="auto"/>
              <w:jc w:val="center"/>
              <w:rPr>
                <w:rFonts w:ascii="宋体" w:hAnsi="宋体" w:cs="宋体"/>
                <w:b/>
                <w:color w:val="auto"/>
                <w:sz w:val="24"/>
              </w:rPr>
            </w:pPr>
            <w:r>
              <w:rPr>
                <w:rFonts w:hint="eastAsia" w:ascii="宋体" w:hAnsi="宋体" w:cs="宋体"/>
                <w:b/>
                <w:color w:val="auto"/>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2FB0A24D">
            <w:pPr>
              <w:spacing w:line="360" w:lineRule="auto"/>
              <w:rPr>
                <w:rFonts w:hint="eastAsia" w:ascii="宋体" w:hAnsi="宋体" w:eastAsia="宋体" w:cs="宋体"/>
                <w:color w:val="auto"/>
                <w:sz w:val="24"/>
              </w:rPr>
            </w:pPr>
            <w:r>
              <w:rPr>
                <w:rFonts w:hint="eastAsia" w:ascii="Wingdings" w:hAnsi="Wingdings" w:eastAsia="宋体" w:cs="宋体"/>
                <w:color w:val="auto"/>
                <w:kern w:val="2"/>
                <w:sz w:val="24"/>
                <w:szCs w:val="24"/>
                <w:lang w:val="en-US" w:eastAsia="zh-CN" w:bidi="ar-SA"/>
              </w:rPr>
              <w:sym w:font="Wingdings" w:char="00FE"/>
            </w:r>
            <w:r>
              <w:rPr>
                <w:rFonts w:hint="eastAsia" w:ascii="宋体" w:hAnsi="宋体" w:eastAsia="宋体" w:cs="宋体"/>
                <w:color w:val="auto"/>
                <w:sz w:val="24"/>
              </w:rPr>
              <w:t>A不组织。</w:t>
            </w:r>
          </w:p>
          <w:p w14:paraId="5E9550D0">
            <w:pPr>
              <w:spacing w:line="360" w:lineRule="auto"/>
              <w:rPr>
                <w:rFonts w:hint="eastAsia" w:ascii="宋体" w:hAnsi="宋体" w:eastAsia="宋体" w:cs="宋体"/>
                <w:color w:val="auto"/>
                <w:sz w:val="24"/>
              </w:rPr>
            </w:pPr>
            <w:r>
              <w:rPr>
                <w:rFonts w:hint="eastAsia" w:ascii="Wingdings" w:hAnsi="Wingdings" w:eastAsia="宋体" w:cs="宋体"/>
                <w:color w:val="auto"/>
                <w:kern w:val="2"/>
                <w:sz w:val="24"/>
                <w:szCs w:val="24"/>
                <w:lang w:val="en-US" w:eastAsia="zh-CN" w:bidi="ar-SA"/>
              </w:rPr>
              <w:sym w:font="Wingdings" w:char="00A8"/>
            </w:r>
            <w:r>
              <w:rPr>
                <w:rFonts w:hint="eastAsia" w:ascii="宋体" w:hAnsi="宋体" w:eastAsia="宋体" w:cs="宋体"/>
                <w:color w:val="auto"/>
                <w:sz w:val="24"/>
              </w:rPr>
              <w:t>B组织，时间：      ,地点：      ，联系人：      ，联系方式：      。</w:t>
            </w:r>
          </w:p>
          <w:p w14:paraId="6FD4008F">
            <w:pPr>
              <w:spacing w:line="360" w:lineRule="auto"/>
              <w:rPr>
                <w:rFonts w:hint="eastAsia" w:ascii="宋体" w:hAnsi="宋体" w:eastAsia="宋体" w:cs="宋体"/>
                <w:color w:val="auto"/>
                <w:sz w:val="24"/>
                <w:highlight w:val="none"/>
              </w:rPr>
            </w:pPr>
            <w:r>
              <w:rPr>
                <w:rFonts w:hint="eastAsia" w:ascii="Wingdings" w:hAnsi="Wingdings" w:eastAsia="宋体" w:cs="宋体"/>
                <w:color w:val="auto"/>
                <w:kern w:val="2"/>
                <w:sz w:val="24"/>
                <w:szCs w:val="24"/>
                <w:highlight w:val="none"/>
                <w:lang w:val="en-US" w:eastAsia="zh-CN" w:bidi="ar-SA"/>
              </w:rPr>
              <w:sym w:font="Wingdings" w:char="00A8"/>
            </w:r>
            <w:r>
              <w:rPr>
                <w:rFonts w:hint="eastAsia" w:ascii="宋体" w:hAnsi="宋体" w:eastAsia="宋体" w:cs="宋体"/>
                <w:color w:val="auto"/>
                <w:sz w:val="24"/>
                <w:highlight w:val="none"/>
              </w:rPr>
              <w:t>C不统一组织，供应商在获取采购文件后，自行至项目现场考察。地点：</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，联系人： ，联系方式： 。</w:t>
            </w:r>
          </w:p>
          <w:p w14:paraId="7FCB2FFF">
            <w:pPr>
              <w:pStyle w:val="79"/>
              <w:rPr>
                <w:color w:val="auto"/>
              </w:rPr>
            </w:pPr>
          </w:p>
        </w:tc>
      </w:tr>
      <w:tr w14:paraId="7A2C4D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7D0C6D28">
            <w:pPr>
              <w:snapToGrid w:val="0"/>
              <w:spacing w:line="360" w:lineRule="auto"/>
              <w:jc w:val="center"/>
              <w:rPr>
                <w:rFonts w:ascii="宋体" w:hAnsi="宋体" w:cs="宋体"/>
                <w:color w:val="auto"/>
                <w:sz w:val="24"/>
              </w:rPr>
            </w:pPr>
          </w:p>
          <w:p w14:paraId="0A9BB194">
            <w:pPr>
              <w:snapToGrid w:val="0"/>
              <w:spacing w:line="360" w:lineRule="auto"/>
              <w:jc w:val="center"/>
              <w:rPr>
                <w:rFonts w:ascii="宋体" w:hAnsi="宋体" w:cs="宋体"/>
                <w:color w:val="auto"/>
                <w:sz w:val="24"/>
              </w:rPr>
            </w:pPr>
          </w:p>
          <w:p w14:paraId="0C366A88">
            <w:pPr>
              <w:snapToGrid w:val="0"/>
              <w:spacing w:line="360" w:lineRule="auto"/>
              <w:jc w:val="center"/>
              <w:rPr>
                <w:rFonts w:ascii="宋体" w:hAnsi="宋体" w:cs="宋体"/>
                <w:color w:val="auto"/>
                <w:sz w:val="24"/>
              </w:rPr>
            </w:pPr>
          </w:p>
          <w:p w14:paraId="7D6459D7">
            <w:pPr>
              <w:snapToGrid w:val="0"/>
              <w:spacing w:line="360" w:lineRule="auto"/>
              <w:jc w:val="center"/>
              <w:rPr>
                <w:rFonts w:ascii="宋体" w:hAnsi="宋体" w:cs="宋体"/>
                <w:color w:val="auto"/>
                <w:sz w:val="24"/>
              </w:rPr>
            </w:pPr>
          </w:p>
          <w:p w14:paraId="33E1037C">
            <w:pPr>
              <w:snapToGrid w:val="0"/>
              <w:spacing w:line="360" w:lineRule="auto"/>
              <w:jc w:val="center"/>
              <w:rPr>
                <w:rFonts w:ascii="宋体" w:hAnsi="宋体" w:cs="宋体"/>
                <w:color w:val="auto"/>
                <w:sz w:val="24"/>
              </w:rPr>
            </w:pPr>
          </w:p>
          <w:p w14:paraId="2CC998E0">
            <w:pPr>
              <w:snapToGrid w:val="0"/>
              <w:spacing w:line="360" w:lineRule="auto"/>
              <w:jc w:val="center"/>
              <w:rPr>
                <w:rFonts w:ascii="宋体" w:hAnsi="宋体" w:cs="宋体"/>
                <w:color w:val="auto"/>
                <w:sz w:val="24"/>
              </w:rPr>
            </w:pPr>
          </w:p>
          <w:p w14:paraId="399D0EF4">
            <w:pPr>
              <w:snapToGrid w:val="0"/>
              <w:spacing w:line="360" w:lineRule="auto"/>
              <w:jc w:val="center"/>
              <w:rPr>
                <w:rFonts w:ascii="宋体" w:hAnsi="宋体" w:cs="宋体"/>
                <w:color w:val="auto"/>
                <w:sz w:val="24"/>
              </w:rPr>
            </w:pPr>
          </w:p>
          <w:p w14:paraId="3B79EA2A">
            <w:pPr>
              <w:snapToGrid w:val="0"/>
              <w:spacing w:line="360" w:lineRule="auto"/>
              <w:jc w:val="center"/>
              <w:rPr>
                <w:rFonts w:ascii="宋体" w:hAnsi="宋体" w:cs="宋体"/>
                <w:color w:val="auto"/>
                <w:sz w:val="24"/>
              </w:rPr>
            </w:pPr>
          </w:p>
          <w:p w14:paraId="53B73713">
            <w:pPr>
              <w:snapToGrid w:val="0"/>
              <w:spacing w:line="360" w:lineRule="auto"/>
              <w:jc w:val="center"/>
              <w:rPr>
                <w:rFonts w:ascii="宋体" w:hAnsi="宋体" w:cs="宋体"/>
                <w:color w:val="auto"/>
                <w:sz w:val="24"/>
              </w:rPr>
            </w:pPr>
          </w:p>
          <w:p w14:paraId="0903C2FE">
            <w:pPr>
              <w:snapToGrid w:val="0"/>
              <w:spacing w:line="360" w:lineRule="auto"/>
              <w:jc w:val="center"/>
              <w:rPr>
                <w:rFonts w:ascii="宋体" w:hAnsi="宋体" w:cs="宋体"/>
                <w:color w:val="auto"/>
                <w:sz w:val="24"/>
              </w:rPr>
            </w:pPr>
            <w:r>
              <w:rPr>
                <w:rFonts w:hint="eastAsia" w:ascii="宋体" w:hAnsi="宋体" w:cs="宋体"/>
                <w:color w:val="auto"/>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10F8C17E">
            <w:pPr>
              <w:snapToGrid w:val="0"/>
              <w:spacing w:line="360" w:lineRule="auto"/>
              <w:jc w:val="center"/>
              <w:rPr>
                <w:rFonts w:ascii="宋体" w:hAnsi="宋体" w:cs="宋体"/>
                <w:b/>
                <w:color w:val="auto"/>
                <w:sz w:val="24"/>
              </w:rPr>
            </w:pPr>
            <w:r>
              <w:rPr>
                <w:rFonts w:hint="eastAsia" w:ascii="宋体" w:hAnsi="宋体" w:cs="宋体"/>
                <w:b/>
                <w:color w:val="auto"/>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33DABC31">
            <w:pPr>
              <w:spacing w:line="360" w:lineRule="auto"/>
              <w:outlineLvl w:val="0"/>
              <w:rPr>
                <w:rFonts w:ascii="宋体" w:hAnsi="宋体" w:cs="宋体"/>
                <w:color w:val="auto"/>
                <w:sz w:val="24"/>
              </w:rPr>
            </w:pPr>
            <w:sdt>
              <w:sdtPr>
                <w:rPr>
                  <w:rFonts w:hint="eastAsia" w:ascii="宋体" w:hAnsi="宋体" w:cs="宋体"/>
                  <w:color w:val="auto"/>
                  <w:kern w:val="0"/>
                  <w:sz w:val="24"/>
                </w:rPr>
                <w:id w:val="-1639946486"/>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kern w:val="0"/>
                <w:sz w:val="24"/>
              </w:rPr>
              <w:t>A</w:t>
            </w:r>
            <w:r>
              <w:rPr>
                <w:rFonts w:hint="eastAsia" w:ascii="宋体" w:hAnsi="宋体" w:cs="宋体"/>
                <w:color w:val="auto"/>
                <w:sz w:val="24"/>
              </w:rPr>
              <w:t>不要求提供。</w:t>
            </w:r>
          </w:p>
          <w:p w14:paraId="61FC1622">
            <w:pPr>
              <w:spacing w:line="360" w:lineRule="auto"/>
              <w:outlineLvl w:val="0"/>
              <w:rPr>
                <w:rFonts w:ascii="宋体" w:hAnsi="宋体" w:cs="宋体"/>
                <w:color w:val="auto"/>
                <w:kern w:val="0"/>
                <w:sz w:val="24"/>
              </w:rPr>
            </w:pPr>
            <w:sdt>
              <w:sdtPr>
                <w:rPr>
                  <w:rFonts w:hint="eastAsia" w:ascii="宋体" w:hAnsi="宋体" w:cs="宋体"/>
                  <w:color w:val="auto"/>
                  <w:kern w:val="0"/>
                  <w:sz w:val="24"/>
                </w:rPr>
                <w:id w:val="1026831988"/>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ascii="宋体" w:hAnsi="宋体" w:cs="宋体"/>
                <w:color w:val="auto"/>
                <w:kern w:val="0"/>
                <w:sz w:val="24"/>
              </w:rPr>
              <w:t>B要求提供，</w:t>
            </w:r>
          </w:p>
          <w:p w14:paraId="55814FFE">
            <w:pPr>
              <w:spacing w:line="360" w:lineRule="auto"/>
              <w:outlineLvl w:val="0"/>
              <w:rPr>
                <w:rFonts w:hint="eastAsia" w:ascii="宋体" w:hAnsi="宋体" w:cs="宋体"/>
                <w:color w:val="auto"/>
                <w:kern w:val="2"/>
                <w:sz w:val="24"/>
                <w:highlight w:val="none"/>
                <w:u w:val="single"/>
              </w:rPr>
            </w:pPr>
            <w:r>
              <w:rPr>
                <w:rFonts w:hint="eastAsia" w:ascii="宋体" w:hAnsi="宋体" w:cs="宋体"/>
                <w:color w:val="auto"/>
                <w:kern w:val="0"/>
                <w:sz w:val="24"/>
              </w:rPr>
              <w:t>（</w:t>
            </w: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b w:val="0"/>
                <w:bCs w:val="0"/>
                <w:color w:val="auto"/>
                <w:sz w:val="24"/>
                <w:highlight w:val="none"/>
                <w:u w:val="single"/>
              </w:rPr>
              <w:t>（</w:t>
            </w:r>
            <w:r>
              <w:rPr>
                <w:rFonts w:hint="eastAsia" w:ascii="宋体" w:hAnsi="宋体" w:cs="宋体"/>
                <w:b w:val="0"/>
                <w:bCs w:val="0"/>
                <w:color w:val="auto"/>
                <w:sz w:val="24"/>
                <w:highlight w:val="none"/>
                <w:u w:val="single"/>
                <w:lang w:val="en-US" w:eastAsia="zh-CN"/>
              </w:rPr>
              <w:t>1</w:t>
            </w:r>
            <w:r>
              <w:rPr>
                <w:rFonts w:hint="eastAsia" w:ascii="宋体" w:hAnsi="宋体" w:cs="宋体"/>
                <w:b w:val="0"/>
                <w:bCs w:val="0"/>
                <w:color w:val="auto"/>
                <w:sz w:val="24"/>
                <w:highlight w:val="none"/>
                <w:u w:val="single"/>
              </w:rPr>
              <w:t>）</w:t>
            </w:r>
            <w:r>
              <w:rPr>
                <w:rFonts w:hint="eastAsia" w:ascii="宋体" w:hAnsi="宋体" w:cs="宋体"/>
                <w:b w:val="0"/>
                <w:bCs w:val="0"/>
                <w:color w:val="auto"/>
                <w:sz w:val="24"/>
                <w:highlight w:val="none"/>
                <w:u w:val="single"/>
                <w:lang w:val="en-US" w:eastAsia="zh-CN"/>
              </w:rPr>
              <w:t>起重机</w:t>
            </w:r>
            <w:r>
              <w:rPr>
                <w:rFonts w:hint="eastAsia" w:ascii="宋体" w:hAnsi="宋体" w:cs="宋体"/>
                <w:b w:val="0"/>
                <w:bCs w:val="0"/>
                <w:color w:val="auto"/>
                <w:sz w:val="24"/>
                <w:highlight w:val="none"/>
                <w:u w:val="single"/>
              </w:rPr>
              <w:t>（3）</w:t>
            </w:r>
            <w:r>
              <w:rPr>
                <w:rFonts w:hint="eastAsia" w:ascii="宋体" w:hAnsi="宋体" w:cs="宋体"/>
                <w:b w:val="0"/>
                <w:bCs w:val="0"/>
                <w:color w:val="auto"/>
                <w:sz w:val="24"/>
                <w:highlight w:val="none"/>
                <w:u w:val="single"/>
                <w:lang w:val="en-US" w:eastAsia="zh-CN"/>
              </w:rPr>
              <w:t>木制扮演交通车</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lang w:val="en-US" w:eastAsia="zh-CN"/>
              </w:rPr>
              <w:t>3</w:t>
            </w:r>
            <w:r>
              <w:rPr>
                <w:rFonts w:hint="eastAsia" w:ascii="宋体" w:hAnsi="宋体" w:cs="宋体"/>
                <w:color w:val="auto"/>
                <w:sz w:val="24"/>
                <w:highlight w:val="none"/>
                <w:u w:val="single"/>
                <w:lang w:eastAsia="zh-CN"/>
              </w:rPr>
              <w:t>）</w:t>
            </w:r>
            <w:r>
              <w:rPr>
                <w:rFonts w:hint="eastAsia" w:ascii="宋体" w:hAnsi="宋体" w:eastAsia="宋体" w:cs="宋体"/>
                <w:i w:val="0"/>
                <w:iCs w:val="0"/>
                <w:color w:val="auto"/>
                <w:kern w:val="0"/>
                <w:sz w:val="24"/>
                <w:szCs w:val="24"/>
                <w:highlight w:val="none"/>
                <w:u w:val="none"/>
                <w:lang w:val="en-US" w:eastAsia="zh-CN" w:bidi="ar"/>
              </w:rPr>
              <w:t>行星投影仪</w:t>
            </w:r>
            <w:r>
              <w:rPr>
                <w:rFonts w:hint="eastAsia" w:ascii="宋体" w:hAnsi="宋体" w:cs="宋体"/>
                <w:color w:val="auto"/>
                <w:kern w:val="2"/>
                <w:sz w:val="24"/>
                <w:highlight w:val="none"/>
                <w:u w:val="single"/>
              </w:rPr>
              <w:t>；</w:t>
            </w:r>
          </w:p>
          <w:p w14:paraId="34597FE9">
            <w:pPr>
              <w:spacing w:line="360" w:lineRule="auto"/>
              <w:outlineLvl w:val="0"/>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详见第三部分采购需求</w:t>
            </w:r>
            <w:r>
              <w:rPr>
                <w:rFonts w:hint="eastAsia" w:ascii="宋体" w:hAnsi="宋体" w:cs="宋体"/>
                <w:color w:val="auto"/>
                <w:kern w:val="0"/>
                <w:sz w:val="24"/>
                <w:highlight w:val="none"/>
              </w:rPr>
              <w:t>；</w:t>
            </w:r>
          </w:p>
          <w:p w14:paraId="44457B2E">
            <w:pPr>
              <w:spacing w:line="360" w:lineRule="auto"/>
              <w:outlineLvl w:val="0"/>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160A6F4D">
            <w:pPr>
              <w:spacing w:line="360" w:lineRule="auto"/>
              <w:outlineLvl w:val="0"/>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449A981B">
            <w:pPr>
              <w:spacing w:line="360" w:lineRule="auto"/>
              <w:outlineLvl w:val="0"/>
              <w:rPr>
                <w:rFonts w:ascii="宋体" w:hAnsi="宋体" w:cs="宋体"/>
                <w:color w:val="auto"/>
                <w:sz w:val="24"/>
              </w:rPr>
            </w:pPr>
            <w:r>
              <w:rPr>
                <w:rFonts w:hint="eastAsia" w:ascii="宋体" w:hAnsi="宋体" w:cs="宋体"/>
                <w:color w:val="auto"/>
                <w:sz w:val="24"/>
                <w:highlight w:val="none"/>
              </w:rPr>
              <w:t>（5）提供样品的时间：</w:t>
            </w:r>
            <w:r>
              <w:rPr>
                <w:rFonts w:hint="eastAsia" w:ascii="宋体" w:hAnsi="宋体" w:cs="宋体"/>
                <w:b/>
                <w:bCs/>
                <w:color w:val="auto"/>
                <w:sz w:val="24"/>
                <w:highlight w:val="none"/>
                <w:u w:val="single"/>
              </w:rPr>
              <w:t>202</w:t>
            </w:r>
            <w:r>
              <w:rPr>
                <w:rFonts w:hint="eastAsia" w:ascii="宋体" w:hAnsi="宋体" w:cs="宋体"/>
                <w:b/>
                <w:bCs/>
                <w:color w:val="auto"/>
                <w:sz w:val="24"/>
                <w:highlight w:val="none"/>
                <w:u w:val="single"/>
                <w:lang w:val="en-US" w:eastAsia="zh-CN"/>
              </w:rPr>
              <w:t>5</w:t>
            </w:r>
            <w:r>
              <w:rPr>
                <w:rFonts w:hint="eastAsia" w:ascii="宋体" w:hAnsi="宋体" w:cs="宋体"/>
                <w:b/>
                <w:bCs/>
                <w:color w:val="auto"/>
                <w:sz w:val="24"/>
                <w:highlight w:val="none"/>
                <w:u w:val="single"/>
              </w:rPr>
              <w:t>年</w:t>
            </w:r>
            <w:r>
              <w:rPr>
                <w:rFonts w:hint="eastAsia" w:ascii="宋体" w:hAnsi="宋体" w:cs="宋体"/>
                <w:b/>
                <w:bCs/>
                <w:color w:val="auto"/>
                <w:sz w:val="24"/>
                <w:highlight w:val="none"/>
                <w:u w:val="single"/>
                <w:lang w:val="en-US" w:eastAsia="zh-CN"/>
              </w:rPr>
              <w:t>4</w:t>
            </w:r>
            <w:r>
              <w:rPr>
                <w:rFonts w:hint="eastAsia" w:ascii="宋体" w:hAnsi="宋体" w:cs="宋体"/>
                <w:b/>
                <w:bCs/>
                <w:color w:val="auto"/>
                <w:sz w:val="24"/>
                <w:highlight w:val="none"/>
                <w:u w:val="single"/>
              </w:rPr>
              <w:t>月</w:t>
            </w:r>
            <w:r>
              <w:rPr>
                <w:rFonts w:hint="eastAsia" w:ascii="宋体" w:hAnsi="宋体" w:cs="宋体"/>
                <w:b/>
                <w:bCs/>
                <w:color w:val="auto"/>
                <w:sz w:val="24"/>
                <w:highlight w:val="none"/>
                <w:u w:val="single"/>
                <w:lang w:val="en-US" w:eastAsia="zh-CN"/>
              </w:rPr>
              <w:t>22</w:t>
            </w:r>
            <w:r>
              <w:rPr>
                <w:rFonts w:hint="eastAsia" w:ascii="宋体" w:hAnsi="宋体" w:cs="宋体"/>
                <w:b/>
                <w:bCs/>
                <w:color w:val="auto"/>
                <w:sz w:val="24"/>
                <w:highlight w:val="none"/>
                <w:u w:val="single"/>
              </w:rPr>
              <w:t>日</w:t>
            </w:r>
            <w:r>
              <w:rPr>
                <w:rFonts w:hint="eastAsia" w:ascii="宋体" w:hAnsi="宋体" w:cs="宋体"/>
                <w:b/>
                <w:bCs/>
                <w:color w:val="auto"/>
                <w:sz w:val="24"/>
                <w:highlight w:val="none"/>
                <w:u w:val="single"/>
                <w:lang w:val="en-US" w:eastAsia="zh-CN"/>
              </w:rPr>
              <w:t>10</w:t>
            </w:r>
            <w:r>
              <w:rPr>
                <w:rFonts w:hint="eastAsia" w:ascii="宋体" w:hAnsi="宋体" w:cs="宋体"/>
                <w:b/>
                <w:bCs/>
                <w:color w:val="auto"/>
                <w:sz w:val="24"/>
                <w:highlight w:val="none"/>
                <w:u w:val="single"/>
              </w:rPr>
              <w:t>点00分00秒至202</w:t>
            </w:r>
            <w:r>
              <w:rPr>
                <w:rFonts w:hint="eastAsia" w:ascii="宋体" w:hAnsi="宋体" w:cs="宋体"/>
                <w:b/>
                <w:bCs/>
                <w:color w:val="auto"/>
                <w:sz w:val="24"/>
                <w:highlight w:val="none"/>
                <w:u w:val="single"/>
                <w:lang w:val="en-US" w:eastAsia="zh-CN"/>
              </w:rPr>
              <w:t>5</w:t>
            </w:r>
            <w:r>
              <w:rPr>
                <w:rFonts w:hint="eastAsia" w:ascii="宋体" w:hAnsi="宋体" w:cs="宋体"/>
                <w:b/>
                <w:bCs/>
                <w:color w:val="auto"/>
                <w:sz w:val="24"/>
                <w:highlight w:val="none"/>
                <w:u w:val="single"/>
              </w:rPr>
              <w:t>年</w:t>
            </w:r>
            <w:r>
              <w:rPr>
                <w:rFonts w:hint="eastAsia" w:ascii="宋体" w:hAnsi="宋体" w:cs="宋体"/>
                <w:b/>
                <w:bCs/>
                <w:color w:val="auto"/>
                <w:sz w:val="24"/>
                <w:highlight w:val="none"/>
                <w:u w:val="single"/>
                <w:lang w:val="en-US" w:eastAsia="zh-CN"/>
              </w:rPr>
              <w:t>4</w:t>
            </w:r>
            <w:r>
              <w:rPr>
                <w:rFonts w:hint="eastAsia" w:ascii="宋体" w:hAnsi="宋体" w:cs="宋体"/>
                <w:b/>
                <w:bCs/>
                <w:color w:val="auto"/>
                <w:sz w:val="24"/>
                <w:highlight w:val="none"/>
                <w:u w:val="single"/>
              </w:rPr>
              <w:t>月</w:t>
            </w:r>
            <w:r>
              <w:rPr>
                <w:rFonts w:hint="eastAsia" w:ascii="宋体" w:hAnsi="宋体" w:cs="宋体"/>
                <w:b/>
                <w:bCs/>
                <w:color w:val="auto"/>
                <w:sz w:val="24"/>
                <w:highlight w:val="none"/>
                <w:u w:val="single"/>
                <w:lang w:val="en-US" w:eastAsia="zh-CN"/>
              </w:rPr>
              <w:t>22</w:t>
            </w:r>
            <w:r>
              <w:rPr>
                <w:rFonts w:hint="eastAsia" w:ascii="宋体" w:hAnsi="宋体" w:cs="宋体"/>
                <w:b/>
                <w:bCs/>
                <w:color w:val="auto"/>
                <w:sz w:val="24"/>
                <w:highlight w:val="none"/>
                <w:u w:val="single"/>
              </w:rPr>
              <w:t>日</w:t>
            </w:r>
            <w:r>
              <w:rPr>
                <w:rFonts w:hint="eastAsia" w:ascii="宋体" w:hAnsi="宋体" w:cs="宋体"/>
                <w:b/>
                <w:bCs/>
                <w:color w:val="auto"/>
                <w:sz w:val="24"/>
                <w:highlight w:val="none"/>
                <w:u w:val="single"/>
                <w:lang w:val="en-US" w:eastAsia="zh-CN"/>
              </w:rPr>
              <w:t>13</w:t>
            </w:r>
            <w:r>
              <w:rPr>
                <w:rFonts w:hint="eastAsia" w:ascii="宋体" w:hAnsi="宋体" w:cs="宋体"/>
                <w:b/>
                <w:bCs/>
                <w:color w:val="auto"/>
                <w:sz w:val="24"/>
                <w:highlight w:val="none"/>
                <w:u w:val="single"/>
              </w:rPr>
              <w:t>点</w:t>
            </w:r>
            <w:r>
              <w:rPr>
                <w:rFonts w:hint="eastAsia" w:ascii="宋体" w:hAnsi="宋体" w:cs="宋体"/>
                <w:b/>
                <w:bCs/>
                <w:color w:val="auto"/>
                <w:sz w:val="24"/>
                <w:highlight w:val="none"/>
                <w:u w:val="single"/>
                <w:lang w:val="en-US" w:eastAsia="zh-CN"/>
              </w:rPr>
              <w:t>00</w:t>
            </w:r>
            <w:r>
              <w:rPr>
                <w:rFonts w:hint="eastAsia" w:ascii="宋体" w:hAnsi="宋体" w:cs="宋体"/>
                <w:b/>
                <w:bCs/>
                <w:color w:val="auto"/>
                <w:sz w:val="24"/>
                <w:highlight w:val="none"/>
                <w:u w:val="single"/>
              </w:rPr>
              <w:t>分00秒</w:t>
            </w:r>
            <w:r>
              <w:rPr>
                <w:rFonts w:hint="eastAsia" w:ascii="宋体" w:hAnsi="宋体" w:cs="宋体"/>
                <w:color w:val="auto"/>
                <w:kern w:val="0"/>
                <w:sz w:val="24"/>
                <w:highlight w:val="none"/>
              </w:rPr>
              <w:t>；地点</w:t>
            </w:r>
            <w:r>
              <w:rPr>
                <w:rFonts w:hint="eastAsia" w:ascii="宋体" w:hAnsi="宋体" w:cs="宋体"/>
                <w:color w:val="auto"/>
                <w:kern w:val="0"/>
                <w:sz w:val="24"/>
              </w:rPr>
              <w:t>：杭州市文一西路558号绿城西溪诚园诚公馆1号楼9楼；联系人</w:t>
            </w:r>
            <w:r>
              <w:rPr>
                <w:rFonts w:hint="eastAsia" w:ascii="宋体" w:hAnsi="宋体" w:cs="宋体"/>
                <w:color w:val="auto"/>
                <w:sz w:val="24"/>
              </w:rPr>
              <w:t>：</w:t>
            </w:r>
            <w:r>
              <w:rPr>
                <w:rFonts w:hint="eastAsia" w:ascii="宋体" w:hAnsi="宋体" w:cs="宋体"/>
                <w:color w:val="auto"/>
                <w:sz w:val="24"/>
                <w:u w:val="single"/>
              </w:rPr>
              <w:t>张琛</w:t>
            </w:r>
            <w:r>
              <w:rPr>
                <w:rFonts w:hint="eastAsia" w:ascii="宋体" w:hAnsi="宋体" w:cs="宋体"/>
                <w:color w:val="auto"/>
                <w:sz w:val="24"/>
              </w:rPr>
              <w:t>，</w:t>
            </w:r>
            <w:r>
              <w:rPr>
                <w:rFonts w:hint="eastAsia" w:ascii="宋体" w:hAnsi="宋体" w:cs="宋体"/>
                <w:color w:val="auto"/>
                <w:kern w:val="28"/>
                <w:sz w:val="24"/>
              </w:rPr>
              <w:t>联系电话：</w:t>
            </w:r>
            <w:r>
              <w:rPr>
                <w:rFonts w:hint="eastAsia" w:ascii="宋体" w:hAnsi="宋体" w:cs="宋体"/>
                <w:color w:val="auto"/>
                <w:sz w:val="24"/>
                <w:u w:val="single"/>
              </w:rPr>
              <w:t>13758250560</w:t>
            </w:r>
            <w:r>
              <w:rPr>
                <w:rFonts w:hint="eastAsia" w:ascii="宋体" w:hAnsi="宋体" w:cs="宋体"/>
                <w:color w:val="auto"/>
                <w:sz w:val="24"/>
              </w:rPr>
              <w:t>。请投标人在上述时间内提供样品并按规定位置安装完毕。超过截止时间的，采购人或采购代理机构将不予接收，并将清场并封闭样品现场。</w:t>
            </w:r>
          </w:p>
          <w:p w14:paraId="2D7AB11A">
            <w:pPr>
              <w:spacing w:line="360" w:lineRule="auto"/>
              <w:outlineLvl w:val="0"/>
              <w:rPr>
                <w:rFonts w:ascii="宋体" w:hAnsi="宋体" w:cs="宋体"/>
                <w:color w:val="auto"/>
                <w:sz w:val="24"/>
              </w:rPr>
            </w:pPr>
            <w:r>
              <w:rPr>
                <w:rFonts w:hint="eastAsia" w:ascii="宋体" w:hAnsi="宋体" w:cs="宋体"/>
                <w:color w:val="auto"/>
                <w:sz w:val="24"/>
              </w:rPr>
              <w:t xml:space="preserve"> (6)采购活动结束后，对于未中标人提供的样品，采购人、</w:t>
            </w:r>
            <w:r>
              <w:rPr>
                <w:rFonts w:hint="eastAsia" w:ascii="宋体" w:hAnsi="宋体" w:cs="宋体"/>
                <w:color w:val="auto"/>
                <w:sz w:val="24"/>
                <w:lang w:eastAsia="zh-CN"/>
              </w:rPr>
              <w:t>采购代理机构</w:t>
            </w:r>
            <w:r>
              <w:rPr>
                <w:rFonts w:hint="eastAsia" w:ascii="宋体" w:hAnsi="宋体" w:cs="宋体"/>
                <w:color w:val="auto"/>
                <w:sz w:val="24"/>
              </w:rPr>
              <w:t>将通知未中标人在规定的时间内取回，逾期未取回的，采购人、</w:t>
            </w:r>
            <w:r>
              <w:rPr>
                <w:rFonts w:hint="eastAsia" w:ascii="宋体" w:hAnsi="宋体" w:cs="宋体"/>
                <w:color w:val="auto"/>
                <w:sz w:val="24"/>
                <w:lang w:eastAsia="zh-CN"/>
              </w:rPr>
              <w:t>采购代理机构</w:t>
            </w:r>
            <w:r>
              <w:rPr>
                <w:rFonts w:hint="eastAsia" w:ascii="宋体" w:hAnsi="宋体" w:cs="宋体"/>
                <w:color w:val="auto"/>
                <w:sz w:val="24"/>
              </w:rPr>
              <w:t>不负保管义务；对于中标人提供的样品，采购人将进行保管、封存，并作为履约验收的参考。</w:t>
            </w:r>
          </w:p>
          <w:p w14:paraId="7543D5A0">
            <w:pPr>
              <w:spacing w:line="360" w:lineRule="auto"/>
              <w:outlineLvl w:val="0"/>
              <w:rPr>
                <w:rFonts w:hint="eastAsia" w:ascii="宋体" w:hAnsi="宋体" w:cs="宋体"/>
                <w:color w:val="auto"/>
                <w:sz w:val="24"/>
              </w:rPr>
            </w:pPr>
            <w:r>
              <w:rPr>
                <w:rFonts w:hint="eastAsia" w:ascii="宋体" w:hAnsi="宋体" w:cs="宋体"/>
                <w:color w:val="auto"/>
                <w:sz w:val="24"/>
              </w:rPr>
              <w:t>（7）制作、运输、安装和保管样品所发生的一切费用由投标人自理。</w:t>
            </w:r>
          </w:p>
          <w:p w14:paraId="5D86A7CA">
            <w:pPr>
              <w:spacing w:line="360" w:lineRule="auto"/>
              <w:ind w:firstLine="0" w:firstLineChars="0"/>
              <w:outlineLvl w:val="0"/>
              <w:rPr>
                <w:color w:val="auto"/>
              </w:rPr>
            </w:pPr>
            <w:r>
              <w:rPr>
                <w:rFonts w:hint="eastAsia" w:ascii="宋体" w:hAnsi="宋体" w:cs="宋体"/>
                <w:b/>
                <w:color w:val="auto"/>
                <w:sz w:val="24"/>
                <w:szCs w:val="24"/>
                <w:highlight w:val="none"/>
                <w:lang w:val="en-US" w:eastAsia="zh-CN"/>
              </w:rPr>
              <w:t>注：</w:t>
            </w:r>
            <w:r>
              <w:rPr>
                <w:rFonts w:hint="eastAsia" w:ascii="宋体" w:hAnsi="宋体" w:cs="宋体"/>
                <w:b/>
                <w:color w:val="auto"/>
                <w:sz w:val="24"/>
                <w:szCs w:val="24"/>
                <w:highlight w:val="none"/>
              </w:rPr>
              <w:t>▲</w:t>
            </w:r>
            <w:r>
              <w:rPr>
                <w:rFonts w:hint="eastAsia" w:ascii="宋体" w:hAnsi="宋体" w:cs="宋体"/>
                <w:b/>
                <w:color w:val="auto"/>
                <w:sz w:val="24"/>
                <w:szCs w:val="24"/>
                <w:highlight w:val="none"/>
                <w:lang w:val="en-US" w:eastAsia="zh-CN"/>
              </w:rPr>
              <w:t>采购</w:t>
            </w:r>
            <w:r>
              <w:rPr>
                <w:rFonts w:hint="eastAsia" w:ascii="宋体" w:hAnsi="宋体" w:cs="宋体"/>
                <w:b/>
                <w:color w:val="auto"/>
                <w:sz w:val="24"/>
                <w:szCs w:val="24"/>
                <w:highlight w:val="none"/>
              </w:rPr>
              <w:t>文件要求提供样品，投标人没有提供样品或样品不全的，投标无效</w:t>
            </w:r>
            <w:r>
              <w:rPr>
                <w:rFonts w:hint="eastAsia" w:ascii="宋体" w:hAnsi="宋体" w:cs="宋体"/>
                <w:b/>
                <w:color w:val="auto"/>
                <w:sz w:val="24"/>
                <w:szCs w:val="24"/>
                <w:highlight w:val="none"/>
                <w:lang w:eastAsia="zh-CN"/>
              </w:rPr>
              <w:t>。</w:t>
            </w:r>
          </w:p>
        </w:tc>
      </w:tr>
      <w:tr w14:paraId="16CD64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B9C6143">
            <w:pPr>
              <w:snapToGrid w:val="0"/>
              <w:spacing w:line="360" w:lineRule="auto"/>
              <w:jc w:val="center"/>
              <w:rPr>
                <w:rFonts w:ascii="宋体" w:hAnsi="宋体" w:cs="宋体"/>
                <w:color w:val="auto"/>
                <w:sz w:val="24"/>
              </w:rPr>
            </w:pPr>
          </w:p>
          <w:p w14:paraId="1C4CB82C">
            <w:pPr>
              <w:snapToGrid w:val="0"/>
              <w:spacing w:line="360" w:lineRule="auto"/>
              <w:jc w:val="center"/>
              <w:rPr>
                <w:rFonts w:ascii="宋体" w:hAnsi="宋体" w:cs="宋体"/>
                <w:color w:val="auto"/>
                <w:sz w:val="24"/>
              </w:rPr>
            </w:pPr>
          </w:p>
          <w:p w14:paraId="7CB3299F">
            <w:pPr>
              <w:snapToGrid w:val="0"/>
              <w:spacing w:line="360" w:lineRule="auto"/>
              <w:jc w:val="center"/>
              <w:rPr>
                <w:rFonts w:ascii="宋体" w:hAnsi="宋体" w:cs="宋体"/>
                <w:color w:val="auto"/>
                <w:sz w:val="24"/>
              </w:rPr>
            </w:pPr>
          </w:p>
          <w:p w14:paraId="66402394">
            <w:pPr>
              <w:snapToGrid w:val="0"/>
              <w:spacing w:line="360" w:lineRule="auto"/>
              <w:jc w:val="center"/>
              <w:rPr>
                <w:rFonts w:ascii="宋体" w:hAnsi="宋体" w:cs="宋体"/>
                <w:color w:val="auto"/>
                <w:sz w:val="24"/>
              </w:rPr>
            </w:pPr>
          </w:p>
          <w:p w14:paraId="3D5D40B6">
            <w:pPr>
              <w:snapToGrid w:val="0"/>
              <w:spacing w:line="360" w:lineRule="auto"/>
              <w:jc w:val="center"/>
              <w:rPr>
                <w:rFonts w:ascii="宋体" w:hAnsi="宋体" w:cs="宋体"/>
                <w:color w:val="auto"/>
                <w:sz w:val="24"/>
              </w:rPr>
            </w:pPr>
          </w:p>
          <w:p w14:paraId="3FA6F156">
            <w:pPr>
              <w:snapToGrid w:val="0"/>
              <w:spacing w:line="360" w:lineRule="auto"/>
              <w:jc w:val="center"/>
              <w:rPr>
                <w:rFonts w:ascii="宋体" w:hAnsi="宋体" w:cs="宋体"/>
                <w:color w:val="auto"/>
                <w:sz w:val="24"/>
              </w:rPr>
            </w:pPr>
          </w:p>
          <w:p w14:paraId="1B995165">
            <w:pPr>
              <w:snapToGrid w:val="0"/>
              <w:spacing w:line="360" w:lineRule="auto"/>
              <w:jc w:val="center"/>
              <w:rPr>
                <w:rFonts w:ascii="宋体" w:hAnsi="宋体" w:cs="宋体"/>
                <w:color w:val="auto"/>
                <w:sz w:val="24"/>
              </w:rPr>
            </w:pPr>
          </w:p>
          <w:p w14:paraId="46BB1A0D">
            <w:pPr>
              <w:snapToGrid w:val="0"/>
              <w:spacing w:line="360" w:lineRule="auto"/>
              <w:jc w:val="center"/>
              <w:rPr>
                <w:rFonts w:ascii="宋体" w:hAnsi="宋体" w:cs="宋体"/>
                <w:color w:val="auto"/>
                <w:sz w:val="24"/>
              </w:rPr>
            </w:pPr>
          </w:p>
          <w:p w14:paraId="0E3A2B9D">
            <w:pPr>
              <w:snapToGrid w:val="0"/>
              <w:spacing w:line="360" w:lineRule="auto"/>
              <w:jc w:val="center"/>
              <w:rPr>
                <w:rFonts w:ascii="宋体" w:hAnsi="宋体" w:cs="宋体"/>
                <w:color w:val="auto"/>
                <w:sz w:val="24"/>
              </w:rPr>
            </w:pPr>
            <w:r>
              <w:rPr>
                <w:rFonts w:hint="eastAsia" w:ascii="宋体" w:hAnsi="宋体" w:cs="宋体"/>
                <w:color w:val="auto"/>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06A10682">
            <w:pPr>
              <w:snapToGrid w:val="0"/>
              <w:spacing w:line="360" w:lineRule="auto"/>
              <w:jc w:val="center"/>
              <w:rPr>
                <w:rFonts w:ascii="宋体" w:hAnsi="宋体" w:cs="宋体"/>
                <w:bCs/>
                <w:color w:val="auto"/>
                <w:sz w:val="24"/>
              </w:rPr>
            </w:pPr>
            <w:r>
              <w:rPr>
                <w:rFonts w:hint="eastAsia" w:ascii="宋体" w:hAnsi="宋体" w:cs="宋体"/>
                <w:b/>
                <w:color w:val="auto"/>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64F50F29">
            <w:pPr>
              <w:spacing w:line="360" w:lineRule="auto"/>
              <w:rPr>
                <w:rFonts w:ascii="宋体" w:hAnsi="宋体" w:cs="宋体"/>
                <w:color w:val="auto"/>
                <w:sz w:val="24"/>
              </w:rPr>
            </w:pPr>
            <w:sdt>
              <w:sdtPr>
                <w:rPr>
                  <w:rFonts w:hint="eastAsia" w:ascii="宋体" w:hAnsi="宋体" w:cs="宋体"/>
                  <w:color w:val="auto"/>
                  <w:kern w:val="0"/>
                  <w:sz w:val="24"/>
                </w:rPr>
                <w:id w:val="-1859348549"/>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ascii="宋体" w:hAnsi="宋体" w:cs="宋体"/>
                <w:color w:val="auto"/>
                <w:kern w:val="0"/>
                <w:sz w:val="24"/>
              </w:rPr>
              <w:t>A</w:t>
            </w:r>
            <w:r>
              <w:rPr>
                <w:rFonts w:hint="eastAsia" w:ascii="宋体" w:hAnsi="宋体" w:cs="宋体"/>
                <w:color w:val="auto"/>
                <w:sz w:val="24"/>
              </w:rPr>
              <w:t>不组织。</w:t>
            </w:r>
          </w:p>
          <w:p w14:paraId="2C36E9AB">
            <w:pPr>
              <w:spacing w:line="360" w:lineRule="auto"/>
              <w:rPr>
                <w:rFonts w:ascii="宋体" w:hAnsi="宋体" w:cs="宋体"/>
                <w:color w:val="auto"/>
                <w:kern w:val="0"/>
                <w:sz w:val="24"/>
              </w:rPr>
            </w:pPr>
            <w:sdt>
              <w:sdtPr>
                <w:rPr>
                  <w:rFonts w:hint="eastAsia" w:ascii="宋体" w:hAnsi="宋体" w:cs="宋体"/>
                  <w:color w:val="auto"/>
                  <w:kern w:val="0"/>
                  <w:sz w:val="24"/>
                </w:rPr>
                <w:id w:val="1174071719"/>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kern w:val="0"/>
                <w:sz w:val="24"/>
              </w:rPr>
              <w:t>B组织。</w:t>
            </w:r>
          </w:p>
          <w:p w14:paraId="076AF3FE">
            <w:pPr>
              <w:snapToGrid w:val="0"/>
              <w:spacing w:line="360" w:lineRule="auto"/>
              <w:rPr>
                <w:rFonts w:ascii="宋体" w:hAnsi="宋体" w:cs="宋体"/>
                <w:color w:val="auto"/>
                <w:kern w:val="0"/>
                <w:sz w:val="24"/>
              </w:rPr>
            </w:pPr>
            <w:r>
              <w:rPr>
                <w:rFonts w:hint="eastAsia" w:ascii="宋体" w:hAnsi="宋体" w:cs="宋体"/>
                <w:color w:val="auto"/>
                <w:kern w:val="0"/>
                <w:sz w:val="24"/>
              </w:rPr>
              <w:t>（1）在评标时安排每个投标人进行方案讲解演示。每个投标人时间不超过</w:t>
            </w:r>
            <w:r>
              <w:rPr>
                <w:rFonts w:hint="eastAsia" w:ascii="宋体" w:hAnsi="宋体" w:cs="宋体"/>
                <w:color w:val="auto"/>
                <w:kern w:val="0"/>
                <w:sz w:val="24"/>
                <w:u w:val="single"/>
              </w:rPr>
              <w:t>20</w:t>
            </w:r>
            <w:r>
              <w:rPr>
                <w:rFonts w:hint="eastAsia" w:ascii="宋体" w:hAnsi="宋体" w:cs="宋体"/>
                <w:color w:val="auto"/>
                <w:kern w:val="0"/>
                <w:sz w:val="24"/>
                <w:u w:val="single"/>
                <w:lang w:eastAsia="zh-CN"/>
              </w:rPr>
              <w:t>（</w:t>
            </w:r>
            <w:r>
              <w:rPr>
                <w:rFonts w:hint="eastAsia" w:ascii="宋体" w:hAnsi="宋体" w:cs="宋体"/>
                <w:color w:val="auto"/>
                <w:kern w:val="0"/>
                <w:sz w:val="24"/>
                <w:u w:val="single"/>
                <w:lang w:val="en-US" w:eastAsia="zh-CN"/>
              </w:rPr>
              <w:t>编制时可根据项目情况进行调整</w:t>
            </w:r>
            <w:r>
              <w:rPr>
                <w:rFonts w:hint="eastAsia" w:ascii="宋体" w:hAnsi="宋体" w:cs="宋体"/>
                <w:color w:val="auto"/>
                <w:kern w:val="0"/>
                <w:sz w:val="24"/>
                <w:u w:val="single"/>
                <w:lang w:eastAsia="zh-CN"/>
              </w:rPr>
              <w:t>）</w:t>
            </w:r>
            <w:r>
              <w:rPr>
                <w:rFonts w:hint="eastAsia" w:ascii="宋体" w:hAnsi="宋体" w:cs="宋体"/>
                <w:color w:val="auto"/>
                <w:kern w:val="0"/>
                <w:sz w:val="24"/>
              </w:rPr>
              <w:t>分钟，讲解次序以投标文件解密时间先后次序为准，讲解演示人员不超过</w:t>
            </w:r>
            <w:r>
              <w:rPr>
                <w:rFonts w:hint="eastAsia" w:ascii="宋体" w:hAnsi="宋体" w:cs="宋体"/>
                <w:color w:val="auto"/>
                <w:kern w:val="0"/>
                <w:sz w:val="24"/>
                <w:u w:val="single"/>
              </w:rPr>
              <w:t>3</w:t>
            </w:r>
            <w:r>
              <w:rPr>
                <w:rFonts w:hint="eastAsia" w:ascii="宋体" w:hAnsi="宋体" w:cs="宋体"/>
                <w:color w:val="auto"/>
                <w:kern w:val="0"/>
                <w:sz w:val="24"/>
                <w:u w:val="single"/>
                <w:lang w:eastAsia="zh-CN"/>
              </w:rPr>
              <w:t>（</w:t>
            </w:r>
            <w:r>
              <w:rPr>
                <w:rFonts w:hint="eastAsia" w:ascii="宋体" w:hAnsi="宋体" w:cs="宋体"/>
                <w:color w:val="auto"/>
                <w:kern w:val="0"/>
                <w:sz w:val="24"/>
                <w:u w:val="single"/>
                <w:lang w:val="en-US" w:eastAsia="zh-CN"/>
              </w:rPr>
              <w:t>编制时可根据项目情况进行调整</w:t>
            </w:r>
            <w:r>
              <w:rPr>
                <w:rFonts w:hint="eastAsia" w:ascii="宋体" w:hAnsi="宋体" w:cs="宋体"/>
                <w:color w:val="auto"/>
                <w:kern w:val="0"/>
                <w:sz w:val="24"/>
                <w:u w:val="single"/>
                <w:lang w:eastAsia="zh-CN"/>
              </w:rPr>
              <w:t>）</w:t>
            </w:r>
            <w:r>
              <w:rPr>
                <w:rFonts w:hint="eastAsia" w:ascii="宋体" w:hAnsi="宋体" w:cs="宋体"/>
                <w:color w:val="auto"/>
                <w:kern w:val="0"/>
                <w:sz w:val="24"/>
              </w:rPr>
              <w:t>人。讲解演示结束后按要求解答评标委员会提问。</w:t>
            </w:r>
          </w:p>
          <w:p w14:paraId="18C9A1CA">
            <w:pPr>
              <w:snapToGrid w:val="0"/>
              <w:spacing w:line="360" w:lineRule="auto"/>
              <w:rPr>
                <w:rFonts w:ascii="宋体" w:hAnsi="宋体" w:cs="宋体"/>
                <w:color w:val="auto"/>
                <w:kern w:val="0"/>
                <w:sz w:val="24"/>
              </w:rPr>
            </w:pPr>
            <w:r>
              <w:rPr>
                <w:rFonts w:hint="eastAsia" w:ascii="宋体" w:hAnsi="宋体" w:cs="宋体"/>
                <w:color w:val="auto"/>
                <w:kern w:val="0"/>
                <w:sz w:val="24"/>
              </w:rPr>
              <w:t>（2）方案讲解演示可选择以下其中一种方式：</w:t>
            </w:r>
          </w:p>
          <w:p w14:paraId="4A3D4993">
            <w:pPr>
              <w:snapToGrid w:val="0"/>
              <w:spacing w:line="360" w:lineRule="auto"/>
              <w:rPr>
                <w:rFonts w:ascii="宋体" w:hAnsi="宋体" w:cs="宋体"/>
                <w:color w:val="auto"/>
                <w:kern w:val="0"/>
                <w:sz w:val="24"/>
              </w:rPr>
            </w:pPr>
            <w:r>
              <w:rPr>
                <w:rFonts w:hint="eastAsia" w:ascii="宋体" w:hAnsi="宋体" w:cs="宋体"/>
                <w:color w:val="auto"/>
                <w:kern w:val="0"/>
                <w:sz w:val="24"/>
              </w:rPr>
              <w:t>方式一：政采云平台在线讲解演示。政采云平台在线讲解需投标人根据政采云平台操作要求做好准备工作，提前完善软硬件配置环境。</w:t>
            </w:r>
          </w:p>
          <w:p w14:paraId="01BEAF77">
            <w:pPr>
              <w:snapToGrid w:val="0"/>
              <w:spacing w:line="360" w:lineRule="auto"/>
              <w:rPr>
                <w:rFonts w:ascii="宋体" w:hAnsi="宋体" w:cs="宋体"/>
                <w:color w:val="auto"/>
                <w:kern w:val="0"/>
                <w:sz w:val="24"/>
              </w:rPr>
            </w:pPr>
            <w:r>
              <w:rPr>
                <w:rFonts w:hint="eastAsia" w:ascii="宋体" w:hAnsi="宋体" w:cs="宋体"/>
                <w:color w:val="auto"/>
                <w:kern w:val="0"/>
                <w:sz w:val="24"/>
              </w:rPr>
              <w:t>方式二：交易中心现场讲解演示。现场讲解地点为</w:t>
            </w:r>
            <w:r>
              <w:rPr>
                <w:rFonts w:hint="eastAsia" w:ascii="宋体" w:hAnsi="宋体" w:cs="宋体"/>
                <w:color w:val="auto"/>
                <w:sz w:val="24"/>
                <w:u w:val="single"/>
              </w:rPr>
              <w:t xml:space="preserve">       </w:t>
            </w:r>
            <w:r>
              <w:rPr>
                <w:rFonts w:hint="eastAsia" w:ascii="宋体" w:hAnsi="宋体" w:cs="宋体"/>
                <w:color w:val="auto"/>
                <w:kern w:val="0"/>
                <w:sz w:val="24"/>
              </w:rPr>
              <w:t>，讲解演示所用电脑等设备由投标人自备。现场讲解演示人员进场时提供讲解人员名单（加盖公章或授权代表签名）及身份证明，否则不得讲解演示。</w:t>
            </w:r>
          </w:p>
          <w:p w14:paraId="02A1D62E">
            <w:pPr>
              <w:snapToGrid w:val="0"/>
              <w:spacing w:line="360" w:lineRule="auto"/>
              <w:rPr>
                <w:rFonts w:ascii="宋体" w:hAnsi="宋体" w:cs="宋体"/>
                <w:b/>
                <w:color w:val="auto"/>
                <w:kern w:val="0"/>
                <w:sz w:val="24"/>
                <w:lang w:val="zh-CN"/>
              </w:rPr>
            </w:pPr>
            <w:r>
              <w:rPr>
                <w:rFonts w:hint="eastAsia" w:ascii="宋体" w:hAnsi="宋体" w:cs="宋体"/>
                <w:color w:val="auto"/>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2C657C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1441BFC3">
            <w:pPr>
              <w:snapToGrid w:val="0"/>
              <w:spacing w:line="360" w:lineRule="auto"/>
              <w:jc w:val="center"/>
              <w:rPr>
                <w:rFonts w:ascii="宋体" w:hAnsi="宋体" w:cs="宋体"/>
                <w:color w:val="auto"/>
                <w:sz w:val="24"/>
              </w:rPr>
            </w:pPr>
          </w:p>
          <w:p w14:paraId="51B501DF">
            <w:pPr>
              <w:snapToGrid w:val="0"/>
              <w:spacing w:line="360" w:lineRule="auto"/>
              <w:jc w:val="center"/>
              <w:rPr>
                <w:rFonts w:ascii="宋体" w:hAnsi="宋体" w:cs="宋体"/>
                <w:color w:val="auto"/>
                <w:sz w:val="24"/>
              </w:rPr>
            </w:pPr>
          </w:p>
          <w:p w14:paraId="00D4464B">
            <w:pPr>
              <w:snapToGrid w:val="0"/>
              <w:spacing w:line="360" w:lineRule="auto"/>
              <w:jc w:val="center"/>
              <w:rPr>
                <w:rFonts w:ascii="宋体" w:hAnsi="宋体" w:cs="宋体"/>
                <w:color w:val="auto"/>
                <w:sz w:val="24"/>
              </w:rPr>
            </w:pPr>
            <w:r>
              <w:rPr>
                <w:rFonts w:hint="eastAsia" w:ascii="宋体" w:hAnsi="宋体" w:cs="宋体"/>
                <w:color w:val="auto"/>
                <w:sz w:val="24"/>
              </w:rPr>
              <w:t>8</w:t>
            </w:r>
          </w:p>
        </w:tc>
        <w:tc>
          <w:tcPr>
            <w:tcW w:w="1843" w:type="dxa"/>
            <w:vMerge w:val="restart"/>
            <w:tcBorders>
              <w:top w:val="single" w:color="000000" w:sz="8" w:space="0"/>
              <w:left w:val="single" w:color="auto" w:sz="4" w:space="0"/>
              <w:right w:val="single" w:color="000000" w:sz="8" w:space="0"/>
            </w:tcBorders>
            <w:vAlign w:val="center"/>
          </w:tcPr>
          <w:p w14:paraId="537556E1">
            <w:pPr>
              <w:snapToGrid w:val="0"/>
              <w:spacing w:line="360" w:lineRule="auto"/>
              <w:jc w:val="center"/>
              <w:rPr>
                <w:rFonts w:ascii="宋体" w:hAnsi="宋体" w:cs="宋体"/>
                <w:b/>
                <w:color w:val="auto"/>
                <w:sz w:val="24"/>
              </w:rPr>
            </w:pPr>
            <w:r>
              <w:rPr>
                <w:rFonts w:hint="eastAsia" w:ascii="宋体" w:hAnsi="宋体" w:cs="宋体"/>
                <w:b/>
                <w:color w:val="auto"/>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4520B559">
            <w:pPr>
              <w:spacing w:line="360" w:lineRule="auto"/>
              <w:rPr>
                <w:rFonts w:ascii="宋体" w:hAnsi="宋体" w:cs="宋体"/>
                <w:color w:val="auto"/>
                <w:sz w:val="24"/>
              </w:rPr>
            </w:pPr>
            <w:r>
              <w:rPr>
                <w:rFonts w:hint="eastAsia" w:ascii="宋体" w:hAnsi="宋体" w:cs="宋体"/>
                <w:color w:val="auto"/>
                <w:sz w:val="24"/>
              </w:rPr>
              <w:t>（1）资格证明文件：见招标文件第二部分11.1。</w:t>
            </w:r>
          </w:p>
          <w:p w14:paraId="402F5432">
            <w:pPr>
              <w:spacing w:line="360" w:lineRule="auto"/>
              <w:rPr>
                <w:rFonts w:ascii="宋体" w:hAnsi="宋体" w:cs="宋体"/>
                <w:snapToGrid w:val="0"/>
                <w:color w:val="auto"/>
                <w:kern w:val="0"/>
                <w:szCs w:val="21"/>
              </w:rPr>
            </w:pPr>
            <w:r>
              <w:rPr>
                <w:rFonts w:hint="eastAsia" w:ascii="宋体" w:hAnsi="宋体" w:cs="宋体"/>
                <w:color w:val="auto"/>
                <w:kern w:val="0"/>
                <w:sz w:val="24"/>
                <w:lang w:val="zh-CN"/>
              </w:rPr>
              <w:t>投标人未提供有效的资格证明文件的，视为投标人不具备招标文件中规定的资格要求，投标无效。</w:t>
            </w:r>
          </w:p>
        </w:tc>
      </w:tr>
      <w:tr w14:paraId="7A9319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4317D5AE">
            <w:pPr>
              <w:snapToGrid w:val="0"/>
              <w:spacing w:line="360" w:lineRule="auto"/>
              <w:jc w:val="center"/>
              <w:rPr>
                <w:rFonts w:ascii="宋体" w:hAnsi="宋体" w:cs="宋体"/>
                <w:color w:val="auto"/>
                <w:sz w:val="24"/>
              </w:rPr>
            </w:pPr>
          </w:p>
        </w:tc>
        <w:tc>
          <w:tcPr>
            <w:tcW w:w="1843" w:type="dxa"/>
            <w:vMerge w:val="continue"/>
            <w:tcBorders>
              <w:left w:val="single" w:color="auto" w:sz="4" w:space="0"/>
              <w:bottom w:val="single" w:color="000000" w:sz="8" w:space="0"/>
              <w:right w:val="single" w:color="000000" w:sz="8" w:space="0"/>
            </w:tcBorders>
            <w:vAlign w:val="center"/>
          </w:tcPr>
          <w:p w14:paraId="100274FD">
            <w:pPr>
              <w:snapToGrid w:val="0"/>
              <w:spacing w:line="360" w:lineRule="auto"/>
              <w:jc w:val="center"/>
              <w:rPr>
                <w:rFonts w:ascii="宋体" w:hAnsi="宋体" w:cs="宋体"/>
                <w:b/>
                <w:color w:val="auto"/>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38755A20">
            <w:pPr>
              <w:spacing w:line="360" w:lineRule="auto"/>
              <w:rPr>
                <w:rFonts w:ascii="宋体" w:hAnsi="宋体" w:cs="宋体"/>
                <w:color w:val="auto"/>
                <w:sz w:val="24"/>
              </w:rPr>
            </w:pPr>
            <w:r>
              <w:rPr>
                <w:rFonts w:hint="eastAsia" w:ascii="宋体" w:hAnsi="宋体" w:cs="宋体"/>
                <w:color w:val="auto"/>
                <w:sz w:val="24"/>
              </w:rPr>
              <w:t>（2）资信证明文件：根据招标文件第四部分评标标准提供。</w:t>
            </w:r>
          </w:p>
        </w:tc>
      </w:tr>
      <w:tr w14:paraId="7AEC5B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677EFB85">
            <w:pPr>
              <w:snapToGrid w:val="0"/>
              <w:spacing w:line="360" w:lineRule="auto"/>
              <w:jc w:val="center"/>
              <w:rPr>
                <w:rFonts w:ascii="宋体" w:hAnsi="宋体" w:cs="宋体"/>
                <w:color w:val="auto"/>
                <w:sz w:val="24"/>
              </w:rPr>
            </w:pPr>
          </w:p>
          <w:p w14:paraId="36648186">
            <w:pPr>
              <w:snapToGrid w:val="0"/>
              <w:spacing w:line="360" w:lineRule="auto"/>
              <w:jc w:val="center"/>
              <w:rPr>
                <w:rFonts w:ascii="宋体" w:hAnsi="宋体" w:cs="宋体"/>
                <w:color w:val="auto"/>
                <w:sz w:val="24"/>
              </w:rPr>
            </w:pPr>
          </w:p>
          <w:p w14:paraId="3D70C8A0">
            <w:pPr>
              <w:snapToGrid w:val="0"/>
              <w:spacing w:line="360" w:lineRule="auto"/>
              <w:jc w:val="center"/>
              <w:rPr>
                <w:rFonts w:ascii="宋体" w:hAnsi="宋体" w:cs="宋体"/>
                <w:color w:val="auto"/>
                <w:sz w:val="24"/>
              </w:rPr>
            </w:pPr>
            <w:r>
              <w:rPr>
                <w:rFonts w:hint="eastAsia" w:ascii="宋体" w:hAnsi="宋体" w:cs="宋体"/>
                <w:color w:val="auto"/>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C20A2AF">
            <w:pPr>
              <w:snapToGrid w:val="0"/>
              <w:spacing w:line="360" w:lineRule="auto"/>
              <w:jc w:val="center"/>
              <w:rPr>
                <w:rFonts w:ascii="宋体" w:hAnsi="宋体" w:cs="宋体"/>
                <w:b/>
                <w:color w:val="auto"/>
                <w:sz w:val="24"/>
              </w:rPr>
            </w:pPr>
            <w:r>
              <w:rPr>
                <w:rFonts w:hint="eastAsia" w:ascii="宋体" w:hAnsi="宋体" w:cs="宋体"/>
                <w:b/>
                <w:color w:val="auto"/>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3BF8B844">
            <w:pPr>
              <w:snapToGrid w:val="0"/>
              <w:spacing w:line="360" w:lineRule="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2B0CCE8F">
            <w:pPr>
              <w:snapToGrid w:val="0"/>
              <w:spacing w:line="360" w:lineRule="auto"/>
              <w:rPr>
                <w:rFonts w:hint="eastAsia" w:ascii="宋体" w:hAnsi="宋体" w:eastAsia="宋体" w:cs="宋体"/>
                <w:color w:val="auto"/>
                <w:kern w:val="0"/>
                <w:sz w:val="24"/>
                <w:lang w:val="zh-CN" w:eastAsia="zh-CN"/>
              </w:rPr>
            </w:pPr>
            <w:r>
              <w:rPr>
                <w:rFonts w:hint="eastAsia" w:ascii="宋体" w:hAnsi="宋体" w:eastAsia="宋体" w:cs="宋体"/>
                <w:color w:val="auto"/>
                <w:kern w:val="0"/>
                <w:sz w:val="24"/>
                <w:lang w:val="zh-CN"/>
              </w:rPr>
              <w:t>☐</w:t>
            </w:r>
            <w:r>
              <w:rPr>
                <w:rFonts w:hint="eastAsia" w:ascii="宋体" w:hAnsi="宋体" w:eastAsia="宋体" w:cs="宋体"/>
                <w:color w:val="auto"/>
                <w:kern w:val="0"/>
                <w:sz w:val="24"/>
                <w:lang w:val="zh-CN" w:eastAsia="zh-CN"/>
              </w:rPr>
              <w:t xml:space="preserve">强制采购。产品：    </w:t>
            </w:r>
          </w:p>
          <w:p w14:paraId="0BE8CA5F">
            <w:pPr>
              <w:snapToGrid w:val="0"/>
              <w:spacing w:line="360" w:lineRule="auto"/>
              <w:rPr>
                <w:rFonts w:hint="eastAsia" w:ascii="宋体" w:hAnsi="宋体" w:eastAsia="宋体" w:cs="宋体"/>
                <w:color w:val="auto"/>
                <w:kern w:val="0"/>
                <w:sz w:val="24"/>
                <w:lang w:val="zh-CN" w:eastAsia="zh-CN"/>
              </w:rPr>
            </w:pPr>
            <w:r>
              <w:rPr>
                <w:rFonts w:hint="eastAsia" w:ascii="宋体" w:hAnsi="宋体" w:eastAsia="宋体" w:cs="宋体"/>
                <w:color w:val="auto"/>
                <w:kern w:val="0"/>
                <w:sz w:val="24"/>
                <w:lang w:val="zh-CN" w:eastAsia="zh-CN"/>
              </w:rPr>
              <w:t xml:space="preserve">□优先采购节能产品。产品：   </w:t>
            </w:r>
          </w:p>
          <w:p w14:paraId="13B8DBE4">
            <w:pPr>
              <w:snapToGrid w:val="0"/>
              <w:spacing w:line="360" w:lineRule="auto"/>
              <w:rPr>
                <w:rFonts w:hint="eastAsia" w:ascii="宋体" w:hAnsi="宋体" w:eastAsia="宋体" w:cs="宋体"/>
                <w:color w:val="auto"/>
                <w:kern w:val="0"/>
                <w:sz w:val="24"/>
                <w:lang w:val="zh-CN" w:eastAsia="zh-CN"/>
              </w:rPr>
            </w:pPr>
            <w:r>
              <w:rPr>
                <w:rFonts w:hint="eastAsia" w:ascii="宋体" w:hAnsi="宋体" w:eastAsia="宋体" w:cs="宋体"/>
                <w:color w:val="auto"/>
                <w:kern w:val="0"/>
                <w:sz w:val="24"/>
                <w:lang w:val="zh-CN" w:eastAsia="zh-CN"/>
              </w:rPr>
              <w:t xml:space="preserve">□优先采购环保产品。产品：    </w:t>
            </w:r>
          </w:p>
          <w:p w14:paraId="6A603574">
            <w:pPr>
              <w:snapToGrid w:val="0"/>
              <w:spacing w:line="360" w:lineRule="auto"/>
              <w:rPr>
                <w:rFonts w:hint="eastAsia" w:ascii="宋体" w:hAnsi="宋体" w:cs="宋体"/>
                <w:color w:val="auto"/>
                <w:kern w:val="0"/>
                <w:sz w:val="24"/>
                <w:lang w:eastAsia="zh-CN"/>
              </w:rPr>
            </w:pPr>
            <w:r>
              <w:rPr>
                <w:rFonts w:hint="eastAsia" w:ascii="宋体" w:hAnsi="宋体" w:eastAsia="宋体" w:cs="宋体"/>
                <w:color w:val="auto"/>
                <w:kern w:val="0"/>
                <w:sz w:val="24"/>
                <w:lang w:val="zh-CN" w:eastAsia="zh-CN"/>
              </w:rPr>
              <w:t>☑无</w:t>
            </w:r>
          </w:p>
        </w:tc>
      </w:tr>
      <w:tr w14:paraId="004A1A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659DCF39">
            <w:pPr>
              <w:snapToGrid w:val="0"/>
              <w:spacing w:line="360" w:lineRule="auto"/>
              <w:jc w:val="center"/>
              <w:rPr>
                <w:rFonts w:ascii="宋体" w:hAnsi="宋体" w:cs="宋体"/>
                <w:color w:val="auto"/>
                <w:sz w:val="24"/>
              </w:rPr>
            </w:pPr>
          </w:p>
          <w:p w14:paraId="05F71985">
            <w:pPr>
              <w:snapToGrid w:val="0"/>
              <w:spacing w:line="360" w:lineRule="auto"/>
              <w:jc w:val="center"/>
              <w:rPr>
                <w:rFonts w:ascii="宋体" w:hAnsi="宋体" w:cs="宋体"/>
                <w:color w:val="auto"/>
                <w:sz w:val="24"/>
              </w:rPr>
            </w:pPr>
          </w:p>
          <w:p w14:paraId="0A776B4D">
            <w:pPr>
              <w:snapToGrid w:val="0"/>
              <w:spacing w:line="360" w:lineRule="auto"/>
              <w:jc w:val="center"/>
              <w:rPr>
                <w:rFonts w:ascii="宋体" w:hAnsi="宋体" w:cs="宋体"/>
                <w:color w:val="auto"/>
                <w:sz w:val="24"/>
              </w:rPr>
            </w:pPr>
          </w:p>
          <w:p w14:paraId="2237C1AE">
            <w:pPr>
              <w:snapToGrid w:val="0"/>
              <w:spacing w:line="360" w:lineRule="auto"/>
              <w:jc w:val="center"/>
              <w:rPr>
                <w:rFonts w:ascii="宋体" w:hAnsi="宋体" w:cs="宋体"/>
                <w:color w:val="auto"/>
                <w:sz w:val="24"/>
              </w:rPr>
            </w:pPr>
          </w:p>
          <w:p w14:paraId="75E2F338">
            <w:pPr>
              <w:snapToGrid w:val="0"/>
              <w:spacing w:line="360" w:lineRule="auto"/>
              <w:jc w:val="center"/>
              <w:rPr>
                <w:rFonts w:ascii="宋体" w:hAnsi="宋体" w:cs="宋体"/>
                <w:color w:val="auto"/>
                <w:sz w:val="24"/>
              </w:rPr>
            </w:pPr>
          </w:p>
          <w:p w14:paraId="36253B74">
            <w:pPr>
              <w:snapToGrid w:val="0"/>
              <w:spacing w:line="360" w:lineRule="auto"/>
              <w:jc w:val="center"/>
              <w:rPr>
                <w:rFonts w:ascii="宋体" w:hAnsi="宋体" w:cs="宋体"/>
                <w:color w:val="auto"/>
                <w:sz w:val="24"/>
              </w:rPr>
            </w:pPr>
            <w:r>
              <w:rPr>
                <w:rFonts w:hint="eastAsia" w:ascii="宋体" w:hAnsi="宋体" w:cs="宋体"/>
                <w:color w:val="auto"/>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6E44AC7">
            <w:pPr>
              <w:snapToGrid w:val="0"/>
              <w:spacing w:line="360" w:lineRule="auto"/>
              <w:jc w:val="center"/>
              <w:rPr>
                <w:rFonts w:ascii="宋体" w:hAnsi="宋体" w:cs="宋体"/>
                <w:b/>
                <w:color w:val="auto"/>
                <w:sz w:val="24"/>
              </w:rPr>
            </w:pPr>
            <w:r>
              <w:rPr>
                <w:rFonts w:hint="eastAsia" w:ascii="宋体" w:hAnsi="宋体" w:cs="宋体"/>
                <w:b/>
                <w:color w:val="auto"/>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14FA10DD">
            <w:pPr>
              <w:snapToGrid w:val="0"/>
              <w:spacing w:line="360" w:lineRule="auto"/>
              <w:jc w:val="left"/>
              <w:rPr>
                <w:rFonts w:ascii="宋体" w:hAnsi="宋体" w:cs="宋体"/>
                <w:b/>
                <w:color w:val="auto"/>
                <w:kern w:val="0"/>
                <w:sz w:val="24"/>
                <w:lang w:val="zh-CN"/>
              </w:rPr>
            </w:pPr>
            <w:r>
              <w:rPr>
                <w:rFonts w:hint="eastAsia" w:ascii="宋体" w:hAnsi="宋体" w:cs="宋体"/>
                <w:color w:val="auto"/>
                <w:kern w:val="0"/>
                <w:sz w:val="24"/>
                <w:lang w:val="zh-CN"/>
              </w:rPr>
              <w:t>有关本项目实施所需的所有费用（含税费）均计入报价。</w:t>
            </w:r>
            <w:r>
              <w:rPr>
                <w:rFonts w:hint="eastAsia" w:ascii="宋体" w:hAnsi="宋体" w:cs="宋体"/>
                <w:b/>
                <w:bCs/>
                <w:color w:val="auto"/>
                <w:kern w:val="0"/>
                <w:sz w:val="24"/>
                <w:lang w:val="zh-CN"/>
              </w:rPr>
              <w:t>投标文件</w:t>
            </w:r>
            <w:r>
              <w:rPr>
                <w:rFonts w:hint="eastAsia" w:ascii="宋体" w:hAnsi="宋体" w:cs="宋体"/>
                <w:b/>
                <w:bCs/>
                <w:color w:val="auto"/>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lang w:val="zh-CN"/>
              </w:rPr>
              <w:t>投标文件中价格全部采用人民币报价。招标文件未列明，而投标人认为必需的费用也需列入报价。</w:t>
            </w:r>
            <w:r>
              <w:rPr>
                <w:rFonts w:hint="eastAsia" w:ascii="宋体" w:hAnsi="宋体" w:cs="宋体"/>
                <w:b/>
                <w:color w:val="auto"/>
                <w:kern w:val="0"/>
                <w:sz w:val="24"/>
                <w:lang w:val="zh-CN"/>
              </w:rPr>
              <w:t>提醒：验收时检测费用由采购人承担，不包含在投标总价中。</w:t>
            </w:r>
          </w:p>
          <w:p w14:paraId="1A33714A">
            <w:pPr>
              <w:snapToGrid w:val="0"/>
              <w:spacing w:line="360" w:lineRule="auto"/>
              <w:jc w:val="left"/>
              <w:rPr>
                <w:rFonts w:ascii="宋体" w:hAnsi="宋体" w:cs="宋体"/>
                <w:b/>
                <w:color w:val="auto"/>
                <w:kern w:val="0"/>
                <w:sz w:val="24"/>
                <w:lang w:val="zh-CN"/>
              </w:rPr>
            </w:pPr>
            <w:r>
              <w:rPr>
                <w:rFonts w:hint="eastAsia" w:ascii="宋体" w:hAnsi="宋体" w:cs="宋体"/>
                <w:b/>
                <w:color w:val="auto"/>
                <w:kern w:val="0"/>
                <w:sz w:val="24"/>
                <w:lang w:val="zh-CN"/>
              </w:rPr>
              <w:t>投标报价出现下列情形的，投标无效：</w:t>
            </w:r>
          </w:p>
          <w:p w14:paraId="53797A11">
            <w:pPr>
              <w:snapToGrid w:val="0"/>
              <w:spacing w:line="360" w:lineRule="auto"/>
              <w:ind w:firstLine="241" w:firstLineChars="100"/>
              <w:jc w:val="left"/>
              <w:rPr>
                <w:rFonts w:ascii="宋体" w:hAnsi="宋体" w:cs="宋体"/>
                <w:b/>
                <w:color w:val="auto"/>
                <w:kern w:val="0"/>
                <w:sz w:val="24"/>
                <w:lang w:val="zh-CN"/>
              </w:rPr>
            </w:pPr>
            <w:r>
              <w:rPr>
                <w:rFonts w:hint="eastAsia" w:ascii="宋体" w:hAnsi="宋体" w:cs="宋体"/>
                <w:b/>
                <w:color w:val="auto"/>
                <w:kern w:val="0"/>
                <w:sz w:val="24"/>
                <w:lang w:val="zh-CN"/>
              </w:rPr>
              <w:t>投标文件出现不是唯一的、有选择性投标报价的；</w:t>
            </w:r>
          </w:p>
          <w:p w14:paraId="1969BAAC">
            <w:pPr>
              <w:snapToGrid w:val="0"/>
              <w:spacing w:line="360" w:lineRule="auto"/>
              <w:ind w:firstLine="241" w:firstLineChars="100"/>
              <w:jc w:val="left"/>
              <w:rPr>
                <w:rFonts w:ascii="宋体" w:hAnsi="宋体" w:cs="宋体"/>
                <w:color w:val="auto"/>
                <w:kern w:val="0"/>
                <w:sz w:val="24"/>
                <w:lang w:val="zh-CN"/>
              </w:rPr>
            </w:pPr>
            <w:r>
              <w:rPr>
                <w:rFonts w:hint="eastAsia" w:ascii="宋体" w:hAnsi="宋体" w:cs="宋体"/>
                <w:b/>
                <w:color w:val="auto"/>
                <w:kern w:val="0"/>
                <w:sz w:val="24"/>
                <w:lang w:val="zh-CN"/>
              </w:rPr>
              <w:t>投标报价超过招标文件中规定的预算金额或者最高限价的;</w:t>
            </w:r>
          </w:p>
          <w:p w14:paraId="6487EA89">
            <w:pPr>
              <w:spacing w:line="360" w:lineRule="auto"/>
              <w:ind w:firstLine="241" w:firstLineChars="100"/>
              <w:rPr>
                <w:rFonts w:ascii="宋体" w:hAnsi="宋体" w:cs="宋体"/>
                <w:b/>
                <w:color w:val="auto"/>
                <w:sz w:val="24"/>
              </w:rPr>
            </w:pPr>
            <w:r>
              <w:rPr>
                <w:rFonts w:hint="eastAsia" w:ascii="宋体" w:hAnsi="宋体" w:cs="宋体"/>
                <w:b/>
                <w:color w:val="auto"/>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rPr>
              <w:t>;</w:t>
            </w:r>
          </w:p>
          <w:p w14:paraId="7DB65816">
            <w:pPr>
              <w:spacing w:line="360" w:lineRule="auto"/>
              <w:ind w:firstLine="241" w:firstLineChars="100"/>
              <w:rPr>
                <w:rFonts w:ascii="宋体" w:hAnsi="宋体" w:cs="宋体"/>
                <w:color w:val="auto"/>
                <w:sz w:val="24"/>
              </w:rPr>
            </w:pPr>
            <w:r>
              <w:rPr>
                <w:rFonts w:hint="eastAsia" w:ascii="宋体" w:hAnsi="宋体" w:cs="宋体"/>
                <w:b/>
                <w:color w:val="auto"/>
                <w:kern w:val="0"/>
                <w:sz w:val="24"/>
              </w:rPr>
              <w:t>投标人对根据修正原则修正后的报价不确认的</w:t>
            </w:r>
            <w:r>
              <w:rPr>
                <w:rFonts w:hint="eastAsia" w:ascii="宋体" w:hAnsi="宋体" w:cs="宋体"/>
                <w:b/>
                <w:color w:val="auto"/>
                <w:sz w:val="24"/>
              </w:rPr>
              <w:t>。</w:t>
            </w:r>
          </w:p>
        </w:tc>
      </w:tr>
      <w:tr w14:paraId="4B8B43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625" w:hRule="atLeast"/>
          <w:tblHeader/>
        </w:trPr>
        <w:tc>
          <w:tcPr>
            <w:tcW w:w="629" w:type="dxa"/>
            <w:tcBorders>
              <w:top w:val="single" w:color="auto" w:sz="4" w:space="0"/>
              <w:left w:val="single" w:color="000000" w:sz="8" w:space="0"/>
              <w:right w:val="single" w:color="000000" w:sz="2" w:space="0"/>
            </w:tcBorders>
          </w:tcPr>
          <w:p w14:paraId="235C941E">
            <w:pPr>
              <w:snapToGrid w:val="0"/>
              <w:spacing w:line="360" w:lineRule="auto"/>
              <w:jc w:val="center"/>
              <w:rPr>
                <w:rFonts w:ascii="宋体" w:hAnsi="宋体" w:cs="宋体"/>
                <w:color w:val="auto"/>
                <w:sz w:val="24"/>
              </w:rPr>
            </w:pPr>
          </w:p>
          <w:p w14:paraId="1C38E0BC">
            <w:pPr>
              <w:snapToGrid w:val="0"/>
              <w:spacing w:line="360" w:lineRule="auto"/>
              <w:jc w:val="center"/>
              <w:rPr>
                <w:rFonts w:ascii="宋体" w:hAnsi="宋体" w:cs="宋体"/>
                <w:color w:val="auto"/>
                <w:sz w:val="24"/>
              </w:rPr>
            </w:pPr>
            <w:r>
              <w:rPr>
                <w:rFonts w:hint="eastAsia" w:ascii="宋体" w:hAnsi="宋体" w:cs="宋体"/>
                <w:color w:val="auto"/>
                <w:sz w:val="24"/>
              </w:rPr>
              <w:t>11</w:t>
            </w:r>
          </w:p>
        </w:tc>
        <w:tc>
          <w:tcPr>
            <w:tcW w:w="1843" w:type="dxa"/>
            <w:tcBorders>
              <w:top w:val="single" w:color="000000" w:sz="8" w:space="0"/>
              <w:left w:val="single" w:color="000000" w:sz="2" w:space="0"/>
              <w:right w:val="single" w:color="000000" w:sz="8" w:space="0"/>
            </w:tcBorders>
            <w:vAlign w:val="center"/>
          </w:tcPr>
          <w:p w14:paraId="5E6B30D7">
            <w:pPr>
              <w:snapToGrid w:val="0"/>
              <w:spacing w:line="360" w:lineRule="auto"/>
              <w:jc w:val="center"/>
              <w:rPr>
                <w:rFonts w:ascii="宋体" w:hAnsi="宋体" w:cs="宋体"/>
                <w:b/>
                <w:color w:val="auto"/>
                <w:sz w:val="24"/>
              </w:rPr>
            </w:pPr>
            <w:r>
              <w:rPr>
                <w:rFonts w:hint="eastAsia" w:ascii="宋体" w:hAnsi="宋体" w:cs="宋体"/>
                <w:b/>
                <w:color w:val="auto"/>
                <w:sz w:val="24"/>
              </w:rPr>
              <w:t>中小企业信用融资</w:t>
            </w:r>
          </w:p>
        </w:tc>
        <w:tc>
          <w:tcPr>
            <w:tcW w:w="6095" w:type="dxa"/>
            <w:tcBorders>
              <w:top w:val="single" w:color="000000" w:sz="8" w:space="0"/>
              <w:left w:val="single" w:color="000000" w:sz="2" w:space="0"/>
              <w:right w:val="single" w:color="000000" w:sz="8" w:space="0"/>
            </w:tcBorders>
            <w:vAlign w:val="center"/>
          </w:tcPr>
          <w:p w14:paraId="0AAC26BF">
            <w:pPr>
              <w:spacing w:line="360" w:lineRule="auto"/>
              <w:ind w:firstLine="480" w:firstLineChars="200"/>
              <w:rPr>
                <w:rFonts w:ascii="宋体" w:hAnsi="宋体" w:cs="宋体"/>
                <w:color w:val="auto"/>
                <w:sz w:val="24"/>
              </w:rPr>
            </w:pPr>
            <w:r>
              <w:rPr>
                <w:rFonts w:hint="eastAsia" w:ascii="宋体" w:hAnsi="宋体" w:cs="宋体"/>
                <w:snapToGrid w:val="0"/>
                <w:color w:val="auto"/>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8877F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14:paraId="2765DC09">
            <w:pPr>
              <w:snapToGrid w:val="0"/>
              <w:spacing w:line="360" w:lineRule="auto"/>
              <w:jc w:val="center"/>
              <w:rPr>
                <w:rFonts w:ascii="宋体" w:hAnsi="宋体" w:cs="宋体"/>
                <w:color w:val="auto"/>
                <w:sz w:val="24"/>
              </w:rPr>
            </w:pPr>
            <w:r>
              <w:rPr>
                <w:rFonts w:hint="eastAsia" w:ascii="宋体" w:hAnsi="宋体" w:cs="宋体"/>
                <w:color w:val="auto"/>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34B267D4">
            <w:pPr>
              <w:snapToGrid w:val="0"/>
              <w:spacing w:line="360" w:lineRule="auto"/>
              <w:jc w:val="center"/>
              <w:rPr>
                <w:rFonts w:ascii="宋体" w:hAnsi="宋体" w:cs="宋体"/>
                <w:b/>
                <w:color w:val="auto"/>
                <w:sz w:val="24"/>
              </w:rPr>
            </w:pPr>
            <w:r>
              <w:rPr>
                <w:rFonts w:hint="eastAsia" w:ascii="宋体" w:hAnsi="宋体" w:cs="宋体"/>
                <w:b/>
                <w:color w:val="auto"/>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72A00F61">
            <w:pPr>
              <w:pStyle w:val="32"/>
              <w:spacing w:line="360" w:lineRule="auto"/>
              <w:rPr>
                <w:rFonts w:hAnsi="宋体" w:cs="宋体"/>
                <w:color w:val="auto"/>
                <w:kern w:val="28"/>
                <w:sz w:val="24"/>
              </w:rPr>
            </w:pPr>
            <w:r>
              <w:rPr>
                <w:rFonts w:hint="eastAsia" w:hAnsi="宋体" w:cs="宋体"/>
                <w:color w:val="auto"/>
                <w:kern w:val="28"/>
                <w:sz w:val="24"/>
                <w:szCs w:val="24"/>
              </w:rPr>
              <w:t>备份投标文件送达地点：</w:t>
            </w:r>
            <w:r>
              <w:rPr>
                <w:rFonts w:hint="eastAsia" w:hAnsi="宋体" w:cs="宋体"/>
                <w:color w:val="auto"/>
                <w:sz w:val="24"/>
                <w:u w:val="single"/>
              </w:rPr>
              <w:t>杭州市文一西路558号绿城西溪诚园诚公馆1号楼9楼</w:t>
            </w:r>
            <w:r>
              <w:rPr>
                <w:rFonts w:hint="eastAsia" w:hAnsi="宋体" w:cs="宋体"/>
                <w:color w:val="auto"/>
                <w:kern w:val="28"/>
                <w:sz w:val="24"/>
                <w:szCs w:val="24"/>
              </w:rPr>
              <w:t>；备份投标文件签收人员联系电话：</w:t>
            </w:r>
            <w:r>
              <w:rPr>
                <w:rFonts w:hint="eastAsia" w:hAnsi="宋体" w:cs="宋体"/>
                <w:color w:val="auto"/>
                <w:sz w:val="24"/>
                <w:u w:val="single"/>
              </w:rPr>
              <w:t>张琛</w:t>
            </w:r>
            <w:r>
              <w:rPr>
                <w:rFonts w:hint="eastAsia" w:hAnsi="宋体" w:cs="宋体"/>
                <w:color w:val="auto"/>
                <w:sz w:val="24"/>
                <w:u w:val="single"/>
                <w:lang w:val="en-US" w:eastAsia="zh-CN"/>
              </w:rPr>
              <w:t>/</w:t>
            </w:r>
            <w:r>
              <w:rPr>
                <w:rFonts w:hint="eastAsia" w:hAnsi="宋体" w:cs="宋体"/>
                <w:color w:val="auto"/>
                <w:sz w:val="24"/>
                <w:u w:val="single"/>
              </w:rPr>
              <w:t>13758250560</w:t>
            </w:r>
            <w:r>
              <w:rPr>
                <w:rFonts w:hint="eastAsia" w:hAnsi="宋体" w:cs="宋体"/>
                <w:color w:val="auto"/>
                <w:sz w:val="24"/>
                <w:szCs w:val="24"/>
              </w:rPr>
              <w:t>。</w:t>
            </w:r>
            <w:r>
              <w:rPr>
                <w:rFonts w:hint="eastAsia" w:hAnsi="宋体" w:cs="宋体"/>
                <w:b/>
                <w:color w:val="auto"/>
                <w:sz w:val="24"/>
                <w:szCs w:val="24"/>
              </w:rPr>
              <w:t>采购人、</w:t>
            </w:r>
            <w:r>
              <w:rPr>
                <w:rFonts w:hint="eastAsia" w:hAnsi="宋体" w:cs="宋体"/>
                <w:b/>
                <w:color w:val="auto"/>
                <w:sz w:val="24"/>
                <w:szCs w:val="24"/>
                <w:lang w:eastAsia="zh-CN"/>
              </w:rPr>
              <w:t>采购代理机构</w:t>
            </w:r>
            <w:r>
              <w:rPr>
                <w:rFonts w:hint="eastAsia" w:hAnsi="宋体" w:cs="宋体"/>
                <w:b/>
                <w:color w:val="auto"/>
                <w:sz w:val="24"/>
                <w:szCs w:val="24"/>
              </w:rPr>
              <w:t>不强制或变相强制投标人提交备份投标文件。</w:t>
            </w:r>
          </w:p>
        </w:tc>
      </w:tr>
      <w:tr w14:paraId="1879D6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14:paraId="0AC283FC">
            <w:pPr>
              <w:snapToGrid w:val="0"/>
              <w:spacing w:line="360" w:lineRule="auto"/>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0DD52314">
            <w:pPr>
              <w:snapToGrid w:val="0"/>
              <w:spacing w:line="360" w:lineRule="auto"/>
              <w:jc w:val="center"/>
              <w:rPr>
                <w:rFonts w:hint="eastAsia" w:ascii="宋体" w:hAnsi="宋体" w:cs="宋体"/>
                <w:b/>
                <w:color w:val="auto"/>
                <w:sz w:val="24"/>
              </w:rPr>
            </w:pPr>
            <w:r>
              <w:rPr>
                <w:rFonts w:hint="eastAsia" w:ascii="宋体" w:hAnsi="宋体" w:cs="宋体"/>
                <w:b/>
                <w:color w:val="auto"/>
                <w:sz w:val="24"/>
                <w:highlight w:val="none"/>
              </w:rPr>
              <w:t>采购代理服务费收取标准或金额</w:t>
            </w:r>
          </w:p>
        </w:tc>
        <w:tc>
          <w:tcPr>
            <w:tcW w:w="6095" w:type="dxa"/>
            <w:tcBorders>
              <w:top w:val="single" w:color="000000" w:sz="8" w:space="0"/>
              <w:left w:val="single" w:color="000000" w:sz="2" w:space="0"/>
              <w:bottom w:val="single" w:color="000000" w:sz="8" w:space="0"/>
              <w:right w:val="single" w:color="000000" w:sz="8" w:space="0"/>
            </w:tcBorders>
            <w:vAlign w:val="center"/>
          </w:tcPr>
          <w:p w14:paraId="6CED9F91">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baseline"/>
              <w:rPr>
                <w:rFonts w:hint="eastAsia" w:hAnsi="宋体" w:cs="宋体"/>
                <w:color w:val="auto"/>
                <w:kern w:val="28"/>
                <w:sz w:val="24"/>
                <w:szCs w:val="24"/>
                <w:highlight w:val="none"/>
              </w:rPr>
            </w:pPr>
            <w:r>
              <w:rPr>
                <w:rFonts w:hint="eastAsia" w:hAnsi="宋体" w:cs="宋体"/>
                <w:color w:val="auto"/>
                <w:kern w:val="28"/>
                <w:sz w:val="24"/>
                <w:szCs w:val="24"/>
                <w:highlight w:val="none"/>
              </w:rPr>
              <w:t>本次采购代理服务费由中标供应商支付。参考《招标代理服务收费管理暂行办法》（计价格[2002]1980号文件）的收费标准</w:t>
            </w:r>
            <w:r>
              <w:rPr>
                <w:rFonts w:hint="eastAsia" w:hAnsi="宋体" w:cs="宋体"/>
                <w:b w:val="0"/>
                <w:bCs w:val="0"/>
                <w:color w:val="auto"/>
                <w:kern w:val="28"/>
                <w:sz w:val="24"/>
                <w:szCs w:val="24"/>
                <w:highlight w:val="none"/>
                <w:u w:val="none"/>
                <w:lang w:val="en-US" w:eastAsia="zh-CN"/>
              </w:rPr>
              <w:t>80</w:t>
            </w:r>
            <w:r>
              <w:rPr>
                <w:rFonts w:hint="eastAsia" w:hAnsi="宋体" w:cs="宋体"/>
                <w:color w:val="auto"/>
                <w:kern w:val="28"/>
                <w:sz w:val="24"/>
                <w:szCs w:val="24"/>
                <w:highlight w:val="none"/>
              </w:rPr>
              <w:t>%</w:t>
            </w:r>
            <w:r>
              <w:rPr>
                <w:rFonts w:hint="eastAsia" w:ascii="Times New Roman" w:hAnsi="宋体" w:eastAsia="宋体" w:cs="宋体"/>
                <w:color w:val="auto"/>
                <w:kern w:val="28"/>
                <w:sz w:val="24"/>
                <w:szCs w:val="24"/>
                <w:highlight w:val="none"/>
                <w:lang w:eastAsia="zh-CN"/>
              </w:rPr>
              <w:t>，</w:t>
            </w:r>
            <w:r>
              <w:rPr>
                <w:rFonts w:hint="eastAsia" w:ascii="Times New Roman" w:hAnsi="宋体" w:eastAsia="宋体" w:cs="宋体"/>
                <w:color w:val="auto"/>
                <w:kern w:val="28"/>
                <w:sz w:val="24"/>
                <w:szCs w:val="24"/>
                <w:highlight w:val="none"/>
                <w:lang w:val="en-US" w:eastAsia="zh-CN"/>
              </w:rPr>
              <w:t>低于6000按6000元计取</w:t>
            </w:r>
            <w:r>
              <w:rPr>
                <w:rFonts w:hint="eastAsia" w:hAnsi="宋体" w:cs="宋体"/>
                <w:color w:val="auto"/>
                <w:kern w:val="28"/>
                <w:sz w:val="24"/>
                <w:szCs w:val="24"/>
                <w:highlight w:val="none"/>
              </w:rPr>
              <w:t>。造价咨询服务费（工程量清单及预算、招标控制价的编制费用）按照《浙江省建设工程造价咨询服务项目及收费指引》（浙建价协〔2021〕13号文件）规定的相应项目收费标准</w:t>
            </w:r>
            <w:r>
              <w:rPr>
                <w:rFonts w:hint="eastAsia" w:hAnsi="宋体" w:cs="宋体"/>
                <w:b w:val="0"/>
                <w:bCs w:val="0"/>
                <w:color w:val="auto"/>
                <w:kern w:val="28"/>
                <w:sz w:val="24"/>
                <w:szCs w:val="24"/>
                <w:highlight w:val="none"/>
                <w:u w:val="none"/>
                <w:lang w:val="en-US" w:eastAsia="zh-CN"/>
              </w:rPr>
              <w:t>50</w:t>
            </w:r>
            <w:r>
              <w:rPr>
                <w:rFonts w:hint="eastAsia" w:hAnsi="宋体" w:cs="宋体"/>
                <w:color w:val="auto"/>
                <w:kern w:val="28"/>
                <w:sz w:val="24"/>
                <w:szCs w:val="24"/>
                <w:highlight w:val="none"/>
              </w:rPr>
              <w:t>%计取。</w:t>
            </w:r>
            <w:r>
              <w:rPr>
                <w:rFonts w:hint="eastAsia" w:ascii="Times New Roman" w:hAnsi="宋体" w:eastAsia="宋体" w:cs="宋体"/>
                <w:color w:val="auto"/>
                <w:kern w:val="28"/>
                <w:sz w:val="24"/>
                <w:szCs w:val="24"/>
                <w:highlight w:val="none"/>
                <w:lang w:val="en-US" w:eastAsia="zh-CN"/>
              </w:rPr>
              <w:t>低于3000按3000元计取</w:t>
            </w:r>
            <w:r>
              <w:rPr>
                <w:rFonts w:hint="eastAsia" w:ascii="Times New Roman" w:hAnsi="宋体" w:eastAsia="宋体" w:cs="宋体"/>
                <w:color w:val="auto"/>
                <w:kern w:val="28"/>
                <w:sz w:val="24"/>
                <w:szCs w:val="24"/>
                <w:highlight w:val="none"/>
              </w:rPr>
              <w:t>。</w:t>
            </w:r>
            <w:r>
              <w:rPr>
                <w:rFonts w:hint="eastAsia" w:hAnsi="宋体" w:cs="宋体"/>
                <w:color w:val="auto"/>
                <w:kern w:val="28"/>
                <w:sz w:val="24"/>
                <w:szCs w:val="24"/>
                <w:highlight w:val="none"/>
              </w:rPr>
              <w:t>。</w:t>
            </w:r>
          </w:p>
          <w:p w14:paraId="0E1F85F1">
            <w:pPr>
              <w:pStyle w:val="32"/>
              <w:spacing w:line="360" w:lineRule="auto"/>
              <w:rPr>
                <w:rFonts w:hint="eastAsia" w:hAnsi="宋体" w:cs="宋体"/>
                <w:color w:val="auto"/>
                <w:kern w:val="28"/>
                <w:sz w:val="24"/>
                <w:szCs w:val="24"/>
                <w:highlight w:val="none"/>
              </w:rPr>
            </w:pPr>
            <w:r>
              <w:rPr>
                <w:rFonts w:hint="eastAsia" w:hAnsi="宋体" w:cs="宋体"/>
                <w:color w:val="auto"/>
                <w:kern w:val="28"/>
                <w:sz w:val="24"/>
                <w:szCs w:val="24"/>
                <w:highlight w:val="none"/>
              </w:rPr>
              <w:t>采购代理服务费</w:t>
            </w:r>
            <w:r>
              <w:rPr>
                <w:rFonts w:hint="eastAsia" w:hAnsi="宋体" w:cs="宋体"/>
                <w:color w:val="auto"/>
                <w:kern w:val="28"/>
                <w:sz w:val="24"/>
                <w:szCs w:val="24"/>
                <w:highlight w:val="none"/>
                <w:lang w:eastAsia="zh-CN"/>
              </w:rPr>
              <w:t>、</w:t>
            </w:r>
            <w:r>
              <w:rPr>
                <w:rFonts w:hint="eastAsia" w:ascii="Times New Roman" w:hAnsi="宋体" w:eastAsia="宋体" w:cs="宋体"/>
                <w:color w:val="auto"/>
                <w:kern w:val="28"/>
                <w:sz w:val="24"/>
                <w:szCs w:val="24"/>
                <w:highlight w:val="none"/>
              </w:rPr>
              <w:t>造价咨询服务费</w:t>
            </w:r>
            <w:r>
              <w:rPr>
                <w:rFonts w:hint="eastAsia" w:hAnsi="宋体" w:cs="宋体"/>
                <w:color w:val="auto"/>
                <w:kern w:val="28"/>
                <w:sz w:val="24"/>
                <w:szCs w:val="24"/>
                <w:highlight w:val="none"/>
              </w:rPr>
              <w:t>包含在投标总价中。在发出成交通知书时由成交供应商一次性支付给采购代理机构（账号信息附下），中标（成交）通知书签发后，成交供应商因自身原因被取消成交资格或放弃成交的，仍须支付采购代理服务费。</w:t>
            </w:r>
          </w:p>
          <w:p w14:paraId="7B7D4BD6">
            <w:pPr>
              <w:pStyle w:val="32"/>
              <w:spacing w:line="360" w:lineRule="auto"/>
              <w:rPr>
                <w:rFonts w:hint="eastAsia" w:hAnsi="宋体" w:cs="宋体"/>
                <w:color w:val="auto"/>
                <w:kern w:val="28"/>
                <w:sz w:val="24"/>
                <w:szCs w:val="24"/>
                <w:highlight w:val="none"/>
              </w:rPr>
            </w:pPr>
            <w:r>
              <w:rPr>
                <w:rFonts w:hint="eastAsia" w:hAnsi="宋体" w:cs="宋体"/>
                <w:color w:val="auto"/>
                <w:kern w:val="28"/>
                <w:sz w:val="24"/>
                <w:szCs w:val="24"/>
                <w:highlight w:val="none"/>
              </w:rPr>
              <w:t>户  名：欧邦工程管理集团有限公司</w:t>
            </w:r>
          </w:p>
          <w:p w14:paraId="474458CF">
            <w:pPr>
              <w:pStyle w:val="32"/>
              <w:spacing w:line="360" w:lineRule="auto"/>
              <w:rPr>
                <w:rFonts w:hint="eastAsia" w:hAnsi="宋体" w:cs="宋体"/>
                <w:color w:val="auto"/>
                <w:kern w:val="28"/>
                <w:sz w:val="24"/>
                <w:szCs w:val="24"/>
                <w:highlight w:val="none"/>
              </w:rPr>
            </w:pPr>
            <w:r>
              <w:rPr>
                <w:rFonts w:hint="eastAsia" w:hAnsi="宋体" w:cs="宋体"/>
                <w:color w:val="auto"/>
                <w:kern w:val="28"/>
                <w:sz w:val="24"/>
                <w:szCs w:val="24"/>
                <w:highlight w:val="none"/>
              </w:rPr>
              <w:t>银行账号：201000345676674</w:t>
            </w:r>
          </w:p>
          <w:p w14:paraId="0DB10919">
            <w:pPr>
              <w:pStyle w:val="32"/>
              <w:spacing w:line="360" w:lineRule="auto"/>
              <w:rPr>
                <w:rFonts w:hint="eastAsia" w:hAnsi="宋体" w:cs="宋体"/>
                <w:color w:val="auto"/>
                <w:kern w:val="28"/>
                <w:sz w:val="24"/>
                <w:szCs w:val="24"/>
              </w:rPr>
            </w:pPr>
            <w:r>
              <w:rPr>
                <w:rFonts w:hint="eastAsia" w:hAnsi="宋体" w:cs="宋体"/>
                <w:color w:val="auto"/>
                <w:kern w:val="28"/>
                <w:sz w:val="24"/>
                <w:szCs w:val="24"/>
                <w:highlight w:val="none"/>
              </w:rPr>
              <w:t>开户银行：杭州联合农村商业银行股份有限公司城西支行</w:t>
            </w:r>
          </w:p>
        </w:tc>
      </w:tr>
      <w:tr w14:paraId="7D5D7C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tcPr>
          <w:p w14:paraId="0CDA8124">
            <w:pPr>
              <w:snapToGrid w:val="0"/>
              <w:spacing w:line="360" w:lineRule="auto"/>
              <w:jc w:val="center"/>
              <w:rPr>
                <w:rFonts w:hint="eastAsia" w:ascii="宋体" w:hAnsi="宋体" w:eastAsia="宋体" w:cs="宋体"/>
                <w:color w:val="auto"/>
                <w:sz w:val="24"/>
                <w:lang w:eastAsia="zh-CN"/>
              </w:rPr>
            </w:pPr>
            <w:r>
              <w:rPr>
                <w:rFonts w:hint="eastAsia" w:ascii="宋体" w:hAnsi="宋体" w:cs="宋体"/>
                <w:color w:val="auto"/>
                <w:sz w:val="24"/>
              </w:rPr>
              <w:t>1</w:t>
            </w:r>
            <w:r>
              <w:rPr>
                <w:rFonts w:hint="eastAsia" w:ascii="宋体" w:hAnsi="宋体" w:cs="宋体"/>
                <w:color w:val="auto"/>
                <w:sz w:val="24"/>
                <w:lang w:val="en-US" w:eastAsia="zh-CN"/>
              </w:rPr>
              <w:t>4</w:t>
            </w:r>
          </w:p>
        </w:tc>
        <w:tc>
          <w:tcPr>
            <w:tcW w:w="1843" w:type="dxa"/>
            <w:vMerge w:val="restart"/>
            <w:tcBorders>
              <w:top w:val="single" w:color="000000" w:sz="8" w:space="0"/>
              <w:left w:val="single" w:color="000000" w:sz="2" w:space="0"/>
              <w:right w:val="single" w:color="000000" w:sz="8" w:space="0"/>
            </w:tcBorders>
            <w:vAlign w:val="center"/>
          </w:tcPr>
          <w:p w14:paraId="288D89F5">
            <w:pPr>
              <w:snapToGrid w:val="0"/>
              <w:spacing w:line="360" w:lineRule="auto"/>
              <w:jc w:val="center"/>
              <w:rPr>
                <w:rFonts w:ascii="宋体" w:hAnsi="宋体" w:cs="宋体"/>
                <w:b/>
                <w:color w:val="auto"/>
                <w:sz w:val="24"/>
              </w:rPr>
            </w:pPr>
            <w:r>
              <w:rPr>
                <w:rFonts w:hint="eastAsia" w:cs="仿宋_GB2312" w:asciiTheme="minorEastAsia" w:hAnsiTheme="minorEastAsia" w:eastAsiaTheme="minorEastAsia"/>
                <w:b/>
                <w:color w:val="auto"/>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114E164F">
            <w:pPr>
              <w:spacing w:line="360" w:lineRule="auto"/>
              <w:rPr>
                <w:rFonts w:ascii="宋体" w:hAnsi="宋体" w:cs="宋体"/>
                <w:snapToGrid w:val="0"/>
                <w:color w:val="auto"/>
                <w:kern w:val="28"/>
                <w:sz w:val="24"/>
              </w:rPr>
            </w:pPr>
            <w:r>
              <w:rPr>
                <w:rFonts w:hint="eastAsia" w:ascii="宋体" w:hAnsi="宋体" w:cs="宋体"/>
                <w:snapToGrid w:val="0"/>
                <w:color w:val="auto"/>
                <w:kern w:val="28"/>
                <w:sz w:val="24"/>
              </w:rPr>
              <w:t>联合体投标的，联合体各方分别提供与联合体协议中规定的分工内容相应的业绩证明材料，业绩数量以提供材料较少的一方为准。</w:t>
            </w:r>
          </w:p>
        </w:tc>
      </w:tr>
      <w:tr w14:paraId="50C66F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608BB6DF">
            <w:pPr>
              <w:snapToGrid w:val="0"/>
              <w:spacing w:line="360" w:lineRule="auto"/>
              <w:jc w:val="center"/>
              <w:rPr>
                <w:rFonts w:ascii="宋体" w:hAnsi="宋体" w:cs="宋体"/>
                <w:color w:val="auto"/>
                <w:sz w:val="24"/>
              </w:rPr>
            </w:pPr>
          </w:p>
        </w:tc>
        <w:tc>
          <w:tcPr>
            <w:tcW w:w="1843" w:type="dxa"/>
            <w:vMerge w:val="continue"/>
            <w:tcBorders>
              <w:left w:val="single" w:color="000000" w:sz="2" w:space="0"/>
              <w:right w:val="single" w:color="000000" w:sz="8" w:space="0"/>
            </w:tcBorders>
            <w:vAlign w:val="center"/>
          </w:tcPr>
          <w:p w14:paraId="638D3682">
            <w:pPr>
              <w:snapToGrid w:val="0"/>
              <w:spacing w:line="360" w:lineRule="auto"/>
              <w:jc w:val="center"/>
              <w:rPr>
                <w:rFonts w:ascii="宋体" w:hAnsi="宋体" w:cs="宋体"/>
                <w:b/>
                <w:color w:val="auto"/>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F71D28B">
            <w:pPr>
              <w:spacing w:line="360" w:lineRule="auto"/>
              <w:rPr>
                <w:rFonts w:ascii="宋体" w:hAnsi="宋体" w:cs="宋体"/>
                <w:snapToGrid w:val="0"/>
                <w:color w:val="auto"/>
                <w:kern w:val="28"/>
                <w:sz w:val="24"/>
              </w:rPr>
            </w:pPr>
            <w:sdt>
              <w:sdtPr>
                <w:rPr>
                  <w:rFonts w:hint="eastAsia" w:cs="Arial" w:asciiTheme="minorEastAsia" w:hAnsiTheme="minorEastAsia" w:eastAsiaTheme="minorEastAsia"/>
                  <w:color w:val="auto"/>
                  <w:kern w:val="0"/>
                  <w:sz w:val="24"/>
                </w:rPr>
                <w:id w:val="-369766551"/>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ascii="宋体" w:hAnsi="宋体" w:cs="宋体"/>
                <w:snapToGrid w:val="0"/>
                <w:color w:val="auto"/>
                <w:kern w:val="28"/>
                <w:sz w:val="24"/>
              </w:rPr>
              <w:t>联合体投标的，联合体各方均需按招标文件第四部分评标标准要求提供资信证明文件，否则视为不符合相关要求。</w:t>
            </w:r>
          </w:p>
          <w:p w14:paraId="5BE4BBF8">
            <w:pPr>
              <w:spacing w:line="360" w:lineRule="auto"/>
              <w:rPr>
                <w:rFonts w:ascii="宋体" w:hAnsi="宋体" w:cs="宋体"/>
                <w:snapToGrid w:val="0"/>
                <w:color w:val="auto"/>
                <w:kern w:val="28"/>
                <w:sz w:val="24"/>
              </w:rPr>
            </w:pPr>
            <w:sdt>
              <w:sdtPr>
                <w:rPr>
                  <w:rFonts w:hint="eastAsia" w:cs="Arial" w:asciiTheme="minorEastAsia" w:hAnsiTheme="minorEastAsia" w:eastAsiaTheme="minorEastAsia"/>
                  <w:color w:val="auto"/>
                  <w:kern w:val="0"/>
                  <w:sz w:val="24"/>
                </w:rPr>
                <w:id w:val="1052570136"/>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rPr>
              </w:sdtEndPr>
              <w:sdtContent>
                <w:r>
                  <w:rPr>
                    <w:rFonts w:hint="eastAsia" w:cs="Arial" w:asciiTheme="minorEastAsia" w:hAnsiTheme="minorEastAsia" w:eastAsiaTheme="minorEastAsia"/>
                    <w:color w:val="auto"/>
                    <w:kern w:val="0"/>
                    <w:sz w:val="24"/>
                  </w:rPr>
                  <w:sym w:font="Wingdings" w:char="F0FE"/>
                </w:r>
              </w:sdtContent>
            </w:sdt>
            <w:r>
              <w:rPr>
                <w:rFonts w:hint="eastAsia" w:ascii="宋体" w:hAnsi="宋体" w:cs="宋体"/>
                <w:snapToGrid w:val="0"/>
                <w:color w:val="auto"/>
                <w:kern w:val="28"/>
                <w:sz w:val="24"/>
              </w:rPr>
              <w:t>联合体投标的，联合体中有一方或者联合体成员根据分工按招标文件第四部分评标标准要求提供资信证明文件的，视为符合了相关要求。</w:t>
            </w:r>
          </w:p>
        </w:tc>
      </w:tr>
      <w:tr w14:paraId="38E5E7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left w:val="single" w:color="000000" w:sz="8" w:space="0"/>
              <w:bottom w:val="single" w:color="auto" w:sz="4" w:space="0"/>
              <w:right w:val="single" w:color="000000" w:sz="2" w:space="0"/>
            </w:tcBorders>
          </w:tcPr>
          <w:p w14:paraId="63F50A54">
            <w:pPr>
              <w:snapToGrid w:val="0"/>
              <w:spacing w:line="360" w:lineRule="auto"/>
              <w:jc w:val="center"/>
              <w:rPr>
                <w:rFonts w:ascii="宋体" w:hAnsi="宋体" w:cs="宋体"/>
                <w:color w:val="auto"/>
                <w:sz w:val="24"/>
              </w:rPr>
            </w:pPr>
          </w:p>
        </w:tc>
        <w:tc>
          <w:tcPr>
            <w:tcW w:w="1843" w:type="dxa"/>
            <w:tcBorders>
              <w:left w:val="single" w:color="000000" w:sz="2" w:space="0"/>
              <w:bottom w:val="single" w:color="000000" w:sz="8" w:space="0"/>
              <w:right w:val="single" w:color="000000" w:sz="8" w:space="0"/>
            </w:tcBorders>
            <w:vAlign w:val="center"/>
          </w:tcPr>
          <w:p w14:paraId="1A7025F3">
            <w:pPr>
              <w:snapToGrid w:val="0"/>
              <w:spacing w:line="360" w:lineRule="auto"/>
              <w:jc w:val="center"/>
              <w:rPr>
                <w:rFonts w:hint="eastAsia" w:ascii="宋体" w:hAnsi="宋体" w:eastAsia="宋体" w:cs="宋体"/>
                <w:b/>
                <w:color w:val="auto"/>
                <w:sz w:val="24"/>
                <w:lang w:eastAsia="zh-CN"/>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6DD2A563">
            <w:pPr>
              <w:spacing w:line="360" w:lineRule="auto"/>
              <w:rPr>
                <w:rFonts w:hint="eastAsia" w:cs="Arial" w:asciiTheme="minorEastAsia" w:hAnsiTheme="minorEastAsia" w:eastAsiaTheme="minorEastAsia"/>
                <w:color w:val="auto"/>
                <w:kern w:val="0"/>
                <w:sz w:val="24"/>
              </w:rPr>
            </w:pP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1    </w:t>
            </w:r>
            <w:r>
              <w:rPr>
                <w:rFonts w:hint="eastAsia" w:ascii="宋体" w:hAnsi="宋体" w:cs="宋体"/>
                <w:color w:val="auto"/>
                <w:kern w:val="0"/>
                <w:sz w:val="24"/>
                <w:highlight w:val="none"/>
                <w:lang w:val="en" w:eastAsia="zh-CN"/>
              </w:rPr>
              <w:t>。</w:t>
            </w:r>
          </w:p>
        </w:tc>
      </w:tr>
      <w:bookmarkEnd w:id="10"/>
    </w:tbl>
    <w:p w14:paraId="6CECF871">
      <w:pPr>
        <w:adjustRightInd/>
        <w:spacing w:line="240" w:lineRule="auto"/>
        <w:ind w:firstLine="0" w:firstLineChars="0"/>
        <w:outlineLvl w:val="9"/>
        <w:rPr>
          <w:rFonts w:hint="eastAsia" w:ascii="宋体" w:hAnsi="宋体" w:cs="宋体"/>
          <w:b/>
          <w:color w:val="auto"/>
          <w:sz w:val="32"/>
          <w:szCs w:val="20"/>
        </w:rPr>
      </w:pPr>
      <w:bookmarkStart w:id="13" w:name="_Toc164416483"/>
      <w:bookmarkStart w:id="14" w:name="第三部分"/>
      <w:r>
        <w:rPr>
          <w:rFonts w:hint="eastAsia" w:ascii="宋体" w:hAnsi="宋体" w:cs="宋体"/>
          <w:b/>
          <w:color w:val="auto"/>
          <w:sz w:val="32"/>
          <w:szCs w:val="20"/>
        </w:rPr>
        <w:br w:type="page"/>
      </w:r>
    </w:p>
    <w:p w14:paraId="0FC3E3EC">
      <w:pPr>
        <w:adjustRightInd/>
        <w:spacing w:line="360" w:lineRule="auto"/>
        <w:ind w:firstLine="3845" w:firstLineChars="1197"/>
        <w:outlineLvl w:val="0"/>
        <w:rPr>
          <w:rFonts w:ascii="宋体" w:hAnsi="宋体" w:cs="宋体"/>
          <w:b/>
          <w:color w:val="auto"/>
          <w:sz w:val="32"/>
          <w:szCs w:val="20"/>
        </w:rPr>
      </w:pPr>
      <w:r>
        <w:rPr>
          <w:rFonts w:hint="eastAsia" w:ascii="宋体" w:hAnsi="宋体" w:cs="宋体"/>
          <w:b/>
          <w:color w:val="auto"/>
          <w:sz w:val="32"/>
          <w:szCs w:val="20"/>
        </w:rPr>
        <w:t>一、总则</w:t>
      </w:r>
    </w:p>
    <w:p w14:paraId="0038636F">
      <w:pPr>
        <w:snapToGrid w:val="0"/>
        <w:spacing w:line="360" w:lineRule="auto"/>
        <w:ind w:firstLine="361" w:firstLineChars="150"/>
        <w:jc w:val="left"/>
        <w:outlineLvl w:val="1"/>
        <w:rPr>
          <w:rFonts w:ascii="宋体" w:hAnsi="宋体" w:cs="宋体"/>
          <w:b/>
          <w:color w:val="auto"/>
          <w:sz w:val="24"/>
        </w:rPr>
      </w:pPr>
      <w:r>
        <w:rPr>
          <w:rFonts w:hint="eastAsia" w:ascii="宋体" w:hAnsi="宋体" w:cs="宋体"/>
          <w:b/>
          <w:color w:val="auto"/>
          <w:sz w:val="24"/>
        </w:rPr>
        <w:t>1. 适用范围</w:t>
      </w:r>
    </w:p>
    <w:p w14:paraId="067FF96F">
      <w:pPr>
        <w:snapToGrid w:val="0"/>
        <w:spacing w:line="360" w:lineRule="auto"/>
        <w:ind w:firstLine="480" w:firstLineChars="200"/>
        <w:jc w:val="left"/>
        <w:rPr>
          <w:rFonts w:ascii="宋体" w:hAnsi="宋体" w:cs="宋体"/>
          <w:color w:val="auto"/>
          <w:sz w:val="24"/>
        </w:rPr>
      </w:pPr>
      <w:r>
        <w:rPr>
          <w:rFonts w:hint="eastAsia" w:ascii="宋体" w:hAnsi="宋体" w:cs="宋体"/>
          <w:color w:val="auto"/>
          <w:sz w:val="24"/>
        </w:rPr>
        <w:t>本招标文件适用于该项目的招标、投标、开标、资格审查及信用信息查询、评标、定标、合同、验收等行为（法律、法规另有规定的，从其规定）。</w:t>
      </w:r>
    </w:p>
    <w:p w14:paraId="17CD07D7">
      <w:pPr>
        <w:adjustRightInd/>
        <w:spacing w:line="360" w:lineRule="auto"/>
        <w:outlineLvl w:val="0"/>
        <w:rPr>
          <w:rFonts w:ascii="宋体" w:hAnsi="宋体" w:cs="宋体"/>
          <w:b/>
          <w:color w:val="auto"/>
          <w:sz w:val="24"/>
        </w:rPr>
      </w:pPr>
      <w:r>
        <w:rPr>
          <w:rFonts w:hint="eastAsia" w:ascii="宋体" w:hAnsi="宋体" w:cs="宋体"/>
          <w:b/>
          <w:color w:val="auto"/>
          <w:sz w:val="24"/>
        </w:rPr>
        <w:t xml:space="preserve">   2.定义</w:t>
      </w:r>
    </w:p>
    <w:p w14:paraId="738F6D30">
      <w:pPr>
        <w:spacing w:line="360" w:lineRule="auto"/>
        <w:ind w:firstLine="480" w:firstLineChars="200"/>
        <w:rPr>
          <w:rFonts w:ascii="宋体" w:hAnsi="宋体" w:cs="宋体"/>
          <w:color w:val="auto"/>
          <w:sz w:val="24"/>
        </w:rPr>
      </w:pPr>
      <w:r>
        <w:rPr>
          <w:rFonts w:hint="eastAsia" w:ascii="宋体" w:hAnsi="宋体" w:cs="宋体"/>
          <w:color w:val="auto"/>
          <w:sz w:val="24"/>
        </w:rPr>
        <w:t>2.1 “采购人”系指招标公告中载明的本项目的采购人。</w:t>
      </w:r>
    </w:p>
    <w:p w14:paraId="2A3AF8B7">
      <w:pPr>
        <w:spacing w:line="360" w:lineRule="auto"/>
        <w:ind w:firstLine="480" w:firstLineChars="200"/>
        <w:rPr>
          <w:rFonts w:ascii="宋体" w:hAnsi="宋体" w:cs="宋体"/>
          <w:color w:val="auto"/>
          <w:sz w:val="24"/>
        </w:rPr>
      </w:pPr>
      <w:r>
        <w:rPr>
          <w:rFonts w:hint="eastAsia" w:ascii="宋体" w:hAnsi="宋体" w:cs="宋体"/>
          <w:color w:val="auto"/>
          <w:sz w:val="24"/>
        </w:rPr>
        <w:t>2.2 “</w:t>
      </w:r>
      <w:r>
        <w:rPr>
          <w:rFonts w:hint="eastAsia" w:ascii="宋体" w:hAnsi="宋体" w:cs="宋体"/>
          <w:color w:val="auto"/>
          <w:sz w:val="24"/>
          <w:lang w:eastAsia="zh-CN"/>
        </w:rPr>
        <w:t>采购代理机构</w:t>
      </w:r>
      <w:r>
        <w:rPr>
          <w:rFonts w:hint="eastAsia" w:ascii="宋体" w:hAnsi="宋体" w:cs="宋体"/>
          <w:color w:val="auto"/>
          <w:sz w:val="24"/>
        </w:rPr>
        <w:t>”系指招标公告中载明的本项目的</w:t>
      </w:r>
      <w:r>
        <w:rPr>
          <w:rFonts w:hint="eastAsia" w:ascii="宋体" w:hAnsi="宋体" w:cs="宋体"/>
          <w:color w:val="auto"/>
          <w:sz w:val="24"/>
          <w:lang w:eastAsia="zh-CN"/>
        </w:rPr>
        <w:t>采购代理机构</w:t>
      </w:r>
      <w:r>
        <w:rPr>
          <w:rFonts w:hint="eastAsia" w:ascii="宋体" w:hAnsi="宋体" w:cs="宋体"/>
          <w:color w:val="auto"/>
          <w:sz w:val="24"/>
        </w:rPr>
        <w:t>。</w:t>
      </w:r>
    </w:p>
    <w:p w14:paraId="19630B7C">
      <w:pPr>
        <w:spacing w:line="360" w:lineRule="auto"/>
        <w:ind w:firstLine="480" w:firstLineChars="200"/>
        <w:rPr>
          <w:rFonts w:ascii="宋体" w:hAnsi="宋体" w:cs="宋体"/>
          <w:color w:val="auto"/>
          <w:sz w:val="24"/>
        </w:rPr>
      </w:pPr>
      <w:r>
        <w:rPr>
          <w:rFonts w:hint="eastAsia" w:ascii="宋体" w:hAnsi="宋体" w:cs="宋体"/>
          <w:color w:val="auto"/>
          <w:sz w:val="24"/>
        </w:rPr>
        <w:t>2.3 “投标人”系指是指响应招标、参加投标竞争的法人、其他组织或者自然人。</w:t>
      </w:r>
    </w:p>
    <w:p w14:paraId="0D17FA66">
      <w:pPr>
        <w:spacing w:line="360" w:lineRule="auto"/>
        <w:ind w:firstLine="480" w:firstLineChars="200"/>
        <w:rPr>
          <w:rFonts w:ascii="宋体" w:hAnsi="宋体" w:cs="宋体"/>
          <w:color w:val="auto"/>
          <w:sz w:val="24"/>
        </w:rPr>
      </w:pPr>
      <w:r>
        <w:rPr>
          <w:rFonts w:hint="eastAsia" w:ascii="宋体" w:hAnsi="宋体" w:cs="宋体"/>
          <w:color w:val="auto"/>
          <w:sz w:val="24"/>
        </w:rPr>
        <w:t>2.4 “负责人”系指法人企业的法定负责人，或其他组织为法律、行政法规规定代表单位行使职权的主要负责人，或自然人本人。</w:t>
      </w:r>
    </w:p>
    <w:p w14:paraId="3BC56D28">
      <w:pPr>
        <w:spacing w:line="360" w:lineRule="auto"/>
        <w:ind w:firstLine="480" w:firstLineChars="200"/>
        <w:rPr>
          <w:rFonts w:ascii="宋体" w:hAnsi="宋体" w:cs="宋体"/>
          <w:color w:val="auto"/>
          <w:sz w:val="24"/>
        </w:rPr>
      </w:pPr>
      <w:r>
        <w:rPr>
          <w:rFonts w:hint="eastAsia" w:ascii="宋体" w:hAnsi="宋体" w:cs="宋体"/>
          <w:color w:val="auto"/>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1B9D29E0">
      <w:pPr>
        <w:spacing w:line="360" w:lineRule="auto"/>
        <w:ind w:firstLine="480" w:firstLineChars="200"/>
        <w:rPr>
          <w:rFonts w:ascii="宋体" w:hAnsi="宋体" w:cs="宋体"/>
          <w:color w:val="auto"/>
          <w:sz w:val="24"/>
        </w:rPr>
      </w:pPr>
      <w:r>
        <w:rPr>
          <w:rFonts w:hint="eastAsia" w:ascii="宋体" w:hAnsi="宋体" w:cs="宋体"/>
          <w:color w:val="auto"/>
          <w:sz w:val="24"/>
        </w:rPr>
        <w:t>2.6“电子交易平台”</w:t>
      </w:r>
      <w:r>
        <w:rPr>
          <w:rFonts w:hint="eastAsia" w:ascii="宋体" w:hAnsi="宋体" w:cs="宋体"/>
          <w:color w:val="auto"/>
          <w:sz w:val="24"/>
          <w:lang w:val="en-US" w:eastAsia="zh-CN"/>
        </w:rPr>
        <w:t>系</w:t>
      </w:r>
      <w:r>
        <w:rPr>
          <w:rFonts w:hint="eastAsia" w:ascii="宋体" w:hAnsi="宋体" w:cs="宋体"/>
          <w:color w:val="auto"/>
          <w:sz w:val="24"/>
        </w:rPr>
        <w:t>指本项目政府采购活动所依托的政府采购云平台（https://www.zcygov.cn/）。</w:t>
      </w:r>
    </w:p>
    <w:p w14:paraId="1DFBE9E8">
      <w:pPr>
        <w:spacing w:line="360" w:lineRule="auto"/>
        <w:ind w:firstLine="480" w:firstLineChars="200"/>
        <w:rPr>
          <w:rFonts w:ascii="宋体" w:hAnsi="宋体" w:cs="宋体"/>
          <w:color w:val="auto"/>
          <w:sz w:val="24"/>
        </w:rPr>
      </w:pPr>
      <w:r>
        <w:rPr>
          <w:rFonts w:hint="eastAsia" w:ascii="宋体" w:hAnsi="宋体" w:cs="宋体"/>
          <w:color w:val="auto"/>
          <w:sz w:val="24"/>
        </w:rPr>
        <w:t>2.7 “▲” 系指实质性要求条款，“</w:t>
      </w:r>
      <w:sdt>
        <w:sdtPr>
          <w:rPr>
            <w:rFonts w:hint="eastAsia" w:ascii="宋体" w:hAnsi="宋体" w:cs="宋体"/>
            <w:color w:val="auto"/>
            <w:kern w:val="0"/>
            <w:sz w:val="24"/>
          </w:rPr>
          <w:id w:val="512970236"/>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ascii="Wingdings" w:hAnsi="Wingdings" w:cs="宋体"/>
              <w:color w:val="auto"/>
              <w:kern w:val="0"/>
              <w:sz w:val="24"/>
            </w:rPr>
            <w:t></w:t>
          </w:r>
        </w:sdtContent>
      </w:sdt>
      <w:r>
        <w:rPr>
          <w:rFonts w:hint="eastAsia" w:ascii="宋体" w:hAnsi="宋体" w:cs="宋体"/>
          <w:color w:val="auto"/>
          <w:sz w:val="24"/>
        </w:rPr>
        <w:t>” 系指适用本项目的要求，“</w:t>
      </w:r>
      <w:sdt>
        <w:sdtPr>
          <w:rPr>
            <w:rFonts w:hint="eastAsia" w:ascii="宋体" w:hAnsi="宋体" w:cs="宋体"/>
            <w:color w:val="auto"/>
            <w:kern w:val="0"/>
            <w:sz w:val="24"/>
          </w:rPr>
          <w:id w:val="40488885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 系指不适用本项目的要求。</w:t>
      </w:r>
    </w:p>
    <w:p w14:paraId="5A67EC3C">
      <w:pPr>
        <w:spacing w:line="360" w:lineRule="auto"/>
        <w:ind w:firstLine="241" w:firstLineChars="100"/>
        <w:rPr>
          <w:rFonts w:ascii="宋体" w:hAnsi="宋体" w:cs="宋体"/>
          <w:b/>
          <w:color w:val="auto"/>
          <w:sz w:val="24"/>
        </w:rPr>
      </w:pPr>
      <w:r>
        <w:rPr>
          <w:rFonts w:hint="eastAsia" w:ascii="宋体" w:hAnsi="宋体" w:cs="宋体"/>
          <w:b/>
          <w:color w:val="auto"/>
          <w:sz w:val="24"/>
        </w:rPr>
        <w:t>3.</w:t>
      </w:r>
      <w:r>
        <w:rPr>
          <w:rFonts w:hint="eastAsia" w:ascii="宋体" w:hAnsi="宋体" w:cs="宋体"/>
          <w:color w:val="auto"/>
        </w:rPr>
        <w:t xml:space="preserve"> </w:t>
      </w:r>
      <w:r>
        <w:rPr>
          <w:rFonts w:hint="eastAsia" w:ascii="宋体" w:hAnsi="宋体" w:cs="宋体"/>
          <w:b/>
          <w:color w:val="auto"/>
          <w:sz w:val="24"/>
        </w:rPr>
        <w:t>采购项目需要落实的政府采购政策</w:t>
      </w:r>
    </w:p>
    <w:p w14:paraId="5EF4D1FD">
      <w:pPr>
        <w:spacing w:line="360" w:lineRule="auto"/>
        <w:ind w:firstLine="240" w:firstLineChars="100"/>
        <w:rPr>
          <w:rFonts w:ascii="宋体" w:hAnsi="宋体" w:cs="宋体"/>
          <w:color w:val="auto"/>
          <w:sz w:val="24"/>
        </w:rPr>
      </w:pPr>
      <w:r>
        <w:rPr>
          <w:rFonts w:hint="eastAsia" w:ascii="宋体" w:hAnsi="宋体" w:cs="宋体"/>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lang w:eastAsia="zh-CN"/>
        </w:rPr>
        <w:t>采购代理机构</w:t>
      </w:r>
      <w:r>
        <w:rPr>
          <w:rFonts w:hint="eastAsia" w:ascii="宋体" w:hAnsi="宋体" w:cs="宋体"/>
          <w:color w:val="auto"/>
          <w:sz w:val="24"/>
        </w:rPr>
        <w:t>不会对其加以限制，仍将按照公平竞争原则实施采购）；</w:t>
      </w:r>
      <w:r>
        <w:rPr>
          <w:rFonts w:hint="eastAsia" w:ascii="宋体" w:hAnsi="宋体" w:cs="宋体"/>
          <w:color w:val="auto"/>
          <w:kern w:val="0"/>
          <w:sz w:val="24"/>
        </w:rPr>
        <w:t>优先采购向我国企业转让技术、与我国企业签订消化吸收再创新方案的供应商的进口产品</w:t>
      </w:r>
      <w:r>
        <w:rPr>
          <w:rFonts w:hint="eastAsia" w:ascii="宋体" w:hAnsi="宋体" w:cs="宋体"/>
          <w:color w:val="auto"/>
          <w:sz w:val="24"/>
        </w:rPr>
        <w:t>。</w:t>
      </w:r>
    </w:p>
    <w:p w14:paraId="708AF355">
      <w:pPr>
        <w:spacing w:line="360" w:lineRule="auto"/>
        <w:ind w:firstLine="240" w:firstLineChars="100"/>
        <w:rPr>
          <w:rFonts w:ascii="宋体" w:hAnsi="宋体" w:cs="宋体"/>
          <w:color w:val="auto"/>
          <w:sz w:val="24"/>
        </w:rPr>
      </w:pPr>
      <w:r>
        <w:rPr>
          <w:rFonts w:hint="eastAsia" w:ascii="宋体" w:hAnsi="宋体" w:cs="宋体"/>
          <w:color w:val="auto"/>
          <w:sz w:val="24"/>
        </w:rPr>
        <w:t>3.2 支持绿色发展</w:t>
      </w:r>
    </w:p>
    <w:p w14:paraId="5ABEB7DD">
      <w:pPr>
        <w:spacing w:line="360" w:lineRule="auto"/>
        <w:ind w:firstLine="480" w:firstLineChars="200"/>
        <w:rPr>
          <w:rFonts w:ascii="宋体" w:hAnsi="宋体" w:cs="宋体"/>
          <w:b/>
          <w:color w:val="auto"/>
          <w:sz w:val="24"/>
        </w:rPr>
      </w:pPr>
      <w:r>
        <w:rPr>
          <w:rFonts w:hint="eastAsia" w:ascii="宋体" w:hAnsi="宋体" w:cs="宋体"/>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rPr>
        <w:t>▲采购人拟采购的产品属于政府强制采购的节能产品品目清单范围的，投标人相应的投标产品未获得国家确定的认证机构出具的、处于有效期之内的节能产品认证证书的，投标无效。</w:t>
      </w:r>
    </w:p>
    <w:p w14:paraId="308A9CCD">
      <w:pPr>
        <w:spacing w:line="360" w:lineRule="auto"/>
        <w:ind w:firstLine="480" w:firstLineChars="200"/>
        <w:rPr>
          <w:rFonts w:ascii="宋体" w:hAnsi="宋体" w:cs="宋体"/>
          <w:color w:val="auto"/>
          <w:sz w:val="24"/>
        </w:rPr>
      </w:pPr>
      <w:r>
        <w:rPr>
          <w:rFonts w:hint="eastAsia" w:ascii="宋体" w:hAnsi="宋体" w:cs="宋体"/>
          <w:color w:val="auto"/>
          <w:sz w:val="24"/>
        </w:rPr>
        <w:t>3.2.2 纳入政府采购管理的修缮、装修类项目采购建材的，鼓励采购单位将绿色建材性能、指标等作为实质性条件纳入采购文件和合同，具体性能指标要求参考相关绿色建材政府采购需求标准。</w:t>
      </w:r>
    </w:p>
    <w:p w14:paraId="280B9887">
      <w:pPr>
        <w:spacing w:line="360" w:lineRule="auto"/>
        <w:ind w:firstLine="480" w:firstLineChars="200"/>
        <w:rPr>
          <w:rFonts w:ascii="宋体" w:hAnsi="宋体" w:cs="宋体"/>
          <w:color w:val="auto"/>
          <w:sz w:val="24"/>
        </w:rPr>
      </w:pPr>
      <w:r>
        <w:rPr>
          <w:rFonts w:hint="eastAsia" w:ascii="宋体" w:hAnsi="宋体" w:cs="宋体"/>
          <w:color w:val="auto"/>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5" w:name="_Hlk107568539"/>
      <w:r>
        <w:rPr>
          <w:rFonts w:hint="eastAsia" w:ascii="宋体" w:hAnsi="宋体" w:cs="宋体"/>
          <w:color w:val="auto"/>
          <w:sz w:val="24"/>
        </w:rPr>
        <w:t>鼓励采购单位优先采购秸秆环保板材等资源综合利用产品。鼓励采购单位优先采购绿色物流配送服务、提供新能源交通工具的租赁服务。</w:t>
      </w:r>
    </w:p>
    <w:p w14:paraId="005BC164">
      <w:pPr>
        <w:spacing w:line="360" w:lineRule="auto"/>
        <w:ind w:firstLine="480" w:firstLineChars="200"/>
        <w:rPr>
          <w:rFonts w:ascii="宋体" w:hAnsi="宋体" w:cs="宋体"/>
          <w:color w:val="auto"/>
          <w:sz w:val="24"/>
        </w:rPr>
      </w:pPr>
      <w:r>
        <w:rPr>
          <w:rFonts w:hint="eastAsia" w:ascii="宋体" w:hAnsi="宋体" w:cs="宋体"/>
          <w:color w:val="auto"/>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5"/>
    </w:p>
    <w:p w14:paraId="7C7C80BD">
      <w:pPr>
        <w:spacing w:line="360" w:lineRule="auto"/>
        <w:ind w:firstLine="240" w:firstLineChars="100"/>
        <w:rPr>
          <w:rFonts w:ascii="宋体" w:hAnsi="宋体" w:cs="宋体"/>
          <w:color w:val="auto"/>
          <w:sz w:val="24"/>
        </w:rPr>
      </w:pPr>
      <w:r>
        <w:rPr>
          <w:rFonts w:hint="eastAsia" w:ascii="宋体" w:hAnsi="宋体" w:cs="宋体"/>
          <w:color w:val="auto"/>
          <w:sz w:val="24"/>
        </w:rPr>
        <w:t>3.3支持中小企业发展</w:t>
      </w:r>
    </w:p>
    <w:p w14:paraId="73470D21">
      <w:pPr>
        <w:spacing w:line="360" w:lineRule="auto"/>
        <w:ind w:firstLine="480" w:firstLineChars="200"/>
        <w:rPr>
          <w:rFonts w:ascii="宋体" w:hAnsi="宋体" w:cs="宋体"/>
          <w:color w:val="auto"/>
          <w:sz w:val="24"/>
        </w:rPr>
      </w:pPr>
      <w:r>
        <w:rPr>
          <w:rFonts w:hint="eastAsia" w:ascii="宋体" w:hAnsi="宋体" w:cs="宋体"/>
          <w:color w:val="auto"/>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38EAAA76">
      <w:pPr>
        <w:spacing w:line="360" w:lineRule="auto"/>
        <w:ind w:firstLine="480" w:firstLineChars="200"/>
        <w:rPr>
          <w:rFonts w:ascii="宋体" w:hAnsi="宋体" w:cs="宋体"/>
          <w:color w:val="auto"/>
          <w:sz w:val="24"/>
        </w:rPr>
      </w:pPr>
      <w:r>
        <w:rPr>
          <w:rFonts w:hint="eastAsia" w:ascii="宋体" w:hAnsi="宋体" w:cs="宋体"/>
          <w:color w:val="auto"/>
          <w:sz w:val="24"/>
        </w:rPr>
        <w:t>符合中小企业划分标准的个体工商户，在政府采购活动中视同中小企业。</w:t>
      </w:r>
    </w:p>
    <w:p w14:paraId="25E39ED9">
      <w:pPr>
        <w:widowControl/>
        <w:spacing w:line="360" w:lineRule="auto"/>
        <w:ind w:firstLine="480" w:firstLineChars="200"/>
        <w:jc w:val="left"/>
        <w:rPr>
          <w:rFonts w:ascii="宋体" w:hAnsi="宋体" w:cs="宋体"/>
          <w:color w:val="auto"/>
          <w:kern w:val="0"/>
          <w:sz w:val="24"/>
        </w:rPr>
      </w:pPr>
      <w:r>
        <w:rPr>
          <w:rFonts w:ascii="宋体" w:hAnsi="宋体" w:cs="宋体"/>
          <w:bCs/>
          <w:color w:val="auto"/>
          <w:sz w:val="24"/>
        </w:rPr>
        <w:t>3.3.2</w:t>
      </w:r>
      <w:r>
        <w:rPr>
          <w:rFonts w:hint="eastAsia" w:ascii="宋体" w:hAnsi="宋体" w:cs="宋体"/>
          <w:color w:val="auto"/>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5DF77ABE">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以联合体形式参加政府采购活动，联合体各方均为中小企业的，联合体视同中小企业。其中，联合体各方均为小微企业的，联合体视同小微企业。</w:t>
      </w:r>
    </w:p>
    <w:p w14:paraId="22E71C3B">
      <w:pPr>
        <w:spacing w:line="360" w:lineRule="auto"/>
        <w:ind w:firstLine="480" w:firstLineChars="200"/>
        <w:rPr>
          <w:rFonts w:ascii="宋体" w:hAnsi="宋体" w:cs="宋体"/>
          <w:color w:val="auto"/>
          <w:sz w:val="24"/>
        </w:rPr>
      </w:pPr>
      <w:r>
        <w:rPr>
          <w:rFonts w:hint="eastAsia" w:ascii="宋体" w:hAnsi="宋体" w:cs="宋体"/>
          <w:color w:val="auto"/>
          <w:sz w:val="24"/>
        </w:rPr>
        <w:t>3.3.3对于未预留份额专门面向中小企业的政府采购货物项目，以及预留份额政府采购货物项目中的非预留部分标项，对小型和微型企业的投标报价给予10%-</w:t>
      </w:r>
      <w:r>
        <w:rPr>
          <w:rFonts w:ascii="宋体" w:hAnsi="宋体" w:cs="宋体"/>
          <w:color w:val="auto"/>
          <w:sz w:val="24"/>
        </w:rPr>
        <w:t>20</w:t>
      </w:r>
      <w:r>
        <w:rPr>
          <w:rFonts w:hint="eastAsia" w:ascii="宋体" w:hAnsi="宋体" w:cs="宋体"/>
          <w:color w:val="auto"/>
          <w:sz w:val="24"/>
        </w:rPr>
        <w:t>%的扣除，用扣除后的价格参与评审。接受大中型企业与小微企业组成联合体或者允许大中型企业向一家或者多家小微企业分包的政府采购货物项目，对于</w:t>
      </w:r>
      <w:bookmarkStart w:id="16" w:name="_Hlk101132181"/>
      <w:r>
        <w:rPr>
          <w:rFonts w:hint="eastAsia" w:ascii="宋体" w:hAnsi="宋体" w:cs="宋体"/>
          <w:color w:val="auto"/>
          <w:sz w:val="24"/>
        </w:rPr>
        <w:t>联合协议或者分包意向协议约定小微企业的合同份额占到合同总金额30%以上的</w:t>
      </w:r>
      <w:bookmarkEnd w:id="16"/>
      <w:r>
        <w:rPr>
          <w:rFonts w:hint="eastAsia" w:ascii="宋体" w:hAnsi="宋体" w:cs="宋体"/>
          <w:color w:val="auto"/>
          <w:sz w:val="24"/>
        </w:rPr>
        <w:t>，对联合体或者大中型企业的报价给予4%-</w:t>
      </w:r>
      <w:r>
        <w:rPr>
          <w:rFonts w:ascii="宋体" w:hAnsi="宋体" w:cs="宋体"/>
          <w:color w:val="auto"/>
          <w:sz w:val="24"/>
        </w:rPr>
        <w:t>6</w:t>
      </w:r>
      <w:r>
        <w:rPr>
          <w:rFonts w:hint="eastAsia" w:ascii="宋体" w:hAnsi="宋体" w:cs="宋体"/>
          <w:color w:val="auto"/>
          <w:sz w:val="24"/>
        </w:rPr>
        <w:t>%的扣除，用扣除后的价格参加评审。组成联合体或者接受分包的小微企业与联合体内其他企业、分包企业之间存在直接控股、管理关系的，不享受价格扣除优惠政策。</w:t>
      </w:r>
    </w:p>
    <w:p w14:paraId="0E9F6FFD">
      <w:pPr>
        <w:spacing w:line="360" w:lineRule="auto"/>
        <w:ind w:firstLine="480" w:firstLineChars="200"/>
        <w:rPr>
          <w:rFonts w:ascii="宋体" w:hAnsi="宋体" w:cs="宋体"/>
          <w:color w:val="auto"/>
          <w:sz w:val="24"/>
        </w:rPr>
      </w:pPr>
      <w:r>
        <w:rPr>
          <w:rFonts w:hint="eastAsia" w:ascii="宋体" w:hAnsi="宋体" w:cs="宋体"/>
          <w:color w:val="auto"/>
          <w:sz w:val="24"/>
        </w:rPr>
        <w:t>3.3.4符合《关于促进残疾人就业政府采购政策的通知》（财库〔2017〕141号）规定的条件并提供《残疾人福利性单位声明函》（附件1）的残疾人福利性单位视同小型、微型企业；</w:t>
      </w:r>
    </w:p>
    <w:p w14:paraId="0C1A7C56">
      <w:pPr>
        <w:spacing w:line="360" w:lineRule="auto"/>
        <w:ind w:firstLine="480" w:firstLineChars="200"/>
        <w:rPr>
          <w:rFonts w:ascii="宋体" w:hAnsi="宋体" w:cs="宋体"/>
          <w:color w:val="auto"/>
          <w:sz w:val="24"/>
        </w:rPr>
      </w:pPr>
      <w:r>
        <w:rPr>
          <w:rFonts w:hint="eastAsia" w:ascii="宋体" w:hAnsi="宋体" w:cs="宋体"/>
          <w:color w:val="auto"/>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821966C">
      <w:pPr>
        <w:spacing w:line="360" w:lineRule="auto"/>
        <w:ind w:firstLine="480" w:firstLineChars="200"/>
        <w:rPr>
          <w:rFonts w:ascii="宋体" w:hAnsi="宋体" w:cs="宋体"/>
          <w:color w:val="auto"/>
          <w:sz w:val="24"/>
        </w:rPr>
      </w:pPr>
      <w:r>
        <w:rPr>
          <w:rFonts w:hint="eastAsia" w:ascii="宋体" w:hAnsi="宋体" w:cs="宋体"/>
          <w:color w:val="auto"/>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4165948E">
      <w:pPr>
        <w:spacing w:line="360" w:lineRule="auto"/>
        <w:ind w:firstLine="480" w:firstLineChars="200"/>
        <w:rPr>
          <w:rFonts w:ascii="宋体" w:hAnsi="宋体" w:cs="宋体"/>
          <w:color w:val="auto"/>
          <w:sz w:val="24"/>
        </w:rPr>
      </w:pPr>
      <w:r>
        <w:rPr>
          <w:rFonts w:hint="eastAsia" w:ascii="宋体" w:hAnsi="宋体" w:cs="宋体"/>
          <w:color w:val="auto"/>
          <w:sz w:val="24"/>
        </w:rPr>
        <w:t>3.3.7中小企业享受扶持政策获得政府采购合同的，小微企业不得将合同分包给大中型企业，中型企业不得将合同分包给大型企业。</w:t>
      </w:r>
    </w:p>
    <w:p w14:paraId="1AE026ED">
      <w:pPr>
        <w:spacing w:line="360" w:lineRule="auto"/>
        <w:ind w:firstLine="240" w:firstLineChars="100"/>
        <w:rPr>
          <w:rFonts w:ascii="宋体" w:hAnsi="宋体" w:cs="宋体"/>
          <w:color w:val="auto"/>
          <w:sz w:val="24"/>
        </w:rPr>
      </w:pPr>
      <w:r>
        <w:rPr>
          <w:rFonts w:hint="eastAsia" w:ascii="宋体" w:hAnsi="宋体" w:cs="宋体"/>
          <w:color w:val="auto"/>
          <w:sz w:val="24"/>
        </w:rPr>
        <w:t>3.4</w:t>
      </w:r>
      <w:r>
        <w:rPr>
          <w:rFonts w:hint="eastAsia" w:ascii="宋体" w:hAnsi="宋体" w:cs="宋体"/>
          <w:bCs/>
          <w:color w:val="auto"/>
          <w:sz w:val="24"/>
        </w:rPr>
        <w:t>支持创新发展</w:t>
      </w:r>
    </w:p>
    <w:p w14:paraId="7DBEEBCF">
      <w:pPr>
        <w:spacing w:line="360" w:lineRule="auto"/>
        <w:ind w:firstLine="480" w:firstLineChars="200"/>
        <w:rPr>
          <w:rFonts w:ascii="宋体" w:hAnsi="宋体" w:cs="宋体"/>
          <w:color w:val="auto"/>
          <w:sz w:val="24"/>
        </w:rPr>
      </w:pPr>
      <w:r>
        <w:rPr>
          <w:rFonts w:hint="eastAsia" w:ascii="宋体" w:hAnsi="宋体" w:cs="宋体"/>
          <w:color w:val="auto"/>
          <w:sz w:val="24"/>
        </w:rPr>
        <w:t>3.4.1 采购人优先采购被认定为首台套产品和“制造精品”的自主创新产品。</w:t>
      </w:r>
    </w:p>
    <w:p w14:paraId="7B00B596">
      <w:pPr>
        <w:spacing w:line="360" w:lineRule="auto"/>
        <w:ind w:firstLine="480" w:firstLineChars="200"/>
        <w:rPr>
          <w:rFonts w:hint="eastAsia" w:ascii="宋体" w:hAnsi="宋体" w:cs="宋体"/>
          <w:color w:val="auto"/>
          <w:sz w:val="24"/>
        </w:rPr>
      </w:pPr>
      <w:r>
        <w:rPr>
          <w:rFonts w:hint="eastAsia" w:ascii="宋体" w:hAnsi="宋体" w:cs="宋体"/>
          <w:color w:val="auto"/>
          <w:sz w:val="24"/>
        </w:rPr>
        <w:t>3.4.2首台套产品被纳入《首台套产品推广应用指导目录》之日起</w:t>
      </w:r>
      <w:r>
        <w:rPr>
          <w:rFonts w:ascii="宋体" w:hAnsi="宋体" w:cs="宋体"/>
          <w:color w:val="auto"/>
          <w:sz w:val="24"/>
        </w:rPr>
        <w:t>3</w:t>
      </w:r>
      <w:r>
        <w:rPr>
          <w:rFonts w:hint="eastAsia" w:ascii="宋体" w:hAnsi="宋体" w:cs="宋体"/>
          <w:color w:val="auto"/>
          <w:sz w:val="24"/>
        </w:rPr>
        <w:t>年内，以及产品核心技术高于国内领先水平，并具有明晰自主知识产权的“制造精品”产品，自认定之日起2年内视同已具备相应销售业绩，参加政府采购活动时业绩分值为满分。</w:t>
      </w:r>
    </w:p>
    <w:p w14:paraId="476F5104">
      <w:pPr>
        <w:pStyle w:val="3"/>
        <w:adjustRightInd w:val="0"/>
        <w:ind w:left="0" w:firstLine="480" w:firstLineChars="200"/>
        <w:rPr>
          <w:color w:val="auto"/>
        </w:rPr>
      </w:pPr>
      <w:r>
        <w:rPr>
          <w:rFonts w:hint="eastAsia" w:ascii="宋体" w:hAnsi="宋体" w:eastAsia="宋体" w:cs="仿宋"/>
          <w:b w:val="0"/>
          <w:bCs w:val="0"/>
          <w:color w:val="auto"/>
          <w:sz w:val="24"/>
          <w:szCs w:val="24"/>
          <w:lang w:val="en-US"/>
        </w:rPr>
        <w:t xml:space="preserve">3.4.3 </w:t>
      </w:r>
      <w:r>
        <w:rPr>
          <w:rFonts w:hint="eastAsia" w:ascii="宋体" w:hAnsi="宋体" w:eastAsia="宋体" w:cs="仿宋"/>
          <w:b w:val="0"/>
          <w:bCs w:val="0"/>
          <w:color w:val="auto"/>
          <w:sz w:val="24"/>
          <w:szCs w:val="24"/>
          <w:lang w:val="en-US" w:eastAsia="zh-CN"/>
        </w:rPr>
        <w:t>采购人应当贯彻落实知识产权保护相关法律法规，</w:t>
      </w:r>
      <w:r>
        <w:rPr>
          <w:rFonts w:hint="eastAsia" w:ascii="宋体" w:hAnsi="宋体" w:eastAsia="宋体" w:cs="仿宋"/>
          <w:b w:val="0"/>
          <w:bCs w:val="0"/>
          <w:color w:val="auto"/>
          <w:sz w:val="24"/>
          <w:szCs w:val="24"/>
          <w:lang w:val="en-US"/>
        </w:rPr>
        <w:t>应当采购使用正版软件。</w:t>
      </w:r>
    </w:p>
    <w:p w14:paraId="59C2BAD1">
      <w:pPr>
        <w:spacing w:line="360" w:lineRule="auto"/>
        <w:ind w:firstLine="480" w:firstLineChars="200"/>
        <w:rPr>
          <w:rFonts w:ascii="宋体" w:hAnsi="宋体" w:cs="宋体"/>
          <w:color w:val="auto"/>
          <w:sz w:val="24"/>
        </w:rPr>
      </w:pPr>
      <w:r>
        <w:rPr>
          <w:rFonts w:hint="eastAsia" w:ascii="宋体" w:hAnsi="宋体" w:cs="宋体"/>
          <w:color w:val="auto"/>
          <w:sz w:val="24"/>
        </w:rPr>
        <w:t>3.5平等对待内外资企业和符合条件的破产重整企业</w:t>
      </w:r>
    </w:p>
    <w:p w14:paraId="43A7167C">
      <w:pPr>
        <w:spacing w:line="360" w:lineRule="auto"/>
        <w:ind w:firstLine="480" w:firstLineChars="200"/>
        <w:rPr>
          <w:b/>
          <w:color w:val="auto"/>
        </w:rPr>
      </w:pPr>
      <w:r>
        <w:rPr>
          <w:rFonts w:hint="eastAsia" w:ascii="宋体" w:hAnsi="宋体" w:cs="宋体"/>
          <w:color w:val="auto"/>
          <w:sz w:val="24"/>
        </w:rPr>
        <w:t>平等对待内外资企业和符合条件的破产重整企业，切实保障企业公平竞争，平等维护企业的合法利益。</w:t>
      </w:r>
      <w:r>
        <w:rPr>
          <w:rFonts w:hint="eastAsia" w:ascii="宋体" w:hAnsi="宋体" w:cs="宋体"/>
          <w:color w:val="auto"/>
          <w:sz w:val="24"/>
        </w:rPr>
        <w:cr/>
      </w:r>
      <w:r>
        <w:rPr>
          <w:rFonts w:hint="eastAsia"/>
          <w:b/>
          <w:color w:val="auto"/>
        </w:rPr>
        <w:t>4. 询问、质疑、投诉</w:t>
      </w:r>
      <w:r>
        <w:rPr>
          <w:rFonts w:hint="eastAsia" w:ascii="宋体" w:hAnsi="宋体" w:cs="仿宋"/>
          <w:color w:val="auto"/>
          <w:sz w:val="24"/>
        </w:rPr>
        <w:t>、补偿救济</w:t>
      </w:r>
    </w:p>
    <w:p w14:paraId="02896A61">
      <w:pPr>
        <w:pStyle w:val="889"/>
        <w:shd w:val="clear" w:color="auto" w:fill="FFFFFF"/>
        <w:snapToGrid w:val="0"/>
        <w:spacing w:after="240" w:afterAutospacing="0" w:line="360" w:lineRule="auto"/>
        <w:ind w:firstLine="400"/>
        <w:contextualSpacing/>
        <w:rPr>
          <w:color w:val="auto"/>
          <w:lang w:val="zh-CN"/>
        </w:rPr>
      </w:pPr>
      <w:r>
        <w:rPr>
          <w:rFonts w:hint="eastAsia"/>
          <w:color w:val="auto"/>
          <w:lang w:val="zh-CN"/>
        </w:rPr>
        <w:t>4.1在线询问、质疑、投诉</w:t>
      </w:r>
    </w:p>
    <w:p w14:paraId="12C12CA9">
      <w:pPr>
        <w:pStyle w:val="889"/>
        <w:shd w:val="clear" w:color="auto" w:fill="FFFFFF"/>
        <w:snapToGrid w:val="0"/>
        <w:spacing w:after="240" w:afterAutospacing="0" w:line="360" w:lineRule="auto"/>
        <w:ind w:firstLine="400"/>
        <w:contextualSpacing/>
        <w:rPr>
          <w:color w:val="auto"/>
          <w:lang w:val="zh-CN"/>
        </w:rPr>
      </w:pPr>
      <w:r>
        <w:rPr>
          <w:rFonts w:hint="eastAsia"/>
          <w:color w:val="auto"/>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3731618">
      <w:pPr>
        <w:autoSpaceDE w:val="0"/>
        <w:autoSpaceDN w:val="0"/>
        <w:spacing w:line="360" w:lineRule="auto"/>
        <w:ind w:firstLine="240" w:firstLineChars="100"/>
        <w:jc w:val="left"/>
        <w:rPr>
          <w:rFonts w:ascii="宋体" w:hAnsi="宋体" w:cs="宋体"/>
          <w:color w:val="auto"/>
          <w:kern w:val="0"/>
          <w:sz w:val="24"/>
          <w:lang w:val="zh-CN"/>
        </w:rPr>
      </w:pPr>
      <w:r>
        <w:rPr>
          <w:rFonts w:hint="eastAsia" w:ascii="宋体" w:hAnsi="宋体" w:cs="宋体"/>
          <w:color w:val="auto"/>
          <w:kern w:val="0"/>
          <w:sz w:val="24"/>
          <w:lang w:val="zh-CN"/>
        </w:rPr>
        <w:t>4.2供应商询问</w:t>
      </w:r>
    </w:p>
    <w:p w14:paraId="0FA7DD7D">
      <w:pPr>
        <w:autoSpaceDE w:val="0"/>
        <w:autoSpaceDN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EAB1156">
      <w:pPr>
        <w:autoSpaceDE w:val="0"/>
        <w:autoSpaceDN w:val="0"/>
        <w:spacing w:line="360" w:lineRule="auto"/>
        <w:ind w:firstLine="240" w:firstLineChars="100"/>
        <w:jc w:val="left"/>
        <w:rPr>
          <w:rFonts w:ascii="宋体" w:hAnsi="宋体" w:cs="宋体"/>
          <w:color w:val="auto"/>
          <w:kern w:val="0"/>
          <w:sz w:val="24"/>
          <w:lang w:val="zh-CN"/>
        </w:rPr>
      </w:pPr>
      <w:r>
        <w:rPr>
          <w:rFonts w:hint="eastAsia" w:ascii="宋体" w:hAnsi="宋体" w:cs="宋体"/>
          <w:color w:val="auto"/>
          <w:kern w:val="0"/>
          <w:sz w:val="24"/>
          <w:lang w:val="zh-CN"/>
        </w:rPr>
        <w:t>4.3供应商质疑</w:t>
      </w:r>
    </w:p>
    <w:p w14:paraId="0E20792C">
      <w:pPr>
        <w:pStyle w:val="32"/>
        <w:spacing w:line="360" w:lineRule="auto"/>
        <w:ind w:firstLine="480" w:firstLineChars="200"/>
        <w:rPr>
          <w:rFonts w:hAnsi="宋体" w:cs="宋体"/>
          <w:color w:val="auto"/>
          <w:sz w:val="24"/>
        </w:rPr>
      </w:pPr>
      <w:r>
        <w:rPr>
          <w:rFonts w:hint="eastAsia" w:hAnsi="宋体" w:cs="宋体"/>
          <w:color w:val="auto"/>
          <w:kern w:val="0"/>
          <w:sz w:val="24"/>
          <w:lang w:val="zh-CN"/>
        </w:rPr>
        <w:t>4.3</w:t>
      </w:r>
      <w:r>
        <w:rPr>
          <w:rFonts w:hint="eastAsia" w:hAnsi="宋体" w:cs="宋体"/>
          <w:color w:val="auto"/>
          <w:sz w:val="24"/>
        </w:rPr>
        <w:t>.1提出质疑的供应商应当是参与所质疑项目采购活动的供应商。潜在供应商已依法获取其可质疑的招标文件的，可以对该文件提出质疑。</w:t>
      </w:r>
    </w:p>
    <w:p w14:paraId="27ACBF10">
      <w:pPr>
        <w:pStyle w:val="32"/>
        <w:spacing w:line="360" w:lineRule="auto"/>
        <w:ind w:firstLine="480" w:firstLineChars="200"/>
        <w:rPr>
          <w:rFonts w:hAnsi="宋体" w:cs="宋体"/>
          <w:color w:val="auto"/>
          <w:sz w:val="24"/>
        </w:rPr>
      </w:pPr>
      <w:r>
        <w:rPr>
          <w:rFonts w:hint="eastAsia" w:hAnsi="宋体" w:cs="宋体"/>
          <w:color w:val="auto"/>
          <w:kern w:val="0"/>
          <w:sz w:val="24"/>
          <w:lang w:val="zh-CN"/>
        </w:rPr>
        <w:t>4.3</w:t>
      </w:r>
      <w:r>
        <w:rPr>
          <w:rFonts w:hint="eastAsia" w:hAnsi="宋体" w:cs="宋体"/>
          <w:color w:val="auto"/>
          <w:sz w:val="24"/>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lang w:eastAsia="zh-CN"/>
        </w:rPr>
        <w:t>采购代理机构</w:t>
      </w:r>
      <w:r>
        <w:rPr>
          <w:rFonts w:hint="eastAsia" w:hAnsi="宋体" w:cs="宋体"/>
          <w:color w:val="auto"/>
          <w:sz w:val="24"/>
        </w:rPr>
        <w:t>提出质疑，否则，采购人或者</w:t>
      </w:r>
      <w:r>
        <w:rPr>
          <w:rFonts w:hint="eastAsia" w:hAnsi="宋体" w:cs="宋体"/>
          <w:color w:val="auto"/>
          <w:sz w:val="24"/>
          <w:lang w:eastAsia="zh-CN"/>
        </w:rPr>
        <w:t>采购代理机构</w:t>
      </w:r>
      <w:r>
        <w:rPr>
          <w:rFonts w:hint="eastAsia" w:hAnsi="宋体" w:cs="宋体"/>
          <w:color w:val="auto"/>
          <w:sz w:val="24"/>
        </w:rPr>
        <w:t>不予受理：</w:t>
      </w:r>
    </w:p>
    <w:p w14:paraId="6D9FD0B3">
      <w:pPr>
        <w:pStyle w:val="5"/>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14:paraId="6AC0F919">
      <w:pPr>
        <w:pStyle w:val="32"/>
        <w:spacing w:line="360" w:lineRule="auto"/>
        <w:ind w:left="479" w:leftChars="228"/>
        <w:rPr>
          <w:rFonts w:hAnsi="宋体" w:cs="宋体"/>
          <w:color w:val="auto"/>
          <w:sz w:val="24"/>
        </w:rPr>
      </w:pPr>
      <w:r>
        <w:rPr>
          <w:rFonts w:hint="eastAsia" w:hAnsi="宋体" w:cs="宋体"/>
          <w:color w:val="auto"/>
          <w:sz w:val="24"/>
        </w:rPr>
        <w:t>4.3.2.2对采购过程提出质疑的，质疑期限为各采购程序环节结束之日起计算。4.3.2.3对采购结果提出质疑的，质疑期限自采购结果公告期限届满之日起计算。</w:t>
      </w:r>
    </w:p>
    <w:p w14:paraId="34D3FF59">
      <w:pPr>
        <w:pStyle w:val="32"/>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4.3.3</w:t>
      </w:r>
      <w:r>
        <w:rPr>
          <w:rFonts w:hint="eastAsia" w:hAnsi="宋体" w:cs="宋体"/>
          <w:color w:val="auto"/>
          <w:sz w:val="24"/>
        </w:rPr>
        <w:t>供应商提出质疑应当提交质疑函和必要的证明材料。质疑函应当包括下列内容：</w:t>
      </w:r>
    </w:p>
    <w:p w14:paraId="5B88FD82">
      <w:pPr>
        <w:pStyle w:val="32"/>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　　4.3.3.1供应商的姓名或者名称、地址、邮编、联系人及联系电话；</w:t>
      </w:r>
    </w:p>
    <w:p w14:paraId="7956777C">
      <w:pPr>
        <w:pStyle w:val="32"/>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　　4.3.3.2质疑项目的名称、编号；</w:t>
      </w:r>
    </w:p>
    <w:p w14:paraId="28EE8CFC">
      <w:pPr>
        <w:pStyle w:val="32"/>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　　4.3.3.3具体、明确的质疑事项和与质疑事项相关的请求；</w:t>
      </w:r>
    </w:p>
    <w:p w14:paraId="728EEEF9">
      <w:pPr>
        <w:pStyle w:val="32"/>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　　4.3.3.4事实依据；</w:t>
      </w:r>
    </w:p>
    <w:p w14:paraId="4F50F99F">
      <w:pPr>
        <w:pStyle w:val="32"/>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　　4.3.3.5必要的法律依据；</w:t>
      </w:r>
    </w:p>
    <w:p w14:paraId="36ECDC75">
      <w:pPr>
        <w:pStyle w:val="32"/>
        <w:spacing w:line="360" w:lineRule="auto"/>
        <w:ind w:firstLine="960" w:firstLineChars="400"/>
        <w:rPr>
          <w:rFonts w:hAnsi="宋体" w:cs="宋体"/>
          <w:color w:val="auto"/>
          <w:kern w:val="0"/>
          <w:sz w:val="24"/>
          <w:lang w:val="zh-CN"/>
        </w:rPr>
      </w:pPr>
      <w:r>
        <w:rPr>
          <w:rFonts w:hint="eastAsia" w:hAnsi="宋体" w:cs="宋体"/>
          <w:color w:val="auto"/>
          <w:kern w:val="0"/>
          <w:sz w:val="24"/>
          <w:lang w:val="zh-CN"/>
        </w:rPr>
        <w:t>4.3.3.6提出质疑的日期。</w:t>
      </w:r>
    </w:p>
    <w:p w14:paraId="7B748C98">
      <w:pPr>
        <w:pStyle w:val="889"/>
        <w:shd w:val="clear" w:color="auto" w:fill="FFFFFF"/>
        <w:snapToGrid w:val="0"/>
        <w:spacing w:after="240" w:afterAutospacing="0" w:line="360" w:lineRule="auto"/>
        <w:ind w:firstLine="400"/>
        <w:contextualSpacing/>
        <w:rPr>
          <w:color w:val="auto"/>
        </w:rPr>
      </w:pPr>
      <w:r>
        <w:rPr>
          <w:rFonts w:hint="eastAsia"/>
          <w:color w:val="auto"/>
        </w:rPr>
        <w:t>供应商提交的质疑函需一式三份。供应商为自然人的，应当由本人签字；供应商为法人或者其他组织的，应当由法定代表人、主要负责人，或者其授权代表签字或者盖章，并加盖公章。</w:t>
      </w:r>
    </w:p>
    <w:p w14:paraId="19BB8288">
      <w:pPr>
        <w:pStyle w:val="889"/>
        <w:shd w:val="clear" w:color="auto" w:fill="FFFFFF"/>
        <w:snapToGrid w:val="0"/>
        <w:spacing w:after="240" w:afterAutospacing="0" w:line="360" w:lineRule="auto"/>
        <w:ind w:firstLine="400"/>
        <w:contextualSpacing/>
        <w:rPr>
          <w:color w:val="auto"/>
        </w:rPr>
      </w:pPr>
      <w:r>
        <w:rPr>
          <w:rFonts w:hint="eastAsia"/>
          <w:color w:val="auto"/>
        </w:rPr>
        <w:t>质疑函范本及制作说明详见附件2。</w:t>
      </w:r>
    </w:p>
    <w:p w14:paraId="78D5C3A2">
      <w:pPr>
        <w:pStyle w:val="889"/>
        <w:shd w:val="clear" w:color="auto" w:fill="FFFFFF"/>
        <w:snapToGrid w:val="0"/>
        <w:spacing w:after="240" w:afterAutospacing="0" w:line="360" w:lineRule="auto"/>
        <w:ind w:firstLine="400"/>
        <w:contextualSpacing/>
        <w:rPr>
          <w:color w:val="auto"/>
        </w:rPr>
      </w:pPr>
      <w:r>
        <w:rPr>
          <w:rFonts w:hint="eastAsia"/>
          <w:color w:val="auto"/>
        </w:rPr>
        <w:t>4.3.4对同一采购程序环节的质疑，供应商须在法定质疑期内一次性提出。</w:t>
      </w:r>
    </w:p>
    <w:p w14:paraId="0FD9D0F0">
      <w:pPr>
        <w:pStyle w:val="889"/>
        <w:shd w:val="clear" w:color="auto" w:fill="FFFFFF"/>
        <w:snapToGrid w:val="0"/>
        <w:spacing w:after="240" w:afterAutospacing="0" w:line="360" w:lineRule="auto"/>
        <w:ind w:firstLine="400"/>
        <w:contextualSpacing/>
        <w:rPr>
          <w:color w:val="auto"/>
        </w:rPr>
      </w:pPr>
      <w:r>
        <w:rPr>
          <w:rFonts w:hint="eastAsia"/>
          <w:color w:val="auto"/>
          <w:lang w:val="zh-CN"/>
        </w:rPr>
        <w:t>4.3</w:t>
      </w:r>
      <w:r>
        <w:rPr>
          <w:rFonts w:hint="eastAsia"/>
          <w:color w:val="auto"/>
        </w:rPr>
        <w:t>.5采购人或者</w:t>
      </w:r>
      <w:r>
        <w:rPr>
          <w:rFonts w:hint="eastAsia"/>
          <w:color w:val="auto"/>
          <w:lang w:eastAsia="zh-CN"/>
        </w:rPr>
        <w:t>采购代理机构</w:t>
      </w:r>
      <w:r>
        <w:rPr>
          <w:rFonts w:hint="eastAsia"/>
          <w:color w:val="auto"/>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lang w:eastAsia="zh-CN"/>
        </w:rPr>
        <w:t>采购代理机构</w:t>
      </w:r>
      <w:r>
        <w:rPr>
          <w:rFonts w:hint="eastAsia"/>
          <w:color w:val="auto"/>
        </w:rPr>
        <w:t>在质疑回复后5个工作日内，在浙江政府采购网的“其他公告”栏目公开质疑答复，答复内容应当完整。质疑函作为附件上传。</w:t>
      </w:r>
    </w:p>
    <w:p w14:paraId="7943294E">
      <w:pPr>
        <w:pStyle w:val="889"/>
        <w:shd w:val="clear" w:color="auto" w:fill="FFFFFF"/>
        <w:snapToGrid w:val="0"/>
        <w:spacing w:after="240" w:afterAutospacing="0" w:line="360" w:lineRule="auto"/>
        <w:ind w:firstLine="400"/>
        <w:contextualSpacing/>
        <w:rPr>
          <w:color w:val="auto"/>
        </w:rPr>
      </w:pPr>
      <w:r>
        <w:rPr>
          <w:rFonts w:hint="eastAsia"/>
          <w:color w:val="auto"/>
          <w:lang w:val="zh-CN"/>
        </w:rPr>
        <w:t>4.3</w:t>
      </w:r>
      <w:r>
        <w:rPr>
          <w:rFonts w:hint="eastAsia"/>
          <w:color w:val="auto"/>
        </w:rPr>
        <w:t>.6询问或者质疑事项可能影响采购结果的，采购人应当暂停签订合同，已经签订合同的，应当中止履行合同。</w:t>
      </w:r>
    </w:p>
    <w:p w14:paraId="4D377B7E">
      <w:pPr>
        <w:pStyle w:val="889"/>
        <w:shd w:val="clear" w:color="auto" w:fill="FFFFFF"/>
        <w:snapToGrid w:val="0"/>
        <w:spacing w:after="240" w:afterAutospacing="0" w:line="360" w:lineRule="auto"/>
        <w:ind w:firstLine="480" w:firstLineChars="200"/>
        <w:contextualSpacing/>
        <w:rPr>
          <w:color w:val="auto"/>
          <w:lang w:val="zh-CN"/>
        </w:rPr>
      </w:pPr>
      <w:r>
        <w:rPr>
          <w:rFonts w:hint="eastAsia"/>
          <w:color w:val="auto"/>
          <w:lang w:val="zh-CN"/>
        </w:rPr>
        <w:t>4.4供应商投诉</w:t>
      </w:r>
    </w:p>
    <w:p w14:paraId="7523B01A">
      <w:pPr>
        <w:pStyle w:val="889"/>
        <w:shd w:val="clear" w:color="auto" w:fill="FFFFFF"/>
        <w:snapToGrid w:val="0"/>
        <w:spacing w:after="240" w:afterAutospacing="0" w:line="360" w:lineRule="auto"/>
        <w:ind w:firstLine="400"/>
        <w:contextualSpacing/>
        <w:rPr>
          <w:color w:val="auto"/>
        </w:rPr>
      </w:pPr>
      <w:r>
        <w:rPr>
          <w:rFonts w:hint="eastAsia"/>
          <w:color w:val="auto"/>
        </w:rPr>
        <w:t>4.4.1质疑供应商对采购人、</w:t>
      </w:r>
      <w:r>
        <w:rPr>
          <w:rFonts w:hint="eastAsia"/>
          <w:color w:val="auto"/>
          <w:lang w:eastAsia="zh-CN"/>
        </w:rPr>
        <w:t>采购代理机构</w:t>
      </w:r>
      <w:r>
        <w:rPr>
          <w:rFonts w:hint="eastAsia"/>
          <w:color w:val="auto"/>
        </w:rPr>
        <w:t>的答复不满意或者采购人、</w:t>
      </w:r>
      <w:r>
        <w:rPr>
          <w:rFonts w:hint="eastAsia"/>
          <w:color w:val="auto"/>
          <w:lang w:eastAsia="zh-CN"/>
        </w:rPr>
        <w:t>采购代理机构</w:t>
      </w:r>
      <w:r>
        <w:rPr>
          <w:rFonts w:hint="eastAsia"/>
          <w:color w:val="auto"/>
        </w:rPr>
        <w:t>未在规定的时间内作出答复的，可以在答复期满后十五个工作日内向同级政府采购监督管理部门提出投诉。</w:t>
      </w:r>
    </w:p>
    <w:p w14:paraId="2D2F0A74">
      <w:pPr>
        <w:pStyle w:val="889"/>
        <w:shd w:val="clear" w:color="auto" w:fill="FFFFFF"/>
        <w:snapToGrid w:val="0"/>
        <w:spacing w:after="240" w:afterAutospacing="0" w:line="360" w:lineRule="auto"/>
        <w:ind w:firstLine="400"/>
        <w:contextualSpacing/>
        <w:rPr>
          <w:color w:val="auto"/>
        </w:rPr>
      </w:pPr>
      <w:r>
        <w:rPr>
          <w:rFonts w:hint="eastAsia"/>
          <w:color w:val="auto"/>
        </w:rPr>
        <w:t>4.4.</w:t>
      </w:r>
      <w:r>
        <w:rPr>
          <w:rFonts w:hint="eastAsia"/>
          <w:color w:val="auto"/>
          <w:lang w:val="zh-CN"/>
        </w:rPr>
        <w:t>2</w:t>
      </w:r>
      <w:r>
        <w:rPr>
          <w:rFonts w:hint="eastAsia"/>
          <w:color w:val="auto"/>
        </w:rPr>
        <w:t>供应商投诉的事项不得超出已质疑事项的范围，基于质疑答复内容提出的投诉事项除外。</w:t>
      </w:r>
    </w:p>
    <w:p w14:paraId="25171F5B">
      <w:pPr>
        <w:pStyle w:val="889"/>
        <w:shd w:val="clear" w:color="auto" w:fill="FFFFFF"/>
        <w:snapToGrid w:val="0"/>
        <w:spacing w:after="240" w:afterAutospacing="0" w:line="360" w:lineRule="auto"/>
        <w:ind w:firstLine="400"/>
        <w:contextualSpacing/>
        <w:rPr>
          <w:color w:val="auto"/>
        </w:rPr>
      </w:pPr>
      <w:r>
        <w:rPr>
          <w:rFonts w:hint="eastAsia"/>
          <w:color w:val="auto"/>
        </w:rPr>
        <w:t>4.4.3供应商投诉应当有明确的请求和必要的证明材料。</w:t>
      </w:r>
    </w:p>
    <w:p w14:paraId="3E8C8F5C">
      <w:pPr>
        <w:pStyle w:val="889"/>
        <w:shd w:val="clear" w:color="auto" w:fill="FFFFFF"/>
        <w:snapToGrid w:val="0"/>
        <w:spacing w:after="240" w:afterAutospacing="0" w:line="360" w:lineRule="auto"/>
        <w:ind w:firstLine="400"/>
        <w:contextualSpacing/>
        <w:rPr>
          <w:color w:val="auto"/>
        </w:rPr>
      </w:pPr>
      <w:r>
        <w:rPr>
          <w:rFonts w:hint="eastAsia"/>
          <w:color w:val="auto"/>
        </w:rPr>
        <w:t>4.4.4 以联合体形式参加政府采购活动的，其投诉应当由组成联合体的所有供应商共同提出。</w:t>
      </w:r>
    </w:p>
    <w:p w14:paraId="2D22C513">
      <w:pPr>
        <w:pStyle w:val="889"/>
        <w:shd w:val="clear" w:color="auto" w:fill="FFFFFF"/>
        <w:snapToGrid w:val="0"/>
        <w:spacing w:after="240" w:afterAutospacing="0" w:line="360" w:lineRule="auto"/>
        <w:ind w:firstLine="480" w:firstLineChars="200"/>
        <w:contextualSpacing/>
        <w:rPr>
          <w:rFonts w:hint="eastAsia"/>
          <w:color w:val="auto"/>
        </w:rPr>
      </w:pPr>
      <w:r>
        <w:rPr>
          <w:rFonts w:hint="eastAsia"/>
          <w:color w:val="auto"/>
        </w:rPr>
        <w:t>4.4.5根据政府采购行政裁决省市区三级联动试点工作安排，杭州市本级</w:t>
      </w:r>
      <w:r>
        <w:rPr>
          <w:rFonts w:hint="eastAsia"/>
          <w:color w:val="auto"/>
          <w:lang w:eastAsia="zh-CN"/>
        </w:rPr>
        <w:t>及各区、县（市）</w:t>
      </w:r>
      <w:r>
        <w:rPr>
          <w:rFonts w:hint="eastAsia"/>
          <w:color w:val="auto"/>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p>
    <w:p w14:paraId="736E556E">
      <w:pPr>
        <w:adjustRightInd w:val="0"/>
        <w:snapToGrid w:val="0"/>
        <w:spacing w:line="360" w:lineRule="auto"/>
        <w:ind w:firstLine="480" w:firstLineChars="200"/>
        <w:rPr>
          <w:rFonts w:hint="eastAsia" w:ascii="宋体" w:hAnsi="宋体" w:cs="仿宋"/>
          <w:color w:val="auto"/>
          <w:sz w:val="24"/>
        </w:rPr>
      </w:pPr>
      <w:r>
        <w:rPr>
          <w:rFonts w:hint="eastAsia" w:ascii="宋体" w:hAnsi="宋体" w:cs="仿宋"/>
          <w:color w:val="auto"/>
          <w:sz w:val="24"/>
        </w:rPr>
        <w:t>4.5 补偿救济</w:t>
      </w:r>
    </w:p>
    <w:p w14:paraId="29A95CAB">
      <w:pPr>
        <w:shd w:val="clear" w:color="auto" w:fill="FFFFFF"/>
        <w:adjustRightInd w:val="0"/>
        <w:snapToGrid w:val="0"/>
        <w:spacing w:after="240" w:afterAutospacing="0" w:line="360" w:lineRule="auto"/>
        <w:ind w:firstLine="480" w:firstLineChars="200"/>
        <w:contextualSpacing/>
        <w:rPr>
          <w:rFonts w:hint="eastAsia"/>
          <w:color w:val="auto"/>
        </w:rPr>
      </w:pPr>
      <w:r>
        <w:rPr>
          <w:rFonts w:hint="eastAsia" w:ascii="宋体" w:hAnsi="宋体" w:cs="仿宋"/>
          <w:color w:val="auto"/>
          <w:sz w:val="24"/>
        </w:rPr>
        <w:t>采购人（行政机关）因政策变化、规划调整而不履行政府采购合同的，供应商可依据《杭州市涉企补偿救济实施办法（试行）》向采购人（行政机关）提起补偿申请。</w:t>
      </w:r>
    </w:p>
    <w:p w14:paraId="4C10F16D">
      <w:pPr>
        <w:pStyle w:val="889"/>
        <w:shd w:val="clear" w:color="auto" w:fill="FFFFFF"/>
        <w:snapToGrid w:val="0"/>
        <w:spacing w:after="240" w:afterAutospacing="0" w:line="360" w:lineRule="auto"/>
        <w:ind w:firstLine="400"/>
        <w:contextualSpacing/>
        <w:rPr>
          <w:color w:val="auto"/>
        </w:rPr>
      </w:pPr>
      <w:r>
        <w:rPr>
          <w:rFonts w:hint="eastAsia"/>
          <w:color w:val="auto"/>
        </w:rPr>
        <w:t>投诉书范本及制作说明详见附件3。</w:t>
      </w:r>
    </w:p>
    <w:p w14:paraId="03915EA3">
      <w:pPr>
        <w:pStyle w:val="131"/>
        <w:snapToGrid w:val="0"/>
        <w:spacing w:before="0"/>
        <w:ind w:firstLine="360"/>
        <w:rPr>
          <w:rFonts w:ascii="宋体" w:hAnsi="宋体" w:cs="宋体"/>
          <w:color w:val="auto"/>
          <w:sz w:val="18"/>
          <w:szCs w:val="18"/>
        </w:rPr>
      </w:pPr>
    </w:p>
    <w:p w14:paraId="2BCB1967">
      <w:pPr>
        <w:adjustRightInd/>
        <w:spacing w:line="360" w:lineRule="auto"/>
        <w:jc w:val="center"/>
        <w:outlineLvl w:val="0"/>
        <w:rPr>
          <w:rFonts w:ascii="宋体" w:hAnsi="宋体" w:cs="宋体"/>
          <w:b/>
          <w:color w:val="auto"/>
          <w:sz w:val="32"/>
          <w:szCs w:val="20"/>
        </w:rPr>
      </w:pPr>
      <w:r>
        <w:rPr>
          <w:rFonts w:hint="eastAsia" w:ascii="宋体" w:hAnsi="宋体" w:cs="宋体"/>
          <w:b/>
          <w:color w:val="auto"/>
          <w:sz w:val="32"/>
          <w:szCs w:val="20"/>
        </w:rPr>
        <w:t xml:space="preserve">      二、招标文件的构成、澄清、修改</w:t>
      </w:r>
    </w:p>
    <w:p w14:paraId="7607290A">
      <w:pPr>
        <w:pStyle w:val="32"/>
        <w:spacing w:line="360" w:lineRule="auto"/>
        <w:rPr>
          <w:rFonts w:hAnsi="宋体" w:cs="宋体"/>
          <w:b/>
          <w:color w:val="auto"/>
          <w:sz w:val="24"/>
          <w:szCs w:val="24"/>
        </w:rPr>
      </w:pPr>
      <w:r>
        <w:rPr>
          <w:rFonts w:hint="eastAsia" w:hAnsi="宋体" w:cs="宋体"/>
          <w:b/>
          <w:color w:val="auto"/>
          <w:sz w:val="24"/>
          <w:szCs w:val="24"/>
        </w:rPr>
        <w:t>5．招标文件的构成</w:t>
      </w:r>
    </w:p>
    <w:p w14:paraId="33213C6C">
      <w:pPr>
        <w:pStyle w:val="32"/>
        <w:spacing w:line="360" w:lineRule="auto"/>
        <w:ind w:firstLine="480" w:firstLineChars="200"/>
        <w:rPr>
          <w:rFonts w:hAnsi="宋体" w:cs="宋体"/>
          <w:color w:val="auto"/>
          <w:sz w:val="24"/>
          <w:szCs w:val="24"/>
        </w:rPr>
      </w:pPr>
      <w:r>
        <w:rPr>
          <w:rFonts w:hint="eastAsia" w:hAnsi="宋体" w:cs="宋体"/>
          <w:color w:val="auto"/>
          <w:sz w:val="24"/>
          <w:szCs w:val="24"/>
        </w:rPr>
        <w:t>5.1 招标文件包括下列文件及附件：</w:t>
      </w:r>
    </w:p>
    <w:p w14:paraId="37A7D065">
      <w:pPr>
        <w:pStyle w:val="32"/>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5.1.1招标公告；</w:t>
      </w:r>
    </w:p>
    <w:p w14:paraId="6ECF1B81">
      <w:pPr>
        <w:pStyle w:val="32"/>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5.1.2投标人须知；</w:t>
      </w:r>
    </w:p>
    <w:p w14:paraId="336D552B">
      <w:pPr>
        <w:pStyle w:val="32"/>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5.1.3采购需求；</w:t>
      </w:r>
    </w:p>
    <w:p w14:paraId="4D8EA2F4">
      <w:pPr>
        <w:pStyle w:val="32"/>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5.1.4评标办法；</w:t>
      </w:r>
    </w:p>
    <w:p w14:paraId="3B5D8E25">
      <w:pPr>
        <w:pStyle w:val="32"/>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5.1.5拟签订的合同文本；</w:t>
      </w:r>
    </w:p>
    <w:p w14:paraId="30703F51">
      <w:pPr>
        <w:pStyle w:val="32"/>
        <w:tabs>
          <w:tab w:val="left" w:pos="840"/>
        </w:tabs>
        <w:spacing w:line="360" w:lineRule="auto"/>
        <w:ind w:firstLine="960" w:firstLineChars="400"/>
        <w:rPr>
          <w:rFonts w:hAnsi="宋体" w:cs="宋体"/>
          <w:color w:val="auto"/>
          <w:sz w:val="24"/>
          <w:szCs w:val="24"/>
        </w:rPr>
      </w:pPr>
      <w:r>
        <w:rPr>
          <w:rFonts w:hint="eastAsia" w:hAnsi="宋体" w:cs="宋体"/>
          <w:color w:val="auto"/>
          <w:sz w:val="24"/>
        </w:rPr>
        <w:t>5.1.6</w:t>
      </w:r>
      <w:r>
        <w:rPr>
          <w:rFonts w:hint="eastAsia" w:hAnsi="宋体" w:cs="宋体"/>
          <w:color w:val="auto"/>
          <w:sz w:val="24"/>
          <w:szCs w:val="24"/>
        </w:rPr>
        <w:t>应提交的有关格式范例。</w:t>
      </w:r>
    </w:p>
    <w:p w14:paraId="459A220C">
      <w:pPr>
        <w:spacing w:line="360" w:lineRule="auto"/>
        <w:ind w:firstLine="480" w:firstLineChars="200"/>
        <w:rPr>
          <w:rFonts w:ascii="宋体" w:hAnsi="宋体" w:cs="宋体"/>
          <w:color w:val="auto"/>
          <w:sz w:val="24"/>
        </w:rPr>
      </w:pPr>
      <w:r>
        <w:rPr>
          <w:rFonts w:hint="eastAsia" w:ascii="宋体" w:hAnsi="宋体" w:cs="宋体"/>
          <w:color w:val="auto"/>
          <w:sz w:val="24"/>
        </w:rPr>
        <w:t>5.2与本项目有关的</w:t>
      </w:r>
      <w:r>
        <w:rPr>
          <w:rFonts w:hint="eastAsia" w:ascii="宋体" w:hAnsi="宋体" w:cs="宋体"/>
          <w:bCs/>
          <w:color w:val="auto"/>
          <w:sz w:val="24"/>
        </w:rPr>
        <w:t>澄清或者修改的内容为招标文件的组成部分</w:t>
      </w:r>
      <w:r>
        <w:rPr>
          <w:rFonts w:hint="eastAsia" w:ascii="宋体" w:hAnsi="宋体" w:cs="宋体"/>
          <w:color w:val="auto"/>
          <w:sz w:val="24"/>
        </w:rPr>
        <w:t>。</w:t>
      </w:r>
    </w:p>
    <w:p w14:paraId="1C85BCB1">
      <w:pPr>
        <w:pStyle w:val="32"/>
        <w:spacing w:line="360" w:lineRule="auto"/>
        <w:rPr>
          <w:rFonts w:hAnsi="宋体" w:cs="宋体"/>
          <w:b/>
          <w:color w:val="auto"/>
          <w:sz w:val="24"/>
          <w:szCs w:val="24"/>
        </w:rPr>
      </w:pPr>
      <w:r>
        <w:rPr>
          <w:rFonts w:hint="eastAsia" w:hAnsi="宋体" w:cs="宋体"/>
          <w:b/>
          <w:color w:val="auto"/>
          <w:sz w:val="24"/>
          <w:szCs w:val="24"/>
        </w:rPr>
        <w:t>6. 招标文件的澄清、修改</w:t>
      </w:r>
    </w:p>
    <w:p w14:paraId="1D3E6A03">
      <w:pPr>
        <w:pStyle w:val="131"/>
        <w:snapToGrid w:val="0"/>
        <w:spacing w:before="0"/>
        <w:ind w:firstLine="480"/>
        <w:rPr>
          <w:rFonts w:ascii="宋体" w:hAnsi="宋体" w:cs="宋体"/>
          <w:color w:val="auto"/>
        </w:rPr>
      </w:pPr>
      <w:r>
        <w:rPr>
          <w:rFonts w:hint="eastAsia" w:ascii="宋体" w:hAnsi="宋体" w:cs="宋体"/>
          <w:color w:val="auto"/>
        </w:rPr>
        <w:t>6.1已获取招标文件的潜在投标人，若有问题需要澄清，应于投标截止时间前，以书面形式向</w:t>
      </w:r>
      <w:r>
        <w:rPr>
          <w:rFonts w:hint="eastAsia" w:ascii="宋体" w:hAnsi="宋体" w:cs="宋体"/>
          <w:color w:val="auto"/>
          <w:lang w:eastAsia="zh-CN"/>
        </w:rPr>
        <w:t>采购代理机构</w:t>
      </w:r>
      <w:r>
        <w:rPr>
          <w:rFonts w:hint="eastAsia" w:ascii="宋体" w:hAnsi="宋体" w:cs="宋体"/>
          <w:color w:val="auto"/>
        </w:rPr>
        <w:t>提出。</w:t>
      </w:r>
    </w:p>
    <w:p w14:paraId="3777AF1B">
      <w:pPr>
        <w:pStyle w:val="131"/>
        <w:snapToGrid w:val="0"/>
        <w:spacing w:before="0"/>
        <w:ind w:firstLine="480"/>
        <w:rPr>
          <w:rFonts w:ascii="宋体" w:hAnsi="宋体" w:cs="宋体"/>
          <w:color w:val="auto"/>
        </w:rPr>
      </w:pPr>
      <w:r>
        <w:rPr>
          <w:rFonts w:hint="eastAsia" w:ascii="宋体" w:hAnsi="宋体" w:cs="宋体"/>
          <w:color w:val="auto"/>
        </w:rPr>
        <w:t xml:space="preserve">6.2 </w:t>
      </w:r>
      <w:r>
        <w:rPr>
          <w:rFonts w:hint="eastAsia" w:ascii="宋体" w:hAnsi="宋体" w:cs="宋体"/>
          <w:color w:val="auto"/>
          <w:lang w:eastAsia="zh-CN"/>
        </w:rPr>
        <w:t>采购代理机构</w:t>
      </w:r>
      <w:r>
        <w:rPr>
          <w:rFonts w:hint="eastAsia" w:ascii="宋体" w:hAnsi="宋体" w:cs="宋体"/>
          <w:color w:val="auto"/>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A37ED61">
      <w:pPr>
        <w:pStyle w:val="23"/>
        <w:rPr>
          <w:rFonts w:hAnsi="宋体" w:cs="宋体"/>
          <w:color w:val="auto"/>
          <w:sz w:val="18"/>
          <w:szCs w:val="18"/>
          <w:lang w:val="en-US"/>
        </w:rPr>
      </w:pPr>
      <w:r>
        <w:rPr>
          <w:rFonts w:hint="eastAsia" w:hAnsi="宋体" w:cs="宋体"/>
          <w:color w:val="auto"/>
          <w:szCs w:val="24"/>
          <w:lang w:val="en-US"/>
        </w:rPr>
        <w:t xml:space="preserve">    </w:t>
      </w:r>
    </w:p>
    <w:p w14:paraId="327BC45B">
      <w:pPr>
        <w:adjustRightInd/>
        <w:spacing w:line="360" w:lineRule="auto"/>
        <w:jc w:val="center"/>
        <w:outlineLvl w:val="0"/>
        <w:rPr>
          <w:rFonts w:ascii="宋体" w:hAnsi="宋体" w:cs="宋体"/>
          <w:b/>
          <w:color w:val="auto"/>
          <w:sz w:val="30"/>
          <w:szCs w:val="20"/>
        </w:rPr>
      </w:pPr>
      <w:r>
        <w:rPr>
          <w:rFonts w:hint="eastAsia" w:ascii="宋体" w:hAnsi="宋体" w:cs="宋体"/>
          <w:b/>
          <w:color w:val="auto"/>
          <w:sz w:val="30"/>
          <w:szCs w:val="20"/>
        </w:rPr>
        <w:t>三、投标</w:t>
      </w:r>
    </w:p>
    <w:p w14:paraId="1BD253E8">
      <w:pPr>
        <w:pStyle w:val="32"/>
        <w:spacing w:line="360" w:lineRule="auto"/>
        <w:rPr>
          <w:rFonts w:hAnsi="宋体" w:cs="宋体"/>
          <w:b/>
          <w:color w:val="auto"/>
          <w:sz w:val="24"/>
          <w:szCs w:val="24"/>
        </w:rPr>
      </w:pPr>
      <w:r>
        <w:rPr>
          <w:rFonts w:hint="eastAsia" w:hAnsi="宋体" w:cs="宋体"/>
          <w:b/>
          <w:color w:val="auto"/>
          <w:sz w:val="24"/>
          <w:szCs w:val="24"/>
        </w:rPr>
        <w:t>7. 招标文件的获取</w:t>
      </w:r>
    </w:p>
    <w:p w14:paraId="57D9DD7E">
      <w:pPr>
        <w:spacing w:line="360" w:lineRule="auto"/>
        <w:ind w:firstLine="480" w:firstLineChars="200"/>
        <w:rPr>
          <w:rFonts w:ascii="宋体" w:hAnsi="宋体" w:cs="宋体"/>
          <w:snapToGrid w:val="0"/>
          <w:color w:val="auto"/>
          <w:kern w:val="28"/>
          <w:sz w:val="24"/>
        </w:rPr>
      </w:pPr>
      <w:r>
        <w:rPr>
          <w:rFonts w:hint="eastAsia" w:ascii="宋体" w:hAnsi="宋体" w:cs="宋体"/>
          <w:snapToGrid w:val="0"/>
          <w:color w:val="auto"/>
          <w:kern w:val="28"/>
          <w:sz w:val="24"/>
        </w:rPr>
        <w:t>详见招标公告中获取招标文件的时间期限、地点、方式及招标文件售价。</w:t>
      </w:r>
    </w:p>
    <w:p w14:paraId="2CF5BD75">
      <w:pPr>
        <w:pStyle w:val="32"/>
        <w:spacing w:line="360" w:lineRule="auto"/>
        <w:rPr>
          <w:rFonts w:hAnsi="宋体" w:cs="宋体"/>
          <w:b/>
          <w:color w:val="auto"/>
          <w:sz w:val="24"/>
          <w:szCs w:val="24"/>
        </w:rPr>
      </w:pPr>
      <w:r>
        <w:rPr>
          <w:rFonts w:hint="eastAsia" w:hAnsi="宋体" w:cs="宋体"/>
          <w:b/>
          <w:color w:val="auto"/>
          <w:sz w:val="24"/>
          <w:szCs w:val="24"/>
        </w:rPr>
        <w:t>8.开标前答疑会或现场考察</w:t>
      </w:r>
    </w:p>
    <w:p w14:paraId="57249670">
      <w:pPr>
        <w:pStyle w:val="32"/>
        <w:spacing w:line="360" w:lineRule="auto"/>
        <w:ind w:firstLine="480" w:firstLineChars="200"/>
        <w:rPr>
          <w:rFonts w:hAnsi="宋体" w:cs="宋体"/>
          <w:color w:val="auto"/>
          <w:sz w:val="24"/>
          <w:szCs w:val="24"/>
        </w:rPr>
      </w:pPr>
      <w:r>
        <w:rPr>
          <w:rFonts w:hint="eastAsia" w:hAnsi="宋体" w:cs="宋体"/>
          <w:color w:val="auto"/>
          <w:sz w:val="24"/>
          <w:szCs w:val="24"/>
        </w:rPr>
        <w:t>采购人组织潜在投标人现场考察或者召开开标前答疑会的，潜在投标人按第二部分投标人须知前附表的规定参加现场考察或者开标前答疑会。</w:t>
      </w:r>
    </w:p>
    <w:p w14:paraId="077602C4">
      <w:pPr>
        <w:pStyle w:val="32"/>
        <w:spacing w:line="360" w:lineRule="auto"/>
        <w:rPr>
          <w:rFonts w:hAnsi="宋体" w:cs="宋体"/>
          <w:b/>
          <w:color w:val="auto"/>
          <w:szCs w:val="24"/>
        </w:rPr>
      </w:pPr>
      <w:r>
        <w:rPr>
          <w:rFonts w:hint="eastAsia" w:hAnsi="宋体" w:cs="宋体"/>
          <w:b/>
          <w:color w:val="auto"/>
          <w:kern w:val="28"/>
          <w:sz w:val="24"/>
          <w:szCs w:val="24"/>
        </w:rPr>
        <w:t>9.投标保证金</w:t>
      </w:r>
    </w:p>
    <w:p w14:paraId="4AB6B2E5">
      <w:pPr>
        <w:pStyle w:val="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29137F9A">
      <w:pPr>
        <w:pStyle w:val="32"/>
        <w:spacing w:line="360" w:lineRule="auto"/>
        <w:rPr>
          <w:rFonts w:hAnsi="宋体" w:cs="宋体"/>
          <w:b/>
          <w:color w:val="auto"/>
          <w:sz w:val="24"/>
          <w:szCs w:val="24"/>
        </w:rPr>
      </w:pPr>
      <w:r>
        <w:rPr>
          <w:rFonts w:hint="eastAsia" w:hAnsi="宋体" w:cs="宋体"/>
          <w:b/>
          <w:color w:val="auto"/>
          <w:sz w:val="24"/>
          <w:szCs w:val="24"/>
        </w:rPr>
        <w:t>10. 投标文件的语言</w:t>
      </w:r>
    </w:p>
    <w:p w14:paraId="39E1C3A5">
      <w:pPr>
        <w:autoSpaceDE w:val="0"/>
        <w:autoSpaceDN w:val="0"/>
        <w:spacing w:line="360" w:lineRule="auto"/>
        <w:ind w:firstLine="480" w:firstLineChars="200"/>
        <w:rPr>
          <w:rFonts w:ascii="宋体" w:hAnsi="宋体" w:cs="宋体"/>
          <w:color w:val="auto"/>
          <w:sz w:val="24"/>
          <w:lang w:val="zh-CN"/>
        </w:rPr>
      </w:pPr>
      <w:r>
        <w:rPr>
          <w:rFonts w:hint="eastAsia" w:ascii="宋体" w:hAnsi="宋体" w:cs="宋体"/>
          <w:color w:val="auto"/>
          <w:sz w:val="24"/>
        </w:rPr>
        <w:t>投标文件及投标人与采购有关的来往通知、函件和文件均应使用中文。</w:t>
      </w:r>
    </w:p>
    <w:p w14:paraId="7FD45467">
      <w:pPr>
        <w:pStyle w:val="32"/>
        <w:spacing w:line="360" w:lineRule="auto"/>
        <w:rPr>
          <w:rFonts w:hAnsi="宋体" w:cs="宋体"/>
          <w:b/>
          <w:color w:val="auto"/>
          <w:sz w:val="24"/>
          <w:szCs w:val="24"/>
        </w:rPr>
      </w:pPr>
      <w:r>
        <w:rPr>
          <w:rFonts w:hint="eastAsia" w:hAnsi="宋体" w:cs="宋体"/>
          <w:b/>
          <w:color w:val="auto"/>
          <w:sz w:val="24"/>
          <w:szCs w:val="24"/>
        </w:rPr>
        <w:t>11. 投标文件的组成</w:t>
      </w:r>
    </w:p>
    <w:p w14:paraId="1DCB9BA7">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11.1</w:t>
      </w:r>
      <w:r>
        <w:rPr>
          <w:rFonts w:hint="eastAsia" w:ascii="宋体" w:hAnsi="宋体" w:cs="宋体"/>
          <w:b/>
          <w:color w:val="auto"/>
          <w:sz w:val="24"/>
        </w:rPr>
        <w:t>资格文件</w:t>
      </w:r>
      <w:r>
        <w:rPr>
          <w:rFonts w:hint="eastAsia" w:ascii="宋体" w:hAnsi="宋体" w:cs="宋体"/>
          <w:color w:val="auto"/>
          <w:sz w:val="24"/>
        </w:rPr>
        <w:t>：</w:t>
      </w:r>
    </w:p>
    <w:p w14:paraId="7F4C8BDD">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11.1.1符合参加政府采购活动应当具备的一般条件的承诺函；</w:t>
      </w:r>
    </w:p>
    <w:p w14:paraId="3A71C606">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w:t>
      </w:r>
      <w:r>
        <w:rPr>
          <w:rFonts w:ascii="宋体" w:hAnsi="宋体" w:cs="宋体"/>
          <w:color w:val="auto"/>
          <w:sz w:val="24"/>
        </w:rPr>
        <w:t>1.1.2</w:t>
      </w:r>
      <w:bookmarkStart w:id="17" w:name="_Hlk101259339"/>
      <w:r>
        <w:rPr>
          <w:rFonts w:hint="eastAsia" w:ascii="宋体" w:hAnsi="宋体" w:cs="宋体"/>
          <w:snapToGrid w:val="0"/>
          <w:color w:val="auto"/>
          <w:kern w:val="28"/>
          <w:sz w:val="24"/>
          <w:szCs w:val="20"/>
        </w:rPr>
        <w:t>联合协议</w:t>
      </w:r>
      <w:bookmarkEnd w:id="17"/>
      <w:r>
        <w:rPr>
          <w:rFonts w:hint="eastAsia" w:ascii="宋体" w:hAnsi="宋体" w:cs="宋体"/>
          <w:snapToGrid w:val="0"/>
          <w:color w:val="auto"/>
          <w:kern w:val="28"/>
          <w:sz w:val="24"/>
          <w:szCs w:val="20"/>
        </w:rPr>
        <w:t>（如果有)；</w:t>
      </w:r>
    </w:p>
    <w:p w14:paraId="2A4E635A">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w:t>
      </w:r>
      <w:r>
        <w:rPr>
          <w:rFonts w:ascii="宋体" w:hAnsi="宋体" w:cs="宋体"/>
          <w:color w:val="auto"/>
          <w:sz w:val="24"/>
        </w:rPr>
        <w:t>3</w:t>
      </w:r>
      <w:r>
        <w:rPr>
          <w:rFonts w:hint="eastAsia" w:ascii="宋体" w:hAnsi="宋体" w:cs="宋体"/>
          <w:color w:val="auto"/>
          <w:sz w:val="24"/>
        </w:rPr>
        <w:t>落实政府采购政策需满足的资格要求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1AAE7BF6">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w:t>
      </w: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09DF7D9B">
      <w:pPr>
        <w:snapToGrid w:val="0"/>
        <w:spacing w:line="360" w:lineRule="auto"/>
        <w:ind w:firstLine="480" w:firstLineChars="200"/>
        <w:rPr>
          <w:rFonts w:ascii="宋体" w:hAnsi="宋体" w:cs="宋体"/>
          <w:color w:val="auto"/>
          <w:sz w:val="24"/>
          <w:lang w:val="zh-CN"/>
        </w:rPr>
      </w:pPr>
      <w:r>
        <w:rPr>
          <w:rFonts w:hint="eastAsia" w:ascii="宋体" w:hAnsi="宋体" w:cs="宋体"/>
          <w:color w:val="auto"/>
          <w:sz w:val="24"/>
          <w:lang w:val="zh-CN"/>
        </w:rPr>
        <w:t>11.</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2F62EDB7">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11.2.1投标函；</w:t>
      </w:r>
      <w:r>
        <w:rPr>
          <w:rFonts w:hint="eastAsia" w:ascii="宋体" w:hAnsi="宋体" w:cs="宋体"/>
          <w:color w:val="auto"/>
          <w:sz w:val="24"/>
          <w:lang w:val="zh-CN"/>
        </w:rPr>
        <w:t xml:space="preserve"> </w:t>
      </w:r>
    </w:p>
    <w:p w14:paraId="5F717A60">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11.2.2授权委托书或法定代表人（单位负责人、自然人本人）身份证明；</w:t>
      </w:r>
    </w:p>
    <w:p w14:paraId="5F1F5D87">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765F4137">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4</w:t>
      </w:r>
      <w:r>
        <w:rPr>
          <w:rFonts w:hint="eastAsia" w:ascii="宋体" w:hAnsi="宋体" w:cs="宋体"/>
          <w:color w:val="auto"/>
          <w:sz w:val="24"/>
        </w:rPr>
        <w:t>符合性审查资料；</w:t>
      </w:r>
    </w:p>
    <w:p w14:paraId="58CBACCE">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5</w:t>
      </w:r>
      <w:r>
        <w:rPr>
          <w:rFonts w:hint="eastAsia" w:ascii="宋体" w:hAnsi="宋体" w:cs="宋体"/>
          <w:color w:val="auto"/>
          <w:sz w:val="24"/>
        </w:rPr>
        <w:t>评标标准相应的商务技术资料；</w:t>
      </w:r>
    </w:p>
    <w:p w14:paraId="1E88B495">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6</w:t>
      </w:r>
      <w:r>
        <w:rPr>
          <w:rFonts w:hint="eastAsia" w:ascii="宋体" w:hAnsi="宋体" w:cs="宋体"/>
          <w:color w:val="auto"/>
          <w:sz w:val="24"/>
        </w:rPr>
        <w:t>投标标的清单；</w:t>
      </w:r>
    </w:p>
    <w:p w14:paraId="51FCE730">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7</w:t>
      </w:r>
      <w:r>
        <w:rPr>
          <w:rFonts w:hint="eastAsia" w:ascii="宋体" w:hAnsi="宋体" w:cs="宋体"/>
          <w:color w:val="auto"/>
          <w:sz w:val="24"/>
        </w:rPr>
        <w:t>商务技术偏离表；</w:t>
      </w:r>
    </w:p>
    <w:p w14:paraId="72103997">
      <w:pPr>
        <w:snapToGrid w:val="0"/>
        <w:spacing w:line="360" w:lineRule="auto"/>
        <w:ind w:firstLine="960" w:firstLineChars="400"/>
        <w:rPr>
          <w:rFonts w:ascii="宋体" w:hAnsi="宋体" w:cs="宋体"/>
          <w:color w:val="auto"/>
          <w:sz w:val="24"/>
          <w:lang w:val="zh-CN"/>
        </w:rPr>
      </w:pPr>
      <w:r>
        <w:rPr>
          <w:rFonts w:hint="eastAsia" w:ascii="宋体" w:hAnsi="宋体" w:cs="宋体"/>
          <w:color w:val="auto"/>
          <w:sz w:val="24"/>
          <w:lang w:val="zh-CN"/>
        </w:rPr>
        <w:t>11.</w:t>
      </w:r>
      <w:r>
        <w:rPr>
          <w:rFonts w:hint="eastAsia" w:ascii="宋体" w:hAnsi="宋体" w:cs="宋体"/>
          <w:color w:val="auto"/>
          <w:sz w:val="24"/>
        </w:rPr>
        <w:t>2</w:t>
      </w: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p>
    <w:p w14:paraId="3E02D1FC">
      <w:pPr>
        <w:snapToGrid w:val="0"/>
        <w:spacing w:line="360" w:lineRule="auto"/>
        <w:ind w:firstLine="480" w:firstLineChars="200"/>
        <w:rPr>
          <w:rFonts w:ascii="宋体" w:hAnsi="宋体" w:cs="宋体"/>
          <w:color w:val="auto"/>
          <w:sz w:val="24"/>
          <w:u w:val="single"/>
          <w:lang w:val="zh-CN"/>
        </w:rPr>
      </w:pPr>
      <w:r>
        <w:rPr>
          <w:rFonts w:hint="eastAsia" w:ascii="宋体" w:hAnsi="宋体" w:cs="宋体"/>
          <w:color w:val="auto"/>
          <w:kern w:val="0"/>
          <w:sz w:val="24"/>
          <w:lang w:val="zh-CN"/>
        </w:rPr>
        <w:t>11.</w:t>
      </w:r>
      <w:r>
        <w:rPr>
          <w:rFonts w:hint="eastAsia" w:ascii="宋体" w:hAnsi="宋体" w:cs="宋体"/>
          <w:color w:val="auto"/>
          <w:kern w:val="0"/>
          <w:sz w:val="24"/>
        </w:rPr>
        <w:t>3</w:t>
      </w:r>
      <w:r>
        <w:rPr>
          <w:rFonts w:hint="eastAsia" w:ascii="宋体" w:hAnsi="宋体" w:cs="宋体"/>
          <w:b/>
          <w:color w:val="auto"/>
          <w:sz w:val="24"/>
        </w:rPr>
        <w:t>报价文件：</w:t>
      </w:r>
      <w:r>
        <w:rPr>
          <w:rFonts w:hint="eastAsia" w:ascii="宋体" w:hAnsi="宋体" w:cs="宋体"/>
          <w:color w:val="auto"/>
          <w:sz w:val="24"/>
        </w:rPr>
        <w:t xml:space="preserve"> </w:t>
      </w:r>
    </w:p>
    <w:p w14:paraId="5CF8DBB7">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hint="eastAsia" w:ascii="宋体" w:hAnsi="宋体" w:cs="宋体"/>
          <w:color w:val="auto"/>
          <w:sz w:val="24"/>
        </w:rPr>
      </w:pPr>
      <w:r>
        <w:rPr>
          <w:rFonts w:hint="eastAsia" w:ascii="宋体" w:hAnsi="宋体" w:cs="宋体"/>
          <w:color w:val="auto"/>
          <w:sz w:val="24"/>
        </w:rPr>
        <w:t>11.3.1开标一览表（报价表）；</w:t>
      </w:r>
    </w:p>
    <w:p w14:paraId="4E4E3BB3">
      <w:pPr>
        <w:pStyle w:val="80"/>
        <w:adjustRightInd w:val="0"/>
        <w:spacing w:line="360" w:lineRule="auto"/>
        <w:ind w:firstLine="960" w:firstLineChars="400"/>
        <w:rPr>
          <w:color w:val="auto"/>
        </w:rPr>
      </w:pPr>
      <w:r>
        <w:rPr>
          <w:rFonts w:hint="eastAsia" w:ascii="宋体" w:hAnsi="宋体" w:eastAsia="宋体" w:cs="宋体"/>
          <w:b w:val="0"/>
          <w:bCs w:val="0"/>
          <w:color w:val="auto"/>
          <w:sz w:val="24"/>
          <w:szCs w:val="24"/>
          <w:lang w:val="en-US"/>
        </w:rPr>
        <w:t>11.3.</w:t>
      </w:r>
      <w:r>
        <w:rPr>
          <w:rFonts w:hint="eastAsia" w:ascii="宋体" w:hAnsi="宋体" w:eastAsia="宋体" w:cs="宋体"/>
          <w:b w:val="0"/>
          <w:bCs w:val="0"/>
          <w:color w:val="auto"/>
          <w:sz w:val="24"/>
          <w:szCs w:val="24"/>
          <w:lang w:val="en-US" w:eastAsia="zh-CN"/>
        </w:rPr>
        <w:t>2</w:t>
      </w:r>
      <w:r>
        <w:rPr>
          <w:rFonts w:hint="eastAsia" w:ascii="宋体" w:hAnsi="宋体" w:eastAsia="宋体" w:cs="宋体"/>
          <w:b w:val="0"/>
          <w:bCs w:val="0"/>
          <w:color w:val="auto"/>
          <w:sz w:val="24"/>
          <w:szCs w:val="24"/>
          <w:lang w:val="en-US"/>
        </w:rPr>
        <w:t xml:space="preserve"> 报价情况说明</w:t>
      </w:r>
      <w:r>
        <w:rPr>
          <w:rFonts w:hint="eastAsia" w:ascii="宋体" w:hAnsi="宋体" w:eastAsia="宋体" w:cs="宋体"/>
          <w:b w:val="0"/>
          <w:bCs w:val="0"/>
          <w:color w:val="auto"/>
          <w:sz w:val="24"/>
          <w:szCs w:val="24"/>
          <w:lang w:val="en-US" w:eastAsia="zh-CN"/>
        </w:rPr>
        <w:t>；</w:t>
      </w:r>
    </w:p>
    <w:p w14:paraId="58868436">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ascii="宋体" w:hAnsi="宋体" w:cs="宋体"/>
          <w:color w:val="auto"/>
          <w:sz w:val="24"/>
        </w:rPr>
      </w:pPr>
      <w:r>
        <w:rPr>
          <w:rFonts w:hint="eastAsia" w:ascii="宋体" w:hAnsi="宋体" w:cs="宋体"/>
          <w:color w:val="auto"/>
          <w:sz w:val="24"/>
        </w:rPr>
        <w:t>11.3.</w:t>
      </w:r>
      <w:r>
        <w:rPr>
          <w:rFonts w:hint="eastAsia" w:ascii="宋体" w:hAnsi="宋体" w:cs="宋体"/>
          <w:color w:val="auto"/>
          <w:sz w:val="24"/>
          <w:lang w:val="en-US" w:eastAsia="zh-CN"/>
        </w:rPr>
        <w:t>3</w:t>
      </w:r>
      <w:r>
        <w:rPr>
          <w:rFonts w:hint="eastAsia" w:ascii="宋体" w:hAnsi="宋体" w:cs="宋体"/>
          <w:color w:val="auto"/>
          <w:sz w:val="24"/>
        </w:rPr>
        <w:t>中小企业声明函。</w:t>
      </w:r>
      <w:r>
        <w:rPr>
          <w:rFonts w:hint="eastAsia" w:ascii="宋体" w:hAnsi="宋体" w:cs="宋体"/>
          <w:color w:val="auto"/>
          <w:sz w:val="24"/>
          <w:lang w:eastAsia="zh-CN"/>
        </w:rPr>
        <w:t>（如果有）</w:t>
      </w:r>
    </w:p>
    <w:p w14:paraId="74C21A3E">
      <w:pPr>
        <w:spacing w:line="360" w:lineRule="auto"/>
        <w:ind w:firstLine="723" w:firstLineChars="300"/>
        <w:rPr>
          <w:rFonts w:ascii="宋体" w:hAnsi="宋体" w:cs="宋体"/>
          <w:b/>
          <w:color w:val="auto"/>
          <w:sz w:val="24"/>
        </w:rPr>
      </w:pPr>
      <w:r>
        <w:rPr>
          <w:rFonts w:hint="eastAsia" w:ascii="宋体" w:hAnsi="宋体" w:cs="宋体"/>
          <w:b/>
          <w:color w:val="auto"/>
          <w:sz w:val="24"/>
        </w:rPr>
        <w:t>投标文件含有采购人不能接受的附加条件的，投标无效；</w:t>
      </w:r>
    </w:p>
    <w:p w14:paraId="2EC81A82">
      <w:pPr>
        <w:spacing w:line="360" w:lineRule="auto"/>
        <w:ind w:firstLine="723" w:firstLineChars="300"/>
        <w:rPr>
          <w:rFonts w:hint="eastAsia" w:ascii="宋体" w:hAnsi="宋体" w:cs="宋体"/>
          <w:b/>
          <w:color w:val="auto"/>
          <w:sz w:val="24"/>
        </w:rPr>
      </w:pPr>
      <w:r>
        <w:rPr>
          <w:rFonts w:hint="eastAsia" w:ascii="宋体" w:hAnsi="宋体" w:cs="宋体"/>
          <w:b/>
          <w:color w:val="auto"/>
          <w:sz w:val="24"/>
        </w:rPr>
        <w:t>投标人提供虚假材料投标的，投标无效。</w:t>
      </w:r>
    </w:p>
    <w:p w14:paraId="3DA13AD6">
      <w:pPr>
        <w:spacing w:line="360" w:lineRule="auto"/>
        <w:ind w:firstLine="720" w:firstLineChars="300"/>
        <w:rPr>
          <w:rFonts w:hint="eastAsia"/>
          <w:color w:val="auto"/>
          <w:sz w:val="24"/>
          <w:szCs w:val="24"/>
          <w:shd w:val="clear" w:color="auto" w:fill="FFFFFF"/>
          <w:lang w:val="en-US" w:eastAsia="zh-CN"/>
        </w:rPr>
      </w:pPr>
      <w:r>
        <w:rPr>
          <w:rFonts w:hint="eastAsia"/>
          <w:color w:val="auto"/>
          <w:sz w:val="24"/>
          <w:szCs w:val="24"/>
          <w:shd w:val="clear" w:color="auto" w:fill="FFFFFF"/>
          <w:lang w:val="en-US" w:eastAsia="zh-CN"/>
        </w:rPr>
        <w:t>投标人应对投标文件中材料的真实性、合法性负责。</w:t>
      </w:r>
    </w:p>
    <w:p w14:paraId="61F52633">
      <w:pPr>
        <w:pStyle w:val="80"/>
        <w:rPr>
          <w:color w:val="auto"/>
        </w:rPr>
      </w:pPr>
    </w:p>
    <w:p w14:paraId="6253E351">
      <w:pPr>
        <w:pStyle w:val="131"/>
        <w:snapToGrid w:val="0"/>
        <w:spacing w:before="0"/>
        <w:ind w:firstLine="0" w:firstLineChars="0"/>
        <w:outlineLvl w:val="0"/>
        <w:rPr>
          <w:rFonts w:ascii="宋体" w:hAnsi="宋体" w:cs="宋体"/>
          <w:b/>
          <w:color w:val="auto"/>
          <w:szCs w:val="24"/>
        </w:rPr>
      </w:pPr>
      <w:r>
        <w:rPr>
          <w:rFonts w:hint="eastAsia" w:ascii="宋体" w:hAnsi="宋体" w:cs="宋体"/>
          <w:b/>
          <w:color w:val="auto"/>
          <w:szCs w:val="24"/>
        </w:rPr>
        <w:t>12</w:t>
      </w:r>
      <w:r>
        <w:rPr>
          <w:rFonts w:hint="eastAsia" w:ascii="宋体" w:hAnsi="宋体" w:cs="宋体"/>
          <w:b/>
          <w:color w:val="auto"/>
          <w:kern w:val="0"/>
          <w:szCs w:val="24"/>
          <w:lang w:val="zh-CN"/>
        </w:rPr>
        <w:t xml:space="preserve">. </w:t>
      </w:r>
      <w:r>
        <w:rPr>
          <w:rFonts w:hint="eastAsia" w:ascii="宋体" w:hAnsi="宋体" w:cs="宋体"/>
          <w:b/>
          <w:color w:val="auto"/>
          <w:szCs w:val="24"/>
        </w:rPr>
        <w:t>投标文件的编制</w:t>
      </w:r>
    </w:p>
    <w:p w14:paraId="26CA137F">
      <w:pPr>
        <w:spacing w:line="360" w:lineRule="auto"/>
        <w:ind w:firstLine="480" w:firstLineChars="200"/>
        <w:rPr>
          <w:rFonts w:ascii="宋体" w:hAnsi="宋体" w:cs="宋体"/>
          <w:b/>
          <w:color w:val="auto"/>
          <w:sz w:val="24"/>
        </w:rPr>
      </w:pPr>
      <w:r>
        <w:rPr>
          <w:rFonts w:hint="eastAsia" w:ascii="宋体" w:hAnsi="宋体" w:cs="宋体"/>
          <w:color w:val="auto"/>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F2C271A">
      <w:pPr>
        <w:spacing w:line="360" w:lineRule="auto"/>
        <w:ind w:firstLine="480" w:firstLineChars="200"/>
        <w:rPr>
          <w:rFonts w:ascii="宋体" w:hAnsi="宋体" w:cs="宋体"/>
          <w:color w:val="auto"/>
          <w:kern w:val="0"/>
          <w:sz w:val="24"/>
          <w:lang w:val="zh-CN"/>
        </w:rPr>
      </w:pPr>
      <w:r>
        <w:rPr>
          <w:rFonts w:hint="eastAsia" w:ascii="宋体" w:hAnsi="宋体" w:cs="宋体"/>
          <w:color w:val="auto"/>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3292A9E0">
      <w:pPr>
        <w:spacing w:line="360" w:lineRule="auto"/>
        <w:ind w:firstLine="480" w:firstLineChars="200"/>
        <w:rPr>
          <w:rFonts w:ascii="宋体" w:hAnsi="宋体" w:cs="宋体"/>
          <w:color w:val="auto"/>
          <w:kern w:val="0"/>
          <w:sz w:val="24"/>
          <w:lang w:val="zh-CN"/>
        </w:rPr>
      </w:pPr>
      <w:r>
        <w:rPr>
          <w:rFonts w:hint="eastAsia" w:ascii="宋体" w:hAnsi="宋体" w:cs="宋体"/>
          <w:color w:val="auto"/>
          <w:kern w:val="0"/>
          <w:sz w:val="24"/>
          <w:lang w:val="zh-CN"/>
        </w:rPr>
        <w:t>12.3使用“政采云电子交易客户端”需要提前申领CA数字证书，申领流程请自行前往“浙江政府采购网-下载专区-电子交易客户端-CA驱动和申领流程”进行查阅。</w:t>
      </w:r>
    </w:p>
    <w:p w14:paraId="1F53078E">
      <w:pPr>
        <w:snapToGrid w:val="0"/>
        <w:spacing w:line="360" w:lineRule="auto"/>
        <w:rPr>
          <w:rFonts w:ascii="宋体" w:hAnsi="宋体" w:cs="宋体"/>
          <w:b/>
          <w:color w:val="auto"/>
          <w:sz w:val="24"/>
        </w:rPr>
      </w:pPr>
      <w:r>
        <w:rPr>
          <w:rFonts w:hint="eastAsia" w:ascii="宋体" w:hAnsi="宋体" w:cs="宋体"/>
          <w:b/>
          <w:color w:val="auto"/>
          <w:sz w:val="24"/>
        </w:rPr>
        <w:t>13.投标文件的签署、盖章</w:t>
      </w:r>
    </w:p>
    <w:p w14:paraId="00C570D6">
      <w:pPr>
        <w:pStyle w:val="131"/>
        <w:snapToGrid w:val="0"/>
        <w:spacing w:before="0"/>
        <w:ind w:firstLine="480"/>
        <w:rPr>
          <w:rFonts w:ascii="宋体" w:hAnsi="宋体" w:cs="宋体"/>
          <w:b/>
          <w:color w:val="auto"/>
        </w:rPr>
      </w:pPr>
      <w:r>
        <w:rPr>
          <w:rFonts w:hint="eastAsia" w:ascii="宋体" w:hAnsi="宋体" w:cs="宋体"/>
          <w:color w:val="auto"/>
          <w:szCs w:val="24"/>
        </w:rPr>
        <w:t>13.1投标文件按照招标文件第六部分格式要</w:t>
      </w:r>
      <w:r>
        <w:rPr>
          <w:rFonts w:hint="eastAsia" w:ascii="宋体" w:hAnsi="宋体" w:cs="宋体"/>
          <w:color w:val="auto"/>
        </w:rPr>
        <w:t>求进行签署、盖章。</w:t>
      </w:r>
      <w:r>
        <w:rPr>
          <w:rFonts w:hint="eastAsia" w:ascii="宋体" w:hAnsi="宋体" w:cs="宋体"/>
          <w:b/>
          <w:color w:val="auto"/>
        </w:rPr>
        <w:t>▲投标人的投标文件未按照招标文件要求签署、盖章的，其投标无效</w:t>
      </w:r>
      <w:r>
        <w:rPr>
          <w:rFonts w:hint="eastAsia" w:ascii="宋体" w:hAnsi="宋体" w:cs="宋体"/>
          <w:color w:val="auto"/>
          <w:szCs w:val="24"/>
        </w:rPr>
        <w:t>。</w:t>
      </w:r>
    </w:p>
    <w:p w14:paraId="313F7F51">
      <w:pPr>
        <w:pStyle w:val="131"/>
        <w:snapToGrid w:val="0"/>
        <w:spacing w:before="0"/>
        <w:ind w:firstLine="480"/>
        <w:rPr>
          <w:rFonts w:ascii="宋体" w:hAnsi="宋体" w:cs="宋体"/>
          <w:color w:val="auto"/>
        </w:rPr>
      </w:pPr>
      <w:r>
        <w:rPr>
          <w:rFonts w:hint="eastAsia" w:ascii="宋体" w:hAnsi="宋体" w:cs="宋体"/>
          <w:color w:val="auto"/>
        </w:rPr>
        <w:t>13.2为确保网上操作合法、有效和安全，投标人应当在投标截止时间前完成在“政府采购云平台”的身份认证，确保在电子投标过程中能够对相关数据电文进行加密和使用电子签名。</w:t>
      </w:r>
    </w:p>
    <w:p w14:paraId="4B78FC7B">
      <w:pPr>
        <w:pStyle w:val="131"/>
        <w:snapToGrid w:val="0"/>
        <w:spacing w:before="0"/>
        <w:ind w:firstLine="480"/>
        <w:rPr>
          <w:rFonts w:ascii="宋体" w:hAnsi="宋体" w:cs="宋体"/>
          <w:color w:val="auto"/>
          <w:szCs w:val="24"/>
        </w:rPr>
      </w:pPr>
      <w:r>
        <w:rPr>
          <w:rFonts w:hint="eastAsia" w:ascii="宋体" w:hAnsi="宋体" w:cs="宋体"/>
          <w:color w:val="auto"/>
        </w:rPr>
        <w:t>13.3招标文件对投标文件签署、盖章的要求适用于电子签名。</w:t>
      </w:r>
    </w:p>
    <w:p w14:paraId="4095741A">
      <w:pPr>
        <w:pStyle w:val="131"/>
        <w:spacing w:before="0"/>
        <w:ind w:firstLine="0" w:firstLineChars="0"/>
        <w:rPr>
          <w:rFonts w:ascii="宋体" w:hAnsi="宋体" w:cs="宋体"/>
          <w:b/>
          <w:color w:val="auto"/>
          <w:szCs w:val="24"/>
        </w:rPr>
      </w:pPr>
      <w:r>
        <w:rPr>
          <w:rFonts w:hint="eastAsia" w:ascii="宋体" w:hAnsi="宋体" w:cs="宋体"/>
          <w:b/>
          <w:color w:val="auto"/>
          <w:szCs w:val="24"/>
        </w:rPr>
        <w:t>14. 投标文件的提交、补充、修改、撤回</w:t>
      </w:r>
    </w:p>
    <w:p w14:paraId="33182D9E">
      <w:pPr>
        <w:pStyle w:val="131"/>
        <w:ind w:firstLine="480"/>
        <w:rPr>
          <w:rFonts w:ascii="宋体" w:hAnsi="宋体" w:cs="宋体"/>
          <w:color w:val="auto"/>
          <w:szCs w:val="24"/>
        </w:rPr>
      </w:pPr>
      <w:r>
        <w:rPr>
          <w:rFonts w:hint="eastAsia" w:ascii="宋体" w:hAnsi="宋体" w:cs="宋体"/>
          <w:color w:val="auto"/>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2FDE29E">
      <w:pPr>
        <w:pStyle w:val="131"/>
        <w:spacing w:before="0"/>
        <w:ind w:firstLine="480"/>
        <w:rPr>
          <w:rFonts w:ascii="宋体" w:hAnsi="宋体" w:cs="宋体"/>
          <w:color w:val="auto"/>
          <w:szCs w:val="24"/>
        </w:rPr>
      </w:pPr>
      <w:r>
        <w:rPr>
          <w:rFonts w:hint="eastAsia" w:ascii="宋体" w:hAnsi="宋体" w:cs="宋体"/>
          <w:color w:val="auto"/>
          <w:szCs w:val="24"/>
        </w:rPr>
        <w:t>14.2电子交易平台收到投标文件，将妥善保存并即时向供应商发出确认回执通知。在投标截止时间前，除供应商补充、修改或者撤回投标文件外，任何单位和个人不得解密或提取投标文件。</w:t>
      </w:r>
    </w:p>
    <w:p w14:paraId="540D49DC">
      <w:pPr>
        <w:pStyle w:val="131"/>
        <w:spacing w:before="0"/>
        <w:ind w:firstLine="480"/>
        <w:rPr>
          <w:rFonts w:ascii="宋体" w:hAnsi="宋体" w:cs="宋体"/>
          <w:color w:val="auto"/>
          <w:szCs w:val="24"/>
        </w:rPr>
      </w:pPr>
      <w:r>
        <w:rPr>
          <w:rFonts w:hint="eastAsia" w:ascii="宋体" w:hAnsi="宋体" w:cs="宋体"/>
          <w:color w:val="auto"/>
          <w:szCs w:val="24"/>
        </w:rPr>
        <w:t>14.3采购人、</w:t>
      </w:r>
      <w:r>
        <w:rPr>
          <w:rFonts w:hint="eastAsia" w:ascii="宋体" w:hAnsi="宋体" w:cs="宋体"/>
          <w:color w:val="auto"/>
          <w:szCs w:val="24"/>
          <w:lang w:eastAsia="zh-CN"/>
        </w:rPr>
        <w:t>采购代理机构</w:t>
      </w:r>
      <w:r>
        <w:rPr>
          <w:rFonts w:hint="eastAsia" w:ascii="宋体" w:hAnsi="宋体" w:cs="宋体"/>
          <w:color w:val="auto"/>
          <w:szCs w:val="24"/>
        </w:rPr>
        <w:t>可以视情况延长投标文件提交的截止时间。在上述情况下，</w:t>
      </w:r>
      <w:r>
        <w:rPr>
          <w:rFonts w:hint="eastAsia" w:ascii="宋体" w:hAnsi="宋体" w:cs="宋体"/>
          <w:color w:val="auto"/>
          <w:szCs w:val="24"/>
          <w:lang w:eastAsia="zh-CN"/>
        </w:rPr>
        <w:t>采购代理机构</w:t>
      </w:r>
      <w:r>
        <w:rPr>
          <w:rFonts w:hint="eastAsia" w:ascii="宋体" w:hAnsi="宋体" w:cs="宋体"/>
          <w:color w:val="auto"/>
          <w:szCs w:val="24"/>
        </w:rPr>
        <w:t>与投标人以前在投标截止期方面的全部权利、责任和义务，将适用于延长至新的投标截止期。</w:t>
      </w:r>
    </w:p>
    <w:p w14:paraId="0E09661B">
      <w:pPr>
        <w:pStyle w:val="32"/>
        <w:spacing w:line="360" w:lineRule="auto"/>
        <w:rPr>
          <w:rFonts w:hAnsi="宋体" w:cs="宋体"/>
          <w:b/>
          <w:color w:val="auto"/>
          <w:sz w:val="24"/>
          <w:szCs w:val="24"/>
        </w:rPr>
      </w:pPr>
      <w:r>
        <w:rPr>
          <w:rFonts w:hint="eastAsia" w:hAnsi="宋体" w:cs="宋体"/>
          <w:b/>
          <w:color w:val="auto"/>
          <w:sz w:val="24"/>
          <w:szCs w:val="24"/>
        </w:rPr>
        <w:t>15.备份投标文件</w:t>
      </w:r>
    </w:p>
    <w:p w14:paraId="5BFF0353">
      <w:pPr>
        <w:pStyle w:val="32"/>
        <w:spacing w:line="360" w:lineRule="auto"/>
        <w:ind w:firstLine="360" w:firstLineChars="150"/>
        <w:rPr>
          <w:rFonts w:hAnsi="宋体" w:cs="宋体"/>
          <w:b/>
          <w:color w:val="auto"/>
          <w:sz w:val="24"/>
          <w:szCs w:val="24"/>
        </w:rPr>
      </w:pPr>
      <w:r>
        <w:rPr>
          <w:rFonts w:hint="eastAsia" w:hAnsi="宋体" w:cs="宋体"/>
          <w:color w:val="auto"/>
          <w:sz w:val="24"/>
          <w:szCs w:val="24"/>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rPr>
        <w:t>但采购人、</w:t>
      </w:r>
      <w:r>
        <w:rPr>
          <w:rFonts w:hint="eastAsia" w:hAnsi="宋体" w:cs="宋体"/>
          <w:b/>
          <w:color w:val="auto"/>
          <w:sz w:val="24"/>
          <w:szCs w:val="24"/>
          <w:lang w:eastAsia="zh-CN"/>
        </w:rPr>
        <w:t>采购代理机构</w:t>
      </w:r>
      <w:r>
        <w:rPr>
          <w:rFonts w:hint="eastAsia" w:hAnsi="宋体" w:cs="宋体"/>
          <w:b/>
          <w:color w:val="auto"/>
          <w:sz w:val="24"/>
          <w:szCs w:val="24"/>
        </w:rPr>
        <w:t>不强制或变相强制投标人提交备份投标文件。</w:t>
      </w:r>
    </w:p>
    <w:p w14:paraId="40BF917A">
      <w:pPr>
        <w:pStyle w:val="32"/>
        <w:spacing w:line="360" w:lineRule="auto"/>
        <w:ind w:firstLine="480" w:firstLineChars="200"/>
        <w:rPr>
          <w:rFonts w:hAnsi="宋体" w:cs="宋体"/>
          <w:b/>
          <w:color w:val="auto"/>
          <w:sz w:val="24"/>
          <w:szCs w:val="24"/>
        </w:rPr>
      </w:pPr>
      <w:r>
        <w:rPr>
          <w:rFonts w:hint="eastAsia" w:hAnsi="宋体" w:cs="宋体"/>
          <w:color w:val="auto"/>
          <w:sz w:val="24"/>
          <w:szCs w:val="24"/>
        </w:rPr>
        <w:t>15.2备份投标文件须在“政采云投标客户端”制作生成，并储存在</w:t>
      </w:r>
      <w:r>
        <w:rPr>
          <w:rFonts w:hint="eastAsia" w:hAnsi="宋体" w:cs="宋体"/>
          <w:color w:val="auto"/>
          <w:sz w:val="24"/>
        </w:rPr>
        <w:t>DVD光盘</w:t>
      </w:r>
      <w:r>
        <w:rPr>
          <w:rFonts w:hint="eastAsia" w:hAnsi="宋体" w:cs="宋体"/>
          <w:color w:val="auto"/>
          <w:sz w:val="24"/>
          <w:lang w:val="en-US" w:eastAsia="zh-CN"/>
        </w:rPr>
        <w:t>等存储介质</w:t>
      </w:r>
      <w:r>
        <w:rPr>
          <w:rFonts w:hint="eastAsia" w:hAnsi="宋体" w:cs="宋体"/>
          <w:color w:val="auto"/>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rPr>
        <w:t>不符合上述制作、</w:t>
      </w:r>
      <w:r>
        <w:rPr>
          <w:rFonts w:hint="eastAsia" w:hAnsi="宋体" w:cs="宋体"/>
          <w:b/>
          <w:color w:val="auto"/>
          <w:sz w:val="24"/>
          <w:szCs w:val="24"/>
        </w:rPr>
        <w:t>存储、密封规定的备份投标文件将被视为无效或者被拒绝接收。</w:t>
      </w:r>
    </w:p>
    <w:p w14:paraId="77907335">
      <w:pPr>
        <w:pStyle w:val="32"/>
        <w:spacing w:line="360" w:lineRule="auto"/>
        <w:ind w:firstLine="480" w:firstLineChars="200"/>
        <w:rPr>
          <w:rFonts w:hAnsi="宋体" w:cs="宋体"/>
          <w:color w:val="auto"/>
          <w:sz w:val="24"/>
          <w:szCs w:val="24"/>
        </w:rPr>
      </w:pPr>
      <w:r>
        <w:rPr>
          <w:rFonts w:hint="eastAsia" w:hAnsi="宋体" w:cs="宋体"/>
          <w:color w:val="auto"/>
          <w:sz w:val="24"/>
          <w:szCs w:val="24"/>
        </w:rPr>
        <w:t>15.3直接提交备份投标文件的，投标人应于投标截止时间前在招标公告中载明的开标地点将备份投标文件提交给</w:t>
      </w:r>
      <w:r>
        <w:rPr>
          <w:rFonts w:hint="eastAsia" w:hAnsi="宋体" w:cs="宋体"/>
          <w:color w:val="auto"/>
          <w:sz w:val="24"/>
          <w:szCs w:val="24"/>
          <w:lang w:eastAsia="zh-CN"/>
        </w:rPr>
        <w:t>采购代理机构</w:t>
      </w:r>
      <w:r>
        <w:rPr>
          <w:rFonts w:hint="eastAsia" w:hAnsi="宋体" w:cs="宋体"/>
          <w:color w:val="auto"/>
          <w:sz w:val="24"/>
          <w:szCs w:val="24"/>
        </w:rPr>
        <w:t>，</w:t>
      </w:r>
      <w:r>
        <w:rPr>
          <w:rFonts w:hint="eastAsia" w:hAnsi="宋体" w:cs="宋体"/>
          <w:color w:val="auto"/>
          <w:sz w:val="24"/>
          <w:szCs w:val="24"/>
          <w:lang w:eastAsia="zh-CN"/>
        </w:rPr>
        <w:t>采购代理机构</w:t>
      </w:r>
      <w:r>
        <w:rPr>
          <w:rFonts w:hint="eastAsia" w:hAnsi="宋体" w:cs="宋体"/>
          <w:color w:val="auto"/>
          <w:sz w:val="24"/>
          <w:szCs w:val="24"/>
        </w:rPr>
        <w:t>将拒绝接受逾期送达的备份投标文件。</w:t>
      </w:r>
    </w:p>
    <w:p w14:paraId="223C30BC">
      <w:pPr>
        <w:pStyle w:val="32"/>
        <w:spacing w:line="360" w:lineRule="auto"/>
        <w:ind w:firstLine="480" w:firstLineChars="200"/>
        <w:rPr>
          <w:rFonts w:hAnsi="宋体" w:cs="宋体"/>
          <w:color w:val="auto"/>
          <w:sz w:val="24"/>
          <w:szCs w:val="24"/>
        </w:rPr>
      </w:pPr>
      <w:r>
        <w:rPr>
          <w:rFonts w:hint="eastAsia" w:hAnsi="宋体" w:cs="宋体"/>
          <w:color w:val="auto"/>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rPr>
        <w:t>招标文件第二部分投标人须知前附表规定的备份投标文件送达地点；</w:t>
      </w:r>
      <w:r>
        <w:rPr>
          <w:rFonts w:hint="eastAsia" w:hAnsi="宋体" w:cs="宋体"/>
          <w:color w:val="auto"/>
          <w:sz w:val="24"/>
          <w:szCs w:val="24"/>
        </w:rPr>
        <w:t>送达时间以签收人签收时间为准。</w:t>
      </w:r>
      <w:r>
        <w:rPr>
          <w:rFonts w:hint="eastAsia" w:hAnsi="宋体" w:cs="宋体"/>
          <w:color w:val="auto"/>
          <w:sz w:val="24"/>
          <w:szCs w:val="24"/>
          <w:lang w:eastAsia="zh-CN"/>
        </w:rPr>
        <w:t>采购代理机构</w:t>
      </w:r>
      <w:r>
        <w:rPr>
          <w:rFonts w:hint="eastAsia" w:hAnsi="宋体" w:cs="宋体"/>
          <w:color w:val="auto"/>
          <w:sz w:val="24"/>
          <w:szCs w:val="24"/>
        </w:rPr>
        <w:t>将拒绝接受逾期送达的备份投标文件。邮寄过程中，电子备份投标文件发生泄露、遗失、损坏或延期送达等情况的，由投标人自行负责。</w:t>
      </w:r>
    </w:p>
    <w:p w14:paraId="399ADFE2">
      <w:pPr>
        <w:pStyle w:val="32"/>
        <w:spacing w:line="360" w:lineRule="auto"/>
        <w:ind w:firstLine="479" w:firstLineChars="199"/>
        <w:rPr>
          <w:rFonts w:hAnsi="宋体" w:cs="宋体"/>
          <w:b/>
          <w:color w:val="auto"/>
          <w:sz w:val="24"/>
          <w:szCs w:val="24"/>
        </w:rPr>
      </w:pPr>
      <w:r>
        <w:rPr>
          <w:rFonts w:hint="eastAsia" w:hAnsi="宋体" w:cs="宋体"/>
          <w:b/>
          <w:color w:val="auto"/>
          <w:sz w:val="24"/>
          <w:szCs w:val="24"/>
        </w:rPr>
        <w:t>15.5投标人仅提交备份投标文件，未在电子交易平台传输递交投标文件的，投标无效。</w:t>
      </w:r>
    </w:p>
    <w:p w14:paraId="1C5B8CEA">
      <w:pPr>
        <w:pStyle w:val="131"/>
        <w:spacing w:before="0"/>
        <w:ind w:firstLine="0" w:firstLineChars="0"/>
        <w:rPr>
          <w:rFonts w:ascii="宋体" w:hAnsi="宋体" w:cs="宋体"/>
          <w:b/>
          <w:color w:val="auto"/>
          <w:szCs w:val="24"/>
        </w:rPr>
      </w:pPr>
      <w:r>
        <w:rPr>
          <w:rFonts w:hint="eastAsia" w:ascii="宋体" w:hAnsi="宋体" w:cs="宋体"/>
          <w:b/>
          <w:color w:val="auto"/>
          <w:szCs w:val="24"/>
        </w:rPr>
        <w:t>16.投标文件的无效处理</w:t>
      </w:r>
    </w:p>
    <w:p w14:paraId="41ED5DEC">
      <w:pPr>
        <w:pStyle w:val="24"/>
        <w:spacing w:line="360" w:lineRule="auto"/>
        <w:ind w:firstLine="360" w:firstLineChars="150"/>
        <w:rPr>
          <w:rFonts w:cs="宋体"/>
          <w:color w:val="auto"/>
          <w:szCs w:val="21"/>
        </w:rPr>
      </w:pPr>
      <w:r>
        <w:rPr>
          <w:rFonts w:hint="eastAsia" w:cs="宋体"/>
          <w:color w:val="auto"/>
          <w:szCs w:val="21"/>
        </w:rPr>
        <w:t>有招标文件第四部分</w:t>
      </w:r>
      <w:r>
        <w:rPr>
          <w:rFonts w:cs="宋体"/>
          <w:color w:val="auto"/>
        </w:rPr>
        <w:t>4.2规定</w:t>
      </w:r>
      <w:r>
        <w:rPr>
          <w:rFonts w:hint="eastAsia" w:cs="宋体"/>
          <w:color w:val="auto"/>
          <w:szCs w:val="21"/>
        </w:rPr>
        <w:t>的情形之一的，投标无效：</w:t>
      </w:r>
    </w:p>
    <w:p w14:paraId="77834445">
      <w:pPr>
        <w:pStyle w:val="131"/>
        <w:spacing w:before="0"/>
        <w:ind w:firstLine="0" w:firstLineChars="0"/>
        <w:rPr>
          <w:rFonts w:ascii="宋体" w:hAnsi="宋体" w:cs="宋体"/>
          <w:b/>
          <w:color w:val="auto"/>
          <w:szCs w:val="24"/>
        </w:rPr>
      </w:pPr>
      <w:r>
        <w:rPr>
          <w:rFonts w:hint="eastAsia" w:ascii="宋体" w:hAnsi="宋体" w:cs="宋体"/>
          <w:b/>
          <w:color w:val="auto"/>
          <w:szCs w:val="24"/>
        </w:rPr>
        <w:t>17.投标有效期</w:t>
      </w:r>
    </w:p>
    <w:p w14:paraId="31B0A00C">
      <w:pPr>
        <w:spacing w:line="360" w:lineRule="auto"/>
        <w:ind w:firstLine="480" w:firstLineChars="200"/>
        <w:rPr>
          <w:rFonts w:ascii="宋体" w:hAnsi="宋体" w:cs="宋体"/>
          <w:b/>
          <w:color w:val="auto"/>
          <w:sz w:val="24"/>
          <w:szCs w:val="21"/>
        </w:rPr>
      </w:pPr>
      <w:r>
        <w:rPr>
          <w:rFonts w:hint="eastAsia" w:ascii="宋体" w:hAnsi="宋体" w:cs="宋体"/>
          <w:color w:val="auto"/>
          <w:sz w:val="24"/>
          <w:szCs w:val="20"/>
        </w:rPr>
        <w:t>17.1投标有效期为从提交投标文件的截止之日起90天。▲</w:t>
      </w:r>
      <w:r>
        <w:rPr>
          <w:rFonts w:hint="eastAsia" w:ascii="宋体" w:hAnsi="宋体" w:cs="宋体"/>
          <w:b/>
          <w:color w:val="auto"/>
          <w:sz w:val="24"/>
          <w:szCs w:val="20"/>
        </w:rPr>
        <w:t>投标人的投标文件中承</w:t>
      </w:r>
      <w:r>
        <w:rPr>
          <w:rFonts w:hint="eastAsia" w:ascii="宋体" w:hAnsi="宋体" w:cs="宋体"/>
          <w:b/>
          <w:color w:val="auto"/>
          <w:sz w:val="24"/>
          <w:szCs w:val="21"/>
        </w:rPr>
        <w:t>诺的投标有效期少于招标文件中载明的投标有效期的，投标无效。</w:t>
      </w:r>
    </w:p>
    <w:p w14:paraId="054152C9">
      <w:pPr>
        <w:pStyle w:val="131"/>
        <w:spacing w:before="0"/>
        <w:ind w:firstLine="480"/>
        <w:rPr>
          <w:rFonts w:ascii="宋体" w:hAnsi="宋体" w:cs="宋体"/>
          <w:color w:val="auto"/>
        </w:rPr>
      </w:pPr>
      <w:r>
        <w:rPr>
          <w:rFonts w:hint="eastAsia" w:ascii="宋体" w:hAnsi="宋体" w:cs="宋体"/>
          <w:color w:val="auto"/>
        </w:rPr>
        <w:t>17.2投标文件合格投递后，自投标截止日期起，在投标有效期内有效。</w:t>
      </w:r>
    </w:p>
    <w:p w14:paraId="15555064">
      <w:pPr>
        <w:pStyle w:val="131"/>
        <w:spacing w:before="0"/>
        <w:ind w:firstLine="480"/>
        <w:rPr>
          <w:rFonts w:ascii="宋体" w:hAnsi="宋体" w:cs="宋体"/>
          <w:color w:val="auto"/>
        </w:rPr>
      </w:pPr>
      <w:r>
        <w:rPr>
          <w:rFonts w:hint="eastAsia" w:ascii="宋体" w:hAnsi="宋体" w:cs="宋体"/>
          <w:color w:val="auto"/>
        </w:rPr>
        <w:t>17.3在原定投标有效期满之前，如果出现特殊情况，</w:t>
      </w:r>
      <w:r>
        <w:rPr>
          <w:rFonts w:hint="eastAsia" w:ascii="宋体" w:hAnsi="宋体" w:cs="宋体"/>
          <w:color w:val="auto"/>
          <w:lang w:eastAsia="zh-CN"/>
        </w:rPr>
        <w:t>采购代理机构</w:t>
      </w:r>
      <w:r>
        <w:rPr>
          <w:rFonts w:hint="eastAsia" w:ascii="宋体" w:hAnsi="宋体" w:cs="宋体"/>
          <w:color w:val="auto"/>
        </w:rPr>
        <w:t>可以以书面形式通知投标人延长投标有效期。投标人同意延长的，不得要求或被允许修改其投标文件，投标人拒绝延长的，其投标无效。</w:t>
      </w:r>
    </w:p>
    <w:p w14:paraId="76196D30">
      <w:pPr>
        <w:pStyle w:val="131"/>
        <w:spacing w:before="0"/>
        <w:ind w:firstLine="643"/>
        <w:rPr>
          <w:rFonts w:ascii="宋体" w:hAnsi="宋体" w:cs="宋体"/>
          <w:b/>
          <w:color w:val="auto"/>
          <w:sz w:val="32"/>
        </w:rPr>
      </w:pPr>
    </w:p>
    <w:p w14:paraId="041DF2DF">
      <w:pPr>
        <w:pStyle w:val="131"/>
        <w:spacing w:before="0"/>
        <w:ind w:firstLine="1928" w:firstLineChars="600"/>
        <w:rPr>
          <w:rFonts w:ascii="宋体" w:hAnsi="宋体" w:cs="宋体"/>
          <w:b/>
          <w:color w:val="auto"/>
          <w:sz w:val="32"/>
        </w:rPr>
      </w:pPr>
      <w:r>
        <w:rPr>
          <w:rFonts w:hint="eastAsia" w:ascii="宋体" w:hAnsi="宋体" w:cs="宋体"/>
          <w:b/>
          <w:color w:val="auto"/>
          <w:sz w:val="32"/>
        </w:rPr>
        <w:t>四、开标、资格审查与信用信息查询</w:t>
      </w:r>
    </w:p>
    <w:p w14:paraId="75ACFA84">
      <w:pPr>
        <w:pStyle w:val="557"/>
        <w:spacing w:before="0" w:line="360" w:lineRule="auto"/>
        <w:ind w:left="0" w:firstLine="241" w:firstLineChars="100"/>
        <w:contextualSpacing/>
        <w:rPr>
          <w:rFonts w:ascii="宋体" w:hAnsi="宋体" w:cs="宋体"/>
          <w:color w:val="auto"/>
          <w:sz w:val="24"/>
        </w:rPr>
      </w:pPr>
      <w:r>
        <w:rPr>
          <w:rFonts w:hint="eastAsia" w:ascii="宋体" w:hAnsi="宋体" w:cs="宋体"/>
          <w:b/>
          <w:color w:val="auto"/>
          <w:sz w:val="24"/>
          <w:szCs w:val="24"/>
        </w:rPr>
        <w:t>18.开标</w:t>
      </w:r>
      <w:r>
        <w:rPr>
          <w:rFonts w:hint="eastAsia" w:ascii="宋体" w:hAnsi="宋体" w:cs="宋体"/>
          <w:color w:val="auto"/>
          <w:sz w:val="24"/>
        </w:rPr>
        <w:t xml:space="preserve"> </w:t>
      </w:r>
    </w:p>
    <w:p w14:paraId="3915B2FD">
      <w:pPr>
        <w:pStyle w:val="557"/>
        <w:spacing w:before="0" w:line="360" w:lineRule="auto"/>
        <w:ind w:left="0" w:firstLine="480" w:firstLineChars="200"/>
        <w:contextualSpacing/>
        <w:rPr>
          <w:rFonts w:ascii="宋体" w:hAnsi="宋体" w:cs="宋体"/>
          <w:color w:val="auto"/>
          <w:sz w:val="24"/>
        </w:rPr>
      </w:pPr>
      <w:r>
        <w:rPr>
          <w:rFonts w:hint="eastAsia" w:ascii="宋体" w:hAnsi="宋体" w:cs="宋体"/>
          <w:color w:val="auto"/>
          <w:sz w:val="24"/>
        </w:rPr>
        <w:t>18.1</w:t>
      </w:r>
      <w:r>
        <w:rPr>
          <w:rFonts w:hint="eastAsia" w:ascii="宋体" w:hAnsi="宋体" w:cs="宋体"/>
          <w:color w:val="auto"/>
          <w:sz w:val="24"/>
          <w:lang w:eastAsia="zh-CN"/>
        </w:rPr>
        <w:t>采购代理机构</w:t>
      </w:r>
      <w:r>
        <w:rPr>
          <w:rFonts w:hint="eastAsia" w:ascii="宋体" w:hAnsi="宋体" w:cs="宋体"/>
          <w:color w:val="auto"/>
          <w:sz w:val="24"/>
        </w:rPr>
        <w:t>按照招标文件规定的时间通过电子交易平台组织开标，所有投标人均应当准时在线参加。投标人不足3家的，不得开标。</w:t>
      </w:r>
    </w:p>
    <w:p w14:paraId="47A66D63">
      <w:pPr>
        <w:pStyle w:val="557"/>
        <w:spacing w:before="0" w:line="360" w:lineRule="auto"/>
        <w:ind w:left="0" w:firstLine="240" w:firstLineChars="100"/>
        <w:contextualSpacing/>
        <w:rPr>
          <w:rFonts w:ascii="宋体" w:hAnsi="宋体" w:cs="宋体"/>
          <w:color w:val="auto"/>
          <w:sz w:val="24"/>
        </w:rPr>
      </w:pPr>
      <w:r>
        <w:rPr>
          <w:rFonts w:hint="eastAsia" w:ascii="宋体" w:hAnsi="宋体" w:cs="宋体"/>
          <w:color w:val="auto"/>
          <w:sz w:val="24"/>
        </w:rPr>
        <w:t>　18.2开标时，电子交易平台按开标时间自动提取所有投标文件。</w:t>
      </w:r>
      <w:r>
        <w:rPr>
          <w:rFonts w:hint="eastAsia" w:ascii="宋体" w:hAnsi="宋体" w:cs="宋体"/>
          <w:color w:val="auto"/>
          <w:sz w:val="24"/>
          <w:lang w:eastAsia="zh-CN"/>
        </w:rPr>
        <w:t>采购代理机构</w:t>
      </w:r>
      <w:r>
        <w:rPr>
          <w:rFonts w:hint="eastAsia" w:ascii="宋体" w:hAnsi="宋体" w:cs="宋体"/>
          <w:color w:val="auto"/>
          <w:sz w:val="24"/>
        </w:rPr>
        <w:t>依托电子交易平台发起开始解密指令，投标人按照平台提示和招标文件的规定在半小时内完成在线解密。</w:t>
      </w:r>
    </w:p>
    <w:p w14:paraId="02A74FDE">
      <w:pPr>
        <w:pStyle w:val="557"/>
        <w:spacing w:before="0" w:line="360" w:lineRule="auto"/>
        <w:ind w:left="0" w:firstLine="240" w:firstLineChars="100"/>
        <w:contextualSpacing/>
        <w:rPr>
          <w:rFonts w:ascii="宋体" w:hAnsi="宋体" w:cs="宋体"/>
          <w:b/>
          <w:color w:val="auto"/>
          <w:sz w:val="24"/>
        </w:rPr>
      </w:pPr>
      <w:r>
        <w:rPr>
          <w:rFonts w:hint="eastAsia" w:ascii="宋体" w:hAnsi="宋体" w:cs="宋体"/>
          <w:color w:val="auto"/>
          <w:sz w:val="24"/>
        </w:rPr>
        <w:t>　18.3</w:t>
      </w:r>
      <w:r>
        <w:rPr>
          <w:rFonts w:hint="eastAsia" w:ascii="宋体" w:hAnsi="宋体" w:cs="宋体"/>
          <w:b/>
          <w:color w:val="auto"/>
          <w:sz w:val="24"/>
        </w:rPr>
        <w:t>投标文件未按时解密，投标人提供了备份投标文件的，以备份投标文件作为依据，否则视为投标文件撤回。投标文件已按时解密的，备份投标文件自动失效。</w:t>
      </w:r>
    </w:p>
    <w:p w14:paraId="61255307">
      <w:pPr>
        <w:widowControl/>
        <w:spacing w:before="100" w:beforeAutospacing="1" w:after="240" w:line="360" w:lineRule="auto"/>
        <w:jc w:val="left"/>
        <w:rPr>
          <w:rFonts w:ascii="宋体" w:hAnsi="宋体" w:cs="宋体"/>
          <w:b/>
          <w:color w:val="auto"/>
          <w:sz w:val="24"/>
          <w:szCs w:val="20"/>
        </w:rPr>
      </w:pPr>
      <w:r>
        <w:rPr>
          <w:rFonts w:hint="eastAsia" w:ascii="宋体" w:hAnsi="宋体" w:cs="宋体"/>
          <w:b/>
          <w:color w:val="auto"/>
          <w:sz w:val="24"/>
          <w:szCs w:val="20"/>
        </w:rPr>
        <w:t>　19、资格审查</w:t>
      </w:r>
    </w:p>
    <w:p w14:paraId="1898A861">
      <w:pPr>
        <w:snapToGrid w:val="0"/>
        <w:spacing w:line="360" w:lineRule="auto"/>
        <w:ind w:firstLine="480" w:firstLineChars="200"/>
        <w:rPr>
          <w:rFonts w:ascii="宋体" w:hAnsi="宋体" w:cs="宋体"/>
          <w:color w:val="auto"/>
          <w:sz w:val="24"/>
        </w:rPr>
      </w:pPr>
      <w:r>
        <w:rPr>
          <w:rFonts w:hint="eastAsia" w:ascii="宋体" w:hAnsi="宋体" w:cs="宋体"/>
          <w:color w:val="auto"/>
          <w:kern w:val="0"/>
          <w:sz w:val="24"/>
        </w:rPr>
        <w:t>19.</w:t>
      </w:r>
      <w:r>
        <w:rPr>
          <w:rFonts w:hint="eastAsia" w:ascii="宋体" w:hAnsi="宋体" w:cs="宋体"/>
          <w:color w:val="auto"/>
          <w:kern w:val="0"/>
          <w:sz w:val="24"/>
          <w:lang w:val="en-US" w:eastAsia="zh-CN"/>
        </w:rPr>
        <w:t>1</w:t>
      </w:r>
      <w:r>
        <w:rPr>
          <w:rFonts w:hint="eastAsia" w:ascii="宋体" w:hAnsi="宋体" w:cs="宋体"/>
          <w:color w:val="auto"/>
          <w:sz w:val="24"/>
        </w:rPr>
        <w:t>采购人或</w:t>
      </w:r>
      <w:r>
        <w:rPr>
          <w:rFonts w:hint="eastAsia" w:ascii="宋体" w:hAnsi="宋体" w:cs="宋体"/>
          <w:color w:val="auto"/>
          <w:sz w:val="24"/>
          <w:lang w:eastAsia="zh-CN"/>
        </w:rPr>
        <w:t>采购代理机构</w:t>
      </w:r>
      <w:r>
        <w:rPr>
          <w:rFonts w:hint="eastAsia" w:ascii="宋体" w:hAnsi="宋体" w:cs="宋体"/>
          <w:color w:val="auto"/>
          <w:sz w:val="24"/>
        </w:rPr>
        <w:t>依据法律法规和招标文件的规定，对投标人的资格进行审查。</w:t>
      </w:r>
    </w:p>
    <w:p w14:paraId="116E0C4A">
      <w:pPr>
        <w:pStyle w:val="131"/>
        <w:spacing w:before="0"/>
        <w:ind w:firstLine="480"/>
        <w:rPr>
          <w:rFonts w:ascii="宋体" w:hAnsi="宋体" w:cs="宋体"/>
          <w:color w:val="auto"/>
        </w:rPr>
      </w:pPr>
      <w:r>
        <w:rPr>
          <w:rFonts w:hint="eastAsia" w:ascii="宋体" w:hAnsi="宋体" w:cs="宋体"/>
          <w:color w:val="auto"/>
          <w:kern w:val="0"/>
          <w:szCs w:val="24"/>
        </w:rPr>
        <w:t>19.</w:t>
      </w:r>
      <w:r>
        <w:rPr>
          <w:rFonts w:hint="eastAsia" w:ascii="宋体" w:hAnsi="宋体" w:cs="宋体"/>
          <w:color w:val="auto"/>
          <w:kern w:val="0"/>
          <w:szCs w:val="24"/>
          <w:lang w:val="en-US" w:eastAsia="zh-CN"/>
        </w:rPr>
        <w:t>2</w:t>
      </w:r>
      <w:r>
        <w:rPr>
          <w:rFonts w:hint="eastAsia" w:ascii="宋体" w:hAnsi="宋体" w:cs="宋体"/>
          <w:color w:val="auto"/>
          <w:kern w:val="0"/>
          <w:szCs w:val="24"/>
        </w:rPr>
        <w:t>投标人未按照招标文件要求提供与</w:t>
      </w:r>
      <w:r>
        <w:rPr>
          <w:rFonts w:hint="eastAsia" w:ascii="宋体" w:hAnsi="宋体" w:cs="宋体"/>
          <w:color w:val="auto"/>
        </w:rPr>
        <w:t>资格条件相应的</w:t>
      </w:r>
      <w:r>
        <w:rPr>
          <w:rFonts w:hint="eastAsia" w:ascii="宋体" w:hAnsi="宋体" w:cs="宋体"/>
          <w:color w:val="auto"/>
          <w:kern w:val="0"/>
          <w:szCs w:val="24"/>
        </w:rPr>
        <w:t>有效资格证明材料的，视为</w:t>
      </w:r>
      <w:r>
        <w:rPr>
          <w:rFonts w:hint="eastAsia" w:ascii="宋体" w:hAnsi="宋体" w:cs="宋体"/>
          <w:color w:val="auto"/>
        </w:rPr>
        <w:t>投标人不具备招标文件中规定的资格要求，其投标无效。</w:t>
      </w:r>
    </w:p>
    <w:p w14:paraId="546FA41C">
      <w:pPr>
        <w:pStyle w:val="131"/>
        <w:spacing w:before="0"/>
        <w:ind w:firstLine="480"/>
        <w:rPr>
          <w:rFonts w:ascii="宋体" w:hAnsi="宋体" w:cs="宋体"/>
          <w:color w:val="auto"/>
        </w:rPr>
      </w:pPr>
      <w:r>
        <w:rPr>
          <w:rFonts w:hint="eastAsia" w:ascii="宋体" w:hAnsi="宋体" w:cs="宋体"/>
          <w:color w:val="auto"/>
          <w:kern w:val="0"/>
          <w:szCs w:val="24"/>
        </w:rPr>
        <w:t>19.</w:t>
      </w:r>
      <w:r>
        <w:rPr>
          <w:rFonts w:hint="eastAsia" w:ascii="宋体" w:hAnsi="宋体" w:cs="宋体"/>
          <w:color w:val="auto"/>
          <w:lang w:val="en-US" w:eastAsia="zh-CN"/>
        </w:rPr>
        <w:t>3</w:t>
      </w:r>
      <w:r>
        <w:rPr>
          <w:rFonts w:hint="eastAsia" w:ascii="宋体" w:hAnsi="宋体" w:cs="宋体"/>
          <w:color w:val="auto"/>
        </w:rPr>
        <w:t>对未通过资格审查的投标人，采购人或</w:t>
      </w:r>
      <w:r>
        <w:rPr>
          <w:rFonts w:hint="eastAsia" w:ascii="宋体" w:hAnsi="宋体" w:cs="宋体"/>
          <w:color w:val="auto"/>
          <w:lang w:eastAsia="zh-CN"/>
        </w:rPr>
        <w:t>采购代理机构</w:t>
      </w:r>
      <w:r>
        <w:rPr>
          <w:rFonts w:hint="eastAsia" w:ascii="宋体" w:hAnsi="宋体" w:cs="宋体"/>
          <w:color w:val="auto"/>
        </w:rPr>
        <w:t>告知其未通过的原因。</w:t>
      </w:r>
    </w:p>
    <w:p w14:paraId="67A3E6D3">
      <w:pPr>
        <w:pStyle w:val="131"/>
        <w:adjustRightInd w:val="0"/>
        <w:snapToGrid w:val="0"/>
        <w:spacing w:before="0"/>
        <w:ind w:firstLine="480"/>
        <w:rPr>
          <w:rFonts w:hint="eastAsia" w:ascii="宋体" w:hAnsi="宋体" w:cs="宋体"/>
          <w:color w:val="auto"/>
        </w:rPr>
      </w:pPr>
      <w:r>
        <w:rPr>
          <w:rFonts w:hint="eastAsia" w:ascii="宋体" w:hAnsi="宋体" w:cs="宋体"/>
          <w:color w:val="auto"/>
          <w:kern w:val="0"/>
          <w:szCs w:val="24"/>
        </w:rPr>
        <w:t>19.</w:t>
      </w:r>
      <w:r>
        <w:rPr>
          <w:rFonts w:hint="eastAsia" w:ascii="宋体" w:hAnsi="宋体" w:cs="宋体"/>
          <w:color w:val="auto"/>
          <w:lang w:val="en-US" w:eastAsia="zh-CN"/>
        </w:rPr>
        <w:t>4</w:t>
      </w:r>
      <w:r>
        <w:rPr>
          <w:rFonts w:hint="eastAsia" w:ascii="宋体" w:hAnsi="宋体" w:cs="宋体"/>
          <w:color w:val="auto"/>
        </w:rPr>
        <w:t>合格投标人不足3家的，不再评标。</w:t>
      </w:r>
    </w:p>
    <w:p w14:paraId="439F141D">
      <w:pPr>
        <w:pStyle w:val="131"/>
        <w:spacing w:before="0"/>
        <w:ind w:firstLine="0" w:firstLineChars="0"/>
        <w:rPr>
          <w:rFonts w:ascii="宋体" w:hAnsi="宋体" w:cs="宋体"/>
          <w:b/>
          <w:color w:val="auto"/>
          <w:szCs w:val="24"/>
        </w:rPr>
      </w:pPr>
      <w:r>
        <w:rPr>
          <w:rFonts w:hint="eastAsia" w:ascii="宋体" w:hAnsi="宋体" w:cs="宋体"/>
          <w:b/>
          <w:color w:val="auto"/>
          <w:szCs w:val="24"/>
        </w:rPr>
        <w:t>20、信用信息查询</w:t>
      </w:r>
    </w:p>
    <w:p w14:paraId="7528562B">
      <w:pPr>
        <w:pStyle w:val="131"/>
        <w:spacing w:before="0"/>
        <w:ind w:firstLine="495" w:firstLineChars="0"/>
        <w:rPr>
          <w:rFonts w:ascii="宋体" w:hAnsi="宋体" w:cs="宋体"/>
          <w:color w:val="auto"/>
          <w:kern w:val="0"/>
          <w:szCs w:val="24"/>
        </w:rPr>
      </w:pPr>
      <w:r>
        <w:rPr>
          <w:rFonts w:hint="eastAsia" w:ascii="宋体" w:hAnsi="宋体" w:cs="宋体"/>
          <w:color w:val="auto"/>
          <w:kern w:val="0"/>
          <w:szCs w:val="24"/>
        </w:rPr>
        <w:t>20.1信用信息查询渠道及截止时间：</w:t>
      </w:r>
      <w:r>
        <w:rPr>
          <w:rFonts w:hint="eastAsia" w:ascii="宋体" w:hAnsi="宋体" w:cs="宋体"/>
          <w:color w:val="auto"/>
          <w:kern w:val="0"/>
          <w:szCs w:val="24"/>
          <w:lang w:eastAsia="zh-CN"/>
        </w:rPr>
        <w:t>采购代理机构</w:t>
      </w:r>
      <w:r>
        <w:rPr>
          <w:rFonts w:hint="eastAsia" w:ascii="宋体" w:hAnsi="宋体" w:cs="宋体"/>
          <w:color w:val="auto"/>
          <w:kern w:val="0"/>
          <w:szCs w:val="24"/>
        </w:rPr>
        <w:t>将在资格审查时通过“信用中国”网站(www.creditchina.gov.cn)、中国政府采购网(www.ccgp.gov.cn)渠道查询投标人的信用记录。</w:t>
      </w:r>
    </w:p>
    <w:p w14:paraId="327F9005">
      <w:pPr>
        <w:pStyle w:val="131"/>
        <w:spacing w:before="0"/>
        <w:ind w:firstLine="495" w:firstLineChars="0"/>
        <w:rPr>
          <w:rFonts w:ascii="宋体" w:hAnsi="宋体" w:cs="宋体"/>
          <w:color w:val="auto"/>
          <w:kern w:val="0"/>
          <w:szCs w:val="24"/>
        </w:rPr>
      </w:pPr>
      <w:r>
        <w:rPr>
          <w:rFonts w:hint="eastAsia" w:ascii="宋体" w:hAnsi="宋体" w:cs="宋体"/>
          <w:color w:val="auto"/>
          <w:kern w:val="0"/>
          <w:szCs w:val="24"/>
        </w:rPr>
        <w:t>20.2信用信息查询记录和证据留存的具体方式：现场查询的投标人的信用记录、查询结果经确认后将与采购文件一起存档。</w:t>
      </w:r>
    </w:p>
    <w:p w14:paraId="6733F834">
      <w:pPr>
        <w:pStyle w:val="131"/>
        <w:spacing w:before="0"/>
        <w:ind w:firstLine="495" w:firstLineChars="0"/>
        <w:rPr>
          <w:rFonts w:ascii="宋体" w:hAnsi="宋体" w:cs="宋体"/>
          <w:color w:val="auto"/>
          <w:kern w:val="0"/>
          <w:szCs w:val="24"/>
        </w:rPr>
      </w:pPr>
      <w:r>
        <w:rPr>
          <w:rFonts w:hint="eastAsia" w:ascii="宋体" w:hAnsi="宋体" w:cs="宋体"/>
          <w:color w:val="auto"/>
          <w:kern w:val="0"/>
          <w:szCs w:val="24"/>
        </w:rPr>
        <w:t>20.3信用信息的使用规则：经查询列入失信被执行人名单、重大税收违法案件当事人名单、政府采购严重违法失信行为记录名单的投标人将被拒绝参与政府采购活动。</w:t>
      </w:r>
    </w:p>
    <w:p w14:paraId="0F94DE3F">
      <w:pPr>
        <w:pStyle w:val="131"/>
        <w:spacing w:before="0"/>
        <w:ind w:firstLine="480"/>
        <w:rPr>
          <w:rFonts w:ascii="宋体" w:hAnsi="宋体" w:cs="宋体"/>
          <w:color w:val="auto"/>
        </w:rPr>
      </w:pPr>
      <w:r>
        <w:rPr>
          <w:rFonts w:hint="eastAsia" w:ascii="宋体" w:hAnsi="宋体" w:cs="宋体"/>
          <w:color w:val="auto"/>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rPr>
        <w:t>。</w:t>
      </w:r>
    </w:p>
    <w:p w14:paraId="59C6F8D6">
      <w:pPr>
        <w:pStyle w:val="131"/>
        <w:spacing w:before="0"/>
        <w:ind w:firstLine="0" w:firstLineChars="0"/>
        <w:rPr>
          <w:rFonts w:ascii="宋体" w:hAnsi="宋体" w:cs="宋体"/>
          <w:color w:val="auto"/>
          <w:kern w:val="0"/>
          <w:szCs w:val="24"/>
        </w:rPr>
      </w:pPr>
    </w:p>
    <w:p w14:paraId="200B1D2E">
      <w:pPr>
        <w:snapToGrid w:val="0"/>
        <w:spacing w:line="360" w:lineRule="auto"/>
        <w:jc w:val="center"/>
        <w:outlineLvl w:val="0"/>
        <w:rPr>
          <w:rFonts w:ascii="宋体" w:hAnsi="宋体" w:cs="宋体"/>
          <w:b/>
          <w:color w:val="auto"/>
          <w:sz w:val="36"/>
          <w:szCs w:val="36"/>
        </w:rPr>
      </w:pPr>
      <w:r>
        <w:rPr>
          <w:rFonts w:hint="eastAsia" w:ascii="宋体" w:hAnsi="宋体" w:cs="宋体"/>
          <w:b/>
          <w:color w:val="auto"/>
          <w:sz w:val="36"/>
          <w:szCs w:val="36"/>
        </w:rPr>
        <w:t>五、评标</w:t>
      </w:r>
    </w:p>
    <w:p w14:paraId="3B82A77C">
      <w:pPr>
        <w:spacing w:line="360" w:lineRule="auto"/>
        <w:rPr>
          <w:rFonts w:ascii="宋体" w:hAnsi="宋体" w:cs="宋体"/>
          <w:b/>
          <w:color w:val="auto"/>
          <w:sz w:val="24"/>
        </w:rPr>
      </w:pPr>
      <w:bookmarkStart w:id="18" w:name="_Toc91899903"/>
      <w:r>
        <w:rPr>
          <w:rFonts w:hint="eastAsia" w:ascii="宋体" w:hAnsi="宋体" w:cs="宋体"/>
          <w:b/>
          <w:color w:val="auto"/>
          <w:sz w:val="24"/>
        </w:rPr>
        <w:t>21.</w:t>
      </w:r>
      <w:r>
        <w:rPr>
          <w:rFonts w:hint="eastAsia" w:ascii="宋体" w:hAnsi="宋体" w:cs="宋体"/>
          <w:color w:val="auto"/>
        </w:rPr>
        <w:t xml:space="preserve"> </w:t>
      </w:r>
      <w:r>
        <w:rPr>
          <w:rFonts w:hint="eastAsia" w:ascii="宋体" w:hAnsi="宋体" w:cs="宋体"/>
          <w:color w:val="auto"/>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rPr>
        <w:t>详见招标文件第四部分评标办法。</w:t>
      </w:r>
    </w:p>
    <w:p w14:paraId="3BE04B39">
      <w:pPr>
        <w:spacing w:line="360" w:lineRule="auto"/>
        <w:rPr>
          <w:rFonts w:ascii="宋体" w:hAnsi="宋体" w:cs="宋体"/>
          <w:b/>
          <w:color w:val="auto"/>
          <w:sz w:val="24"/>
        </w:rPr>
      </w:pPr>
    </w:p>
    <w:p w14:paraId="40A4301C">
      <w:pPr>
        <w:snapToGrid w:val="0"/>
        <w:spacing w:line="360" w:lineRule="auto"/>
        <w:jc w:val="center"/>
        <w:outlineLvl w:val="0"/>
        <w:rPr>
          <w:rFonts w:ascii="宋体" w:hAnsi="宋体" w:cs="宋体"/>
          <w:b/>
          <w:color w:val="auto"/>
          <w:sz w:val="36"/>
          <w:szCs w:val="36"/>
        </w:rPr>
      </w:pPr>
      <w:r>
        <w:rPr>
          <w:rFonts w:hint="eastAsia" w:ascii="宋体" w:hAnsi="宋体" w:cs="宋体"/>
          <w:b/>
          <w:color w:val="auto"/>
          <w:sz w:val="36"/>
          <w:szCs w:val="36"/>
        </w:rPr>
        <w:t>六、定 标</w:t>
      </w:r>
    </w:p>
    <w:p w14:paraId="54D41E62">
      <w:pPr>
        <w:pStyle w:val="24"/>
        <w:spacing w:line="360" w:lineRule="auto"/>
        <w:ind w:left="479" w:hanging="479" w:hangingChars="199"/>
        <w:rPr>
          <w:rFonts w:cs="宋体"/>
          <w:b/>
          <w:color w:val="auto"/>
        </w:rPr>
      </w:pPr>
      <w:r>
        <w:rPr>
          <w:rFonts w:hint="eastAsia" w:cs="宋体"/>
          <w:b/>
          <w:color w:val="auto"/>
        </w:rPr>
        <w:t>22. 确定中标供应商</w:t>
      </w:r>
    </w:p>
    <w:p w14:paraId="431C37DB">
      <w:pPr>
        <w:pStyle w:val="131"/>
        <w:snapToGrid w:val="0"/>
        <w:spacing w:before="0"/>
        <w:ind w:firstLine="480"/>
        <w:rPr>
          <w:rFonts w:ascii="宋体" w:hAnsi="宋体" w:cs="宋体"/>
          <w:b/>
          <w:color w:val="auto"/>
          <w:szCs w:val="24"/>
        </w:rPr>
      </w:pPr>
      <w:r>
        <w:rPr>
          <w:rFonts w:hint="eastAsia" w:ascii="宋体" w:hAnsi="宋体" w:cs="宋体"/>
          <w:color w:val="auto"/>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lang w:val="en-US" w:eastAsia="zh-CN"/>
        </w:rPr>
        <w:t>鼓励</w:t>
      </w:r>
      <w:r>
        <w:rPr>
          <w:rFonts w:hint="eastAsia" w:ascii="宋体" w:hAnsi="宋体" w:cs="宋体"/>
          <w:color w:val="auto"/>
          <w:szCs w:val="24"/>
        </w:rPr>
        <w:t>在收到评审报告当天</w:t>
      </w:r>
      <w:r>
        <w:rPr>
          <w:rFonts w:hint="eastAsia" w:ascii="宋体" w:hAnsi="宋体" w:cs="宋体"/>
          <w:color w:val="auto"/>
          <w:szCs w:val="24"/>
          <w:lang w:val="en-US" w:eastAsia="zh-CN"/>
        </w:rPr>
        <w:t>在线</w:t>
      </w:r>
      <w:r>
        <w:rPr>
          <w:rFonts w:hint="eastAsia" w:ascii="宋体" w:hAnsi="宋体" w:cs="宋体"/>
          <w:color w:val="auto"/>
          <w:szCs w:val="24"/>
        </w:rPr>
        <w:t>确定中标或者成交供应商。中标、成交通知书和中标、成交结果公告应当在规定时间内同时发出。</w:t>
      </w:r>
    </w:p>
    <w:p w14:paraId="32A2B194">
      <w:pPr>
        <w:pStyle w:val="131"/>
        <w:snapToGrid w:val="0"/>
        <w:spacing w:before="0"/>
        <w:ind w:firstLine="0" w:firstLineChars="0"/>
        <w:rPr>
          <w:rFonts w:ascii="宋体" w:hAnsi="宋体" w:cs="宋体"/>
          <w:b/>
          <w:color w:val="auto"/>
          <w:szCs w:val="24"/>
        </w:rPr>
      </w:pPr>
      <w:r>
        <w:rPr>
          <w:rFonts w:hint="eastAsia" w:ascii="宋体" w:hAnsi="宋体" w:cs="宋体"/>
          <w:b/>
          <w:color w:val="auto"/>
          <w:szCs w:val="24"/>
        </w:rPr>
        <w:t>23. 中标通知与中标结果公告</w:t>
      </w:r>
    </w:p>
    <w:p w14:paraId="257DFE0B">
      <w:pPr>
        <w:widowControl/>
        <w:shd w:val="clear" w:color="auto" w:fill="FFFFFF"/>
        <w:spacing w:line="360" w:lineRule="auto"/>
        <w:ind w:firstLine="480"/>
        <w:jc w:val="left"/>
        <w:rPr>
          <w:rFonts w:hint="eastAsia" w:ascii="宋体" w:hAnsi="宋体" w:cs="宋体"/>
          <w:color w:val="auto"/>
          <w:sz w:val="24"/>
        </w:rPr>
      </w:pPr>
      <w:r>
        <w:rPr>
          <w:rFonts w:hint="eastAsia" w:ascii="宋体" w:hAnsi="宋体" w:cs="宋体"/>
          <w:color w:val="auto"/>
          <w:sz w:val="24"/>
        </w:rPr>
        <w:t>23.1自中标人确定之日起2个工作日内，</w:t>
      </w:r>
      <w:r>
        <w:rPr>
          <w:rFonts w:hint="eastAsia" w:ascii="宋体" w:hAnsi="宋体" w:cs="宋体"/>
          <w:color w:val="auto"/>
          <w:sz w:val="24"/>
          <w:lang w:eastAsia="zh-CN"/>
        </w:rPr>
        <w:t>采购代理机构</w:t>
      </w:r>
      <w:r>
        <w:rPr>
          <w:rFonts w:hint="eastAsia" w:ascii="宋体" w:hAnsi="宋体" w:cs="宋体"/>
          <w:color w:val="auto"/>
          <w:sz w:val="24"/>
        </w:rPr>
        <w:t>通过电子交易平台向中标人发出中标通知书，同时编制发布采购结果公告。</w:t>
      </w:r>
      <w:r>
        <w:rPr>
          <w:rFonts w:hint="eastAsia" w:ascii="宋体" w:hAnsi="宋体" w:cs="宋体"/>
          <w:color w:val="auto"/>
          <w:sz w:val="24"/>
          <w:lang w:eastAsia="zh-CN"/>
        </w:rPr>
        <w:t>采购代理机构</w:t>
      </w:r>
      <w:r>
        <w:rPr>
          <w:rFonts w:hint="eastAsia" w:ascii="宋体" w:hAnsi="宋体" w:cs="宋体"/>
          <w:color w:val="auto"/>
          <w:sz w:val="24"/>
        </w:rPr>
        <w:t>也可以以纸质形式进行中标通知。</w:t>
      </w:r>
    </w:p>
    <w:p w14:paraId="0AF245DB">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23.2中标结果公告内容包括采购人及其委托的</w:t>
      </w:r>
      <w:r>
        <w:rPr>
          <w:rFonts w:hint="eastAsia" w:ascii="宋体" w:hAnsi="宋体" w:cs="宋体"/>
          <w:color w:val="auto"/>
          <w:sz w:val="24"/>
          <w:lang w:eastAsia="zh-CN"/>
        </w:rPr>
        <w:t>采购代理机构</w:t>
      </w:r>
      <w:r>
        <w:rPr>
          <w:rFonts w:hint="eastAsia" w:ascii="宋体" w:hAnsi="宋体" w:cs="宋体"/>
          <w:color w:val="auto"/>
          <w:sz w:val="24"/>
        </w:rPr>
        <w:t>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050F0086">
      <w:pPr>
        <w:widowControl/>
        <w:shd w:val="clear" w:color="auto" w:fill="FFFFFF"/>
        <w:spacing w:line="360" w:lineRule="auto"/>
        <w:ind w:firstLine="480"/>
        <w:jc w:val="left"/>
        <w:rPr>
          <w:rFonts w:hint="eastAsia" w:ascii="宋体" w:hAnsi="宋体" w:cs="宋体"/>
          <w:color w:val="auto"/>
          <w:sz w:val="24"/>
        </w:rPr>
      </w:pPr>
      <w:r>
        <w:rPr>
          <w:rFonts w:hint="eastAsia" w:ascii="宋体" w:hAnsi="宋体" w:cs="宋体"/>
          <w:color w:val="auto"/>
          <w:sz w:val="24"/>
        </w:rPr>
        <w:t>23.3公告期限为1个工作日。</w:t>
      </w:r>
    </w:p>
    <w:p w14:paraId="03376B75">
      <w:pPr>
        <w:pStyle w:val="131"/>
        <w:adjustRightInd w:val="0"/>
        <w:snapToGrid w:val="0"/>
        <w:spacing w:before="0"/>
        <w:ind w:firstLine="482" w:firstLineChars="200"/>
        <w:rPr>
          <w:rStyle w:val="78"/>
          <w:color w:val="auto"/>
        </w:rPr>
      </w:pPr>
      <w:r>
        <w:rPr>
          <w:rFonts w:hint="eastAsia" w:ascii="宋体" w:hAnsi="宋体" w:cs="宋体"/>
          <w:b/>
          <w:color w:val="auto"/>
          <w:szCs w:val="24"/>
        </w:rPr>
        <w:t>2</w:t>
      </w:r>
      <w:r>
        <w:rPr>
          <w:rFonts w:hint="eastAsia" w:ascii="宋体" w:hAnsi="宋体" w:cs="宋体"/>
          <w:b/>
          <w:color w:val="auto"/>
          <w:szCs w:val="24"/>
          <w:lang w:eastAsia="zh-CN"/>
        </w:rPr>
        <w:t>3</w:t>
      </w:r>
      <w:r>
        <w:rPr>
          <w:rFonts w:hint="eastAsia" w:ascii="宋体" w:hAnsi="宋体" w:cs="宋体"/>
          <w:b/>
          <w:color w:val="auto"/>
          <w:szCs w:val="24"/>
          <w:lang w:val="en-US" w:eastAsia="zh-CN"/>
        </w:rPr>
        <w:t xml:space="preserve">.4 </w:t>
      </w:r>
      <w:r>
        <w:rPr>
          <w:rFonts w:hint="eastAsia" w:ascii="宋体" w:hAnsi="宋体" w:cs="宋体"/>
          <w:b w:val="0"/>
          <w:bCs/>
          <w:color w:val="auto"/>
          <w:szCs w:val="24"/>
        </w:rPr>
        <w:t>由于</w:t>
      </w:r>
      <w:r>
        <w:rPr>
          <w:rFonts w:hint="eastAsia" w:ascii="宋体" w:hAnsi="宋体" w:cs="宋体"/>
          <w:bCs/>
          <w:color w:val="auto"/>
          <w:szCs w:val="24"/>
        </w:rPr>
        <w:t>中标、成交供应商原因导致重新采购的，应当承担支付代理费和专家评审费等费用在内的赔偿责任。</w:t>
      </w:r>
    </w:p>
    <w:p w14:paraId="552590DD">
      <w:pPr>
        <w:pStyle w:val="80"/>
        <w:rPr>
          <w:color w:val="auto"/>
        </w:rPr>
      </w:pPr>
    </w:p>
    <w:p w14:paraId="645631DB">
      <w:pPr>
        <w:snapToGrid w:val="0"/>
        <w:spacing w:line="360" w:lineRule="auto"/>
        <w:ind w:left="120" w:leftChars="57" w:firstLine="482" w:firstLineChars="150"/>
        <w:jc w:val="center"/>
        <w:rPr>
          <w:rFonts w:ascii="宋体" w:hAnsi="宋体" w:cs="宋体"/>
          <w:b/>
          <w:color w:val="auto"/>
          <w:sz w:val="32"/>
        </w:rPr>
      </w:pPr>
    </w:p>
    <w:p w14:paraId="0880D228">
      <w:pPr>
        <w:snapToGrid w:val="0"/>
        <w:spacing w:line="360" w:lineRule="auto"/>
        <w:ind w:left="120" w:leftChars="57" w:firstLine="482" w:firstLineChars="150"/>
        <w:jc w:val="center"/>
        <w:rPr>
          <w:rFonts w:ascii="宋体" w:hAnsi="宋体" w:cs="宋体"/>
          <w:b/>
          <w:color w:val="auto"/>
          <w:sz w:val="32"/>
        </w:rPr>
      </w:pPr>
      <w:r>
        <w:rPr>
          <w:rFonts w:hint="eastAsia" w:ascii="宋体" w:hAnsi="宋体" w:cs="宋体"/>
          <w:b/>
          <w:color w:val="auto"/>
          <w:sz w:val="32"/>
        </w:rPr>
        <w:t>七、合同授予</w:t>
      </w:r>
    </w:p>
    <w:p w14:paraId="4E649142">
      <w:pPr>
        <w:pStyle w:val="24"/>
        <w:spacing w:line="360" w:lineRule="auto"/>
        <w:ind w:left="479" w:hanging="479" w:hangingChars="199"/>
        <w:rPr>
          <w:rFonts w:cs="宋体"/>
          <w:b/>
          <w:color w:val="auto"/>
        </w:rPr>
      </w:pPr>
      <w:r>
        <w:rPr>
          <w:rFonts w:hint="eastAsia" w:cs="宋体"/>
          <w:b/>
          <w:color w:val="auto"/>
        </w:rPr>
        <w:t xml:space="preserve">24. </w:t>
      </w:r>
      <w:r>
        <w:rPr>
          <w:rFonts w:hint="eastAsia" w:cs="宋体"/>
          <w:color w:val="auto"/>
        </w:rPr>
        <w:t>合同主要条款详见第五部分拟签订的合同文本。</w:t>
      </w:r>
    </w:p>
    <w:p w14:paraId="317735AF">
      <w:pPr>
        <w:pStyle w:val="24"/>
        <w:spacing w:line="360" w:lineRule="auto"/>
        <w:ind w:left="479" w:hanging="479" w:hangingChars="199"/>
        <w:rPr>
          <w:rFonts w:cs="宋体"/>
          <w:b/>
          <w:color w:val="auto"/>
        </w:rPr>
      </w:pPr>
      <w:r>
        <w:rPr>
          <w:rFonts w:hint="eastAsia" w:cs="宋体"/>
          <w:b/>
          <w:color w:val="auto"/>
        </w:rPr>
        <w:t>25. 合同的签订</w:t>
      </w:r>
    </w:p>
    <w:p w14:paraId="61EFB8B1">
      <w:pPr>
        <w:widowControl/>
        <w:shd w:val="clear" w:color="auto" w:fill="FFFFFF"/>
        <w:spacing w:line="360" w:lineRule="auto"/>
        <w:ind w:firstLine="480"/>
        <w:jc w:val="left"/>
        <w:rPr>
          <w:rFonts w:ascii="宋体" w:hAnsi="宋体" w:cs="宋体"/>
          <w:color w:val="auto"/>
          <w:kern w:val="0"/>
          <w:sz w:val="24"/>
        </w:rPr>
      </w:pPr>
      <w:r>
        <w:rPr>
          <w:rFonts w:hint="eastAsia" w:ascii="宋体" w:hAnsi="宋体" w:cs="宋体"/>
          <w:color w:val="auto"/>
          <w:sz w:val="24"/>
        </w:rPr>
        <w:t>25.1</w:t>
      </w:r>
      <w:r>
        <w:rPr>
          <w:rFonts w:hint="eastAsia" w:ascii="宋体" w:hAnsi="宋体" w:cs="宋体"/>
          <w:color w:val="auto"/>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758AAA02">
      <w:pPr>
        <w:pStyle w:val="131"/>
        <w:snapToGrid w:val="0"/>
        <w:spacing w:before="0"/>
        <w:ind w:firstLine="480"/>
        <w:rPr>
          <w:rFonts w:ascii="宋体" w:hAnsi="宋体" w:cs="宋体"/>
          <w:color w:val="auto"/>
          <w:kern w:val="0"/>
        </w:rPr>
      </w:pPr>
      <w:r>
        <w:rPr>
          <w:rFonts w:hint="eastAsia" w:ascii="宋体" w:hAnsi="宋体" w:cs="宋体"/>
          <w:color w:val="auto"/>
          <w:kern w:val="0"/>
          <w:lang w:val="zh-CN"/>
        </w:rPr>
        <w:t>25.2中标人按规定的日期、时间、地点，由法定代表人或其授权代表与采购人代表签订合同。如中标人为联合体的，由联合体成员各方法定代表人或其授权代表与采购人代表签订合同。</w:t>
      </w:r>
    </w:p>
    <w:p w14:paraId="648F02B7">
      <w:pPr>
        <w:pStyle w:val="131"/>
        <w:snapToGrid w:val="0"/>
        <w:spacing w:before="0"/>
        <w:ind w:firstLine="480"/>
        <w:rPr>
          <w:rFonts w:ascii="宋体" w:hAnsi="宋体" w:cs="宋体"/>
          <w:color w:val="auto"/>
        </w:rPr>
      </w:pPr>
      <w:r>
        <w:rPr>
          <w:rFonts w:hint="eastAsia" w:ascii="宋体" w:hAnsi="宋体" w:cs="宋体"/>
          <w:color w:val="auto"/>
        </w:rPr>
        <w:t>25.3如签订合同并生效后，供应商无故拒绝或延期，除按照合同条款处理外，列入不良行为记录一次，并给予通报。</w:t>
      </w:r>
    </w:p>
    <w:p w14:paraId="1EA8663A">
      <w:pPr>
        <w:pStyle w:val="131"/>
        <w:snapToGrid w:val="0"/>
        <w:spacing w:before="0"/>
        <w:ind w:firstLine="480"/>
        <w:rPr>
          <w:rFonts w:ascii="宋体" w:hAnsi="宋体" w:cs="宋体"/>
          <w:color w:val="auto"/>
        </w:rPr>
      </w:pPr>
      <w:r>
        <w:rPr>
          <w:rFonts w:hint="eastAsia" w:ascii="宋体" w:hAnsi="宋体" w:cs="宋体"/>
          <w:color w:val="auto"/>
        </w:rPr>
        <w:t>25.4中标供应商拒绝与采购人签订合同的，采购人可以按照评审报告推荐的中标或者成交候选人名单排序，确定下一候选人为中标供应商，也可以重新开展政府采购活动。</w:t>
      </w:r>
    </w:p>
    <w:p w14:paraId="20EEE9EA">
      <w:pPr>
        <w:pStyle w:val="131"/>
        <w:snapToGrid w:val="0"/>
        <w:spacing w:before="0" w:after="120"/>
        <w:ind w:firstLine="480"/>
        <w:rPr>
          <w:rFonts w:ascii="宋体" w:hAnsi="宋体" w:cs="宋体"/>
          <w:color w:val="auto"/>
        </w:rPr>
      </w:pPr>
      <w:r>
        <w:rPr>
          <w:rFonts w:hint="eastAsia" w:ascii="宋体" w:hAnsi="宋体" w:cs="宋体"/>
          <w:color w:val="auto"/>
        </w:rPr>
        <w:t>25.5采购合同由采购人与中标供应商根据招标文件、投标文件等内容通过政府采购电子交易平台在线签订，自动备案。</w:t>
      </w:r>
    </w:p>
    <w:p w14:paraId="7FD45531">
      <w:pPr>
        <w:pStyle w:val="24"/>
        <w:spacing w:line="360" w:lineRule="auto"/>
        <w:ind w:left="479" w:hanging="479" w:hangingChars="199"/>
        <w:rPr>
          <w:rFonts w:cs="宋体"/>
          <w:b/>
          <w:color w:val="auto"/>
        </w:rPr>
      </w:pPr>
      <w:r>
        <w:rPr>
          <w:rFonts w:hint="eastAsia" w:cs="宋体"/>
          <w:b/>
          <w:color w:val="auto"/>
        </w:rPr>
        <w:t>26. 履约保证金</w:t>
      </w:r>
    </w:p>
    <w:p w14:paraId="26D2B488">
      <w:pPr>
        <w:tabs>
          <w:tab w:val="left" w:pos="0"/>
        </w:tabs>
        <w:spacing w:line="360" w:lineRule="auto"/>
        <w:ind w:firstLine="482"/>
        <w:rPr>
          <w:rFonts w:ascii="宋体" w:hAnsi="宋体" w:cs="宋体"/>
          <w:color w:val="auto"/>
          <w:sz w:val="24"/>
        </w:rPr>
      </w:pPr>
      <w:r>
        <w:rPr>
          <w:rFonts w:hint="eastAsia" w:ascii="宋体" w:hAnsi="宋体" w:cs="宋体"/>
          <w:color w:val="auto"/>
          <w:kern w:val="0"/>
          <w:sz w:val="24"/>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rPr>
        <w:t>。履约保证金的数额不得超过政府采购合同金额的</w:t>
      </w:r>
      <w:r>
        <w:rPr>
          <w:rFonts w:ascii="宋体" w:hAnsi="宋体" w:cs="宋体"/>
          <w:color w:val="auto"/>
          <w:sz w:val="24"/>
        </w:rPr>
        <w:t>1</w:t>
      </w:r>
      <w:r>
        <w:rPr>
          <w:rFonts w:hint="eastAsia" w:ascii="宋体" w:hAnsi="宋体" w:cs="宋体"/>
          <w:color w:val="auto"/>
          <w:sz w:val="24"/>
        </w:rPr>
        <w:t>%，</w:t>
      </w:r>
      <w:r>
        <w:rPr>
          <w:rFonts w:hint="eastAsia" w:ascii="宋体" w:hAnsi="宋体" w:cs="宋体"/>
          <w:color w:val="auto"/>
          <w:kern w:val="2"/>
          <w:sz w:val="24"/>
          <w:highlight w:val="none"/>
        </w:rPr>
        <w:t>鼓励根据项目特点、供应商诚信等因素免收履约保证金或降低缴纳比例</w:t>
      </w:r>
      <w:r>
        <w:rPr>
          <w:rFonts w:hint="eastAsia" w:ascii="宋体" w:hAnsi="宋体" w:cs="宋体"/>
          <w:color w:val="auto"/>
          <w:kern w:val="2"/>
          <w:sz w:val="24"/>
        </w:rPr>
        <w:t>。</w:t>
      </w:r>
      <w:r>
        <w:rPr>
          <w:rFonts w:hint="eastAsia" w:ascii="宋体" w:hAnsi="宋体" w:cs="宋体"/>
          <w:color w:val="auto"/>
          <w:sz w:val="24"/>
        </w:rPr>
        <w:t>鼓励和支持供应商以银行、保险公司出具的保函形式提供履约保证金。采购人不得拒收履约保函，项目验收结束后应及时退还，</w:t>
      </w:r>
      <w:r>
        <w:rPr>
          <w:rFonts w:ascii="宋体" w:hAnsi="宋体" w:cs="宋体"/>
          <w:color w:val="auto"/>
          <w:sz w:val="24"/>
        </w:rPr>
        <w:t>延迟退还的，应当按照合同约定和法律规定承担相应的赔偿责任</w:t>
      </w:r>
      <w:r>
        <w:rPr>
          <w:rFonts w:hint="eastAsia" w:ascii="宋体" w:hAnsi="宋体" w:cs="宋体"/>
          <w:color w:val="auto"/>
          <w:sz w:val="24"/>
        </w:rPr>
        <w:t>。</w:t>
      </w:r>
    </w:p>
    <w:p w14:paraId="46D8CD3C">
      <w:pPr>
        <w:pStyle w:val="3"/>
        <w:ind w:left="0" w:firstLine="480" w:firstLineChars="200"/>
        <w:rPr>
          <w:rFonts w:ascii="宋体" w:hAnsi="宋体" w:eastAsia="宋体" w:cs="宋体"/>
          <w:b w:val="0"/>
          <w:bCs w:val="0"/>
          <w:snapToGrid w:val="0"/>
          <w:color w:val="auto"/>
          <w:kern w:val="28"/>
          <w:sz w:val="24"/>
        </w:rPr>
      </w:pPr>
      <w:r>
        <w:rPr>
          <w:rFonts w:hint="eastAsia" w:ascii="宋体" w:hAnsi="宋体" w:eastAsia="宋体" w:cs="宋体"/>
          <w:b w:val="0"/>
          <w:bCs w:val="0"/>
          <w:snapToGrid w:val="0"/>
          <w:color w:val="auto"/>
          <w:kern w:val="28"/>
          <w:sz w:val="24"/>
        </w:rPr>
        <w:t>供应商</w:t>
      </w:r>
      <w:r>
        <w:rPr>
          <w:rFonts w:hint="eastAsia" w:ascii="宋体" w:hAnsi="宋体" w:eastAsia="宋体" w:cs="宋体"/>
          <w:b w:val="0"/>
          <w:bCs w:val="0"/>
          <w:snapToGrid w:val="0"/>
          <w:color w:val="auto"/>
          <w:kern w:val="28"/>
          <w:sz w:val="24"/>
          <w:lang w:val="en-US"/>
        </w:rPr>
        <w:t>可</w:t>
      </w:r>
      <w:r>
        <w:rPr>
          <w:rFonts w:hint="eastAsia" w:ascii="宋体" w:hAnsi="宋体" w:eastAsia="宋体" w:cs="宋体"/>
          <w:b w:val="0"/>
          <w:bCs w:val="0"/>
          <w:snapToGrid w:val="0"/>
          <w:color w:val="auto"/>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lang w:val="en-US" w:eastAsia="zh-CN"/>
        </w:rPr>
        <w:t>95763</w:t>
      </w:r>
      <w:r>
        <w:rPr>
          <w:rFonts w:hint="eastAsia" w:ascii="宋体" w:hAnsi="宋体" w:eastAsia="宋体" w:cs="宋体"/>
          <w:b w:val="0"/>
          <w:bCs w:val="0"/>
          <w:snapToGrid w:val="0"/>
          <w:color w:val="auto"/>
          <w:kern w:val="28"/>
          <w:sz w:val="24"/>
        </w:rPr>
        <w:t>。</w:t>
      </w:r>
    </w:p>
    <w:p w14:paraId="66DB59EE">
      <w:pPr>
        <w:pStyle w:val="3"/>
        <w:rPr>
          <w:color w:val="auto"/>
          <w:highlight w:val="none"/>
        </w:rPr>
      </w:pPr>
      <w:r>
        <w:rPr>
          <w:rFonts w:ascii="宋体" w:hAnsi="宋体" w:eastAsia="宋体" w:cs="Times New Roman"/>
          <w:b/>
          <w:bCs/>
          <w:color w:val="auto"/>
          <w:kern w:val="2"/>
          <w:sz w:val="24"/>
          <w:szCs w:val="32"/>
          <w:highlight w:val="none"/>
          <w:lang w:val="en-US"/>
        </w:rPr>
        <w:t>27.预付款</w:t>
      </w:r>
    </w:p>
    <w:p w14:paraId="63EC23D5">
      <w:pPr>
        <w:adjustRightInd/>
        <w:spacing w:line="360" w:lineRule="auto"/>
        <w:ind w:firstLine="480" w:firstLineChars="200"/>
        <w:rPr>
          <w:color w:val="auto"/>
          <w:highlight w:val="none"/>
        </w:rPr>
      </w:pPr>
      <w:r>
        <w:rPr>
          <w:rFonts w:hint="eastAsia" w:ascii="宋体" w:hAnsi="宋体" w:cs="Times New Roman"/>
          <w:color w:val="auto"/>
          <w:kern w:val="2"/>
          <w:sz w:val="24"/>
          <w:highlight w:val="none"/>
        </w:rPr>
        <w:t>采购单位应当在政府采购合同中约定预付款，对中小企业合同预付款比例原则上不低于合同金额的</w:t>
      </w:r>
      <w:r>
        <w:rPr>
          <w:rFonts w:ascii="宋体" w:hAnsi="宋体" w:cs="Times New Roman"/>
          <w:color w:val="auto"/>
          <w:kern w:val="2"/>
          <w:sz w:val="24"/>
          <w:highlight w:val="none"/>
        </w:rPr>
        <w:t>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70%；项目分年安排预算的，每年预付款比例</w:t>
      </w:r>
      <w:r>
        <w:rPr>
          <w:rFonts w:hint="eastAsia" w:ascii="宋体" w:hAnsi="宋体"/>
          <w:color w:val="auto"/>
          <w:sz w:val="24"/>
        </w:rPr>
        <w:t>不低于</w:t>
      </w:r>
      <w:r>
        <w:rPr>
          <w:rFonts w:ascii="宋体" w:hAnsi="宋体" w:cs="Times New Roman"/>
          <w:color w:val="auto"/>
          <w:kern w:val="2"/>
          <w:sz w:val="24"/>
          <w:highlight w:val="none"/>
        </w:rPr>
        <w:t>项目年度计划支付资金额的40％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70%；采购项目实施以人工投入为主的，</w:t>
      </w:r>
      <w:r>
        <w:rPr>
          <w:rFonts w:hint="eastAsia" w:ascii="宋体" w:hAnsi="宋体" w:cs="Times New Roman"/>
          <w:color w:val="auto"/>
          <w:kern w:val="2"/>
          <w:sz w:val="24"/>
          <w:highlight w:val="none"/>
        </w:rPr>
        <w:t>可适当降低预付款比例，但不得低于</w:t>
      </w:r>
      <w:r>
        <w:rPr>
          <w:rFonts w:ascii="宋体" w:hAnsi="宋体" w:cs="Times New Roman"/>
          <w:color w:val="auto"/>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明确表示无需预付款或者主动要求降低预付款比例的，</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可不适用前述规定。</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根据项目特点、供应商诚信等因素，可以要求</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color w:val="auto"/>
          <w:kern w:val="2"/>
          <w:sz w:val="24"/>
          <w:highlight w:val="none"/>
        </w:rPr>
        <w:t>政府采购工程以及与工程建设有关的货物、服务，采用招标方式采购的，预付款从其相关规定。供应商可登录政采云前台大厅选择金融服务</w:t>
      </w:r>
      <w:r>
        <w:rPr>
          <w:rFonts w:ascii="宋体" w:hAnsi="宋体" w:cs="Times New Roman"/>
          <w:color w:val="auto"/>
          <w:kern w:val="2"/>
          <w:sz w:val="24"/>
          <w:highlight w:val="none"/>
        </w:rPr>
        <w:t xml:space="preserve"> - </w:t>
      </w:r>
      <w:r>
        <w:rPr>
          <w:rFonts w:hint="eastAsia" w:ascii="宋体" w:hAnsi="宋体" w:cs="Times New Roman"/>
          <w:color w:val="auto"/>
          <w:kern w:val="2"/>
          <w:sz w:val="24"/>
          <w:highlight w:val="none"/>
        </w:rPr>
        <w:t>【保函保险服务】出具预付款保函，具体步骤：选择产品—填写供应商信息—选择中标项目—确认信息—等待保险</w:t>
      </w:r>
      <w:r>
        <w:rPr>
          <w:rFonts w:ascii="宋体" w:hAnsi="宋体" w:cs="Times New Roman"/>
          <w:color w:val="auto"/>
          <w:kern w:val="2"/>
          <w:sz w:val="24"/>
          <w:highlight w:val="none"/>
        </w:rPr>
        <w:t>/保函受理—确认保单—支付保费—成功出单。政</w:t>
      </w:r>
      <w:r>
        <w:rPr>
          <w:rFonts w:hint="eastAsia" w:ascii="宋体" w:hAnsi="宋体" w:cs="Times New Roman"/>
          <w:color w:val="auto"/>
          <w:kern w:val="2"/>
          <w:sz w:val="24"/>
          <w:highlight w:val="none"/>
        </w:rPr>
        <w:t>采云金融专线</w:t>
      </w:r>
      <w:r>
        <w:rPr>
          <w:rFonts w:hint="eastAsia" w:ascii="宋体" w:hAnsi="宋体" w:cs="Times New Roman"/>
          <w:color w:val="auto"/>
          <w:kern w:val="2"/>
          <w:sz w:val="24"/>
          <w:highlight w:val="none"/>
          <w:lang w:val="en-US" w:eastAsia="zh-CN"/>
        </w:rPr>
        <w:t>95763</w:t>
      </w:r>
      <w:r>
        <w:rPr>
          <w:rFonts w:ascii="宋体" w:hAnsi="宋体" w:cs="Times New Roman"/>
          <w:color w:val="auto"/>
          <w:kern w:val="2"/>
          <w:sz w:val="24"/>
          <w:highlight w:val="none"/>
        </w:rPr>
        <w:t>。</w:t>
      </w:r>
    </w:p>
    <w:p w14:paraId="17E80C0D">
      <w:pPr>
        <w:rPr>
          <w:color w:val="auto"/>
        </w:rPr>
      </w:pPr>
    </w:p>
    <w:p w14:paraId="2F7B9824">
      <w:pPr>
        <w:snapToGrid w:val="0"/>
        <w:spacing w:line="360" w:lineRule="auto"/>
        <w:ind w:firstLine="3357" w:firstLineChars="1045"/>
        <w:rPr>
          <w:rFonts w:ascii="宋体" w:hAnsi="宋体" w:cs="宋体"/>
          <w:b/>
          <w:color w:val="auto"/>
          <w:sz w:val="32"/>
        </w:rPr>
      </w:pPr>
    </w:p>
    <w:p w14:paraId="6E4EFA84">
      <w:pPr>
        <w:snapToGrid w:val="0"/>
        <w:spacing w:line="360" w:lineRule="auto"/>
        <w:ind w:firstLine="3357" w:firstLineChars="1045"/>
        <w:rPr>
          <w:rFonts w:ascii="宋体" w:hAnsi="宋体" w:cs="宋体"/>
          <w:b/>
          <w:color w:val="auto"/>
          <w:sz w:val="24"/>
        </w:rPr>
      </w:pPr>
      <w:r>
        <w:rPr>
          <w:rFonts w:hint="eastAsia" w:ascii="宋体" w:hAnsi="宋体" w:cs="宋体"/>
          <w:b/>
          <w:color w:val="auto"/>
          <w:sz w:val="32"/>
        </w:rPr>
        <w:t>八、电子交易活动的中止</w:t>
      </w:r>
    </w:p>
    <w:p w14:paraId="794E4901">
      <w:pPr>
        <w:pStyle w:val="131"/>
        <w:snapToGrid w:val="0"/>
        <w:spacing w:before="0"/>
        <w:ind w:firstLine="0" w:firstLineChars="0"/>
        <w:rPr>
          <w:rFonts w:ascii="宋体" w:hAnsi="宋体" w:cs="宋体"/>
          <w:color w:val="auto"/>
        </w:rPr>
      </w:pPr>
      <w:r>
        <w:rPr>
          <w:rFonts w:ascii="宋体" w:hAnsi="宋体" w:cs="宋体"/>
          <w:b/>
          <w:bCs/>
          <w:color w:val="auto"/>
          <w:kern w:val="2"/>
          <w:sz w:val="24"/>
          <w:szCs w:val="20"/>
        </w:rPr>
        <w:t>2</w:t>
      </w:r>
      <w:r>
        <w:rPr>
          <w:rFonts w:ascii="宋体" w:hAnsi="宋体" w:cs="宋体"/>
          <w:b/>
          <w:bCs/>
          <w:color w:val="auto"/>
          <w:kern w:val="2"/>
          <w:sz w:val="24"/>
          <w:szCs w:val="24"/>
        </w:rPr>
        <w:t>8</w:t>
      </w:r>
      <w:r>
        <w:rPr>
          <w:rFonts w:hint="eastAsia" w:ascii="宋体" w:hAnsi="宋体" w:cs="宋体"/>
          <w:b/>
          <w:color w:val="auto"/>
          <w:szCs w:val="24"/>
        </w:rPr>
        <w:t>. 电子交易活动的中止。</w:t>
      </w:r>
      <w:r>
        <w:rPr>
          <w:rFonts w:hint="eastAsia" w:ascii="宋体" w:hAnsi="宋体" w:cs="宋体"/>
          <w:color w:val="auto"/>
        </w:rPr>
        <w:t>采购过程中出现以下情形，导致电子交易平台无法正常运行，或者无法保证电子交易的公平、公正和安全时，</w:t>
      </w:r>
      <w:r>
        <w:rPr>
          <w:rFonts w:hint="eastAsia" w:ascii="宋体" w:hAnsi="宋体" w:cs="宋体"/>
          <w:color w:val="auto"/>
          <w:lang w:eastAsia="zh-CN"/>
        </w:rPr>
        <w:t>采购代理机构</w:t>
      </w:r>
      <w:r>
        <w:rPr>
          <w:rFonts w:hint="eastAsia" w:ascii="宋体" w:hAnsi="宋体" w:cs="宋体"/>
          <w:color w:val="auto"/>
        </w:rPr>
        <w:t>可中止电子交易活动：</w:t>
      </w:r>
    </w:p>
    <w:p w14:paraId="058B2790">
      <w:pPr>
        <w:pStyle w:val="131"/>
        <w:snapToGrid w:val="0"/>
        <w:spacing w:before="0"/>
        <w:ind w:firstLine="480"/>
        <w:rPr>
          <w:rFonts w:ascii="宋体" w:hAnsi="宋体" w:cs="宋体"/>
          <w:color w:val="auto"/>
        </w:rPr>
      </w:pPr>
      <w:r>
        <w:rPr>
          <w:rFonts w:hint="eastAsia" w:ascii="宋体" w:hAnsi="宋体" w:cs="宋体"/>
          <w:color w:val="auto"/>
        </w:rPr>
        <w:t xml:space="preserve">28.1电子交易平台发生故障而无法登录访问的； </w:t>
      </w:r>
    </w:p>
    <w:p w14:paraId="24D72BA8">
      <w:pPr>
        <w:pStyle w:val="131"/>
        <w:snapToGrid w:val="0"/>
        <w:spacing w:before="0"/>
        <w:ind w:firstLine="480"/>
        <w:rPr>
          <w:rFonts w:ascii="宋体" w:hAnsi="宋体" w:cs="宋体"/>
          <w:color w:val="auto"/>
        </w:rPr>
      </w:pPr>
      <w:r>
        <w:rPr>
          <w:rFonts w:hint="eastAsia" w:ascii="宋体" w:hAnsi="宋体" w:cs="宋体"/>
          <w:color w:val="auto"/>
        </w:rPr>
        <w:t>28.2电子交易平台应用或数据库出现错误，不能进行正常操作的；</w:t>
      </w:r>
    </w:p>
    <w:p w14:paraId="63E99F18">
      <w:pPr>
        <w:pStyle w:val="131"/>
        <w:snapToGrid w:val="0"/>
        <w:spacing w:before="0"/>
        <w:ind w:firstLine="480"/>
        <w:rPr>
          <w:rFonts w:ascii="宋体" w:hAnsi="宋体" w:cs="宋体"/>
          <w:color w:val="auto"/>
        </w:rPr>
      </w:pPr>
      <w:r>
        <w:rPr>
          <w:rFonts w:hint="eastAsia" w:ascii="宋体" w:hAnsi="宋体" w:cs="宋体"/>
          <w:color w:val="auto"/>
        </w:rPr>
        <w:t>28.3电子交易平台发现严重安全漏洞，有潜在泄密危险的；</w:t>
      </w:r>
    </w:p>
    <w:p w14:paraId="5C490A48">
      <w:pPr>
        <w:pStyle w:val="131"/>
        <w:snapToGrid w:val="0"/>
        <w:spacing w:before="0"/>
        <w:ind w:firstLine="480"/>
        <w:rPr>
          <w:rFonts w:ascii="宋体" w:hAnsi="宋体" w:cs="宋体"/>
          <w:color w:val="auto"/>
        </w:rPr>
      </w:pPr>
      <w:r>
        <w:rPr>
          <w:rFonts w:hint="eastAsia" w:ascii="宋体" w:hAnsi="宋体" w:cs="宋体"/>
          <w:color w:val="auto"/>
        </w:rPr>
        <w:t xml:space="preserve">28.4病毒发作导致不能进行正常操作的； </w:t>
      </w:r>
    </w:p>
    <w:p w14:paraId="181211AF">
      <w:pPr>
        <w:pStyle w:val="131"/>
        <w:snapToGrid w:val="0"/>
        <w:spacing w:before="0"/>
        <w:ind w:firstLine="480"/>
        <w:rPr>
          <w:rFonts w:ascii="宋体" w:hAnsi="宋体" w:cs="宋体"/>
          <w:color w:val="auto"/>
        </w:rPr>
      </w:pPr>
      <w:r>
        <w:rPr>
          <w:rFonts w:hint="eastAsia" w:ascii="宋体" w:hAnsi="宋体" w:cs="宋体"/>
          <w:color w:val="auto"/>
        </w:rPr>
        <w:t>28.5其他无法保证电子交易的公平、公正和安全的情况。</w:t>
      </w:r>
    </w:p>
    <w:p w14:paraId="6C15D0F0">
      <w:pPr>
        <w:pStyle w:val="131"/>
        <w:snapToGrid w:val="0"/>
        <w:spacing w:before="0"/>
        <w:ind w:firstLine="0" w:firstLineChars="0"/>
        <w:rPr>
          <w:rFonts w:ascii="宋体" w:hAnsi="宋体" w:cs="宋体"/>
          <w:color w:val="auto"/>
        </w:rPr>
      </w:pPr>
      <w:r>
        <w:rPr>
          <w:rFonts w:hint="eastAsia" w:ascii="宋体" w:hAnsi="宋体" w:cs="宋体"/>
          <w:color w:val="auto"/>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0868648A">
      <w:pPr>
        <w:tabs>
          <w:tab w:val="left" w:pos="0"/>
        </w:tabs>
        <w:spacing w:line="360" w:lineRule="auto"/>
        <w:ind w:firstLine="480"/>
        <w:rPr>
          <w:rFonts w:ascii="宋体" w:hAnsi="宋体" w:cs="宋体"/>
          <w:color w:val="auto"/>
          <w:sz w:val="24"/>
        </w:rPr>
      </w:pPr>
    </w:p>
    <w:p w14:paraId="6DF01250">
      <w:pPr>
        <w:snapToGrid w:val="0"/>
        <w:spacing w:line="360" w:lineRule="auto"/>
        <w:ind w:left="120" w:leftChars="57" w:firstLine="482" w:firstLineChars="150"/>
        <w:jc w:val="center"/>
        <w:rPr>
          <w:rFonts w:ascii="宋体" w:hAnsi="宋体" w:cs="宋体"/>
          <w:b/>
          <w:color w:val="auto"/>
          <w:sz w:val="32"/>
        </w:rPr>
      </w:pPr>
      <w:r>
        <w:rPr>
          <w:rFonts w:hint="eastAsia" w:ascii="宋体" w:hAnsi="宋体" w:cs="宋体"/>
          <w:b/>
          <w:color w:val="auto"/>
          <w:sz w:val="32"/>
        </w:rPr>
        <w:t>九、验收</w:t>
      </w:r>
    </w:p>
    <w:p w14:paraId="781A8DA6">
      <w:pPr>
        <w:pStyle w:val="24"/>
        <w:spacing w:line="360" w:lineRule="auto"/>
        <w:ind w:firstLine="0" w:firstLineChars="0"/>
        <w:rPr>
          <w:rFonts w:cs="宋体"/>
          <w:b/>
          <w:color w:val="auto"/>
        </w:rPr>
      </w:pPr>
      <w:r>
        <w:rPr>
          <w:rFonts w:hint="eastAsia" w:cs="宋体"/>
          <w:b/>
          <w:color w:val="auto"/>
        </w:rPr>
        <w:t>30.验收</w:t>
      </w:r>
    </w:p>
    <w:p w14:paraId="38047A02">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EBD0E51">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30.2采购人可以邀请参加本项目的其他投标人或者第三方机构参与验收。参与验收的投标人或者第三方机构的意见作为验收书的参考资料一并存档。</w:t>
      </w:r>
    </w:p>
    <w:p w14:paraId="79A7F2DF">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CC7ACFA">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8"/>
      <w:bookmarkStart w:id="19" w:name="_Hlt75236101"/>
      <w:bookmarkEnd w:id="19"/>
      <w:bookmarkStart w:id="20" w:name="_Hlt75236011"/>
      <w:bookmarkEnd w:id="20"/>
      <w:bookmarkStart w:id="21" w:name="_Hlt68073093"/>
      <w:bookmarkEnd w:id="21"/>
      <w:bookmarkStart w:id="22" w:name="_Hlt74729768"/>
      <w:bookmarkEnd w:id="22"/>
      <w:bookmarkStart w:id="23" w:name="_Hlt68057669"/>
      <w:bookmarkEnd w:id="23"/>
      <w:bookmarkStart w:id="24" w:name="_Hlt75236290"/>
      <w:bookmarkEnd w:id="24"/>
      <w:bookmarkStart w:id="25" w:name="_Hlt74730295"/>
      <w:bookmarkEnd w:id="25"/>
      <w:bookmarkStart w:id="26" w:name="_Hlt74714665"/>
      <w:bookmarkEnd w:id="26"/>
      <w:bookmarkStart w:id="27" w:name="_Hlt68403820"/>
      <w:bookmarkEnd w:id="27"/>
      <w:bookmarkStart w:id="28" w:name="_Hlt74707468"/>
      <w:bookmarkEnd w:id="28"/>
      <w:bookmarkStart w:id="29" w:name="_Hlt68072990"/>
      <w:bookmarkEnd w:id="29"/>
      <w:bookmarkStart w:id="30" w:name="_Hlt68072998"/>
      <w:bookmarkEnd w:id="30"/>
    </w:p>
    <w:p w14:paraId="2EE84DD9">
      <w:pPr>
        <w:pStyle w:val="3"/>
        <w:adjustRightInd w:val="0"/>
        <w:snapToGrid w:val="0"/>
        <w:ind w:left="0" w:firstLine="480" w:firstLineChars="200"/>
        <w:rPr>
          <w:rFonts w:ascii="宋体" w:hAnsi="宋体" w:eastAsia="宋体" w:cs="宋体"/>
          <w:b w:val="0"/>
          <w:bCs w:val="0"/>
          <w:color w:val="auto"/>
          <w:kern w:val="0"/>
          <w:sz w:val="24"/>
          <w:szCs w:val="24"/>
          <w:lang w:val="en-US"/>
        </w:rPr>
      </w:pPr>
      <w:r>
        <w:rPr>
          <w:rFonts w:hint="eastAsia" w:ascii="宋体" w:hAnsi="宋体" w:eastAsia="宋体" w:cs="宋体"/>
          <w:b w:val="0"/>
          <w:bCs w:val="0"/>
          <w:color w:val="auto"/>
          <w:kern w:val="0"/>
          <w:sz w:val="24"/>
          <w:szCs w:val="24"/>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lang w:val="en-US" w:eastAsia="zh-CN"/>
        </w:rPr>
        <w:t>合同管理</w:t>
      </w:r>
      <w:r>
        <w:rPr>
          <w:rFonts w:hint="eastAsia" w:ascii="宋体" w:hAnsi="宋体" w:eastAsia="宋体" w:cs="宋体"/>
          <w:b w:val="0"/>
          <w:bCs w:val="0"/>
          <w:color w:val="auto"/>
          <w:kern w:val="0"/>
          <w:sz w:val="24"/>
          <w:szCs w:val="24"/>
          <w:lang w:val="en-US"/>
        </w:rPr>
        <w:t>-支付管理。对于供应商提起在线支付申请的，采购</w:t>
      </w:r>
      <w:r>
        <w:rPr>
          <w:rFonts w:hint="eastAsia" w:ascii="宋体" w:hAnsi="宋体" w:eastAsia="宋体" w:cs="宋体"/>
          <w:b w:val="0"/>
          <w:bCs w:val="0"/>
          <w:color w:val="auto"/>
          <w:kern w:val="0"/>
          <w:sz w:val="24"/>
          <w:szCs w:val="24"/>
          <w:lang w:val="en-US" w:eastAsia="zh-CN"/>
        </w:rPr>
        <w:t>人</w:t>
      </w:r>
      <w:r>
        <w:rPr>
          <w:rFonts w:hint="eastAsia" w:ascii="宋体" w:hAnsi="宋体" w:eastAsia="宋体" w:cs="宋体"/>
          <w:b w:val="0"/>
          <w:bCs w:val="0"/>
          <w:color w:val="auto"/>
          <w:kern w:val="0"/>
          <w:sz w:val="24"/>
          <w:szCs w:val="24"/>
          <w:lang w:val="en-US"/>
        </w:rPr>
        <w:t>应当</w:t>
      </w:r>
      <w:r>
        <w:rPr>
          <w:rFonts w:hint="eastAsia" w:ascii="宋体" w:hAnsi="宋体" w:eastAsia="宋体" w:cs="宋体"/>
          <w:b w:val="0"/>
          <w:bCs w:val="0"/>
          <w:color w:val="auto"/>
          <w:kern w:val="0"/>
          <w:sz w:val="24"/>
          <w:szCs w:val="24"/>
          <w:lang w:val="en-US" w:eastAsia="zh-CN"/>
        </w:rPr>
        <w:t>按规定</w:t>
      </w:r>
      <w:r>
        <w:rPr>
          <w:rFonts w:hint="eastAsia" w:ascii="宋体" w:hAnsi="宋体" w:eastAsia="宋体" w:cs="宋体"/>
          <w:b w:val="0"/>
          <w:bCs w:val="0"/>
          <w:color w:val="auto"/>
          <w:kern w:val="0"/>
          <w:sz w:val="24"/>
          <w:szCs w:val="24"/>
          <w:lang w:val="en-US"/>
        </w:rPr>
        <w:t>做好审核并完成支付。</w:t>
      </w:r>
    </w:p>
    <w:p w14:paraId="100B2F46">
      <w:pPr>
        <w:pStyle w:val="80"/>
        <w:rPr>
          <w:color w:val="auto"/>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p>
    <w:bookmarkEnd w:id="13"/>
    <w:bookmarkEnd w:id="14"/>
    <w:p w14:paraId="1EC256A8">
      <w:pPr>
        <w:spacing w:line="360" w:lineRule="auto"/>
        <w:jc w:val="center"/>
        <w:outlineLvl w:val="0"/>
        <w:rPr>
          <w:rFonts w:ascii="宋体" w:hAnsi="宋体" w:cs="宋体"/>
          <w:b/>
          <w:color w:val="auto"/>
          <w:sz w:val="36"/>
          <w:szCs w:val="36"/>
        </w:rPr>
      </w:pPr>
      <w:bookmarkStart w:id="31" w:name="第四部分"/>
      <w:r>
        <w:rPr>
          <w:rFonts w:hint="eastAsia" w:ascii="宋体" w:hAnsi="宋体" w:cs="宋体"/>
          <w:b/>
          <w:color w:val="auto"/>
          <w:sz w:val="36"/>
          <w:szCs w:val="36"/>
        </w:rPr>
        <w:t>第三部分   采购需求</w:t>
      </w:r>
    </w:p>
    <w:p w14:paraId="596B41D8">
      <w:pPr>
        <w:autoSpaceDE w:val="0"/>
        <w:autoSpaceDN w:val="0"/>
        <w:spacing w:line="360" w:lineRule="auto"/>
        <w:rPr>
          <w:rFonts w:asciiTheme="minorEastAsia" w:hAnsiTheme="minorEastAsia" w:eastAsiaTheme="minorEastAsia"/>
          <w:b/>
          <w:color w:val="auto"/>
          <w:kern w:val="0"/>
          <w:sz w:val="24"/>
        </w:rPr>
      </w:pPr>
      <w:r>
        <w:rPr>
          <w:rFonts w:hint="eastAsia" w:asciiTheme="minorEastAsia" w:hAnsiTheme="minorEastAsia" w:eastAsiaTheme="minorEastAsia"/>
          <w:b/>
          <w:color w:val="auto"/>
          <w:kern w:val="0"/>
          <w:sz w:val="24"/>
        </w:rPr>
        <w:t>一、</w:t>
      </w:r>
      <w:r>
        <w:rPr>
          <w:rFonts w:hint="eastAsia" w:cs="宋体" w:asciiTheme="minorEastAsia" w:hAnsiTheme="minorEastAsia" w:eastAsiaTheme="minorEastAsia"/>
          <w:b/>
          <w:color w:val="auto"/>
          <w:kern w:val="44"/>
          <w:sz w:val="24"/>
        </w:rPr>
        <w:t>项目概况</w:t>
      </w:r>
    </w:p>
    <w:p w14:paraId="02C9E9FE">
      <w:pPr>
        <w:pStyle w:val="60"/>
        <w:spacing w:line="400" w:lineRule="exact"/>
        <w:rPr>
          <w:rFonts w:asciiTheme="minorEastAsia" w:hAnsiTheme="minorEastAsia" w:eastAsiaTheme="minorEastAsia"/>
          <w:color w:val="auto"/>
          <w:szCs w:val="24"/>
        </w:rPr>
      </w:pPr>
      <w:r>
        <w:rPr>
          <w:rFonts w:hint="eastAsia" w:asciiTheme="minorEastAsia" w:hAnsiTheme="minorEastAsia" w:eastAsiaTheme="minorEastAsia"/>
          <w:color w:val="auto"/>
          <w:szCs w:val="24"/>
        </w:rPr>
        <w:t>本项目为“交钥匙”项目，采购内容包括采购清单中货物供货、安装调试、货物验收、培训、质保期内的售后服务等。投标报价包括设备费、安装调试费用、验收费、税金、运输及运输保险费、质保期内维修保养费、特殊工具费、售后服务费、培训费、有关部门的验收费、政策性文件规定及合同包含的所有风险、责任等各项全部费用。</w:t>
      </w:r>
    </w:p>
    <w:p w14:paraId="172265AE">
      <w:pPr>
        <w:spacing w:line="600" w:lineRule="exact"/>
        <w:rPr>
          <w:rFonts w:cs="宋体" w:asciiTheme="minorEastAsia" w:hAnsiTheme="minorEastAsia" w:eastAsiaTheme="minorEastAsia"/>
          <w:color w:val="auto"/>
          <w:sz w:val="24"/>
        </w:rPr>
      </w:pPr>
      <w:bookmarkStart w:id="32" w:name="_Hlk165538682"/>
      <w:r>
        <w:rPr>
          <w:rFonts w:hint="eastAsia" w:cs="宋体" w:asciiTheme="minorEastAsia" w:hAnsiTheme="minorEastAsia" w:eastAsiaTheme="minorEastAsia"/>
          <w:b/>
          <w:color w:val="auto"/>
          <w:sz w:val="24"/>
        </w:rPr>
        <w:t>二、采购清单（后附）</w:t>
      </w:r>
    </w:p>
    <w:p w14:paraId="1DA384BB">
      <w:pPr>
        <w:spacing w:line="30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备注：清单中图片仅供参考，但参数必须满足招标要求</w:t>
      </w:r>
    </w:p>
    <w:bookmarkEnd w:id="32"/>
    <w:p w14:paraId="2527AD1D">
      <w:pPr>
        <w:spacing w:line="500" w:lineRule="exact"/>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三、基本要求：</w:t>
      </w:r>
    </w:p>
    <w:p w14:paraId="7E28E755">
      <w:pPr>
        <w:spacing w:line="500" w:lineRule="exact"/>
        <w:rPr>
          <w:rFonts w:cs="宋体" w:asciiTheme="minorEastAsia" w:hAnsiTheme="minorEastAsia" w:eastAsiaTheme="minorEastAsia"/>
          <w:color w:val="auto"/>
          <w:sz w:val="24"/>
          <w:highlight w:val="none"/>
        </w:rPr>
      </w:pPr>
      <w:bookmarkStart w:id="33" w:name="_Hlk165538765"/>
      <w:r>
        <w:rPr>
          <w:rFonts w:hint="eastAsia" w:cs="宋体" w:asciiTheme="minorEastAsia" w:hAnsiTheme="minorEastAsia" w:eastAsiaTheme="minorEastAsia"/>
          <w:b/>
          <w:color w:val="auto"/>
          <w:sz w:val="24"/>
          <w:highlight w:val="none"/>
        </w:rPr>
        <w:t>1、交付（实施）的时间（期限）：</w:t>
      </w:r>
      <w:r>
        <w:rPr>
          <w:rFonts w:hint="eastAsia" w:cs="宋体" w:asciiTheme="minorEastAsia" w:hAnsiTheme="minorEastAsia" w:eastAsiaTheme="minorEastAsia"/>
          <w:color w:val="auto"/>
          <w:sz w:val="24"/>
          <w:highlight w:val="none"/>
        </w:rPr>
        <w:t>202</w:t>
      </w:r>
      <w:r>
        <w:rPr>
          <w:rFonts w:hint="eastAsia" w:cs="宋体" w:asciiTheme="minorEastAsia" w:hAnsiTheme="minorEastAsia" w:eastAsiaTheme="minorEastAsia"/>
          <w:color w:val="auto"/>
          <w:sz w:val="24"/>
          <w:highlight w:val="none"/>
          <w:lang w:val="en-US" w:eastAsia="zh-CN"/>
        </w:rPr>
        <w:t>5</w:t>
      </w:r>
      <w:r>
        <w:rPr>
          <w:rFonts w:hint="eastAsia" w:cs="宋体" w:asciiTheme="minorEastAsia" w:hAnsiTheme="minorEastAsia" w:eastAsiaTheme="minorEastAsia"/>
          <w:color w:val="auto"/>
          <w:sz w:val="24"/>
          <w:highlight w:val="none"/>
        </w:rPr>
        <w:t>年</w:t>
      </w:r>
      <w:r>
        <w:rPr>
          <w:rFonts w:hint="eastAsia" w:cs="宋体" w:asciiTheme="minorEastAsia" w:hAnsiTheme="minorEastAsia" w:eastAsiaTheme="minorEastAsia"/>
          <w:color w:val="auto"/>
          <w:sz w:val="24"/>
          <w:highlight w:val="none"/>
          <w:lang w:val="en-US" w:eastAsia="zh-CN"/>
        </w:rPr>
        <w:t>5</w:t>
      </w:r>
      <w:r>
        <w:rPr>
          <w:rFonts w:hint="eastAsia" w:cs="宋体" w:asciiTheme="minorEastAsia" w:hAnsiTheme="minorEastAsia" w:eastAsiaTheme="minorEastAsia"/>
          <w:color w:val="auto"/>
          <w:sz w:val="24"/>
          <w:highlight w:val="none"/>
        </w:rPr>
        <w:t>月</w:t>
      </w:r>
      <w:r>
        <w:rPr>
          <w:rFonts w:hint="eastAsia" w:cs="宋体" w:asciiTheme="minorEastAsia" w:hAnsiTheme="minorEastAsia" w:eastAsiaTheme="minorEastAsia"/>
          <w:color w:val="auto"/>
          <w:sz w:val="24"/>
          <w:highlight w:val="none"/>
          <w:lang w:val="en-US" w:eastAsia="zh-CN"/>
        </w:rPr>
        <w:t>30</w:t>
      </w:r>
      <w:r>
        <w:rPr>
          <w:rFonts w:hint="eastAsia" w:cs="宋体" w:asciiTheme="minorEastAsia" w:hAnsiTheme="minorEastAsia" w:eastAsiaTheme="minorEastAsia"/>
          <w:color w:val="auto"/>
          <w:sz w:val="24"/>
          <w:highlight w:val="none"/>
        </w:rPr>
        <w:t>日前完成供货、安装调试及验收完成。</w:t>
      </w:r>
    </w:p>
    <w:p w14:paraId="023F91C2">
      <w:pPr>
        <w:spacing w:line="500" w:lineRule="exact"/>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2、交付（实施）的地点（范围）：</w:t>
      </w:r>
      <w:r>
        <w:rPr>
          <w:rFonts w:hint="eastAsia" w:cs="宋体" w:asciiTheme="minorEastAsia" w:hAnsiTheme="minorEastAsia" w:eastAsiaTheme="minorEastAsia"/>
          <w:color w:val="auto"/>
          <w:sz w:val="24"/>
          <w:highlight w:val="none"/>
          <w:lang w:val="en-US" w:eastAsia="zh-CN"/>
        </w:rPr>
        <w:t>天元公学和睦小区余杭区汀目路16-13号</w:t>
      </w:r>
      <w:r>
        <w:rPr>
          <w:rFonts w:hint="eastAsia" w:cs="宋体" w:asciiTheme="minorEastAsia" w:hAnsiTheme="minorEastAsia" w:eastAsiaTheme="minorEastAsia"/>
          <w:color w:val="auto"/>
          <w:sz w:val="24"/>
          <w:highlight w:val="none"/>
        </w:rPr>
        <w:t>。</w:t>
      </w:r>
    </w:p>
    <w:bookmarkEnd w:id="33"/>
    <w:p w14:paraId="5BC765EA">
      <w:pPr>
        <w:spacing w:line="500" w:lineRule="exact"/>
        <w:rPr>
          <w:rFonts w:cs="宋体" w:asciiTheme="minorEastAsia" w:hAnsiTheme="minorEastAsia" w:eastAsiaTheme="minorEastAsia"/>
          <w:b/>
          <w:color w:val="auto"/>
          <w:sz w:val="24"/>
          <w:highlight w:val="none"/>
        </w:rPr>
      </w:pPr>
      <w:bookmarkStart w:id="34" w:name="_Hlk165538803"/>
      <w:r>
        <w:rPr>
          <w:rFonts w:hint="eastAsia" w:cs="宋体" w:asciiTheme="minorEastAsia" w:hAnsiTheme="minorEastAsia" w:eastAsiaTheme="minorEastAsia"/>
          <w:b/>
          <w:color w:val="auto"/>
          <w:sz w:val="24"/>
          <w:highlight w:val="none"/>
        </w:rPr>
        <w:t>四、项目实施要求：</w:t>
      </w:r>
    </w:p>
    <w:p w14:paraId="0B9DA2D2">
      <w:pPr>
        <w:spacing w:line="400" w:lineRule="exact"/>
        <w:ind w:firstLine="480" w:firstLineChars="200"/>
        <w:rPr>
          <w:rFonts w:cs="宋体" w:asciiTheme="minorEastAsia" w:hAnsiTheme="minorEastAsia" w:eastAsiaTheme="minorEastAsia"/>
          <w:bCs/>
          <w:color w:val="auto"/>
          <w:sz w:val="24"/>
        </w:rPr>
      </w:pPr>
      <w:r>
        <w:rPr>
          <w:rFonts w:hint="eastAsia" w:cs="宋体" w:asciiTheme="minorEastAsia" w:hAnsiTheme="minorEastAsia" w:eastAsiaTheme="minorEastAsia"/>
          <w:bCs/>
          <w:color w:val="auto"/>
          <w:sz w:val="24"/>
        </w:rPr>
        <w:t>1、签订合同后，供应商按照其与采购人的事先约定将所供货物免费上门送货至采购人指定地点后拆箱，负责免费安装调试，正常运行后交用户单位验收。</w:t>
      </w:r>
    </w:p>
    <w:p w14:paraId="397C107B">
      <w:pPr>
        <w:spacing w:line="400" w:lineRule="exact"/>
        <w:ind w:firstLine="480" w:firstLineChars="200"/>
        <w:rPr>
          <w:rFonts w:cs="宋体" w:asciiTheme="minorEastAsia" w:hAnsiTheme="minorEastAsia" w:eastAsiaTheme="minorEastAsia"/>
          <w:bCs/>
          <w:color w:val="auto"/>
          <w:sz w:val="24"/>
        </w:rPr>
      </w:pPr>
      <w:r>
        <w:rPr>
          <w:rFonts w:hint="eastAsia" w:cs="宋体" w:asciiTheme="minorEastAsia" w:hAnsiTheme="minorEastAsia" w:eastAsiaTheme="minorEastAsia"/>
          <w:bCs/>
          <w:color w:val="auto"/>
          <w:sz w:val="24"/>
        </w:rPr>
        <w:t>2、售后服务按国家和我省相关规定以及生产厂家或投标人的承诺执行，并提供上门免费服务。</w:t>
      </w:r>
    </w:p>
    <w:p w14:paraId="67910F61">
      <w:pPr>
        <w:spacing w:line="500" w:lineRule="exact"/>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五、要求质量标准：</w:t>
      </w:r>
    </w:p>
    <w:p w14:paraId="4307EE21">
      <w:pPr>
        <w:spacing w:line="400" w:lineRule="exact"/>
        <w:ind w:firstLine="480" w:firstLineChars="200"/>
        <w:rPr>
          <w:rFonts w:cs="宋体" w:asciiTheme="minorEastAsia" w:hAnsiTheme="minorEastAsia" w:eastAsiaTheme="minorEastAsia"/>
          <w:bCs/>
          <w:color w:val="auto"/>
          <w:sz w:val="24"/>
        </w:rPr>
      </w:pPr>
      <w:r>
        <w:rPr>
          <w:rFonts w:hint="eastAsia" w:cs="宋体" w:asciiTheme="minorEastAsia" w:hAnsiTheme="minorEastAsia" w:eastAsiaTheme="minorEastAsia"/>
          <w:bCs/>
          <w:color w:val="auto"/>
          <w:sz w:val="24"/>
        </w:rPr>
        <w:t>1、供应商的货物必须为全新的，符合国家标准的合格产品；</w:t>
      </w:r>
    </w:p>
    <w:p w14:paraId="2247456D">
      <w:pPr>
        <w:spacing w:line="400" w:lineRule="exact"/>
        <w:ind w:firstLine="480" w:firstLineChars="200"/>
        <w:rPr>
          <w:rFonts w:cs="宋体" w:asciiTheme="minorEastAsia" w:hAnsiTheme="minorEastAsia" w:eastAsiaTheme="minorEastAsia"/>
          <w:bCs/>
          <w:color w:val="auto"/>
          <w:sz w:val="24"/>
        </w:rPr>
      </w:pPr>
      <w:r>
        <w:rPr>
          <w:rFonts w:hint="eastAsia" w:cs="宋体" w:asciiTheme="minorEastAsia" w:hAnsiTheme="minorEastAsia" w:eastAsiaTheme="minorEastAsia"/>
          <w:bCs/>
          <w:color w:val="auto"/>
          <w:sz w:val="24"/>
        </w:rPr>
        <w:t>2、所供货物不会侵犯任何第三方知识产权；</w:t>
      </w:r>
    </w:p>
    <w:p w14:paraId="233F2D7B">
      <w:pPr>
        <w:spacing w:line="500" w:lineRule="exact"/>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六、售后服务要求：</w:t>
      </w:r>
    </w:p>
    <w:p w14:paraId="49C09B14">
      <w:pPr>
        <w:spacing w:line="400" w:lineRule="exact"/>
        <w:ind w:firstLine="480" w:firstLineChars="200"/>
        <w:rPr>
          <w:rFonts w:cs="宋体" w:asciiTheme="minorEastAsia" w:hAnsiTheme="minorEastAsia" w:eastAsiaTheme="minorEastAsia"/>
          <w:bCs/>
          <w:color w:val="auto"/>
          <w:sz w:val="24"/>
        </w:rPr>
      </w:pPr>
      <w:r>
        <w:rPr>
          <w:rFonts w:hint="eastAsia" w:cs="宋体" w:asciiTheme="minorEastAsia" w:hAnsiTheme="minorEastAsia" w:eastAsiaTheme="minorEastAsia"/>
          <w:bCs/>
          <w:color w:val="auto"/>
          <w:sz w:val="24"/>
        </w:rPr>
        <w:t>1、</w:t>
      </w:r>
      <w:r>
        <w:rPr>
          <w:rFonts w:hint="eastAsia" w:cs="宋体" w:asciiTheme="minorEastAsia" w:hAnsiTheme="minorEastAsia" w:eastAsiaTheme="minorEastAsia"/>
          <w:b/>
          <w:bCs w:val="0"/>
          <w:color w:val="auto"/>
          <w:sz w:val="24"/>
        </w:rPr>
        <w:t>质保期：产品验收合格之日起3年，</w:t>
      </w:r>
      <w:r>
        <w:rPr>
          <w:rFonts w:hint="eastAsia" w:cs="宋体" w:asciiTheme="minorEastAsia" w:hAnsiTheme="minorEastAsia" w:eastAsiaTheme="minorEastAsia"/>
          <w:bCs/>
          <w:color w:val="auto"/>
          <w:sz w:val="24"/>
        </w:rPr>
        <w:t>在质保期内提供免费售后现场技术服务。在质保期内，供应商应对货物出现的质量及安全问题负责处理解决并承担一切费用。</w:t>
      </w:r>
    </w:p>
    <w:p w14:paraId="7D0A2E78">
      <w:pPr>
        <w:spacing w:line="400" w:lineRule="exact"/>
        <w:ind w:firstLine="480" w:firstLineChars="200"/>
        <w:rPr>
          <w:rFonts w:cs="宋体" w:asciiTheme="minorEastAsia" w:hAnsiTheme="minorEastAsia" w:eastAsiaTheme="minorEastAsia"/>
          <w:bCs/>
          <w:color w:val="auto"/>
          <w:sz w:val="24"/>
        </w:rPr>
      </w:pPr>
      <w:r>
        <w:rPr>
          <w:rFonts w:hint="eastAsia" w:cs="宋体" w:asciiTheme="minorEastAsia" w:hAnsiTheme="minorEastAsia" w:eastAsiaTheme="minorEastAsia"/>
          <w:bCs/>
          <w:color w:val="auto"/>
          <w:sz w:val="24"/>
        </w:rPr>
        <w:t xml:space="preserve">2、质保期内的维修费用（包括配件）全部由供应商负责，质保修期后的维修酌情以成本价收费； </w:t>
      </w:r>
    </w:p>
    <w:p w14:paraId="12F021DB">
      <w:pPr>
        <w:spacing w:line="400" w:lineRule="exact"/>
        <w:ind w:firstLine="480" w:firstLineChars="200"/>
        <w:rPr>
          <w:rFonts w:cs="宋体" w:asciiTheme="minorEastAsia" w:hAnsiTheme="minorEastAsia" w:eastAsiaTheme="minorEastAsia"/>
          <w:bCs/>
          <w:color w:val="auto"/>
          <w:sz w:val="24"/>
        </w:rPr>
      </w:pPr>
      <w:r>
        <w:rPr>
          <w:rFonts w:hint="eastAsia" w:cs="宋体" w:asciiTheme="minorEastAsia" w:hAnsiTheme="minorEastAsia" w:eastAsiaTheme="minorEastAsia"/>
          <w:bCs/>
          <w:color w:val="auto"/>
          <w:sz w:val="24"/>
        </w:rPr>
        <w:t>3、技术支持要求：质保期内出现问题，1小时内响应，2小时内到达现场，1小时内解决问题，对于现场解决不了的故障，供应商应提供采购人同型号、同规格的备用设备使用，直至故障设备修复；</w:t>
      </w:r>
    </w:p>
    <w:p w14:paraId="214F9D3C">
      <w:pPr>
        <w:spacing w:line="400" w:lineRule="exact"/>
        <w:ind w:firstLine="480" w:firstLineChars="200"/>
        <w:rPr>
          <w:rFonts w:cs="宋体" w:asciiTheme="minorEastAsia" w:hAnsiTheme="minorEastAsia" w:eastAsiaTheme="minorEastAsia"/>
          <w:bCs/>
          <w:color w:val="auto"/>
          <w:sz w:val="24"/>
        </w:rPr>
      </w:pPr>
      <w:r>
        <w:rPr>
          <w:rFonts w:hint="eastAsia" w:cs="宋体" w:asciiTheme="minorEastAsia" w:hAnsiTheme="minorEastAsia" w:eastAsiaTheme="minorEastAsia"/>
          <w:bCs/>
          <w:color w:val="auto"/>
          <w:sz w:val="24"/>
        </w:rPr>
        <w:t>4、在保修期内供方不得以任何理由影响用户的正常使用。供应商必须对所供产品实行终身维修。</w:t>
      </w:r>
    </w:p>
    <w:p w14:paraId="064FD600">
      <w:pPr>
        <w:spacing w:line="500" w:lineRule="exact"/>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七、培训要求：</w:t>
      </w:r>
    </w:p>
    <w:p w14:paraId="3FD17140">
      <w:pPr>
        <w:spacing w:line="400" w:lineRule="exact"/>
        <w:ind w:firstLine="480" w:firstLineChars="200"/>
        <w:rPr>
          <w:rFonts w:cs="宋体" w:asciiTheme="minorEastAsia" w:hAnsiTheme="minorEastAsia" w:eastAsiaTheme="minorEastAsia"/>
          <w:bCs/>
          <w:color w:val="auto"/>
          <w:sz w:val="24"/>
        </w:rPr>
      </w:pPr>
      <w:r>
        <w:rPr>
          <w:rFonts w:hint="eastAsia" w:cs="宋体" w:asciiTheme="minorEastAsia" w:hAnsiTheme="minorEastAsia" w:eastAsiaTheme="minorEastAsia"/>
          <w:bCs/>
          <w:color w:val="auto"/>
          <w:sz w:val="24"/>
        </w:rPr>
        <w:t>安装调试后，对设备使用人员进行现场实地培训，直至会熟练使用。</w:t>
      </w:r>
    </w:p>
    <w:p w14:paraId="60F28761">
      <w:pPr>
        <w:spacing w:line="500" w:lineRule="exact"/>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八、付款方式：</w:t>
      </w:r>
    </w:p>
    <w:p w14:paraId="534079FD">
      <w:pPr>
        <w:autoSpaceDE w:val="0"/>
        <w:autoSpaceDN w:val="0"/>
        <w:spacing w:line="360" w:lineRule="auto"/>
        <w:ind w:firstLine="480"/>
        <w:rPr>
          <w:rFonts w:cs="仿宋" w:asciiTheme="minorEastAsia" w:hAnsiTheme="minorEastAsia" w:eastAsiaTheme="minorEastAsia"/>
          <w:color w:val="auto"/>
          <w:kern w:val="0"/>
          <w:sz w:val="24"/>
          <w:lang w:val="zh-CN"/>
        </w:rPr>
      </w:pPr>
      <w:r>
        <w:rPr>
          <w:rFonts w:hint="eastAsia" w:cs="仿宋" w:asciiTheme="minorEastAsia" w:hAnsiTheme="minorEastAsia" w:eastAsiaTheme="minorEastAsia"/>
          <w:color w:val="auto"/>
          <w:kern w:val="0"/>
          <w:sz w:val="24"/>
          <w:lang w:val="zh-CN"/>
        </w:rPr>
        <w:t>1.合同签订生效，且采购人完成财政资金审批手续后【7】个工作日内，</w:t>
      </w:r>
      <w:r>
        <w:rPr>
          <w:rFonts w:hint="eastAsia" w:cs="宋体" w:asciiTheme="minorEastAsia" w:hAnsiTheme="minorEastAsia" w:eastAsiaTheme="minorEastAsia"/>
          <w:color w:val="auto"/>
          <w:sz w:val="24"/>
        </w:rPr>
        <w:t>且中标人提供的等额合法正规发票，</w:t>
      </w:r>
      <w:r>
        <w:rPr>
          <w:rFonts w:hint="eastAsia" w:cs="仿宋" w:asciiTheme="minorEastAsia" w:hAnsiTheme="minorEastAsia" w:eastAsiaTheme="minorEastAsia"/>
          <w:color w:val="auto"/>
          <w:kern w:val="0"/>
          <w:sz w:val="24"/>
          <w:lang w:val="zh-CN"/>
        </w:rPr>
        <w:t>采购人向中标人支付合同总价款【40%】的预付款，即【    】元（大写：【    】元整）；</w:t>
      </w:r>
      <w:r>
        <w:rPr>
          <w:rFonts w:hint="eastAsia" w:cs="仿宋" w:asciiTheme="minorEastAsia" w:hAnsiTheme="minorEastAsia" w:eastAsiaTheme="minorEastAsia"/>
          <w:color w:val="auto"/>
          <w:kern w:val="0"/>
          <w:sz w:val="24"/>
        </w:rPr>
        <w:t>同时中标人</w:t>
      </w:r>
      <w:r>
        <w:rPr>
          <w:rFonts w:hint="eastAsia" w:cs="宋体" w:asciiTheme="minorEastAsia" w:hAnsiTheme="minorEastAsia" w:eastAsiaTheme="minorEastAsia"/>
          <w:color w:val="auto"/>
          <w:sz w:val="24"/>
        </w:rPr>
        <w:t>缴纳合同总价1%的履约保证金。</w:t>
      </w:r>
    </w:p>
    <w:p w14:paraId="6B94D25F">
      <w:pPr>
        <w:autoSpaceDE w:val="0"/>
        <w:autoSpaceDN w:val="0"/>
        <w:spacing w:line="360" w:lineRule="auto"/>
        <w:ind w:firstLine="480"/>
        <w:rPr>
          <w:rFonts w:cs="仿宋" w:asciiTheme="minorEastAsia" w:hAnsiTheme="minorEastAsia" w:eastAsiaTheme="minorEastAsia"/>
          <w:color w:val="auto"/>
          <w:kern w:val="0"/>
          <w:sz w:val="24"/>
        </w:rPr>
      </w:pPr>
      <w:r>
        <w:rPr>
          <w:rFonts w:hint="eastAsia" w:cs="仿宋" w:asciiTheme="minorEastAsia" w:hAnsiTheme="minorEastAsia" w:eastAsiaTheme="minorEastAsia"/>
          <w:color w:val="auto"/>
          <w:kern w:val="0"/>
          <w:sz w:val="24"/>
          <w:lang w:val="zh-CN"/>
        </w:rPr>
        <w:t>备注：签订合同时，中标人明确表示无需预付款或者主动要求降低预付款比例的，采购人可不适用前述规定。</w:t>
      </w:r>
    </w:p>
    <w:p w14:paraId="47578331">
      <w:pPr>
        <w:autoSpaceDE w:val="0"/>
        <w:autoSpaceDN w:val="0"/>
        <w:spacing w:line="360" w:lineRule="auto"/>
        <w:ind w:firstLine="480"/>
        <w:rPr>
          <w:rFonts w:cs="仿宋" w:asciiTheme="minorEastAsia" w:hAnsiTheme="minorEastAsia" w:eastAsiaTheme="minorEastAsia"/>
          <w:color w:val="auto"/>
          <w:kern w:val="0"/>
          <w:sz w:val="24"/>
          <w:lang w:val="zh-CN"/>
        </w:rPr>
      </w:pPr>
      <w:r>
        <w:rPr>
          <w:rFonts w:hint="eastAsia" w:cs="仿宋" w:asciiTheme="minorEastAsia" w:hAnsiTheme="minorEastAsia" w:eastAsiaTheme="minorEastAsia"/>
          <w:color w:val="auto"/>
          <w:kern w:val="0"/>
          <w:sz w:val="24"/>
          <w:lang w:val="zh-CN"/>
        </w:rPr>
        <w:t>2.</w:t>
      </w:r>
      <w:r>
        <w:rPr>
          <w:rFonts w:hint="eastAsia" w:cs="仿宋" w:asciiTheme="minorEastAsia" w:hAnsiTheme="minorEastAsia" w:eastAsiaTheme="minorEastAsia"/>
          <w:color w:val="auto"/>
          <w:kern w:val="0"/>
          <w:sz w:val="24"/>
        </w:rPr>
        <w:t>到货安装完毕，</w:t>
      </w:r>
      <w:r>
        <w:rPr>
          <w:rFonts w:hint="eastAsia" w:cs="仿宋" w:asciiTheme="minorEastAsia" w:hAnsiTheme="minorEastAsia" w:eastAsiaTheme="minorEastAsia"/>
          <w:color w:val="auto"/>
          <w:kern w:val="0"/>
          <w:sz w:val="24"/>
          <w:lang w:val="zh-CN"/>
        </w:rPr>
        <w:t>采购人</w:t>
      </w:r>
      <w:r>
        <w:rPr>
          <w:rFonts w:hint="eastAsia" w:cs="仿宋" w:asciiTheme="minorEastAsia" w:hAnsiTheme="minorEastAsia" w:eastAsiaTheme="minorEastAsia"/>
          <w:color w:val="auto"/>
          <w:kern w:val="0"/>
          <w:sz w:val="24"/>
        </w:rPr>
        <w:t>确认具备使用条件，</w:t>
      </w:r>
      <w:r>
        <w:rPr>
          <w:rFonts w:hint="eastAsia" w:cs="仿宋" w:asciiTheme="minorEastAsia" w:hAnsiTheme="minorEastAsia" w:eastAsiaTheme="minorEastAsia"/>
          <w:color w:val="auto"/>
          <w:kern w:val="0"/>
          <w:sz w:val="24"/>
          <w:lang w:val="zh-CN"/>
        </w:rPr>
        <w:t>且</w:t>
      </w:r>
      <w:r>
        <w:rPr>
          <w:rFonts w:hint="eastAsia" w:cs="仿宋" w:asciiTheme="minorEastAsia" w:hAnsiTheme="minorEastAsia" w:eastAsiaTheme="minorEastAsia"/>
          <w:color w:val="auto"/>
          <w:kern w:val="0"/>
          <w:sz w:val="24"/>
        </w:rPr>
        <w:t>采购人</w:t>
      </w:r>
      <w:r>
        <w:rPr>
          <w:rFonts w:hint="eastAsia" w:cs="仿宋" w:asciiTheme="minorEastAsia" w:hAnsiTheme="minorEastAsia" w:eastAsiaTheme="minorEastAsia"/>
          <w:color w:val="auto"/>
          <w:kern w:val="0"/>
          <w:sz w:val="24"/>
          <w:lang w:val="zh-CN"/>
        </w:rPr>
        <w:t>完成财政资金审批手续，</w:t>
      </w:r>
      <w:r>
        <w:rPr>
          <w:rFonts w:hint="eastAsia" w:cs="仿宋" w:asciiTheme="minorEastAsia" w:hAnsiTheme="minorEastAsia" w:eastAsiaTheme="minorEastAsia"/>
          <w:color w:val="auto"/>
          <w:kern w:val="0"/>
          <w:sz w:val="24"/>
        </w:rPr>
        <w:t>中标人</w:t>
      </w:r>
      <w:r>
        <w:rPr>
          <w:rFonts w:hint="eastAsia" w:cs="仿宋" w:asciiTheme="minorEastAsia" w:hAnsiTheme="minorEastAsia" w:eastAsiaTheme="minorEastAsia"/>
          <w:color w:val="auto"/>
          <w:kern w:val="0"/>
          <w:sz w:val="24"/>
          <w:lang w:val="zh-CN"/>
        </w:rPr>
        <w:t>提供发票后【</w:t>
      </w:r>
      <w:r>
        <w:rPr>
          <w:rFonts w:hint="eastAsia" w:cs="仿宋" w:asciiTheme="minorEastAsia" w:hAnsiTheme="minorEastAsia" w:eastAsiaTheme="minorEastAsia"/>
          <w:color w:val="auto"/>
          <w:kern w:val="0"/>
          <w:sz w:val="24"/>
        </w:rPr>
        <w:t>7</w:t>
      </w:r>
      <w:r>
        <w:rPr>
          <w:rFonts w:hint="eastAsia" w:cs="仿宋" w:asciiTheme="minorEastAsia" w:hAnsiTheme="minorEastAsia" w:eastAsiaTheme="minorEastAsia"/>
          <w:color w:val="auto"/>
          <w:kern w:val="0"/>
          <w:sz w:val="24"/>
          <w:lang w:val="zh-CN"/>
        </w:rPr>
        <w:t>】个工作日内，支付合同总价款的【</w:t>
      </w:r>
      <w:r>
        <w:rPr>
          <w:rFonts w:hint="eastAsia" w:cs="仿宋" w:asciiTheme="minorEastAsia" w:hAnsiTheme="minorEastAsia" w:eastAsiaTheme="minorEastAsia"/>
          <w:color w:val="auto"/>
          <w:kern w:val="0"/>
          <w:sz w:val="24"/>
        </w:rPr>
        <w:t>30</w:t>
      </w:r>
      <w:r>
        <w:rPr>
          <w:rFonts w:hint="eastAsia" w:cs="仿宋" w:asciiTheme="minorEastAsia" w:hAnsiTheme="minorEastAsia" w:eastAsiaTheme="minorEastAsia"/>
          <w:color w:val="auto"/>
          <w:kern w:val="0"/>
          <w:sz w:val="24"/>
          <w:lang w:val="zh-CN"/>
        </w:rPr>
        <w:t>%】，即【    】元（大写：【    】元整）；</w:t>
      </w:r>
    </w:p>
    <w:p w14:paraId="0350D23C">
      <w:pPr>
        <w:autoSpaceDE w:val="0"/>
        <w:autoSpaceDN w:val="0"/>
        <w:spacing w:line="360" w:lineRule="auto"/>
        <w:ind w:firstLine="480"/>
        <w:rPr>
          <w:rFonts w:cs="仿宋" w:asciiTheme="minorEastAsia" w:hAnsiTheme="minorEastAsia" w:eastAsiaTheme="minorEastAsia"/>
          <w:color w:val="auto"/>
          <w:kern w:val="0"/>
          <w:sz w:val="24"/>
          <w:lang w:val="zh-CN"/>
        </w:rPr>
      </w:pPr>
      <w:r>
        <w:rPr>
          <w:rFonts w:hint="eastAsia" w:cs="仿宋" w:asciiTheme="minorEastAsia" w:hAnsiTheme="minorEastAsia" w:eastAsiaTheme="minorEastAsia"/>
          <w:color w:val="auto"/>
          <w:kern w:val="0"/>
          <w:sz w:val="24"/>
          <w:lang w:val="zh-CN"/>
        </w:rPr>
        <w:t xml:space="preserve">3. </w:t>
      </w:r>
      <w:r>
        <w:rPr>
          <w:rFonts w:hint="eastAsia" w:cs="仿宋" w:asciiTheme="minorEastAsia" w:hAnsiTheme="minorEastAsia" w:eastAsiaTheme="minorEastAsia"/>
          <w:color w:val="auto"/>
          <w:kern w:val="0"/>
          <w:sz w:val="24"/>
        </w:rPr>
        <w:t>项目验收通过后，</w:t>
      </w:r>
      <w:r>
        <w:rPr>
          <w:rFonts w:hint="eastAsia" w:cs="仿宋" w:asciiTheme="minorEastAsia" w:hAnsiTheme="minorEastAsia" w:eastAsiaTheme="minorEastAsia"/>
          <w:color w:val="auto"/>
          <w:kern w:val="0"/>
          <w:sz w:val="24"/>
          <w:lang w:val="zh-CN"/>
        </w:rPr>
        <w:t>且</w:t>
      </w:r>
      <w:r>
        <w:rPr>
          <w:rFonts w:hint="eastAsia" w:cs="仿宋" w:asciiTheme="minorEastAsia" w:hAnsiTheme="minorEastAsia" w:eastAsiaTheme="minorEastAsia"/>
          <w:color w:val="auto"/>
          <w:kern w:val="0"/>
          <w:sz w:val="24"/>
        </w:rPr>
        <w:t>采购人</w:t>
      </w:r>
      <w:r>
        <w:rPr>
          <w:rFonts w:hint="eastAsia" w:cs="仿宋" w:asciiTheme="minorEastAsia" w:hAnsiTheme="minorEastAsia" w:eastAsiaTheme="minorEastAsia"/>
          <w:color w:val="auto"/>
          <w:kern w:val="0"/>
          <w:sz w:val="24"/>
          <w:lang w:val="zh-CN"/>
        </w:rPr>
        <w:t>完成财政资金审批手续，</w:t>
      </w:r>
      <w:r>
        <w:rPr>
          <w:rFonts w:hint="eastAsia" w:cs="仿宋" w:asciiTheme="minorEastAsia" w:hAnsiTheme="minorEastAsia" w:eastAsiaTheme="minorEastAsia"/>
          <w:color w:val="auto"/>
          <w:kern w:val="0"/>
          <w:sz w:val="24"/>
        </w:rPr>
        <w:t>中标人</w:t>
      </w:r>
      <w:r>
        <w:rPr>
          <w:rFonts w:hint="eastAsia" w:cs="仿宋" w:asciiTheme="minorEastAsia" w:hAnsiTheme="minorEastAsia" w:eastAsiaTheme="minorEastAsia"/>
          <w:color w:val="auto"/>
          <w:kern w:val="0"/>
          <w:sz w:val="24"/>
          <w:lang w:val="zh-CN"/>
        </w:rPr>
        <w:t>提供发票后【</w:t>
      </w:r>
      <w:r>
        <w:rPr>
          <w:rFonts w:hint="eastAsia" w:cs="仿宋" w:asciiTheme="minorEastAsia" w:hAnsiTheme="minorEastAsia" w:eastAsiaTheme="minorEastAsia"/>
          <w:color w:val="auto"/>
          <w:kern w:val="0"/>
          <w:sz w:val="24"/>
        </w:rPr>
        <w:t>7</w:t>
      </w:r>
      <w:r>
        <w:rPr>
          <w:rFonts w:hint="eastAsia" w:cs="仿宋" w:asciiTheme="minorEastAsia" w:hAnsiTheme="minorEastAsia" w:eastAsiaTheme="minorEastAsia"/>
          <w:color w:val="auto"/>
          <w:kern w:val="0"/>
          <w:sz w:val="24"/>
          <w:lang w:val="zh-CN"/>
        </w:rPr>
        <w:t>】个工作日内，支付</w:t>
      </w:r>
      <w:r>
        <w:rPr>
          <w:rFonts w:hint="eastAsia" w:cs="仿宋" w:asciiTheme="minorEastAsia" w:hAnsiTheme="minorEastAsia" w:eastAsiaTheme="minorEastAsia"/>
          <w:color w:val="auto"/>
          <w:kern w:val="0"/>
          <w:sz w:val="24"/>
        </w:rPr>
        <w:t>至实际合同</w:t>
      </w:r>
      <w:r>
        <w:rPr>
          <w:rFonts w:hint="eastAsia" w:cs="仿宋" w:asciiTheme="minorEastAsia" w:hAnsiTheme="minorEastAsia" w:eastAsiaTheme="minorEastAsia"/>
          <w:color w:val="auto"/>
          <w:kern w:val="0"/>
          <w:sz w:val="24"/>
          <w:lang w:val="zh-CN"/>
        </w:rPr>
        <w:t>总价款的【</w:t>
      </w:r>
      <w:r>
        <w:rPr>
          <w:rFonts w:hint="eastAsia" w:cs="仿宋" w:asciiTheme="minorEastAsia" w:hAnsiTheme="minorEastAsia" w:eastAsiaTheme="minorEastAsia"/>
          <w:color w:val="auto"/>
          <w:kern w:val="0"/>
          <w:sz w:val="24"/>
        </w:rPr>
        <w:t>100</w:t>
      </w:r>
      <w:r>
        <w:rPr>
          <w:rFonts w:hint="eastAsia" w:cs="仿宋" w:asciiTheme="minorEastAsia" w:hAnsiTheme="minorEastAsia" w:eastAsiaTheme="minorEastAsia"/>
          <w:color w:val="auto"/>
          <w:kern w:val="0"/>
          <w:sz w:val="24"/>
          <w:lang w:val="zh-CN"/>
        </w:rPr>
        <w:t>%】，即【    】元（大写：【    】元整）；</w:t>
      </w:r>
    </w:p>
    <w:p w14:paraId="4E9DFCB2">
      <w:pPr>
        <w:autoSpaceDE w:val="0"/>
        <w:autoSpaceDN w:val="0"/>
        <w:spacing w:line="360" w:lineRule="auto"/>
        <w:ind w:firstLine="480"/>
        <w:rPr>
          <w:rFonts w:cs="仿宋" w:asciiTheme="minorEastAsia" w:hAnsiTheme="minorEastAsia" w:eastAsiaTheme="minorEastAsia"/>
          <w:color w:val="auto"/>
          <w:kern w:val="0"/>
          <w:sz w:val="24"/>
          <w:lang w:val="zh-CN"/>
        </w:rPr>
      </w:pPr>
      <w:r>
        <w:rPr>
          <w:rFonts w:hint="eastAsia" w:cs="仿宋" w:asciiTheme="minorEastAsia" w:hAnsiTheme="minorEastAsia" w:eastAsiaTheme="minorEastAsia"/>
          <w:color w:val="auto"/>
          <w:kern w:val="0"/>
          <w:sz w:val="24"/>
          <w:lang w:val="zh-CN"/>
        </w:rPr>
        <w:t>4 采购人付款前，中标人须提供正规合法的等额发票，否则采购人有权拒绝付款，且不因此承担任何违约责任。</w:t>
      </w:r>
    </w:p>
    <w:p w14:paraId="1DF41BA6">
      <w:pPr>
        <w:spacing w:line="500" w:lineRule="exact"/>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九、验收标准</w:t>
      </w:r>
    </w:p>
    <w:p w14:paraId="38D577C3">
      <w:pPr>
        <w:snapToGrid w:val="0"/>
        <w:spacing w:line="360" w:lineRule="auto"/>
        <w:ind w:firstLine="480" w:firstLineChars="200"/>
        <w:rPr>
          <w:rFonts w:cs="宋体" w:asciiTheme="minorEastAsia" w:hAnsiTheme="minorEastAsia" w:eastAsiaTheme="minorEastAsia"/>
          <w:bCs/>
          <w:color w:val="auto"/>
          <w:sz w:val="24"/>
        </w:rPr>
      </w:pPr>
      <w:r>
        <w:rPr>
          <w:rFonts w:hint="eastAsia" w:cs="宋体" w:asciiTheme="minorEastAsia" w:hAnsiTheme="minorEastAsia" w:eastAsiaTheme="minorEastAsia"/>
          <w:bCs/>
          <w:color w:val="auto"/>
          <w:sz w:val="24"/>
        </w:rPr>
        <w:t>1．采购人按照采购合同规定的技术、服务、标准以及中标单位的投标文件、本项目招标文件等要求，组织对供应商履约情况进行验收，并出具验收合格书。</w:t>
      </w:r>
    </w:p>
    <w:p w14:paraId="7060401D">
      <w:pPr>
        <w:autoSpaceDE w:val="0"/>
        <w:autoSpaceDN w:val="0"/>
        <w:spacing w:line="360" w:lineRule="auto"/>
        <w:ind w:firstLine="480" w:firstLineChars="200"/>
        <w:rPr>
          <w:rFonts w:cs="宋体" w:asciiTheme="minorEastAsia" w:hAnsiTheme="minorEastAsia" w:eastAsiaTheme="minorEastAsia"/>
          <w:bCs/>
          <w:color w:val="auto"/>
          <w:sz w:val="24"/>
        </w:rPr>
      </w:pPr>
      <w:r>
        <w:rPr>
          <w:rFonts w:hint="eastAsia" w:cs="宋体" w:asciiTheme="minorEastAsia" w:hAnsiTheme="minorEastAsia" w:eastAsiaTheme="minorEastAsia"/>
          <w:bCs/>
          <w:color w:val="auto"/>
          <w:sz w:val="24"/>
        </w:rPr>
        <w:t>2.验收流程</w:t>
      </w:r>
    </w:p>
    <w:p w14:paraId="3788954B">
      <w:pPr>
        <w:snapToGrid w:val="0"/>
        <w:spacing w:line="360" w:lineRule="auto"/>
        <w:ind w:firstLine="480" w:firstLineChars="200"/>
        <w:rPr>
          <w:rFonts w:cs="宋体" w:asciiTheme="minorEastAsia" w:hAnsiTheme="minorEastAsia" w:eastAsiaTheme="minorEastAsia"/>
          <w:bCs/>
          <w:color w:val="auto"/>
          <w:sz w:val="24"/>
        </w:rPr>
      </w:pPr>
      <w:r>
        <w:rPr>
          <w:rFonts w:hint="eastAsia" w:cs="宋体" w:asciiTheme="minorEastAsia" w:hAnsiTheme="minorEastAsia" w:eastAsiaTheme="minorEastAsia"/>
          <w:bCs/>
          <w:color w:val="auto"/>
          <w:sz w:val="24"/>
        </w:rPr>
        <w:t>（1）采购人按照余财采〔2020〕14号《关于转发《杭州市政府采购履约验收暂行办法》的通知》规定组织对中标单位履约的验收。验收方成员应当在验收书上签字，并承担相应的法律责任。如果发现与合同中要求不符，中标单位须承担由此发生的一切损失和费用，并接受相应的处理。</w:t>
      </w:r>
    </w:p>
    <w:p w14:paraId="0DD4225C">
      <w:pPr>
        <w:autoSpaceDE w:val="0"/>
        <w:autoSpaceDN w:val="0"/>
        <w:spacing w:line="360" w:lineRule="auto"/>
        <w:ind w:firstLine="480" w:firstLineChars="200"/>
        <w:rPr>
          <w:rFonts w:cs="宋体" w:asciiTheme="minorEastAsia" w:hAnsiTheme="minorEastAsia" w:eastAsiaTheme="minorEastAsia"/>
          <w:bCs/>
          <w:color w:val="auto"/>
          <w:sz w:val="24"/>
        </w:rPr>
      </w:pPr>
      <w:r>
        <w:rPr>
          <w:rFonts w:hint="eastAsia" w:cs="宋体" w:asciiTheme="minorEastAsia" w:hAnsiTheme="minorEastAsia" w:eastAsiaTheme="minorEastAsia"/>
          <w:bCs/>
          <w:color w:val="auto"/>
          <w:sz w:val="24"/>
        </w:rPr>
        <w:t>3.验收标准</w:t>
      </w:r>
    </w:p>
    <w:p w14:paraId="1E36DB2C">
      <w:pPr>
        <w:numPr>
          <w:ilvl w:val="0"/>
          <w:numId w:val="1"/>
        </w:numPr>
        <w:autoSpaceDE w:val="0"/>
        <w:autoSpaceDN w:val="0"/>
        <w:adjustRightInd/>
        <w:spacing w:line="360" w:lineRule="auto"/>
        <w:ind w:left="0" w:firstLine="0"/>
        <w:rPr>
          <w:rFonts w:cs="宋体" w:asciiTheme="minorEastAsia" w:hAnsiTheme="minorEastAsia" w:eastAsiaTheme="minorEastAsia"/>
          <w:bCs/>
          <w:color w:val="auto"/>
          <w:sz w:val="24"/>
        </w:rPr>
      </w:pPr>
      <w:r>
        <w:rPr>
          <w:rFonts w:hint="eastAsia" w:cs="宋体" w:asciiTheme="minorEastAsia" w:hAnsiTheme="minorEastAsia" w:eastAsiaTheme="minorEastAsia"/>
          <w:bCs/>
          <w:color w:val="auto"/>
          <w:sz w:val="24"/>
        </w:rPr>
        <w:t>所供产品的规格、数量符合招标文件供应商投标承诺及采购合同约定的要求。</w:t>
      </w:r>
    </w:p>
    <w:p w14:paraId="3982DFDB">
      <w:pPr>
        <w:numPr>
          <w:ilvl w:val="0"/>
          <w:numId w:val="1"/>
        </w:numPr>
        <w:autoSpaceDE w:val="0"/>
        <w:autoSpaceDN w:val="0"/>
        <w:adjustRightInd/>
        <w:spacing w:line="360" w:lineRule="auto"/>
        <w:ind w:left="0" w:firstLine="0"/>
        <w:rPr>
          <w:rFonts w:cs="宋体" w:asciiTheme="minorEastAsia" w:hAnsiTheme="minorEastAsia" w:eastAsiaTheme="minorEastAsia"/>
          <w:bCs/>
          <w:color w:val="auto"/>
          <w:sz w:val="24"/>
        </w:rPr>
      </w:pPr>
      <w:r>
        <w:rPr>
          <w:rFonts w:hint="eastAsia" w:cs="宋体" w:asciiTheme="minorEastAsia" w:hAnsiTheme="minorEastAsia" w:eastAsiaTheme="minorEastAsia"/>
          <w:bCs/>
          <w:color w:val="auto"/>
          <w:sz w:val="24"/>
        </w:rPr>
        <w:t>所供产品的材质、颜色符合招标文件供应商投标承诺及采购合同约定的要求。</w:t>
      </w:r>
    </w:p>
    <w:p w14:paraId="6CD2A93A">
      <w:pPr>
        <w:numPr>
          <w:ilvl w:val="0"/>
          <w:numId w:val="1"/>
        </w:numPr>
        <w:autoSpaceDE w:val="0"/>
        <w:autoSpaceDN w:val="0"/>
        <w:adjustRightInd/>
        <w:spacing w:line="360" w:lineRule="auto"/>
        <w:ind w:left="0" w:firstLine="0"/>
        <w:rPr>
          <w:rFonts w:cs="宋体" w:asciiTheme="minorEastAsia" w:hAnsiTheme="minorEastAsia" w:eastAsiaTheme="minorEastAsia"/>
          <w:bCs/>
          <w:color w:val="auto"/>
          <w:sz w:val="24"/>
        </w:rPr>
      </w:pPr>
      <w:r>
        <w:rPr>
          <w:rFonts w:hint="eastAsia" w:cs="宋体" w:asciiTheme="minorEastAsia" w:hAnsiTheme="minorEastAsia" w:eastAsiaTheme="minorEastAsia"/>
          <w:bCs/>
          <w:color w:val="auto"/>
          <w:sz w:val="24"/>
        </w:rPr>
        <w:t>所供产品的外观完好，无严重碰撞、表皮脱落、五金件生锈等明显瑕疵。</w:t>
      </w:r>
    </w:p>
    <w:p w14:paraId="68B2F9A6">
      <w:pPr>
        <w:numPr>
          <w:ilvl w:val="0"/>
          <w:numId w:val="1"/>
        </w:numPr>
        <w:autoSpaceDE w:val="0"/>
        <w:autoSpaceDN w:val="0"/>
        <w:adjustRightInd/>
        <w:spacing w:line="360" w:lineRule="auto"/>
        <w:ind w:left="0" w:firstLine="0"/>
        <w:rPr>
          <w:rFonts w:cs="宋体" w:asciiTheme="minorEastAsia" w:hAnsiTheme="minorEastAsia" w:eastAsiaTheme="minorEastAsia"/>
          <w:bCs/>
          <w:color w:val="auto"/>
          <w:sz w:val="24"/>
        </w:rPr>
      </w:pPr>
      <w:r>
        <w:rPr>
          <w:rFonts w:hint="eastAsia" w:cs="宋体" w:asciiTheme="minorEastAsia" w:hAnsiTheme="minorEastAsia" w:eastAsiaTheme="minorEastAsia"/>
          <w:bCs/>
          <w:color w:val="auto"/>
          <w:sz w:val="24"/>
        </w:rPr>
        <w:t>所供产品结构牢固，无安全隐患。</w:t>
      </w:r>
    </w:p>
    <w:p w14:paraId="35203E94">
      <w:pPr>
        <w:numPr>
          <w:ilvl w:val="0"/>
          <w:numId w:val="1"/>
        </w:numPr>
        <w:autoSpaceDE w:val="0"/>
        <w:autoSpaceDN w:val="0"/>
        <w:adjustRightInd/>
        <w:spacing w:line="360" w:lineRule="auto"/>
        <w:ind w:left="0" w:firstLine="0"/>
        <w:rPr>
          <w:rFonts w:cs="宋体" w:asciiTheme="minorEastAsia" w:hAnsiTheme="minorEastAsia" w:eastAsiaTheme="minorEastAsia"/>
          <w:bCs/>
          <w:color w:val="auto"/>
          <w:sz w:val="24"/>
        </w:rPr>
      </w:pPr>
      <w:r>
        <w:rPr>
          <w:rFonts w:hint="eastAsia" w:cs="宋体" w:asciiTheme="minorEastAsia" w:hAnsiTheme="minorEastAsia" w:eastAsiaTheme="minorEastAsia"/>
          <w:bCs/>
          <w:color w:val="auto"/>
          <w:sz w:val="24"/>
        </w:rPr>
        <w:t>如有抽检要求的，检测结果符合招标文件供应商投标承诺及采购合同约定的要求。</w:t>
      </w:r>
    </w:p>
    <w:p w14:paraId="310D9579">
      <w:pPr>
        <w:numPr>
          <w:ilvl w:val="0"/>
          <w:numId w:val="1"/>
        </w:numPr>
        <w:autoSpaceDE w:val="0"/>
        <w:autoSpaceDN w:val="0"/>
        <w:adjustRightInd/>
        <w:spacing w:line="360" w:lineRule="auto"/>
        <w:ind w:left="0" w:firstLine="0"/>
        <w:rPr>
          <w:rFonts w:cs="宋体" w:asciiTheme="minorEastAsia" w:hAnsiTheme="minorEastAsia" w:eastAsiaTheme="minorEastAsia"/>
          <w:bCs/>
          <w:color w:val="auto"/>
          <w:sz w:val="24"/>
        </w:rPr>
      </w:pPr>
      <w:r>
        <w:rPr>
          <w:rFonts w:hint="eastAsia" w:cs="宋体" w:asciiTheme="minorEastAsia" w:hAnsiTheme="minorEastAsia" w:eastAsiaTheme="minorEastAsia"/>
          <w:bCs/>
          <w:color w:val="auto"/>
          <w:sz w:val="24"/>
        </w:rPr>
        <w:t>所有产品均已运输至指定地点，并安装调试完毕。</w:t>
      </w:r>
    </w:p>
    <w:p w14:paraId="712C1766">
      <w:pPr>
        <w:numPr>
          <w:ilvl w:val="0"/>
          <w:numId w:val="1"/>
        </w:numPr>
        <w:autoSpaceDE w:val="0"/>
        <w:autoSpaceDN w:val="0"/>
        <w:adjustRightInd/>
        <w:spacing w:line="360" w:lineRule="auto"/>
        <w:ind w:left="0" w:firstLine="0"/>
        <w:rPr>
          <w:rFonts w:cs="宋体" w:asciiTheme="minorEastAsia" w:hAnsiTheme="minorEastAsia" w:eastAsiaTheme="minorEastAsia"/>
          <w:bCs/>
          <w:color w:val="auto"/>
          <w:sz w:val="24"/>
        </w:rPr>
      </w:pPr>
      <w:r>
        <w:rPr>
          <w:rFonts w:hint="eastAsia" w:cs="宋体" w:asciiTheme="minorEastAsia" w:hAnsiTheme="minorEastAsia" w:eastAsiaTheme="minorEastAsia"/>
          <w:bCs/>
          <w:color w:val="auto"/>
          <w:sz w:val="24"/>
        </w:rPr>
        <w:t>招标文件供应商投标承诺及采购合同约定的附件、工具、技术资料等齐全；提供产品使用说明书、合格证。</w:t>
      </w:r>
    </w:p>
    <w:p w14:paraId="438A9918">
      <w:pPr>
        <w:numPr>
          <w:ilvl w:val="0"/>
          <w:numId w:val="1"/>
        </w:numPr>
        <w:autoSpaceDE w:val="0"/>
        <w:autoSpaceDN w:val="0"/>
        <w:adjustRightInd/>
        <w:spacing w:line="360" w:lineRule="auto"/>
        <w:ind w:left="0" w:firstLine="0"/>
        <w:rPr>
          <w:rFonts w:cs="宋体" w:asciiTheme="minorEastAsia" w:hAnsiTheme="minorEastAsia" w:eastAsiaTheme="minorEastAsia"/>
          <w:bCs/>
          <w:color w:val="auto"/>
          <w:sz w:val="24"/>
        </w:rPr>
      </w:pPr>
      <w:r>
        <w:rPr>
          <w:rFonts w:hint="eastAsia" w:cs="宋体" w:asciiTheme="minorEastAsia" w:hAnsiTheme="minorEastAsia" w:eastAsiaTheme="minorEastAsia"/>
          <w:bCs/>
          <w:color w:val="auto"/>
          <w:sz w:val="24"/>
        </w:rPr>
        <w:t>供应商提供的实际服务符合招标文件要求；</w:t>
      </w:r>
    </w:p>
    <w:p w14:paraId="371FFD12">
      <w:pPr>
        <w:numPr>
          <w:ilvl w:val="0"/>
          <w:numId w:val="1"/>
        </w:numPr>
        <w:autoSpaceDE w:val="0"/>
        <w:autoSpaceDN w:val="0"/>
        <w:adjustRightInd/>
        <w:spacing w:line="360" w:lineRule="auto"/>
        <w:ind w:left="0" w:firstLine="0"/>
        <w:rPr>
          <w:rFonts w:cs="宋体" w:asciiTheme="minorEastAsia" w:hAnsiTheme="minorEastAsia" w:eastAsiaTheme="minorEastAsia"/>
          <w:bCs/>
          <w:color w:val="auto"/>
          <w:sz w:val="24"/>
        </w:rPr>
      </w:pPr>
      <w:r>
        <w:rPr>
          <w:rFonts w:hint="eastAsia" w:cs="宋体" w:asciiTheme="minorEastAsia" w:hAnsiTheme="minorEastAsia" w:eastAsiaTheme="minorEastAsia"/>
          <w:bCs/>
          <w:color w:val="auto"/>
          <w:sz w:val="24"/>
        </w:rPr>
        <w:t>供应商提供的项目成果资料符合《招标文件》及合同约定要求。</w:t>
      </w:r>
    </w:p>
    <w:p w14:paraId="613C5CBA">
      <w:pPr>
        <w:pStyle w:val="80"/>
        <w:numPr>
          <w:ilvl w:val="0"/>
          <w:numId w:val="2"/>
        </w:numPr>
        <w:ind w:firstLine="480"/>
        <w:rPr>
          <w:rFonts w:hint="eastAsia" w:cs="宋体" w:asciiTheme="minorEastAsia" w:hAnsiTheme="minorEastAsia" w:eastAsiaTheme="minorEastAsia"/>
          <w:bCs/>
          <w:color w:val="auto"/>
          <w:sz w:val="24"/>
          <w:szCs w:val="24"/>
          <w:lang w:val="en-US"/>
        </w:rPr>
      </w:pPr>
      <w:r>
        <w:rPr>
          <w:rFonts w:hint="eastAsia" w:cs="宋体" w:asciiTheme="minorEastAsia" w:hAnsiTheme="minorEastAsia" w:eastAsiaTheme="minorEastAsia"/>
          <w:bCs/>
          <w:color w:val="auto"/>
          <w:sz w:val="24"/>
          <w:szCs w:val="24"/>
          <w:lang w:val="en-US"/>
        </w:rPr>
        <w:t>验收产生的费用首次验收费用由采购人承担，如首次验收不合格，后续验收费用由中标单位支付所有费用。</w:t>
      </w:r>
    </w:p>
    <w:p w14:paraId="21DF3CD9">
      <w:pPr>
        <w:spacing w:line="500" w:lineRule="exact"/>
        <w:rPr>
          <w:rFonts w:hint="eastAsia" w:cs="宋体" w:asciiTheme="minorEastAsia" w:hAnsiTheme="minorEastAsia" w:eastAsiaTheme="minorEastAsia"/>
          <w:b/>
          <w:bCs w:val="0"/>
          <w:color w:val="auto"/>
          <w:sz w:val="24"/>
          <w:szCs w:val="24"/>
          <w:lang w:val="en-US"/>
        </w:rPr>
      </w:pPr>
      <w:r>
        <w:rPr>
          <w:rFonts w:hint="eastAsia" w:cs="宋体" w:asciiTheme="minorEastAsia" w:hAnsiTheme="minorEastAsia" w:eastAsiaTheme="minorEastAsia"/>
          <w:b/>
          <w:bCs w:val="0"/>
          <w:color w:val="auto"/>
          <w:sz w:val="24"/>
          <w:szCs w:val="24"/>
          <w:lang w:val="en-US" w:eastAsia="zh-CN" w:bidi="ar-SA"/>
        </w:rPr>
        <w:t>十、</w:t>
      </w:r>
      <w:r>
        <w:rPr>
          <w:rFonts w:hint="eastAsia" w:cs="宋体" w:asciiTheme="minorEastAsia" w:hAnsiTheme="minorEastAsia" w:eastAsiaTheme="minorEastAsia"/>
          <w:b/>
          <w:bCs w:val="0"/>
          <w:color w:val="auto"/>
          <w:sz w:val="24"/>
          <w:szCs w:val="24"/>
          <w:lang w:bidi="ar-SA"/>
        </w:rPr>
        <w:t>采购数量汇总表及货物技术参数汇总表</w:t>
      </w:r>
    </w:p>
    <w:bookmarkEnd w:id="34"/>
    <w:tbl>
      <w:tblPr>
        <w:tblStyle w:val="62"/>
        <w:tblpPr w:leftFromText="180" w:rightFromText="180" w:vertAnchor="text" w:horzAnchor="page" w:tblpX="1793" w:tblpY="637"/>
        <w:tblOverlap w:val="never"/>
        <w:tblW w:w="5000" w:type="pct"/>
        <w:tblInd w:w="0" w:type="dxa"/>
        <w:tblLayout w:type="autofit"/>
        <w:tblCellMar>
          <w:top w:w="0" w:type="dxa"/>
          <w:left w:w="108" w:type="dxa"/>
          <w:bottom w:w="0" w:type="dxa"/>
          <w:right w:w="108" w:type="dxa"/>
        </w:tblCellMar>
      </w:tblPr>
      <w:tblGrid>
        <w:gridCol w:w="1722"/>
        <w:gridCol w:w="3341"/>
        <w:gridCol w:w="1727"/>
        <w:gridCol w:w="1732"/>
      </w:tblGrid>
      <w:tr w14:paraId="26DDFDAC">
        <w:tblPrEx>
          <w:tblCellMar>
            <w:top w:w="0" w:type="dxa"/>
            <w:left w:w="108" w:type="dxa"/>
            <w:bottom w:w="0" w:type="dxa"/>
            <w:right w:w="108" w:type="dxa"/>
          </w:tblCellMar>
        </w:tblPrEx>
        <w:trPr>
          <w:trHeight w:val="981" w:hRule="atLeast"/>
        </w:trPr>
        <w:tc>
          <w:tcPr>
            <w:tcW w:w="5000" w:type="pct"/>
            <w:gridSpan w:val="4"/>
            <w:tcBorders>
              <w:top w:val="single" w:color="auto" w:sz="4" w:space="0"/>
              <w:left w:val="single" w:color="auto" w:sz="4" w:space="0"/>
              <w:bottom w:val="single" w:color="auto" w:sz="4" w:space="0"/>
              <w:right w:val="single" w:color="auto" w:sz="4" w:space="0"/>
            </w:tcBorders>
            <w:shd w:val="clear" w:color="auto" w:fill="auto"/>
            <w:vAlign w:val="center"/>
          </w:tcPr>
          <w:p w14:paraId="7BFFFEC6">
            <w:pPr>
              <w:widowControl/>
              <w:adjustRightInd/>
              <w:jc w:val="center"/>
              <w:rPr>
                <w:rFonts w:cs="宋体" w:asciiTheme="minorEastAsia" w:hAnsiTheme="minorEastAsia" w:eastAsiaTheme="minorEastAsia"/>
                <w:color w:val="auto"/>
                <w:kern w:val="0"/>
                <w:sz w:val="24"/>
              </w:rPr>
            </w:pPr>
            <w:r>
              <w:rPr>
                <w:rFonts w:hint="eastAsia" w:cs="宋体" w:asciiTheme="minorEastAsia" w:hAnsiTheme="minorEastAsia" w:eastAsiaTheme="minorEastAsia"/>
                <w:b/>
                <w:bCs/>
                <w:color w:val="auto"/>
                <w:kern w:val="0"/>
                <w:sz w:val="24"/>
              </w:rPr>
              <w:t>杭州师范大学附属未来科技城学校（天元公学和睦校区）</w:t>
            </w:r>
            <w:r>
              <w:rPr>
                <w:rFonts w:hint="eastAsia" w:cs="宋体" w:asciiTheme="minorEastAsia" w:hAnsiTheme="minorEastAsia" w:eastAsiaTheme="minorEastAsia"/>
                <w:b/>
                <w:bCs/>
                <w:color w:val="auto"/>
                <w:kern w:val="0"/>
                <w:sz w:val="24"/>
              </w:rPr>
              <w:br w:type="textWrapping"/>
            </w:r>
            <w:r>
              <w:rPr>
                <w:rFonts w:hint="eastAsia" w:cs="宋体" w:asciiTheme="minorEastAsia" w:hAnsiTheme="minorEastAsia" w:eastAsiaTheme="minorEastAsia"/>
                <w:b/>
                <w:bCs/>
                <w:color w:val="auto"/>
                <w:kern w:val="0"/>
                <w:sz w:val="24"/>
              </w:rPr>
              <w:t>幼儿园教玩具采购项目采购清单</w:t>
            </w:r>
          </w:p>
        </w:tc>
      </w:tr>
      <w:tr w14:paraId="1FE72D72">
        <w:tblPrEx>
          <w:tblCellMar>
            <w:top w:w="0" w:type="dxa"/>
            <w:left w:w="108" w:type="dxa"/>
            <w:bottom w:w="0" w:type="dxa"/>
            <w:right w:w="108" w:type="dxa"/>
          </w:tblCellMar>
        </w:tblPrEx>
        <w:trPr>
          <w:trHeight w:val="600" w:hRule="atLeast"/>
        </w:trPr>
        <w:tc>
          <w:tcPr>
            <w:tcW w:w="1011" w:type="pct"/>
            <w:tcBorders>
              <w:top w:val="single" w:color="auto" w:sz="4" w:space="0"/>
              <w:left w:val="single" w:color="auto" w:sz="4" w:space="0"/>
              <w:bottom w:val="single" w:color="auto" w:sz="4" w:space="0"/>
              <w:right w:val="single" w:color="auto" w:sz="4" w:space="0"/>
            </w:tcBorders>
            <w:shd w:val="clear" w:color="auto" w:fill="auto"/>
            <w:noWrap/>
            <w:vAlign w:val="center"/>
          </w:tcPr>
          <w:p w14:paraId="2D59802F">
            <w:pPr>
              <w:widowControl/>
              <w:adjustRightInd/>
              <w:jc w:val="center"/>
              <w:rPr>
                <w:rFonts w:cs="宋体" w:asciiTheme="minorEastAsia" w:hAnsiTheme="minorEastAsia" w:eastAsiaTheme="minorEastAsia"/>
                <w:b/>
                <w:bCs/>
                <w:color w:val="auto"/>
                <w:kern w:val="0"/>
                <w:sz w:val="24"/>
              </w:rPr>
            </w:pPr>
            <w:r>
              <w:rPr>
                <w:rFonts w:hint="eastAsia" w:cs="宋体" w:asciiTheme="minorEastAsia" w:hAnsiTheme="minorEastAsia" w:eastAsiaTheme="minorEastAsia"/>
                <w:b/>
                <w:bCs/>
                <w:color w:val="auto"/>
                <w:kern w:val="0"/>
                <w:sz w:val="24"/>
              </w:rPr>
              <w:t>序号</w:t>
            </w:r>
          </w:p>
        </w:tc>
        <w:tc>
          <w:tcPr>
            <w:tcW w:w="1960" w:type="pct"/>
            <w:tcBorders>
              <w:top w:val="single" w:color="auto" w:sz="4" w:space="0"/>
              <w:left w:val="nil"/>
              <w:bottom w:val="single" w:color="auto" w:sz="4" w:space="0"/>
              <w:right w:val="single" w:color="auto" w:sz="4" w:space="0"/>
            </w:tcBorders>
            <w:shd w:val="clear" w:color="auto" w:fill="auto"/>
            <w:noWrap/>
            <w:vAlign w:val="center"/>
          </w:tcPr>
          <w:p w14:paraId="5D97569A">
            <w:pPr>
              <w:widowControl/>
              <w:adjustRightInd/>
              <w:jc w:val="center"/>
              <w:rPr>
                <w:rFonts w:cs="宋体" w:asciiTheme="minorEastAsia" w:hAnsiTheme="minorEastAsia" w:eastAsiaTheme="minorEastAsia"/>
                <w:b/>
                <w:bCs/>
                <w:color w:val="auto"/>
                <w:kern w:val="0"/>
                <w:sz w:val="24"/>
              </w:rPr>
            </w:pPr>
            <w:r>
              <w:rPr>
                <w:rFonts w:hint="eastAsia" w:cs="宋体" w:asciiTheme="minorEastAsia" w:hAnsiTheme="minorEastAsia" w:eastAsiaTheme="minorEastAsia"/>
                <w:b/>
                <w:bCs/>
                <w:color w:val="auto"/>
                <w:kern w:val="0"/>
                <w:sz w:val="24"/>
              </w:rPr>
              <w:t>教室名称</w:t>
            </w:r>
          </w:p>
        </w:tc>
        <w:tc>
          <w:tcPr>
            <w:tcW w:w="1013" w:type="pct"/>
            <w:tcBorders>
              <w:top w:val="single" w:color="auto" w:sz="4" w:space="0"/>
              <w:left w:val="nil"/>
              <w:bottom w:val="single" w:color="auto" w:sz="4" w:space="0"/>
              <w:right w:val="single" w:color="auto" w:sz="4" w:space="0"/>
            </w:tcBorders>
            <w:shd w:val="clear" w:color="auto" w:fill="auto"/>
            <w:noWrap/>
            <w:vAlign w:val="center"/>
          </w:tcPr>
          <w:p w14:paraId="11E22F62">
            <w:pPr>
              <w:widowControl/>
              <w:adjustRightInd/>
              <w:jc w:val="center"/>
              <w:rPr>
                <w:rFonts w:cs="宋体" w:asciiTheme="minorEastAsia" w:hAnsiTheme="minorEastAsia" w:eastAsiaTheme="minorEastAsia"/>
                <w:b/>
                <w:bCs/>
                <w:color w:val="auto"/>
                <w:kern w:val="0"/>
                <w:sz w:val="24"/>
              </w:rPr>
            </w:pPr>
            <w:r>
              <w:rPr>
                <w:rFonts w:hint="eastAsia" w:cs="宋体" w:asciiTheme="minorEastAsia" w:hAnsiTheme="minorEastAsia" w:eastAsiaTheme="minorEastAsia"/>
                <w:b/>
                <w:bCs/>
                <w:color w:val="auto"/>
                <w:kern w:val="0"/>
                <w:sz w:val="24"/>
              </w:rPr>
              <w:t>数量</w:t>
            </w:r>
          </w:p>
        </w:tc>
        <w:tc>
          <w:tcPr>
            <w:tcW w:w="1015" w:type="pct"/>
            <w:tcBorders>
              <w:top w:val="single" w:color="auto" w:sz="4" w:space="0"/>
              <w:left w:val="nil"/>
              <w:bottom w:val="single" w:color="auto" w:sz="4" w:space="0"/>
              <w:right w:val="single" w:color="auto" w:sz="4" w:space="0"/>
            </w:tcBorders>
            <w:shd w:val="clear" w:color="auto" w:fill="auto"/>
            <w:noWrap/>
            <w:vAlign w:val="center"/>
          </w:tcPr>
          <w:p w14:paraId="2D40897C">
            <w:pPr>
              <w:widowControl/>
              <w:adjustRightInd/>
              <w:jc w:val="center"/>
              <w:rPr>
                <w:rFonts w:cs="宋体" w:asciiTheme="minorEastAsia" w:hAnsiTheme="minorEastAsia" w:eastAsiaTheme="minorEastAsia"/>
                <w:b/>
                <w:bCs/>
                <w:color w:val="auto"/>
                <w:kern w:val="0"/>
                <w:sz w:val="24"/>
              </w:rPr>
            </w:pPr>
            <w:r>
              <w:rPr>
                <w:rFonts w:hint="eastAsia" w:cs="宋体" w:asciiTheme="minorEastAsia" w:hAnsiTheme="minorEastAsia" w:eastAsiaTheme="minorEastAsia"/>
                <w:b/>
                <w:bCs/>
                <w:color w:val="auto"/>
                <w:kern w:val="0"/>
                <w:sz w:val="24"/>
              </w:rPr>
              <w:t>单位</w:t>
            </w:r>
          </w:p>
        </w:tc>
      </w:tr>
      <w:tr w14:paraId="48E3B080">
        <w:tblPrEx>
          <w:tblCellMar>
            <w:top w:w="0" w:type="dxa"/>
            <w:left w:w="108" w:type="dxa"/>
            <w:bottom w:w="0" w:type="dxa"/>
            <w:right w:w="108" w:type="dxa"/>
          </w:tblCellMar>
        </w:tblPrEx>
        <w:trPr>
          <w:trHeight w:val="540" w:hRule="atLeast"/>
        </w:trPr>
        <w:tc>
          <w:tcPr>
            <w:tcW w:w="1011" w:type="pct"/>
            <w:tcBorders>
              <w:top w:val="single" w:color="auto" w:sz="4" w:space="0"/>
              <w:left w:val="single" w:color="auto" w:sz="4" w:space="0"/>
              <w:bottom w:val="single" w:color="auto" w:sz="4" w:space="0"/>
              <w:right w:val="single" w:color="auto" w:sz="4" w:space="0"/>
            </w:tcBorders>
            <w:shd w:val="clear" w:color="auto" w:fill="auto"/>
            <w:noWrap/>
            <w:vAlign w:val="center"/>
          </w:tcPr>
          <w:p w14:paraId="02C72843">
            <w:pPr>
              <w:widowControl/>
              <w:adjustRightInd/>
              <w:jc w:val="center"/>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1</w:t>
            </w:r>
          </w:p>
        </w:tc>
        <w:tc>
          <w:tcPr>
            <w:tcW w:w="1960" w:type="pct"/>
            <w:tcBorders>
              <w:top w:val="single" w:color="auto" w:sz="4" w:space="0"/>
              <w:left w:val="nil"/>
              <w:bottom w:val="single" w:color="auto" w:sz="4" w:space="0"/>
              <w:right w:val="single" w:color="auto" w:sz="4" w:space="0"/>
            </w:tcBorders>
            <w:shd w:val="clear" w:color="auto" w:fill="auto"/>
            <w:noWrap/>
            <w:vAlign w:val="center"/>
          </w:tcPr>
          <w:p w14:paraId="2D604E82">
            <w:pPr>
              <w:widowControl/>
              <w:adjustRightInd/>
              <w:jc w:val="center"/>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托班班级</w:t>
            </w:r>
          </w:p>
        </w:tc>
        <w:tc>
          <w:tcPr>
            <w:tcW w:w="1013" w:type="pct"/>
            <w:tcBorders>
              <w:top w:val="single" w:color="auto" w:sz="4" w:space="0"/>
              <w:left w:val="nil"/>
              <w:bottom w:val="single" w:color="auto" w:sz="4" w:space="0"/>
              <w:right w:val="single" w:color="auto" w:sz="4" w:space="0"/>
            </w:tcBorders>
            <w:shd w:val="clear" w:color="auto" w:fill="auto"/>
            <w:noWrap/>
            <w:vAlign w:val="center"/>
          </w:tcPr>
          <w:p w14:paraId="62B0A599">
            <w:pPr>
              <w:widowControl/>
              <w:adjustRightInd/>
              <w:jc w:val="center"/>
              <w:rPr>
                <w:rFonts w:hint="eastAsia" w:cs="宋体" w:asciiTheme="minorEastAsia" w:hAnsiTheme="minorEastAsia" w:eastAsiaTheme="minorEastAsia"/>
                <w:color w:val="auto"/>
                <w:kern w:val="0"/>
                <w:sz w:val="24"/>
                <w:lang w:eastAsia="zh-CN"/>
              </w:rPr>
            </w:pPr>
            <w:r>
              <w:rPr>
                <w:rFonts w:hint="eastAsia" w:cs="宋体" w:asciiTheme="minorEastAsia" w:hAnsiTheme="minorEastAsia" w:eastAsiaTheme="minorEastAsia"/>
                <w:color w:val="auto"/>
                <w:kern w:val="0"/>
                <w:sz w:val="24"/>
                <w:lang w:val="en-US" w:eastAsia="zh-CN"/>
              </w:rPr>
              <w:t>1</w:t>
            </w:r>
          </w:p>
        </w:tc>
        <w:tc>
          <w:tcPr>
            <w:tcW w:w="1015" w:type="pct"/>
            <w:tcBorders>
              <w:top w:val="single" w:color="auto" w:sz="4" w:space="0"/>
              <w:left w:val="nil"/>
              <w:bottom w:val="single" w:color="auto" w:sz="4" w:space="0"/>
              <w:right w:val="single" w:color="auto" w:sz="4" w:space="0"/>
            </w:tcBorders>
            <w:shd w:val="clear" w:color="auto" w:fill="auto"/>
            <w:noWrap/>
            <w:vAlign w:val="center"/>
          </w:tcPr>
          <w:p w14:paraId="2DCDBD4B">
            <w:pPr>
              <w:widowControl/>
              <w:adjustRightInd/>
              <w:jc w:val="center"/>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间</w:t>
            </w:r>
          </w:p>
        </w:tc>
      </w:tr>
      <w:tr w14:paraId="6B2294D4">
        <w:tblPrEx>
          <w:tblCellMar>
            <w:top w:w="0" w:type="dxa"/>
            <w:left w:w="108" w:type="dxa"/>
            <w:bottom w:w="0" w:type="dxa"/>
            <w:right w:w="108" w:type="dxa"/>
          </w:tblCellMar>
        </w:tblPrEx>
        <w:trPr>
          <w:trHeight w:val="498" w:hRule="atLeast"/>
        </w:trPr>
        <w:tc>
          <w:tcPr>
            <w:tcW w:w="1011" w:type="pct"/>
            <w:tcBorders>
              <w:top w:val="nil"/>
              <w:left w:val="single" w:color="auto" w:sz="4" w:space="0"/>
              <w:bottom w:val="single" w:color="auto" w:sz="4" w:space="0"/>
              <w:right w:val="single" w:color="auto" w:sz="4" w:space="0"/>
            </w:tcBorders>
            <w:shd w:val="clear" w:color="auto" w:fill="auto"/>
            <w:noWrap/>
            <w:vAlign w:val="center"/>
          </w:tcPr>
          <w:p w14:paraId="61F6F890">
            <w:pPr>
              <w:widowControl/>
              <w:adjustRightInd/>
              <w:jc w:val="center"/>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2</w:t>
            </w:r>
          </w:p>
        </w:tc>
        <w:tc>
          <w:tcPr>
            <w:tcW w:w="1960" w:type="pct"/>
            <w:tcBorders>
              <w:top w:val="nil"/>
              <w:left w:val="nil"/>
              <w:bottom w:val="single" w:color="auto" w:sz="4" w:space="0"/>
              <w:right w:val="single" w:color="auto" w:sz="4" w:space="0"/>
            </w:tcBorders>
            <w:shd w:val="clear" w:color="auto" w:fill="auto"/>
            <w:noWrap/>
            <w:vAlign w:val="center"/>
          </w:tcPr>
          <w:p w14:paraId="5AAA92E3">
            <w:pPr>
              <w:widowControl/>
              <w:adjustRightInd/>
              <w:jc w:val="center"/>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小班班级</w:t>
            </w:r>
          </w:p>
        </w:tc>
        <w:tc>
          <w:tcPr>
            <w:tcW w:w="1013" w:type="pct"/>
            <w:tcBorders>
              <w:top w:val="nil"/>
              <w:left w:val="nil"/>
              <w:bottom w:val="single" w:color="auto" w:sz="4" w:space="0"/>
              <w:right w:val="single" w:color="auto" w:sz="4" w:space="0"/>
            </w:tcBorders>
            <w:shd w:val="clear" w:color="auto" w:fill="auto"/>
            <w:noWrap/>
            <w:vAlign w:val="center"/>
          </w:tcPr>
          <w:p w14:paraId="5CD201DA">
            <w:pPr>
              <w:widowControl/>
              <w:adjustRightInd/>
              <w:jc w:val="center"/>
              <w:rPr>
                <w:rFonts w:hint="eastAsia" w:cs="宋体" w:asciiTheme="minorEastAsia" w:hAnsiTheme="minorEastAsia" w:eastAsiaTheme="minorEastAsia"/>
                <w:color w:val="auto"/>
                <w:kern w:val="0"/>
                <w:sz w:val="24"/>
                <w:lang w:val="en-US" w:eastAsia="zh-CN"/>
              </w:rPr>
            </w:pPr>
            <w:r>
              <w:rPr>
                <w:rFonts w:hint="eastAsia" w:cs="宋体" w:asciiTheme="minorEastAsia" w:hAnsiTheme="minorEastAsia" w:eastAsiaTheme="minorEastAsia"/>
                <w:color w:val="auto"/>
                <w:kern w:val="0"/>
                <w:sz w:val="24"/>
                <w:lang w:val="en-US" w:eastAsia="zh-CN"/>
              </w:rPr>
              <w:t>5</w:t>
            </w:r>
          </w:p>
        </w:tc>
        <w:tc>
          <w:tcPr>
            <w:tcW w:w="1015" w:type="pct"/>
            <w:tcBorders>
              <w:top w:val="nil"/>
              <w:left w:val="nil"/>
              <w:bottom w:val="single" w:color="auto" w:sz="4" w:space="0"/>
              <w:right w:val="single" w:color="auto" w:sz="4" w:space="0"/>
            </w:tcBorders>
            <w:shd w:val="clear" w:color="auto" w:fill="auto"/>
            <w:noWrap/>
            <w:vAlign w:val="center"/>
          </w:tcPr>
          <w:p w14:paraId="7F9DFDE7">
            <w:pPr>
              <w:widowControl/>
              <w:adjustRightInd/>
              <w:jc w:val="center"/>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间</w:t>
            </w:r>
          </w:p>
        </w:tc>
      </w:tr>
      <w:tr w14:paraId="6F47A398">
        <w:tblPrEx>
          <w:tblCellMar>
            <w:top w:w="0" w:type="dxa"/>
            <w:left w:w="108" w:type="dxa"/>
            <w:bottom w:w="0" w:type="dxa"/>
            <w:right w:w="108" w:type="dxa"/>
          </w:tblCellMar>
        </w:tblPrEx>
        <w:trPr>
          <w:trHeight w:val="498" w:hRule="atLeast"/>
        </w:trPr>
        <w:tc>
          <w:tcPr>
            <w:tcW w:w="1011" w:type="pct"/>
            <w:tcBorders>
              <w:top w:val="nil"/>
              <w:left w:val="single" w:color="auto" w:sz="4" w:space="0"/>
              <w:bottom w:val="single" w:color="auto" w:sz="4" w:space="0"/>
              <w:right w:val="single" w:color="auto" w:sz="4" w:space="0"/>
            </w:tcBorders>
            <w:shd w:val="clear" w:color="auto" w:fill="auto"/>
            <w:noWrap/>
            <w:vAlign w:val="center"/>
          </w:tcPr>
          <w:p w14:paraId="28B48A6B">
            <w:pPr>
              <w:widowControl/>
              <w:adjustRightInd/>
              <w:jc w:val="center"/>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3</w:t>
            </w:r>
          </w:p>
        </w:tc>
        <w:tc>
          <w:tcPr>
            <w:tcW w:w="1960" w:type="pct"/>
            <w:tcBorders>
              <w:top w:val="nil"/>
              <w:left w:val="nil"/>
              <w:bottom w:val="single" w:color="auto" w:sz="4" w:space="0"/>
              <w:right w:val="single" w:color="auto" w:sz="4" w:space="0"/>
            </w:tcBorders>
            <w:shd w:val="clear" w:color="auto" w:fill="auto"/>
            <w:noWrap/>
            <w:vAlign w:val="center"/>
          </w:tcPr>
          <w:p w14:paraId="312EF906">
            <w:pPr>
              <w:widowControl/>
              <w:adjustRightInd/>
              <w:jc w:val="center"/>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中班班级</w:t>
            </w:r>
          </w:p>
        </w:tc>
        <w:tc>
          <w:tcPr>
            <w:tcW w:w="1013" w:type="pct"/>
            <w:tcBorders>
              <w:top w:val="nil"/>
              <w:left w:val="nil"/>
              <w:bottom w:val="single" w:color="auto" w:sz="4" w:space="0"/>
              <w:right w:val="single" w:color="auto" w:sz="4" w:space="0"/>
            </w:tcBorders>
            <w:shd w:val="clear" w:color="auto" w:fill="auto"/>
            <w:noWrap/>
            <w:vAlign w:val="center"/>
          </w:tcPr>
          <w:p w14:paraId="72141FF6">
            <w:pPr>
              <w:widowControl/>
              <w:adjustRightInd/>
              <w:jc w:val="center"/>
              <w:rPr>
                <w:rFonts w:hint="eastAsia" w:cs="宋体" w:asciiTheme="minorEastAsia" w:hAnsiTheme="minorEastAsia" w:eastAsiaTheme="minorEastAsia"/>
                <w:color w:val="auto"/>
                <w:kern w:val="0"/>
                <w:sz w:val="24"/>
                <w:lang w:eastAsia="zh-CN"/>
              </w:rPr>
            </w:pPr>
            <w:r>
              <w:rPr>
                <w:rFonts w:hint="eastAsia" w:cs="宋体" w:asciiTheme="minorEastAsia" w:hAnsiTheme="minorEastAsia" w:eastAsiaTheme="minorEastAsia"/>
                <w:color w:val="auto"/>
                <w:kern w:val="0"/>
                <w:sz w:val="24"/>
                <w:lang w:val="en-US" w:eastAsia="zh-CN"/>
              </w:rPr>
              <w:t>5</w:t>
            </w:r>
          </w:p>
        </w:tc>
        <w:tc>
          <w:tcPr>
            <w:tcW w:w="1015" w:type="pct"/>
            <w:tcBorders>
              <w:top w:val="nil"/>
              <w:left w:val="nil"/>
              <w:bottom w:val="single" w:color="auto" w:sz="4" w:space="0"/>
              <w:right w:val="single" w:color="auto" w:sz="4" w:space="0"/>
            </w:tcBorders>
            <w:shd w:val="clear" w:color="auto" w:fill="auto"/>
            <w:noWrap/>
            <w:vAlign w:val="center"/>
          </w:tcPr>
          <w:p w14:paraId="091B16D5">
            <w:pPr>
              <w:widowControl/>
              <w:adjustRightInd/>
              <w:jc w:val="center"/>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间</w:t>
            </w:r>
          </w:p>
        </w:tc>
      </w:tr>
      <w:tr w14:paraId="74269353">
        <w:tblPrEx>
          <w:tblCellMar>
            <w:top w:w="0" w:type="dxa"/>
            <w:left w:w="108" w:type="dxa"/>
            <w:bottom w:w="0" w:type="dxa"/>
            <w:right w:w="108" w:type="dxa"/>
          </w:tblCellMar>
        </w:tblPrEx>
        <w:trPr>
          <w:trHeight w:val="498" w:hRule="atLeast"/>
        </w:trPr>
        <w:tc>
          <w:tcPr>
            <w:tcW w:w="1011" w:type="pct"/>
            <w:tcBorders>
              <w:top w:val="nil"/>
              <w:left w:val="single" w:color="auto" w:sz="4" w:space="0"/>
              <w:bottom w:val="single" w:color="auto" w:sz="4" w:space="0"/>
              <w:right w:val="single" w:color="auto" w:sz="4" w:space="0"/>
            </w:tcBorders>
            <w:shd w:val="clear" w:color="auto" w:fill="auto"/>
            <w:noWrap/>
            <w:vAlign w:val="center"/>
          </w:tcPr>
          <w:p w14:paraId="0055D78A">
            <w:pPr>
              <w:widowControl/>
              <w:adjustRightInd/>
              <w:jc w:val="center"/>
              <w:rPr>
                <w:rFonts w:hint="eastAsia" w:cs="宋体" w:asciiTheme="minorEastAsia" w:hAnsiTheme="minorEastAsia" w:eastAsiaTheme="minorEastAsia"/>
                <w:color w:val="auto"/>
                <w:kern w:val="0"/>
                <w:sz w:val="24"/>
                <w:lang w:eastAsia="zh-CN"/>
              </w:rPr>
            </w:pPr>
            <w:r>
              <w:rPr>
                <w:rFonts w:hint="eastAsia" w:cs="宋体" w:asciiTheme="minorEastAsia" w:hAnsiTheme="minorEastAsia" w:eastAsiaTheme="minorEastAsia"/>
                <w:color w:val="auto"/>
                <w:kern w:val="0"/>
                <w:sz w:val="24"/>
                <w:lang w:val="en-US" w:eastAsia="zh-CN"/>
              </w:rPr>
              <w:t>4</w:t>
            </w:r>
          </w:p>
        </w:tc>
        <w:tc>
          <w:tcPr>
            <w:tcW w:w="1960" w:type="pct"/>
            <w:tcBorders>
              <w:top w:val="nil"/>
              <w:left w:val="nil"/>
              <w:bottom w:val="single" w:color="auto" w:sz="4" w:space="0"/>
              <w:right w:val="single" w:color="auto" w:sz="4" w:space="0"/>
            </w:tcBorders>
            <w:shd w:val="clear" w:color="auto" w:fill="auto"/>
            <w:noWrap/>
            <w:vAlign w:val="center"/>
          </w:tcPr>
          <w:p w14:paraId="783A6B72">
            <w:pPr>
              <w:widowControl/>
              <w:adjustRightInd/>
              <w:jc w:val="center"/>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共享空间</w:t>
            </w:r>
          </w:p>
        </w:tc>
        <w:tc>
          <w:tcPr>
            <w:tcW w:w="1013" w:type="pct"/>
            <w:tcBorders>
              <w:top w:val="nil"/>
              <w:left w:val="nil"/>
              <w:bottom w:val="single" w:color="auto" w:sz="4" w:space="0"/>
              <w:right w:val="single" w:color="auto" w:sz="4" w:space="0"/>
            </w:tcBorders>
            <w:shd w:val="clear" w:color="auto" w:fill="auto"/>
            <w:noWrap/>
            <w:vAlign w:val="center"/>
          </w:tcPr>
          <w:p w14:paraId="7438FBF5">
            <w:pPr>
              <w:widowControl/>
              <w:adjustRightInd/>
              <w:jc w:val="center"/>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1</w:t>
            </w:r>
          </w:p>
        </w:tc>
        <w:tc>
          <w:tcPr>
            <w:tcW w:w="1015" w:type="pct"/>
            <w:tcBorders>
              <w:top w:val="nil"/>
              <w:left w:val="nil"/>
              <w:bottom w:val="single" w:color="auto" w:sz="4" w:space="0"/>
              <w:right w:val="single" w:color="auto" w:sz="4" w:space="0"/>
            </w:tcBorders>
            <w:shd w:val="clear" w:color="auto" w:fill="auto"/>
            <w:noWrap/>
            <w:vAlign w:val="center"/>
          </w:tcPr>
          <w:p w14:paraId="4926E4DB">
            <w:pPr>
              <w:widowControl/>
              <w:adjustRightInd/>
              <w:jc w:val="center"/>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间</w:t>
            </w:r>
          </w:p>
        </w:tc>
      </w:tr>
    </w:tbl>
    <w:p w14:paraId="64DFD155">
      <w:pPr>
        <w:spacing w:line="360" w:lineRule="auto"/>
        <w:ind w:firstLine="181" w:firstLineChars="50"/>
        <w:rPr>
          <w:rFonts w:ascii="宋体" w:hAnsi="宋体" w:cs="宋体"/>
          <w:b/>
          <w:color w:val="auto"/>
          <w:sz w:val="36"/>
          <w:szCs w:val="36"/>
        </w:rPr>
      </w:pPr>
    </w:p>
    <w:p w14:paraId="7E19CAD9">
      <w:pPr>
        <w:spacing w:line="360" w:lineRule="auto"/>
        <w:rPr>
          <w:rFonts w:ascii="宋体" w:hAnsi="宋体" w:cs="宋体"/>
          <w:color w:val="auto"/>
          <w:sz w:val="24"/>
        </w:rPr>
      </w:pPr>
    </w:p>
    <w:p w14:paraId="556AFAB6">
      <w:pPr>
        <w:widowControl/>
        <w:ind w:firstLine="720" w:firstLineChars="300"/>
        <w:jc w:val="left"/>
        <w:rPr>
          <w:rFonts w:ascii="宋体" w:hAnsi="宋体" w:cs="宋体"/>
          <w:bCs/>
          <w:color w:val="auto"/>
          <w:sz w:val="24"/>
        </w:rPr>
      </w:pPr>
    </w:p>
    <w:p w14:paraId="181F9D4E">
      <w:pPr>
        <w:rPr>
          <w:rFonts w:ascii="宋体" w:hAnsi="宋体" w:cs="宋体"/>
          <w:snapToGrid w:val="0"/>
          <w:color w:val="auto"/>
          <w:kern w:val="0"/>
          <w:sz w:val="24"/>
        </w:rPr>
      </w:pPr>
    </w:p>
    <w:p w14:paraId="04E879AA">
      <w:pPr>
        <w:spacing w:line="360" w:lineRule="auto"/>
        <w:jc w:val="center"/>
        <w:outlineLvl w:val="0"/>
        <w:rPr>
          <w:rFonts w:hint="eastAsia" w:ascii="宋体" w:hAnsi="宋体" w:cs="宋体"/>
          <w:b/>
          <w:color w:val="auto"/>
          <w:sz w:val="24"/>
        </w:rPr>
      </w:pPr>
      <w:r>
        <w:rPr>
          <w:rFonts w:hint="eastAsia" w:ascii="宋体" w:hAnsi="宋体" w:cs="宋体"/>
          <w:b/>
          <w:color w:val="auto"/>
          <w:sz w:val="24"/>
        </w:rPr>
        <w:br w:type="page"/>
      </w:r>
    </w:p>
    <w:p w14:paraId="78444E99">
      <w:pPr>
        <w:spacing w:line="360" w:lineRule="auto"/>
        <w:jc w:val="center"/>
        <w:outlineLvl w:val="0"/>
        <w:rPr>
          <w:rFonts w:hint="eastAsia" w:ascii="宋体" w:hAnsi="宋体" w:cs="宋体"/>
          <w:b/>
          <w:color w:val="auto"/>
          <w:sz w:val="24"/>
        </w:rPr>
        <w:sectPr>
          <w:headerReference r:id="rId8" w:type="default"/>
          <w:footerReference r:id="rId9"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tbl>
      <w:tblPr>
        <w:tblStyle w:val="62"/>
        <w:tblW w:w="1281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50"/>
        <w:gridCol w:w="1544"/>
        <w:gridCol w:w="2500"/>
        <w:gridCol w:w="5681"/>
        <w:gridCol w:w="1170"/>
        <w:gridCol w:w="1170"/>
      </w:tblGrid>
      <w:tr w14:paraId="1DD21B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7" w:hRule="atLeast"/>
          <w:jc w:val="center"/>
        </w:trPr>
        <w:tc>
          <w:tcPr>
            <w:tcW w:w="1281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254C6E">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1、托班班级玩具</w:t>
            </w:r>
          </w:p>
        </w:tc>
      </w:tr>
      <w:tr w14:paraId="04713A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59B847">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序号</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29D13C">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名称</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9B264">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参考图片</w:t>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3C1606">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参数规格</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9CC8B2">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数量</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3BF287">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单位</w:t>
            </w:r>
          </w:p>
        </w:tc>
      </w:tr>
      <w:tr w14:paraId="7AC748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91"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EF8D7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CEF2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帐篷</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DE08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260350</wp:posOffset>
                  </wp:positionH>
                  <wp:positionV relativeFrom="paragraph">
                    <wp:posOffset>80010</wp:posOffset>
                  </wp:positionV>
                  <wp:extent cx="850900" cy="793115"/>
                  <wp:effectExtent l="0" t="0" r="0" b="6985"/>
                  <wp:wrapNone/>
                  <wp:docPr id="124" name="图片_80"/>
                  <wp:cNvGraphicFramePr/>
                  <a:graphic xmlns:a="http://schemas.openxmlformats.org/drawingml/2006/main">
                    <a:graphicData uri="http://schemas.openxmlformats.org/drawingml/2006/picture">
                      <pic:pic xmlns:pic="http://schemas.openxmlformats.org/drawingml/2006/picture">
                        <pic:nvPicPr>
                          <pic:cNvPr id="124" name="图片_80"/>
                          <pic:cNvPicPr/>
                        </pic:nvPicPr>
                        <pic:blipFill>
                          <a:blip r:embed="rId28"/>
                          <a:stretch>
                            <a:fillRect/>
                          </a:stretch>
                        </pic:blipFill>
                        <pic:spPr>
                          <a:xfrm>
                            <a:off x="0" y="0"/>
                            <a:ext cx="850900" cy="79311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57F0B8">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120*120*137全棉帆布</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3A7F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1 </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8FC1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个</w:t>
            </w:r>
          </w:p>
        </w:tc>
      </w:tr>
      <w:tr w14:paraId="70D879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16"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415E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544" w:type="dxa"/>
            <w:tcBorders>
              <w:top w:val="nil"/>
              <w:left w:val="single" w:color="000000" w:sz="4" w:space="0"/>
              <w:bottom w:val="nil"/>
              <w:right w:val="single" w:color="000000" w:sz="4" w:space="0"/>
            </w:tcBorders>
            <w:shd w:val="clear" w:color="auto" w:fill="auto"/>
            <w:vAlign w:val="center"/>
          </w:tcPr>
          <w:p w14:paraId="552900E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小医生包</w:t>
            </w:r>
          </w:p>
        </w:tc>
        <w:tc>
          <w:tcPr>
            <w:tcW w:w="2500" w:type="dxa"/>
            <w:tcBorders>
              <w:top w:val="nil"/>
              <w:left w:val="single" w:color="000000" w:sz="4" w:space="0"/>
              <w:bottom w:val="nil"/>
              <w:right w:val="single" w:color="000000" w:sz="4" w:space="0"/>
            </w:tcBorders>
            <w:shd w:val="clear" w:color="auto" w:fill="auto"/>
            <w:noWrap/>
            <w:vAlign w:val="center"/>
          </w:tcPr>
          <w:p w14:paraId="058233F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316230</wp:posOffset>
                  </wp:positionH>
                  <wp:positionV relativeFrom="paragraph">
                    <wp:posOffset>95885</wp:posOffset>
                  </wp:positionV>
                  <wp:extent cx="826135" cy="890270"/>
                  <wp:effectExtent l="0" t="0" r="12065" b="11430"/>
                  <wp:wrapNone/>
                  <wp:docPr id="132" name="图片_103"/>
                  <wp:cNvGraphicFramePr/>
                  <a:graphic xmlns:a="http://schemas.openxmlformats.org/drawingml/2006/main">
                    <a:graphicData uri="http://schemas.openxmlformats.org/drawingml/2006/picture">
                      <pic:pic xmlns:pic="http://schemas.openxmlformats.org/drawingml/2006/picture">
                        <pic:nvPicPr>
                          <pic:cNvPr id="132" name="图片_103"/>
                          <pic:cNvPicPr/>
                        </pic:nvPicPr>
                        <pic:blipFill>
                          <a:blip r:embed="rId29"/>
                          <a:stretch>
                            <a:fillRect/>
                          </a:stretch>
                        </pic:blipFill>
                        <pic:spPr>
                          <a:xfrm>
                            <a:off x="0" y="0"/>
                            <a:ext cx="826135" cy="890270"/>
                          </a:xfrm>
                          <a:prstGeom prst="rect">
                            <a:avLst/>
                          </a:prstGeom>
                          <a:noFill/>
                          <a:ln>
                            <a:noFill/>
                          </a:ln>
                        </pic:spPr>
                      </pic:pic>
                    </a:graphicData>
                  </a:graphic>
                </wp:anchor>
              </w:drawing>
            </w:r>
          </w:p>
        </w:tc>
        <w:tc>
          <w:tcPr>
            <w:tcW w:w="5681" w:type="dxa"/>
            <w:tcBorders>
              <w:top w:val="nil"/>
              <w:left w:val="single" w:color="000000" w:sz="4" w:space="0"/>
              <w:bottom w:val="nil"/>
              <w:right w:val="single" w:color="000000" w:sz="4" w:space="0"/>
            </w:tcBorders>
            <w:shd w:val="clear" w:color="auto" w:fill="auto"/>
            <w:vAlign w:val="center"/>
          </w:tcPr>
          <w:p w14:paraId="279689A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材质：ABS尺寸：包长约17cm，高约12.7cm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内含听诊器、注射器、绷带、耳镜、温度计和收纳医用包。帮助幼儿认知医生常用的工具及其功能，用于开展扮演游戏，提升幼儿社会交往能力。</w:t>
            </w:r>
          </w:p>
        </w:tc>
        <w:tc>
          <w:tcPr>
            <w:tcW w:w="1170" w:type="dxa"/>
            <w:tcBorders>
              <w:top w:val="nil"/>
              <w:left w:val="single" w:color="000000" w:sz="4" w:space="0"/>
              <w:bottom w:val="nil"/>
              <w:right w:val="single" w:color="000000" w:sz="4" w:space="0"/>
            </w:tcBorders>
            <w:shd w:val="clear" w:color="auto" w:fill="auto"/>
            <w:vAlign w:val="center"/>
          </w:tcPr>
          <w:p w14:paraId="54B45A6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nil"/>
              <w:left w:val="single" w:color="000000" w:sz="4" w:space="0"/>
              <w:bottom w:val="nil"/>
              <w:right w:val="single" w:color="000000" w:sz="4" w:space="0"/>
            </w:tcBorders>
            <w:shd w:val="clear" w:color="auto" w:fill="auto"/>
            <w:noWrap/>
            <w:vAlign w:val="center"/>
          </w:tcPr>
          <w:p w14:paraId="67FA34E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2EB8C4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87"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4F90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C9011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梳妆扮演组</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59010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262255</wp:posOffset>
                  </wp:positionH>
                  <wp:positionV relativeFrom="paragraph">
                    <wp:posOffset>45720</wp:posOffset>
                  </wp:positionV>
                  <wp:extent cx="903605" cy="847090"/>
                  <wp:effectExtent l="0" t="0" r="10795" b="3810"/>
                  <wp:wrapNone/>
                  <wp:docPr id="127" name="图片_1"/>
                  <wp:cNvGraphicFramePr/>
                  <a:graphic xmlns:a="http://schemas.openxmlformats.org/drawingml/2006/main">
                    <a:graphicData uri="http://schemas.openxmlformats.org/drawingml/2006/picture">
                      <pic:pic xmlns:pic="http://schemas.openxmlformats.org/drawingml/2006/picture">
                        <pic:nvPicPr>
                          <pic:cNvPr id="127" name="图片_1"/>
                          <pic:cNvPicPr/>
                        </pic:nvPicPr>
                        <pic:blipFill>
                          <a:blip r:embed="rId30"/>
                          <a:stretch>
                            <a:fillRect/>
                          </a:stretch>
                        </pic:blipFill>
                        <pic:spPr>
                          <a:xfrm>
                            <a:off x="0" y="0"/>
                            <a:ext cx="903605" cy="84709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4EC31">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材质：木制。尺寸：梳妆台30×18×32cm。通过扮演游戏，培养幼儿的审美能力与社交能力，充分地满足幼儿想要模仿成人的心理需求。</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16448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7DAC2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1EDBE0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831E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w:t>
            </w:r>
          </w:p>
        </w:tc>
        <w:tc>
          <w:tcPr>
            <w:tcW w:w="1544" w:type="dxa"/>
            <w:tcBorders>
              <w:top w:val="nil"/>
              <w:left w:val="single" w:color="000000" w:sz="4" w:space="0"/>
              <w:bottom w:val="single" w:color="000000" w:sz="4" w:space="0"/>
              <w:right w:val="single" w:color="000000" w:sz="4" w:space="0"/>
            </w:tcBorders>
            <w:shd w:val="clear" w:color="auto" w:fill="auto"/>
            <w:vAlign w:val="center"/>
          </w:tcPr>
          <w:p w14:paraId="62DDD4B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TOLO野生动物朋友</w:t>
            </w:r>
          </w:p>
        </w:tc>
        <w:tc>
          <w:tcPr>
            <w:tcW w:w="2500" w:type="dxa"/>
            <w:tcBorders>
              <w:top w:val="nil"/>
              <w:left w:val="single" w:color="000000" w:sz="4" w:space="0"/>
              <w:bottom w:val="single" w:color="000000" w:sz="4" w:space="0"/>
              <w:right w:val="single" w:color="000000" w:sz="4" w:space="0"/>
            </w:tcBorders>
            <w:shd w:val="clear" w:color="auto" w:fill="auto"/>
            <w:vAlign w:val="center"/>
          </w:tcPr>
          <w:p w14:paraId="53735E6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274320</wp:posOffset>
                  </wp:positionH>
                  <wp:positionV relativeFrom="paragraph">
                    <wp:posOffset>73025</wp:posOffset>
                  </wp:positionV>
                  <wp:extent cx="1030605" cy="953770"/>
                  <wp:effectExtent l="0" t="0" r="10795" b="11430"/>
                  <wp:wrapNone/>
                  <wp:docPr id="131" name="图片_151"/>
                  <wp:cNvGraphicFramePr/>
                  <a:graphic xmlns:a="http://schemas.openxmlformats.org/drawingml/2006/main">
                    <a:graphicData uri="http://schemas.openxmlformats.org/drawingml/2006/picture">
                      <pic:pic xmlns:pic="http://schemas.openxmlformats.org/drawingml/2006/picture">
                        <pic:nvPicPr>
                          <pic:cNvPr id="131" name="图片_151"/>
                          <pic:cNvPicPr/>
                        </pic:nvPicPr>
                        <pic:blipFill>
                          <a:blip r:embed="rId31"/>
                          <a:stretch>
                            <a:fillRect/>
                          </a:stretch>
                        </pic:blipFill>
                        <pic:spPr>
                          <a:xfrm>
                            <a:off x="0" y="0"/>
                            <a:ext cx="1030605" cy="953770"/>
                          </a:xfrm>
                          <a:prstGeom prst="rect">
                            <a:avLst/>
                          </a:prstGeom>
                          <a:noFill/>
                          <a:ln>
                            <a:noFill/>
                          </a:ln>
                        </pic:spPr>
                      </pic:pic>
                    </a:graphicData>
                  </a:graphic>
                </wp:anchor>
              </w:drawing>
            </w:r>
          </w:p>
        </w:tc>
        <w:tc>
          <w:tcPr>
            <w:tcW w:w="5681" w:type="dxa"/>
            <w:tcBorders>
              <w:top w:val="nil"/>
              <w:left w:val="single" w:color="000000" w:sz="4" w:space="0"/>
              <w:bottom w:val="single" w:color="000000" w:sz="4" w:space="0"/>
              <w:right w:val="single" w:color="000000" w:sz="4" w:space="0"/>
            </w:tcBorders>
            <w:shd w:val="clear" w:color="auto" w:fill="auto"/>
            <w:vAlign w:val="center"/>
          </w:tcPr>
          <w:p w14:paraId="44EC9E91">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1.产品尺寸：汽车尺寸：270×150×160mm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 xml:space="preserve">2.配件说明：1个男管理员；1个女管理员；1辆吉普车；1头大象；1只长颈鹿；1头狮子；1只河马；1条鳄鱼；1条蛇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3.产品材质：ABS新料</w:t>
            </w:r>
          </w:p>
        </w:tc>
        <w:tc>
          <w:tcPr>
            <w:tcW w:w="1170" w:type="dxa"/>
            <w:tcBorders>
              <w:top w:val="nil"/>
              <w:left w:val="single" w:color="000000" w:sz="4" w:space="0"/>
              <w:bottom w:val="single" w:color="000000" w:sz="4" w:space="0"/>
              <w:right w:val="single" w:color="000000" w:sz="4" w:space="0"/>
            </w:tcBorders>
            <w:shd w:val="clear" w:color="auto" w:fill="auto"/>
            <w:vAlign w:val="center"/>
          </w:tcPr>
          <w:p w14:paraId="3C18F7D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nil"/>
              <w:left w:val="single" w:color="000000" w:sz="4" w:space="0"/>
              <w:bottom w:val="single" w:color="000000" w:sz="4" w:space="0"/>
              <w:right w:val="single" w:color="000000" w:sz="4" w:space="0"/>
            </w:tcBorders>
            <w:shd w:val="clear" w:color="auto" w:fill="auto"/>
            <w:noWrap/>
            <w:vAlign w:val="center"/>
          </w:tcPr>
          <w:p w14:paraId="129AB46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72DC2C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3E28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01F1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专业小厨师</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771B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304165</wp:posOffset>
                  </wp:positionH>
                  <wp:positionV relativeFrom="paragraph">
                    <wp:posOffset>106045</wp:posOffset>
                  </wp:positionV>
                  <wp:extent cx="924560" cy="826135"/>
                  <wp:effectExtent l="0" t="0" r="2540" b="12065"/>
                  <wp:wrapNone/>
                  <wp:docPr id="130" name="图片_116"/>
                  <wp:cNvGraphicFramePr/>
                  <a:graphic xmlns:a="http://schemas.openxmlformats.org/drawingml/2006/main">
                    <a:graphicData uri="http://schemas.openxmlformats.org/drawingml/2006/picture">
                      <pic:pic xmlns:pic="http://schemas.openxmlformats.org/drawingml/2006/picture">
                        <pic:nvPicPr>
                          <pic:cNvPr id="130" name="图片_116"/>
                          <pic:cNvPicPr/>
                        </pic:nvPicPr>
                        <pic:blipFill>
                          <a:blip r:embed="rId32"/>
                          <a:stretch>
                            <a:fillRect/>
                          </a:stretch>
                        </pic:blipFill>
                        <pic:spPr>
                          <a:xfrm>
                            <a:off x="0" y="0"/>
                            <a:ext cx="924560" cy="82613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D267D5">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材质：ABS、HIPS、GPPS、GP尺寸：最大（锅）长约14cm，高约7cm。配置：包括豪华汤锅×1、平底锅×1、盖×2、煎锅×1、锅铲×1、勺子×1、抹刀×1、微波炉手套×1、鸡腿×1、胡萝卜×1、玉米×1、荷包蛋×1。</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学习烹煮食物、认识食物的营养价值，激发想象力，培养良好的社会交往能力。</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58C0E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6648F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21CF93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6EFE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D8DD7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味水果切切乐</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A6CD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173355</wp:posOffset>
                  </wp:positionH>
                  <wp:positionV relativeFrom="paragraph">
                    <wp:posOffset>22225</wp:posOffset>
                  </wp:positionV>
                  <wp:extent cx="857250" cy="857250"/>
                  <wp:effectExtent l="0" t="0" r="6350" b="6350"/>
                  <wp:wrapNone/>
                  <wp:docPr id="119" name="图片_117"/>
                  <wp:cNvGraphicFramePr/>
                  <a:graphic xmlns:a="http://schemas.openxmlformats.org/drawingml/2006/main">
                    <a:graphicData uri="http://schemas.openxmlformats.org/drawingml/2006/picture">
                      <pic:pic xmlns:pic="http://schemas.openxmlformats.org/drawingml/2006/picture">
                        <pic:nvPicPr>
                          <pic:cNvPr id="119" name="图片_117"/>
                          <pic:cNvPicPr/>
                        </pic:nvPicPr>
                        <pic:blipFill>
                          <a:blip r:embed="rId33"/>
                          <a:stretch>
                            <a:fillRect/>
                          </a:stretch>
                        </pic:blipFill>
                        <pic:spPr>
                          <a:xfrm>
                            <a:off x="0" y="0"/>
                            <a:ext cx="857250" cy="857250"/>
                          </a:xfrm>
                          <a:prstGeom prst="rect">
                            <a:avLst/>
                          </a:prstGeom>
                          <a:noFill/>
                          <a:ln>
                            <a:noFill/>
                          </a:ln>
                        </pic:spPr>
                      </pic:pic>
                    </a:graphicData>
                  </a:graphic>
                </wp:anchor>
              </w:drawing>
            </w: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209550</wp:posOffset>
                  </wp:positionH>
                  <wp:positionV relativeFrom="paragraph">
                    <wp:posOffset>100330</wp:posOffset>
                  </wp:positionV>
                  <wp:extent cx="941705" cy="796290"/>
                  <wp:effectExtent l="0" t="0" r="10795" b="3810"/>
                  <wp:wrapNone/>
                  <wp:docPr id="133" name="图片_159"/>
                  <wp:cNvGraphicFramePr/>
                  <a:graphic xmlns:a="http://schemas.openxmlformats.org/drawingml/2006/main">
                    <a:graphicData uri="http://schemas.openxmlformats.org/drawingml/2006/picture">
                      <pic:pic xmlns:pic="http://schemas.openxmlformats.org/drawingml/2006/picture">
                        <pic:nvPicPr>
                          <pic:cNvPr id="133" name="图片_159"/>
                          <pic:cNvPicPr/>
                        </pic:nvPicPr>
                        <pic:blipFill>
                          <a:blip r:embed="rId34"/>
                          <a:stretch>
                            <a:fillRect/>
                          </a:stretch>
                        </pic:blipFill>
                        <pic:spPr>
                          <a:xfrm>
                            <a:off x="0" y="0"/>
                            <a:ext cx="941705" cy="79629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66B9A">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1.包装尺寸：255×245×60mm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 xml:space="preserve">2.配件说明：1个苹果、1个橙子、2个草莓、1个西瓜、1个梨、1个香蕉、1把刀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3.产品材质：木、MDF、EVA、ABS、HDPE、硅胶</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79B2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1E171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201AAA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B3339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7</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7C71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职业人物手掌偶</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3664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237490</wp:posOffset>
                  </wp:positionH>
                  <wp:positionV relativeFrom="paragraph">
                    <wp:posOffset>111125</wp:posOffset>
                  </wp:positionV>
                  <wp:extent cx="1062355" cy="892810"/>
                  <wp:effectExtent l="0" t="0" r="4445" b="8890"/>
                  <wp:wrapNone/>
                  <wp:docPr id="125" name="Picture_3"/>
                  <wp:cNvGraphicFramePr/>
                  <a:graphic xmlns:a="http://schemas.openxmlformats.org/drawingml/2006/main">
                    <a:graphicData uri="http://schemas.openxmlformats.org/drawingml/2006/picture">
                      <pic:pic xmlns:pic="http://schemas.openxmlformats.org/drawingml/2006/picture">
                        <pic:nvPicPr>
                          <pic:cNvPr id="125" name="Picture_3"/>
                          <pic:cNvPicPr/>
                        </pic:nvPicPr>
                        <pic:blipFill>
                          <a:blip r:embed="rId35"/>
                          <a:stretch>
                            <a:fillRect/>
                          </a:stretch>
                        </pic:blipFill>
                        <pic:spPr>
                          <a:xfrm>
                            <a:off x="0" y="0"/>
                            <a:ext cx="1062355" cy="89281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570C17">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规格：8 个/ 套，约25cm 高</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材质：剪毛绒、布</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8 种职业，包括：护士、厨师、消防员、邮递员、工人、学生、医生、警察。</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4E38B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DDEE0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60A588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D525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8</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D86B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男女娃娃套装</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2916A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234950</wp:posOffset>
                  </wp:positionH>
                  <wp:positionV relativeFrom="paragraph">
                    <wp:posOffset>12065</wp:posOffset>
                  </wp:positionV>
                  <wp:extent cx="1005840" cy="1009650"/>
                  <wp:effectExtent l="0" t="0" r="10160" b="6350"/>
                  <wp:wrapNone/>
                  <wp:docPr id="134" name="图片_118"/>
                  <wp:cNvGraphicFramePr/>
                  <a:graphic xmlns:a="http://schemas.openxmlformats.org/drawingml/2006/main">
                    <a:graphicData uri="http://schemas.openxmlformats.org/drawingml/2006/picture">
                      <pic:pic xmlns:pic="http://schemas.openxmlformats.org/drawingml/2006/picture">
                        <pic:nvPicPr>
                          <pic:cNvPr id="134" name="图片_118"/>
                          <pic:cNvPicPr/>
                        </pic:nvPicPr>
                        <pic:blipFill>
                          <a:blip r:embed="rId36"/>
                          <a:stretch>
                            <a:fillRect/>
                          </a:stretch>
                        </pic:blipFill>
                        <pic:spPr>
                          <a:xfrm>
                            <a:off x="0" y="0"/>
                            <a:ext cx="1005840" cy="100965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05C119">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材质：塑料。产品尺寸：约39*16.5*11cm。包装尺寸：约：40.8*33.7*11cm。规格：4。产品组成配置：男娃*1，女娃*1，娃娃衣服*2。纸箱。</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2C7C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817F2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4BF592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A79C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9</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7E099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苹果桶</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88AC6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412115</wp:posOffset>
                  </wp:positionH>
                  <wp:positionV relativeFrom="paragraph">
                    <wp:posOffset>156845</wp:posOffset>
                  </wp:positionV>
                  <wp:extent cx="865505" cy="865505"/>
                  <wp:effectExtent l="0" t="0" r="10795" b="10795"/>
                  <wp:wrapNone/>
                  <wp:docPr id="128" name="图片_121"/>
                  <wp:cNvGraphicFramePr/>
                  <a:graphic xmlns:a="http://schemas.openxmlformats.org/drawingml/2006/main">
                    <a:graphicData uri="http://schemas.openxmlformats.org/drawingml/2006/picture">
                      <pic:pic xmlns:pic="http://schemas.openxmlformats.org/drawingml/2006/picture">
                        <pic:nvPicPr>
                          <pic:cNvPr id="128" name="图片_121"/>
                          <pic:cNvPicPr/>
                        </pic:nvPicPr>
                        <pic:blipFill>
                          <a:blip r:embed="rId37"/>
                          <a:stretch>
                            <a:fillRect/>
                          </a:stretch>
                        </pic:blipFill>
                        <pic:spPr>
                          <a:xfrm>
                            <a:off x="0" y="0"/>
                            <a:ext cx="865505" cy="86550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AA7A7">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TPE尺寸：最大约4.4cm包括27个苹果和“活动指南”，其中建议使用Venn图来提高高级思维能力。大小苹果套装，可以学习观察、比较、分类、计数的基础概念，例如观察大小、颜色、是否有虫、是否有叶子、是否有蒂头等。也可以作为社会扮演活动的辅助道具。</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7B1BB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97D65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0E4AFD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4A49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10</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77F7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毛毛虫游戏</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1B21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420370</wp:posOffset>
                  </wp:positionH>
                  <wp:positionV relativeFrom="paragraph">
                    <wp:posOffset>70485</wp:posOffset>
                  </wp:positionV>
                  <wp:extent cx="640080" cy="871220"/>
                  <wp:effectExtent l="0" t="0" r="7620" b="5080"/>
                  <wp:wrapNone/>
                  <wp:docPr id="129" name="图片_146"/>
                  <wp:cNvGraphicFramePr/>
                  <a:graphic xmlns:a="http://schemas.openxmlformats.org/drawingml/2006/main">
                    <a:graphicData uri="http://schemas.openxmlformats.org/drawingml/2006/picture">
                      <pic:pic xmlns:pic="http://schemas.openxmlformats.org/drawingml/2006/picture">
                        <pic:nvPicPr>
                          <pic:cNvPr id="129" name="图片_146"/>
                          <pic:cNvPicPr/>
                        </pic:nvPicPr>
                        <pic:blipFill>
                          <a:blip r:embed="rId38"/>
                          <a:stretch>
                            <a:fillRect/>
                          </a:stretch>
                        </pic:blipFill>
                        <pic:spPr>
                          <a:xfrm>
                            <a:off x="0" y="0"/>
                            <a:ext cx="640080" cy="87122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D5C9D">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1.产品尺寸：240×240×65mm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 xml:space="preserve">2.配件说明：4条毛毛虫,42块木块,2颗骰子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3.产品材质：荷木</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AEAF0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0113A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54D517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AAC4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11</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197D2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奇幻小火车</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01CC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339725</wp:posOffset>
                  </wp:positionH>
                  <wp:positionV relativeFrom="paragraph">
                    <wp:posOffset>198120</wp:posOffset>
                  </wp:positionV>
                  <wp:extent cx="936625" cy="739140"/>
                  <wp:effectExtent l="0" t="0" r="3175" b="10160"/>
                  <wp:wrapNone/>
                  <wp:docPr id="135" name="图片_160"/>
                  <wp:cNvGraphicFramePr/>
                  <a:graphic xmlns:a="http://schemas.openxmlformats.org/drawingml/2006/main">
                    <a:graphicData uri="http://schemas.openxmlformats.org/drawingml/2006/picture">
                      <pic:pic xmlns:pic="http://schemas.openxmlformats.org/drawingml/2006/picture">
                        <pic:nvPicPr>
                          <pic:cNvPr id="135" name="图片_160"/>
                          <pic:cNvPicPr/>
                        </pic:nvPicPr>
                        <pic:blipFill>
                          <a:blip r:embed="rId39"/>
                          <a:stretch>
                            <a:fillRect/>
                          </a:stretch>
                        </pic:blipFill>
                        <pic:spPr>
                          <a:xfrm>
                            <a:off x="0" y="0"/>
                            <a:ext cx="936625" cy="73914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75231">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1.产品尺寸：405×120×82mm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 xml:space="preserve">2.配件说明：3 节小火车，14 个积木块。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3.产品材质：荷木、椴木</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AE08F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E20C3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0EBB39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CF24C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12</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FBF6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农场套装</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AE96F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137795</wp:posOffset>
                  </wp:positionH>
                  <wp:positionV relativeFrom="paragraph">
                    <wp:posOffset>145415</wp:posOffset>
                  </wp:positionV>
                  <wp:extent cx="1071245" cy="646430"/>
                  <wp:effectExtent l="0" t="0" r="8255" b="1270"/>
                  <wp:wrapNone/>
                  <wp:docPr id="113" name="图片_16"/>
                  <wp:cNvGraphicFramePr/>
                  <a:graphic xmlns:a="http://schemas.openxmlformats.org/drawingml/2006/main">
                    <a:graphicData uri="http://schemas.openxmlformats.org/drawingml/2006/picture">
                      <pic:pic xmlns:pic="http://schemas.openxmlformats.org/drawingml/2006/picture">
                        <pic:nvPicPr>
                          <pic:cNvPr id="113" name="图片_16"/>
                          <pic:cNvPicPr/>
                        </pic:nvPicPr>
                        <pic:blipFill>
                          <a:blip r:embed="rId40"/>
                          <a:stretch>
                            <a:fillRect/>
                          </a:stretch>
                        </pic:blipFill>
                        <pic:spPr>
                          <a:xfrm>
                            <a:off x="0" y="0"/>
                            <a:ext cx="1071245" cy="64643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C0DE9">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1、产品材质：ABS。</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2、产品尺寸：包装盒457x254x184H mm。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3、产品配件：、1个农民、1个拖拉机、1个拖车、1辆马车车厢、1匹马、1只羊、1头猪、1只猫、1只狗、1头奶牛、1个食槽、4个栅栏、2棵树、3个干草垛。</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4、产品介绍：这个活泼；繁华的农场可以帮助儿童发现他们最喜欢的农场动物，通过互动；比较和分类给予了孩子无穷想象的游戏机会。儿童需要开始在农场周围开始“劳动”，包括开拖拉机，如何运输马匹，搭建猪棚和安顿好其他小动物。(拖拉机不能安装电池，请忽略底部的电池预留位置。)</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A84E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88689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4E9351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FC584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13</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58A21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厨房玩具-元气早餐</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3EC2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398780</wp:posOffset>
                  </wp:positionH>
                  <wp:positionV relativeFrom="paragraph">
                    <wp:posOffset>90805</wp:posOffset>
                  </wp:positionV>
                  <wp:extent cx="887095" cy="950595"/>
                  <wp:effectExtent l="0" t="0" r="1905" b="1905"/>
                  <wp:wrapNone/>
                  <wp:docPr id="116" name="图片_153"/>
                  <wp:cNvGraphicFramePr/>
                  <a:graphic xmlns:a="http://schemas.openxmlformats.org/drawingml/2006/main">
                    <a:graphicData uri="http://schemas.openxmlformats.org/drawingml/2006/picture">
                      <pic:pic xmlns:pic="http://schemas.openxmlformats.org/drawingml/2006/picture">
                        <pic:nvPicPr>
                          <pic:cNvPr id="116" name="图片_153"/>
                          <pic:cNvPicPr/>
                        </pic:nvPicPr>
                        <pic:blipFill>
                          <a:blip r:embed="rId41"/>
                          <a:stretch>
                            <a:fillRect/>
                          </a:stretch>
                        </pic:blipFill>
                        <pic:spPr>
                          <a:xfrm>
                            <a:off x="0" y="0"/>
                            <a:ext cx="887095" cy="95059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A39773">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1.包装尺寸：305×245×75mm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 xml:space="preserve">2.配件说明：1个碗、1片麦片、1杯蓝莓酸奶、2片面包、1盒牛奶、1瓶果汁、1个蛋托、1个鸡蛋、1个勺子、1个番茄毛毡、1个蔬菜毛毡、1个奶酪毛毡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3.产品材质：木、MDF、胶合板、ABS、毛毡、纸</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C2AC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D1CB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6FE968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D2B73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14</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126C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蔬菜篮</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CAACD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259080</wp:posOffset>
                  </wp:positionH>
                  <wp:positionV relativeFrom="paragraph">
                    <wp:posOffset>35560</wp:posOffset>
                  </wp:positionV>
                  <wp:extent cx="632460" cy="0"/>
                  <wp:effectExtent l="0" t="0" r="0" b="0"/>
                  <wp:wrapNone/>
                  <wp:docPr id="114" name="图片_154"/>
                  <wp:cNvGraphicFramePr/>
                  <a:graphic xmlns:a="http://schemas.openxmlformats.org/drawingml/2006/main">
                    <a:graphicData uri="http://schemas.openxmlformats.org/drawingml/2006/picture">
                      <pic:pic xmlns:pic="http://schemas.openxmlformats.org/drawingml/2006/picture">
                        <pic:nvPicPr>
                          <pic:cNvPr id="114" name="图片_154"/>
                          <pic:cNvPicPr/>
                        </pic:nvPicPr>
                        <pic:blipFill>
                          <a:blip r:embed="rId42"/>
                          <a:stretch>
                            <a:fillRect/>
                          </a:stretch>
                        </pic:blipFill>
                        <pic:spPr>
                          <a:xfrm>
                            <a:off x="0" y="0"/>
                            <a:ext cx="632460" cy="0"/>
                          </a:xfrm>
                          <a:prstGeom prst="rect">
                            <a:avLst/>
                          </a:prstGeom>
                          <a:noFill/>
                          <a:ln>
                            <a:noFill/>
                          </a:ln>
                        </pic:spPr>
                      </pic:pic>
                    </a:graphicData>
                  </a:graphic>
                </wp:anchor>
              </w:drawing>
            </w: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258445</wp:posOffset>
                  </wp:positionH>
                  <wp:positionV relativeFrom="paragraph">
                    <wp:posOffset>49530</wp:posOffset>
                  </wp:positionV>
                  <wp:extent cx="930275" cy="930275"/>
                  <wp:effectExtent l="0" t="0" r="9525" b="9525"/>
                  <wp:wrapNone/>
                  <wp:docPr id="115" name="图片_105"/>
                  <wp:cNvGraphicFramePr/>
                  <a:graphic xmlns:a="http://schemas.openxmlformats.org/drawingml/2006/main">
                    <a:graphicData uri="http://schemas.openxmlformats.org/drawingml/2006/picture">
                      <pic:pic xmlns:pic="http://schemas.openxmlformats.org/drawingml/2006/picture">
                        <pic:nvPicPr>
                          <pic:cNvPr id="115" name="图片_105"/>
                          <pic:cNvPicPr/>
                        </pic:nvPicPr>
                        <pic:blipFill>
                          <a:blip r:embed="rId43"/>
                          <a:stretch>
                            <a:fillRect/>
                          </a:stretch>
                        </pic:blipFill>
                        <pic:spPr>
                          <a:xfrm>
                            <a:off x="0" y="0"/>
                            <a:ext cx="930275" cy="93027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D7AF09">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材质：ABS、PVC、TPE</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尺寸：篮子高约10cm，直径约14cm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个篮子，9种蔬菜。内含玉米、黄瓜、花椰菜、红椒、茄子、胡萝卜、黄椒、芦笋和土豆等各种蔬菜，既可以让幼儿学习认识蔬菜名称、颜色，也可以作为扮演游戏的辅助材料，丰富游戏情节，体验互相交流的乐趣。</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6070E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72445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21F710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FB49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15</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4C9E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水果篮</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5DB0A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320675</wp:posOffset>
                  </wp:positionH>
                  <wp:positionV relativeFrom="paragraph">
                    <wp:posOffset>59055</wp:posOffset>
                  </wp:positionV>
                  <wp:extent cx="914400" cy="913765"/>
                  <wp:effectExtent l="0" t="0" r="0" b="635"/>
                  <wp:wrapNone/>
                  <wp:docPr id="117" name="图片_106"/>
                  <wp:cNvGraphicFramePr/>
                  <a:graphic xmlns:a="http://schemas.openxmlformats.org/drawingml/2006/main">
                    <a:graphicData uri="http://schemas.openxmlformats.org/drawingml/2006/picture">
                      <pic:pic xmlns:pic="http://schemas.openxmlformats.org/drawingml/2006/picture">
                        <pic:nvPicPr>
                          <pic:cNvPr id="117" name="图片_106"/>
                          <pic:cNvPicPr/>
                        </pic:nvPicPr>
                        <pic:blipFill>
                          <a:blip r:embed="rId44"/>
                          <a:stretch>
                            <a:fillRect/>
                          </a:stretch>
                        </pic:blipFill>
                        <pic:spPr>
                          <a:xfrm>
                            <a:off x="0" y="0"/>
                            <a:ext cx="914400" cy="91376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686F8">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材质：ABS、TPE</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尺寸：篮子高约10cm，直径约14cm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1个篮子，9种水果。内含苹果、草莓、柠檬、香蕉、李子、橘子、杏、葡萄和梨等多样水果，放置在塑料篮内，可以让幼儿学习认识水果名称、颜色，或是说说自己喜欢的水果；也可以作为扮演游戏的道具。</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4B25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5B4DB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51BDA4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0815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16</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A79D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特大亲子积木</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E9325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239395</wp:posOffset>
                  </wp:positionH>
                  <wp:positionV relativeFrom="paragraph">
                    <wp:posOffset>202565</wp:posOffset>
                  </wp:positionV>
                  <wp:extent cx="1127125" cy="793750"/>
                  <wp:effectExtent l="0" t="0" r="3175" b="6350"/>
                  <wp:wrapNone/>
                  <wp:docPr id="121" name="图片_130"/>
                  <wp:cNvGraphicFramePr/>
                  <a:graphic xmlns:a="http://schemas.openxmlformats.org/drawingml/2006/main">
                    <a:graphicData uri="http://schemas.openxmlformats.org/drawingml/2006/picture">
                      <pic:pic xmlns:pic="http://schemas.openxmlformats.org/drawingml/2006/picture">
                        <pic:nvPicPr>
                          <pic:cNvPr id="121" name="图片_130"/>
                          <pic:cNvPicPr/>
                        </pic:nvPicPr>
                        <pic:blipFill>
                          <a:blip r:embed="rId45"/>
                          <a:stretch>
                            <a:fillRect/>
                          </a:stretch>
                        </pic:blipFill>
                        <pic:spPr>
                          <a:xfrm>
                            <a:off x="0" y="0"/>
                            <a:ext cx="1127125" cy="79375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650683">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32件环保耐磨皮和高密度海绵填充，皮革中不含可分解芳香胺，且游离甲醛含量符合国家标准规范的要求。</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A107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62797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292AAF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2D1C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17</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9925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插柱排序拼图</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A53A2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297815</wp:posOffset>
                  </wp:positionH>
                  <wp:positionV relativeFrom="paragraph">
                    <wp:posOffset>338455</wp:posOffset>
                  </wp:positionV>
                  <wp:extent cx="886460" cy="320040"/>
                  <wp:effectExtent l="0" t="0" r="2540" b="10160"/>
                  <wp:wrapNone/>
                  <wp:docPr id="118" name="图片_24"/>
                  <wp:cNvGraphicFramePr/>
                  <a:graphic xmlns:a="http://schemas.openxmlformats.org/drawingml/2006/main">
                    <a:graphicData uri="http://schemas.openxmlformats.org/drawingml/2006/picture">
                      <pic:pic xmlns:pic="http://schemas.openxmlformats.org/drawingml/2006/picture">
                        <pic:nvPicPr>
                          <pic:cNvPr id="118" name="图片_24"/>
                          <pic:cNvPicPr/>
                        </pic:nvPicPr>
                        <pic:blipFill>
                          <a:blip r:embed="rId46"/>
                          <a:stretch>
                            <a:fillRect/>
                          </a:stretch>
                        </pic:blipFill>
                        <pic:spPr>
                          <a:xfrm>
                            <a:off x="0" y="0"/>
                            <a:ext cx="886460" cy="32004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52F607">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1、产品材质：椴木胶合板、荷木, MDF。</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2、产品尺寸：280x90x12/61H mm ，积木块12H mm。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3、产品配件：1个带有一到四根木柱的拼块底座，12个形状拼块（4种形状各3块）。</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4、产品介绍：这款材料帮助宝宝学习形状、颜色，掌握简单的计数技能，提升手眼协调能力。宝宝可以按照形状、颜色、和拼块的孔数进行排序，形成初步的空间概念。产品表面光滑无毛刺，边角圆润，使用水性无溶剂漆，安全环保。</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F2606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CD829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726B47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BCD5F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18</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ABC1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佩佩有声堆塔</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E13A1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366395</wp:posOffset>
                  </wp:positionH>
                  <wp:positionV relativeFrom="paragraph">
                    <wp:posOffset>71755</wp:posOffset>
                  </wp:positionV>
                  <wp:extent cx="810260" cy="843915"/>
                  <wp:effectExtent l="0" t="0" r="2540" b="6985"/>
                  <wp:wrapNone/>
                  <wp:docPr id="122" name="图片_3"/>
                  <wp:cNvGraphicFramePr/>
                  <a:graphic xmlns:a="http://schemas.openxmlformats.org/drawingml/2006/main">
                    <a:graphicData uri="http://schemas.openxmlformats.org/drawingml/2006/picture">
                      <pic:pic xmlns:pic="http://schemas.openxmlformats.org/drawingml/2006/picture">
                        <pic:nvPicPr>
                          <pic:cNvPr id="122" name="图片_3"/>
                          <pic:cNvPicPr/>
                        </pic:nvPicPr>
                        <pic:blipFill>
                          <a:blip r:embed="rId47"/>
                          <a:stretch>
                            <a:fillRect/>
                          </a:stretch>
                        </pic:blipFill>
                        <pic:spPr>
                          <a:xfrm>
                            <a:off x="0" y="0"/>
                            <a:ext cx="810260" cy="84391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64F1FD">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规格：11.5×18×11.5cm （包装尺寸）</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材质：木质</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明亮欢快的佩佩小狗，不仅能变换造型</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还能发出声音哦！</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AFC0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0F6D4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6F3AE4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38FE3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19</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2773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昆虫模型组</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D7C4E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343535</wp:posOffset>
                  </wp:positionH>
                  <wp:positionV relativeFrom="paragraph">
                    <wp:posOffset>15875</wp:posOffset>
                  </wp:positionV>
                  <wp:extent cx="902970" cy="1005840"/>
                  <wp:effectExtent l="0" t="0" r="11430" b="10160"/>
                  <wp:wrapNone/>
                  <wp:docPr id="120" name="图片_129"/>
                  <wp:cNvGraphicFramePr/>
                  <a:graphic xmlns:a="http://schemas.openxmlformats.org/drawingml/2006/main">
                    <a:graphicData uri="http://schemas.openxmlformats.org/drawingml/2006/picture">
                      <pic:pic xmlns:pic="http://schemas.openxmlformats.org/drawingml/2006/picture">
                        <pic:nvPicPr>
                          <pic:cNvPr id="120" name="图片_129"/>
                          <pic:cNvPicPr/>
                        </pic:nvPicPr>
                        <pic:blipFill>
                          <a:blip r:embed="rId48"/>
                          <a:stretch>
                            <a:fillRect/>
                          </a:stretch>
                        </pic:blipFill>
                        <pic:spPr>
                          <a:xfrm>
                            <a:off x="0" y="0"/>
                            <a:ext cx="902970" cy="100584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AA008">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材质：PVC塑料尺寸：最大尺寸约13.5×3cm、最小尺寸约3.8×2.8cm</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7189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BFFA4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765880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600AF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20</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18A4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轨道溜溜车</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F5743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328930</wp:posOffset>
                  </wp:positionH>
                  <wp:positionV relativeFrom="paragraph">
                    <wp:posOffset>301625</wp:posOffset>
                  </wp:positionV>
                  <wp:extent cx="788670" cy="507365"/>
                  <wp:effectExtent l="0" t="0" r="11430" b="635"/>
                  <wp:wrapNone/>
                  <wp:docPr id="123" name="Picture_101"/>
                  <wp:cNvGraphicFramePr/>
                  <a:graphic xmlns:a="http://schemas.openxmlformats.org/drawingml/2006/main">
                    <a:graphicData uri="http://schemas.openxmlformats.org/drawingml/2006/picture">
                      <pic:pic xmlns:pic="http://schemas.openxmlformats.org/drawingml/2006/picture">
                        <pic:nvPicPr>
                          <pic:cNvPr id="123" name="Picture_101"/>
                          <pic:cNvPicPr/>
                        </pic:nvPicPr>
                        <pic:blipFill>
                          <a:blip r:embed="rId49"/>
                          <a:stretch>
                            <a:fillRect/>
                          </a:stretch>
                        </pic:blipFill>
                        <pic:spPr>
                          <a:xfrm>
                            <a:off x="0" y="0"/>
                            <a:ext cx="788670" cy="50736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1B99F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规格：36×36×11cm（包装尺寸）</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材质：实木、夹板</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来一场速度与激情的较量吧，看看哪辆赛车能最先到达终点呢？</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607A9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5414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129F3B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6755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21</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2C2D8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多彩堆叠柱</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63255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235585</wp:posOffset>
                  </wp:positionH>
                  <wp:positionV relativeFrom="paragraph">
                    <wp:posOffset>38735</wp:posOffset>
                  </wp:positionV>
                  <wp:extent cx="952500" cy="952500"/>
                  <wp:effectExtent l="0" t="0" r="0" b="0"/>
                  <wp:wrapNone/>
                  <wp:docPr id="126" name="图片_27"/>
                  <wp:cNvGraphicFramePr/>
                  <a:graphic xmlns:a="http://schemas.openxmlformats.org/drawingml/2006/main">
                    <a:graphicData uri="http://schemas.openxmlformats.org/drawingml/2006/picture">
                      <pic:pic xmlns:pic="http://schemas.openxmlformats.org/drawingml/2006/picture">
                        <pic:nvPicPr>
                          <pic:cNvPr id="126" name="图片_27"/>
                          <pic:cNvPicPr/>
                        </pic:nvPicPr>
                        <pic:blipFill>
                          <a:blip r:embed="rId50"/>
                          <a:stretch>
                            <a:fillRect/>
                          </a:stretch>
                        </pic:blipFill>
                        <pic:spPr>
                          <a:xfrm>
                            <a:off x="0" y="0"/>
                            <a:ext cx="952500" cy="95250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7D892">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材质：木制尺寸：约25×8×19cm内有圆形、三角形、正方形的木块，可以一个一个套叠在竖杆上，用它们来比较形状、颜色、大小，提高幼儿的匹配、分类和动手能力。</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DEEF7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05B6B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5B1488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B0A9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22</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1D90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百变海陆空</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E3565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413385</wp:posOffset>
                  </wp:positionH>
                  <wp:positionV relativeFrom="paragraph">
                    <wp:posOffset>149860</wp:posOffset>
                  </wp:positionV>
                  <wp:extent cx="889000" cy="800100"/>
                  <wp:effectExtent l="0" t="0" r="0" b="0"/>
                  <wp:wrapNone/>
                  <wp:docPr id="164" name="Picture_29"/>
                  <wp:cNvGraphicFramePr/>
                  <a:graphic xmlns:a="http://schemas.openxmlformats.org/drawingml/2006/main">
                    <a:graphicData uri="http://schemas.openxmlformats.org/drawingml/2006/picture">
                      <pic:pic xmlns:pic="http://schemas.openxmlformats.org/drawingml/2006/picture">
                        <pic:nvPicPr>
                          <pic:cNvPr id="164" name="Picture_29"/>
                          <pic:cNvPicPr/>
                        </pic:nvPicPr>
                        <pic:blipFill>
                          <a:blip r:embed="rId51"/>
                          <a:stretch>
                            <a:fillRect/>
                          </a:stretch>
                        </pic:blipFill>
                        <pic:spPr>
                          <a:xfrm>
                            <a:off x="0" y="0"/>
                            <a:ext cx="889000" cy="80010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5DA83">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规格：26×34.29×8.89cm 材质：塑料、磁石</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内有：一辆小汽车，一艘轮船，一架飞机，一辆火车。海里游的船、天上飞的飞机、陆地上跑的汽车，可以帮助孩子了解不同环境下的交通工具。</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8848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3B546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789094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14ABD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23</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029E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80粒都市建筑积木</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92F56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205105</wp:posOffset>
                  </wp:positionH>
                  <wp:positionV relativeFrom="paragraph">
                    <wp:posOffset>35560</wp:posOffset>
                  </wp:positionV>
                  <wp:extent cx="1209040" cy="983615"/>
                  <wp:effectExtent l="0" t="0" r="10160" b="6985"/>
                  <wp:wrapNone/>
                  <wp:docPr id="156" name="Picture_117"/>
                  <wp:cNvGraphicFramePr/>
                  <a:graphic xmlns:a="http://schemas.openxmlformats.org/drawingml/2006/main">
                    <a:graphicData uri="http://schemas.openxmlformats.org/drawingml/2006/picture">
                      <pic:pic xmlns:pic="http://schemas.openxmlformats.org/drawingml/2006/picture">
                        <pic:nvPicPr>
                          <pic:cNvPr id="156" name="Picture_117"/>
                          <pic:cNvPicPr/>
                        </pic:nvPicPr>
                        <pic:blipFill>
                          <a:blip r:embed="rId52"/>
                          <a:stretch>
                            <a:fillRect/>
                          </a:stretch>
                        </pic:blipFill>
                        <pic:spPr>
                          <a:xfrm>
                            <a:off x="0" y="0"/>
                            <a:ext cx="1209040" cy="98361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877AB">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规格：20×20×26cm （包装尺寸）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材质：实木 , 纺织品 , 水性漆</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发挥你的想象力和动手能力，搭建出不同的美丽都市场景吧！</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C0DD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475D0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481F19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9761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24</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B176F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我的第一个工具盒</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C856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241935</wp:posOffset>
                  </wp:positionH>
                  <wp:positionV relativeFrom="paragraph">
                    <wp:posOffset>79375</wp:posOffset>
                  </wp:positionV>
                  <wp:extent cx="1072515" cy="901065"/>
                  <wp:effectExtent l="0" t="0" r="6985" b="635"/>
                  <wp:wrapNone/>
                  <wp:docPr id="151" name="图片_156"/>
                  <wp:cNvGraphicFramePr/>
                  <a:graphic xmlns:a="http://schemas.openxmlformats.org/drawingml/2006/main">
                    <a:graphicData uri="http://schemas.openxmlformats.org/drawingml/2006/picture">
                      <pic:pic xmlns:pic="http://schemas.openxmlformats.org/drawingml/2006/picture">
                        <pic:nvPicPr>
                          <pic:cNvPr id="151" name="图片_156"/>
                          <pic:cNvPicPr/>
                        </pic:nvPicPr>
                        <pic:blipFill>
                          <a:blip r:embed="rId53"/>
                          <a:stretch>
                            <a:fillRect/>
                          </a:stretch>
                        </pic:blipFill>
                        <pic:spPr>
                          <a:xfrm>
                            <a:off x="0" y="0"/>
                            <a:ext cx="1072515" cy="90106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2491CF">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1.产品尺寸：240×128×150mm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 xml:space="preserve">2.配件说明：1*木制工具箱，1*锤子，1*螺丝刀，1*扳手，3*螺钉，3*螺帽，2*齿轮，2*塑料齿轮，3*木板连接头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3.产品材质：荷木、夹板、PA、PP、ABS、铁</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9D2E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D99B5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2FD009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56BBE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25</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E940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智力堆搭</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CC1BC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309245</wp:posOffset>
                  </wp:positionH>
                  <wp:positionV relativeFrom="paragraph">
                    <wp:posOffset>279400</wp:posOffset>
                  </wp:positionV>
                  <wp:extent cx="800100" cy="413385"/>
                  <wp:effectExtent l="0" t="0" r="0" b="5715"/>
                  <wp:wrapNone/>
                  <wp:docPr id="140" name="图片_28"/>
                  <wp:cNvGraphicFramePr/>
                  <a:graphic xmlns:a="http://schemas.openxmlformats.org/drawingml/2006/main">
                    <a:graphicData uri="http://schemas.openxmlformats.org/drawingml/2006/picture">
                      <pic:pic xmlns:pic="http://schemas.openxmlformats.org/drawingml/2006/picture">
                        <pic:nvPicPr>
                          <pic:cNvPr id="140" name="图片_28"/>
                          <pic:cNvPicPr/>
                        </pic:nvPicPr>
                        <pic:blipFill>
                          <a:blip r:embed="rId54"/>
                          <a:stretch>
                            <a:fillRect/>
                          </a:stretch>
                        </pic:blipFill>
                        <pic:spPr>
                          <a:xfrm>
                            <a:off x="0" y="0"/>
                            <a:ext cx="800100" cy="41338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B10C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1、产品材质：椴木胶合板、MDF, 塑料。</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2、产品尺寸：280x90x12/115H mm，积木块12H mm。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3、产品配件：1个带有3根突起障碍木柱的拼块底座，12个形状拼块（3种形状各4块）。</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4、产品介绍：这款材料通过在立柱上设定不同数量的凸起障碍物来训练宝宝手腕的灵活性和手眼协调能力。在游戏中，宝宝练习通过扭动、转动、旋转等动作方式将彩色的形状木块套叠在木柱上。游戏可以提升宝宝手眼协调能力解决问题的能力和二维空间的旋转能力。</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351B0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DAD4F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22628C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FC2B7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26</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7B155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中号交通工具组-30</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7E8EF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328295</wp:posOffset>
                  </wp:positionH>
                  <wp:positionV relativeFrom="paragraph">
                    <wp:posOffset>199390</wp:posOffset>
                  </wp:positionV>
                  <wp:extent cx="901065" cy="730885"/>
                  <wp:effectExtent l="0" t="0" r="635" b="5715"/>
                  <wp:wrapNone/>
                  <wp:docPr id="155" name="图片_109"/>
                  <wp:cNvGraphicFramePr/>
                  <a:graphic xmlns:a="http://schemas.openxmlformats.org/drawingml/2006/main">
                    <a:graphicData uri="http://schemas.openxmlformats.org/drawingml/2006/picture">
                      <pic:pic xmlns:pic="http://schemas.openxmlformats.org/drawingml/2006/picture">
                        <pic:nvPicPr>
                          <pic:cNvPr id="155" name="图片_109"/>
                          <pic:cNvPicPr/>
                        </pic:nvPicPr>
                        <pic:blipFill>
                          <a:blip r:embed="rId55"/>
                          <a:stretch>
                            <a:fillRect/>
                          </a:stretch>
                        </pic:blipFill>
                        <pic:spPr>
                          <a:xfrm>
                            <a:off x="0" y="0"/>
                            <a:ext cx="901065" cy="73088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EB8623">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材质：PE尺寸：约10-14cm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内含车辆22件、船4件、飞机4件。中号交通工具，</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由天然的再生资源甘蔗制作而成，材质安全环</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保，符合CCC，通过欧标检测，可回收。产品制</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作工艺圆润、光滑、无棱角，抗压耐摔不变形。</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瑞典设计，简约无小配件。让幼儿在游戏中，充</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分释放天性。</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250B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3FA3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747ACC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10452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27</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AE6C4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葵花钮扣</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95737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234315</wp:posOffset>
                  </wp:positionH>
                  <wp:positionV relativeFrom="paragraph">
                    <wp:posOffset>103505</wp:posOffset>
                  </wp:positionV>
                  <wp:extent cx="1089660" cy="924560"/>
                  <wp:effectExtent l="0" t="0" r="2540" b="2540"/>
                  <wp:wrapNone/>
                  <wp:docPr id="147" name="图片_110"/>
                  <wp:cNvGraphicFramePr/>
                  <a:graphic xmlns:a="http://schemas.openxmlformats.org/drawingml/2006/main">
                    <a:graphicData uri="http://schemas.openxmlformats.org/drawingml/2006/picture">
                      <pic:pic xmlns:pic="http://schemas.openxmlformats.org/drawingml/2006/picture">
                        <pic:nvPicPr>
                          <pic:cNvPr id="147" name="图片_110"/>
                          <pic:cNvPicPr/>
                        </pic:nvPicPr>
                        <pic:blipFill>
                          <a:blip r:embed="rId56"/>
                          <a:stretch>
                            <a:fillRect/>
                          </a:stretch>
                        </pic:blipFill>
                        <pic:spPr>
                          <a:xfrm>
                            <a:off x="0" y="0"/>
                            <a:ext cx="1089660" cy="92456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2217D">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材质：PP尺寸：单件直径约4.5cm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配置：红、黄、蓝、绿、紫、橘，总共196个纽扣；</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红、黄、蓝、绿绳各2根</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不同颜色的葵花钮扣，可以练习堆叠、穿连、造</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型设计等游戏，锻炼小手灵活性。含教具收纳盒。</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C137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3C711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750AC1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71DC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28</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9C96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宝贝乐园</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7633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471805</wp:posOffset>
                  </wp:positionH>
                  <wp:positionV relativeFrom="paragraph">
                    <wp:posOffset>108585</wp:posOffset>
                  </wp:positionV>
                  <wp:extent cx="632460" cy="808990"/>
                  <wp:effectExtent l="0" t="0" r="2540" b="3810"/>
                  <wp:wrapNone/>
                  <wp:docPr id="167" name="图片_143"/>
                  <wp:cNvGraphicFramePr/>
                  <a:graphic xmlns:a="http://schemas.openxmlformats.org/drawingml/2006/main">
                    <a:graphicData uri="http://schemas.openxmlformats.org/drawingml/2006/picture">
                      <pic:pic xmlns:pic="http://schemas.openxmlformats.org/drawingml/2006/picture">
                        <pic:nvPicPr>
                          <pic:cNvPr id="167" name="图片_143"/>
                          <pic:cNvPicPr/>
                        </pic:nvPicPr>
                        <pic:blipFill>
                          <a:blip r:embed="rId57"/>
                          <a:stretch>
                            <a:fillRect/>
                          </a:stretch>
                        </pic:blipFill>
                        <pic:spPr>
                          <a:xfrm>
                            <a:off x="0" y="0"/>
                            <a:ext cx="632460" cy="80899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5939D">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1.产品尺寸：296×206×354mm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 xml:space="preserve">2.配件说明：1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3.产品材质：夹板、荷木、ABS、HDPE、铁</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6BD1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F395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2988A5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33BC3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29</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2F3F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交通工具套装</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CF03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240030</wp:posOffset>
                  </wp:positionH>
                  <wp:positionV relativeFrom="paragraph">
                    <wp:posOffset>35560</wp:posOffset>
                  </wp:positionV>
                  <wp:extent cx="632460" cy="0"/>
                  <wp:effectExtent l="0" t="0" r="0" b="0"/>
                  <wp:wrapNone/>
                  <wp:docPr id="136" name="图片_145"/>
                  <wp:cNvGraphicFramePr/>
                  <a:graphic xmlns:a="http://schemas.openxmlformats.org/drawingml/2006/main">
                    <a:graphicData uri="http://schemas.openxmlformats.org/drawingml/2006/picture">
                      <pic:pic xmlns:pic="http://schemas.openxmlformats.org/drawingml/2006/picture">
                        <pic:nvPicPr>
                          <pic:cNvPr id="136" name="图片_145"/>
                          <pic:cNvPicPr/>
                        </pic:nvPicPr>
                        <pic:blipFill>
                          <a:blip r:embed="rId42"/>
                          <a:stretch>
                            <a:fillRect/>
                          </a:stretch>
                        </pic:blipFill>
                        <pic:spPr>
                          <a:xfrm>
                            <a:off x="0" y="0"/>
                            <a:ext cx="632460" cy="0"/>
                          </a:xfrm>
                          <a:prstGeom prst="rect">
                            <a:avLst/>
                          </a:prstGeom>
                          <a:noFill/>
                          <a:ln>
                            <a:noFill/>
                          </a:ln>
                        </pic:spPr>
                      </pic:pic>
                    </a:graphicData>
                  </a:graphic>
                </wp:anchor>
              </w:drawing>
            </w: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454025</wp:posOffset>
                  </wp:positionH>
                  <wp:positionV relativeFrom="paragraph">
                    <wp:posOffset>173355</wp:posOffset>
                  </wp:positionV>
                  <wp:extent cx="614680" cy="842645"/>
                  <wp:effectExtent l="0" t="0" r="7620" b="8255"/>
                  <wp:wrapNone/>
                  <wp:docPr id="157" name="图片_144"/>
                  <wp:cNvGraphicFramePr/>
                  <a:graphic xmlns:a="http://schemas.openxmlformats.org/drawingml/2006/main">
                    <a:graphicData uri="http://schemas.openxmlformats.org/drawingml/2006/picture">
                      <pic:pic xmlns:pic="http://schemas.openxmlformats.org/drawingml/2006/picture">
                        <pic:nvPicPr>
                          <pic:cNvPr id="157" name="图片_144"/>
                          <pic:cNvPicPr/>
                        </pic:nvPicPr>
                        <pic:blipFill>
                          <a:blip r:embed="rId58"/>
                          <a:stretch>
                            <a:fillRect/>
                          </a:stretch>
                        </pic:blipFill>
                        <pic:spPr>
                          <a:xfrm>
                            <a:off x="0" y="0"/>
                            <a:ext cx="614680" cy="84264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C612E">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1.产品尺寸：480×282×118hmm  </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CB39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ADC3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41B895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5137A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30</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AE436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轨道积木组</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BD150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339090</wp:posOffset>
                  </wp:positionH>
                  <wp:positionV relativeFrom="paragraph">
                    <wp:posOffset>205740</wp:posOffset>
                  </wp:positionV>
                  <wp:extent cx="666750" cy="561975"/>
                  <wp:effectExtent l="0" t="0" r="6350" b="9525"/>
                  <wp:wrapNone/>
                  <wp:docPr id="141" name="图片_119"/>
                  <wp:cNvGraphicFramePr/>
                  <a:graphic xmlns:a="http://schemas.openxmlformats.org/drawingml/2006/main">
                    <a:graphicData uri="http://schemas.openxmlformats.org/drawingml/2006/picture">
                      <pic:pic xmlns:pic="http://schemas.openxmlformats.org/drawingml/2006/picture">
                        <pic:nvPicPr>
                          <pic:cNvPr id="141" name="图片_119"/>
                          <pic:cNvPicPr/>
                        </pic:nvPicPr>
                        <pic:blipFill>
                          <a:blip r:embed="rId59"/>
                          <a:stretch>
                            <a:fillRect/>
                          </a:stretch>
                        </pic:blipFill>
                        <pic:spPr>
                          <a:xfrm>
                            <a:off x="0" y="0"/>
                            <a:ext cx="666750" cy="56197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42F7F">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材质：榉木、塑料</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尺寸：搭建后尺寸约90×73cm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内含直轨道、弯轨道、异形轨道、消防站、桥梁、车等70件、产品说明书1件。精选优质木材制成，大颗粒设计，安全贴心。木制轨道可拼搭出几十种不同路径。多种交通元素混搭，支持自由DIY，能构架出心中的理想城市，激发幼儿的创作热情。</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F840B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E9BF5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166153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7BE5A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31</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15CD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生活技能大方块</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F44E0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386715</wp:posOffset>
                  </wp:positionH>
                  <wp:positionV relativeFrom="paragraph">
                    <wp:posOffset>62865</wp:posOffset>
                  </wp:positionV>
                  <wp:extent cx="666750" cy="666750"/>
                  <wp:effectExtent l="0" t="0" r="6350" b="6350"/>
                  <wp:wrapNone/>
                  <wp:docPr id="163" name="图片_122"/>
                  <wp:cNvGraphicFramePr/>
                  <a:graphic xmlns:a="http://schemas.openxmlformats.org/drawingml/2006/main">
                    <a:graphicData uri="http://schemas.openxmlformats.org/drawingml/2006/picture">
                      <pic:pic xmlns:pic="http://schemas.openxmlformats.org/drawingml/2006/picture">
                        <pic:nvPicPr>
                          <pic:cNvPr id="163" name="图片_122"/>
                          <pic:cNvPicPr/>
                        </pic:nvPicPr>
                        <pic:blipFill>
                          <a:blip r:embed="rId60"/>
                          <a:stretch>
                            <a:fillRect/>
                          </a:stretch>
                        </pic:blipFill>
                        <pic:spPr>
                          <a:xfrm>
                            <a:off x="0" y="0"/>
                            <a:ext cx="666750" cy="66675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30E92">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材质：布制</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尺寸：约20×20×20cm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学习穿、套、解、脱等六种不同的日常生活技能，</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培养自助能力。精细的动作促进手眼协调及脑力</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发展。双手并用，均衡发展左右脑，达到感觉统合。</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F4AE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868F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0C3A1F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1A67D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32</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EAB22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形状分类桶</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482A2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358140</wp:posOffset>
                  </wp:positionH>
                  <wp:positionV relativeFrom="paragraph">
                    <wp:posOffset>120015</wp:posOffset>
                  </wp:positionV>
                  <wp:extent cx="666750" cy="666750"/>
                  <wp:effectExtent l="0" t="0" r="6350" b="6350"/>
                  <wp:wrapNone/>
                  <wp:docPr id="153" name="图片_120"/>
                  <wp:cNvGraphicFramePr/>
                  <a:graphic xmlns:a="http://schemas.openxmlformats.org/drawingml/2006/main">
                    <a:graphicData uri="http://schemas.openxmlformats.org/drawingml/2006/picture">
                      <pic:pic xmlns:pic="http://schemas.openxmlformats.org/drawingml/2006/picture">
                        <pic:nvPicPr>
                          <pic:cNvPr id="153" name="图片_120"/>
                          <pic:cNvPicPr/>
                        </pic:nvPicPr>
                        <pic:blipFill>
                          <a:blip r:embed="rId61"/>
                          <a:stretch>
                            <a:fillRect/>
                          </a:stretch>
                        </pic:blipFill>
                        <pic:spPr>
                          <a:xfrm>
                            <a:off x="0" y="0"/>
                            <a:ext cx="666750" cy="66675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9E40B">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材质：PP,ABS,HDPE尺寸：收纳桶高约18cm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1个透明收纳桶，12个易抓握的立体形状方块。</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帮助幼儿锻炼手部力量、练习堆叠搭建、建立空</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间感。</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3C602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D23D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0C8F83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89C4F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33</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C809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刺猬奥斯卡</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E4FC1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455930</wp:posOffset>
                  </wp:positionH>
                  <wp:positionV relativeFrom="paragraph">
                    <wp:posOffset>16510</wp:posOffset>
                  </wp:positionV>
                  <wp:extent cx="632460" cy="861060"/>
                  <wp:effectExtent l="0" t="0" r="2540" b="2540"/>
                  <wp:wrapNone/>
                  <wp:docPr id="150" name="图片_155"/>
                  <wp:cNvGraphicFramePr/>
                  <a:graphic xmlns:a="http://schemas.openxmlformats.org/drawingml/2006/main">
                    <a:graphicData uri="http://schemas.openxmlformats.org/drawingml/2006/picture">
                      <pic:pic xmlns:pic="http://schemas.openxmlformats.org/drawingml/2006/picture">
                        <pic:nvPicPr>
                          <pic:cNvPr id="150" name="图片_155"/>
                          <pic:cNvPicPr/>
                        </pic:nvPicPr>
                        <pic:blipFill>
                          <a:blip r:embed="rId62"/>
                          <a:stretch>
                            <a:fillRect/>
                          </a:stretch>
                        </pic:blipFill>
                        <pic:spPr>
                          <a:xfrm>
                            <a:off x="0" y="0"/>
                            <a:ext cx="632460" cy="86106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31A54">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1.产品尺寸：665×365×310mm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 xml:space="preserve">2.配件说明：1只刺猬，13根刺，1个颜色骰子，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3.产品材质：超柔短绒、珍珠棉</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3C70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14E9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47C1E7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F62A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34</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D3A42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瓢虫豆袋组</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4411C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211455</wp:posOffset>
                  </wp:positionH>
                  <wp:positionV relativeFrom="paragraph">
                    <wp:posOffset>34925</wp:posOffset>
                  </wp:positionV>
                  <wp:extent cx="1150620" cy="1009015"/>
                  <wp:effectExtent l="0" t="0" r="5080" b="6985"/>
                  <wp:wrapNone/>
                  <wp:docPr id="159" name="Picture_39"/>
                  <wp:cNvGraphicFramePr/>
                  <a:graphic xmlns:a="http://schemas.openxmlformats.org/drawingml/2006/main">
                    <a:graphicData uri="http://schemas.openxmlformats.org/drawingml/2006/picture">
                      <pic:pic xmlns:pic="http://schemas.openxmlformats.org/drawingml/2006/picture">
                        <pic:nvPicPr>
                          <pic:cNvPr id="159" name="Picture_39"/>
                          <pic:cNvPicPr/>
                        </pic:nvPicPr>
                        <pic:blipFill>
                          <a:blip r:embed="rId63"/>
                          <a:stretch>
                            <a:fillRect/>
                          </a:stretch>
                        </pic:blipFill>
                        <pic:spPr>
                          <a:xfrm>
                            <a:off x="0" y="0"/>
                            <a:ext cx="1150620" cy="100901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A66CE">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规格：球网直径35.5cm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大球直径11cm 小球直径5cm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材质： 莱卡 塑料 橡筋</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每套含莱卡弹弹圈1 对，大橡筋球1 个，小球1 个，这是一款非常</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酷而新的手眼协调训练器材，可以单人游戏，也可多人一起玩，孩</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子们可以发挥想象力去创造更多的玩法。</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023C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BBDF0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0B3428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15B4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35</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385CD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小手</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5E302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443865</wp:posOffset>
                  </wp:positionH>
                  <wp:positionV relativeFrom="paragraph">
                    <wp:posOffset>129540</wp:posOffset>
                  </wp:positionV>
                  <wp:extent cx="666750" cy="666750"/>
                  <wp:effectExtent l="0" t="0" r="6350" b="6350"/>
                  <wp:wrapNone/>
                  <wp:docPr id="137" name="图片_111"/>
                  <wp:cNvGraphicFramePr/>
                  <a:graphic xmlns:a="http://schemas.openxmlformats.org/drawingml/2006/main">
                    <a:graphicData uri="http://schemas.openxmlformats.org/drawingml/2006/picture">
                      <pic:pic xmlns:pic="http://schemas.openxmlformats.org/drawingml/2006/picture">
                        <pic:nvPicPr>
                          <pic:cNvPr id="137" name="图片_111"/>
                          <pic:cNvPicPr/>
                        </pic:nvPicPr>
                        <pic:blipFill>
                          <a:blip r:embed="rId64"/>
                          <a:stretch>
                            <a:fillRect/>
                          </a:stretch>
                        </pic:blipFill>
                        <pic:spPr>
                          <a:xfrm>
                            <a:off x="0" y="0"/>
                            <a:ext cx="666750" cy="66675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15F85E">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材质：PP尺寸：单件约4×4.5cm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配置：红小手x42、黄小手x42、蓝小手x42、</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绿小手x42、紫小手x42、橘小手x42；红、黄、</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蓝、绿绳各3根</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不同的手势，代表不同的意思，幼儿可以跟着</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一起做手势。不同数量的小孔，既帮助幼儿建</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立数学概念，又能用于穿绳游戏。含教具收纳</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盒。</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925B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97E8F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3EB989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49707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36</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F02ED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TOLO小天平</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2DE9E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455930</wp:posOffset>
                  </wp:positionH>
                  <wp:positionV relativeFrom="paragraph">
                    <wp:posOffset>53975</wp:posOffset>
                  </wp:positionV>
                  <wp:extent cx="632460" cy="861060"/>
                  <wp:effectExtent l="0" t="0" r="2540" b="2540"/>
                  <wp:wrapNone/>
                  <wp:docPr id="160" name="图片_150"/>
                  <wp:cNvGraphicFramePr/>
                  <a:graphic xmlns:a="http://schemas.openxmlformats.org/drawingml/2006/main">
                    <a:graphicData uri="http://schemas.openxmlformats.org/drawingml/2006/picture">
                      <pic:pic xmlns:pic="http://schemas.openxmlformats.org/drawingml/2006/picture">
                        <pic:nvPicPr>
                          <pic:cNvPr id="160" name="图片_150"/>
                          <pic:cNvPicPr/>
                        </pic:nvPicPr>
                        <pic:blipFill>
                          <a:blip r:embed="rId65"/>
                          <a:stretch>
                            <a:fillRect/>
                          </a:stretch>
                        </pic:blipFill>
                        <pic:spPr>
                          <a:xfrm>
                            <a:off x="0" y="0"/>
                            <a:ext cx="632460" cy="86106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70CB9">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1.产品尺寸：220×108×170mm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 xml:space="preserve">2.配件说明：1个天平,6个不同颜色和形状的塑料块。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3.产品材质：ABS新料、亚克力</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55323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44D51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61E3C3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51000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37</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5A361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TOLO音乐钟</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6C030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452755</wp:posOffset>
                  </wp:positionH>
                  <wp:positionV relativeFrom="paragraph">
                    <wp:posOffset>92075</wp:posOffset>
                  </wp:positionV>
                  <wp:extent cx="632460" cy="861060"/>
                  <wp:effectExtent l="0" t="0" r="2540" b="2540"/>
                  <wp:wrapNone/>
                  <wp:docPr id="144" name="图片_149"/>
                  <wp:cNvGraphicFramePr/>
                  <a:graphic xmlns:a="http://schemas.openxmlformats.org/drawingml/2006/main">
                    <a:graphicData uri="http://schemas.openxmlformats.org/drawingml/2006/picture">
                      <pic:pic xmlns:pic="http://schemas.openxmlformats.org/drawingml/2006/picture">
                        <pic:nvPicPr>
                          <pic:cNvPr id="144" name="图片_149"/>
                          <pic:cNvPicPr/>
                        </pic:nvPicPr>
                        <pic:blipFill>
                          <a:blip r:embed="rId66"/>
                          <a:stretch>
                            <a:fillRect/>
                          </a:stretch>
                        </pic:blipFill>
                        <pic:spPr>
                          <a:xfrm>
                            <a:off x="0" y="0"/>
                            <a:ext cx="632460" cy="86106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106E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1.产品尺寸：171×134×113mm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 xml:space="preserve">2.配件说明：1个闹钟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3.产品材质：ABS新料</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BF70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35CC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6DCA7F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004DB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38</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9E14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厚片拼图-海洋交通工具</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C2DBF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377190</wp:posOffset>
                  </wp:positionH>
                  <wp:positionV relativeFrom="paragraph">
                    <wp:posOffset>129540</wp:posOffset>
                  </wp:positionV>
                  <wp:extent cx="819150" cy="819150"/>
                  <wp:effectExtent l="0" t="0" r="6350" b="6350"/>
                  <wp:wrapNone/>
                  <wp:docPr id="152" name="图片_107"/>
                  <wp:cNvGraphicFramePr/>
                  <a:graphic xmlns:a="http://schemas.openxmlformats.org/drawingml/2006/main">
                    <a:graphicData uri="http://schemas.openxmlformats.org/drawingml/2006/picture">
                      <pic:pic xmlns:pic="http://schemas.openxmlformats.org/drawingml/2006/picture">
                        <pic:nvPicPr>
                          <pic:cNvPr id="152" name="图片_107"/>
                          <pic:cNvPicPr/>
                        </pic:nvPicPr>
                        <pic:blipFill>
                          <a:blip r:embed="rId67"/>
                          <a:stretch>
                            <a:fillRect/>
                          </a:stretch>
                        </pic:blipFill>
                        <pic:spPr>
                          <a:xfrm>
                            <a:off x="0" y="0"/>
                            <a:ext cx="819150" cy="81915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4613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尺寸：约22.9×2×30.5cm内有9块易握，含海、陆、空的交通工具拼图。交通工具拼图厚实可站立，既能玩配对游戏，又可以认知海洋、陆地、空中的交通工具有哪些。还适用于扮演游戏。可以提升幼儿手眼协调、精细动作和创造性的表达能力。</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20459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C0A25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5B5778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220EA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39</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ED17A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6色骰子组</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BD1DE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295275</wp:posOffset>
                  </wp:positionH>
                  <wp:positionV relativeFrom="paragraph">
                    <wp:posOffset>116205</wp:posOffset>
                  </wp:positionV>
                  <wp:extent cx="981710" cy="712470"/>
                  <wp:effectExtent l="0" t="0" r="8890" b="11430"/>
                  <wp:wrapNone/>
                  <wp:docPr id="154" name="Picture_16192"/>
                  <wp:cNvGraphicFramePr/>
                  <a:graphic xmlns:a="http://schemas.openxmlformats.org/drawingml/2006/main">
                    <a:graphicData uri="http://schemas.openxmlformats.org/drawingml/2006/picture">
                      <pic:pic xmlns:pic="http://schemas.openxmlformats.org/drawingml/2006/picture">
                        <pic:nvPicPr>
                          <pic:cNvPr id="154" name="Picture_16192"/>
                          <pic:cNvPicPr/>
                        </pic:nvPicPr>
                        <pic:blipFill>
                          <a:blip r:embed="rId68"/>
                          <a:stretch>
                            <a:fillRect/>
                          </a:stretch>
                        </pic:blipFill>
                        <pic:spPr>
                          <a:xfrm>
                            <a:off x="0" y="0"/>
                            <a:ext cx="981710" cy="71247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4BB1B">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规格：6.4×6.4×6.4cm 6 个/ 套 6 色</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材质：梳棉</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可以帮助孩子进行点数、数的认知、也是游戏中</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不可缺少的辅助工具。</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E603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F4CBD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350DB0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AB3D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40</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BAF6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听声音分类游戏</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4C7BF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475615</wp:posOffset>
                  </wp:positionH>
                  <wp:positionV relativeFrom="paragraph">
                    <wp:posOffset>167005</wp:posOffset>
                  </wp:positionV>
                  <wp:extent cx="757555" cy="697865"/>
                  <wp:effectExtent l="0" t="0" r="4445" b="635"/>
                  <wp:wrapNone/>
                  <wp:docPr id="138" name="图片_142"/>
                  <wp:cNvGraphicFramePr/>
                  <a:graphic xmlns:a="http://schemas.openxmlformats.org/drawingml/2006/main">
                    <a:graphicData uri="http://schemas.openxmlformats.org/drawingml/2006/picture">
                      <pic:pic xmlns:pic="http://schemas.openxmlformats.org/drawingml/2006/picture">
                        <pic:nvPicPr>
                          <pic:cNvPr id="138" name="图片_142"/>
                          <pic:cNvPicPr/>
                        </pic:nvPicPr>
                        <pic:blipFill>
                          <a:blip r:embed="rId69"/>
                          <a:stretch>
                            <a:fillRect/>
                          </a:stretch>
                        </pic:blipFill>
                        <pic:spPr>
                          <a:xfrm>
                            <a:off x="0" y="0"/>
                            <a:ext cx="757555" cy="69786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02FF1B">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1.产品尺寸：240×125×68mm（木盒）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 xml:space="preserve">2.配件说明：60张50x50x1.5mmPS板（30X2pcs），双面印刷；2个吸盘（黑色1个，白色1个）； USB 1个,16GB；                                                            说明书1本；1个木制收纳盒；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3.产品材质：夹板、PS板、塑料吸盘、金属U盘</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EB21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91709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4092AB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F482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41</w:t>
            </w:r>
          </w:p>
        </w:tc>
        <w:tc>
          <w:tcPr>
            <w:tcW w:w="1544" w:type="dxa"/>
            <w:tcBorders>
              <w:top w:val="single" w:color="000000" w:sz="4" w:space="0"/>
              <w:left w:val="single" w:color="000000" w:sz="4" w:space="0"/>
              <w:bottom w:val="nil"/>
              <w:right w:val="single" w:color="000000" w:sz="4" w:space="0"/>
            </w:tcBorders>
            <w:shd w:val="clear" w:color="auto" w:fill="auto"/>
            <w:vAlign w:val="center"/>
          </w:tcPr>
          <w:p w14:paraId="4F9AF46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磁性数数钓鱼乐</w:t>
            </w:r>
          </w:p>
        </w:tc>
        <w:tc>
          <w:tcPr>
            <w:tcW w:w="2500" w:type="dxa"/>
            <w:tcBorders>
              <w:top w:val="single" w:color="000000" w:sz="4" w:space="0"/>
              <w:left w:val="single" w:color="000000" w:sz="4" w:space="0"/>
              <w:bottom w:val="nil"/>
              <w:right w:val="single" w:color="000000" w:sz="4" w:space="0"/>
            </w:tcBorders>
            <w:shd w:val="clear" w:color="auto" w:fill="auto"/>
            <w:noWrap/>
            <w:vAlign w:val="center"/>
          </w:tcPr>
          <w:p w14:paraId="430882A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430530</wp:posOffset>
                  </wp:positionH>
                  <wp:positionV relativeFrom="paragraph">
                    <wp:posOffset>103505</wp:posOffset>
                  </wp:positionV>
                  <wp:extent cx="807720" cy="820420"/>
                  <wp:effectExtent l="0" t="0" r="5080" b="5080"/>
                  <wp:wrapNone/>
                  <wp:docPr id="158" name="图片_124"/>
                  <wp:cNvGraphicFramePr/>
                  <a:graphic xmlns:a="http://schemas.openxmlformats.org/drawingml/2006/main">
                    <a:graphicData uri="http://schemas.openxmlformats.org/drawingml/2006/picture">
                      <pic:pic xmlns:pic="http://schemas.openxmlformats.org/drawingml/2006/picture">
                        <pic:nvPicPr>
                          <pic:cNvPr id="158" name="图片_124"/>
                          <pic:cNvPicPr/>
                        </pic:nvPicPr>
                        <pic:blipFill>
                          <a:blip r:embed="rId70"/>
                          <a:stretch>
                            <a:fillRect/>
                          </a:stretch>
                        </pic:blipFill>
                        <pic:spPr>
                          <a:xfrm>
                            <a:off x="0" y="0"/>
                            <a:ext cx="807720" cy="820420"/>
                          </a:xfrm>
                          <a:prstGeom prst="rect">
                            <a:avLst/>
                          </a:prstGeom>
                          <a:noFill/>
                          <a:ln>
                            <a:noFill/>
                          </a:ln>
                        </pic:spPr>
                      </pic:pic>
                    </a:graphicData>
                  </a:graphic>
                </wp:anchor>
              </w:drawing>
            </w:r>
          </w:p>
        </w:tc>
        <w:tc>
          <w:tcPr>
            <w:tcW w:w="5681" w:type="dxa"/>
            <w:tcBorders>
              <w:top w:val="single" w:color="000000" w:sz="4" w:space="0"/>
              <w:left w:val="single" w:color="000000" w:sz="4" w:space="0"/>
              <w:bottom w:val="nil"/>
              <w:right w:val="single" w:color="000000" w:sz="4" w:space="0"/>
            </w:tcBorders>
            <w:shd w:val="clear" w:color="auto" w:fill="auto"/>
            <w:vAlign w:val="center"/>
          </w:tcPr>
          <w:p w14:paraId="5E9EED54">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材质：木制、布制、纸制尺寸：约47×23×6cm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内含10只磁性鱼、2支磁性钓竿、鱼网及游戏转盘，共14件配件。转动转盘，看看你要钓什么颜色的鱼，</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利用磁性将鱼钓起。认识数字数量与颜色认知，锻炼幼儿分类排序能力及手眼协调能力。</w:t>
            </w:r>
          </w:p>
        </w:tc>
        <w:tc>
          <w:tcPr>
            <w:tcW w:w="1170" w:type="dxa"/>
            <w:tcBorders>
              <w:top w:val="single" w:color="000000" w:sz="4" w:space="0"/>
              <w:left w:val="single" w:color="000000" w:sz="4" w:space="0"/>
              <w:bottom w:val="nil"/>
              <w:right w:val="single" w:color="000000" w:sz="4" w:space="0"/>
            </w:tcBorders>
            <w:shd w:val="clear" w:color="auto" w:fill="auto"/>
            <w:vAlign w:val="center"/>
          </w:tcPr>
          <w:p w14:paraId="38C1BD5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nil"/>
              <w:right w:val="single" w:color="000000" w:sz="4" w:space="0"/>
            </w:tcBorders>
            <w:shd w:val="clear" w:color="auto" w:fill="auto"/>
            <w:noWrap/>
            <w:vAlign w:val="center"/>
          </w:tcPr>
          <w:p w14:paraId="1AA7CDF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7A4A53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A588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42</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F28F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小把手嵌套拼图-农场动物</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AA9E7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289560</wp:posOffset>
                  </wp:positionH>
                  <wp:positionV relativeFrom="paragraph">
                    <wp:posOffset>26035</wp:posOffset>
                  </wp:positionV>
                  <wp:extent cx="952500" cy="952500"/>
                  <wp:effectExtent l="0" t="0" r="0" b="0"/>
                  <wp:wrapNone/>
                  <wp:docPr id="161" name="图片_2"/>
                  <wp:cNvGraphicFramePr/>
                  <a:graphic xmlns:a="http://schemas.openxmlformats.org/drawingml/2006/main">
                    <a:graphicData uri="http://schemas.openxmlformats.org/drawingml/2006/picture">
                      <pic:pic xmlns:pic="http://schemas.openxmlformats.org/drawingml/2006/picture">
                        <pic:nvPicPr>
                          <pic:cNvPr id="161" name="图片_2"/>
                          <pic:cNvPicPr/>
                        </pic:nvPicPr>
                        <pic:blipFill>
                          <a:blip r:embed="rId71"/>
                          <a:stretch>
                            <a:fillRect/>
                          </a:stretch>
                        </pic:blipFill>
                        <pic:spPr>
                          <a:xfrm>
                            <a:off x="0" y="0"/>
                            <a:ext cx="952500" cy="95250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9FBD73">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材质：木制尺寸：底板约21.7×21.7×0.9cm幼儿需要经过观察和思考，旋转不同的方向，才能完成拼图，锻炼了幼儿手部和眼部的互相配合。</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A2EC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3292D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417955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FE01D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43</w:t>
            </w:r>
          </w:p>
        </w:tc>
        <w:tc>
          <w:tcPr>
            <w:tcW w:w="1544" w:type="dxa"/>
            <w:tcBorders>
              <w:top w:val="nil"/>
              <w:left w:val="single" w:color="000000" w:sz="4" w:space="0"/>
              <w:bottom w:val="single" w:color="000000" w:sz="4" w:space="0"/>
              <w:right w:val="single" w:color="000000" w:sz="4" w:space="0"/>
            </w:tcBorders>
            <w:shd w:val="clear" w:color="auto" w:fill="auto"/>
            <w:vAlign w:val="center"/>
          </w:tcPr>
          <w:p w14:paraId="1B8C522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匹配拼图-动物王国</w:t>
            </w:r>
          </w:p>
        </w:tc>
        <w:tc>
          <w:tcPr>
            <w:tcW w:w="2500" w:type="dxa"/>
            <w:tcBorders>
              <w:top w:val="nil"/>
              <w:left w:val="single" w:color="000000" w:sz="4" w:space="0"/>
              <w:bottom w:val="single" w:color="000000" w:sz="4" w:space="0"/>
              <w:right w:val="single" w:color="000000" w:sz="4" w:space="0"/>
            </w:tcBorders>
            <w:shd w:val="clear" w:color="auto" w:fill="auto"/>
            <w:vAlign w:val="center"/>
          </w:tcPr>
          <w:p w14:paraId="0AC29D7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368300</wp:posOffset>
                  </wp:positionH>
                  <wp:positionV relativeFrom="paragraph">
                    <wp:posOffset>132080</wp:posOffset>
                  </wp:positionV>
                  <wp:extent cx="831850" cy="847725"/>
                  <wp:effectExtent l="0" t="0" r="6350" b="3175"/>
                  <wp:wrapNone/>
                  <wp:docPr id="162" name="图片_141"/>
                  <wp:cNvGraphicFramePr/>
                  <a:graphic xmlns:a="http://schemas.openxmlformats.org/drawingml/2006/main">
                    <a:graphicData uri="http://schemas.openxmlformats.org/drawingml/2006/picture">
                      <pic:pic xmlns:pic="http://schemas.openxmlformats.org/drawingml/2006/picture">
                        <pic:nvPicPr>
                          <pic:cNvPr id="162" name="图片_141"/>
                          <pic:cNvPicPr/>
                        </pic:nvPicPr>
                        <pic:blipFill>
                          <a:blip r:embed="rId72"/>
                          <a:stretch>
                            <a:fillRect/>
                          </a:stretch>
                        </pic:blipFill>
                        <pic:spPr>
                          <a:xfrm>
                            <a:off x="0" y="0"/>
                            <a:ext cx="831850" cy="847725"/>
                          </a:xfrm>
                          <a:prstGeom prst="rect">
                            <a:avLst/>
                          </a:prstGeom>
                          <a:noFill/>
                          <a:ln>
                            <a:noFill/>
                          </a:ln>
                        </pic:spPr>
                      </pic:pic>
                    </a:graphicData>
                  </a:graphic>
                </wp:anchor>
              </w:drawing>
            </w:r>
          </w:p>
        </w:tc>
        <w:tc>
          <w:tcPr>
            <w:tcW w:w="5681" w:type="dxa"/>
            <w:tcBorders>
              <w:top w:val="nil"/>
              <w:left w:val="single" w:color="000000" w:sz="4" w:space="0"/>
              <w:bottom w:val="single" w:color="000000" w:sz="4" w:space="0"/>
              <w:right w:val="single" w:color="000000" w:sz="4" w:space="0"/>
            </w:tcBorders>
            <w:shd w:val="clear" w:color="auto" w:fill="auto"/>
            <w:vAlign w:val="center"/>
          </w:tcPr>
          <w:p w14:paraId="663EBF6F">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1.产品尺寸：289×336×9mm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 xml:space="preserve">2.配件说明：24块拼图片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3.产品材质：桦木夹板、MDF板</w:t>
            </w:r>
          </w:p>
        </w:tc>
        <w:tc>
          <w:tcPr>
            <w:tcW w:w="1170" w:type="dxa"/>
            <w:tcBorders>
              <w:top w:val="nil"/>
              <w:left w:val="single" w:color="000000" w:sz="4" w:space="0"/>
              <w:bottom w:val="single" w:color="000000" w:sz="4" w:space="0"/>
              <w:right w:val="single" w:color="000000" w:sz="4" w:space="0"/>
            </w:tcBorders>
            <w:shd w:val="clear" w:color="auto" w:fill="auto"/>
            <w:vAlign w:val="center"/>
          </w:tcPr>
          <w:p w14:paraId="06EFC92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nil"/>
              <w:left w:val="single" w:color="000000" w:sz="4" w:space="0"/>
              <w:bottom w:val="single" w:color="000000" w:sz="4" w:space="0"/>
              <w:right w:val="single" w:color="000000" w:sz="4" w:space="0"/>
            </w:tcBorders>
            <w:shd w:val="clear" w:color="auto" w:fill="auto"/>
            <w:noWrap/>
            <w:vAlign w:val="center"/>
          </w:tcPr>
          <w:p w14:paraId="0A4E0E8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5A53BF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21845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44</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C869D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抓手拼图-水果</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F1AE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224790</wp:posOffset>
                  </wp:positionH>
                  <wp:positionV relativeFrom="paragraph">
                    <wp:posOffset>76835</wp:posOffset>
                  </wp:positionV>
                  <wp:extent cx="1171575" cy="901065"/>
                  <wp:effectExtent l="0" t="0" r="9525" b="635"/>
                  <wp:wrapNone/>
                  <wp:docPr id="139" name="图片_140"/>
                  <wp:cNvGraphicFramePr/>
                  <a:graphic xmlns:a="http://schemas.openxmlformats.org/drawingml/2006/main">
                    <a:graphicData uri="http://schemas.openxmlformats.org/drawingml/2006/picture">
                      <pic:pic xmlns:pic="http://schemas.openxmlformats.org/drawingml/2006/picture">
                        <pic:nvPicPr>
                          <pic:cNvPr id="139" name="图片_140"/>
                          <pic:cNvPicPr/>
                        </pic:nvPicPr>
                        <pic:blipFill>
                          <a:blip r:embed="rId73"/>
                          <a:stretch>
                            <a:fillRect/>
                          </a:stretch>
                        </pic:blipFill>
                        <pic:spPr>
                          <a:xfrm>
                            <a:off x="0" y="0"/>
                            <a:ext cx="1171575" cy="90106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C6898">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1.产品尺寸：400×176×10/24H mm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 xml:space="preserve">2.配件说明：1个木制拼图底板，5个木制水果抓手拼块。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3.产品材质：椴木胶合板。</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1F14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698A2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42085A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A34F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45</w:t>
            </w:r>
          </w:p>
        </w:tc>
        <w:tc>
          <w:tcPr>
            <w:tcW w:w="1544" w:type="dxa"/>
            <w:tcBorders>
              <w:top w:val="single" w:color="000000" w:sz="4" w:space="0"/>
              <w:left w:val="single" w:color="000000" w:sz="4" w:space="0"/>
              <w:bottom w:val="nil"/>
              <w:right w:val="single" w:color="000000" w:sz="4" w:space="0"/>
            </w:tcBorders>
            <w:shd w:val="clear" w:color="auto" w:fill="auto"/>
            <w:vAlign w:val="center"/>
          </w:tcPr>
          <w:p w14:paraId="3EECA53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厚片拼图-恐龙</w:t>
            </w:r>
          </w:p>
        </w:tc>
        <w:tc>
          <w:tcPr>
            <w:tcW w:w="2500" w:type="dxa"/>
            <w:tcBorders>
              <w:top w:val="single" w:color="000000" w:sz="4" w:space="0"/>
              <w:left w:val="single" w:color="000000" w:sz="4" w:space="0"/>
              <w:bottom w:val="nil"/>
              <w:right w:val="single" w:color="000000" w:sz="4" w:space="0"/>
            </w:tcBorders>
            <w:shd w:val="clear" w:color="auto" w:fill="auto"/>
            <w:noWrap/>
            <w:vAlign w:val="center"/>
          </w:tcPr>
          <w:p w14:paraId="0DA676A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255270</wp:posOffset>
                  </wp:positionH>
                  <wp:positionV relativeFrom="paragraph">
                    <wp:posOffset>100330</wp:posOffset>
                  </wp:positionV>
                  <wp:extent cx="1087755" cy="882015"/>
                  <wp:effectExtent l="0" t="0" r="4445" b="6985"/>
                  <wp:wrapNone/>
                  <wp:docPr id="149" name="图片_112"/>
                  <wp:cNvGraphicFramePr/>
                  <a:graphic xmlns:a="http://schemas.openxmlformats.org/drawingml/2006/main">
                    <a:graphicData uri="http://schemas.openxmlformats.org/drawingml/2006/picture">
                      <pic:pic xmlns:pic="http://schemas.openxmlformats.org/drawingml/2006/picture">
                        <pic:nvPicPr>
                          <pic:cNvPr id="149" name="图片_112"/>
                          <pic:cNvPicPr/>
                        </pic:nvPicPr>
                        <pic:blipFill>
                          <a:blip r:embed="rId74"/>
                          <a:stretch>
                            <a:fillRect/>
                          </a:stretch>
                        </pic:blipFill>
                        <pic:spPr>
                          <a:xfrm>
                            <a:off x="0" y="0"/>
                            <a:ext cx="1087755" cy="882015"/>
                          </a:xfrm>
                          <a:prstGeom prst="rect">
                            <a:avLst/>
                          </a:prstGeom>
                          <a:noFill/>
                          <a:ln>
                            <a:noFill/>
                          </a:ln>
                        </pic:spPr>
                      </pic:pic>
                    </a:graphicData>
                  </a:graphic>
                </wp:anchor>
              </w:drawing>
            </w:r>
          </w:p>
        </w:tc>
        <w:tc>
          <w:tcPr>
            <w:tcW w:w="5681" w:type="dxa"/>
            <w:tcBorders>
              <w:top w:val="single" w:color="000000" w:sz="4" w:space="0"/>
              <w:left w:val="single" w:color="000000" w:sz="4" w:space="0"/>
              <w:bottom w:val="nil"/>
              <w:right w:val="single" w:color="000000" w:sz="4" w:space="0"/>
            </w:tcBorders>
            <w:shd w:val="clear" w:color="auto" w:fill="auto"/>
            <w:vAlign w:val="center"/>
          </w:tcPr>
          <w:p w14:paraId="765DCDEE">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材质：木制尺寸：约27.9×2.5×30.5cm内有7块易抓握、1块造型可爱的恐龙厚木拼图，每一块拼图都可以站立。可用来玩装扮游戏和情境配对游戏。提升手眼协调能力、精细动作和创造性的语言表达能力。</w:t>
            </w:r>
          </w:p>
        </w:tc>
        <w:tc>
          <w:tcPr>
            <w:tcW w:w="1170" w:type="dxa"/>
            <w:tcBorders>
              <w:top w:val="single" w:color="000000" w:sz="4" w:space="0"/>
              <w:left w:val="single" w:color="000000" w:sz="4" w:space="0"/>
              <w:bottom w:val="nil"/>
              <w:right w:val="single" w:color="000000" w:sz="4" w:space="0"/>
            </w:tcBorders>
            <w:shd w:val="clear" w:color="auto" w:fill="auto"/>
            <w:vAlign w:val="center"/>
          </w:tcPr>
          <w:p w14:paraId="720ECF3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nil"/>
              <w:right w:val="single" w:color="000000" w:sz="4" w:space="0"/>
            </w:tcBorders>
            <w:shd w:val="clear" w:color="auto" w:fill="auto"/>
            <w:noWrap/>
            <w:vAlign w:val="center"/>
          </w:tcPr>
          <w:p w14:paraId="536B2E8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0E4B23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6AA13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46</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9BA3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地板拼图-海洋世界</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F2E8F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208915</wp:posOffset>
                  </wp:positionH>
                  <wp:positionV relativeFrom="paragraph">
                    <wp:posOffset>29845</wp:posOffset>
                  </wp:positionV>
                  <wp:extent cx="952500" cy="952500"/>
                  <wp:effectExtent l="0" t="0" r="0" b="0"/>
                  <wp:wrapNone/>
                  <wp:docPr id="148" name="图片_3_SpCnt_1"/>
                  <wp:cNvGraphicFramePr/>
                  <a:graphic xmlns:a="http://schemas.openxmlformats.org/drawingml/2006/main">
                    <a:graphicData uri="http://schemas.openxmlformats.org/drawingml/2006/picture">
                      <pic:pic xmlns:pic="http://schemas.openxmlformats.org/drawingml/2006/picture">
                        <pic:nvPicPr>
                          <pic:cNvPr id="148" name="图片_3_SpCnt_1"/>
                          <pic:cNvPicPr/>
                        </pic:nvPicPr>
                        <pic:blipFill>
                          <a:blip r:embed="rId75"/>
                          <a:stretch>
                            <a:fillRect/>
                          </a:stretch>
                        </pic:blipFill>
                        <pic:spPr>
                          <a:xfrm>
                            <a:off x="0" y="0"/>
                            <a:ext cx="952500" cy="95250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A33601">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材质：灰纸板尺寸：约60×91cm45片硬纸板的拼图，易拿握。幼儿可以根据局部与整体的关系拼搭出美丽的海洋世界，探索深蓝色大海的美妙，拓展幼儿的视野。锻炼逻辑思维能力及观察、分析、记忆能力。</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0028F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2671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36E0E4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AEA27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47</w:t>
            </w:r>
          </w:p>
        </w:tc>
        <w:tc>
          <w:tcPr>
            <w:tcW w:w="1544" w:type="dxa"/>
            <w:tcBorders>
              <w:top w:val="nil"/>
              <w:left w:val="single" w:color="000000" w:sz="4" w:space="0"/>
              <w:bottom w:val="single" w:color="000000" w:sz="4" w:space="0"/>
              <w:right w:val="single" w:color="000000" w:sz="4" w:space="0"/>
            </w:tcBorders>
            <w:shd w:val="clear" w:color="auto" w:fill="auto"/>
            <w:vAlign w:val="center"/>
          </w:tcPr>
          <w:p w14:paraId="7F113BF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创意宝石拼花块-彩色</w:t>
            </w:r>
          </w:p>
        </w:tc>
        <w:tc>
          <w:tcPr>
            <w:tcW w:w="2500" w:type="dxa"/>
            <w:tcBorders>
              <w:top w:val="nil"/>
              <w:left w:val="single" w:color="000000" w:sz="4" w:space="0"/>
              <w:bottom w:val="single" w:color="000000" w:sz="4" w:space="0"/>
              <w:right w:val="single" w:color="000000" w:sz="4" w:space="0"/>
            </w:tcBorders>
            <w:shd w:val="clear" w:color="auto" w:fill="auto"/>
            <w:noWrap/>
            <w:vAlign w:val="center"/>
          </w:tcPr>
          <w:p w14:paraId="5360EEE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169545</wp:posOffset>
                  </wp:positionH>
                  <wp:positionV relativeFrom="paragraph">
                    <wp:posOffset>171450</wp:posOffset>
                  </wp:positionV>
                  <wp:extent cx="1174115" cy="799465"/>
                  <wp:effectExtent l="0" t="0" r="6985" b="635"/>
                  <wp:wrapNone/>
                  <wp:docPr id="145" name="图片_125"/>
                  <wp:cNvGraphicFramePr/>
                  <a:graphic xmlns:a="http://schemas.openxmlformats.org/drawingml/2006/main">
                    <a:graphicData uri="http://schemas.openxmlformats.org/drawingml/2006/picture">
                      <pic:pic xmlns:pic="http://schemas.openxmlformats.org/drawingml/2006/picture">
                        <pic:nvPicPr>
                          <pic:cNvPr id="145" name="图片_125"/>
                          <pic:cNvPicPr/>
                        </pic:nvPicPr>
                        <pic:blipFill>
                          <a:blip r:embed="rId76"/>
                          <a:stretch>
                            <a:fillRect/>
                          </a:stretch>
                        </pic:blipFill>
                        <pic:spPr>
                          <a:xfrm>
                            <a:off x="0" y="0"/>
                            <a:ext cx="1174115" cy="799465"/>
                          </a:xfrm>
                          <a:prstGeom prst="rect">
                            <a:avLst/>
                          </a:prstGeom>
                          <a:noFill/>
                          <a:ln>
                            <a:noFill/>
                          </a:ln>
                        </pic:spPr>
                      </pic:pic>
                    </a:graphicData>
                  </a:graphic>
                </wp:anchor>
              </w:drawing>
            </w:r>
          </w:p>
        </w:tc>
        <w:tc>
          <w:tcPr>
            <w:tcW w:w="5681" w:type="dxa"/>
            <w:tcBorders>
              <w:top w:val="nil"/>
              <w:left w:val="single" w:color="000000" w:sz="4" w:space="0"/>
              <w:bottom w:val="single" w:color="000000" w:sz="4" w:space="0"/>
              <w:right w:val="single" w:color="000000" w:sz="4" w:space="0"/>
            </w:tcBorders>
            <w:shd w:val="clear" w:color="auto" w:fill="auto"/>
            <w:vAlign w:val="center"/>
          </w:tcPr>
          <w:p w14:paraId="5CFE47B2">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材质：榉木、夹板、纸制尺寸：直径约29cm内含宝石拼板44件，盘1pc,学习卡3件。共计48件。充满艺术感的宝石拼花，配备学习卡，引导幼儿做各种造型拼搭，激发幼儿自主创造力和想象力。</w:t>
            </w:r>
          </w:p>
        </w:tc>
        <w:tc>
          <w:tcPr>
            <w:tcW w:w="1170" w:type="dxa"/>
            <w:tcBorders>
              <w:top w:val="nil"/>
              <w:left w:val="single" w:color="000000" w:sz="4" w:space="0"/>
              <w:bottom w:val="single" w:color="000000" w:sz="4" w:space="0"/>
              <w:right w:val="single" w:color="000000" w:sz="4" w:space="0"/>
            </w:tcBorders>
            <w:shd w:val="clear" w:color="auto" w:fill="auto"/>
            <w:vAlign w:val="center"/>
          </w:tcPr>
          <w:p w14:paraId="26F8FD6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nil"/>
              <w:left w:val="single" w:color="000000" w:sz="4" w:space="0"/>
              <w:bottom w:val="single" w:color="000000" w:sz="4" w:space="0"/>
              <w:right w:val="single" w:color="000000" w:sz="4" w:space="0"/>
            </w:tcBorders>
            <w:shd w:val="clear" w:color="auto" w:fill="auto"/>
            <w:noWrap/>
            <w:vAlign w:val="center"/>
          </w:tcPr>
          <w:p w14:paraId="0DC05CB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1F4017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FF26C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48</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469F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木制沙球</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D97F1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377190</wp:posOffset>
                  </wp:positionH>
                  <wp:positionV relativeFrom="paragraph">
                    <wp:posOffset>110490</wp:posOffset>
                  </wp:positionV>
                  <wp:extent cx="666750" cy="666750"/>
                  <wp:effectExtent l="0" t="0" r="6350" b="6350"/>
                  <wp:wrapNone/>
                  <wp:docPr id="165" name="图片_126"/>
                  <wp:cNvGraphicFramePr/>
                  <a:graphic xmlns:a="http://schemas.openxmlformats.org/drawingml/2006/main">
                    <a:graphicData uri="http://schemas.openxmlformats.org/drawingml/2006/picture">
                      <pic:pic xmlns:pic="http://schemas.openxmlformats.org/drawingml/2006/picture">
                        <pic:nvPicPr>
                          <pic:cNvPr id="165" name="图片_126"/>
                          <pic:cNvPicPr/>
                        </pic:nvPicPr>
                        <pic:blipFill>
                          <a:blip r:embed="rId77"/>
                          <a:stretch>
                            <a:fillRect/>
                          </a:stretch>
                        </pic:blipFill>
                        <pic:spPr>
                          <a:xfrm>
                            <a:off x="0" y="0"/>
                            <a:ext cx="666750" cy="66675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8E0E4">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材质：木制尺寸：长约11.7cm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内含木制沙球1对。精选优质木材，制作工艺</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考究，圆润打磨、无毛刺，贴心呵护幼儿的小手。</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精致小巧的尺寸设计，方便幼儿灵活抓握。可进</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行音律启蒙，同时也可锻炼幼儿的手眼协调能</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力和专注力。</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09C44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FAC96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55B020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D751F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49</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1BB2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月亮型铃鼓</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F85E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405765</wp:posOffset>
                  </wp:positionH>
                  <wp:positionV relativeFrom="paragraph">
                    <wp:posOffset>158115</wp:posOffset>
                  </wp:positionV>
                  <wp:extent cx="666750" cy="666750"/>
                  <wp:effectExtent l="0" t="0" r="6350" b="6350"/>
                  <wp:wrapNone/>
                  <wp:docPr id="142" name="图片_114"/>
                  <wp:cNvGraphicFramePr/>
                  <a:graphic xmlns:a="http://schemas.openxmlformats.org/drawingml/2006/main">
                    <a:graphicData uri="http://schemas.openxmlformats.org/drawingml/2006/picture">
                      <pic:pic xmlns:pic="http://schemas.openxmlformats.org/drawingml/2006/picture">
                        <pic:nvPicPr>
                          <pic:cNvPr id="142" name="图片_114"/>
                          <pic:cNvPicPr/>
                        </pic:nvPicPr>
                        <pic:blipFill>
                          <a:blip r:embed="rId78"/>
                          <a:stretch>
                            <a:fillRect/>
                          </a:stretch>
                        </pic:blipFill>
                        <pic:spPr>
                          <a:xfrm>
                            <a:off x="0" y="0"/>
                            <a:ext cx="666750" cy="66675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74A8A">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材质：木制+铁制尺寸：约23cm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方便易抓握的铃鼓可用于器乐演</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奏中的伴奏乐器，节奏自由、操作</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简单，能充分调动幼儿的音乐创作</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与表现能力。</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37EB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7FB9A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5E165E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DEEF4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50</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BFC3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早旋律敲琴台</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0F04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314960</wp:posOffset>
                  </wp:positionH>
                  <wp:positionV relativeFrom="paragraph">
                    <wp:posOffset>69215</wp:posOffset>
                  </wp:positionV>
                  <wp:extent cx="990600" cy="955040"/>
                  <wp:effectExtent l="0" t="0" r="0" b="10160"/>
                  <wp:wrapNone/>
                  <wp:docPr id="166" name="图片_322"/>
                  <wp:cNvGraphicFramePr/>
                  <a:graphic xmlns:a="http://schemas.openxmlformats.org/drawingml/2006/main">
                    <a:graphicData uri="http://schemas.openxmlformats.org/drawingml/2006/picture">
                      <pic:pic xmlns:pic="http://schemas.openxmlformats.org/drawingml/2006/picture">
                        <pic:nvPicPr>
                          <pic:cNvPr id="166" name="图片_322"/>
                          <pic:cNvPicPr/>
                        </pic:nvPicPr>
                        <pic:blipFill>
                          <a:blip r:embed="rId79"/>
                          <a:stretch>
                            <a:fillRect/>
                          </a:stretch>
                        </pic:blipFill>
                        <pic:spPr>
                          <a:xfrm>
                            <a:off x="0" y="0"/>
                            <a:ext cx="990600" cy="95504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6166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规格：30×18×15cm（包装尺寸） 材质：木质、金属</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孩子可以通过敲击台面上的小球，使它们坠落到琴板上，发出悦耳的</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声音，同时小木琴有个易握手柄，可以拉出来敲奏美妙的音乐。</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92A7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8BB96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6FDF92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9DCA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51</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97AC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手握敲鼓</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920B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434340</wp:posOffset>
                  </wp:positionH>
                  <wp:positionV relativeFrom="paragraph">
                    <wp:posOffset>129540</wp:posOffset>
                  </wp:positionV>
                  <wp:extent cx="666750" cy="666750"/>
                  <wp:effectExtent l="0" t="0" r="6350" b="6350"/>
                  <wp:wrapNone/>
                  <wp:docPr id="143" name="图片_115"/>
                  <wp:cNvGraphicFramePr/>
                  <a:graphic xmlns:a="http://schemas.openxmlformats.org/drawingml/2006/main">
                    <a:graphicData uri="http://schemas.openxmlformats.org/drawingml/2006/picture">
                      <pic:pic xmlns:pic="http://schemas.openxmlformats.org/drawingml/2006/picture">
                        <pic:nvPicPr>
                          <pic:cNvPr id="143" name="图片_115"/>
                          <pic:cNvPicPr/>
                        </pic:nvPicPr>
                        <pic:blipFill>
                          <a:blip r:embed="rId80"/>
                          <a:stretch>
                            <a:fillRect/>
                          </a:stretch>
                        </pic:blipFill>
                        <pic:spPr>
                          <a:xfrm>
                            <a:off x="0" y="0"/>
                            <a:ext cx="666750" cy="66675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21457">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材质：木制+牛皮</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尺寸：约20×9cm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手握鼓槌敲击，演奏出独特的音色，</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手握敲鼓操作简单、携带方便，可</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让幼儿在自由操作的过程中感受</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音色变化。</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4673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891FD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2E92DD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41F1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52</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6D354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手铃</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A704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139700</wp:posOffset>
                  </wp:positionH>
                  <wp:positionV relativeFrom="paragraph">
                    <wp:posOffset>203200</wp:posOffset>
                  </wp:positionV>
                  <wp:extent cx="1165225" cy="766445"/>
                  <wp:effectExtent l="0" t="0" r="3175" b="8255"/>
                  <wp:wrapNone/>
                  <wp:docPr id="146" name="图片_152"/>
                  <wp:cNvGraphicFramePr/>
                  <a:graphic xmlns:a="http://schemas.openxmlformats.org/drawingml/2006/main">
                    <a:graphicData uri="http://schemas.openxmlformats.org/drawingml/2006/picture">
                      <pic:pic xmlns:pic="http://schemas.openxmlformats.org/drawingml/2006/picture">
                        <pic:nvPicPr>
                          <pic:cNvPr id="146" name="图片_152"/>
                          <pic:cNvPicPr/>
                        </pic:nvPicPr>
                        <pic:blipFill>
                          <a:blip r:embed="rId81"/>
                          <a:stretch>
                            <a:fillRect/>
                          </a:stretch>
                        </pic:blipFill>
                        <pic:spPr>
                          <a:xfrm>
                            <a:off x="0" y="0"/>
                            <a:ext cx="1165225" cy="76644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6D83D7">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1.产品尺寸：147mm（单个手铃高度）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 xml:space="preserve">2.配件说明：8个手铃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3.产品材质：金属</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984D3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743A0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22A177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F922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53</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0FEF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棒形雪铃</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892D5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232410</wp:posOffset>
                  </wp:positionH>
                  <wp:positionV relativeFrom="paragraph">
                    <wp:posOffset>178435</wp:posOffset>
                  </wp:positionV>
                  <wp:extent cx="880745" cy="880745"/>
                  <wp:effectExtent l="0" t="0" r="8255" b="8255"/>
                  <wp:wrapNone/>
                  <wp:docPr id="171" name="图片_127"/>
                  <wp:cNvGraphicFramePr/>
                  <a:graphic xmlns:a="http://schemas.openxmlformats.org/drawingml/2006/main">
                    <a:graphicData uri="http://schemas.openxmlformats.org/drawingml/2006/picture">
                      <pic:pic xmlns:pic="http://schemas.openxmlformats.org/drawingml/2006/picture">
                        <pic:nvPicPr>
                          <pic:cNvPr id="171" name="图片_127"/>
                          <pic:cNvPicPr/>
                        </pic:nvPicPr>
                        <pic:blipFill>
                          <a:blip r:embed="rId82"/>
                          <a:stretch>
                            <a:fillRect/>
                          </a:stretch>
                        </pic:blipFill>
                        <pic:spPr>
                          <a:xfrm>
                            <a:off x="0" y="0"/>
                            <a:ext cx="880745" cy="88074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24BAB">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材质：木制+金属尺寸：长约26cm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内含棒形雪铃1件。棒形雪铃是木棒形状带着铃</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铛的打击乐器，轻轻晃动手臂，发出叮铃铃的响声，</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声音清脆而响亮，幼儿在自由操作的过程中感受</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音乐的韵律感，锻炼手腕和手臂力量。</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4F22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FFA7E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0268EB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30590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54</w:t>
            </w:r>
          </w:p>
        </w:tc>
        <w:tc>
          <w:tcPr>
            <w:tcW w:w="1544" w:type="dxa"/>
            <w:tcBorders>
              <w:top w:val="single" w:color="000000" w:sz="4" w:space="0"/>
              <w:left w:val="single" w:color="000000" w:sz="4" w:space="0"/>
              <w:bottom w:val="nil"/>
              <w:right w:val="single" w:color="000000" w:sz="4" w:space="0"/>
            </w:tcBorders>
            <w:shd w:val="clear" w:color="auto" w:fill="auto"/>
            <w:vAlign w:val="center"/>
          </w:tcPr>
          <w:p w14:paraId="31B5200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6寸手鼓</w:t>
            </w:r>
          </w:p>
        </w:tc>
        <w:tc>
          <w:tcPr>
            <w:tcW w:w="2500" w:type="dxa"/>
            <w:tcBorders>
              <w:top w:val="single" w:color="000000" w:sz="4" w:space="0"/>
              <w:left w:val="single" w:color="000000" w:sz="4" w:space="0"/>
              <w:bottom w:val="nil"/>
              <w:right w:val="single" w:color="000000" w:sz="4" w:space="0"/>
            </w:tcBorders>
            <w:shd w:val="clear" w:color="auto" w:fill="auto"/>
            <w:noWrap/>
            <w:vAlign w:val="center"/>
          </w:tcPr>
          <w:p w14:paraId="0C86A0D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147320</wp:posOffset>
                  </wp:positionH>
                  <wp:positionV relativeFrom="paragraph">
                    <wp:posOffset>67945</wp:posOffset>
                  </wp:positionV>
                  <wp:extent cx="1178560" cy="996315"/>
                  <wp:effectExtent l="0" t="0" r="2540" b="6985"/>
                  <wp:wrapNone/>
                  <wp:docPr id="168" name="Picture_28"/>
                  <wp:cNvGraphicFramePr/>
                  <a:graphic xmlns:a="http://schemas.openxmlformats.org/drawingml/2006/main">
                    <a:graphicData uri="http://schemas.openxmlformats.org/drawingml/2006/picture">
                      <pic:pic xmlns:pic="http://schemas.openxmlformats.org/drawingml/2006/picture">
                        <pic:nvPicPr>
                          <pic:cNvPr id="168" name="Picture_28"/>
                          <pic:cNvPicPr/>
                        </pic:nvPicPr>
                        <pic:blipFill>
                          <a:blip r:embed="rId83"/>
                          <a:stretch>
                            <a:fillRect/>
                          </a:stretch>
                        </pic:blipFill>
                        <pic:spPr>
                          <a:xfrm>
                            <a:off x="0" y="0"/>
                            <a:ext cx="1178560" cy="996315"/>
                          </a:xfrm>
                          <a:prstGeom prst="rect">
                            <a:avLst/>
                          </a:prstGeom>
                          <a:noFill/>
                          <a:ln>
                            <a:noFill/>
                          </a:ln>
                        </pic:spPr>
                      </pic:pic>
                    </a:graphicData>
                  </a:graphic>
                </wp:anchor>
              </w:drawing>
            </w:r>
          </w:p>
        </w:tc>
        <w:tc>
          <w:tcPr>
            <w:tcW w:w="5681" w:type="dxa"/>
            <w:tcBorders>
              <w:top w:val="single" w:color="000000" w:sz="4" w:space="0"/>
              <w:left w:val="single" w:color="000000" w:sz="4" w:space="0"/>
              <w:bottom w:val="nil"/>
              <w:right w:val="single" w:color="000000" w:sz="4" w:space="0"/>
            </w:tcBorders>
            <w:shd w:val="clear" w:color="auto" w:fill="auto"/>
            <w:vAlign w:val="center"/>
          </w:tcPr>
          <w:p w14:paraId="0482B574">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规格：4.5×Φ15cm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材质：木制鼓圈、聚酯鼓皮</w:t>
            </w:r>
          </w:p>
        </w:tc>
        <w:tc>
          <w:tcPr>
            <w:tcW w:w="1170" w:type="dxa"/>
            <w:tcBorders>
              <w:top w:val="single" w:color="000000" w:sz="4" w:space="0"/>
              <w:left w:val="single" w:color="000000" w:sz="4" w:space="0"/>
              <w:bottom w:val="nil"/>
              <w:right w:val="single" w:color="000000" w:sz="4" w:space="0"/>
            </w:tcBorders>
            <w:shd w:val="clear" w:color="auto" w:fill="auto"/>
            <w:vAlign w:val="center"/>
          </w:tcPr>
          <w:p w14:paraId="1FD8CC7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nil"/>
              <w:right w:val="single" w:color="000000" w:sz="4" w:space="0"/>
            </w:tcBorders>
            <w:shd w:val="clear" w:color="auto" w:fill="auto"/>
            <w:noWrap/>
            <w:vAlign w:val="center"/>
          </w:tcPr>
          <w:p w14:paraId="778C575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25D67D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23"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E583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55</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B7D95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海洋动物钓鱼乐</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495FF3">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181610</wp:posOffset>
                  </wp:positionH>
                  <wp:positionV relativeFrom="paragraph">
                    <wp:posOffset>83820</wp:posOffset>
                  </wp:positionV>
                  <wp:extent cx="952500" cy="952500"/>
                  <wp:effectExtent l="0" t="0" r="0" b="0"/>
                  <wp:wrapNone/>
                  <wp:docPr id="169" name="图片_4"/>
                  <wp:cNvGraphicFramePr/>
                  <a:graphic xmlns:a="http://schemas.openxmlformats.org/drawingml/2006/main">
                    <a:graphicData uri="http://schemas.openxmlformats.org/drawingml/2006/picture">
                      <pic:pic xmlns:pic="http://schemas.openxmlformats.org/drawingml/2006/picture">
                        <pic:nvPicPr>
                          <pic:cNvPr id="169" name="图片_4"/>
                          <pic:cNvPicPr/>
                        </pic:nvPicPr>
                        <pic:blipFill>
                          <a:blip r:embed="rId84"/>
                          <a:stretch>
                            <a:fillRect/>
                          </a:stretch>
                        </pic:blipFill>
                        <pic:spPr>
                          <a:xfrm>
                            <a:off x="0" y="0"/>
                            <a:ext cx="952500" cy="95250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D2DC3D">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材质：塑料，布艺尺寸：海洋垫直径约：40cm,螃蟹约：9.2×5.4×2.9cm超大的海洋背景地垫，配有品种多样、颜色鲜艳的海洋鱼类以及钓竿，锻炼幼儿手眼协调能力，也可双人对战，挑战眼疾手快</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65A47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5D6BF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个</w:t>
            </w:r>
          </w:p>
        </w:tc>
      </w:tr>
      <w:tr w14:paraId="0378E7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021B6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56</w:t>
            </w:r>
          </w:p>
        </w:tc>
        <w:tc>
          <w:tcPr>
            <w:tcW w:w="1544" w:type="dxa"/>
            <w:tcBorders>
              <w:top w:val="nil"/>
              <w:left w:val="single" w:color="000000" w:sz="4" w:space="0"/>
              <w:bottom w:val="single" w:color="000000" w:sz="4" w:space="0"/>
              <w:right w:val="single" w:color="000000" w:sz="4" w:space="0"/>
            </w:tcBorders>
            <w:shd w:val="clear" w:color="auto" w:fill="auto"/>
            <w:vAlign w:val="center"/>
          </w:tcPr>
          <w:p w14:paraId="1C277B7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磁力魔块</w:t>
            </w:r>
          </w:p>
        </w:tc>
        <w:tc>
          <w:tcPr>
            <w:tcW w:w="2500" w:type="dxa"/>
            <w:tcBorders>
              <w:top w:val="nil"/>
              <w:left w:val="single" w:color="000000" w:sz="4" w:space="0"/>
              <w:bottom w:val="single" w:color="000000" w:sz="4" w:space="0"/>
              <w:right w:val="single" w:color="000000" w:sz="4" w:space="0"/>
            </w:tcBorders>
            <w:shd w:val="clear" w:color="auto" w:fill="auto"/>
            <w:vAlign w:val="center"/>
          </w:tcPr>
          <w:p w14:paraId="48D2C7CD">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305435</wp:posOffset>
                  </wp:positionH>
                  <wp:positionV relativeFrom="paragraph">
                    <wp:posOffset>41910</wp:posOffset>
                  </wp:positionV>
                  <wp:extent cx="847090" cy="1233170"/>
                  <wp:effectExtent l="0" t="0" r="3810" b="11430"/>
                  <wp:wrapNone/>
                  <wp:docPr id="170" name="图片_75"/>
                  <wp:cNvGraphicFramePr/>
                  <a:graphic xmlns:a="http://schemas.openxmlformats.org/drawingml/2006/main">
                    <a:graphicData uri="http://schemas.openxmlformats.org/drawingml/2006/picture">
                      <pic:pic xmlns:pic="http://schemas.openxmlformats.org/drawingml/2006/picture">
                        <pic:nvPicPr>
                          <pic:cNvPr id="170" name="图片_75"/>
                          <pic:cNvPicPr/>
                        </pic:nvPicPr>
                        <pic:blipFill>
                          <a:blip r:embed="rId85"/>
                          <a:stretch>
                            <a:fillRect/>
                          </a:stretch>
                        </pic:blipFill>
                        <pic:spPr>
                          <a:xfrm>
                            <a:off x="0" y="0"/>
                            <a:ext cx="847090" cy="1233170"/>
                          </a:xfrm>
                          <a:prstGeom prst="rect">
                            <a:avLst/>
                          </a:prstGeom>
                          <a:noFill/>
                          <a:ln>
                            <a:noFill/>
                          </a:ln>
                        </pic:spPr>
                      </pic:pic>
                    </a:graphicData>
                  </a:graphic>
                </wp:anchor>
              </w:drawing>
            </w:r>
          </w:p>
        </w:tc>
        <w:tc>
          <w:tcPr>
            <w:tcW w:w="5681" w:type="dxa"/>
            <w:tcBorders>
              <w:top w:val="nil"/>
              <w:left w:val="single" w:color="000000" w:sz="4" w:space="0"/>
              <w:bottom w:val="single" w:color="000000" w:sz="4" w:space="0"/>
              <w:right w:val="single" w:color="000000" w:sz="4" w:space="0"/>
            </w:tcBorders>
            <w:shd w:val="clear" w:color="auto" w:fill="auto"/>
            <w:vAlign w:val="center"/>
          </w:tcPr>
          <w:p w14:paraId="6787C7E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材质：塑料、磁铁</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尺寸：磁力块最长约 3.7×3.7×8.4cm、最短约 3.7×2.4cm、操作卡 20×14cm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内含磁力块 35 件、操作卡 5 件。大颗粒的磁性拼搭，磁力强，经久耐玩，适</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合幼儿拼搭。幼儿可以动手拼装出多种造型，实现百变拼搭。也可以让幼儿</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在拼搭中迁移磁铁同极相斥、异极相吸的特性。同时，丰富搭建主题，可以</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充分培养幼儿的思维能力和想象力。</w:t>
            </w:r>
          </w:p>
        </w:tc>
        <w:tc>
          <w:tcPr>
            <w:tcW w:w="1170" w:type="dxa"/>
            <w:tcBorders>
              <w:top w:val="nil"/>
              <w:left w:val="single" w:color="000000" w:sz="4" w:space="0"/>
              <w:bottom w:val="single" w:color="000000" w:sz="4" w:space="0"/>
              <w:right w:val="single" w:color="000000" w:sz="4" w:space="0"/>
            </w:tcBorders>
            <w:shd w:val="clear" w:color="auto" w:fill="auto"/>
            <w:vAlign w:val="center"/>
          </w:tcPr>
          <w:p w14:paraId="7BDFD21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70" w:type="dxa"/>
            <w:tcBorders>
              <w:top w:val="nil"/>
              <w:left w:val="single" w:color="000000" w:sz="4" w:space="0"/>
              <w:bottom w:val="single" w:color="000000" w:sz="4" w:space="0"/>
              <w:right w:val="single" w:color="000000" w:sz="4" w:space="0"/>
            </w:tcBorders>
            <w:shd w:val="clear" w:color="auto" w:fill="auto"/>
            <w:vAlign w:val="center"/>
          </w:tcPr>
          <w:p w14:paraId="6F34CD2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盒</w:t>
            </w:r>
          </w:p>
        </w:tc>
      </w:tr>
      <w:tr w14:paraId="098D98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23"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3A17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57</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ED535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镜面积木</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76615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365125</wp:posOffset>
                  </wp:positionH>
                  <wp:positionV relativeFrom="paragraph">
                    <wp:posOffset>168275</wp:posOffset>
                  </wp:positionV>
                  <wp:extent cx="806450" cy="1015365"/>
                  <wp:effectExtent l="0" t="0" r="6350" b="635"/>
                  <wp:wrapNone/>
                  <wp:docPr id="102" name="图片_76"/>
                  <wp:cNvGraphicFramePr/>
                  <a:graphic xmlns:a="http://schemas.openxmlformats.org/drawingml/2006/main">
                    <a:graphicData uri="http://schemas.openxmlformats.org/drawingml/2006/picture">
                      <pic:pic xmlns:pic="http://schemas.openxmlformats.org/drawingml/2006/picture">
                        <pic:nvPicPr>
                          <pic:cNvPr id="102" name="图片_76"/>
                          <pic:cNvPicPr/>
                        </pic:nvPicPr>
                        <pic:blipFill>
                          <a:blip r:embed="rId86"/>
                          <a:stretch>
                            <a:fillRect/>
                          </a:stretch>
                        </pic:blipFill>
                        <pic:spPr>
                          <a:xfrm>
                            <a:off x="0" y="0"/>
                            <a:ext cx="806450" cy="101536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C2499">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材质：EVA、PET 尺寸：70×40×29cm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大而厚的镜面积木，适合幼儿小手抓握和堆叠，</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颜色亮丽的积木边框，防碎的镜面，激发幼儿探</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索堆叠的欲望。</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83623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ABF53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7888D8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3"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A978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58</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9C1B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美发设计师</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28301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242570</wp:posOffset>
                  </wp:positionH>
                  <wp:positionV relativeFrom="paragraph">
                    <wp:posOffset>160655</wp:posOffset>
                  </wp:positionV>
                  <wp:extent cx="1119505" cy="1090930"/>
                  <wp:effectExtent l="0" t="0" r="10795" b="1270"/>
                  <wp:wrapNone/>
                  <wp:docPr id="103" name="图片_77"/>
                  <wp:cNvGraphicFramePr/>
                  <a:graphic xmlns:a="http://schemas.openxmlformats.org/drawingml/2006/main">
                    <a:graphicData uri="http://schemas.openxmlformats.org/drawingml/2006/picture">
                      <pic:pic xmlns:pic="http://schemas.openxmlformats.org/drawingml/2006/picture">
                        <pic:nvPicPr>
                          <pic:cNvPr id="103" name="图片_77"/>
                          <pic:cNvPicPr/>
                        </pic:nvPicPr>
                        <pic:blipFill>
                          <a:blip r:embed="rId87"/>
                          <a:stretch>
                            <a:fillRect/>
                          </a:stretch>
                        </pic:blipFill>
                        <pic:spPr>
                          <a:xfrm>
                            <a:off x="0" y="0"/>
                            <a:ext cx="1119505" cy="109093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F604B">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材质：PVC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尺寸：收纳包尺寸长约 21cm，高约 13cm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配置：工具包 x1、吹风机 x、镜子 x、梳子 x1、造型夹 x1、洗发乳瓶 x1</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仿真的专业美发工具，让幼儿变身美发造型师，满足幼儿设计百变发型。促</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进想象力的发挥，适合美发主题的扮演游戏。</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178B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548A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3547D2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3"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75D3B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59</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5C716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木制扮演交通车</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EC015E">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279400</wp:posOffset>
                  </wp:positionH>
                  <wp:positionV relativeFrom="paragraph">
                    <wp:posOffset>45720</wp:posOffset>
                  </wp:positionV>
                  <wp:extent cx="1149350" cy="1146810"/>
                  <wp:effectExtent l="0" t="0" r="6350" b="8890"/>
                  <wp:wrapNone/>
                  <wp:docPr id="101" name="图片_78"/>
                  <wp:cNvGraphicFramePr/>
                  <a:graphic xmlns:a="http://schemas.openxmlformats.org/drawingml/2006/main">
                    <a:graphicData uri="http://schemas.openxmlformats.org/drawingml/2006/picture">
                      <pic:pic xmlns:pic="http://schemas.openxmlformats.org/drawingml/2006/picture">
                        <pic:nvPicPr>
                          <pic:cNvPr id="101" name="图片_78"/>
                          <pic:cNvPicPr/>
                        </pic:nvPicPr>
                        <pic:blipFill>
                          <a:blip r:embed="rId88"/>
                          <a:stretch>
                            <a:fillRect/>
                          </a:stretch>
                        </pic:blipFill>
                        <pic:spPr>
                          <a:xfrm>
                            <a:off x="0" y="0"/>
                            <a:ext cx="1149350" cy="114681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FF1E7">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材质：PE、榉木 尺寸：每辆车长约 6.3-8.2cm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套装内含 15 辆微型硬木车辆，内含轿车，卡车，</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公共汽车及其它。各式各样的木质交通车，重量轻，</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易推动。在游戏中，幼儿可以认知不同的车辆和</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对应职业，如知道什么是救护车，什么是消防车，</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什么是警车，获得社会经验，发展语言能力。</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F4C4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FAAEA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24F2BE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60"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877DE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60</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6E6D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仿真水果组</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E0D8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327025</wp:posOffset>
                  </wp:positionH>
                  <wp:positionV relativeFrom="paragraph">
                    <wp:posOffset>122555</wp:posOffset>
                  </wp:positionV>
                  <wp:extent cx="1054100" cy="1107440"/>
                  <wp:effectExtent l="0" t="0" r="0" b="10160"/>
                  <wp:wrapNone/>
                  <wp:docPr id="104" name="图片_89"/>
                  <wp:cNvGraphicFramePr/>
                  <a:graphic xmlns:a="http://schemas.openxmlformats.org/drawingml/2006/main">
                    <a:graphicData uri="http://schemas.openxmlformats.org/drawingml/2006/picture">
                      <pic:pic xmlns:pic="http://schemas.openxmlformats.org/drawingml/2006/picture">
                        <pic:nvPicPr>
                          <pic:cNvPr id="104" name="图片_89"/>
                          <pic:cNvPicPr/>
                        </pic:nvPicPr>
                        <pic:blipFill>
                          <a:blip r:embed="rId89"/>
                          <a:stretch>
                            <a:fillRect/>
                          </a:stretch>
                        </pic:blipFill>
                        <pic:spPr>
                          <a:xfrm>
                            <a:off x="0" y="0"/>
                            <a:ext cx="1054100" cy="110744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2FF29">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材质：PVC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产品尺寸：香蕉约18×4cm，橙子约7×7cm,苹果约7×7cm,桃子约5.5×6cm,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柠檬约 5×6cm, 草莓约 5×4cm，黑布林约 5.5×5.5cm，青梨约 8×6.5cm，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收纳篮约 26×17×13cm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丰巢结构，打造科技视觉效果，中空设计重量轻，是收纳、扮演游戏时的好</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道具。</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5249A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F3D84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09DB48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3"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1EF6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61</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BE39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散步手拉绳</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E66C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83820</wp:posOffset>
                  </wp:positionH>
                  <wp:positionV relativeFrom="paragraph">
                    <wp:posOffset>236220</wp:posOffset>
                  </wp:positionV>
                  <wp:extent cx="1357630" cy="815340"/>
                  <wp:effectExtent l="0" t="0" r="1270" b="10160"/>
                  <wp:wrapNone/>
                  <wp:docPr id="100" name="图片_79"/>
                  <wp:cNvGraphicFramePr/>
                  <a:graphic xmlns:a="http://schemas.openxmlformats.org/drawingml/2006/main">
                    <a:graphicData uri="http://schemas.openxmlformats.org/drawingml/2006/picture">
                      <pic:pic xmlns:pic="http://schemas.openxmlformats.org/drawingml/2006/picture">
                        <pic:nvPicPr>
                          <pic:cNvPr id="100" name="图片_79"/>
                          <pic:cNvPicPr/>
                        </pic:nvPicPr>
                        <pic:blipFill>
                          <a:blip r:embed="rId90"/>
                          <a:stretch>
                            <a:fillRect/>
                          </a:stretch>
                        </pic:blipFill>
                        <pic:spPr>
                          <a:xfrm>
                            <a:off x="0" y="0"/>
                            <a:ext cx="1357630" cy="81534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B814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材质：乙烯基、聚酯纤维填料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 xml:space="preserve">尺寸：450cm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10 个不同颜色的色环，每个色环可以同时供 2 位幼儿抓握并使用，在带领幼儿出门或活动时，是很不错</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的辅助工具。</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59DE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A9B19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条</w:t>
            </w:r>
          </w:p>
        </w:tc>
      </w:tr>
      <w:tr w14:paraId="0499F1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23"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48DA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62</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2A9D8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排序汉堡</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7E9253">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262255</wp:posOffset>
                  </wp:positionH>
                  <wp:positionV relativeFrom="paragraph">
                    <wp:posOffset>72390</wp:posOffset>
                  </wp:positionV>
                  <wp:extent cx="1061720" cy="1240790"/>
                  <wp:effectExtent l="0" t="0" r="5080" b="3810"/>
                  <wp:wrapNone/>
                  <wp:docPr id="99" name="图片_80_SpCnt_1"/>
                  <wp:cNvGraphicFramePr/>
                  <a:graphic xmlns:a="http://schemas.openxmlformats.org/drawingml/2006/main">
                    <a:graphicData uri="http://schemas.openxmlformats.org/drawingml/2006/picture">
                      <pic:pic xmlns:pic="http://schemas.openxmlformats.org/drawingml/2006/picture">
                        <pic:nvPicPr>
                          <pic:cNvPr id="99" name="图片_80_SpCnt_1"/>
                          <pic:cNvPicPr/>
                        </pic:nvPicPr>
                        <pic:blipFill>
                          <a:blip r:embed="rId91"/>
                          <a:stretch>
                            <a:fillRect/>
                          </a:stretch>
                        </pic:blipFill>
                        <pic:spPr>
                          <a:xfrm>
                            <a:off x="0" y="0"/>
                            <a:ext cx="1061720" cy="124079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CED071">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材质：木制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 xml:space="preserve">尺寸：每个卡片长约 14cm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内含 1 个木质底座、7 个木质美食和 10 张活动</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操作卡内。根据操作卡，做出美味的汉堡吧！发</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展幼儿手眼协调能力、学习排序。</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E678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48D5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76666A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23"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751A8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63</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E2A45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表情先生</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C4ECE2">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290195</wp:posOffset>
                  </wp:positionH>
                  <wp:positionV relativeFrom="paragraph">
                    <wp:posOffset>91440</wp:posOffset>
                  </wp:positionV>
                  <wp:extent cx="1024255" cy="1104265"/>
                  <wp:effectExtent l="0" t="0" r="4445" b="635"/>
                  <wp:wrapNone/>
                  <wp:docPr id="105" name="图片_81"/>
                  <wp:cNvGraphicFramePr/>
                  <a:graphic xmlns:a="http://schemas.openxmlformats.org/drawingml/2006/main">
                    <a:graphicData uri="http://schemas.openxmlformats.org/drawingml/2006/picture">
                      <pic:pic xmlns:pic="http://schemas.openxmlformats.org/drawingml/2006/picture">
                        <pic:nvPicPr>
                          <pic:cNvPr id="105" name="图片_81"/>
                          <pic:cNvPicPr/>
                        </pic:nvPicPr>
                        <pic:blipFill>
                          <a:blip r:embed="rId92"/>
                          <a:stretch>
                            <a:fillRect/>
                          </a:stretch>
                        </pic:blipFill>
                        <pic:spPr>
                          <a:xfrm>
                            <a:off x="0" y="0"/>
                            <a:ext cx="1024255" cy="110426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1419A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材质：绒布、不织布 约尺寸：50×70 cm 脸型和五官背景各 1 个、眉毛 4 副、眼睛 5 对、 鼻子 1 个、嘴巴 5 个。表情先生可自由黏贴变换 各种表情。有惊喜、愤怒、忧愁、恐惧或欢乐等 各种表情，帮助幼儿学会正确表达自己的情绪。</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5ADD8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27454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03F99F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23"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5F85B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64</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41C61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表情女士</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DD3FC3">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288925</wp:posOffset>
                  </wp:positionH>
                  <wp:positionV relativeFrom="paragraph">
                    <wp:posOffset>110490</wp:posOffset>
                  </wp:positionV>
                  <wp:extent cx="968375" cy="1070610"/>
                  <wp:effectExtent l="0" t="0" r="9525" b="8890"/>
                  <wp:wrapNone/>
                  <wp:docPr id="106" name="图片_82"/>
                  <wp:cNvGraphicFramePr/>
                  <a:graphic xmlns:a="http://schemas.openxmlformats.org/drawingml/2006/main">
                    <a:graphicData uri="http://schemas.openxmlformats.org/drawingml/2006/picture">
                      <pic:pic xmlns:pic="http://schemas.openxmlformats.org/drawingml/2006/picture">
                        <pic:nvPicPr>
                          <pic:cNvPr id="106" name="图片_82"/>
                          <pic:cNvPicPr/>
                        </pic:nvPicPr>
                        <pic:blipFill>
                          <a:blip r:embed="rId93"/>
                          <a:stretch>
                            <a:fillRect/>
                          </a:stretch>
                        </pic:blipFill>
                        <pic:spPr>
                          <a:xfrm>
                            <a:off x="0" y="0"/>
                            <a:ext cx="968375" cy="107061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66E40D">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材质：绒布、不织布 约尺寸：50×70 cm 脸型和五官背景各 1 个、眉毛 4 副、眼睛 5 对、 鼻子 1 个、嘴巴 5 个。表情先生可自由黏贴变换 各种表情。有惊喜、愤怒、忧愁、恐惧或欢乐等 各种表情，帮助幼儿学会正确表达自己的情绪。</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B3A0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409C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0FD5C9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23"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8615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65</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CD23B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魔法猜猜盒</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446AB">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219075</wp:posOffset>
                  </wp:positionH>
                  <wp:positionV relativeFrom="paragraph">
                    <wp:posOffset>210185</wp:posOffset>
                  </wp:positionV>
                  <wp:extent cx="1171575" cy="1059180"/>
                  <wp:effectExtent l="0" t="0" r="9525" b="7620"/>
                  <wp:wrapNone/>
                  <wp:docPr id="108" name="图片_83"/>
                  <wp:cNvGraphicFramePr/>
                  <a:graphic xmlns:a="http://schemas.openxmlformats.org/drawingml/2006/main">
                    <a:graphicData uri="http://schemas.openxmlformats.org/drawingml/2006/picture">
                      <pic:pic xmlns:pic="http://schemas.openxmlformats.org/drawingml/2006/picture">
                        <pic:nvPicPr>
                          <pic:cNvPr id="108" name="图片_83"/>
                          <pic:cNvPicPr/>
                        </pic:nvPicPr>
                        <pic:blipFill>
                          <a:blip r:embed="rId94"/>
                          <a:stretch>
                            <a:fillRect/>
                          </a:stretch>
                        </pic:blipFill>
                        <pic:spPr>
                          <a:xfrm>
                            <a:off x="0" y="0"/>
                            <a:ext cx="1171575" cy="105918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12D11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材质：天鹅绒、聚酯纤维 尺寸：盒子长约 18cm 将小手伸进魔法盒里，看看魔法盒里会有些什 么？摸上去柔软、圆圆无棱角的会是什么呢？10 种不同的感官物体，让幼儿通过触摸，猜猜自己 摸到的是什么。促进幼儿感官知觉能力与思维能 力的发展。</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D748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CDC53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4A8584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3"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CC15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66</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3132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堆叠杯 9 件套</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078C5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325755</wp:posOffset>
                  </wp:positionH>
                  <wp:positionV relativeFrom="paragraph">
                    <wp:posOffset>167640</wp:posOffset>
                  </wp:positionV>
                  <wp:extent cx="1045845" cy="1017905"/>
                  <wp:effectExtent l="0" t="0" r="8255" b="10795"/>
                  <wp:wrapNone/>
                  <wp:docPr id="107" name="图片_84"/>
                  <wp:cNvGraphicFramePr/>
                  <a:graphic xmlns:a="http://schemas.openxmlformats.org/drawingml/2006/main">
                    <a:graphicData uri="http://schemas.openxmlformats.org/drawingml/2006/picture">
                      <pic:pic xmlns:pic="http://schemas.openxmlformats.org/drawingml/2006/picture">
                        <pic:nvPicPr>
                          <pic:cNvPr id="107" name="图片_84"/>
                          <pic:cNvPicPr/>
                        </pic:nvPicPr>
                        <pic:blipFill>
                          <a:blip r:embed="rId95"/>
                          <a:stretch>
                            <a:fillRect/>
                          </a:stretch>
                        </pic:blipFill>
                        <pic:spPr>
                          <a:xfrm>
                            <a:off x="0" y="0"/>
                            <a:ext cx="1045845" cy="101790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3F1937">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材质：PP 尺寸：最大单件底部直径约 9cm，高度约 9cm 可以堆叠、分类、建造、拆除，学习堆叠本领！底部镂空设计，可以用手电筒照着玩， 还可以用来堆沙子、做洗澡时的玩水工具、盛放零碎小物件等。</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BB9E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95D13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3D1444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3"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3ACDE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67</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E9DC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图腾搭搭乐</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3043CE">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295910</wp:posOffset>
                  </wp:positionH>
                  <wp:positionV relativeFrom="paragraph">
                    <wp:posOffset>121285</wp:posOffset>
                  </wp:positionV>
                  <wp:extent cx="1018540" cy="1094105"/>
                  <wp:effectExtent l="0" t="0" r="10160" b="10795"/>
                  <wp:wrapNone/>
                  <wp:docPr id="109" name="图片_85"/>
                  <wp:cNvGraphicFramePr/>
                  <a:graphic xmlns:a="http://schemas.openxmlformats.org/drawingml/2006/main">
                    <a:graphicData uri="http://schemas.openxmlformats.org/drawingml/2006/picture">
                      <pic:pic xmlns:pic="http://schemas.openxmlformats.org/drawingml/2006/picture">
                        <pic:nvPicPr>
                          <pic:cNvPr id="109" name="图片_85"/>
                          <pic:cNvPicPr/>
                        </pic:nvPicPr>
                        <pic:blipFill>
                          <a:blip r:embed="rId96"/>
                          <a:stretch>
                            <a:fillRect/>
                          </a:stretch>
                        </pic:blipFill>
                        <pic:spPr>
                          <a:xfrm>
                            <a:off x="0" y="0"/>
                            <a:ext cx="1018540" cy="109410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B0808A">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材质：安全环保塑料 尺寸：约 24.5×24×6cm 内含游戏底座 1 件，图腾 4 件，半圆的磁力球 1 件，兔耳朵 1 件，短棒 1 件。 24 个关卡，12 张题卡，根据题卡要求，正确摆放积木的顺序和方向，也可以 发挥创造力和想象力，拼搭出更多造型，认知和识别形状。循序渐进，能力 MAX ！萌趣卡通造型，搭配鲜艳的颜色、独特的声音，让幼儿在游戏的过程 中收获快乐。</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0F7A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23C6F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28F7BF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3"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BB5F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68</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8D94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颜色形状配对板</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DD6603">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278130</wp:posOffset>
                  </wp:positionH>
                  <wp:positionV relativeFrom="paragraph">
                    <wp:posOffset>201295</wp:posOffset>
                  </wp:positionV>
                  <wp:extent cx="950595" cy="908685"/>
                  <wp:effectExtent l="0" t="0" r="1905" b="5715"/>
                  <wp:wrapNone/>
                  <wp:docPr id="110" name="图片_86"/>
                  <wp:cNvGraphicFramePr/>
                  <a:graphic xmlns:a="http://schemas.openxmlformats.org/drawingml/2006/main">
                    <a:graphicData uri="http://schemas.openxmlformats.org/drawingml/2006/picture">
                      <pic:pic xmlns:pic="http://schemas.openxmlformats.org/drawingml/2006/picture">
                        <pic:nvPicPr>
                          <pic:cNvPr id="110" name="图片_86"/>
                          <pic:cNvPicPr/>
                        </pic:nvPicPr>
                        <pic:blipFill>
                          <a:blip r:embed="rId97"/>
                          <a:stretch>
                            <a:fillRect/>
                          </a:stretch>
                        </pic:blipFill>
                        <pic:spPr>
                          <a:xfrm>
                            <a:off x="0" y="0"/>
                            <a:ext cx="950595" cy="90868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4B1574">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材质：胶合板、山毛榉 尺寸：底板尺寸约 19×19cm 1 个底座、4 种不同形状和颜色的积木块 16 个，每个积木块上有不同数量 的小圆孔。帮助幼儿认知颜色和形状，感知数量和分类，锻炼幼儿手眼协调 能力和逻辑思维能力。</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99868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0991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18940E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3"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1B624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69</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9D7F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乐器套装 10 件组</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20468">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160655</wp:posOffset>
                  </wp:positionH>
                  <wp:positionV relativeFrom="paragraph">
                    <wp:posOffset>290830</wp:posOffset>
                  </wp:positionV>
                  <wp:extent cx="1249045" cy="830580"/>
                  <wp:effectExtent l="0" t="0" r="8255" b="7620"/>
                  <wp:wrapNone/>
                  <wp:docPr id="172" name="图片_87"/>
                  <wp:cNvGraphicFramePr/>
                  <a:graphic xmlns:a="http://schemas.openxmlformats.org/drawingml/2006/main">
                    <a:graphicData uri="http://schemas.openxmlformats.org/drawingml/2006/picture">
                      <pic:pic xmlns:pic="http://schemas.openxmlformats.org/drawingml/2006/picture">
                        <pic:nvPicPr>
                          <pic:cNvPr id="172" name="图片_87"/>
                          <pic:cNvPicPr/>
                        </pic:nvPicPr>
                        <pic:blipFill>
                          <a:blip r:embed="rId98"/>
                          <a:stretch>
                            <a:fillRect/>
                          </a:stretch>
                        </pic:blipFill>
                        <pic:spPr>
                          <a:xfrm>
                            <a:off x="0" y="0"/>
                            <a:ext cx="1249045" cy="83058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3A28A">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材质：环保塑料 产品尺寸：敲琴 28×14×3.5cm、几何沙盒 方形 3×5cm、圆形 3×5.3cm、三角 5.1×5.5×3cm、响板 3.8×5.5cm、沙锤 6.5×16cm、雨声器 8.5×5.6cm、响板 3.8×5.5cm、海浪鼓直径 26.5cm 内含敲琴 1, 几何沙盒 方形 1, 圆形 1, 三角 1, 响板 2, 沙锤 2, 雨声器 1, 海浪鼓 1。共计 10 个。 不同乐器组合搭配，感知不同音色与节奏，激发幼儿对音乐活动的探索与兴趣。</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D6D5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0E28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533BEA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3"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90DAA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70</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AC47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轮子水管</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B80A72">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151765</wp:posOffset>
                  </wp:positionH>
                  <wp:positionV relativeFrom="paragraph">
                    <wp:posOffset>140335</wp:posOffset>
                  </wp:positionV>
                  <wp:extent cx="1257935" cy="1102360"/>
                  <wp:effectExtent l="0" t="0" r="12065" b="2540"/>
                  <wp:wrapNone/>
                  <wp:docPr id="111" name="图片_88"/>
                  <wp:cNvGraphicFramePr/>
                  <a:graphic xmlns:a="http://schemas.openxmlformats.org/drawingml/2006/main">
                    <a:graphicData uri="http://schemas.openxmlformats.org/drawingml/2006/picture">
                      <pic:pic xmlns:pic="http://schemas.openxmlformats.org/drawingml/2006/picture">
                        <pic:nvPicPr>
                          <pic:cNvPr id="111" name="图片_88"/>
                          <pic:cNvPicPr/>
                        </pic:nvPicPr>
                        <pic:blipFill>
                          <a:blip r:embed="rId99"/>
                          <a:stretch>
                            <a:fillRect/>
                          </a:stretch>
                        </pic:blipFill>
                        <pic:spPr>
                          <a:xfrm>
                            <a:off x="0" y="0"/>
                            <a:ext cx="1257935" cy="110236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4EBB7F">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材质：ABS 尺寸：直管长约 7cm、直径约 2.3cm 红色轮子4个，黄色直管10 个，黄色弯管10 个，绿色直管10 个，绿色弯管10 个， 紫色十字 4 个，紫色T 字 4 个，橙色十字 4 个，橙色T 字 4 个。适合幼儿操作、 可以创造小人、车辆等形状、锻炼小手肌肉控制能力。</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AE4B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43A2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471A66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3"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C95AD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71</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40DB5C">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泡沫积木</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C06CCE">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337185</wp:posOffset>
                  </wp:positionH>
                  <wp:positionV relativeFrom="paragraph">
                    <wp:posOffset>64770</wp:posOffset>
                  </wp:positionV>
                  <wp:extent cx="996315" cy="1203960"/>
                  <wp:effectExtent l="0" t="0" r="6985" b="2540"/>
                  <wp:wrapNone/>
                  <wp:docPr id="112" name="图片_93"/>
                  <wp:cNvGraphicFramePr/>
                  <a:graphic xmlns:a="http://schemas.openxmlformats.org/drawingml/2006/main">
                    <a:graphicData uri="http://schemas.openxmlformats.org/drawingml/2006/picture">
                      <pic:pic xmlns:pic="http://schemas.openxmlformats.org/drawingml/2006/picture">
                        <pic:nvPicPr>
                          <pic:cNvPr id="112" name="图片_93"/>
                          <pic:cNvPicPr/>
                        </pic:nvPicPr>
                        <pic:blipFill>
                          <a:blip r:embed="rId100"/>
                          <a:stretch>
                            <a:fillRect/>
                          </a:stretch>
                        </pic:blipFill>
                        <pic:spPr>
                          <a:xfrm>
                            <a:off x="0" y="0"/>
                            <a:ext cx="996315" cy="120396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17D5C">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型号: EVA积木001  产品品类: EVA/泡沫/  磁性  颜色分类: 【体验款】10CM厚58块</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FF27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C0CF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包</w:t>
            </w:r>
          </w:p>
        </w:tc>
      </w:tr>
      <w:tr w14:paraId="3A91E2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23"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BC85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72</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C7B8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安全剪刀-粉色</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283A7D">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377190</wp:posOffset>
                  </wp:positionH>
                  <wp:positionV relativeFrom="paragraph">
                    <wp:posOffset>163195</wp:posOffset>
                  </wp:positionV>
                  <wp:extent cx="832485" cy="1118870"/>
                  <wp:effectExtent l="0" t="0" r="5715" b="11430"/>
                  <wp:wrapNone/>
                  <wp:docPr id="184" name="图片_6"/>
                  <wp:cNvGraphicFramePr/>
                  <a:graphic xmlns:a="http://schemas.openxmlformats.org/drawingml/2006/main">
                    <a:graphicData uri="http://schemas.openxmlformats.org/drawingml/2006/picture">
                      <pic:pic xmlns:pic="http://schemas.openxmlformats.org/drawingml/2006/picture">
                        <pic:nvPicPr>
                          <pic:cNvPr id="184" name="图片_6"/>
                          <pic:cNvPicPr/>
                        </pic:nvPicPr>
                        <pic:blipFill>
                          <a:blip r:embed="rId101"/>
                          <a:stretch>
                            <a:fillRect/>
                          </a:stretch>
                        </pic:blipFill>
                        <pic:spPr>
                          <a:xfrm>
                            <a:off x="0" y="0"/>
                            <a:ext cx="832485" cy="111887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166F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材质：不锈钢、塑料尺寸：约13.5cm</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BB0C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20</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D5D4E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0375E8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2"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0D9C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73</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FCE7C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超轻黏土-红</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5E83BB">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391160</wp:posOffset>
                  </wp:positionH>
                  <wp:positionV relativeFrom="paragraph">
                    <wp:posOffset>24130</wp:posOffset>
                  </wp:positionV>
                  <wp:extent cx="864870" cy="864235"/>
                  <wp:effectExtent l="0" t="0" r="11430" b="12065"/>
                  <wp:wrapNone/>
                  <wp:docPr id="181" name="图片_7"/>
                  <wp:cNvGraphicFramePr/>
                  <a:graphic xmlns:a="http://schemas.openxmlformats.org/drawingml/2006/main">
                    <a:graphicData uri="http://schemas.openxmlformats.org/drawingml/2006/picture">
                      <pic:pic xmlns:pic="http://schemas.openxmlformats.org/drawingml/2006/picture">
                        <pic:nvPicPr>
                          <pic:cNvPr id="181" name="图片_7"/>
                          <pic:cNvPicPr/>
                        </pic:nvPicPr>
                        <pic:blipFill>
                          <a:blip r:embed="rId102"/>
                          <a:stretch>
                            <a:fillRect/>
                          </a:stretch>
                        </pic:blipFill>
                        <pic:spPr>
                          <a:xfrm>
                            <a:off x="0" y="0"/>
                            <a:ext cx="864870" cy="86423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AF9C9">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材质：PVA、水、甘油尺寸：约100g约14X21.5cm</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F068C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15</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FB289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232469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02"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6695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74</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C8FC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超轻黏土-黄</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5CB0F2">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362585</wp:posOffset>
                  </wp:positionH>
                  <wp:positionV relativeFrom="paragraph">
                    <wp:posOffset>52705</wp:posOffset>
                  </wp:positionV>
                  <wp:extent cx="864870" cy="864235"/>
                  <wp:effectExtent l="0" t="0" r="11430" b="12065"/>
                  <wp:wrapNone/>
                  <wp:docPr id="190" name="图片_8"/>
                  <wp:cNvGraphicFramePr/>
                  <a:graphic xmlns:a="http://schemas.openxmlformats.org/drawingml/2006/main">
                    <a:graphicData uri="http://schemas.openxmlformats.org/drawingml/2006/picture">
                      <pic:pic xmlns:pic="http://schemas.openxmlformats.org/drawingml/2006/picture">
                        <pic:nvPicPr>
                          <pic:cNvPr id="190" name="图片_8"/>
                          <pic:cNvPicPr/>
                        </pic:nvPicPr>
                        <pic:blipFill>
                          <a:blip r:embed="rId103"/>
                          <a:stretch>
                            <a:fillRect/>
                          </a:stretch>
                        </pic:blipFill>
                        <pic:spPr>
                          <a:xfrm>
                            <a:off x="0" y="0"/>
                            <a:ext cx="864870" cy="86423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6A9E4">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材质：PVA、水、甘油尺寸：约100g约14X21.5cm</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4398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15</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43C40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2EAC35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02"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E2B48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75</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3AC5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超轻黏土-蓝</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A44069">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362585</wp:posOffset>
                  </wp:positionH>
                  <wp:positionV relativeFrom="paragraph">
                    <wp:posOffset>62230</wp:posOffset>
                  </wp:positionV>
                  <wp:extent cx="864870" cy="864235"/>
                  <wp:effectExtent l="0" t="0" r="11430" b="12065"/>
                  <wp:wrapNone/>
                  <wp:docPr id="186" name="图片_9"/>
                  <wp:cNvGraphicFramePr/>
                  <a:graphic xmlns:a="http://schemas.openxmlformats.org/drawingml/2006/main">
                    <a:graphicData uri="http://schemas.openxmlformats.org/drawingml/2006/picture">
                      <pic:pic xmlns:pic="http://schemas.openxmlformats.org/drawingml/2006/picture">
                        <pic:nvPicPr>
                          <pic:cNvPr id="186" name="图片_9"/>
                          <pic:cNvPicPr/>
                        </pic:nvPicPr>
                        <pic:blipFill>
                          <a:blip r:embed="rId104"/>
                          <a:stretch>
                            <a:fillRect/>
                          </a:stretch>
                        </pic:blipFill>
                        <pic:spPr>
                          <a:xfrm>
                            <a:off x="0" y="0"/>
                            <a:ext cx="864870" cy="86423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931E7">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材质：PVA、水、甘油尺寸：约100g约14X21.5cm</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5500C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15</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A8C9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5A63CE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02"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CF1B9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76</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ADA39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超轻黏土-白</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3F61FD">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353060</wp:posOffset>
                  </wp:positionH>
                  <wp:positionV relativeFrom="paragraph">
                    <wp:posOffset>33655</wp:posOffset>
                  </wp:positionV>
                  <wp:extent cx="864870" cy="864235"/>
                  <wp:effectExtent l="0" t="0" r="11430" b="12065"/>
                  <wp:wrapNone/>
                  <wp:docPr id="189" name="图片_10"/>
                  <wp:cNvGraphicFramePr/>
                  <a:graphic xmlns:a="http://schemas.openxmlformats.org/drawingml/2006/main">
                    <a:graphicData uri="http://schemas.openxmlformats.org/drawingml/2006/picture">
                      <pic:pic xmlns:pic="http://schemas.openxmlformats.org/drawingml/2006/picture">
                        <pic:nvPicPr>
                          <pic:cNvPr id="189" name="图片_10"/>
                          <pic:cNvPicPr/>
                        </pic:nvPicPr>
                        <pic:blipFill>
                          <a:blip r:embed="rId102"/>
                          <a:stretch>
                            <a:fillRect/>
                          </a:stretch>
                        </pic:blipFill>
                        <pic:spPr>
                          <a:xfrm>
                            <a:off x="0" y="0"/>
                            <a:ext cx="864870" cy="86423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8B473">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材质：PVA、水、甘油尺寸：约100g约14X21.5cm</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B3FA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15</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EF0E5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4DA6F9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02"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94CA4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77</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92B3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超轻黏土-黑</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2CA30D">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353060</wp:posOffset>
                  </wp:positionH>
                  <wp:positionV relativeFrom="paragraph">
                    <wp:posOffset>71755</wp:posOffset>
                  </wp:positionV>
                  <wp:extent cx="864870" cy="864235"/>
                  <wp:effectExtent l="0" t="0" r="11430" b="12065"/>
                  <wp:wrapNone/>
                  <wp:docPr id="187" name="图片_11"/>
                  <wp:cNvGraphicFramePr/>
                  <a:graphic xmlns:a="http://schemas.openxmlformats.org/drawingml/2006/main">
                    <a:graphicData uri="http://schemas.openxmlformats.org/drawingml/2006/picture">
                      <pic:pic xmlns:pic="http://schemas.openxmlformats.org/drawingml/2006/picture">
                        <pic:nvPicPr>
                          <pic:cNvPr id="187" name="图片_11"/>
                          <pic:cNvPicPr/>
                        </pic:nvPicPr>
                        <pic:blipFill>
                          <a:blip r:embed="rId103"/>
                          <a:stretch>
                            <a:fillRect/>
                          </a:stretch>
                        </pic:blipFill>
                        <pic:spPr>
                          <a:xfrm>
                            <a:off x="0" y="0"/>
                            <a:ext cx="864870" cy="86423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9E0F8">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材质：PVA、水、甘油尺寸：约100g约14X21.5cm</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62CE3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15</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DB33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66DEBA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2"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BF6C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78</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ADB64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超轻黏土-绿</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2414CB">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343535</wp:posOffset>
                  </wp:positionH>
                  <wp:positionV relativeFrom="paragraph">
                    <wp:posOffset>81280</wp:posOffset>
                  </wp:positionV>
                  <wp:extent cx="864870" cy="864235"/>
                  <wp:effectExtent l="0" t="0" r="11430" b="12065"/>
                  <wp:wrapNone/>
                  <wp:docPr id="174" name="图片_12"/>
                  <wp:cNvGraphicFramePr/>
                  <a:graphic xmlns:a="http://schemas.openxmlformats.org/drawingml/2006/main">
                    <a:graphicData uri="http://schemas.openxmlformats.org/drawingml/2006/picture">
                      <pic:pic xmlns:pic="http://schemas.openxmlformats.org/drawingml/2006/picture">
                        <pic:nvPicPr>
                          <pic:cNvPr id="174" name="图片_12"/>
                          <pic:cNvPicPr/>
                        </pic:nvPicPr>
                        <pic:blipFill>
                          <a:blip r:embed="rId104"/>
                          <a:stretch>
                            <a:fillRect/>
                          </a:stretch>
                        </pic:blipFill>
                        <pic:spPr>
                          <a:xfrm>
                            <a:off x="0" y="0"/>
                            <a:ext cx="864870" cy="86423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99D38">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材质：PVA、水、甘油尺寸：约100g约14X21.5cm</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AA39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15</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88CA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020488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3"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DCEA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79</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EB466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8K绘画本</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EC51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238125</wp:posOffset>
                  </wp:positionH>
                  <wp:positionV relativeFrom="paragraph">
                    <wp:posOffset>-71120</wp:posOffset>
                  </wp:positionV>
                  <wp:extent cx="1084580" cy="1089660"/>
                  <wp:effectExtent l="0" t="0" r="7620" b="2540"/>
                  <wp:wrapNone/>
                  <wp:docPr id="173" name="图片_15"/>
                  <wp:cNvGraphicFramePr/>
                  <a:graphic xmlns:a="http://schemas.openxmlformats.org/drawingml/2006/main">
                    <a:graphicData uri="http://schemas.openxmlformats.org/drawingml/2006/picture">
                      <pic:pic xmlns:pic="http://schemas.openxmlformats.org/drawingml/2006/picture">
                        <pic:nvPicPr>
                          <pic:cNvPr id="173" name="图片_15"/>
                          <pic:cNvPicPr/>
                        </pic:nvPicPr>
                        <pic:blipFill>
                          <a:blip r:embed="rId105"/>
                          <a:stretch>
                            <a:fillRect/>
                          </a:stretch>
                        </pic:blipFill>
                        <pic:spPr>
                          <a:xfrm>
                            <a:off x="0" y="0"/>
                            <a:ext cx="1084580" cy="108966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794DF2">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材质：纸制40P</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尺寸：约265×380mm</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38B3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20</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D12A8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16AE7A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3"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8DCCD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80</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C01FD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彩窗磁力片</w:t>
            </w:r>
          </w:p>
        </w:tc>
        <w:tc>
          <w:tcPr>
            <w:tcW w:w="2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66DB9">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240665</wp:posOffset>
                  </wp:positionH>
                  <wp:positionV relativeFrom="paragraph">
                    <wp:posOffset>145415</wp:posOffset>
                  </wp:positionV>
                  <wp:extent cx="1169035" cy="1038860"/>
                  <wp:effectExtent l="0" t="0" r="12065" b="2540"/>
                  <wp:wrapNone/>
                  <wp:docPr id="177" name="图片_94"/>
                  <wp:cNvGraphicFramePr/>
                  <a:graphic xmlns:a="http://schemas.openxmlformats.org/drawingml/2006/main">
                    <a:graphicData uri="http://schemas.openxmlformats.org/drawingml/2006/picture">
                      <pic:pic xmlns:pic="http://schemas.openxmlformats.org/drawingml/2006/picture">
                        <pic:nvPicPr>
                          <pic:cNvPr id="177" name="图片_94"/>
                          <pic:cNvPicPr/>
                        </pic:nvPicPr>
                        <pic:blipFill>
                          <a:blip r:embed="rId106"/>
                          <a:stretch>
                            <a:fillRect/>
                          </a:stretch>
                        </pic:blipFill>
                        <pic:spPr>
                          <a:xfrm>
                            <a:off x="0" y="0"/>
                            <a:ext cx="1169035" cy="103886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F8B18D">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 abs积木</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AA37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FD72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5998EE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02"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5CFC6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81</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F2CA3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三角杆软头水彩笔48色</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5F6DB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280035</wp:posOffset>
                  </wp:positionH>
                  <wp:positionV relativeFrom="paragraph">
                    <wp:posOffset>106680</wp:posOffset>
                  </wp:positionV>
                  <wp:extent cx="846455" cy="836930"/>
                  <wp:effectExtent l="0" t="0" r="4445" b="1270"/>
                  <wp:wrapNone/>
                  <wp:docPr id="191" name="图片_13"/>
                  <wp:cNvGraphicFramePr/>
                  <a:graphic xmlns:a="http://schemas.openxmlformats.org/drawingml/2006/main">
                    <a:graphicData uri="http://schemas.openxmlformats.org/drawingml/2006/picture">
                      <pic:pic xmlns:pic="http://schemas.openxmlformats.org/drawingml/2006/picture">
                        <pic:nvPicPr>
                          <pic:cNvPr id="191" name="图片_13"/>
                          <pic:cNvPicPr/>
                        </pic:nvPicPr>
                        <pic:blipFill>
                          <a:blip r:embed="rId107"/>
                          <a:stretch>
                            <a:fillRect/>
                          </a:stretch>
                        </pic:blipFill>
                        <pic:spPr>
                          <a:xfrm>
                            <a:off x="0" y="0"/>
                            <a:ext cx="846455" cy="83693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7F71B">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安全无味，48色</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C3BFF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20</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3AF5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盒</w:t>
            </w:r>
          </w:p>
        </w:tc>
      </w:tr>
      <w:tr w14:paraId="54231C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02"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EEC54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82</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1C354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500ml可清洗绘画颜料-白</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D5E9C">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864235"/>
                  <wp:effectExtent l="0" t="0" r="11430" b="12065"/>
                  <wp:wrapNone/>
                  <wp:docPr id="175" name="图片_17"/>
                  <wp:cNvGraphicFramePr/>
                  <a:graphic xmlns:a="http://schemas.openxmlformats.org/drawingml/2006/main">
                    <a:graphicData uri="http://schemas.openxmlformats.org/drawingml/2006/picture">
                      <pic:pic xmlns:pic="http://schemas.openxmlformats.org/drawingml/2006/picture">
                        <pic:nvPicPr>
                          <pic:cNvPr id="175" name="图片_17"/>
                          <pic:cNvPicPr/>
                        </pic:nvPicPr>
                        <pic:blipFill>
                          <a:blip r:embed="rId108"/>
                          <a:stretch>
                            <a:fillRect/>
                          </a:stretch>
                        </pic:blipFill>
                        <pic:spPr>
                          <a:xfrm>
                            <a:off x="0" y="0"/>
                            <a:ext cx="864870" cy="86423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E1F83B">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材质：色粉+水尺寸：约500ml</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5DCF5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0C29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3F033C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02"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79253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83</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24EAA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500ml可清洗绘画颜料-红</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8CF87">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864235"/>
                  <wp:effectExtent l="0" t="0" r="11430" b="12065"/>
                  <wp:wrapNone/>
                  <wp:docPr id="183" name="图片_18"/>
                  <wp:cNvGraphicFramePr/>
                  <a:graphic xmlns:a="http://schemas.openxmlformats.org/drawingml/2006/main">
                    <a:graphicData uri="http://schemas.openxmlformats.org/drawingml/2006/picture">
                      <pic:pic xmlns:pic="http://schemas.openxmlformats.org/drawingml/2006/picture">
                        <pic:nvPicPr>
                          <pic:cNvPr id="183" name="图片_18"/>
                          <pic:cNvPicPr/>
                        </pic:nvPicPr>
                        <pic:blipFill>
                          <a:blip r:embed="rId109"/>
                          <a:stretch>
                            <a:fillRect/>
                          </a:stretch>
                        </pic:blipFill>
                        <pic:spPr>
                          <a:xfrm>
                            <a:off x="0" y="0"/>
                            <a:ext cx="864870" cy="86423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B7C4AB">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材质：色粉+水尺寸：约500ml</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EEFB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55650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44C901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2"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F4E4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84</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D44B0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500ml可清洗绘画颜料-黄</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D8CCC">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864235"/>
                  <wp:effectExtent l="0" t="0" r="11430" b="12065"/>
                  <wp:wrapNone/>
                  <wp:docPr id="178" name="图片_19"/>
                  <wp:cNvGraphicFramePr/>
                  <a:graphic xmlns:a="http://schemas.openxmlformats.org/drawingml/2006/main">
                    <a:graphicData uri="http://schemas.openxmlformats.org/drawingml/2006/picture">
                      <pic:pic xmlns:pic="http://schemas.openxmlformats.org/drawingml/2006/picture">
                        <pic:nvPicPr>
                          <pic:cNvPr id="178" name="图片_19"/>
                          <pic:cNvPicPr/>
                        </pic:nvPicPr>
                        <pic:blipFill>
                          <a:blip r:embed="rId110"/>
                          <a:stretch>
                            <a:fillRect/>
                          </a:stretch>
                        </pic:blipFill>
                        <pic:spPr>
                          <a:xfrm>
                            <a:off x="0" y="0"/>
                            <a:ext cx="864870" cy="86423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8DFB87">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材质：色粉+水尺寸：约500ml</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EDBC9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A60E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29E655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2"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5C9A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85</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C853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500ml可清洗绘画颜料-蓝</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5B270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258445</wp:posOffset>
                  </wp:positionH>
                  <wp:positionV relativeFrom="paragraph">
                    <wp:posOffset>72390</wp:posOffset>
                  </wp:positionV>
                  <wp:extent cx="883285" cy="882650"/>
                  <wp:effectExtent l="0" t="0" r="5715" b="6350"/>
                  <wp:wrapNone/>
                  <wp:docPr id="192" name="图片_20"/>
                  <wp:cNvGraphicFramePr/>
                  <a:graphic xmlns:a="http://schemas.openxmlformats.org/drawingml/2006/main">
                    <a:graphicData uri="http://schemas.openxmlformats.org/drawingml/2006/picture">
                      <pic:pic xmlns:pic="http://schemas.openxmlformats.org/drawingml/2006/picture">
                        <pic:nvPicPr>
                          <pic:cNvPr id="192" name="图片_20"/>
                          <pic:cNvPicPr/>
                        </pic:nvPicPr>
                        <pic:blipFill>
                          <a:blip r:embed="rId111"/>
                          <a:stretch>
                            <a:fillRect/>
                          </a:stretch>
                        </pic:blipFill>
                        <pic:spPr>
                          <a:xfrm>
                            <a:off x="0" y="0"/>
                            <a:ext cx="883285" cy="88265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577FA2">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材质：色粉+水尺寸：约500ml</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6B8FB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058FB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3A0CB1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02"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6B849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86</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11B33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7格调色盘</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49EE9B">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354965</wp:posOffset>
                  </wp:positionH>
                  <wp:positionV relativeFrom="paragraph">
                    <wp:posOffset>98425</wp:posOffset>
                  </wp:positionV>
                  <wp:extent cx="841375" cy="808355"/>
                  <wp:effectExtent l="0" t="0" r="9525" b="4445"/>
                  <wp:wrapNone/>
                  <wp:docPr id="193" name="图片_21"/>
                  <wp:cNvGraphicFramePr/>
                  <a:graphic xmlns:a="http://schemas.openxmlformats.org/drawingml/2006/main">
                    <a:graphicData uri="http://schemas.openxmlformats.org/drawingml/2006/picture">
                      <pic:pic xmlns:pic="http://schemas.openxmlformats.org/drawingml/2006/picture">
                        <pic:nvPicPr>
                          <pic:cNvPr id="193" name="图片_21"/>
                          <pic:cNvPicPr/>
                        </pic:nvPicPr>
                        <pic:blipFill>
                          <a:blip r:embed="rId112"/>
                          <a:stretch>
                            <a:fillRect/>
                          </a:stretch>
                        </pic:blipFill>
                        <pic:spPr>
                          <a:xfrm>
                            <a:off x="0" y="0"/>
                            <a:ext cx="841375" cy="808355"/>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03F9C">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材质：塑料尺寸：约直径17.5cm</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6B22E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20</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B8513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4ABB9C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2"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3FFD0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87</w:t>
            </w:r>
          </w:p>
        </w:tc>
        <w:tc>
          <w:tcPr>
            <w:tcW w:w="1544" w:type="dxa"/>
            <w:tcBorders>
              <w:top w:val="single" w:color="000000" w:sz="4" w:space="0"/>
              <w:left w:val="single" w:color="000000" w:sz="4" w:space="0"/>
              <w:bottom w:val="nil"/>
              <w:right w:val="single" w:color="000000" w:sz="4" w:space="0"/>
            </w:tcBorders>
            <w:shd w:val="clear" w:color="auto" w:fill="auto"/>
            <w:vAlign w:val="center"/>
          </w:tcPr>
          <w:p w14:paraId="56F5AA2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模型画板-恐龙</w:t>
            </w:r>
          </w:p>
        </w:tc>
        <w:tc>
          <w:tcPr>
            <w:tcW w:w="2500" w:type="dxa"/>
            <w:tcBorders>
              <w:top w:val="single" w:color="000000" w:sz="4" w:space="0"/>
              <w:left w:val="single" w:color="000000" w:sz="4" w:space="0"/>
              <w:bottom w:val="nil"/>
              <w:right w:val="single" w:color="000000" w:sz="4" w:space="0"/>
            </w:tcBorders>
            <w:shd w:val="clear" w:color="auto" w:fill="auto"/>
            <w:noWrap/>
            <w:vAlign w:val="center"/>
          </w:tcPr>
          <w:p w14:paraId="45811701">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330200</wp:posOffset>
                  </wp:positionH>
                  <wp:positionV relativeFrom="paragraph">
                    <wp:posOffset>92075</wp:posOffset>
                  </wp:positionV>
                  <wp:extent cx="891540" cy="795020"/>
                  <wp:effectExtent l="0" t="0" r="10160" b="5080"/>
                  <wp:wrapNone/>
                  <wp:docPr id="179" name="图片_22"/>
                  <wp:cNvGraphicFramePr/>
                  <a:graphic xmlns:a="http://schemas.openxmlformats.org/drawingml/2006/main">
                    <a:graphicData uri="http://schemas.openxmlformats.org/drawingml/2006/picture">
                      <pic:pic xmlns:pic="http://schemas.openxmlformats.org/drawingml/2006/picture">
                        <pic:nvPicPr>
                          <pic:cNvPr id="179" name="图片_22"/>
                          <pic:cNvPicPr/>
                        </pic:nvPicPr>
                        <pic:blipFill>
                          <a:blip r:embed="rId113"/>
                          <a:stretch>
                            <a:fillRect/>
                          </a:stretch>
                        </pic:blipFill>
                        <pic:spPr>
                          <a:xfrm>
                            <a:off x="0" y="0"/>
                            <a:ext cx="891540" cy="795020"/>
                          </a:xfrm>
                          <a:prstGeom prst="rect">
                            <a:avLst/>
                          </a:prstGeom>
                          <a:noFill/>
                          <a:ln>
                            <a:noFill/>
                          </a:ln>
                        </pic:spPr>
                      </pic:pic>
                    </a:graphicData>
                  </a:graphic>
                </wp:anchor>
              </w:drawing>
            </w:r>
          </w:p>
        </w:tc>
        <w:tc>
          <w:tcPr>
            <w:tcW w:w="5681" w:type="dxa"/>
            <w:tcBorders>
              <w:top w:val="single" w:color="000000" w:sz="4" w:space="0"/>
              <w:left w:val="single" w:color="000000" w:sz="4" w:space="0"/>
              <w:bottom w:val="nil"/>
              <w:right w:val="single" w:color="000000" w:sz="4" w:space="0"/>
            </w:tcBorders>
            <w:shd w:val="clear" w:color="auto" w:fill="auto"/>
            <w:vAlign w:val="center"/>
          </w:tcPr>
          <w:p w14:paraId="4564A62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材质：塑料尺寸：约长15×14cm</w:t>
            </w:r>
          </w:p>
        </w:tc>
        <w:tc>
          <w:tcPr>
            <w:tcW w:w="1170" w:type="dxa"/>
            <w:tcBorders>
              <w:top w:val="single" w:color="000000" w:sz="4" w:space="0"/>
              <w:left w:val="single" w:color="000000" w:sz="4" w:space="0"/>
              <w:bottom w:val="nil"/>
              <w:right w:val="single" w:color="000000" w:sz="4" w:space="0"/>
            </w:tcBorders>
            <w:shd w:val="clear" w:color="auto" w:fill="auto"/>
            <w:vAlign w:val="center"/>
          </w:tcPr>
          <w:p w14:paraId="18A1D36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nil"/>
              <w:right w:val="single" w:color="000000" w:sz="4" w:space="0"/>
            </w:tcBorders>
            <w:shd w:val="clear" w:color="auto" w:fill="auto"/>
            <w:vAlign w:val="center"/>
          </w:tcPr>
          <w:p w14:paraId="4FA8160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2C2365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02"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E5F08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88</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B2252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海绵印章-交通工具</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D920D4">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329565</wp:posOffset>
                  </wp:positionH>
                  <wp:positionV relativeFrom="paragraph">
                    <wp:posOffset>64770</wp:posOffset>
                  </wp:positionV>
                  <wp:extent cx="871855" cy="868680"/>
                  <wp:effectExtent l="0" t="0" r="4445" b="7620"/>
                  <wp:wrapNone/>
                  <wp:docPr id="176" name="图片_5"/>
                  <wp:cNvGraphicFramePr/>
                  <a:graphic xmlns:a="http://schemas.openxmlformats.org/drawingml/2006/main">
                    <a:graphicData uri="http://schemas.openxmlformats.org/drawingml/2006/picture">
                      <pic:pic xmlns:pic="http://schemas.openxmlformats.org/drawingml/2006/picture">
                        <pic:nvPicPr>
                          <pic:cNvPr id="176" name="图片_5"/>
                          <pic:cNvPicPr/>
                        </pic:nvPicPr>
                        <pic:blipFill>
                          <a:blip r:embed="rId114"/>
                          <a:stretch>
                            <a:fillRect/>
                          </a:stretch>
                        </pic:blipFill>
                        <pic:spPr>
                          <a:xfrm>
                            <a:off x="0" y="0"/>
                            <a:ext cx="871855" cy="86868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7E551A">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材质：海绵尺寸：轿车长约13.8cm，火车长约9.8cm，厚度约5cm船、飞机、火车、货车和轿车等海绵印章配合绘画、手工等不同类型的美术活动，完成创意表现。</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26EF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DE6BE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492A18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02"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3AEA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89</w:t>
            </w:r>
          </w:p>
        </w:tc>
        <w:tc>
          <w:tcPr>
            <w:tcW w:w="1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879F6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海绵印章-动物</w:t>
            </w:r>
          </w:p>
        </w:tc>
        <w:tc>
          <w:tcPr>
            <w:tcW w:w="2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8AE1B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208915</wp:posOffset>
                  </wp:positionH>
                  <wp:positionV relativeFrom="paragraph">
                    <wp:posOffset>30480</wp:posOffset>
                  </wp:positionV>
                  <wp:extent cx="952500" cy="952500"/>
                  <wp:effectExtent l="0" t="0" r="0" b="0"/>
                  <wp:wrapNone/>
                  <wp:docPr id="185" name="图片_26"/>
                  <wp:cNvGraphicFramePr/>
                  <a:graphic xmlns:a="http://schemas.openxmlformats.org/drawingml/2006/main">
                    <a:graphicData uri="http://schemas.openxmlformats.org/drawingml/2006/picture">
                      <pic:pic xmlns:pic="http://schemas.openxmlformats.org/drawingml/2006/picture">
                        <pic:nvPicPr>
                          <pic:cNvPr id="185" name="图片_26"/>
                          <pic:cNvPicPr/>
                        </pic:nvPicPr>
                        <pic:blipFill>
                          <a:blip r:embed="rId115"/>
                          <a:stretch>
                            <a:fillRect/>
                          </a:stretch>
                        </pic:blipFill>
                        <pic:spPr>
                          <a:xfrm>
                            <a:off x="0" y="0"/>
                            <a:ext cx="952500" cy="952500"/>
                          </a:xfrm>
                          <a:prstGeom prst="rect">
                            <a:avLst/>
                          </a:prstGeom>
                          <a:noFill/>
                          <a:ln>
                            <a:noFill/>
                          </a:ln>
                        </pic:spPr>
                      </pic:pic>
                    </a:graphicData>
                  </a:graphic>
                </wp:anchor>
              </w:drawing>
            </w:r>
          </w:p>
        </w:tc>
        <w:tc>
          <w:tcPr>
            <w:tcW w:w="56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901AAE">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材质：海绵尺寸：牛长约19.2cm，鸭长约11cm，厚度约5cm提供牛、羊、猪、兔、鸭等多种动物海绵印章，让幼儿在认识农场动物的同时，培养其观察能力。</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7126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8BDC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3F5C8D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02"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01D5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90</w:t>
            </w:r>
          </w:p>
        </w:tc>
        <w:tc>
          <w:tcPr>
            <w:tcW w:w="1544" w:type="dxa"/>
            <w:tcBorders>
              <w:top w:val="nil"/>
              <w:left w:val="single" w:color="000000" w:sz="4" w:space="0"/>
              <w:bottom w:val="single" w:color="000000" w:sz="4" w:space="0"/>
              <w:right w:val="single" w:color="000000" w:sz="4" w:space="0"/>
            </w:tcBorders>
            <w:shd w:val="clear" w:color="auto" w:fill="auto"/>
            <w:vAlign w:val="center"/>
          </w:tcPr>
          <w:p w14:paraId="1963DB0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24色油画棒</w:t>
            </w:r>
          </w:p>
        </w:tc>
        <w:tc>
          <w:tcPr>
            <w:tcW w:w="2500" w:type="dxa"/>
            <w:tcBorders>
              <w:top w:val="nil"/>
              <w:left w:val="single" w:color="000000" w:sz="4" w:space="0"/>
              <w:bottom w:val="single" w:color="000000" w:sz="4" w:space="0"/>
              <w:right w:val="single" w:color="000000" w:sz="4" w:space="0"/>
            </w:tcBorders>
            <w:shd w:val="clear" w:color="auto" w:fill="auto"/>
            <w:noWrap/>
            <w:vAlign w:val="center"/>
          </w:tcPr>
          <w:p w14:paraId="7F3B7F54">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342265</wp:posOffset>
                  </wp:positionH>
                  <wp:positionV relativeFrom="paragraph">
                    <wp:posOffset>80645</wp:posOffset>
                  </wp:positionV>
                  <wp:extent cx="833755" cy="835660"/>
                  <wp:effectExtent l="0" t="0" r="4445" b="2540"/>
                  <wp:wrapNone/>
                  <wp:docPr id="180" name="图片_25"/>
                  <wp:cNvGraphicFramePr/>
                  <a:graphic xmlns:a="http://schemas.openxmlformats.org/drawingml/2006/main">
                    <a:graphicData uri="http://schemas.openxmlformats.org/drawingml/2006/picture">
                      <pic:pic xmlns:pic="http://schemas.openxmlformats.org/drawingml/2006/picture">
                        <pic:nvPicPr>
                          <pic:cNvPr id="180" name="图片_25"/>
                          <pic:cNvPicPr/>
                        </pic:nvPicPr>
                        <pic:blipFill>
                          <a:blip r:embed="rId116"/>
                          <a:stretch>
                            <a:fillRect/>
                          </a:stretch>
                        </pic:blipFill>
                        <pic:spPr>
                          <a:xfrm>
                            <a:off x="0" y="0"/>
                            <a:ext cx="833755" cy="835660"/>
                          </a:xfrm>
                          <a:prstGeom prst="rect">
                            <a:avLst/>
                          </a:prstGeom>
                          <a:noFill/>
                          <a:ln>
                            <a:noFill/>
                          </a:ln>
                        </pic:spPr>
                      </pic:pic>
                    </a:graphicData>
                  </a:graphic>
                </wp:anchor>
              </w:drawing>
            </w:r>
          </w:p>
        </w:tc>
        <w:tc>
          <w:tcPr>
            <w:tcW w:w="5681" w:type="dxa"/>
            <w:tcBorders>
              <w:top w:val="nil"/>
              <w:left w:val="single" w:color="000000" w:sz="4" w:space="0"/>
              <w:bottom w:val="single" w:color="000000" w:sz="4" w:space="0"/>
              <w:right w:val="single" w:color="000000" w:sz="4" w:space="0"/>
            </w:tcBorders>
            <w:shd w:val="clear" w:color="auto" w:fill="auto"/>
            <w:vAlign w:val="center"/>
          </w:tcPr>
          <w:p w14:paraId="7E37B48C">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材质：混合油+蜡尺寸：单支约7.5×0.8cm</w:t>
            </w:r>
          </w:p>
        </w:tc>
        <w:tc>
          <w:tcPr>
            <w:tcW w:w="1170" w:type="dxa"/>
            <w:tcBorders>
              <w:top w:val="nil"/>
              <w:left w:val="single" w:color="000000" w:sz="4" w:space="0"/>
              <w:bottom w:val="single" w:color="000000" w:sz="4" w:space="0"/>
              <w:right w:val="single" w:color="000000" w:sz="4" w:space="0"/>
            </w:tcBorders>
            <w:shd w:val="clear" w:color="auto" w:fill="auto"/>
            <w:vAlign w:val="center"/>
          </w:tcPr>
          <w:p w14:paraId="3C6B56C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20</w:t>
            </w:r>
          </w:p>
        </w:tc>
        <w:tc>
          <w:tcPr>
            <w:tcW w:w="1170" w:type="dxa"/>
            <w:tcBorders>
              <w:top w:val="nil"/>
              <w:left w:val="single" w:color="000000" w:sz="4" w:space="0"/>
              <w:bottom w:val="single" w:color="000000" w:sz="4" w:space="0"/>
              <w:right w:val="single" w:color="000000" w:sz="4" w:space="0"/>
            </w:tcBorders>
            <w:shd w:val="clear" w:color="auto" w:fill="auto"/>
            <w:vAlign w:val="center"/>
          </w:tcPr>
          <w:p w14:paraId="624CC6B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bl>
    <w:p w14:paraId="3ADD1246">
      <w:pPr>
        <w:spacing w:line="360" w:lineRule="auto"/>
        <w:jc w:val="center"/>
        <w:outlineLvl w:val="0"/>
        <w:rPr>
          <w:rFonts w:hint="eastAsia" w:ascii="宋体" w:hAnsi="宋体" w:cs="宋体"/>
          <w:b/>
          <w:color w:val="auto"/>
          <w:sz w:val="24"/>
        </w:rPr>
      </w:pPr>
    </w:p>
    <w:p w14:paraId="637FE6DB">
      <w:pPr>
        <w:spacing w:line="360" w:lineRule="auto"/>
        <w:jc w:val="center"/>
        <w:outlineLvl w:val="0"/>
        <w:rPr>
          <w:rFonts w:hint="eastAsia" w:ascii="宋体" w:hAnsi="宋体" w:cs="宋体"/>
          <w:b/>
          <w:color w:val="auto"/>
          <w:sz w:val="24"/>
        </w:rPr>
      </w:pPr>
    </w:p>
    <w:p w14:paraId="70502BDF">
      <w:pPr>
        <w:spacing w:line="360" w:lineRule="auto"/>
        <w:jc w:val="center"/>
        <w:outlineLvl w:val="0"/>
        <w:rPr>
          <w:rFonts w:hint="eastAsia" w:ascii="宋体" w:hAnsi="宋体" w:cs="宋体"/>
          <w:b/>
          <w:color w:val="auto"/>
          <w:sz w:val="24"/>
        </w:rPr>
      </w:pPr>
    </w:p>
    <w:p w14:paraId="680C3C16">
      <w:pPr>
        <w:spacing w:line="360" w:lineRule="auto"/>
        <w:jc w:val="center"/>
        <w:outlineLvl w:val="0"/>
        <w:rPr>
          <w:rFonts w:hint="eastAsia" w:ascii="宋体" w:hAnsi="宋体" w:cs="宋体"/>
          <w:b/>
          <w:color w:val="auto"/>
          <w:sz w:val="24"/>
        </w:rPr>
      </w:pPr>
    </w:p>
    <w:p w14:paraId="4A459D49">
      <w:pPr>
        <w:spacing w:line="360" w:lineRule="auto"/>
        <w:jc w:val="center"/>
        <w:outlineLvl w:val="0"/>
        <w:rPr>
          <w:rFonts w:hint="eastAsia" w:ascii="宋体" w:hAnsi="宋体" w:cs="宋体"/>
          <w:b/>
          <w:color w:val="auto"/>
          <w:sz w:val="24"/>
        </w:rPr>
      </w:pPr>
    </w:p>
    <w:p w14:paraId="30F3655A">
      <w:pPr>
        <w:spacing w:line="360" w:lineRule="auto"/>
        <w:jc w:val="center"/>
        <w:outlineLvl w:val="0"/>
        <w:rPr>
          <w:rFonts w:hint="eastAsia" w:ascii="宋体" w:hAnsi="宋体" w:cs="宋体"/>
          <w:b/>
          <w:color w:val="auto"/>
          <w:sz w:val="24"/>
        </w:rPr>
      </w:pPr>
    </w:p>
    <w:tbl>
      <w:tblPr>
        <w:tblStyle w:val="62"/>
        <w:tblW w:w="127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734"/>
        <w:gridCol w:w="1544"/>
        <w:gridCol w:w="2489"/>
        <w:gridCol w:w="5689"/>
        <w:gridCol w:w="1163"/>
        <w:gridCol w:w="1164"/>
      </w:tblGrid>
      <w:tr w14:paraId="072D2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jc w:val="center"/>
        </w:trPr>
        <w:tc>
          <w:tcPr>
            <w:tcW w:w="12783" w:type="dxa"/>
            <w:gridSpan w:val="6"/>
            <w:shd w:val="clear" w:color="auto" w:fill="auto"/>
            <w:noWrap/>
            <w:vAlign w:val="center"/>
          </w:tcPr>
          <w:p w14:paraId="5B821686">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2、小班班级玩具</w:t>
            </w:r>
          </w:p>
        </w:tc>
      </w:tr>
      <w:tr w14:paraId="3E08E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40" w:hRule="atLeast"/>
          <w:jc w:val="center"/>
        </w:trPr>
        <w:tc>
          <w:tcPr>
            <w:tcW w:w="734" w:type="dxa"/>
            <w:shd w:val="clear" w:color="auto" w:fill="auto"/>
            <w:vAlign w:val="center"/>
          </w:tcPr>
          <w:p w14:paraId="4DC77207">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序号</w:t>
            </w:r>
          </w:p>
        </w:tc>
        <w:tc>
          <w:tcPr>
            <w:tcW w:w="1544" w:type="dxa"/>
            <w:shd w:val="clear" w:color="auto" w:fill="auto"/>
            <w:vAlign w:val="center"/>
          </w:tcPr>
          <w:p w14:paraId="19D289C8">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名称</w:t>
            </w:r>
          </w:p>
        </w:tc>
        <w:tc>
          <w:tcPr>
            <w:tcW w:w="2489" w:type="dxa"/>
            <w:shd w:val="clear" w:color="auto" w:fill="auto"/>
            <w:vAlign w:val="center"/>
          </w:tcPr>
          <w:p w14:paraId="4150285E">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参考图片</w:t>
            </w:r>
          </w:p>
        </w:tc>
        <w:tc>
          <w:tcPr>
            <w:tcW w:w="5689" w:type="dxa"/>
            <w:shd w:val="clear" w:color="auto" w:fill="auto"/>
            <w:vAlign w:val="center"/>
          </w:tcPr>
          <w:p w14:paraId="35942A91">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参数规格</w:t>
            </w:r>
          </w:p>
        </w:tc>
        <w:tc>
          <w:tcPr>
            <w:tcW w:w="1163" w:type="dxa"/>
            <w:shd w:val="clear" w:color="auto" w:fill="auto"/>
            <w:vAlign w:val="center"/>
          </w:tcPr>
          <w:p w14:paraId="6AEC733F">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数量</w:t>
            </w:r>
          </w:p>
        </w:tc>
        <w:tc>
          <w:tcPr>
            <w:tcW w:w="1164" w:type="dxa"/>
            <w:shd w:val="clear" w:color="auto" w:fill="auto"/>
            <w:vAlign w:val="center"/>
          </w:tcPr>
          <w:p w14:paraId="023EE29D">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单位</w:t>
            </w:r>
          </w:p>
        </w:tc>
      </w:tr>
      <w:tr w14:paraId="231169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120" w:hRule="atLeast"/>
          <w:jc w:val="center"/>
        </w:trPr>
        <w:tc>
          <w:tcPr>
            <w:tcW w:w="734" w:type="dxa"/>
            <w:shd w:val="clear" w:color="auto" w:fill="auto"/>
            <w:vAlign w:val="center"/>
          </w:tcPr>
          <w:p w14:paraId="3D01C7B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544" w:type="dxa"/>
            <w:shd w:val="clear" w:color="auto" w:fill="auto"/>
            <w:vAlign w:val="center"/>
          </w:tcPr>
          <w:p w14:paraId="7F800CB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四角简约帐篷</w:t>
            </w:r>
          </w:p>
        </w:tc>
        <w:tc>
          <w:tcPr>
            <w:tcW w:w="2489" w:type="dxa"/>
            <w:shd w:val="clear" w:color="auto" w:fill="auto"/>
            <w:noWrap/>
            <w:vAlign w:val="center"/>
          </w:tcPr>
          <w:p w14:paraId="2EBD6CA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107950</wp:posOffset>
                  </wp:positionH>
                  <wp:positionV relativeFrom="paragraph">
                    <wp:posOffset>262255</wp:posOffset>
                  </wp:positionV>
                  <wp:extent cx="1064895" cy="834390"/>
                  <wp:effectExtent l="0" t="0" r="1905" b="3810"/>
                  <wp:wrapNone/>
                  <wp:docPr id="195" name="ID_BBF0DE4DBDE1486CB24F11DEEC5CF11F"/>
                  <wp:cNvGraphicFramePr/>
                  <a:graphic xmlns:a="http://schemas.openxmlformats.org/drawingml/2006/main">
                    <a:graphicData uri="http://schemas.openxmlformats.org/drawingml/2006/picture">
                      <pic:pic xmlns:pic="http://schemas.openxmlformats.org/drawingml/2006/picture">
                        <pic:nvPicPr>
                          <pic:cNvPr id="195" name="ID_BBF0DE4DBDE1486CB24F11DEEC5CF11F"/>
                          <pic:cNvPicPr/>
                        </pic:nvPicPr>
                        <pic:blipFill>
                          <a:blip r:embed="rId117"/>
                          <a:stretch>
                            <a:fillRect/>
                          </a:stretch>
                        </pic:blipFill>
                        <pic:spPr>
                          <a:xfrm>
                            <a:off x="0" y="0"/>
                            <a:ext cx="1064895" cy="834390"/>
                          </a:xfrm>
                          <a:prstGeom prst="rect">
                            <a:avLst/>
                          </a:prstGeom>
                          <a:noFill/>
                          <a:ln>
                            <a:noFill/>
                          </a:ln>
                        </pic:spPr>
                      </pic:pic>
                    </a:graphicData>
                  </a:graphic>
                </wp:anchor>
              </w:drawing>
            </w:r>
          </w:p>
        </w:tc>
        <w:tc>
          <w:tcPr>
            <w:tcW w:w="5689" w:type="dxa"/>
            <w:shd w:val="clear" w:color="auto" w:fill="auto"/>
            <w:vAlign w:val="center"/>
          </w:tcPr>
          <w:p w14:paraId="4DABC795">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规格：L120×W120×H145cm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（1）基材：采用桦木原木，材质厚实坚固，纹理均匀细致，板材甲醛释放量≤0.05mg/m3或未检出，拼接牢固，胶合强度、含水率、静曲强度、弹性模量等符合国家标准。</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（2）帆布：采用环保材质，无毒无味，甲醛释放量符合国家安全标准。</w:t>
            </w:r>
          </w:p>
        </w:tc>
        <w:tc>
          <w:tcPr>
            <w:tcW w:w="1163" w:type="dxa"/>
            <w:shd w:val="clear" w:color="auto" w:fill="auto"/>
            <w:vAlign w:val="center"/>
          </w:tcPr>
          <w:p w14:paraId="1C96BC9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64" w:type="dxa"/>
            <w:shd w:val="clear" w:color="auto" w:fill="auto"/>
            <w:noWrap/>
            <w:vAlign w:val="center"/>
          </w:tcPr>
          <w:p w14:paraId="5B98138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个</w:t>
            </w:r>
          </w:p>
        </w:tc>
      </w:tr>
      <w:tr w14:paraId="68797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734" w:type="dxa"/>
            <w:shd w:val="clear" w:color="auto" w:fill="auto"/>
            <w:vAlign w:val="center"/>
          </w:tcPr>
          <w:p w14:paraId="210B268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544" w:type="dxa"/>
            <w:shd w:val="clear" w:color="auto" w:fill="auto"/>
            <w:vAlign w:val="center"/>
          </w:tcPr>
          <w:p w14:paraId="214629E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磁力棒积木</w:t>
            </w:r>
          </w:p>
        </w:tc>
        <w:tc>
          <w:tcPr>
            <w:tcW w:w="2489" w:type="dxa"/>
            <w:shd w:val="clear" w:color="auto" w:fill="auto"/>
            <w:noWrap/>
            <w:vAlign w:val="center"/>
          </w:tcPr>
          <w:p w14:paraId="4170655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142240</wp:posOffset>
                  </wp:positionH>
                  <wp:positionV relativeFrom="paragraph">
                    <wp:posOffset>187325</wp:posOffset>
                  </wp:positionV>
                  <wp:extent cx="1199515" cy="577850"/>
                  <wp:effectExtent l="0" t="0" r="6985" b="6350"/>
                  <wp:wrapNone/>
                  <wp:docPr id="194" name="图片_486"/>
                  <wp:cNvGraphicFramePr/>
                  <a:graphic xmlns:a="http://schemas.openxmlformats.org/drawingml/2006/main">
                    <a:graphicData uri="http://schemas.openxmlformats.org/drawingml/2006/picture">
                      <pic:pic xmlns:pic="http://schemas.openxmlformats.org/drawingml/2006/picture">
                        <pic:nvPicPr>
                          <pic:cNvPr id="194" name="图片_486"/>
                          <pic:cNvPicPr/>
                        </pic:nvPicPr>
                        <pic:blipFill>
                          <a:blip r:embed="rId118"/>
                          <a:stretch>
                            <a:fillRect/>
                          </a:stretch>
                        </pic:blipFill>
                        <pic:spPr>
                          <a:xfrm>
                            <a:off x="0" y="0"/>
                            <a:ext cx="1199515" cy="577850"/>
                          </a:xfrm>
                          <a:prstGeom prst="rect">
                            <a:avLst/>
                          </a:prstGeom>
                          <a:noFill/>
                          <a:ln>
                            <a:noFill/>
                          </a:ln>
                        </pic:spPr>
                      </pic:pic>
                    </a:graphicData>
                  </a:graphic>
                </wp:anchor>
              </w:drawing>
            </w:r>
          </w:p>
        </w:tc>
        <w:tc>
          <w:tcPr>
            <w:tcW w:w="5689" w:type="dxa"/>
            <w:shd w:val="clear" w:color="auto" w:fill="auto"/>
            <w:vAlign w:val="center"/>
          </w:tcPr>
          <w:p w14:paraId="4F383F4F">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规格：150件</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创新的磁力连接方式，翻转磁块设计，无需匹配磁极，多面连接方式，给孩子创新的搭建体验，18 种飞状配件，百变造型，自由拼装，促进幼儿感官发展，丰富想象力。</w:t>
            </w:r>
          </w:p>
        </w:tc>
        <w:tc>
          <w:tcPr>
            <w:tcW w:w="1163" w:type="dxa"/>
            <w:shd w:val="clear" w:color="auto" w:fill="auto"/>
            <w:vAlign w:val="center"/>
          </w:tcPr>
          <w:p w14:paraId="0A09E55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noWrap/>
            <w:vAlign w:val="center"/>
          </w:tcPr>
          <w:p w14:paraId="5355CFA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32ABC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180" w:hRule="atLeast"/>
          <w:jc w:val="center"/>
        </w:trPr>
        <w:tc>
          <w:tcPr>
            <w:tcW w:w="734" w:type="dxa"/>
            <w:shd w:val="clear" w:color="auto" w:fill="auto"/>
            <w:vAlign w:val="center"/>
          </w:tcPr>
          <w:p w14:paraId="1EABAC4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w:t>
            </w:r>
          </w:p>
        </w:tc>
        <w:tc>
          <w:tcPr>
            <w:tcW w:w="1544" w:type="dxa"/>
            <w:shd w:val="clear" w:color="auto" w:fill="auto"/>
            <w:vAlign w:val="center"/>
          </w:tcPr>
          <w:p w14:paraId="53F825E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启蒙天平</w:t>
            </w:r>
          </w:p>
        </w:tc>
        <w:tc>
          <w:tcPr>
            <w:tcW w:w="2489" w:type="dxa"/>
            <w:shd w:val="clear" w:color="auto" w:fill="auto"/>
            <w:noWrap/>
            <w:vAlign w:val="center"/>
          </w:tcPr>
          <w:p w14:paraId="5A75B0D3">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324485</wp:posOffset>
                  </wp:positionH>
                  <wp:positionV relativeFrom="paragraph">
                    <wp:posOffset>100965</wp:posOffset>
                  </wp:positionV>
                  <wp:extent cx="765810" cy="746125"/>
                  <wp:effectExtent l="0" t="0" r="8890" b="3175"/>
                  <wp:wrapNone/>
                  <wp:docPr id="201" name="图片_349"/>
                  <wp:cNvGraphicFramePr/>
                  <a:graphic xmlns:a="http://schemas.openxmlformats.org/drawingml/2006/main">
                    <a:graphicData uri="http://schemas.openxmlformats.org/drawingml/2006/picture">
                      <pic:pic xmlns:pic="http://schemas.openxmlformats.org/drawingml/2006/picture">
                        <pic:nvPicPr>
                          <pic:cNvPr id="201" name="图片_349"/>
                          <pic:cNvPicPr/>
                        </pic:nvPicPr>
                        <pic:blipFill>
                          <a:blip r:embed="rId119"/>
                          <a:stretch>
                            <a:fillRect/>
                          </a:stretch>
                        </pic:blipFill>
                        <pic:spPr>
                          <a:xfrm>
                            <a:off x="0" y="0"/>
                            <a:ext cx="765810" cy="746125"/>
                          </a:xfrm>
                          <a:prstGeom prst="rect">
                            <a:avLst/>
                          </a:prstGeom>
                          <a:noFill/>
                          <a:ln>
                            <a:noFill/>
                          </a:ln>
                        </pic:spPr>
                      </pic:pic>
                    </a:graphicData>
                  </a:graphic>
                </wp:anchor>
              </w:drawing>
            </w:r>
          </w:p>
        </w:tc>
        <w:tc>
          <w:tcPr>
            <w:tcW w:w="5689" w:type="dxa"/>
            <w:shd w:val="clear" w:color="auto" w:fill="auto"/>
            <w:vAlign w:val="center"/>
          </w:tcPr>
          <w:p w14:paraId="3583CB0E">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榉木尺寸：约27×21CM内含平衡杆1个、秤盘2个、砝码6个。打磨圆润、配色舒服。幼儿可以通过对托盘、砝码、游码的操作，自主探究天平的平衡原理。也可以比较物品的重量。还可以对砝码进行计数、颜色分类、排序等。通过幼儿的操作，不断探索对平衡、重量等的认知，提高幼儿对探究游戏的兴趣。</w:t>
            </w:r>
          </w:p>
        </w:tc>
        <w:tc>
          <w:tcPr>
            <w:tcW w:w="1163" w:type="dxa"/>
            <w:shd w:val="clear" w:color="auto" w:fill="auto"/>
            <w:vAlign w:val="center"/>
          </w:tcPr>
          <w:p w14:paraId="5373809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23348A3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73BB6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940" w:hRule="atLeast"/>
          <w:jc w:val="center"/>
        </w:trPr>
        <w:tc>
          <w:tcPr>
            <w:tcW w:w="734" w:type="dxa"/>
            <w:shd w:val="clear" w:color="auto" w:fill="auto"/>
            <w:vAlign w:val="center"/>
          </w:tcPr>
          <w:p w14:paraId="746E14F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w:t>
            </w:r>
          </w:p>
        </w:tc>
        <w:tc>
          <w:tcPr>
            <w:tcW w:w="1544" w:type="dxa"/>
            <w:shd w:val="clear" w:color="auto" w:fill="auto"/>
            <w:vAlign w:val="center"/>
          </w:tcPr>
          <w:p w14:paraId="3348638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趣味毛毛虫</w:t>
            </w:r>
          </w:p>
        </w:tc>
        <w:tc>
          <w:tcPr>
            <w:tcW w:w="2489" w:type="dxa"/>
            <w:shd w:val="clear" w:color="auto" w:fill="auto"/>
            <w:noWrap/>
            <w:vAlign w:val="center"/>
          </w:tcPr>
          <w:p w14:paraId="462B3B1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253365</wp:posOffset>
                  </wp:positionH>
                  <wp:positionV relativeFrom="paragraph">
                    <wp:posOffset>162560</wp:posOffset>
                  </wp:positionV>
                  <wp:extent cx="848360" cy="737235"/>
                  <wp:effectExtent l="0" t="0" r="2540" b="12065"/>
                  <wp:wrapNone/>
                  <wp:docPr id="204" name="图片_350"/>
                  <wp:cNvGraphicFramePr/>
                  <a:graphic xmlns:a="http://schemas.openxmlformats.org/drawingml/2006/main">
                    <a:graphicData uri="http://schemas.openxmlformats.org/drawingml/2006/picture">
                      <pic:pic xmlns:pic="http://schemas.openxmlformats.org/drawingml/2006/picture">
                        <pic:nvPicPr>
                          <pic:cNvPr id="204" name="图片_350"/>
                          <pic:cNvPicPr/>
                        </pic:nvPicPr>
                        <pic:blipFill>
                          <a:blip r:embed="rId120"/>
                          <a:stretch>
                            <a:fillRect/>
                          </a:stretch>
                        </pic:blipFill>
                        <pic:spPr>
                          <a:xfrm>
                            <a:off x="0" y="0"/>
                            <a:ext cx="848360" cy="737235"/>
                          </a:xfrm>
                          <a:prstGeom prst="rect">
                            <a:avLst/>
                          </a:prstGeom>
                          <a:noFill/>
                          <a:ln>
                            <a:noFill/>
                          </a:ln>
                        </pic:spPr>
                      </pic:pic>
                    </a:graphicData>
                  </a:graphic>
                </wp:anchor>
              </w:drawing>
            </w:r>
          </w:p>
        </w:tc>
        <w:tc>
          <w:tcPr>
            <w:tcW w:w="5689" w:type="dxa"/>
            <w:shd w:val="clear" w:color="auto" w:fill="auto"/>
            <w:vAlign w:val="center"/>
          </w:tcPr>
          <w:p w14:paraId="6930EC9B">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纸制、塑料尺寸：毛毛虫头约110×135mm，毛毛虫尾巴约65×92mm，操作卡约200×140mm，圆环约73×50mm内含各种颜色的扣环，毛毛虫头、尾，操作卡。可以让幼儿在游戏中知道数物对应、点数对应、数数对应的概念。习得分类、排序、计数、创意卡扣等能力。锻炼手眼协调能力，创意力、想象力、专注力。</w:t>
            </w:r>
          </w:p>
        </w:tc>
        <w:tc>
          <w:tcPr>
            <w:tcW w:w="1163" w:type="dxa"/>
            <w:shd w:val="clear" w:color="auto" w:fill="auto"/>
            <w:vAlign w:val="center"/>
          </w:tcPr>
          <w:p w14:paraId="5A96B6B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5131996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711D65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600" w:hRule="atLeast"/>
          <w:jc w:val="center"/>
        </w:trPr>
        <w:tc>
          <w:tcPr>
            <w:tcW w:w="734" w:type="dxa"/>
            <w:shd w:val="clear" w:color="auto" w:fill="auto"/>
            <w:vAlign w:val="center"/>
          </w:tcPr>
          <w:p w14:paraId="6BBCBAC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544" w:type="dxa"/>
            <w:shd w:val="clear" w:color="auto" w:fill="auto"/>
            <w:vAlign w:val="center"/>
          </w:tcPr>
          <w:p w14:paraId="623F9D0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多彩串珠</w:t>
            </w:r>
          </w:p>
        </w:tc>
        <w:tc>
          <w:tcPr>
            <w:tcW w:w="2489" w:type="dxa"/>
            <w:shd w:val="clear" w:color="auto" w:fill="auto"/>
            <w:noWrap/>
            <w:vAlign w:val="center"/>
          </w:tcPr>
          <w:p w14:paraId="1B68D3F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304800</wp:posOffset>
                  </wp:positionH>
                  <wp:positionV relativeFrom="paragraph">
                    <wp:posOffset>194945</wp:posOffset>
                  </wp:positionV>
                  <wp:extent cx="774065" cy="558800"/>
                  <wp:effectExtent l="0" t="0" r="635" b="0"/>
                  <wp:wrapNone/>
                  <wp:docPr id="200" name="图片_351"/>
                  <wp:cNvGraphicFramePr/>
                  <a:graphic xmlns:a="http://schemas.openxmlformats.org/drawingml/2006/main">
                    <a:graphicData uri="http://schemas.openxmlformats.org/drawingml/2006/picture">
                      <pic:pic xmlns:pic="http://schemas.openxmlformats.org/drawingml/2006/picture">
                        <pic:nvPicPr>
                          <pic:cNvPr id="200" name="图片_351"/>
                          <pic:cNvPicPr/>
                        </pic:nvPicPr>
                        <pic:blipFill>
                          <a:blip r:embed="rId121"/>
                          <a:stretch>
                            <a:fillRect/>
                          </a:stretch>
                        </pic:blipFill>
                        <pic:spPr>
                          <a:xfrm>
                            <a:off x="0" y="0"/>
                            <a:ext cx="774065" cy="558800"/>
                          </a:xfrm>
                          <a:prstGeom prst="rect">
                            <a:avLst/>
                          </a:prstGeom>
                          <a:noFill/>
                          <a:ln>
                            <a:noFill/>
                          </a:ln>
                        </pic:spPr>
                      </pic:pic>
                    </a:graphicData>
                  </a:graphic>
                </wp:anchor>
              </w:drawing>
            </w:r>
          </w:p>
        </w:tc>
        <w:tc>
          <w:tcPr>
            <w:tcW w:w="5689" w:type="dxa"/>
            <w:shd w:val="clear" w:color="auto" w:fill="auto"/>
            <w:vAlign w:val="center"/>
          </w:tcPr>
          <w:p w14:paraId="30709D8E">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尺寸：约2.2CM内含正方体36件、球形36件、圆柱体36件、绳子6件。丰富多样的串珠，可以按颜色进行分类，可以进行计数，学习加减法等游戏，还可以创建各种图案，提高创意能力。不仅如此，幼儿还可以通过串珠，锻炼小手精细动作，促进专注力的提高。</w:t>
            </w:r>
          </w:p>
        </w:tc>
        <w:tc>
          <w:tcPr>
            <w:tcW w:w="1163" w:type="dxa"/>
            <w:shd w:val="clear" w:color="auto" w:fill="auto"/>
            <w:vAlign w:val="center"/>
          </w:tcPr>
          <w:p w14:paraId="19254C0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4EEE500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41E10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734" w:type="dxa"/>
            <w:shd w:val="clear" w:color="auto" w:fill="auto"/>
            <w:vAlign w:val="center"/>
          </w:tcPr>
          <w:p w14:paraId="0001BED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w:t>
            </w:r>
          </w:p>
        </w:tc>
        <w:tc>
          <w:tcPr>
            <w:tcW w:w="1544" w:type="dxa"/>
            <w:shd w:val="clear" w:color="auto" w:fill="auto"/>
            <w:vAlign w:val="center"/>
          </w:tcPr>
          <w:p w14:paraId="257184B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序列小王子</w:t>
            </w:r>
          </w:p>
        </w:tc>
        <w:tc>
          <w:tcPr>
            <w:tcW w:w="2489" w:type="dxa"/>
            <w:shd w:val="clear" w:color="auto" w:fill="auto"/>
            <w:noWrap/>
            <w:vAlign w:val="center"/>
          </w:tcPr>
          <w:p w14:paraId="134D4E4C">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224790</wp:posOffset>
                  </wp:positionH>
                  <wp:positionV relativeFrom="paragraph">
                    <wp:posOffset>140970</wp:posOffset>
                  </wp:positionV>
                  <wp:extent cx="1083310" cy="726440"/>
                  <wp:effectExtent l="0" t="0" r="8890" b="10160"/>
                  <wp:wrapNone/>
                  <wp:docPr id="196" name="图片_352"/>
                  <wp:cNvGraphicFramePr/>
                  <a:graphic xmlns:a="http://schemas.openxmlformats.org/drawingml/2006/main">
                    <a:graphicData uri="http://schemas.openxmlformats.org/drawingml/2006/picture">
                      <pic:pic xmlns:pic="http://schemas.openxmlformats.org/drawingml/2006/picture">
                        <pic:nvPicPr>
                          <pic:cNvPr id="196" name="图片_352"/>
                          <pic:cNvPicPr/>
                        </pic:nvPicPr>
                        <pic:blipFill>
                          <a:blip r:embed="rId122"/>
                          <a:stretch>
                            <a:fillRect/>
                          </a:stretch>
                        </pic:blipFill>
                        <pic:spPr>
                          <a:xfrm>
                            <a:off x="0" y="0"/>
                            <a:ext cx="1083310" cy="726440"/>
                          </a:xfrm>
                          <a:prstGeom prst="rect">
                            <a:avLst/>
                          </a:prstGeom>
                          <a:noFill/>
                          <a:ln>
                            <a:noFill/>
                          </a:ln>
                        </pic:spPr>
                      </pic:pic>
                    </a:graphicData>
                  </a:graphic>
                </wp:anchor>
              </w:drawing>
            </w:r>
          </w:p>
        </w:tc>
        <w:tc>
          <w:tcPr>
            <w:tcW w:w="5689" w:type="dxa"/>
            <w:shd w:val="clear" w:color="auto" w:fill="auto"/>
            <w:vAlign w:val="center"/>
          </w:tcPr>
          <w:p w14:paraId="153B007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尺寸：10×7.5×20cm内含木偶架、操作卡、形状积木等配件。可以根据操作卡上的造型和颜色，摆放相应的小王子木偶。也可以玩绳子穿积木的游戏。既锻炼分类与配对能力，也能促进幼儿手眼协调能力的发展。</w:t>
            </w:r>
          </w:p>
        </w:tc>
        <w:tc>
          <w:tcPr>
            <w:tcW w:w="1163" w:type="dxa"/>
            <w:shd w:val="clear" w:color="auto" w:fill="auto"/>
            <w:vAlign w:val="center"/>
          </w:tcPr>
          <w:p w14:paraId="2DC1A53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0ACE465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7CB69D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734" w:type="dxa"/>
            <w:shd w:val="clear" w:color="auto" w:fill="auto"/>
            <w:vAlign w:val="center"/>
          </w:tcPr>
          <w:p w14:paraId="7B1777A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7</w:t>
            </w:r>
          </w:p>
        </w:tc>
        <w:tc>
          <w:tcPr>
            <w:tcW w:w="1544" w:type="dxa"/>
            <w:shd w:val="clear" w:color="auto" w:fill="auto"/>
            <w:vAlign w:val="center"/>
          </w:tcPr>
          <w:p w14:paraId="0F87A67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分类金鱼</w:t>
            </w:r>
          </w:p>
        </w:tc>
        <w:tc>
          <w:tcPr>
            <w:tcW w:w="2489" w:type="dxa"/>
            <w:shd w:val="clear" w:color="auto" w:fill="auto"/>
            <w:noWrap/>
            <w:vAlign w:val="center"/>
          </w:tcPr>
          <w:p w14:paraId="1642429F">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153035</wp:posOffset>
                  </wp:positionH>
                  <wp:positionV relativeFrom="paragraph">
                    <wp:posOffset>79375</wp:posOffset>
                  </wp:positionV>
                  <wp:extent cx="1077595" cy="883920"/>
                  <wp:effectExtent l="0" t="0" r="1905" b="5080"/>
                  <wp:wrapNone/>
                  <wp:docPr id="214" name="图片_353"/>
                  <wp:cNvGraphicFramePr/>
                  <a:graphic xmlns:a="http://schemas.openxmlformats.org/drawingml/2006/main">
                    <a:graphicData uri="http://schemas.openxmlformats.org/drawingml/2006/picture">
                      <pic:pic xmlns:pic="http://schemas.openxmlformats.org/drawingml/2006/picture">
                        <pic:nvPicPr>
                          <pic:cNvPr id="214" name="图片_353"/>
                          <pic:cNvPicPr/>
                        </pic:nvPicPr>
                        <pic:blipFill>
                          <a:blip r:embed="rId123"/>
                          <a:stretch>
                            <a:fillRect/>
                          </a:stretch>
                        </pic:blipFill>
                        <pic:spPr>
                          <a:xfrm>
                            <a:off x="0" y="0"/>
                            <a:ext cx="1077595" cy="883920"/>
                          </a:xfrm>
                          <a:prstGeom prst="rect">
                            <a:avLst/>
                          </a:prstGeom>
                          <a:noFill/>
                          <a:ln>
                            <a:noFill/>
                          </a:ln>
                        </pic:spPr>
                      </pic:pic>
                    </a:graphicData>
                  </a:graphic>
                </wp:anchor>
              </w:drawing>
            </w:r>
          </w:p>
        </w:tc>
        <w:tc>
          <w:tcPr>
            <w:tcW w:w="5689" w:type="dxa"/>
            <w:shd w:val="clear" w:color="auto" w:fill="auto"/>
            <w:vAlign w:val="center"/>
          </w:tcPr>
          <w:p w14:paraId="336562D9">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材质：PVC尺寸：大号单个尺寸约6.5×7cm左右小号单个尺寸约3.3×4.5cm左右内含96件红、黄、蓝、绿四种颜色的金鱼，可以帮助幼儿进行颜色认知。进行分类、计数、规律排序等游戏，是比较适宜的数学类玩教具。</w:t>
            </w:r>
          </w:p>
        </w:tc>
        <w:tc>
          <w:tcPr>
            <w:tcW w:w="1163" w:type="dxa"/>
            <w:shd w:val="clear" w:color="auto" w:fill="auto"/>
            <w:vAlign w:val="center"/>
          </w:tcPr>
          <w:p w14:paraId="4B2778B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2A092DD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072B0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600" w:hRule="atLeast"/>
          <w:jc w:val="center"/>
        </w:trPr>
        <w:tc>
          <w:tcPr>
            <w:tcW w:w="734" w:type="dxa"/>
            <w:shd w:val="clear" w:color="auto" w:fill="auto"/>
            <w:vAlign w:val="center"/>
          </w:tcPr>
          <w:p w14:paraId="47225AE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8</w:t>
            </w:r>
          </w:p>
        </w:tc>
        <w:tc>
          <w:tcPr>
            <w:tcW w:w="1544" w:type="dxa"/>
            <w:shd w:val="clear" w:color="auto" w:fill="auto"/>
            <w:vAlign w:val="center"/>
          </w:tcPr>
          <w:p w14:paraId="464B7A8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计数农场动物</w:t>
            </w:r>
          </w:p>
        </w:tc>
        <w:tc>
          <w:tcPr>
            <w:tcW w:w="2489" w:type="dxa"/>
            <w:shd w:val="clear" w:color="auto" w:fill="auto"/>
            <w:noWrap/>
            <w:vAlign w:val="center"/>
          </w:tcPr>
          <w:p w14:paraId="7F7D4F6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264795</wp:posOffset>
                  </wp:positionH>
                  <wp:positionV relativeFrom="paragraph">
                    <wp:posOffset>182245</wp:posOffset>
                  </wp:positionV>
                  <wp:extent cx="874395" cy="752475"/>
                  <wp:effectExtent l="0" t="0" r="1905" b="9525"/>
                  <wp:wrapNone/>
                  <wp:docPr id="208" name="图片_354"/>
                  <wp:cNvGraphicFramePr/>
                  <a:graphic xmlns:a="http://schemas.openxmlformats.org/drawingml/2006/main">
                    <a:graphicData uri="http://schemas.openxmlformats.org/drawingml/2006/picture">
                      <pic:pic xmlns:pic="http://schemas.openxmlformats.org/drawingml/2006/picture">
                        <pic:nvPicPr>
                          <pic:cNvPr id="208" name="图片_354"/>
                          <pic:cNvPicPr/>
                        </pic:nvPicPr>
                        <pic:blipFill>
                          <a:blip r:embed="rId124"/>
                          <a:stretch>
                            <a:fillRect/>
                          </a:stretch>
                        </pic:blipFill>
                        <pic:spPr>
                          <a:xfrm>
                            <a:off x="0" y="0"/>
                            <a:ext cx="874395" cy="752475"/>
                          </a:xfrm>
                          <a:prstGeom prst="rect">
                            <a:avLst/>
                          </a:prstGeom>
                          <a:noFill/>
                          <a:ln>
                            <a:noFill/>
                          </a:ln>
                        </pic:spPr>
                      </pic:pic>
                    </a:graphicData>
                  </a:graphic>
                </wp:anchor>
              </w:drawing>
            </w:r>
          </w:p>
        </w:tc>
        <w:tc>
          <w:tcPr>
            <w:tcW w:w="5689" w:type="dxa"/>
            <w:shd w:val="clear" w:color="auto" w:fill="auto"/>
            <w:vAlign w:val="center"/>
          </w:tcPr>
          <w:p w14:paraId="300B160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VC尺寸：最大马约8.2×6cm，最小母鸡约4.5×3cm内含多种可爱的农场动物，造型小巧别致，适合幼儿手拿游戏。通过游戏，锻炼幼儿的计数、比较大小、排序等能力。也可以搭配建构游戏场景，丰富游戏玩法。</w:t>
            </w:r>
          </w:p>
        </w:tc>
        <w:tc>
          <w:tcPr>
            <w:tcW w:w="1163" w:type="dxa"/>
            <w:shd w:val="clear" w:color="auto" w:fill="auto"/>
            <w:vAlign w:val="center"/>
          </w:tcPr>
          <w:p w14:paraId="103704C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42908C0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7494A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734" w:type="dxa"/>
            <w:shd w:val="clear" w:color="auto" w:fill="auto"/>
            <w:vAlign w:val="center"/>
          </w:tcPr>
          <w:p w14:paraId="71F95F2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9</w:t>
            </w:r>
          </w:p>
        </w:tc>
        <w:tc>
          <w:tcPr>
            <w:tcW w:w="1544" w:type="dxa"/>
            <w:shd w:val="clear" w:color="auto" w:fill="auto"/>
            <w:vAlign w:val="center"/>
          </w:tcPr>
          <w:p w14:paraId="6F4CCD8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彩色圆柱阶梯组</w:t>
            </w:r>
          </w:p>
        </w:tc>
        <w:tc>
          <w:tcPr>
            <w:tcW w:w="2489" w:type="dxa"/>
            <w:shd w:val="clear" w:color="auto" w:fill="auto"/>
            <w:noWrap/>
            <w:vAlign w:val="center"/>
          </w:tcPr>
          <w:p w14:paraId="3B8F92BD">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864870" cy="864235"/>
                  <wp:effectExtent l="0" t="0" r="11430" b="12065"/>
                  <wp:wrapNone/>
                  <wp:docPr id="212" name="图片_355"/>
                  <wp:cNvGraphicFramePr/>
                  <a:graphic xmlns:a="http://schemas.openxmlformats.org/drawingml/2006/main">
                    <a:graphicData uri="http://schemas.openxmlformats.org/drawingml/2006/picture">
                      <pic:pic xmlns:pic="http://schemas.openxmlformats.org/drawingml/2006/picture">
                        <pic:nvPicPr>
                          <pic:cNvPr id="212" name="图片_355"/>
                          <pic:cNvPicPr/>
                        </pic:nvPicPr>
                        <pic:blipFill>
                          <a:blip r:embed="rId125"/>
                          <a:stretch>
                            <a:fillRect/>
                          </a:stretch>
                        </pic:blipFill>
                        <pic:spPr>
                          <a:xfrm>
                            <a:off x="0" y="0"/>
                            <a:ext cx="864870" cy="864235"/>
                          </a:xfrm>
                          <a:prstGeom prst="rect">
                            <a:avLst/>
                          </a:prstGeom>
                          <a:noFill/>
                          <a:ln>
                            <a:noFill/>
                          </a:ln>
                        </pic:spPr>
                      </pic:pic>
                    </a:graphicData>
                  </a:graphic>
                </wp:anchor>
              </w:drawing>
            </w:r>
          </w:p>
        </w:tc>
        <w:tc>
          <w:tcPr>
            <w:tcW w:w="5689" w:type="dxa"/>
            <w:shd w:val="clear" w:color="auto" w:fill="auto"/>
            <w:vAlign w:val="center"/>
          </w:tcPr>
          <w:p w14:paraId="3FB11AB9">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材质：木质尺寸：底板约19×19×1.8cm内含底板1件，红色、橙色、黄色、蓝色、绿色各5件。各种颜色、不同高矮的圆柱阶梯组，可以按照颜色、高矮进行分类游戏。也可以按照规律排序、比较高矮等。</w:t>
            </w:r>
          </w:p>
        </w:tc>
        <w:tc>
          <w:tcPr>
            <w:tcW w:w="1163" w:type="dxa"/>
            <w:shd w:val="clear" w:color="auto" w:fill="auto"/>
            <w:vAlign w:val="center"/>
          </w:tcPr>
          <w:p w14:paraId="54D865F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47C009A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08971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260" w:hRule="atLeast"/>
          <w:jc w:val="center"/>
        </w:trPr>
        <w:tc>
          <w:tcPr>
            <w:tcW w:w="734" w:type="dxa"/>
            <w:shd w:val="clear" w:color="auto" w:fill="auto"/>
            <w:vAlign w:val="center"/>
          </w:tcPr>
          <w:p w14:paraId="3BBD42F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10</w:t>
            </w:r>
          </w:p>
        </w:tc>
        <w:tc>
          <w:tcPr>
            <w:tcW w:w="1544" w:type="dxa"/>
            <w:shd w:val="clear" w:color="auto" w:fill="auto"/>
            <w:vAlign w:val="center"/>
          </w:tcPr>
          <w:p w14:paraId="5C065D0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钉板游戏套装</w:t>
            </w:r>
          </w:p>
        </w:tc>
        <w:tc>
          <w:tcPr>
            <w:tcW w:w="2489" w:type="dxa"/>
            <w:shd w:val="clear" w:color="auto" w:fill="auto"/>
            <w:noWrap/>
            <w:vAlign w:val="center"/>
          </w:tcPr>
          <w:p w14:paraId="68BF3D8C">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400050</wp:posOffset>
                  </wp:positionH>
                  <wp:positionV relativeFrom="paragraph">
                    <wp:posOffset>86360</wp:posOffset>
                  </wp:positionV>
                  <wp:extent cx="785495" cy="922020"/>
                  <wp:effectExtent l="0" t="0" r="1905" b="5080"/>
                  <wp:wrapNone/>
                  <wp:docPr id="220" name="图片_467"/>
                  <wp:cNvGraphicFramePr/>
                  <a:graphic xmlns:a="http://schemas.openxmlformats.org/drawingml/2006/main">
                    <a:graphicData uri="http://schemas.openxmlformats.org/drawingml/2006/picture">
                      <pic:pic xmlns:pic="http://schemas.openxmlformats.org/drawingml/2006/picture">
                        <pic:nvPicPr>
                          <pic:cNvPr id="220" name="图片_467"/>
                          <pic:cNvPicPr/>
                        </pic:nvPicPr>
                        <pic:blipFill>
                          <a:blip r:embed="rId126"/>
                          <a:stretch>
                            <a:fillRect/>
                          </a:stretch>
                        </pic:blipFill>
                        <pic:spPr>
                          <a:xfrm>
                            <a:off x="0" y="0"/>
                            <a:ext cx="785495" cy="922020"/>
                          </a:xfrm>
                          <a:prstGeom prst="rect">
                            <a:avLst/>
                          </a:prstGeom>
                          <a:noFill/>
                          <a:ln>
                            <a:noFill/>
                          </a:ln>
                        </pic:spPr>
                      </pic:pic>
                    </a:graphicData>
                  </a:graphic>
                </wp:anchor>
              </w:drawing>
            </w:r>
          </w:p>
        </w:tc>
        <w:tc>
          <w:tcPr>
            <w:tcW w:w="5689" w:type="dxa"/>
            <w:shd w:val="clear" w:color="auto" w:fill="auto"/>
            <w:vAlign w:val="center"/>
          </w:tcPr>
          <w:p w14:paraId="55AEF5ED">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ABS、纸制产品尺寸：钉板游戏板：约20×20cm,玩法操作卡18.5×18.5cm、彩色皮筋8cm/25cm/43cm/60cm内含钉板游戏板×4,玩法操作卡×20（4种主题），透明教具盒×1，彩色皮筋：8mm×120根、25mm×80根、43mm×40根、60mm×40根。共计305件。创意几何钉板游戏，可以展现数字、图形、图案等，锻炼幼儿的想象力和空间感知能力。</w:t>
            </w:r>
          </w:p>
        </w:tc>
        <w:tc>
          <w:tcPr>
            <w:tcW w:w="1163" w:type="dxa"/>
            <w:shd w:val="clear" w:color="auto" w:fill="auto"/>
            <w:vAlign w:val="center"/>
          </w:tcPr>
          <w:p w14:paraId="7A2E077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058E57E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66D55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600" w:hRule="atLeast"/>
          <w:jc w:val="center"/>
        </w:trPr>
        <w:tc>
          <w:tcPr>
            <w:tcW w:w="734" w:type="dxa"/>
            <w:shd w:val="clear" w:color="auto" w:fill="auto"/>
            <w:vAlign w:val="center"/>
          </w:tcPr>
          <w:p w14:paraId="37DE373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11</w:t>
            </w:r>
          </w:p>
        </w:tc>
        <w:tc>
          <w:tcPr>
            <w:tcW w:w="1544" w:type="dxa"/>
            <w:shd w:val="clear" w:color="auto" w:fill="auto"/>
            <w:vAlign w:val="center"/>
          </w:tcPr>
          <w:p w14:paraId="4DC1DAB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宝宝几何积木</w:t>
            </w:r>
          </w:p>
        </w:tc>
        <w:tc>
          <w:tcPr>
            <w:tcW w:w="2489" w:type="dxa"/>
            <w:shd w:val="clear" w:color="auto" w:fill="auto"/>
            <w:noWrap/>
            <w:vAlign w:val="center"/>
          </w:tcPr>
          <w:p w14:paraId="08A75479">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283210</wp:posOffset>
                  </wp:positionH>
                  <wp:positionV relativeFrom="paragraph">
                    <wp:posOffset>173355</wp:posOffset>
                  </wp:positionV>
                  <wp:extent cx="673735" cy="636270"/>
                  <wp:effectExtent l="0" t="0" r="12065" b="11430"/>
                  <wp:wrapNone/>
                  <wp:docPr id="202" name="图片_356"/>
                  <wp:cNvGraphicFramePr/>
                  <a:graphic xmlns:a="http://schemas.openxmlformats.org/drawingml/2006/main">
                    <a:graphicData uri="http://schemas.openxmlformats.org/drawingml/2006/picture">
                      <pic:pic xmlns:pic="http://schemas.openxmlformats.org/drawingml/2006/picture">
                        <pic:nvPicPr>
                          <pic:cNvPr id="202" name="图片_356"/>
                          <pic:cNvPicPr/>
                        </pic:nvPicPr>
                        <pic:blipFill>
                          <a:blip r:embed="rId127"/>
                          <a:stretch>
                            <a:fillRect/>
                          </a:stretch>
                        </pic:blipFill>
                        <pic:spPr>
                          <a:xfrm>
                            <a:off x="0" y="0"/>
                            <a:ext cx="673735" cy="636270"/>
                          </a:xfrm>
                          <a:prstGeom prst="rect">
                            <a:avLst/>
                          </a:prstGeom>
                          <a:noFill/>
                          <a:ln>
                            <a:noFill/>
                          </a:ln>
                        </pic:spPr>
                      </pic:pic>
                    </a:graphicData>
                  </a:graphic>
                </wp:anchor>
              </w:drawing>
            </w:r>
          </w:p>
        </w:tc>
        <w:tc>
          <w:tcPr>
            <w:tcW w:w="5689" w:type="dxa"/>
            <w:shd w:val="clear" w:color="auto" w:fill="auto"/>
            <w:vAlign w:val="center"/>
          </w:tcPr>
          <w:p w14:paraId="7BE0F1DD">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材质：乙烯基、PU泡棉填料尺寸：立方块边长约11.4cm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共26个软质泡棉积木，柔软安全可挤压，可学习基本的几何形状、堆叠几何形状、颜色的配对，进行各种造型的搭建。</w:t>
            </w:r>
          </w:p>
        </w:tc>
        <w:tc>
          <w:tcPr>
            <w:tcW w:w="1163" w:type="dxa"/>
            <w:shd w:val="clear" w:color="auto" w:fill="auto"/>
            <w:vAlign w:val="center"/>
          </w:tcPr>
          <w:p w14:paraId="5CC2FF4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w:t>
            </w:r>
          </w:p>
        </w:tc>
        <w:tc>
          <w:tcPr>
            <w:tcW w:w="1164" w:type="dxa"/>
            <w:shd w:val="clear" w:color="auto" w:fill="auto"/>
            <w:vAlign w:val="center"/>
          </w:tcPr>
          <w:p w14:paraId="1DBF6CB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7484E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734" w:type="dxa"/>
            <w:shd w:val="clear" w:color="auto" w:fill="auto"/>
            <w:vAlign w:val="center"/>
          </w:tcPr>
          <w:p w14:paraId="4C911D8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12</w:t>
            </w:r>
          </w:p>
        </w:tc>
        <w:tc>
          <w:tcPr>
            <w:tcW w:w="1544" w:type="dxa"/>
            <w:shd w:val="clear" w:color="auto" w:fill="auto"/>
            <w:vAlign w:val="center"/>
          </w:tcPr>
          <w:p w14:paraId="0AF8C9E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ABS中颗粒积木</w:t>
            </w:r>
          </w:p>
        </w:tc>
        <w:tc>
          <w:tcPr>
            <w:tcW w:w="2489" w:type="dxa"/>
            <w:shd w:val="clear" w:color="auto" w:fill="auto"/>
            <w:noWrap/>
            <w:vAlign w:val="center"/>
          </w:tcPr>
          <w:p w14:paraId="00864BC3">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350520</wp:posOffset>
                  </wp:positionH>
                  <wp:positionV relativeFrom="paragraph">
                    <wp:posOffset>61595</wp:posOffset>
                  </wp:positionV>
                  <wp:extent cx="821690" cy="800100"/>
                  <wp:effectExtent l="0" t="0" r="3810" b="0"/>
                  <wp:wrapNone/>
                  <wp:docPr id="209" name="图片_21"/>
                  <wp:cNvGraphicFramePr/>
                  <a:graphic xmlns:a="http://schemas.openxmlformats.org/drawingml/2006/main">
                    <a:graphicData uri="http://schemas.openxmlformats.org/drawingml/2006/picture">
                      <pic:pic xmlns:pic="http://schemas.openxmlformats.org/drawingml/2006/picture">
                        <pic:nvPicPr>
                          <pic:cNvPr id="209" name="图片_21"/>
                          <pic:cNvPicPr/>
                        </pic:nvPicPr>
                        <pic:blipFill>
                          <a:blip r:embed="rId128"/>
                          <a:stretch>
                            <a:fillRect/>
                          </a:stretch>
                        </pic:blipFill>
                        <pic:spPr>
                          <a:xfrm>
                            <a:off x="0" y="0"/>
                            <a:ext cx="821690" cy="800100"/>
                          </a:xfrm>
                          <a:prstGeom prst="rect">
                            <a:avLst/>
                          </a:prstGeom>
                          <a:noFill/>
                          <a:ln>
                            <a:noFill/>
                          </a:ln>
                        </pic:spPr>
                      </pic:pic>
                    </a:graphicData>
                  </a:graphic>
                </wp:anchor>
              </w:drawing>
            </w:r>
          </w:p>
        </w:tc>
        <w:tc>
          <w:tcPr>
            <w:tcW w:w="5689" w:type="dxa"/>
            <w:shd w:val="clear" w:color="auto" w:fill="auto"/>
            <w:vAlign w:val="center"/>
          </w:tcPr>
          <w:p w14:paraId="0E636E9A">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材质：ABS尺寸：最大约L6.4×W3.2×H2.4cm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内含正方形积木48件、长方形积木24件、圆弧</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积木18件、斜边12件、积木插板1件。可以进</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行颜色认知、比较长短、排序、分类、计数等。还</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可以搭建喜欢的造型，充分锻炼孩子的手眼协调</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能力和创造力。</w:t>
            </w:r>
          </w:p>
        </w:tc>
        <w:tc>
          <w:tcPr>
            <w:tcW w:w="1163" w:type="dxa"/>
            <w:shd w:val="clear" w:color="auto" w:fill="auto"/>
            <w:vAlign w:val="center"/>
          </w:tcPr>
          <w:p w14:paraId="1CA8D82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164" w:type="dxa"/>
            <w:shd w:val="clear" w:color="auto" w:fill="auto"/>
            <w:vAlign w:val="center"/>
          </w:tcPr>
          <w:p w14:paraId="7E03EC9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5056C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600" w:hRule="atLeast"/>
          <w:jc w:val="center"/>
        </w:trPr>
        <w:tc>
          <w:tcPr>
            <w:tcW w:w="734" w:type="dxa"/>
            <w:shd w:val="clear" w:color="auto" w:fill="auto"/>
            <w:vAlign w:val="center"/>
          </w:tcPr>
          <w:p w14:paraId="03C9B8D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13</w:t>
            </w:r>
          </w:p>
        </w:tc>
        <w:tc>
          <w:tcPr>
            <w:tcW w:w="1544" w:type="dxa"/>
            <w:shd w:val="clear" w:color="auto" w:fill="auto"/>
            <w:vAlign w:val="center"/>
          </w:tcPr>
          <w:p w14:paraId="148CD41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吹塑鱼</w:t>
            </w:r>
          </w:p>
        </w:tc>
        <w:tc>
          <w:tcPr>
            <w:tcW w:w="2489" w:type="dxa"/>
            <w:shd w:val="clear" w:color="auto" w:fill="auto"/>
            <w:noWrap/>
            <w:vAlign w:val="center"/>
          </w:tcPr>
          <w:p w14:paraId="3C3762C3">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224790</wp:posOffset>
                  </wp:positionH>
                  <wp:positionV relativeFrom="paragraph">
                    <wp:posOffset>41910</wp:posOffset>
                  </wp:positionV>
                  <wp:extent cx="952500" cy="952500"/>
                  <wp:effectExtent l="0" t="0" r="0" b="0"/>
                  <wp:wrapNone/>
                  <wp:docPr id="205" name="图片_16"/>
                  <wp:cNvGraphicFramePr/>
                  <a:graphic xmlns:a="http://schemas.openxmlformats.org/drawingml/2006/main">
                    <a:graphicData uri="http://schemas.openxmlformats.org/drawingml/2006/picture">
                      <pic:pic xmlns:pic="http://schemas.openxmlformats.org/drawingml/2006/picture">
                        <pic:nvPicPr>
                          <pic:cNvPr id="205" name="图片_16"/>
                          <pic:cNvPicPr/>
                        </pic:nvPicPr>
                        <pic:blipFill>
                          <a:blip r:embed="rId129"/>
                          <a:stretch>
                            <a:fillRect/>
                          </a:stretch>
                        </pic:blipFill>
                        <pic:spPr>
                          <a:xfrm>
                            <a:off x="0" y="0"/>
                            <a:ext cx="952500" cy="952500"/>
                          </a:xfrm>
                          <a:prstGeom prst="rect">
                            <a:avLst/>
                          </a:prstGeom>
                          <a:noFill/>
                          <a:ln>
                            <a:noFill/>
                          </a:ln>
                        </pic:spPr>
                      </pic:pic>
                    </a:graphicData>
                  </a:graphic>
                </wp:anchor>
              </w:drawing>
            </w:r>
          </w:p>
        </w:tc>
        <w:tc>
          <w:tcPr>
            <w:tcW w:w="5689" w:type="dxa"/>
            <w:shd w:val="clear" w:color="auto" w:fill="auto"/>
            <w:vAlign w:val="center"/>
          </w:tcPr>
          <w:p w14:paraId="5C40E6A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材质：塑料,包装尺寸：26*23*10cm,内含：红、黄、蓝、绿、紫、橘各25个,小鱼的颜色各异，可通过游戏，学习颜色分类及排列组合的概念</w:t>
            </w:r>
          </w:p>
        </w:tc>
        <w:tc>
          <w:tcPr>
            <w:tcW w:w="1163" w:type="dxa"/>
            <w:shd w:val="clear" w:color="auto" w:fill="auto"/>
            <w:vAlign w:val="center"/>
          </w:tcPr>
          <w:p w14:paraId="4FB9DA4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7666FF5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26D87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734" w:type="dxa"/>
            <w:shd w:val="clear" w:color="auto" w:fill="auto"/>
            <w:vAlign w:val="center"/>
          </w:tcPr>
          <w:p w14:paraId="04878FE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14</w:t>
            </w:r>
          </w:p>
        </w:tc>
        <w:tc>
          <w:tcPr>
            <w:tcW w:w="1544" w:type="dxa"/>
            <w:shd w:val="clear" w:color="auto" w:fill="auto"/>
            <w:vAlign w:val="center"/>
          </w:tcPr>
          <w:p w14:paraId="413E1CF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轮子水管</w:t>
            </w:r>
          </w:p>
        </w:tc>
        <w:tc>
          <w:tcPr>
            <w:tcW w:w="2489" w:type="dxa"/>
            <w:shd w:val="clear" w:color="auto" w:fill="auto"/>
            <w:noWrap/>
            <w:vAlign w:val="center"/>
          </w:tcPr>
          <w:p w14:paraId="1B1B852E">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241935</wp:posOffset>
                  </wp:positionH>
                  <wp:positionV relativeFrom="paragraph">
                    <wp:posOffset>103505</wp:posOffset>
                  </wp:positionV>
                  <wp:extent cx="865505" cy="690245"/>
                  <wp:effectExtent l="0" t="0" r="10795" b="8255"/>
                  <wp:wrapNone/>
                  <wp:docPr id="203" name="图片_359"/>
                  <wp:cNvGraphicFramePr/>
                  <a:graphic xmlns:a="http://schemas.openxmlformats.org/drawingml/2006/main">
                    <a:graphicData uri="http://schemas.openxmlformats.org/drawingml/2006/picture">
                      <pic:pic xmlns:pic="http://schemas.openxmlformats.org/drawingml/2006/picture">
                        <pic:nvPicPr>
                          <pic:cNvPr id="203" name="图片_359"/>
                          <pic:cNvPicPr/>
                        </pic:nvPicPr>
                        <pic:blipFill>
                          <a:blip r:embed="rId130"/>
                          <a:stretch>
                            <a:fillRect/>
                          </a:stretch>
                        </pic:blipFill>
                        <pic:spPr>
                          <a:xfrm>
                            <a:off x="0" y="0"/>
                            <a:ext cx="865505" cy="690245"/>
                          </a:xfrm>
                          <a:prstGeom prst="rect">
                            <a:avLst/>
                          </a:prstGeom>
                          <a:noFill/>
                          <a:ln>
                            <a:noFill/>
                          </a:ln>
                        </pic:spPr>
                      </pic:pic>
                    </a:graphicData>
                  </a:graphic>
                </wp:anchor>
              </w:drawing>
            </w:r>
          </w:p>
        </w:tc>
        <w:tc>
          <w:tcPr>
            <w:tcW w:w="5689" w:type="dxa"/>
            <w:shd w:val="clear" w:color="auto" w:fill="auto"/>
            <w:vAlign w:val="center"/>
          </w:tcPr>
          <w:p w14:paraId="00B215D1">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ABS尺寸：直管长约7cm、直径约2.3cm每盒含红色轮子4个，黄色直管10个，黄色弯管10个，绿色直管10个，绿色弯管10个，紫色十字4个，紫色T字4个，橙色十字4个，橙色T字4个。可以创造小人、车辆等形状，锻炼小手肌肉控制能力。</w:t>
            </w:r>
          </w:p>
        </w:tc>
        <w:tc>
          <w:tcPr>
            <w:tcW w:w="1163" w:type="dxa"/>
            <w:shd w:val="clear" w:color="auto" w:fill="auto"/>
            <w:vAlign w:val="center"/>
          </w:tcPr>
          <w:p w14:paraId="4450163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164" w:type="dxa"/>
            <w:shd w:val="clear" w:color="auto" w:fill="auto"/>
            <w:vAlign w:val="center"/>
          </w:tcPr>
          <w:p w14:paraId="0A7A3EF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48501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734" w:type="dxa"/>
            <w:shd w:val="clear" w:color="auto" w:fill="auto"/>
            <w:vAlign w:val="center"/>
          </w:tcPr>
          <w:p w14:paraId="4D2441A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15</w:t>
            </w:r>
          </w:p>
        </w:tc>
        <w:tc>
          <w:tcPr>
            <w:tcW w:w="1544" w:type="dxa"/>
            <w:shd w:val="clear" w:color="auto" w:fill="auto"/>
            <w:vAlign w:val="center"/>
          </w:tcPr>
          <w:p w14:paraId="0E03225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螺丝螺母</w:t>
            </w:r>
          </w:p>
        </w:tc>
        <w:tc>
          <w:tcPr>
            <w:tcW w:w="2489" w:type="dxa"/>
            <w:shd w:val="clear" w:color="auto" w:fill="auto"/>
            <w:noWrap/>
            <w:vAlign w:val="center"/>
          </w:tcPr>
          <w:p w14:paraId="2B39530C">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183515</wp:posOffset>
                  </wp:positionH>
                  <wp:positionV relativeFrom="paragraph">
                    <wp:posOffset>34290</wp:posOffset>
                  </wp:positionV>
                  <wp:extent cx="952500" cy="952500"/>
                  <wp:effectExtent l="0" t="0" r="0" b="0"/>
                  <wp:wrapNone/>
                  <wp:docPr id="225" name="图片_17"/>
                  <wp:cNvGraphicFramePr/>
                  <a:graphic xmlns:a="http://schemas.openxmlformats.org/drawingml/2006/main">
                    <a:graphicData uri="http://schemas.openxmlformats.org/drawingml/2006/picture">
                      <pic:pic xmlns:pic="http://schemas.openxmlformats.org/drawingml/2006/picture">
                        <pic:nvPicPr>
                          <pic:cNvPr id="225" name="图片_17"/>
                          <pic:cNvPicPr/>
                        </pic:nvPicPr>
                        <pic:blipFill>
                          <a:blip r:embed="rId131"/>
                          <a:stretch>
                            <a:fillRect/>
                          </a:stretch>
                        </pic:blipFill>
                        <pic:spPr>
                          <a:xfrm>
                            <a:off x="0" y="0"/>
                            <a:ext cx="952500" cy="952500"/>
                          </a:xfrm>
                          <a:prstGeom prst="rect">
                            <a:avLst/>
                          </a:prstGeom>
                          <a:noFill/>
                          <a:ln>
                            <a:noFill/>
                          </a:ln>
                        </pic:spPr>
                      </pic:pic>
                    </a:graphicData>
                  </a:graphic>
                </wp:anchor>
              </w:drawing>
            </w:r>
          </w:p>
        </w:tc>
        <w:tc>
          <w:tcPr>
            <w:tcW w:w="5689" w:type="dxa"/>
            <w:shd w:val="clear" w:color="auto" w:fill="auto"/>
            <w:vAlign w:val="center"/>
          </w:tcPr>
          <w:p w14:paraId="2C2DFF2E">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材质：塑料,包装尺寸：约26*23*10cm，内含：红x8、黄x8、蓝x8、绿x8,可以进行颜色、形状配对，也可以通过对螺丝螺母的螺旋、拧，锻炼手眼协调及手部小肌肉</w:t>
            </w:r>
          </w:p>
        </w:tc>
        <w:tc>
          <w:tcPr>
            <w:tcW w:w="1163" w:type="dxa"/>
            <w:shd w:val="clear" w:color="auto" w:fill="auto"/>
            <w:vAlign w:val="center"/>
          </w:tcPr>
          <w:p w14:paraId="1CC9A45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2F6B5DB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42543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0" w:hRule="atLeast"/>
          <w:jc w:val="center"/>
        </w:trPr>
        <w:tc>
          <w:tcPr>
            <w:tcW w:w="734" w:type="dxa"/>
            <w:shd w:val="clear" w:color="auto" w:fill="auto"/>
            <w:vAlign w:val="center"/>
          </w:tcPr>
          <w:p w14:paraId="7B352C8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16</w:t>
            </w:r>
          </w:p>
        </w:tc>
        <w:tc>
          <w:tcPr>
            <w:tcW w:w="1544" w:type="dxa"/>
            <w:shd w:val="clear" w:color="auto" w:fill="auto"/>
            <w:vAlign w:val="center"/>
          </w:tcPr>
          <w:p w14:paraId="2FFBFAE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彩色磁力棒</w:t>
            </w:r>
          </w:p>
        </w:tc>
        <w:tc>
          <w:tcPr>
            <w:tcW w:w="2489" w:type="dxa"/>
            <w:shd w:val="clear" w:color="auto" w:fill="auto"/>
            <w:noWrap/>
            <w:vAlign w:val="center"/>
          </w:tcPr>
          <w:p w14:paraId="5E371787">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218440</wp:posOffset>
                  </wp:positionH>
                  <wp:positionV relativeFrom="paragraph">
                    <wp:posOffset>417830</wp:posOffset>
                  </wp:positionV>
                  <wp:extent cx="1042035" cy="1041400"/>
                  <wp:effectExtent l="0" t="0" r="12065" b="0"/>
                  <wp:wrapNone/>
                  <wp:docPr id="216" name="图片_361"/>
                  <wp:cNvGraphicFramePr/>
                  <a:graphic xmlns:a="http://schemas.openxmlformats.org/drawingml/2006/main">
                    <a:graphicData uri="http://schemas.openxmlformats.org/drawingml/2006/picture">
                      <pic:pic xmlns:pic="http://schemas.openxmlformats.org/drawingml/2006/picture">
                        <pic:nvPicPr>
                          <pic:cNvPr id="216" name="图片_361"/>
                          <pic:cNvPicPr/>
                        </pic:nvPicPr>
                        <pic:blipFill>
                          <a:blip r:embed="rId132"/>
                          <a:stretch>
                            <a:fillRect/>
                          </a:stretch>
                        </pic:blipFill>
                        <pic:spPr>
                          <a:xfrm>
                            <a:off x="0" y="0"/>
                            <a:ext cx="1042035" cy="1041400"/>
                          </a:xfrm>
                          <a:prstGeom prst="rect">
                            <a:avLst/>
                          </a:prstGeom>
                          <a:noFill/>
                          <a:ln>
                            <a:noFill/>
                          </a:ln>
                        </pic:spPr>
                      </pic:pic>
                    </a:graphicData>
                  </a:graphic>
                </wp:anchor>
              </w:drawing>
            </w:r>
          </w:p>
        </w:tc>
        <w:tc>
          <w:tcPr>
            <w:tcW w:w="5689" w:type="dxa"/>
            <w:shd w:val="clear" w:color="auto" w:fill="auto"/>
            <w:vAlign w:val="center"/>
          </w:tcPr>
          <w:p w14:paraId="2C91300A">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塑料、磁铁尺寸：磁力棒最长约11.6cm、磁力棒最短约6.9cm、球约4.5cm、操作卡20×14cm。大尺寸的磁力棒，大小适中，适合幼儿小手抓握。圆润光滑，优质环保，无毒无异味。磁力强劲，永磁体经久耐用，搭建造型更加稳固。丰富的色彩及造型，配有操作图卡，帮助幼儿认知各种颜色、形状、搭建各种造型。让幼儿在搭建中充分发挥想象力、创新能力和思维能力。</w:t>
            </w:r>
          </w:p>
        </w:tc>
        <w:tc>
          <w:tcPr>
            <w:tcW w:w="1163" w:type="dxa"/>
            <w:shd w:val="clear" w:color="auto" w:fill="auto"/>
            <w:vAlign w:val="center"/>
          </w:tcPr>
          <w:p w14:paraId="001DF58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0D4D800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1B8EB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0" w:hRule="atLeast"/>
          <w:jc w:val="center"/>
        </w:trPr>
        <w:tc>
          <w:tcPr>
            <w:tcW w:w="734" w:type="dxa"/>
            <w:shd w:val="clear" w:color="auto" w:fill="auto"/>
            <w:vAlign w:val="center"/>
          </w:tcPr>
          <w:p w14:paraId="402EDB4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17</w:t>
            </w:r>
          </w:p>
        </w:tc>
        <w:tc>
          <w:tcPr>
            <w:tcW w:w="1544" w:type="dxa"/>
            <w:shd w:val="clear" w:color="auto" w:fill="auto"/>
            <w:vAlign w:val="center"/>
          </w:tcPr>
          <w:p w14:paraId="5981F29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手持放大镜</w:t>
            </w:r>
          </w:p>
        </w:tc>
        <w:tc>
          <w:tcPr>
            <w:tcW w:w="2489" w:type="dxa"/>
            <w:shd w:val="clear" w:color="auto" w:fill="auto"/>
            <w:noWrap/>
            <w:vAlign w:val="center"/>
          </w:tcPr>
          <w:p w14:paraId="10345BFD">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71120</wp:posOffset>
                  </wp:positionV>
                  <wp:extent cx="864870" cy="394970"/>
                  <wp:effectExtent l="0" t="0" r="11430" b="11430"/>
                  <wp:wrapNone/>
                  <wp:docPr id="211" name="图片_362"/>
                  <wp:cNvGraphicFramePr/>
                  <a:graphic xmlns:a="http://schemas.openxmlformats.org/drawingml/2006/main">
                    <a:graphicData uri="http://schemas.openxmlformats.org/drawingml/2006/picture">
                      <pic:pic xmlns:pic="http://schemas.openxmlformats.org/drawingml/2006/picture">
                        <pic:nvPicPr>
                          <pic:cNvPr id="211" name="图片_362"/>
                          <pic:cNvPicPr/>
                        </pic:nvPicPr>
                        <pic:blipFill>
                          <a:blip r:embed="rId133"/>
                          <a:stretch>
                            <a:fillRect/>
                          </a:stretch>
                        </pic:blipFill>
                        <pic:spPr>
                          <a:xfrm>
                            <a:off x="0" y="0"/>
                            <a:ext cx="864870" cy="394970"/>
                          </a:xfrm>
                          <a:prstGeom prst="rect">
                            <a:avLst/>
                          </a:prstGeom>
                          <a:noFill/>
                          <a:ln>
                            <a:noFill/>
                          </a:ln>
                        </pic:spPr>
                      </pic:pic>
                    </a:graphicData>
                  </a:graphic>
                </wp:anchor>
              </w:drawing>
            </w:r>
          </w:p>
        </w:tc>
        <w:tc>
          <w:tcPr>
            <w:tcW w:w="5689" w:type="dxa"/>
            <w:shd w:val="clear" w:color="auto" w:fill="auto"/>
            <w:vAlign w:val="center"/>
          </w:tcPr>
          <w:p w14:paraId="7236EF1C">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材质：ABS尺寸：约镜面直径11.5cm，加手柄总长23cm</w:t>
            </w:r>
          </w:p>
        </w:tc>
        <w:tc>
          <w:tcPr>
            <w:tcW w:w="1163" w:type="dxa"/>
            <w:shd w:val="clear" w:color="auto" w:fill="auto"/>
            <w:vAlign w:val="center"/>
          </w:tcPr>
          <w:p w14:paraId="46013B1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1A9BBFD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521F44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00" w:hRule="atLeast"/>
          <w:jc w:val="center"/>
        </w:trPr>
        <w:tc>
          <w:tcPr>
            <w:tcW w:w="734" w:type="dxa"/>
            <w:shd w:val="clear" w:color="auto" w:fill="auto"/>
            <w:vAlign w:val="center"/>
          </w:tcPr>
          <w:p w14:paraId="548275A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18</w:t>
            </w:r>
          </w:p>
        </w:tc>
        <w:tc>
          <w:tcPr>
            <w:tcW w:w="1544" w:type="dxa"/>
            <w:shd w:val="clear" w:color="auto" w:fill="auto"/>
            <w:vAlign w:val="center"/>
          </w:tcPr>
          <w:p w14:paraId="68F8C30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花蝴蝶万花筒</w:t>
            </w:r>
          </w:p>
        </w:tc>
        <w:tc>
          <w:tcPr>
            <w:tcW w:w="2489" w:type="dxa"/>
            <w:shd w:val="clear" w:color="auto" w:fill="auto"/>
            <w:noWrap/>
            <w:vAlign w:val="center"/>
          </w:tcPr>
          <w:p w14:paraId="42A02ED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71120</wp:posOffset>
                  </wp:positionV>
                  <wp:extent cx="864870" cy="386080"/>
                  <wp:effectExtent l="0" t="0" r="11430" b="7620"/>
                  <wp:wrapNone/>
                  <wp:docPr id="206" name="图片_363"/>
                  <wp:cNvGraphicFramePr/>
                  <a:graphic xmlns:a="http://schemas.openxmlformats.org/drawingml/2006/main">
                    <a:graphicData uri="http://schemas.openxmlformats.org/drawingml/2006/picture">
                      <pic:pic xmlns:pic="http://schemas.openxmlformats.org/drawingml/2006/picture">
                        <pic:nvPicPr>
                          <pic:cNvPr id="206" name="图片_363"/>
                          <pic:cNvPicPr/>
                        </pic:nvPicPr>
                        <pic:blipFill>
                          <a:blip r:embed="rId134"/>
                          <a:stretch>
                            <a:fillRect/>
                          </a:stretch>
                        </pic:blipFill>
                        <pic:spPr>
                          <a:xfrm>
                            <a:off x="0" y="0"/>
                            <a:ext cx="864870" cy="386080"/>
                          </a:xfrm>
                          <a:prstGeom prst="rect">
                            <a:avLst/>
                          </a:prstGeom>
                          <a:noFill/>
                          <a:ln>
                            <a:noFill/>
                          </a:ln>
                        </pic:spPr>
                      </pic:pic>
                    </a:graphicData>
                  </a:graphic>
                </wp:anchor>
              </w:drawing>
            </w:r>
          </w:p>
        </w:tc>
        <w:tc>
          <w:tcPr>
            <w:tcW w:w="5689" w:type="dxa"/>
            <w:shd w:val="clear" w:color="auto" w:fill="auto"/>
            <w:vAlign w:val="center"/>
          </w:tcPr>
          <w:p w14:paraId="2DFF966E">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材质：GPPS、ACRYLIC、PC、ABS</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尺寸：约27×27×8cm</w:t>
            </w:r>
          </w:p>
        </w:tc>
        <w:tc>
          <w:tcPr>
            <w:tcW w:w="1163" w:type="dxa"/>
            <w:shd w:val="clear" w:color="auto" w:fill="auto"/>
            <w:vAlign w:val="center"/>
          </w:tcPr>
          <w:p w14:paraId="1BC1BBD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7F03214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68679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0" w:hRule="atLeast"/>
          <w:jc w:val="center"/>
        </w:trPr>
        <w:tc>
          <w:tcPr>
            <w:tcW w:w="734" w:type="dxa"/>
            <w:shd w:val="clear" w:color="auto" w:fill="auto"/>
            <w:vAlign w:val="center"/>
          </w:tcPr>
          <w:p w14:paraId="06D2075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19</w:t>
            </w:r>
          </w:p>
        </w:tc>
        <w:tc>
          <w:tcPr>
            <w:tcW w:w="1544" w:type="dxa"/>
            <w:shd w:val="clear" w:color="auto" w:fill="auto"/>
            <w:vAlign w:val="center"/>
          </w:tcPr>
          <w:p w14:paraId="11D2B22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磁性探索板</w:t>
            </w:r>
          </w:p>
        </w:tc>
        <w:tc>
          <w:tcPr>
            <w:tcW w:w="2489" w:type="dxa"/>
            <w:shd w:val="clear" w:color="auto" w:fill="auto"/>
            <w:noWrap/>
            <w:vAlign w:val="center"/>
          </w:tcPr>
          <w:p w14:paraId="03D779F2">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185420</wp:posOffset>
                  </wp:positionH>
                  <wp:positionV relativeFrom="paragraph">
                    <wp:posOffset>66040</wp:posOffset>
                  </wp:positionV>
                  <wp:extent cx="942975" cy="695960"/>
                  <wp:effectExtent l="0" t="0" r="9525" b="2540"/>
                  <wp:wrapNone/>
                  <wp:docPr id="210" name="图片_364"/>
                  <wp:cNvGraphicFramePr/>
                  <a:graphic xmlns:a="http://schemas.openxmlformats.org/drawingml/2006/main">
                    <a:graphicData uri="http://schemas.openxmlformats.org/drawingml/2006/picture">
                      <pic:pic xmlns:pic="http://schemas.openxmlformats.org/drawingml/2006/picture">
                        <pic:nvPicPr>
                          <pic:cNvPr id="210" name="图片_364"/>
                          <pic:cNvPicPr/>
                        </pic:nvPicPr>
                        <pic:blipFill>
                          <a:blip r:embed="rId135"/>
                          <a:stretch>
                            <a:fillRect/>
                          </a:stretch>
                        </pic:blipFill>
                        <pic:spPr>
                          <a:xfrm>
                            <a:off x="0" y="0"/>
                            <a:ext cx="942975" cy="695960"/>
                          </a:xfrm>
                          <a:prstGeom prst="rect">
                            <a:avLst/>
                          </a:prstGeom>
                          <a:noFill/>
                          <a:ln>
                            <a:noFill/>
                          </a:ln>
                        </pic:spPr>
                      </pic:pic>
                    </a:graphicData>
                  </a:graphic>
                </wp:anchor>
              </w:drawing>
            </w:r>
          </w:p>
        </w:tc>
        <w:tc>
          <w:tcPr>
            <w:tcW w:w="5689" w:type="dxa"/>
            <w:shd w:val="clear" w:color="auto" w:fill="auto"/>
            <w:vAlign w:val="center"/>
          </w:tcPr>
          <w:p w14:paraId="1B6110AF">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材质：木制、磁铁等尺寸：探索板约31.8×16.5cm。</w:t>
            </w:r>
          </w:p>
        </w:tc>
        <w:tc>
          <w:tcPr>
            <w:tcW w:w="1163" w:type="dxa"/>
            <w:shd w:val="clear" w:color="auto" w:fill="auto"/>
            <w:vAlign w:val="center"/>
          </w:tcPr>
          <w:p w14:paraId="7B2E32F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39BB074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0113E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0" w:hRule="atLeast"/>
          <w:jc w:val="center"/>
        </w:trPr>
        <w:tc>
          <w:tcPr>
            <w:tcW w:w="734" w:type="dxa"/>
            <w:shd w:val="clear" w:color="auto" w:fill="auto"/>
            <w:vAlign w:val="center"/>
          </w:tcPr>
          <w:p w14:paraId="73B887A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20</w:t>
            </w:r>
          </w:p>
        </w:tc>
        <w:tc>
          <w:tcPr>
            <w:tcW w:w="1544" w:type="dxa"/>
            <w:shd w:val="clear" w:color="auto" w:fill="auto"/>
            <w:vAlign w:val="center"/>
          </w:tcPr>
          <w:p w14:paraId="134E917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双孔3X放大观察箱</w:t>
            </w:r>
          </w:p>
        </w:tc>
        <w:tc>
          <w:tcPr>
            <w:tcW w:w="2489" w:type="dxa"/>
            <w:shd w:val="clear" w:color="auto" w:fill="auto"/>
            <w:noWrap/>
            <w:vAlign w:val="center"/>
          </w:tcPr>
          <w:p w14:paraId="743C708B">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690245"/>
                  <wp:effectExtent l="0" t="0" r="11430" b="8255"/>
                  <wp:wrapNone/>
                  <wp:docPr id="213" name="图片_365"/>
                  <wp:cNvGraphicFramePr/>
                  <a:graphic xmlns:a="http://schemas.openxmlformats.org/drawingml/2006/main">
                    <a:graphicData uri="http://schemas.openxmlformats.org/drawingml/2006/picture">
                      <pic:pic xmlns:pic="http://schemas.openxmlformats.org/drawingml/2006/picture">
                        <pic:nvPicPr>
                          <pic:cNvPr id="213" name="图片_365"/>
                          <pic:cNvPicPr/>
                        </pic:nvPicPr>
                        <pic:blipFill>
                          <a:blip r:embed="rId136"/>
                          <a:stretch>
                            <a:fillRect/>
                          </a:stretch>
                        </pic:blipFill>
                        <pic:spPr>
                          <a:xfrm>
                            <a:off x="0" y="0"/>
                            <a:ext cx="864870" cy="690245"/>
                          </a:xfrm>
                          <a:prstGeom prst="rect">
                            <a:avLst/>
                          </a:prstGeom>
                          <a:noFill/>
                          <a:ln>
                            <a:noFill/>
                          </a:ln>
                        </pic:spPr>
                      </pic:pic>
                    </a:graphicData>
                  </a:graphic>
                </wp:anchor>
              </w:drawing>
            </w:r>
          </w:p>
        </w:tc>
        <w:tc>
          <w:tcPr>
            <w:tcW w:w="5689" w:type="dxa"/>
            <w:shd w:val="clear" w:color="auto" w:fill="auto"/>
            <w:vAlign w:val="center"/>
          </w:tcPr>
          <w:p w14:paraId="75D915A9">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材质：ABS、LDPE、PMMA尺寸：约17x9.9x8.9cm</w:t>
            </w:r>
          </w:p>
        </w:tc>
        <w:tc>
          <w:tcPr>
            <w:tcW w:w="1163" w:type="dxa"/>
            <w:shd w:val="clear" w:color="auto" w:fill="auto"/>
            <w:vAlign w:val="center"/>
          </w:tcPr>
          <w:p w14:paraId="02E5644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164" w:type="dxa"/>
            <w:shd w:val="clear" w:color="auto" w:fill="auto"/>
            <w:vAlign w:val="center"/>
          </w:tcPr>
          <w:p w14:paraId="6FDCAAE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255C1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00" w:hRule="atLeast"/>
          <w:jc w:val="center"/>
        </w:trPr>
        <w:tc>
          <w:tcPr>
            <w:tcW w:w="734" w:type="dxa"/>
            <w:shd w:val="clear" w:color="auto" w:fill="auto"/>
            <w:vAlign w:val="center"/>
          </w:tcPr>
          <w:p w14:paraId="00E4219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21</w:t>
            </w:r>
          </w:p>
        </w:tc>
        <w:tc>
          <w:tcPr>
            <w:tcW w:w="1544" w:type="dxa"/>
            <w:shd w:val="clear" w:color="auto" w:fill="auto"/>
            <w:vAlign w:val="center"/>
          </w:tcPr>
          <w:p w14:paraId="35441D6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蚂蚁工坊</w:t>
            </w:r>
          </w:p>
        </w:tc>
        <w:tc>
          <w:tcPr>
            <w:tcW w:w="2489" w:type="dxa"/>
            <w:shd w:val="clear" w:color="auto" w:fill="auto"/>
            <w:noWrap/>
            <w:vAlign w:val="center"/>
          </w:tcPr>
          <w:p w14:paraId="6367A4BB">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71120</wp:posOffset>
                  </wp:positionV>
                  <wp:extent cx="864870" cy="494030"/>
                  <wp:effectExtent l="0" t="0" r="11430" b="1270"/>
                  <wp:wrapNone/>
                  <wp:docPr id="207" name="图片_366"/>
                  <wp:cNvGraphicFramePr/>
                  <a:graphic xmlns:a="http://schemas.openxmlformats.org/drawingml/2006/main">
                    <a:graphicData uri="http://schemas.openxmlformats.org/drawingml/2006/picture">
                      <pic:pic xmlns:pic="http://schemas.openxmlformats.org/drawingml/2006/picture">
                        <pic:nvPicPr>
                          <pic:cNvPr id="207" name="图片_366"/>
                          <pic:cNvPicPr/>
                        </pic:nvPicPr>
                        <pic:blipFill>
                          <a:blip r:embed="rId137"/>
                          <a:stretch>
                            <a:fillRect/>
                          </a:stretch>
                        </pic:blipFill>
                        <pic:spPr>
                          <a:xfrm>
                            <a:off x="0" y="0"/>
                            <a:ext cx="864870" cy="494030"/>
                          </a:xfrm>
                          <a:prstGeom prst="rect">
                            <a:avLst/>
                          </a:prstGeom>
                          <a:noFill/>
                          <a:ln>
                            <a:noFill/>
                          </a:ln>
                        </pic:spPr>
                      </pic:pic>
                    </a:graphicData>
                  </a:graphic>
                </wp:anchor>
              </w:drawing>
            </w:r>
          </w:p>
        </w:tc>
        <w:tc>
          <w:tcPr>
            <w:tcW w:w="5689" w:type="dxa"/>
            <w:shd w:val="clear" w:color="auto" w:fill="auto"/>
            <w:vAlign w:val="center"/>
          </w:tcPr>
          <w:p w14:paraId="4E77223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材质：ABS尺寸：约19×19×9cm</w:t>
            </w:r>
          </w:p>
        </w:tc>
        <w:tc>
          <w:tcPr>
            <w:tcW w:w="1163" w:type="dxa"/>
            <w:shd w:val="clear" w:color="auto" w:fill="auto"/>
            <w:vAlign w:val="center"/>
          </w:tcPr>
          <w:p w14:paraId="12B3709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21A48BD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226EE6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0" w:hRule="atLeast"/>
          <w:jc w:val="center"/>
        </w:trPr>
        <w:tc>
          <w:tcPr>
            <w:tcW w:w="734" w:type="dxa"/>
            <w:shd w:val="clear" w:color="auto" w:fill="auto"/>
            <w:vAlign w:val="center"/>
          </w:tcPr>
          <w:p w14:paraId="4D433A4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22</w:t>
            </w:r>
          </w:p>
        </w:tc>
        <w:tc>
          <w:tcPr>
            <w:tcW w:w="1544" w:type="dxa"/>
            <w:shd w:val="clear" w:color="auto" w:fill="auto"/>
            <w:vAlign w:val="center"/>
          </w:tcPr>
          <w:p w14:paraId="6A491DF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宝宝喂食组</w:t>
            </w:r>
          </w:p>
        </w:tc>
        <w:tc>
          <w:tcPr>
            <w:tcW w:w="2489" w:type="dxa"/>
            <w:shd w:val="clear" w:color="auto" w:fill="auto"/>
            <w:noWrap/>
            <w:vAlign w:val="center"/>
          </w:tcPr>
          <w:p w14:paraId="71749D9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238125</wp:posOffset>
                  </wp:positionH>
                  <wp:positionV relativeFrom="paragraph">
                    <wp:posOffset>98425</wp:posOffset>
                  </wp:positionV>
                  <wp:extent cx="952500" cy="952500"/>
                  <wp:effectExtent l="0" t="0" r="0" b="0"/>
                  <wp:wrapNone/>
                  <wp:docPr id="215" name="图片_18"/>
                  <wp:cNvGraphicFramePr/>
                  <a:graphic xmlns:a="http://schemas.openxmlformats.org/drawingml/2006/main">
                    <a:graphicData uri="http://schemas.openxmlformats.org/drawingml/2006/picture">
                      <pic:pic xmlns:pic="http://schemas.openxmlformats.org/drawingml/2006/picture">
                        <pic:nvPicPr>
                          <pic:cNvPr id="215" name="图片_18"/>
                          <pic:cNvPicPr/>
                        </pic:nvPicPr>
                        <pic:blipFill>
                          <a:blip r:embed="rId138"/>
                          <a:stretch>
                            <a:fillRect/>
                          </a:stretch>
                        </pic:blipFill>
                        <pic:spPr>
                          <a:xfrm>
                            <a:off x="0" y="0"/>
                            <a:ext cx="952500" cy="952500"/>
                          </a:xfrm>
                          <a:prstGeom prst="rect">
                            <a:avLst/>
                          </a:prstGeom>
                          <a:noFill/>
                          <a:ln>
                            <a:noFill/>
                          </a:ln>
                        </pic:spPr>
                      </pic:pic>
                    </a:graphicData>
                  </a:graphic>
                </wp:anchor>
              </w:drawing>
            </w:r>
          </w:p>
        </w:tc>
        <w:tc>
          <w:tcPr>
            <w:tcW w:w="5689" w:type="dxa"/>
            <w:shd w:val="clear" w:color="auto" w:fill="auto"/>
            <w:vAlign w:val="center"/>
          </w:tcPr>
          <w:p w14:paraId="36A5C13B">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材质：PP塑料+ABS+布艺，包装尺寸：约：34.5*24*7.5cm，内含：奶瓶*2、辅食餐盘*1、勺子*1、叉子*1、辅食盒*3、围兜*1、摇摇乐*1、安抚奶嘴*1</w:t>
            </w:r>
          </w:p>
        </w:tc>
        <w:tc>
          <w:tcPr>
            <w:tcW w:w="1163" w:type="dxa"/>
            <w:shd w:val="clear" w:color="auto" w:fill="auto"/>
            <w:vAlign w:val="center"/>
          </w:tcPr>
          <w:p w14:paraId="3F2C712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7408D29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0E7DD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00" w:hRule="atLeast"/>
          <w:jc w:val="center"/>
        </w:trPr>
        <w:tc>
          <w:tcPr>
            <w:tcW w:w="734" w:type="dxa"/>
            <w:shd w:val="clear" w:color="auto" w:fill="auto"/>
            <w:vAlign w:val="center"/>
          </w:tcPr>
          <w:p w14:paraId="5BD4A52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23</w:t>
            </w:r>
          </w:p>
        </w:tc>
        <w:tc>
          <w:tcPr>
            <w:tcW w:w="1544" w:type="dxa"/>
            <w:shd w:val="clear" w:color="auto" w:fill="auto"/>
            <w:vAlign w:val="center"/>
          </w:tcPr>
          <w:p w14:paraId="54E1312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面包机</w:t>
            </w:r>
          </w:p>
        </w:tc>
        <w:tc>
          <w:tcPr>
            <w:tcW w:w="2489" w:type="dxa"/>
            <w:shd w:val="clear" w:color="auto" w:fill="auto"/>
            <w:noWrap/>
            <w:vAlign w:val="center"/>
          </w:tcPr>
          <w:p w14:paraId="5685C207">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864870" cy="864235"/>
                  <wp:effectExtent l="0" t="0" r="11430" b="12065"/>
                  <wp:wrapNone/>
                  <wp:docPr id="217" name="图片_369"/>
                  <wp:cNvGraphicFramePr/>
                  <a:graphic xmlns:a="http://schemas.openxmlformats.org/drawingml/2006/main">
                    <a:graphicData uri="http://schemas.openxmlformats.org/drawingml/2006/picture">
                      <pic:pic xmlns:pic="http://schemas.openxmlformats.org/drawingml/2006/picture">
                        <pic:nvPicPr>
                          <pic:cNvPr id="217" name="图片_369"/>
                          <pic:cNvPicPr/>
                        </pic:nvPicPr>
                        <pic:blipFill>
                          <a:blip r:embed="rId139"/>
                          <a:stretch>
                            <a:fillRect/>
                          </a:stretch>
                        </pic:blipFill>
                        <pic:spPr>
                          <a:xfrm>
                            <a:off x="0" y="0"/>
                            <a:ext cx="864870" cy="864235"/>
                          </a:xfrm>
                          <a:prstGeom prst="rect">
                            <a:avLst/>
                          </a:prstGeom>
                          <a:noFill/>
                          <a:ln>
                            <a:noFill/>
                          </a:ln>
                        </pic:spPr>
                      </pic:pic>
                    </a:graphicData>
                  </a:graphic>
                </wp:anchor>
              </w:drawing>
            </w:r>
          </w:p>
        </w:tc>
        <w:tc>
          <w:tcPr>
            <w:tcW w:w="5689" w:type="dxa"/>
            <w:shd w:val="clear" w:color="auto" w:fill="auto"/>
            <w:vAlign w:val="center"/>
          </w:tcPr>
          <w:p w14:paraId="5D2EFDC7">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材质：ABS尺寸：约16.5×9.5×12cm面包机+面包×2。造型可爱的仿真面包机，帮助幼儿玩面包制作师等扮演活动。既能引导幼儿认知厨房物件，还能在游戏中模拟生活场景，了解家用电器的操作方法，体验烘焙乐趣。</w:t>
            </w:r>
          </w:p>
        </w:tc>
        <w:tc>
          <w:tcPr>
            <w:tcW w:w="1163" w:type="dxa"/>
            <w:shd w:val="clear" w:color="auto" w:fill="auto"/>
            <w:vAlign w:val="center"/>
          </w:tcPr>
          <w:p w14:paraId="27B030A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7B58470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797E1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0" w:hRule="atLeast"/>
          <w:jc w:val="center"/>
        </w:trPr>
        <w:tc>
          <w:tcPr>
            <w:tcW w:w="734" w:type="dxa"/>
            <w:shd w:val="clear" w:color="auto" w:fill="auto"/>
            <w:vAlign w:val="center"/>
          </w:tcPr>
          <w:p w14:paraId="50AC32B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24</w:t>
            </w:r>
          </w:p>
        </w:tc>
        <w:tc>
          <w:tcPr>
            <w:tcW w:w="1544" w:type="dxa"/>
            <w:shd w:val="clear" w:color="auto" w:fill="auto"/>
            <w:vAlign w:val="center"/>
          </w:tcPr>
          <w:p w14:paraId="401BC10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不锈钢彩色锅具9件套</w:t>
            </w:r>
          </w:p>
        </w:tc>
        <w:tc>
          <w:tcPr>
            <w:tcW w:w="2489" w:type="dxa"/>
            <w:shd w:val="clear" w:color="auto" w:fill="auto"/>
            <w:noWrap/>
            <w:vAlign w:val="center"/>
          </w:tcPr>
          <w:p w14:paraId="4DA0F525">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864870" cy="864235"/>
                  <wp:effectExtent l="0" t="0" r="11430" b="12065"/>
                  <wp:wrapNone/>
                  <wp:docPr id="219" name="图片_370"/>
                  <wp:cNvGraphicFramePr/>
                  <a:graphic xmlns:a="http://schemas.openxmlformats.org/drawingml/2006/main">
                    <a:graphicData uri="http://schemas.openxmlformats.org/drawingml/2006/picture">
                      <pic:pic xmlns:pic="http://schemas.openxmlformats.org/drawingml/2006/picture">
                        <pic:nvPicPr>
                          <pic:cNvPr id="219" name="图片_370"/>
                          <pic:cNvPicPr/>
                        </pic:nvPicPr>
                        <pic:blipFill>
                          <a:blip r:embed="rId140"/>
                          <a:stretch>
                            <a:fillRect/>
                          </a:stretch>
                        </pic:blipFill>
                        <pic:spPr>
                          <a:xfrm>
                            <a:off x="0" y="0"/>
                            <a:ext cx="864870" cy="864235"/>
                          </a:xfrm>
                          <a:prstGeom prst="rect">
                            <a:avLst/>
                          </a:prstGeom>
                          <a:noFill/>
                          <a:ln>
                            <a:noFill/>
                          </a:ln>
                        </pic:spPr>
                      </pic:pic>
                    </a:graphicData>
                  </a:graphic>
                </wp:anchor>
              </w:drawing>
            </w:r>
          </w:p>
        </w:tc>
        <w:tc>
          <w:tcPr>
            <w:tcW w:w="5689" w:type="dxa"/>
            <w:shd w:val="clear" w:color="auto" w:fill="auto"/>
            <w:vAlign w:val="center"/>
          </w:tcPr>
          <w:p w14:paraId="2CE19B1D">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材质：不锈钢尺寸：汤锅直径约12cm、勺子长度约17.5cm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平底锅+勺子+锅铲+汤锅+深锅+锅盖×2+果蔬筛子+隔热垫。多种厨具配件，增加幼儿游戏的乐趣，寓教于乐。可做厨具识别、角色扮演、亲子互动等。</w:t>
            </w:r>
          </w:p>
        </w:tc>
        <w:tc>
          <w:tcPr>
            <w:tcW w:w="1163" w:type="dxa"/>
            <w:shd w:val="clear" w:color="auto" w:fill="auto"/>
            <w:vAlign w:val="center"/>
          </w:tcPr>
          <w:p w14:paraId="6DAB3AD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42061F4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7D73A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0" w:hRule="atLeast"/>
          <w:jc w:val="center"/>
        </w:trPr>
        <w:tc>
          <w:tcPr>
            <w:tcW w:w="734" w:type="dxa"/>
            <w:shd w:val="clear" w:color="auto" w:fill="auto"/>
            <w:vAlign w:val="center"/>
          </w:tcPr>
          <w:p w14:paraId="469462C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25</w:t>
            </w:r>
          </w:p>
        </w:tc>
        <w:tc>
          <w:tcPr>
            <w:tcW w:w="1544" w:type="dxa"/>
            <w:shd w:val="clear" w:color="auto" w:fill="auto"/>
            <w:vAlign w:val="center"/>
          </w:tcPr>
          <w:p w14:paraId="1627074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布娃娃男女组</w:t>
            </w:r>
          </w:p>
        </w:tc>
        <w:tc>
          <w:tcPr>
            <w:tcW w:w="2489" w:type="dxa"/>
            <w:shd w:val="clear" w:color="auto" w:fill="auto"/>
            <w:noWrap/>
            <w:vAlign w:val="center"/>
          </w:tcPr>
          <w:p w14:paraId="4A5AC78E">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864870" cy="864235"/>
                  <wp:effectExtent l="0" t="0" r="11430" b="12065"/>
                  <wp:wrapNone/>
                  <wp:docPr id="218" name="图片_423"/>
                  <wp:cNvGraphicFramePr/>
                  <a:graphic xmlns:a="http://schemas.openxmlformats.org/drawingml/2006/main">
                    <a:graphicData uri="http://schemas.openxmlformats.org/drawingml/2006/picture">
                      <pic:pic xmlns:pic="http://schemas.openxmlformats.org/drawingml/2006/picture">
                        <pic:nvPicPr>
                          <pic:cNvPr id="218" name="图片_423"/>
                          <pic:cNvPicPr/>
                        </pic:nvPicPr>
                        <pic:blipFill>
                          <a:blip r:embed="rId141"/>
                          <a:stretch>
                            <a:fillRect/>
                          </a:stretch>
                        </pic:blipFill>
                        <pic:spPr>
                          <a:xfrm>
                            <a:off x="0" y="0"/>
                            <a:ext cx="864870" cy="864235"/>
                          </a:xfrm>
                          <a:prstGeom prst="rect">
                            <a:avLst/>
                          </a:prstGeom>
                          <a:noFill/>
                          <a:ln>
                            <a:noFill/>
                          </a:ln>
                        </pic:spPr>
                      </pic:pic>
                    </a:graphicData>
                  </a:graphic>
                </wp:anchor>
              </w:drawing>
            </w:r>
          </w:p>
        </w:tc>
        <w:tc>
          <w:tcPr>
            <w:tcW w:w="5689" w:type="dxa"/>
            <w:shd w:val="clear" w:color="auto" w:fill="auto"/>
            <w:vAlign w:val="center"/>
          </w:tcPr>
          <w:p w14:paraId="0C5283DC">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材质：布制尺寸：长约40cm，臂长约33cm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新手爸爸妈妈，来帮布娃娃换尿布、穿衣服、戴帽子，透过实际的操作帮助幼儿学习关怀照顾他人。</w:t>
            </w:r>
          </w:p>
        </w:tc>
        <w:tc>
          <w:tcPr>
            <w:tcW w:w="1163" w:type="dxa"/>
            <w:shd w:val="clear" w:color="auto" w:fill="auto"/>
            <w:vAlign w:val="center"/>
          </w:tcPr>
          <w:p w14:paraId="3D24B06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4A3F27F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6E548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0" w:hRule="atLeast"/>
          <w:jc w:val="center"/>
        </w:trPr>
        <w:tc>
          <w:tcPr>
            <w:tcW w:w="734" w:type="dxa"/>
            <w:shd w:val="clear" w:color="auto" w:fill="auto"/>
            <w:vAlign w:val="center"/>
          </w:tcPr>
          <w:p w14:paraId="6E53CF7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26</w:t>
            </w:r>
          </w:p>
        </w:tc>
        <w:tc>
          <w:tcPr>
            <w:tcW w:w="1544" w:type="dxa"/>
            <w:shd w:val="clear" w:color="auto" w:fill="auto"/>
            <w:vAlign w:val="center"/>
          </w:tcPr>
          <w:p w14:paraId="4BA5111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美发师套装</w:t>
            </w:r>
          </w:p>
        </w:tc>
        <w:tc>
          <w:tcPr>
            <w:tcW w:w="2489" w:type="dxa"/>
            <w:shd w:val="clear" w:color="auto" w:fill="auto"/>
            <w:noWrap/>
            <w:vAlign w:val="center"/>
          </w:tcPr>
          <w:p w14:paraId="3D2C5C6F">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274320</wp:posOffset>
                  </wp:positionH>
                  <wp:positionV relativeFrom="paragraph">
                    <wp:posOffset>260985</wp:posOffset>
                  </wp:positionV>
                  <wp:extent cx="1061085" cy="375920"/>
                  <wp:effectExtent l="0" t="0" r="5715" b="5080"/>
                  <wp:wrapNone/>
                  <wp:docPr id="221" name="图片_466"/>
                  <wp:cNvGraphicFramePr/>
                  <a:graphic xmlns:a="http://schemas.openxmlformats.org/drawingml/2006/main">
                    <a:graphicData uri="http://schemas.openxmlformats.org/drawingml/2006/picture">
                      <pic:pic xmlns:pic="http://schemas.openxmlformats.org/drawingml/2006/picture">
                        <pic:nvPicPr>
                          <pic:cNvPr id="221" name="图片_466"/>
                          <pic:cNvPicPr/>
                        </pic:nvPicPr>
                        <pic:blipFill>
                          <a:blip r:embed="rId142"/>
                          <a:stretch>
                            <a:fillRect/>
                          </a:stretch>
                        </pic:blipFill>
                        <pic:spPr>
                          <a:xfrm>
                            <a:off x="0" y="0"/>
                            <a:ext cx="1061085" cy="375920"/>
                          </a:xfrm>
                          <a:prstGeom prst="rect">
                            <a:avLst/>
                          </a:prstGeom>
                          <a:noFill/>
                          <a:ln>
                            <a:noFill/>
                          </a:ln>
                        </pic:spPr>
                      </pic:pic>
                    </a:graphicData>
                  </a:graphic>
                </wp:anchor>
              </w:drawing>
            </w:r>
          </w:p>
        </w:tc>
        <w:tc>
          <w:tcPr>
            <w:tcW w:w="5689" w:type="dxa"/>
            <w:shd w:val="clear" w:color="auto" w:fill="auto"/>
            <w:vAlign w:val="center"/>
          </w:tcPr>
          <w:p w14:paraId="2832E412">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材质:布制+塑料。产品尺寸:电吹风：约13*15*5.5cm。包装尺寸:约:29.8*16.7*7.8cm。规格:8。产品组成配置:理发围裙*1，理发工具套装（电吹风*1，理发剪*1，卷发梳*1，梳子*1，定型喷雾*1，剃须刀*1，卷发棒*1）。</w:t>
            </w:r>
          </w:p>
        </w:tc>
        <w:tc>
          <w:tcPr>
            <w:tcW w:w="1163" w:type="dxa"/>
            <w:shd w:val="clear" w:color="auto" w:fill="auto"/>
            <w:vAlign w:val="center"/>
          </w:tcPr>
          <w:p w14:paraId="7D3D12F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7F6C963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672CA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00" w:hRule="atLeast"/>
          <w:jc w:val="center"/>
        </w:trPr>
        <w:tc>
          <w:tcPr>
            <w:tcW w:w="734" w:type="dxa"/>
            <w:shd w:val="clear" w:color="auto" w:fill="auto"/>
            <w:vAlign w:val="center"/>
          </w:tcPr>
          <w:p w14:paraId="69DA08B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27</w:t>
            </w:r>
          </w:p>
        </w:tc>
        <w:tc>
          <w:tcPr>
            <w:tcW w:w="1544" w:type="dxa"/>
            <w:shd w:val="clear" w:color="auto" w:fill="auto"/>
            <w:vAlign w:val="center"/>
          </w:tcPr>
          <w:p w14:paraId="6D35A1D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工具箱</w:t>
            </w:r>
          </w:p>
        </w:tc>
        <w:tc>
          <w:tcPr>
            <w:tcW w:w="2489" w:type="dxa"/>
            <w:shd w:val="clear" w:color="auto" w:fill="auto"/>
            <w:noWrap/>
            <w:vAlign w:val="center"/>
          </w:tcPr>
          <w:p w14:paraId="42C3C2F4">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318135</wp:posOffset>
                  </wp:positionH>
                  <wp:positionV relativeFrom="paragraph">
                    <wp:posOffset>71755</wp:posOffset>
                  </wp:positionV>
                  <wp:extent cx="864870" cy="688975"/>
                  <wp:effectExtent l="0" t="0" r="11430" b="9525"/>
                  <wp:wrapNone/>
                  <wp:docPr id="224" name="图片_371"/>
                  <wp:cNvGraphicFramePr/>
                  <a:graphic xmlns:a="http://schemas.openxmlformats.org/drawingml/2006/main">
                    <a:graphicData uri="http://schemas.openxmlformats.org/drawingml/2006/picture">
                      <pic:pic xmlns:pic="http://schemas.openxmlformats.org/drawingml/2006/picture">
                        <pic:nvPicPr>
                          <pic:cNvPr id="224" name="图片_371"/>
                          <pic:cNvPicPr/>
                        </pic:nvPicPr>
                        <pic:blipFill>
                          <a:blip r:embed="rId143"/>
                          <a:stretch>
                            <a:fillRect/>
                          </a:stretch>
                        </pic:blipFill>
                        <pic:spPr>
                          <a:xfrm>
                            <a:off x="0" y="0"/>
                            <a:ext cx="864870" cy="688975"/>
                          </a:xfrm>
                          <a:prstGeom prst="rect">
                            <a:avLst/>
                          </a:prstGeom>
                          <a:noFill/>
                          <a:ln>
                            <a:noFill/>
                          </a:ln>
                        </pic:spPr>
                      </pic:pic>
                    </a:graphicData>
                  </a:graphic>
                </wp:anchor>
              </w:drawing>
            </w:r>
          </w:p>
        </w:tc>
        <w:tc>
          <w:tcPr>
            <w:tcW w:w="5689" w:type="dxa"/>
            <w:shd w:val="clear" w:color="auto" w:fill="auto"/>
            <w:vAlign w:val="center"/>
          </w:tcPr>
          <w:p w14:paraId="3A2758B1">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材质：PVC尺寸：工具箱约23×9.5×14cm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含一个有趣的练习-挤压扳机以听见它的工作情况！包括锯、锤子、螺丝刀、扳手、电钻（带声音）和工具箱。可以用这些工具进行扮演游戏，满足修理器具，使用工具的需要。也能帮助幼儿认识相关工具，提高与同伴互动的能力。</w:t>
            </w:r>
          </w:p>
        </w:tc>
        <w:tc>
          <w:tcPr>
            <w:tcW w:w="1163" w:type="dxa"/>
            <w:shd w:val="clear" w:color="auto" w:fill="auto"/>
            <w:vAlign w:val="center"/>
          </w:tcPr>
          <w:p w14:paraId="0FA81F1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450ACCB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55DF6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0" w:hRule="atLeast"/>
          <w:jc w:val="center"/>
        </w:trPr>
        <w:tc>
          <w:tcPr>
            <w:tcW w:w="734" w:type="dxa"/>
            <w:shd w:val="clear" w:color="auto" w:fill="auto"/>
            <w:vAlign w:val="center"/>
          </w:tcPr>
          <w:p w14:paraId="1586D4D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28</w:t>
            </w:r>
          </w:p>
        </w:tc>
        <w:tc>
          <w:tcPr>
            <w:tcW w:w="1544" w:type="dxa"/>
            <w:shd w:val="clear" w:color="auto" w:fill="auto"/>
            <w:vAlign w:val="center"/>
          </w:tcPr>
          <w:p w14:paraId="43A08D8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电梯体验组</w:t>
            </w:r>
          </w:p>
        </w:tc>
        <w:tc>
          <w:tcPr>
            <w:tcW w:w="2489" w:type="dxa"/>
            <w:shd w:val="clear" w:color="auto" w:fill="auto"/>
            <w:noWrap/>
            <w:vAlign w:val="center"/>
          </w:tcPr>
          <w:p w14:paraId="5472CCFC">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334645</wp:posOffset>
                  </wp:positionH>
                  <wp:positionV relativeFrom="paragraph">
                    <wp:posOffset>87630</wp:posOffset>
                  </wp:positionV>
                  <wp:extent cx="864870" cy="615315"/>
                  <wp:effectExtent l="0" t="0" r="11430" b="6985"/>
                  <wp:wrapNone/>
                  <wp:docPr id="222" name="图片_372"/>
                  <wp:cNvGraphicFramePr/>
                  <a:graphic xmlns:a="http://schemas.openxmlformats.org/drawingml/2006/main">
                    <a:graphicData uri="http://schemas.openxmlformats.org/drawingml/2006/picture">
                      <pic:pic xmlns:pic="http://schemas.openxmlformats.org/drawingml/2006/picture">
                        <pic:nvPicPr>
                          <pic:cNvPr id="222" name="图片_372"/>
                          <pic:cNvPicPr/>
                        </pic:nvPicPr>
                        <pic:blipFill>
                          <a:blip r:embed="rId144"/>
                          <a:stretch>
                            <a:fillRect/>
                          </a:stretch>
                        </pic:blipFill>
                        <pic:spPr>
                          <a:xfrm>
                            <a:off x="0" y="0"/>
                            <a:ext cx="864870" cy="615315"/>
                          </a:xfrm>
                          <a:prstGeom prst="rect">
                            <a:avLst/>
                          </a:prstGeom>
                          <a:noFill/>
                          <a:ln>
                            <a:noFill/>
                          </a:ln>
                        </pic:spPr>
                      </pic:pic>
                    </a:graphicData>
                  </a:graphic>
                </wp:anchor>
              </w:drawing>
            </w:r>
          </w:p>
        </w:tc>
        <w:tc>
          <w:tcPr>
            <w:tcW w:w="5689" w:type="dxa"/>
            <w:shd w:val="clear" w:color="auto" w:fill="auto"/>
            <w:vAlign w:val="center"/>
          </w:tcPr>
          <w:p w14:paraId="3B9E86F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材质：木制尺寸：电梯高约23cm如何将物品由地面搬到高处？幼儿转动旋转钮，观察物品由低往上升，深入了解电梯上升下降的原理。</w:t>
            </w:r>
          </w:p>
        </w:tc>
        <w:tc>
          <w:tcPr>
            <w:tcW w:w="1163" w:type="dxa"/>
            <w:shd w:val="clear" w:color="auto" w:fill="auto"/>
            <w:vAlign w:val="center"/>
          </w:tcPr>
          <w:p w14:paraId="49FEC6D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2556963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21470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0" w:hRule="atLeast"/>
          <w:jc w:val="center"/>
        </w:trPr>
        <w:tc>
          <w:tcPr>
            <w:tcW w:w="734" w:type="dxa"/>
            <w:shd w:val="clear" w:color="auto" w:fill="auto"/>
            <w:vAlign w:val="center"/>
          </w:tcPr>
          <w:p w14:paraId="6FB4984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29</w:t>
            </w:r>
          </w:p>
        </w:tc>
        <w:tc>
          <w:tcPr>
            <w:tcW w:w="1544" w:type="dxa"/>
            <w:shd w:val="clear" w:color="auto" w:fill="auto"/>
            <w:vAlign w:val="center"/>
          </w:tcPr>
          <w:p w14:paraId="54FCCA3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起重机</w:t>
            </w:r>
          </w:p>
        </w:tc>
        <w:tc>
          <w:tcPr>
            <w:tcW w:w="2489" w:type="dxa"/>
            <w:shd w:val="clear" w:color="auto" w:fill="auto"/>
            <w:noWrap/>
            <w:vAlign w:val="center"/>
          </w:tcPr>
          <w:p w14:paraId="53009484">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375920</wp:posOffset>
                  </wp:positionH>
                  <wp:positionV relativeFrom="paragraph">
                    <wp:posOffset>128270</wp:posOffset>
                  </wp:positionV>
                  <wp:extent cx="864870" cy="573405"/>
                  <wp:effectExtent l="0" t="0" r="11430" b="10795"/>
                  <wp:wrapNone/>
                  <wp:docPr id="223" name="图片_373"/>
                  <wp:cNvGraphicFramePr/>
                  <a:graphic xmlns:a="http://schemas.openxmlformats.org/drawingml/2006/main">
                    <a:graphicData uri="http://schemas.openxmlformats.org/drawingml/2006/picture">
                      <pic:pic xmlns:pic="http://schemas.openxmlformats.org/drawingml/2006/picture">
                        <pic:nvPicPr>
                          <pic:cNvPr id="223" name="图片_373"/>
                          <pic:cNvPicPr/>
                        </pic:nvPicPr>
                        <pic:blipFill>
                          <a:blip r:embed="rId145"/>
                          <a:stretch>
                            <a:fillRect/>
                          </a:stretch>
                        </pic:blipFill>
                        <pic:spPr>
                          <a:xfrm>
                            <a:off x="0" y="0"/>
                            <a:ext cx="864870" cy="573405"/>
                          </a:xfrm>
                          <a:prstGeom prst="rect">
                            <a:avLst/>
                          </a:prstGeom>
                          <a:noFill/>
                          <a:ln>
                            <a:noFill/>
                          </a:ln>
                        </pic:spPr>
                      </pic:pic>
                    </a:graphicData>
                  </a:graphic>
                </wp:anchor>
              </w:drawing>
            </w:r>
          </w:p>
        </w:tc>
        <w:tc>
          <w:tcPr>
            <w:tcW w:w="5689" w:type="dxa"/>
            <w:shd w:val="clear" w:color="auto" w:fill="auto"/>
            <w:vAlign w:val="center"/>
          </w:tcPr>
          <w:p w14:paraId="343F4653">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材质：胶合板尺寸：起重机高约33cm生活中很重的物品是如何搬运的？使用起重机，你会发现搬运重物不是难事。幼儿转动旋钮，启动滑轮系统并将平台上下移动，探究起重机工作的原理。</w:t>
            </w:r>
          </w:p>
        </w:tc>
        <w:tc>
          <w:tcPr>
            <w:tcW w:w="1163" w:type="dxa"/>
            <w:shd w:val="clear" w:color="auto" w:fill="auto"/>
            <w:vAlign w:val="center"/>
          </w:tcPr>
          <w:p w14:paraId="04FAD3C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74F8C56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1B88E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0" w:hRule="atLeast"/>
          <w:jc w:val="center"/>
        </w:trPr>
        <w:tc>
          <w:tcPr>
            <w:tcW w:w="734" w:type="dxa"/>
            <w:shd w:val="clear" w:color="auto" w:fill="auto"/>
            <w:vAlign w:val="center"/>
          </w:tcPr>
          <w:p w14:paraId="2AC4743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30</w:t>
            </w:r>
          </w:p>
        </w:tc>
        <w:tc>
          <w:tcPr>
            <w:tcW w:w="1544" w:type="dxa"/>
            <w:shd w:val="clear" w:color="auto" w:fill="auto"/>
            <w:vAlign w:val="center"/>
          </w:tcPr>
          <w:p w14:paraId="56D1AF4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地震模拟器</w:t>
            </w:r>
          </w:p>
        </w:tc>
        <w:tc>
          <w:tcPr>
            <w:tcW w:w="2489" w:type="dxa"/>
            <w:shd w:val="clear" w:color="auto" w:fill="auto"/>
            <w:noWrap/>
            <w:vAlign w:val="center"/>
          </w:tcPr>
          <w:p w14:paraId="35E0E1DA">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288290</wp:posOffset>
                  </wp:positionH>
                  <wp:positionV relativeFrom="paragraph">
                    <wp:posOffset>233680</wp:posOffset>
                  </wp:positionV>
                  <wp:extent cx="864870" cy="688975"/>
                  <wp:effectExtent l="0" t="0" r="11430" b="9525"/>
                  <wp:wrapNone/>
                  <wp:docPr id="226" name="图片_374"/>
                  <wp:cNvGraphicFramePr/>
                  <a:graphic xmlns:a="http://schemas.openxmlformats.org/drawingml/2006/main">
                    <a:graphicData uri="http://schemas.openxmlformats.org/drawingml/2006/picture">
                      <pic:pic xmlns:pic="http://schemas.openxmlformats.org/drawingml/2006/picture">
                        <pic:nvPicPr>
                          <pic:cNvPr id="226" name="图片_374"/>
                          <pic:cNvPicPr/>
                        </pic:nvPicPr>
                        <pic:blipFill>
                          <a:blip r:embed="rId146"/>
                          <a:stretch>
                            <a:fillRect/>
                          </a:stretch>
                        </pic:blipFill>
                        <pic:spPr>
                          <a:xfrm>
                            <a:off x="0" y="0"/>
                            <a:ext cx="864870" cy="688975"/>
                          </a:xfrm>
                          <a:prstGeom prst="rect">
                            <a:avLst/>
                          </a:prstGeom>
                          <a:noFill/>
                          <a:ln>
                            <a:noFill/>
                          </a:ln>
                        </pic:spPr>
                      </pic:pic>
                    </a:graphicData>
                  </a:graphic>
                </wp:anchor>
              </w:drawing>
            </w:r>
          </w:p>
        </w:tc>
        <w:tc>
          <w:tcPr>
            <w:tcW w:w="5689" w:type="dxa"/>
            <w:shd w:val="clear" w:color="auto" w:fill="auto"/>
            <w:vAlign w:val="center"/>
          </w:tcPr>
          <w:p w14:paraId="2F4E6B1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ABS尺寸：地震模拟器底座长约25.4cm增加配置：地震模拟器x1、塑料建筑砖块x30、说明书x1（需4节5号电池，不包含）幼儿将建筑砖按不同方式进行垒高，转动开关按钮至不同震级，感知地震模拟器级数档位不同所带来不同的振动强度，能够在比较不同事物的过程中产生对比意识。</w:t>
            </w:r>
          </w:p>
        </w:tc>
        <w:tc>
          <w:tcPr>
            <w:tcW w:w="1163" w:type="dxa"/>
            <w:shd w:val="clear" w:color="auto" w:fill="auto"/>
            <w:vAlign w:val="center"/>
          </w:tcPr>
          <w:p w14:paraId="51C2BB6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23A4A33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472465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00" w:hRule="atLeast"/>
          <w:jc w:val="center"/>
        </w:trPr>
        <w:tc>
          <w:tcPr>
            <w:tcW w:w="734" w:type="dxa"/>
            <w:shd w:val="clear" w:color="auto" w:fill="auto"/>
            <w:vAlign w:val="center"/>
          </w:tcPr>
          <w:p w14:paraId="3BEB74A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31</w:t>
            </w:r>
          </w:p>
        </w:tc>
        <w:tc>
          <w:tcPr>
            <w:tcW w:w="1544" w:type="dxa"/>
            <w:shd w:val="clear" w:color="auto" w:fill="auto"/>
            <w:vAlign w:val="center"/>
          </w:tcPr>
          <w:p w14:paraId="53CCACF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传送带方块</w:t>
            </w:r>
          </w:p>
        </w:tc>
        <w:tc>
          <w:tcPr>
            <w:tcW w:w="2489" w:type="dxa"/>
            <w:shd w:val="clear" w:color="auto" w:fill="auto"/>
            <w:noWrap/>
            <w:vAlign w:val="center"/>
          </w:tcPr>
          <w:p w14:paraId="15B48923">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295910</wp:posOffset>
                  </wp:positionH>
                  <wp:positionV relativeFrom="paragraph">
                    <wp:posOffset>91440</wp:posOffset>
                  </wp:positionV>
                  <wp:extent cx="864870" cy="864235"/>
                  <wp:effectExtent l="0" t="0" r="11430" b="12065"/>
                  <wp:wrapNone/>
                  <wp:docPr id="227" name="图片_375"/>
                  <wp:cNvGraphicFramePr/>
                  <a:graphic xmlns:a="http://schemas.openxmlformats.org/drawingml/2006/main">
                    <a:graphicData uri="http://schemas.openxmlformats.org/drawingml/2006/picture">
                      <pic:pic xmlns:pic="http://schemas.openxmlformats.org/drawingml/2006/picture">
                        <pic:nvPicPr>
                          <pic:cNvPr id="227" name="图片_375"/>
                          <pic:cNvPicPr/>
                        </pic:nvPicPr>
                        <pic:blipFill>
                          <a:blip r:embed="rId147"/>
                          <a:stretch>
                            <a:fillRect/>
                          </a:stretch>
                        </pic:blipFill>
                        <pic:spPr>
                          <a:xfrm>
                            <a:off x="0" y="0"/>
                            <a:ext cx="864870" cy="864235"/>
                          </a:xfrm>
                          <a:prstGeom prst="rect">
                            <a:avLst/>
                          </a:prstGeom>
                          <a:noFill/>
                          <a:ln>
                            <a:noFill/>
                          </a:ln>
                        </pic:spPr>
                      </pic:pic>
                    </a:graphicData>
                  </a:graphic>
                </wp:anchor>
              </w:drawing>
            </w:r>
          </w:p>
        </w:tc>
        <w:tc>
          <w:tcPr>
            <w:tcW w:w="5689" w:type="dxa"/>
            <w:shd w:val="clear" w:color="auto" w:fill="auto"/>
            <w:vAlign w:val="center"/>
          </w:tcPr>
          <w:p w14:paraId="60112C7F">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材质：PVC、木制尺寸：传送带长约32cm很重的物品要如何移动传送？亲自体验和操作移动传送带，了解因为角度的变化，输送更容易或更具挑战性。</w:t>
            </w:r>
          </w:p>
        </w:tc>
        <w:tc>
          <w:tcPr>
            <w:tcW w:w="1163" w:type="dxa"/>
            <w:shd w:val="clear" w:color="auto" w:fill="auto"/>
            <w:vAlign w:val="center"/>
          </w:tcPr>
          <w:p w14:paraId="5A33069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7F303AC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0E401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0" w:hRule="atLeast"/>
          <w:jc w:val="center"/>
        </w:trPr>
        <w:tc>
          <w:tcPr>
            <w:tcW w:w="734" w:type="dxa"/>
            <w:shd w:val="clear" w:color="auto" w:fill="auto"/>
            <w:vAlign w:val="center"/>
          </w:tcPr>
          <w:p w14:paraId="14DDD8C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32</w:t>
            </w:r>
          </w:p>
        </w:tc>
        <w:tc>
          <w:tcPr>
            <w:tcW w:w="1544" w:type="dxa"/>
            <w:shd w:val="clear" w:color="auto" w:fill="auto"/>
            <w:vAlign w:val="center"/>
          </w:tcPr>
          <w:p w14:paraId="7243953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羊皮单排铃鼓</w:t>
            </w:r>
          </w:p>
        </w:tc>
        <w:tc>
          <w:tcPr>
            <w:tcW w:w="2489" w:type="dxa"/>
            <w:shd w:val="clear" w:color="auto" w:fill="auto"/>
            <w:noWrap/>
            <w:vAlign w:val="center"/>
          </w:tcPr>
          <w:p w14:paraId="427508CD">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367665</wp:posOffset>
                  </wp:positionH>
                  <wp:positionV relativeFrom="paragraph">
                    <wp:posOffset>70485</wp:posOffset>
                  </wp:positionV>
                  <wp:extent cx="756920" cy="599440"/>
                  <wp:effectExtent l="0" t="0" r="5080" b="10160"/>
                  <wp:wrapNone/>
                  <wp:docPr id="198" name="图片_376"/>
                  <wp:cNvGraphicFramePr/>
                  <a:graphic xmlns:a="http://schemas.openxmlformats.org/drawingml/2006/main">
                    <a:graphicData uri="http://schemas.openxmlformats.org/drawingml/2006/picture">
                      <pic:pic xmlns:pic="http://schemas.openxmlformats.org/drawingml/2006/picture">
                        <pic:nvPicPr>
                          <pic:cNvPr id="198" name="图片_376"/>
                          <pic:cNvPicPr/>
                        </pic:nvPicPr>
                        <pic:blipFill>
                          <a:blip r:embed="rId148"/>
                          <a:stretch>
                            <a:fillRect/>
                          </a:stretch>
                        </pic:blipFill>
                        <pic:spPr>
                          <a:xfrm>
                            <a:off x="0" y="0"/>
                            <a:ext cx="756920" cy="599440"/>
                          </a:xfrm>
                          <a:prstGeom prst="rect">
                            <a:avLst/>
                          </a:prstGeom>
                          <a:noFill/>
                          <a:ln>
                            <a:noFill/>
                          </a:ln>
                        </pic:spPr>
                      </pic:pic>
                    </a:graphicData>
                  </a:graphic>
                </wp:anchor>
              </w:drawing>
            </w:r>
          </w:p>
        </w:tc>
        <w:tc>
          <w:tcPr>
            <w:tcW w:w="5689" w:type="dxa"/>
            <w:shd w:val="clear" w:color="auto" w:fill="auto"/>
            <w:vAlign w:val="center"/>
          </w:tcPr>
          <w:p w14:paraId="20BF03C2">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材质：木制+仿皮尺寸：直径约18cm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内含铃鼓1件。优质木质铃鼓鼓架，令铃圈不</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易破损。边缘打磨光滑的铁铃，不会伤到幼儿的</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小手。羊皮鼓面，触感细腻，品质上乘。可用于</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音乐伴奏、器乐合奏等。</w:t>
            </w:r>
          </w:p>
        </w:tc>
        <w:tc>
          <w:tcPr>
            <w:tcW w:w="1163" w:type="dxa"/>
            <w:shd w:val="clear" w:color="auto" w:fill="auto"/>
            <w:vAlign w:val="center"/>
          </w:tcPr>
          <w:p w14:paraId="3AF5134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164" w:type="dxa"/>
            <w:shd w:val="clear" w:color="auto" w:fill="auto"/>
            <w:vAlign w:val="center"/>
          </w:tcPr>
          <w:p w14:paraId="3CF6F19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0AAA76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0" w:hRule="atLeast"/>
          <w:jc w:val="center"/>
        </w:trPr>
        <w:tc>
          <w:tcPr>
            <w:tcW w:w="734" w:type="dxa"/>
            <w:shd w:val="clear" w:color="auto" w:fill="auto"/>
            <w:vAlign w:val="center"/>
          </w:tcPr>
          <w:p w14:paraId="765758E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33</w:t>
            </w:r>
          </w:p>
        </w:tc>
        <w:tc>
          <w:tcPr>
            <w:tcW w:w="1544" w:type="dxa"/>
            <w:shd w:val="clear" w:color="auto" w:fill="auto"/>
            <w:vAlign w:val="center"/>
          </w:tcPr>
          <w:p w14:paraId="39C23F4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棒形雪铃</w:t>
            </w:r>
          </w:p>
        </w:tc>
        <w:tc>
          <w:tcPr>
            <w:tcW w:w="2489" w:type="dxa"/>
            <w:shd w:val="clear" w:color="auto" w:fill="auto"/>
            <w:noWrap/>
            <w:vAlign w:val="center"/>
          </w:tcPr>
          <w:p w14:paraId="29D459BC">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301625</wp:posOffset>
                  </wp:positionH>
                  <wp:positionV relativeFrom="paragraph">
                    <wp:posOffset>120650</wp:posOffset>
                  </wp:positionV>
                  <wp:extent cx="864870" cy="532765"/>
                  <wp:effectExtent l="0" t="0" r="11430" b="635"/>
                  <wp:wrapNone/>
                  <wp:docPr id="197" name="图片_377"/>
                  <wp:cNvGraphicFramePr/>
                  <a:graphic xmlns:a="http://schemas.openxmlformats.org/drawingml/2006/main">
                    <a:graphicData uri="http://schemas.openxmlformats.org/drawingml/2006/picture">
                      <pic:pic xmlns:pic="http://schemas.openxmlformats.org/drawingml/2006/picture">
                        <pic:nvPicPr>
                          <pic:cNvPr id="197" name="图片_377"/>
                          <pic:cNvPicPr/>
                        </pic:nvPicPr>
                        <pic:blipFill>
                          <a:blip r:embed="rId149"/>
                          <a:stretch>
                            <a:fillRect/>
                          </a:stretch>
                        </pic:blipFill>
                        <pic:spPr>
                          <a:xfrm>
                            <a:off x="0" y="0"/>
                            <a:ext cx="864870" cy="532765"/>
                          </a:xfrm>
                          <a:prstGeom prst="rect">
                            <a:avLst/>
                          </a:prstGeom>
                          <a:noFill/>
                          <a:ln>
                            <a:noFill/>
                          </a:ln>
                        </pic:spPr>
                      </pic:pic>
                    </a:graphicData>
                  </a:graphic>
                </wp:anchor>
              </w:drawing>
            </w:r>
          </w:p>
        </w:tc>
        <w:tc>
          <w:tcPr>
            <w:tcW w:w="5689" w:type="dxa"/>
            <w:shd w:val="clear" w:color="auto" w:fill="auto"/>
            <w:vAlign w:val="center"/>
          </w:tcPr>
          <w:p w14:paraId="31DFFC6F">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材质：木制+金属尺寸：长约26cm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内含棒形雪铃1件。棒形雪铃是木棒形状带着铃</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铛的打击乐器，轻轻晃动手臂，发出叮铃铃的响声，</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声音清脆而响亮，幼儿在自由操作的过程中感受</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音乐的韵律感，锻炼手腕和手臂力量。</w:t>
            </w:r>
          </w:p>
        </w:tc>
        <w:tc>
          <w:tcPr>
            <w:tcW w:w="1163" w:type="dxa"/>
            <w:shd w:val="clear" w:color="auto" w:fill="auto"/>
            <w:vAlign w:val="center"/>
          </w:tcPr>
          <w:p w14:paraId="0B6CB96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164" w:type="dxa"/>
            <w:shd w:val="clear" w:color="auto" w:fill="auto"/>
            <w:vAlign w:val="center"/>
          </w:tcPr>
          <w:p w14:paraId="4678A8C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0122C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0" w:hRule="atLeast"/>
          <w:jc w:val="center"/>
        </w:trPr>
        <w:tc>
          <w:tcPr>
            <w:tcW w:w="734" w:type="dxa"/>
            <w:shd w:val="clear" w:color="auto" w:fill="auto"/>
            <w:vAlign w:val="center"/>
          </w:tcPr>
          <w:p w14:paraId="546663A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34</w:t>
            </w:r>
          </w:p>
        </w:tc>
        <w:tc>
          <w:tcPr>
            <w:tcW w:w="1544" w:type="dxa"/>
            <w:shd w:val="clear" w:color="auto" w:fill="auto"/>
            <w:vAlign w:val="center"/>
          </w:tcPr>
          <w:p w14:paraId="79A71D3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碰钟</w:t>
            </w:r>
          </w:p>
        </w:tc>
        <w:tc>
          <w:tcPr>
            <w:tcW w:w="2489" w:type="dxa"/>
            <w:shd w:val="clear" w:color="auto" w:fill="auto"/>
            <w:noWrap/>
            <w:vAlign w:val="center"/>
          </w:tcPr>
          <w:p w14:paraId="2576E25F">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295275</wp:posOffset>
                  </wp:positionH>
                  <wp:positionV relativeFrom="paragraph">
                    <wp:posOffset>95250</wp:posOffset>
                  </wp:positionV>
                  <wp:extent cx="932180" cy="599440"/>
                  <wp:effectExtent l="0" t="0" r="7620" b="10160"/>
                  <wp:wrapNone/>
                  <wp:docPr id="199" name="图片_378"/>
                  <wp:cNvGraphicFramePr/>
                  <a:graphic xmlns:a="http://schemas.openxmlformats.org/drawingml/2006/main">
                    <a:graphicData uri="http://schemas.openxmlformats.org/drawingml/2006/picture">
                      <pic:pic xmlns:pic="http://schemas.openxmlformats.org/drawingml/2006/picture">
                        <pic:nvPicPr>
                          <pic:cNvPr id="199" name="图片_378"/>
                          <pic:cNvPicPr/>
                        </pic:nvPicPr>
                        <pic:blipFill>
                          <a:blip r:embed="rId150"/>
                          <a:stretch>
                            <a:fillRect/>
                          </a:stretch>
                        </pic:blipFill>
                        <pic:spPr>
                          <a:xfrm>
                            <a:off x="0" y="0"/>
                            <a:ext cx="932180" cy="599440"/>
                          </a:xfrm>
                          <a:prstGeom prst="rect">
                            <a:avLst/>
                          </a:prstGeom>
                          <a:noFill/>
                          <a:ln>
                            <a:noFill/>
                          </a:ln>
                        </pic:spPr>
                      </pic:pic>
                    </a:graphicData>
                  </a:graphic>
                </wp:anchor>
              </w:drawing>
            </w:r>
          </w:p>
        </w:tc>
        <w:tc>
          <w:tcPr>
            <w:tcW w:w="5689" w:type="dxa"/>
            <w:shd w:val="clear" w:color="auto" w:fill="auto"/>
            <w:vAlign w:val="center"/>
          </w:tcPr>
          <w:p w14:paraId="0AEFAA2E">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材质：金属尺寸：直径约4.4cm。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碰钟音色清脆、明亮，钟体色泽金黄，是幼儿园里最常见的一种小型打击乐器。</w:t>
            </w:r>
          </w:p>
        </w:tc>
        <w:tc>
          <w:tcPr>
            <w:tcW w:w="1163" w:type="dxa"/>
            <w:shd w:val="clear" w:color="auto" w:fill="auto"/>
            <w:vAlign w:val="center"/>
          </w:tcPr>
          <w:p w14:paraId="63F3EE9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164" w:type="dxa"/>
            <w:shd w:val="clear" w:color="auto" w:fill="auto"/>
            <w:vAlign w:val="center"/>
          </w:tcPr>
          <w:p w14:paraId="72E603A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4D149A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0" w:hRule="atLeast"/>
          <w:jc w:val="center"/>
        </w:trPr>
        <w:tc>
          <w:tcPr>
            <w:tcW w:w="734" w:type="dxa"/>
            <w:shd w:val="clear" w:color="auto" w:fill="auto"/>
            <w:vAlign w:val="center"/>
          </w:tcPr>
          <w:p w14:paraId="499FB90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35</w:t>
            </w:r>
          </w:p>
        </w:tc>
        <w:tc>
          <w:tcPr>
            <w:tcW w:w="1544" w:type="dxa"/>
            <w:shd w:val="clear" w:color="auto" w:fill="auto"/>
            <w:vAlign w:val="center"/>
          </w:tcPr>
          <w:p w14:paraId="649428F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双音木鱼</w:t>
            </w:r>
          </w:p>
        </w:tc>
        <w:tc>
          <w:tcPr>
            <w:tcW w:w="2489" w:type="dxa"/>
            <w:shd w:val="clear" w:color="auto" w:fill="auto"/>
            <w:noWrap/>
            <w:vAlign w:val="center"/>
          </w:tcPr>
          <w:p w14:paraId="646A63F1">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98425</wp:posOffset>
                  </wp:positionV>
                  <wp:extent cx="931545" cy="933450"/>
                  <wp:effectExtent l="0" t="0" r="8255" b="6350"/>
                  <wp:wrapNone/>
                  <wp:docPr id="233" name="图片_379"/>
                  <wp:cNvGraphicFramePr/>
                  <a:graphic xmlns:a="http://schemas.openxmlformats.org/drawingml/2006/main">
                    <a:graphicData uri="http://schemas.openxmlformats.org/drawingml/2006/picture">
                      <pic:pic xmlns:pic="http://schemas.openxmlformats.org/drawingml/2006/picture">
                        <pic:nvPicPr>
                          <pic:cNvPr id="233" name="图片_379"/>
                          <pic:cNvPicPr/>
                        </pic:nvPicPr>
                        <pic:blipFill>
                          <a:blip r:embed="rId151"/>
                          <a:stretch>
                            <a:fillRect/>
                          </a:stretch>
                        </pic:blipFill>
                        <pic:spPr>
                          <a:xfrm>
                            <a:off x="0" y="0"/>
                            <a:ext cx="931545" cy="933450"/>
                          </a:xfrm>
                          <a:prstGeom prst="rect">
                            <a:avLst/>
                          </a:prstGeom>
                          <a:noFill/>
                          <a:ln>
                            <a:noFill/>
                          </a:ln>
                        </pic:spPr>
                      </pic:pic>
                    </a:graphicData>
                  </a:graphic>
                </wp:anchor>
              </w:drawing>
            </w:r>
          </w:p>
        </w:tc>
        <w:tc>
          <w:tcPr>
            <w:tcW w:w="5689" w:type="dxa"/>
            <w:shd w:val="clear" w:color="auto" w:fill="auto"/>
            <w:vAlign w:val="center"/>
          </w:tcPr>
          <w:p w14:paraId="2DCE3714">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材质：木制尺寸：约18.5×4cm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内含双音木鱼1件、敲棒1件。通过木制的敲棒</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击打而发音，它的音色接近于响板。通过音律的</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快慢进行有节奏的敲打，提升幼儿的节奏感。</w:t>
            </w:r>
          </w:p>
        </w:tc>
        <w:tc>
          <w:tcPr>
            <w:tcW w:w="1163" w:type="dxa"/>
            <w:shd w:val="clear" w:color="auto" w:fill="auto"/>
            <w:vAlign w:val="center"/>
          </w:tcPr>
          <w:p w14:paraId="5D0E128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164" w:type="dxa"/>
            <w:shd w:val="clear" w:color="auto" w:fill="auto"/>
            <w:vAlign w:val="center"/>
          </w:tcPr>
          <w:p w14:paraId="146307B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66DAB0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00" w:hRule="atLeast"/>
          <w:jc w:val="center"/>
        </w:trPr>
        <w:tc>
          <w:tcPr>
            <w:tcW w:w="734" w:type="dxa"/>
            <w:shd w:val="clear" w:color="auto" w:fill="auto"/>
            <w:vAlign w:val="center"/>
          </w:tcPr>
          <w:p w14:paraId="7A97877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36</w:t>
            </w:r>
          </w:p>
        </w:tc>
        <w:tc>
          <w:tcPr>
            <w:tcW w:w="1544" w:type="dxa"/>
            <w:shd w:val="clear" w:color="auto" w:fill="auto"/>
            <w:vAlign w:val="center"/>
          </w:tcPr>
          <w:p w14:paraId="71E6173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木制沙球</w:t>
            </w:r>
          </w:p>
        </w:tc>
        <w:tc>
          <w:tcPr>
            <w:tcW w:w="2489" w:type="dxa"/>
            <w:shd w:val="clear" w:color="auto" w:fill="auto"/>
            <w:noWrap/>
            <w:vAlign w:val="center"/>
          </w:tcPr>
          <w:p w14:paraId="7C1F3AB7">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864870" cy="864235"/>
                  <wp:effectExtent l="0" t="0" r="11430" b="12065"/>
                  <wp:wrapNone/>
                  <wp:docPr id="255" name="图片_380"/>
                  <wp:cNvGraphicFramePr/>
                  <a:graphic xmlns:a="http://schemas.openxmlformats.org/drawingml/2006/main">
                    <a:graphicData uri="http://schemas.openxmlformats.org/drawingml/2006/picture">
                      <pic:pic xmlns:pic="http://schemas.openxmlformats.org/drawingml/2006/picture">
                        <pic:nvPicPr>
                          <pic:cNvPr id="255" name="图片_380"/>
                          <pic:cNvPicPr/>
                        </pic:nvPicPr>
                        <pic:blipFill>
                          <a:blip r:embed="rId152"/>
                          <a:stretch>
                            <a:fillRect/>
                          </a:stretch>
                        </pic:blipFill>
                        <pic:spPr>
                          <a:xfrm>
                            <a:off x="0" y="0"/>
                            <a:ext cx="864870" cy="864235"/>
                          </a:xfrm>
                          <a:prstGeom prst="rect">
                            <a:avLst/>
                          </a:prstGeom>
                          <a:noFill/>
                          <a:ln>
                            <a:noFill/>
                          </a:ln>
                        </pic:spPr>
                      </pic:pic>
                    </a:graphicData>
                  </a:graphic>
                </wp:anchor>
              </w:drawing>
            </w:r>
          </w:p>
        </w:tc>
        <w:tc>
          <w:tcPr>
            <w:tcW w:w="5689" w:type="dxa"/>
            <w:shd w:val="clear" w:color="auto" w:fill="auto"/>
            <w:vAlign w:val="center"/>
          </w:tcPr>
          <w:p w14:paraId="7130C78F">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材质：木制尺寸：长约11.7cm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内含木制沙球1对。精选优质木材，制作工艺</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考究，圆润打磨、无毛刺，贴心呵护幼儿的小手。</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精致小巧的尺寸设计，方便幼儿灵活抓握。可进</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行音律启蒙，同时也可锻炼幼儿的手眼协调能</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力和专注力。</w:t>
            </w:r>
          </w:p>
        </w:tc>
        <w:tc>
          <w:tcPr>
            <w:tcW w:w="1163" w:type="dxa"/>
            <w:shd w:val="clear" w:color="auto" w:fill="auto"/>
            <w:vAlign w:val="center"/>
          </w:tcPr>
          <w:p w14:paraId="7FB18D1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164" w:type="dxa"/>
            <w:shd w:val="clear" w:color="auto" w:fill="auto"/>
            <w:vAlign w:val="center"/>
          </w:tcPr>
          <w:p w14:paraId="4FAA521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240935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0" w:hRule="atLeast"/>
          <w:jc w:val="center"/>
        </w:trPr>
        <w:tc>
          <w:tcPr>
            <w:tcW w:w="734" w:type="dxa"/>
            <w:shd w:val="clear" w:color="auto" w:fill="auto"/>
            <w:vAlign w:val="center"/>
          </w:tcPr>
          <w:p w14:paraId="2884F48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37</w:t>
            </w:r>
          </w:p>
        </w:tc>
        <w:tc>
          <w:tcPr>
            <w:tcW w:w="1544" w:type="dxa"/>
            <w:shd w:val="clear" w:color="auto" w:fill="auto"/>
            <w:vAlign w:val="center"/>
          </w:tcPr>
          <w:p w14:paraId="453F17F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响棒</w:t>
            </w:r>
          </w:p>
        </w:tc>
        <w:tc>
          <w:tcPr>
            <w:tcW w:w="2489" w:type="dxa"/>
            <w:shd w:val="clear" w:color="auto" w:fill="auto"/>
            <w:noWrap/>
            <w:vAlign w:val="center"/>
          </w:tcPr>
          <w:p w14:paraId="25AF28F1">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615315"/>
                  <wp:effectExtent l="0" t="0" r="11430" b="6985"/>
                  <wp:wrapNone/>
                  <wp:docPr id="245" name="图片_381"/>
                  <wp:cNvGraphicFramePr/>
                  <a:graphic xmlns:a="http://schemas.openxmlformats.org/drawingml/2006/main">
                    <a:graphicData uri="http://schemas.openxmlformats.org/drawingml/2006/picture">
                      <pic:pic xmlns:pic="http://schemas.openxmlformats.org/drawingml/2006/picture">
                        <pic:nvPicPr>
                          <pic:cNvPr id="245" name="图片_381"/>
                          <pic:cNvPicPr/>
                        </pic:nvPicPr>
                        <pic:blipFill>
                          <a:blip r:embed="rId153"/>
                          <a:stretch>
                            <a:fillRect/>
                          </a:stretch>
                        </pic:blipFill>
                        <pic:spPr>
                          <a:xfrm>
                            <a:off x="0" y="0"/>
                            <a:ext cx="864870" cy="615315"/>
                          </a:xfrm>
                          <a:prstGeom prst="rect">
                            <a:avLst/>
                          </a:prstGeom>
                          <a:noFill/>
                          <a:ln>
                            <a:noFill/>
                          </a:ln>
                        </pic:spPr>
                      </pic:pic>
                    </a:graphicData>
                  </a:graphic>
                </wp:anchor>
              </w:drawing>
            </w:r>
          </w:p>
        </w:tc>
        <w:tc>
          <w:tcPr>
            <w:tcW w:w="5689" w:type="dxa"/>
            <w:shd w:val="clear" w:color="auto" w:fill="auto"/>
            <w:vAlign w:val="center"/>
          </w:tcPr>
          <w:p w14:paraId="2BF399E2">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材质：木制尺寸：长约18cm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精心打磨的节奏响棒，配合音乐可敲打出快慢不同的节奏，让幼儿在自由操</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作中充分感受音乐中节奏的快慢。</w:t>
            </w:r>
          </w:p>
        </w:tc>
        <w:tc>
          <w:tcPr>
            <w:tcW w:w="1163" w:type="dxa"/>
            <w:shd w:val="clear" w:color="auto" w:fill="auto"/>
            <w:vAlign w:val="center"/>
          </w:tcPr>
          <w:p w14:paraId="5685808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164" w:type="dxa"/>
            <w:shd w:val="clear" w:color="auto" w:fill="auto"/>
            <w:vAlign w:val="center"/>
          </w:tcPr>
          <w:p w14:paraId="0842AA8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017F3B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00" w:hRule="atLeast"/>
          <w:jc w:val="center"/>
        </w:trPr>
        <w:tc>
          <w:tcPr>
            <w:tcW w:w="734" w:type="dxa"/>
            <w:shd w:val="clear" w:color="auto" w:fill="auto"/>
            <w:vAlign w:val="center"/>
          </w:tcPr>
          <w:p w14:paraId="7096AF8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38</w:t>
            </w:r>
          </w:p>
        </w:tc>
        <w:tc>
          <w:tcPr>
            <w:tcW w:w="1544" w:type="dxa"/>
            <w:shd w:val="clear" w:color="auto" w:fill="auto"/>
            <w:vAlign w:val="center"/>
          </w:tcPr>
          <w:p w14:paraId="5E97444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手鼓</w:t>
            </w:r>
          </w:p>
        </w:tc>
        <w:tc>
          <w:tcPr>
            <w:tcW w:w="2489" w:type="dxa"/>
            <w:shd w:val="clear" w:color="auto" w:fill="auto"/>
            <w:noWrap/>
            <w:vAlign w:val="center"/>
          </w:tcPr>
          <w:p w14:paraId="783C4B4C">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210185</wp:posOffset>
                  </wp:positionH>
                  <wp:positionV relativeFrom="paragraph">
                    <wp:posOffset>148590</wp:posOffset>
                  </wp:positionV>
                  <wp:extent cx="822960" cy="822960"/>
                  <wp:effectExtent l="0" t="0" r="2540" b="2540"/>
                  <wp:wrapNone/>
                  <wp:docPr id="243" name="图片_382"/>
                  <wp:cNvGraphicFramePr/>
                  <a:graphic xmlns:a="http://schemas.openxmlformats.org/drawingml/2006/main">
                    <a:graphicData uri="http://schemas.openxmlformats.org/drawingml/2006/picture">
                      <pic:pic xmlns:pic="http://schemas.openxmlformats.org/drawingml/2006/picture">
                        <pic:nvPicPr>
                          <pic:cNvPr id="243" name="图片_382"/>
                          <pic:cNvPicPr/>
                        </pic:nvPicPr>
                        <pic:blipFill>
                          <a:blip r:embed="rId154"/>
                          <a:stretch>
                            <a:fillRect/>
                          </a:stretch>
                        </pic:blipFill>
                        <pic:spPr>
                          <a:xfrm>
                            <a:off x="0" y="0"/>
                            <a:ext cx="822960" cy="822960"/>
                          </a:xfrm>
                          <a:prstGeom prst="rect">
                            <a:avLst/>
                          </a:prstGeom>
                          <a:noFill/>
                          <a:ln>
                            <a:noFill/>
                          </a:ln>
                        </pic:spPr>
                      </pic:pic>
                    </a:graphicData>
                  </a:graphic>
                </wp:anchor>
              </w:drawing>
            </w:r>
          </w:p>
        </w:tc>
        <w:tc>
          <w:tcPr>
            <w:tcW w:w="5689" w:type="dxa"/>
            <w:shd w:val="clear" w:color="auto" w:fill="auto"/>
            <w:vAlign w:val="center"/>
          </w:tcPr>
          <w:p w14:paraId="4DCF1C2A">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材质：木制+防皮+金属</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尺寸：直径约13cm，高约15cm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内含手鼓1件、棒子1件。平滑有</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微微弹性的鼓面，敲击起来使乐声</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更有质感。鼓面强韧，不易破损。</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在打鼓的过程中锻炼幼儿四肢协</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调能力，促进右脑潜能的开发和平</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衡左右脑发展。</w:t>
            </w:r>
          </w:p>
        </w:tc>
        <w:tc>
          <w:tcPr>
            <w:tcW w:w="1163" w:type="dxa"/>
            <w:shd w:val="clear" w:color="auto" w:fill="auto"/>
            <w:vAlign w:val="center"/>
          </w:tcPr>
          <w:p w14:paraId="5979AAA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164" w:type="dxa"/>
            <w:shd w:val="clear" w:color="auto" w:fill="auto"/>
            <w:vAlign w:val="center"/>
          </w:tcPr>
          <w:p w14:paraId="7189559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041BF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0" w:hRule="atLeast"/>
          <w:jc w:val="center"/>
        </w:trPr>
        <w:tc>
          <w:tcPr>
            <w:tcW w:w="734" w:type="dxa"/>
            <w:shd w:val="clear" w:color="auto" w:fill="auto"/>
            <w:vAlign w:val="center"/>
          </w:tcPr>
          <w:p w14:paraId="466B530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39</w:t>
            </w:r>
          </w:p>
        </w:tc>
        <w:tc>
          <w:tcPr>
            <w:tcW w:w="1544" w:type="dxa"/>
            <w:shd w:val="clear" w:color="auto" w:fill="auto"/>
            <w:vAlign w:val="center"/>
          </w:tcPr>
          <w:p w14:paraId="1A11C48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12音木琴</w:t>
            </w:r>
          </w:p>
        </w:tc>
        <w:tc>
          <w:tcPr>
            <w:tcW w:w="2489" w:type="dxa"/>
            <w:shd w:val="clear" w:color="auto" w:fill="auto"/>
            <w:noWrap/>
            <w:vAlign w:val="center"/>
          </w:tcPr>
          <w:p w14:paraId="6BF19BDF">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864235" cy="864235"/>
                  <wp:effectExtent l="0" t="0" r="12065" b="12065"/>
                  <wp:wrapNone/>
                  <wp:docPr id="247" name="图片_383"/>
                  <wp:cNvGraphicFramePr/>
                  <a:graphic xmlns:a="http://schemas.openxmlformats.org/drawingml/2006/main">
                    <a:graphicData uri="http://schemas.openxmlformats.org/drawingml/2006/picture">
                      <pic:pic xmlns:pic="http://schemas.openxmlformats.org/drawingml/2006/picture">
                        <pic:nvPicPr>
                          <pic:cNvPr id="247" name="图片_383"/>
                          <pic:cNvPicPr/>
                        </pic:nvPicPr>
                        <pic:blipFill>
                          <a:blip r:embed="rId155"/>
                          <a:stretch>
                            <a:fillRect/>
                          </a:stretch>
                        </pic:blipFill>
                        <pic:spPr>
                          <a:xfrm>
                            <a:off x="0" y="0"/>
                            <a:ext cx="864235" cy="864235"/>
                          </a:xfrm>
                          <a:prstGeom prst="rect">
                            <a:avLst/>
                          </a:prstGeom>
                          <a:noFill/>
                          <a:ln>
                            <a:noFill/>
                          </a:ln>
                        </pic:spPr>
                      </pic:pic>
                    </a:graphicData>
                  </a:graphic>
                </wp:anchor>
              </w:drawing>
            </w:r>
          </w:p>
        </w:tc>
        <w:tc>
          <w:tcPr>
            <w:tcW w:w="5689" w:type="dxa"/>
            <w:shd w:val="clear" w:color="auto" w:fill="auto"/>
            <w:vAlign w:val="center"/>
          </w:tcPr>
          <w:p w14:paraId="6F91EB7E">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材质：木制尺寸：约42cm×21.5cm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内含木琴1件、棒子2件。实木琴片，更贴近自然。质地坚固，不易开裂和变形，</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经久耐玩。标准音阶，音乐启蒙不跑偏。音色自然，带给幼儿准确的音乐启蒙。</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两根实木敲棒，在双手敲打间培养幼儿手眼协调，也能促进左右大脑的开发。</w:t>
            </w:r>
          </w:p>
        </w:tc>
        <w:tc>
          <w:tcPr>
            <w:tcW w:w="1163" w:type="dxa"/>
            <w:shd w:val="clear" w:color="auto" w:fill="auto"/>
            <w:vAlign w:val="center"/>
          </w:tcPr>
          <w:p w14:paraId="69CC818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142D75F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39563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0" w:hRule="atLeast"/>
          <w:jc w:val="center"/>
        </w:trPr>
        <w:tc>
          <w:tcPr>
            <w:tcW w:w="734" w:type="dxa"/>
            <w:shd w:val="clear" w:color="auto" w:fill="auto"/>
            <w:vAlign w:val="center"/>
          </w:tcPr>
          <w:p w14:paraId="3D57253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40</w:t>
            </w:r>
          </w:p>
        </w:tc>
        <w:tc>
          <w:tcPr>
            <w:tcW w:w="1544" w:type="dxa"/>
            <w:shd w:val="clear" w:color="auto" w:fill="auto"/>
            <w:vAlign w:val="center"/>
          </w:tcPr>
          <w:p w14:paraId="1BDC476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三角杆软头水彩笔48色</w:t>
            </w:r>
          </w:p>
        </w:tc>
        <w:tc>
          <w:tcPr>
            <w:tcW w:w="2489" w:type="dxa"/>
            <w:shd w:val="clear" w:color="auto" w:fill="auto"/>
            <w:noWrap/>
            <w:vAlign w:val="center"/>
          </w:tcPr>
          <w:p w14:paraId="12F51248">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273050</wp:posOffset>
                  </wp:positionH>
                  <wp:positionV relativeFrom="paragraph">
                    <wp:posOffset>99695</wp:posOffset>
                  </wp:positionV>
                  <wp:extent cx="846455" cy="555625"/>
                  <wp:effectExtent l="0" t="0" r="4445" b="3175"/>
                  <wp:wrapNone/>
                  <wp:docPr id="238" name="图片_3"/>
                  <wp:cNvGraphicFramePr/>
                  <a:graphic xmlns:a="http://schemas.openxmlformats.org/drawingml/2006/main">
                    <a:graphicData uri="http://schemas.openxmlformats.org/drawingml/2006/picture">
                      <pic:pic xmlns:pic="http://schemas.openxmlformats.org/drawingml/2006/picture">
                        <pic:nvPicPr>
                          <pic:cNvPr id="238" name="图片_3"/>
                          <pic:cNvPicPr/>
                        </pic:nvPicPr>
                        <pic:blipFill>
                          <a:blip r:embed="rId156"/>
                          <a:stretch>
                            <a:fillRect/>
                          </a:stretch>
                        </pic:blipFill>
                        <pic:spPr>
                          <a:xfrm>
                            <a:off x="0" y="0"/>
                            <a:ext cx="846455" cy="555625"/>
                          </a:xfrm>
                          <a:prstGeom prst="rect">
                            <a:avLst/>
                          </a:prstGeom>
                          <a:noFill/>
                          <a:ln>
                            <a:noFill/>
                          </a:ln>
                        </pic:spPr>
                      </pic:pic>
                    </a:graphicData>
                  </a:graphic>
                </wp:anchor>
              </w:drawing>
            </w:r>
          </w:p>
        </w:tc>
        <w:tc>
          <w:tcPr>
            <w:tcW w:w="5689" w:type="dxa"/>
            <w:shd w:val="clear" w:color="auto" w:fill="auto"/>
            <w:vAlign w:val="center"/>
          </w:tcPr>
          <w:p w14:paraId="0FA81FEA">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安全无味，48色</w:t>
            </w:r>
          </w:p>
        </w:tc>
        <w:tc>
          <w:tcPr>
            <w:tcW w:w="1163" w:type="dxa"/>
            <w:shd w:val="clear" w:color="auto" w:fill="auto"/>
            <w:vAlign w:val="center"/>
          </w:tcPr>
          <w:p w14:paraId="6FDA5BD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30</w:t>
            </w:r>
          </w:p>
        </w:tc>
        <w:tc>
          <w:tcPr>
            <w:tcW w:w="1164" w:type="dxa"/>
            <w:shd w:val="clear" w:color="auto" w:fill="auto"/>
            <w:vAlign w:val="center"/>
          </w:tcPr>
          <w:p w14:paraId="65AA6B3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盒</w:t>
            </w:r>
          </w:p>
        </w:tc>
      </w:tr>
      <w:tr w14:paraId="39708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734" w:type="dxa"/>
            <w:shd w:val="clear" w:color="auto" w:fill="auto"/>
            <w:vAlign w:val="center"/>
          </w:tcPr>
          <w:p w14:paraId="5F90D04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41</w:t>
            </w:r>
          </w:p>
        </w:tc>
        <w:tc>
          <w:tcPr>
            <w:tcW w:w="1544" w:type="dxa"/>
            <w:shd w:val="clear" w:color="auto" w:fill="auto"/>
            <w:vAlign w:val="center"/>
          </w:tcPr>
          <w:p w14:paraId="0C29B97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500ml可清洗绘画颜料-白</w:t>
            </w:r>
          </w:p>
        </w:tc>
        <w:tc>
          <w:tcPr>
            <w:tcW w:w="2489" w:type="dxa"/>
            <w:shd w:val="clear" w:color="auto" w:fill="auto"/>
            <w:noWrap/>
            <w:vAlign w:val="center"/>
          </w:tcPr>
          <w:p w14:paraId="7A0233F8">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864235"/>
                  <wp:effectExtent l="0" t="0" r="11430" b="12065"/>
                  <wp:wrapNone/>
                  <wp:docPr id="230" name="图片_385"/>
                  <wp:cNvGraphicFramePr/>
                  <a:graphic xmlns:a="http://schemas.openxmlformats.org/drawingml/2006/main">
                    <a:graphicData uri="http://schemas.openxmlformats.org/drawingml/2006/picture">
                      <pic:pic xmlns:pic="http://schemas.openxmlformats.org/drawingml/2006/picture">
                        <pic:nvPicPr>
                          <pic:cNvPr id="230" name="图片_385"/>
                          <pic:cNvPicPr/>
                        </pic:nvPicPr>
                        <pic:blipFill>
                          <a:blip r:embed="rId108"/>
                          <a:stretch>
                            <a:fillRect/>
                          </a:stretch>
                        </pic:blipFill>
                        <pic:spPr>
                          <a:xfrm>
                            <a:off x="0" y="0"/>
                            <a:ext cx="864870" cy="864235"/>
                          </a:xfrm>
                          <a:prstGeom prst="rect">
                            <a:avLst/>
                          </a:prstGeom>
                          <a:noFill/>
                          <a:ln>
                            <a:noFill/>
                          </a:ln>
                        </pic:spPr>
                      </pic:pic>
                    </a:graphicData>
                  </a:graphic>
                </wp:anchor>
              </w:drawing>
            </w:r>
          </w:p>
        </w:tc>
        <w:tc>
          <w:tcPr>
            <w:tcW w:w="5689" w:type="dxa"/>
            <w:shd w:val="clear" w:color="auto" w:fill="auto"/>
            <w:vAlign w:val="center"/>
          </w:tcPr>
          <w:p w14:paraId="4B79E8B8">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材质：色粉+水尺寸：约500ml</w:t>
            </w:r>
          </w:p>
        </w:tc>
        <w:tc>
          <w:tcPr>
            <w:tcW w:w="1163" w:type="dxa"/>
            <w:shd w:val="clear" w:color="auto" w:fill="auto"/>
            <w:vAlign w:val="center"/>
          </w:tcPr>
          <w:p w14:paraId="5B69832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164" w:type="dxa"/>
            <w:shd w:val="clear" w:color="auto" w:fill="auto"/>
            <w:vAlign w:val="center"/>
          </w:tcPr>
          <w:p w14:paraId="2F0B129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53599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734" w:type="dxa"/>
            <w:shd w:val="clear" w:color="auto" w:fill="auto"/>
            <w:vAlign w:val="center"/>
          </w:tcPr>
          <w:p w14:paraId="2054D44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42</w:t>
            </w:r>
          </w:p>
        </w:tc>
        <w:tc>
          <w:tcPr>
            <w:tcW w:w="1544" w:type="dxa"/>
            <w:shd w:val="clear" w:color="auto" w:fill="auto"/>
            <w:vAlign w:val="center"/>
          </w:tcPr>
          <w:p w14:paraId="0C9E9D0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500ml可清洗绘画颜料-红</w:t>
            </w:r>
          </w:p>
        </w:tc>
        <w:tc>
          <w:tcPr>
            <w:tcW w:w="2489" w:type="dxa"/>
            <w:shd w:val="clear" w:color="auto" w:fill="auto"/>
            <w:noWrap/>
            <w:vAlign w:val="center"/>
          </w:tcPr>
          <w:p w14:paraId="134BBDD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864235"/>
                  <wp:effectExtent l="0" t="0" r="11430" b="12065"/>
                  <wp:wrapNone/>
                  <wp:docPr id="242" name="图片_386"/>
                  <wp:cNvGraphicFramePr/>
                  <a:graphic xmlns:a="http://schemas.openxmlformats.org/drawingml/2006/main">
                    <a:graphicData uri="http://schemas.openxmlformats.org/drawingml/2006/picture">
                      <pic:pic xmlns:pic="http://schemas.openxmlformats.org/drawingml/2006/picture">
                        <pic:nvPicPr>
                          <pic:cNvPr id="242" name="图片_386"/>
                          <pic:cNvPicPr/>
                        </pic:nvPicPr>
                        <pic:blipFill>
                          <a:blip r:embed="rId109"/>
                          <a:stretch>
                            <a:fillRect/>
                          </a:stretch>
                        </pic:blipFill>
                        <pic:spPr>
                          <a:xfrm>
                            <a:off x="0" y="0"/>
                            <a:ext cx="864870" cy="864235"/>
                          </a:xfrm>
                          <a:prstGeom prst="rect">
                            <a:avLst/>
                          </a:prstGeom>
                          <a:noFill/>
                          <a:ln>
                            <a:noFill/>
                          </a:ln>
                        </pic:spPr>
                      </pic:pic>
                    </a:graphicData>
                  </a:graphic>
                </wp:anchor>
              </w:drawing>
            </w:r>
          </w:p>
        </w:tc>
        <w:tc>
          <w:tcPr>
            <w:tcW w:w="5689" w:type="dxa"/>
            <w:shd w:val="clear" w:color="auto" w:fill="auto"/>
            <w:vAlign w:val="center"/>
          </w:tcPr>
          <w:p w14:paraId="4F740C91">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材质：色粉+水尺寸：约500ml</w:t>
            </w:r>
          </w:p>
        </w:tc>
        <w:tc>
          <w:tcPr>
            <w:tcW w:w="1163" w:type="dxa"/>
            <w:shd w:val="clear" w:color="auto" w:fill="auto"/>
            <w:vAlign w:val="center"/>
          </w:tcPr>
          <w:p w14:paraId="5934B3B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164" w:type="dxa"/>
            <w:shd w:val="clear" w:color="auto" w:fill="auto"/>
            <w:vAlign w:val="center"/>
          </w:tcPr>
          <w:p w14:paraId="6A38238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40238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600" w:hRule="atLeast"/>
          <w:jc w:val="center"/>
        </w:trPr>
        <w:tc>
          <w:tcPr>
            <w:tcW w:w="734" w:type="dxa"/>
            <w:shd w:val="clear" w:color="auto" w:fill="auto"/>
            <w:vAlign w:val="center"/>
          </w:tcPr>
          <w:p w14:paraId="22E8D3F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43</w:t>
            </w:r>
          </w:p>
        </w:tc>
        <w:tc>
          <w:tcPr>
            <w:tcW w:w="1544" w:type="dxa"/>
            <w:shd w:val="clear" w:color="auto" w:fill="auto"/>
            <w:vAlign w:val="center"/>
          </w:tcPr>
          <w:p w14:paraId="0498EE9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500ml可清洗绘画颜料-黄</w:t>
            </w:r>
          </w:p>
        </w:tc>
        <w:tc>
          <w:tcPr>
            <w:tcW w:w="2489" w:type="dxa"/>
            <w:shd w:val="clear" w:color="auto" w:fill="auto"/>
            <w:noWrap/>
            <w:vAlign w:val="center"/>
          </w:tcPr>
          <w:p w14:paraId="4E233F3E">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864235"/>
                  <wp:effectExtent l="0" t="0" r="11430" b="12065"/>
                  <wp:wrapNone/>
                  <wp:docPr id="234" name="图片_387"/>
                  <wp:cNvGraphicFramePr/>
                  <a:graphic xmlns:a="http://schemas.openxmlformats.org/drawingml/2006/main">
                    <a:graphicData uri="http://schemas.openxmlformats.org/drawingml/2006/picture">
                      <pic:pic xmlns:pic="http://schemas.openxmlformats.org/drawingml/2006/picture">
                        <pic:nvPicPr>
                          <pic:cNvPr id="234" name="图片_387"/>
                          <pic:cNvPicPr/>
                        </pic:nvPicPr>
                        <pic:blipFill>
                          <a:blip r:embed="rId110"/>
                          <a:stretch>
                            <a:fillRect/>
                          </a:stretch>
                        </pic:blipFill>
                        <pic:spPr>
                          <a:xfrm>
                            <a:off x="0" y="0"/>
                            <a:ext cx="864870" cy="864235"/>
                          </a:xfrm>
                          <a:prstGeom prst="rect">
                            <a:avLst/>
                          </a:prstGeom>
                          <a:noFill/>
                          <a:ln>
                            <a:noFill/>
                          </a:ln>
                        </pic:spPr>
                      </pic:pic>
                    </a:graphicData>
                  </a:graphic>
                </wp:anchor>
              </w:drawing>
            </w:r>
          </w:p>
        </w:tc>
        <w:tc>
          <w:tcPr>
            <w:tcW w:w="5689" w:type="dxa"/>
            <w:shd w:val="clear" w:color="auto" w:fill="auto"/>
            <w:vAlign w:val="center"/>
          </w:tcPr>
          <w:p w14:paraId="161A3E8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材质：色粉+水尺寸：约500ml</w:t>
            </w:r>
          </w:p>
        </w:tc>
        <w:tc>
          <w:tcPr>
            <w:tcW w:w="1163" w:type="dxa"/>
            <w:shd w:val="clear" w:color="auto" w:fill="auto"/>
            <w:vAlign w:val="center"/>
          </w:tcPr>
          <w:p w14:paraId="290DE1B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164" w:type="dxa"/>
            <w:shd w:val="clear" w:color="auto" w:fill="auto"/>
            <w:vAlign w:val="center"/>
          </w:tcPr>
          <w:p w14:paraId="3A14E1F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60B2F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734" w:type="dxa"/>
            <w:shd w:val="clear" w:color="auto" w:fill="auto"/>
            <w:vAlign w:val="center"/>
          </w:tcPr>
          <w:p w14:paraId="07F74E2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44</w:t>
            </w:r>
          </w:p>
        </w:tc>
        <w:tc>
          <w:tcPr>
            <w:tcW w:w="1544" w:type="dxa"/>
            <w:shd w:val="clear" w:color="auto" w:fill="auto"/>
            <w:vAlign w:val="center"/>
          </w:tcPr>
          <w:p w14:paraId="3C73389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500ml可清洗绘画颜料-蓝</w:t>
            </w:r>
          </w:p>
        </w:tc>
        <w:tc>
          <w:tcPr>
            <w:tcW w:w="2489" w:type="dxa"/>
            <w:shd w:val="clear" w:color="auto" w:fill="auto"/>
            <w:noWrap/>
            <w:vAlign w:val="center"/>
          </w:tcPr>
          <w:p w14:paraId="3A91E1E1">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864235"/>
                  <wp:effectExtent l="0" t="0" r="11430" b="12065"/>
                  <wp:wrapNone/>
                  <wp:docPr id="256" name="图片_388"/>
                  <wp:cNvGraphicFramePr/>
                  <a:graphic xmlns:a="http://schemas.openxmlformats.org/drawingml/2006/main">
                    <a:graphicData uri="http://schemas.openxmlformats.org/drawingml/2006/picture">
                      <pic:pic xmlns:pic="http://schemas.openxmlformats.org/drawingml/2006/picture">
                        <pic:nvPicPr>
                          <pic:cNvPr id="256" name="图片_388"/>
                          <pic:cNvPicPr/>
                        </pic:nvPicPr>
                        <pic:blipFill>
                          <a:blip r:embed="rId157"/>
                          <a:stretch>
                            <a:fillRect/>
                          </a:stretch>
                        </pic:blipFill>
                        <pic:spPr>
                          <a:xfrm>
                            <a:off x="0" y="0"/>
                            <a:ext cx="864870" cy="864235"/>
                          </a:xfrm>
                          <a:prstGeom prst="rect">
                            <a:avLst/>
                          </a:prstGeom>
                          <a:noFill/>
                          <a:ln>
                            <a:noFill/>
                          </a:ln>
                        </pic:spPr>
                      </pic:pic>
                    </a:graphicData>
                  </a:graphic>
                </wp:anchor>
              </w:drawing>
            </w:r>
          </w:p>
        </w:tc>
        <w:tc>
          <w:tcPr>
            <w:tcW w:w="5689" w:type="dxa"/>
            <w:shd w:val="clear" w:color="auto" w:fill="auto"/>
            <w:vAlign w:val="center"/>
          </w:tcPr>
          <w:p w14:paraId="3D196ED7">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材质：色粉+水尺寸：约500ml</w:t>
            </w:r>
          </w:p>
        </w:tc>
        <w:tc>
          <w:tcPr>
            <w:tcW w:w="1163" w:type="dxa"/>
            <w:shd w:val="clear" w:color="auto" w:fill="auto"/>
            <w:vAlign w:val="center"/>
          </w:tcPr>
          <w:p w14:paraId="30D739F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164" w:type="dxa"/>
            <w:shd w:val="clear" w:color="auto" w:fill="auto"/>
            <w:vAlign w:val="center"/>
          </w:tcPr>
          <w:p w14:paraId="7D4C807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0076B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734" w:type="dxa"/>
            <w:shd w:val="clear" w:color="auto" w:fill="auto"/>
            <w:vAlign w:val="center"/>
          </w:tcPr>
          <w:p w14:paraId="76E575E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45</w:t>
            </w:r>
          </w:p>
        </w:tc>
        <w:tc>
          <w:tcPr>
            <w:tcW w:w="1544" w:type="dxa"/>
            <w:shd w:val="clear" w:color="auto" w:fill="auto"/>
            <w:vAlign w:val="center"/>
          </w:tcPr>
          <w:p w14:paraId="475A3F1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7格调色盘</w:t>
            </w:r>
          </w:p>
        </w:tc>
        <w:tc>
          <w:tcPr>
            <w:tcW w:w="2489" w:type="dxa"/>
            <w:shd w:val="clear" w:color="auto" w:fill="auto"/>
            <w:noWrap/>
            <w:vAlign w:val="center"/>
          </w:tcPr>
          <w:p w14:paraId="73AD022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864235"/>
                  <wp:effectExtent l="0" t="0" r="11430" b="12065"/>
                  <wp:wrapNone/>
                  <wp:docPr id="239" name="图片_389"/>
                  <wp:cNvGraphicFramePr/>
                  <a:graphic xmlns:a="http://schemas.openxmlformats.org/drawingml/2006/main">
                    <a:graphicData uri="http://schemas.openxmlformats.org/drawingml/2006/picture">
                      <pic:pic xmlns:pic="http://schemas.openxmlformats.org/drawingml/2006/picture">
                        <pic:nvPicPr>
                          <pic:cNvPr id="239" name="图片_389"/>
                          <pic:cNvPicPr/>
                        </pic:nvPicPr>
                        <pic:blipFill>
                          <a:blip r:embed="rId158"/>
                          <a:stretch>
                            <a:fillRect/>
                          </a:stretch>
                        </pic:blipFill>
                        <pic:spPr>
                          <a:xfrm>
                            <a:off x="0" y="0"/>
                            <a:ext cx="864870" cy="864235"/>
                          </a:xfrm>
                          <a:prstGeom prst="rect">
                            <a:avLst/>
                          </a:prstGeom>
                          <a:noFill/>
                          <a:ln>
                            <a:noFill/>
                          </a:ln>
                        </pic:spPr>
                      </pic:pic>
                    </a:graphicData>
                  </a:graphic>
                </wp:anchor>
              </w:drawing>
            </w:r>
          </w:p>
        </w:tc>
        <w:tc>
          <w:tcPr>
            <w:tcW w:w="5689" w:type="dxa"/>
            <w:shd w:val="clear" w:color="auto" w:fill="auto"/>
            <w:vAlign w:val="center"/>
          </w:tcPr>
          <w:p w14:paraId="2B394BAB">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材质：塑料尺寸：约直径17.5cm</w:t>
            </w:r>
          </w:p>
        </w:tc>
        <w:tc>
          <w:tcPr>
            <w:tcW w:w="1163" w:type="dxa"/>
            <w:shd w:val="clear" w:color="auto" w:fill="auto"/>
            <w:vAlign w:val="center"/>
          </w:tcPr>
          <w:p w14:paraId="1FEED2B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30</w:t>
            </w:r>
          </w:p>
        </w:tc>
        <w:tc>
          <w:tcPr>
            <w:tcW w:w="1164" w:type="dxa"/>
            <w:shd w:val="clear" w:color="auto" w:fill="auto"/>
            <w:vAlign w:val="center"/>
          </w:tcPr>
          <w:p w14:paraId="750B9B4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1DE59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600" w:hRule="atLeast"/>
          <w:jc w:val="center"/>
        </w:trPr>
        <w:tc>
          <w:tcPr>
            <w:tcW w:w="734" w:type="dxa"/>
            <w:shd w:val="clear" w:color="auto" w:fill="auto"/>
            <w:vAlign w:val="center"/>
          </w:tcPr>
          <w:p w14:paraId="77BD5F8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46</w:t>
            </w:r>
          </w:p>
        </w:tc>
        <w:tc>
          <w:tcPr>
            <w:tcW w:w="1544" w:type="dxa"/>
            <w:shd w:val="clear" w:color="auto" w:fill="auto"/>
            <w:vAlign w:val="center"/>
          </w:tcPr>
          <w:p w14:paraId="36822EE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模型画板-恐龙</w:t>
            </w:r>
          </w:p>
        </w:tc>
        <w:tc>
          <w:tcPr>
            <w:tcW w:w="2489" w:type="dxa"/>
            <w:shd w:val="clear" w:color="auto" w:fill="auto"/>
            <w:noWrap/>
            <w:vAlign w:val="center"/>
          </w:tcPr>
          <w:p w14:paraId="433E10B2">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864870" cy="864235"/>
                  <wp:effectExtent l="0" t="0" r="11430" b="12065"/>
                  <wp:wrapNone/>
                  <wp:docPr id="237" name="图片_390"/>
                  <wp:cNvGraphicFramePr/>
                  <a:graphic xmlns:a="http://schemas.openxmlformats.org/drawingml/2006/main">
                    <a:graphicData uri="http://schemas.openxmlformats.org/drawingml/2006/picture">
                      <pic:pic xmlns:pic="http://schemas.openxmlformats.org/drawingml/2006/picture">
                        <pic:nvPicPr>
                          <pic:cNvPr id="237" name="图片_390"/>
                          <pic:cNvPicPr/>
                        </pic:nvPicPr>
                        <pic:blipFill>
                          <a:blip r:embed="rId159"/>
                          <a:stretch>
                            <a:fillRect/>
                          </a:stretch>
                        </pic:blipFill>
                        <pic:spPr>
                          <a:xfrm>
                            <a:off x="0" y="0"/>
                            <a:ext cx="864870" cy="864235"/>
                          </a:xfrm>
                          <a:prstGeom prst="rect">
                            <a:avLst/>
                          </a:prstGeom>
                          <a:noFill/>
                          <a:ln>
                            <a:noFill/>
                          </a:ln>
                        </pic:spPr>
                      </pic:pic>
                    </a:graphicData>
                  </a:graphic>
                </wp:anchor>
              </w:drawing>
            </w:r>
          </w:p>
        </w:tc>
        <w:tc>
          <w:tcPr>
            <w:tcW w:w="5689" w:type="dxa"/>
            <w:shd w:val="clear" w:color="auto" w:fill="auto"/>
            <w:vAlign w:val="center"/>
          </w:tcPr>
          <w:p w14:paraId="311A28D7">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材质：塑料尺寸：约长15×14cm</w:t>
            </w:r>
          </w:p>
        </w:tc>
        <w:tc>
          <w:tcPr>
            <w:tcW w:w="1163" w:type="dxa"/>
            <w:shd w:val="clear" w:color="auto" w:fill="auto"/>
            <w:vAlign w:val="center"/>
          </w:tcPr>
          <w:p w14:paraId="2A11A60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64" w:type="dxa"/>
            <w:shd w:val="clear" w:color="auto" w:fill="auto"/>
            <w:vAlign w:val="center"/>
          </w:tcPr>
          <w:p w14:paraId="799BD0C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5F5DF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734" w:type="dxa"/>
            <w:shd w:val="clear" w:color="auto" w:fill="auto"/>
            <w:vAlign w:val="center"/>
          </w:tcPr>
          <w:p w14:paraId="5D23517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47</w:t>
            </w:r>
          </w:p>
        </w:tc>
        <w:tc>
          <w:tcPr>
            <w:tcW w:w="1544" w:type="dxa"/>
            <w:shd w:val="clear" w:color="auto" w:fill="auto"/>
            <w:vAlign w:val="center"/>
          </w:tcPr>
          <w:p w14:paraId="53D13E7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海绵印章-交通工具</w:t>
            </w:r>
          </w:p>
        </w:tc>
        <w:tc>
          <w:tcPr>
            <w:tcW w:w="2489" w:type="dxa"/>
            <w:shd w:val="clear" w:color="auto" w:fill="auto"/>
            <w:noWrap/>
            <w:vAlign w:val="center"/>
          </w:tcPr>
          <w:p w14:paraId="4554D10F">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329565</wp:posOffset>
                  </wp:positionH>
                  <wp:positionV relativeFrom="paragraph">
                    <wp:posOffset>64770</wp:posOffset>
                  </wp:positionV>
                  <wp:extent cx="871855" cy="868680"/>
                  <wp:effectExtent l="0" t="0" r="4445" b="7620"/>
                  <wp:wrapNone/>
                  <wp:docPr id="250" name="图片_19"/>
                  <wp:cNvGraphicFramePr/>
                  <a:graphic xmlns:a="http://schemas.openxmlformats.org/drawingml/2006/main">
                    <a:graphicData uri="http://schemas.openxmlformats.org/drawingml/2006/picture">
                      <pic:pic xmlns:pic="http://schemas.openxmlformats.org/drawingml/2006/picture">
                        <pic:nvPicPr>
                          <pic:cNvPr id="250" name="图片_19"/>
                          <pic:cNvPicPr/>
                        </pic:nvPicPr>
                        <pic:blipFill>
                          <a:blip r:embed="rId160"/>
                          <a:stretch>
                            <a:fillRect/>
                          </a:stretch>
                        </pic:blipFill>
                        <pic:spPr>
                          <a:xfrm>
                            <a:off x="0" y="0"/>
                            <a:ext cx="871855" cy="868680"/>
                          </a:xfrm>
                          <a:prstGeom prst="rect">
                            <a:avLst/>
                          </a:prstGeom>
                          <a:noFill/>
                          <a:ln>
                            <a:noFill/>
                          </a:ln>
                        </pic:spPr>
                      </pic:pic>
                    </a:graphicData>
                  </a:graphic>
                </wp:anchor>
              </w:drawing>
            </w:r>
          </w:p>
        </w:tc>
        <w:tc>
          <w:tcPr>
            <w:tcW w:w="5689" w:type="dxa"/>
            <w:shd w:val="clear" w:color="auto" w:fill="auto"/>
            <w:vAlign w:val="center"/>
          </w:tcPr>
          <w:p w14:paraId="3C549841">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材质：海绵尺寸：轿车长约13.8cm，火车长约9.8cm，厚度约5cm船、飞机、火车、货车和轿车等海绵印章配合绘画、手工等不同类型的美术活动，完成创意表现。</w:t>
            </w:r>
          </w:p>
        </w:tc>
        <w:tc>
          <w:tcPr>
            <w:tcW w:w="1163" w:type="dxa"/>
            <w:shd w:val="clear" w:color="auto" w:fill="auto"/>
            <w:vAlign w:val="center"/>
          </w:tcPr>
          <w:p w14:paraId="7468024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64" w:type="dxa"/>
            <w:shd w:val="clear" w:color="auto" w:fill="auto"/>
            <w:vAlign w:val="center"/>
          </w:tcPr>
          <w:p w14:paraId="2443182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29721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734" w:type="dxa"/>
            <w:shd w:val="clear" w:color="auto" w:fill="auto"/>
            <w:vAlign w:val="center"/>
          </w:tcPr>
          <w:p w14:paraId="5CC9578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48</w:t>
            </w:r>
          </w:p>
        </w:tc>
        <w:tc>
          <w:tcPr>
            <w:tcW w:w="1544" w:type="dxa"/>
            <w:shd w:val="clear" w:color="auto" w:fill="auto"/>
            <w:vAlign w:val="center"/>
          </w:tcPr>
          <w:p w14:paraId="7A6F1EE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海绵印章-动物</w:t>
            </w:r>
          </w:p>
        </w:tc>
        <w:tc>
          <w:tcPr>
            <w:tcW w:w="2489" w:type="dxa"/>
            <w:shd w:val="clear" w:color="auto" w:fill="auto"/>
            <w:noWrap/>
            <w:vAlign w:val="center"/>
          </w:tcPr>
          <w:p w14:paraId="03928ABA">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208915</wp:posOffset>
                  </wp:positionH>
                  <wp:positionV relativeFrom="paragraph">
                    <wp:posOffset>30480</wp:posOffset>
                  </wp:positionV>
                  <wp:extent cx="952500" cy="952500"/>
                  <wp:effectExtent l="0" t="0" r="0" b="0"/>
                  <wp:wrapNone/>
                  <wp:docPr id="240" name="图片_6"/>
                  <wp:cNvGraphicFramePr/>
                  <a:graphic xmlns:a="http://schemas.openxmlformats.org/drawingml/2006/main">
                    <a:graphicData uri="http://schemas.openxmlformats.org/drawingml/2006/picture">
                      <pic:pic xmlns:pic="http://schemas.openxmlformats.org/drawingml/2006/picture">
                        <pic:nvPicPr>
                          <pic:cNvPr id="240" name="图片_6"/>
                          <pic:cNvPicPr/>
                        </pic:nvPicPr>
                        <pic:blipFill>
                          <a:blip r:embed="rId161"/>
                          <a:stretch>
                            <a:fillRect/>
                          </a:stretch>
                        </pic:blipFill>
                        <pic:spPr>
                          <a:xfrm>
                            <a:off x="0" y="0"/>
                            <a:ext cx="952500" cy="952500"/>
                          </a:xfrm>
                          <a:prstGeom prst="rect">
                            <a:avLst/>
                          </a:prstGeom>
                          <a:noFill/>
                          <a:ln>
                            <a:noFill/>
                          </a:ln>
                        </pic:spPr>
                      </pic:pic>
                    </a:graphicData>
                  </a:graphic>
                </wp:anchor>
              </w:drawing>
            </w:r>
          </w:p>
        </w:tc>
        <w:tc>
          <w:tcPr>
            <w:tcW w:w="5689" w:type="dxa"/>
            <w:shd w:val="clear" w:color="auto" w:fill="auto"/>
            <w:vAlign w:val="center"/>
          </w:tcPr>
          <w:p w14:paraId="3105723B">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材质：海绵尺寸：牛长约19.2cm，鸭长约11cm，厚度约5cm提供牛、羊、猪、兔、鸭等多种动物海绵印章，让幼儿在认识农场动物的同时，培养其观察能力。</w:t>
            </w:r>
          </w:p>
        </w:tc>
        <w:tc>
          <w:tcPr>
            <w:tcW w:w="1163" w:type="dxa"/>
            <w:shd w:val="clear" w:color="auto" w:fill="auto"/>
            <w:vAlign w:val="center"/>
          </w:tcPr>
          <w:p w14:paraId="0E86997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64" w:type="dxa"/>
            <w:shd w:val="clear" w:color="auto" w:fill="auto"/>
            <w:vAlign w:val="center"/>
          </w:tcPr>
          <w:p w14:paraId="0BB0237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1A1A3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600" w:hRule="atLeast"/>
          <w:jc w:val="center"/>
        </w:trPr>
        <w:tc>
          <w:tcPr>
            <w:tcW w:w="734" w:type="dxa"/>
            <w:shd w:val="clear" w:color="auto" w:fill="auto"/>
            <w:vAlign w:val="center"/>
          </w:tcPr>
          <w:p w14:paraId="7848F6A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49</w:t>
            </w:r>
          </w:p>
        </w:tc>
        <w:tc>
          <w:tcPr>
            <w:tcW w:w="1544" w:type="dxa"/>
            <w:shd w:val="clear" w:color="auto" w:fill="auto"/>
            <w:vAlign w:val="center"/>
          </w:tcPr>
          <w:p w14:paraId="6512A81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24色油画棒</w:t>
            </w:r>
          </w:p>
        </w:tc>
        <w:tc>
          <w:tcPr>
            <w:tcW w:w="2489" w:type="dxa"/>
            <w:shd w:val="clear" w:color="auto" w:fill="auto"/>
            <w:noWrap/>
            <w:vAlign w:val="center"/>
          </w:tcPr>
          <w:p w14:paraId="4CD85FBA">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270510</wp:posOffset>
                  </wp:positionH>
                  <wp:positionV relativeFrom="paragraph">
                    <wp:posOffset>71120</wp:posOffset>
                  </wp:positionV>
                  <wp:extent cx="764540" cy="833755"/>
                  <wp:effectExtent l="0" t="0" r="10160" b="4445"/>
                  <wp:wrapNone/>
                  <wp:docPr id="248" name="图片_393"/>
                  <wp:cNvGraphicFramePr/>
                  <a:graphic xmlns:a="http://schemas.openxmlformats.org/drawingml/2006/main">
                    <a:graphicData uri="http://schemas.openxmlformats.org/drawingml/2006/picture">
                      <pic:pic xmlns:pic="http://schemas.openxmlformats.org/drawingml/2006/picture">
                        <pic:nvPicPr>
                          <pic:cNvPr id="248" name="图片_393"/>
                          <pic:cNvPicPr/>
                        </pic:nvPicPr>
                        <pic:blipFill>
                          <a:blip r:embed="rId162"/>
                          <a:stretch>
                            <a:fillRect/>
                          </a:stretch>
                        </pic:blipFill>
                        <pic:spPr>
                          <a:xfrm>
                            <a:off x="0" y="0"/>
                            <a:ext cx="764540" cy="833755"/>
                          </a:xfrm>
                          <a:prstGeom prst="rect">
                            <a:avLst/>
                          </a:prstGeom>
                          <a:noFill/>
                          <a:ln>
                            <a:noFill/>
                          </a:ln>
                        </pic:spPr>
                      </pic:pic>
                    </a:graphicData>
                  </a:graphic>
                </wp:anchor>
              </w:drawing>
            </w:r>
          </w:p>
        </w:tc>
        <w:tc>
          <w:tcPr>
            <w:tcW w:w="5689" w:type="dxa"/>
            <w:shd w:val="clear" w:color="auto" w:fill="auto"/>
            <w:vAlign w:val="center"/>
          </w:tcPr>
          <w:p w14:paraId="66D85689">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混合油+蜡尺寸：单支约7.5×0.8cm油画棒幼儿的绘画材料，颜色丰富，可多种颜色搭配，满足绘画不同需求；使用安全，便于收纳。让孩子玩耍学习两不误，在动手的过程中锻炼身心大脑，带给幼儿丰富的创造力体验。</w:t>
            </w:r>
          </w:p>
        </w:tc>
        <w:tc>
          <w:tcPr>
            <w:tcW w:w="1163" w:type="dxa"/>
            <w:shd w:val="clear" w:color="auto" w:fill="auto"/>
            <w:vAlign w:val="center"/>
          </w:tcPr>
          <w:p w14:paraId="52A48B5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30</w:t>
            </w:r>
          </w:p>
        </w:tc>
        <w:tc>
          <w:tcPr>
            <w:tcW w:w="1164" w:type="dxa"/>
            <w:shd w:val="clear" w:color="auto" w:fill="auto"/>
            <w:vAlign w:val="center"/>
          </w:tcPr>
          <w:p w14:paraId="5AC573B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37156F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734" w:type="dxa"/>
            <w:shd w:val="clear" w:color="auto" w:fill="auto"/>
            <w:vAlign w:val="center"/>
          </w:tcPr>
          <w:p w14:paraId="5AA9B9C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50</w:t>
            </w:r>
          </w:p>
        </w:tc>
        <w:tc>
          <w:tcPr>
            <w:tcW w:w="1544" w:type="dxa"/>
            <w:shd w:val="clear" w:color="auto" w:fill="auto"/>
            <w:vAlign w:val="center"/>
          </w:tcPr>
          <w:p w14:paraId="41EB0B2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8K绘画本</w:t>
            </w:r>
          </w:p>
        </w:tc>
        <w:tc>
          <w:tcPr>
            <w:tcW w:w="2489" w:type="dxa"/>
            <w:shd w:val="clear" w:color="auto" w:fill="auto"/>
            <w:noWrap/>
            <w:vAlign w:val="center"/>
          </w:tcPr>
          <w:p w14:paraId="274D920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864870" cy="864235"/>
                  <wp:effectExtent l="0" t="0" r="11430" b="12065"/>
                  <wp:wrapNone/>
                  <wp:docPr id="236" name="图片_11"/>
                  <wp:cNvGraphicFramePr/>
                  <a:graphic xmlns:a="http://schemas.openxmlformats.org/drawingml/2006/main">
                    <a:graphicData uri="http://schemas.openxmlformats.org/drawingml/2006/picture">
                      <pic:pic xmlns:pic="http://schemas.openxmlformats.org/drawingml/2006/picture">
                        <pic:nvPicPr>
                          <pic:cNvPr id="236" name="图片_11"/>
                          <pic:cNvPicPr/>
                        </pic:nvPicPr>
                        <pic:blipFill>
                          <a:blip r:embed="rId163"/>
                          <a:stretch>
                            <a:fillRect/>
                          </a:stretch>
                        </pic:blipFill>
                        <pic:spPr>
                          <a:xfrm>
                            <a:off x="0" y="0"/>
                            <a:ext cx="864870" cy="864235"/>
                          </a:xfrm>
                          <a:prstGeom prst="rect">
                            <a:avLst/>
                          </a:prstGeom>
                          <a:noFill/>
                          <a:ln>
                            <a:noFill/>
                          </a:ln>
                        </pic:spPr>
                      </pic:pic>
                    </a:graphicData>
                  </a:graphic>
                </wp:anchor>
              </w:drawing>
            </w:r>
          </w:p>
        </w:tc>
        <w:tc>
          <w:tcPr>
            <w:tcW w:w="5689" w:type="dxa"/>
            <w:shd w:val="clear" w:color="auto" w:fill="auto"/>
            <w:vAlign w:val="center"/>
          </w:tcPr>
          <w:p w14:paraId="301FD861">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材质：纸制40P</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尺寸：约265×380mm</w:t>
            </w:r>
          </w:p>
        </w:tc>
        <w:tc>
          <w:tcPr>
            <w:tcW w:w="1163" w:type="dxa"/>
            <w:shd w:val="clear" w:color="auto" w:fill="auto"/>
            <w:vAlign w:val="center"/>
          </w:tcPr>
          <w:p w14:paraId="7A83A91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30</w:t>
            </w:r>
          </w:p>
        </w:tc>
        <w:tc>
          <w:tcPr>
            <w:tcW w:w="1164" w:type="dxa"/>
            <w:shd w:val="clear" w:color="auto" w:fill="auto"/>
            <w:vAlign w:val="center"/>
          </w:tcPr>
          <w:p w14:paraId="5474F93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68433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734" w:type="dxa"/>
            <w:shd w:val="clear" w:color="auto" w:fill="auto"/>
            <w:vAlign w:val="center"/>
          </w:tcPr>
          <w:p w14:paraId="2939901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51</w:t>
            </w:r>
          </w:p>
        </w:tc>
        <w:tc>
          <w:tcPr>
            <w:tcW w:w="1544" w:type="dxa"/>
            <w:shd w:val="clear" w:color="auto" w:fill="auto"/>
            <w:vAlign w:val="center"/>
          </w:tcPr>
          <w:p w14:paraId="0B7116D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双头刮画棒</w:t>
            </w:r>
          </w:p>
        </w:tc>
        <w:tc>
          <w:tcPr>
            <w:tcW w:w="2489" w:type="dxa"/>
            <w:shd w:val="clear" w:color="auto" w:fill="auto"/>
            <w:noWrap/>
            <w:vAlign w:val="center"/>
          </w:tcPr>
          <w:p w14:paraId="57B792DE">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864235"/>
                  <wp:effectExtent l="0" t="0" r="11430" b="12065"/>
                  <wp:wrapNone/>
                  <wp:docPr id="241" name="图片_397"/>
                  <wp:cNvGraphicFramePr/>
                  <a:graphic xmlns:a="http://schemas.openxmlformats.org/drawingml/2006/main">
                    <a:graphicData uri="http://schemas.openxmlformats.org/drawingml/2006/picture">
                      <pic:pic xmlns:pic="http://schemas.openxmlformats.org/drawingml/2006/picture">
                        <pic:nvPicPr>
                          <pic:cNvPr id="241" name="图片_397"/>
                          <pic:cNvPicPr/>
                        </pic:nvPicPr>
                        <pic:blipFill>
                          <a:blip r:embed="rId164"/>
                          <a:stretch>
                            <a:fillRect/>
                          </a:stretch>
                        </pic:blipFill>
                        <pic:spPr>
                          <a:xfrm>
                            <a:off x="0" y="0"/>
                            <a:ext cx="864870" cy="864235"/>
                          </a:xfrm>
                          <a:prstGeom prst="rect">
                            <a:avLst/>
                          </a:prstGeom>
                          <a:noFill/>
                          <a:ln>
                            <a:noFill/>
                          </a:ln>
                        </pic:spPr>
                      </pic:pic>
                    </a:graphicData>
                  </a:graphic>
                </wp:anchor>
              </w:drawing>
            </w:r>
          </w:p>
        </w:tc>
        <w:tc>
          <w:tcPr>
            <w:tcW w:w="5689" w:type="dxa"/>
            <w:shd w:val="clear" w:color="auto" w:fill="auto"/>
            <w:vAlign w:val="center"/>
          </w:tcPr>
          <w:p w14:paraId="1E1709FC">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材质：塑料尺寸：长约12.5cm</w:t>
            </w:r>
          </w:p>
        </w:tc>
        <w:tc>
          <w:tcPr>
            <w:tcW w:w="1163" w:type="dxa"/>
            <w:shd w:val="clear" w:color="auto" w:fill="auto"/>
            <w:vAlign w:val="center"/>
          </w:tcPr>
          <w:p w14:paraId="44E01EB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2C77676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6F435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734" w:type="dxa"/>
            <w:shd w:val="clear" w:color="auto" w:fill="auto"/>
            <w:vAlign w:val="center"/>
          </w:tcPr>
          <w:p w14:paraId="54F4BB1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52</w:t>
            </w:r>
          </w:p>
        </w:tc>
        <w:tc>
          <w:tcPr>
            <w:tcW w:w="1544" w:type="dxa"/>
            <w:shd w:val="clear" w:color="auto" w:fill="auto"/>
            <w:vAlign w:val="center"/>
          </w:tcPr>
          <w:p w14:paraId="18E279D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安全剪刀-粉色</w:t>
            </w:r>
          </w:p>
        </w:tc>
        <w:tc>
          <w:tcPr>
            <w:tcW w:w="2489" w:type="dxa"/>
            <w:shd w:val="clear" w:color="auto" w:fill="auto"/>
            <w:noWrap/>
            <w:vAlign w:val="center"/>
          </w:tcPr>
          <w:p w14:paraId="1FC440C7">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864870" cy="864235"/>
                  <wp:effectExtent l="0" t="0" r="11430" b="12065"/>
                  <wp:wrapNone/>
                  <wp:docPr id="251" name="图片_398"/>
                  <wp:cNvGraphicFramePr/>
                  <a:graphic xmlns:a="http://schemas.openxmlformats.org/drawingml/2006/main">
                    <a:graphicData uri="http://schemas.openxmlformats.org/drawingml/2006/picture">
                      <pic:pic xmlns:pic="http://schemas.openxmlformats.org/drawingml/2006/picture">
                        <pic:nvPicPr>
                          <pic:cNvPr id="251" name="图片_398"/>
                          <pic:cNvPicPr/>
                        </pic:nvPicPr>
                        <pic:blipFill>
                          <a:blip r:embed="rId165"/>
                          <a:stretch>
                            <a:fillRect/>
                          </a:stretch>
                        </pic:blipFill>
                        <pic:spPr>
                          <a:xfrm>
                            <a:off x="0" y="0"/>
                            <a:ext cx="864870" cy="864235"/>
                          </a:xfrm>
                          <a:prstGeom prst="rect">
                            <a:avLst/>
                          </a:prstGeom>
                          <a:noFill/>
                          <a:ln>
                            <a:noFill/>
                          </a:ln>
                        </pic:spPr>
                      </pic:pic>
                    </a:graphicData>
                  </a:graphic>
                </wp:anchor>
              </w:drawing>
            </w:r>
          </w:p>
        </w:tc>
        <w:tc>
          <w:tcPr>
            <w:tcW w:w="5689" w:type="dxa"/>
            <w:shd w:val="clear" w:color="auto" w:fill="auto"/>
            <w:vAlign w:val="center"/>
          </w:tcPr>
          <w:p w14:paraId="1C2B296A">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材质：不锈钢、塑料尺寸：约13.5cm</w:t>
            </w:r>
          </w:p>
        </w:tc>
        <w:tc>
          <w:tcPr>
            <w:tcW w:w="1163" w:type="dxa"/>
            <w:shd w:val="clear" w:color="auto" w:fill="auto"/>
            <w:vAlign w:val="center"/>
          </w:tcPr>
          <w:p w14:paraId="7D95B49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30</w:t>
            </w:r>
          </w:p>
        </w:tc>
        <w:tc>
          <w:tcPr>
            <w:tcW w:w="1164" w:type="dxa"/>
            <w:shd w:val="clear" w:color="auto" w:fill="auto"/>
            <w:vAlign w:val="center"/>
          </w:tcPr>
          <w:p w14:paraId="4F1F177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4671B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734" w:type="dxa"/>
            <w:shd w:val="clear" w:color="auto" w:fill="auto"/>
            <w:vAlign w:val="center"/>
          </w:tcPr>
          <w:p w14:paraId="6A04A16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53</w:t>
            </w:r>
          </w:p>
        </w:tc>
        <w:tc>
          <w:tcPr>
            <w:tcW w:w="1544" w:type="dxa"/>
            <w:shd w:val="clear" w:color="auto" w:fill="auto"/>
            <w:vAlign w:val="center"/>
          </w:tcPr>
          <w:p w14:paraId="6940EA0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花纹剪刀-大波浪</w:t>
            </w:r>
          </w:p>
        </w:tc>
        <w:tc>
          <w:tcPr>
            <w:tcW w:w="2489" w:type="dxa"/>
            <w:shd w:val="clear" w:color="auto" w:fill="auto"/>
            <w:noWrap/>
            <w:vAlign w:val="center"/>
          </w:tcPr>
          <w:p w14:paraId="12569938">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337820</wp:posOffset>
                  </wp:positionH>
                  <wp:positionV relativeFrom="paragraph">
                    <wp:posOffset>32385</wp:posOffset>
                  </wp:positionV>
                  <wp:extent cx="903605" cy="655320"/>
                  <wp:effectExtent l="0" t="0" r="10795" b="5080"/>
                  <wp:wrapNone/>
                  <wp:docPr id="257" name="图片_399"/>
                  <wp:cNvGraphicFramePr/>
                  <a:graphic xmlns:a="http://schemas.openxmlformats.org/drawingml/2006/main">
                    <a:graphicData uri="http://schemas.openxmlformats.org/drawingml/2006/picture">
                      <pic:pic xmlns:pic="http://schemas.openxmlformats.org/drawingml/2006/picture">
                        <pic:nvPicPr>
                          <pic:cNvPr id="257" name="图片_399"/>
                          <pic:cNvPicPr/>
                        </pic:nvPicPr>
                        <pic:blipFill>
                          <a:blip r:embed="rId166"/>
                          <a:stretch>
                            <a:fillRect/>
                          </a:stretch>
                        </pic:blipFill>
                        <pic:spPr>
                          <a:xfrm>
                            <a:off x="0" y="0"/>
                            <a:ext cx="903605" cy="655320"/>
                          </a:xfrm>
                          <a:prstGeom prst="rect">
                            <a:avLst/>
                          </a:prstGeom>
                          <a:noFill/>
                          <a:ln>
                            <a:noFill/>
                          </a:ln>
                        </pic:spPr>
                      </pic:pic>
                    </a:graphicData>
                  </a:graphic>
                </wp:anchor>
              </w:drawing>
            </w:r>
          </w:p>
        </w:tc>
        <w:tc>
          <w:tcPr>
            <w:tcW w:w="5689" w:type="dxa"/>
            <w:shd w:val="clear" w:color="auto" w:fill="auto"/>
            <w:vAlign w:val="center"/>
          </w:tcPr>
          <w:p w14:paraId="72BAC93A">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材质：不锈钢、塑料尺寸：约13.5cm</w:t>
            </w:r>
          </w:p>
        </w:tc>
        <w:tc>
          <w:tcPr>
            <w:tcW w:w="1163" w:type="dxa"/>
            <w:shd w:val="clear" w:color="auto" w:fill="auto"/>
            <w:vAlign w:val="center"/>
          </w:tcPr>
          <w:p w14:paraId="30CCA78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64" w:type="dxa"/>
            <w:shd w:val="clear" w:color="auto" w:fill="auto"/>
            <w:vAlign w:val="center"/>
          </w:tcPr>
          <w:p w14:paraId="075AC58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6EE16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734" w:type="dxa"/>
            <w:shd w:val="clear" w:color="auto" w:fill="auto"/>
            <w:vAlign w:val="center"/>
          </w:tcPr>
          <w:p w14:paraId="2FB3882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54</w:t>
            </w:r>
          </w:p>
        </w:tc>
        <w:tc>
          <w:tcPr>
            <w:tcW w:w="1544" w:type="dxa"/>
            <w:shd w:val="clear" w:color="auto" w:fill="auto"/>
            <w:vAlign w:val="center"/>
          </w:tcPr>
          <w:p w14:paraId="5846140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花纹剪刀-小波浪</w:t>
            </w:r>
          </w:p>
        </w:tc>
        <w:tc>
          <w:tcPr>
            <w:tcW w:w="2489" w:type="dxa"/>
            <w:shd w:val="clear" w:color="auto" w:fill="auto"/>
            <w:noWrap/>
            <w:vAlign w:val="center"/>
          </w:tcPr>
          <w:p w14:paraId="7DDBC97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376555</wp:posOffset>
                  </wp:positionH>
                  <wp:positionV relativeFrom="paragraph">
                    <wp:posOffset>38735</wp:posOffset>
                  </wp:positionV>
                  <wp:extent cx="864870" cy="688975"/>
                  <wp:effectExtent l="0" t="0" r="11430" b="9525"/>
                  <wp:wrapNone/>
                  <wp:docPr id="244" name="图片_400"/>
                  <wp:cNvGraphicFramePr/>
                  <a:graphic xmlns:a="http://schemas.openxmlformats.org/drawingml/2006/main">
                    <a:graphicData uri="http://schemas.openxmlformats.org/drawingml/2006/picture">
                      <pic:pic xmlns:pic="http://schemas.openxmlformats.org/drawingml/2006/picture">
                        <pic:nvPicPr>
                          <pic:cNvPr id="244" name="图片_400"/>
                          <pic:cNvPicPr/>
                        </pic:nvPicPr>
                        <pic:blipFill>
                          <a:blip r:embed="rId167"/>
                          <a:stretch>
                            <a:fillRect/>
                          </a:stretch>
                        </pic:blipFill>
                        <pic:spPr>
                          <a:xfrm>
                            <a:off x="0" y="0"/>
                            <a:ext cx="864870" cy="688975"/>
                          </a:xfrm>
                          <a:prstGeom prst="rect">
                            <a:avLst/>
                          </a:prstGeom>
                          <a:noFill/>
                          <a:ln>
                            <a:noFill/>
                          </a:ln>
                        </pic:spPr>
                      </pic:pic>
                    </a:graphicData>
                  </a:graphic>
                </wp:anchor>
              </w:drawing>
            </w:r>
          </w:p>
        </w:tc>
        <w:tc>
          <w:tcPr>
            <w:tcW w:w="5689" w:type="dxa"/>
            <w:shd w:val="clear" w:color="auto" w:fill="auto"/>
            <w:vAlign w:val="center"/>
          </w:tcPr>
          <w:p w14:paraId="0435296C">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材质：不锈钢、塑料尺寸：约13.5cm</w:t>
            </w:r>
          </w:p>
        </w:tc>
        <w:tc>
          <w:tcPr>
            <w:tcW w:w="1163" w:type="dxa"/>
            <w:shd w:val="clear" w:color="auto" w:fill="auto"/>
            <w:vAlign w:val="center"/>
          </w:tcPr>
          <w:p w14:paraId="2950CE9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64" w:type="dxa"/>
            <w:shd w:val="clear" w:color="auto" w:fill="auto"/>
            <w:vAlign w:val="center"/>
          </w:tcPr>
          <w:p w14:paraId="6B2B9E8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329C7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734" w:type="dxa"/>
            <w:shd w:val="clear" w:color="auto" w:fill="auto"/>
            <w:vAlign w:val="center"/>
          </w:tcPr>
          <w:p w14:paraId="2BE4211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55</w:t>
            </w:r>
          </w:p>
        </w:tc>
        <w:tc>
          <w:tcPr>
            <w:tcW w:w="1544" w:type="dxa"/>
            <w:shd w:val="clear" w:color="auto" w:fill="auto"/>
            <w:vAlign w:val="center"/>
          </w:tcPr>
          <w:p w14:paraId="4B1FD4B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魔力沙-粉</w:t>
            </w:r>
          </w:p>
        </w:tc>
        <w:tc>
          <w:tcPr>
            <w:tcW w:w="2489" w:type="dxa"/>
            <w:shd w:val="clear" w:color="auto" w:fill="auto"/>
            <w:noWrap/>
            <w:vAlign w:val="center"/>
          </w:tcPr>
          <w:p w14:paraId="1EC67AE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283845</wp:posOffset>
                  </wp:positionH>
                  <wp:positionV relativeFrom="paragraph">
                    <wp:posOffset>63500</wp:posOffset>
                  </wp:positionV>
                  <wp:extent cx="913130" cy="916940"/>
                  <wp:effectExtent l="0" t="0" r="1270" b="10160"/>
                  <wp:wrapNone/>
                  <wp:docPr id="235" name="图片_402"/>
                  <wp:cNvGraphicFramePr/>
                  <a:graphic xmlns:a="http://schemas.openxmlformats.org/drawingml/2006/main">
                    <a:graphicData uri="http://schemas.openxmlformats.org/drawingml/2006/picture">
                      <pic:pic xmlns:pic="http://schemas.openxmlformats.org/drawingml/2006/picture">
                        <pic:nvPicPr>
                          <pic:cNvPr id="235" name="图片_402"/>
                          <pic:cNvPicPr/>
                        </pic:nvPicPr>
                        <pic:blipFill>
                          <a:blip r:embed="rId168"/>
                          <a:stretch>
                            <a:fillRect/>
                          </a:stretch>
                        </pic:blipFill>
                        <pic:spPr>
                          <a:xfrm>
                            <a:off x="0" y="0"/>
                            <a:ext cx="913130" cy="916940"/>
                          </a:xfrm>
                          <a:prstGeom prst="rect">
                            <a:avLst/>
                          </a:prstGeom>
                          <a:noFill/>
                          <a:ln>
                            <a:noFill/>
                          </a:ln>
                        </pic:spPr>
                      </pic:pic>
                    </a:graphicData>
                  </a:graphic>
                </wp:anchor>
              </w:drawing>
            </w:r>
          </w:p>
        </w:tc>
        <w:tc>
          <w:tcPr>
            <w:tcW w:w="5689" w:type="dxa"/>
            <w:shd w:val="clear" w:color="auto" w:fill="auto"/>
            <w:vAlign w:val="center"/>
          </w:tcPr>
          <w:p w14:paraId="4A66143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材质：玻璃微珠尺寸：约15×22cm底宽约8cm</w:t>
            </w:r>
          </w:p>
        </w:tc>
        <w:tc>
          <w:tcPr>
            <w:tcW w:w="1163" w:type="dxa"/>
            <w:shd w:val="clear" w:color="auto" w:fill="auto"/>
            <w:vAlign w:val="center"/>
          </w:tcPr>
          <w:p w14:paraId="0E24717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01D235A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15CF4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600" w:hRule="atLeast"/>
          <w:jc w:val="center"/>
        </w:trPr>
        <w:tc>
          <w:tcPr>
            <w:tcW w:w="734" w:type="dxa"/>
            <w:shd w:val="clear" w:color="auto" w:fill="auto"/>
            <w:vAlign w:val="center"/>
          </w:tcPr>
          <w:p w14:paraId="79697CC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56</w:t>
            </w:r>
          </w:p>
        </w:tc>
        <w:tc>
          <w:tcPr>
            <w:tcW w:w="1544" w:type="dxa"/>
            <w:shd w:val="clear" w:color="auto" w:fill="auto"/>
            <w:vAlign w:val="center"/>
          </w:tcPr>
          <w:p w14:paraId="2EE724E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魔力沙-绿</w:t>
            </w:r>
          </w:p>
        </w:tc>
        <w:tc>
          <w:tcPr>
            <w:tcW w:w="2489" w:type="dxa"/>
            <w:shd w:val="clear" w:color="auto" w:fill="auto"/>
            <w:noWrap/>
            <w:vAlign w:val="center"/>
          </w:tcPr>
          <w:p w14:paraId="049CC4C9">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864235"/>
                  <wp:effectExtent l="0" t="0" r="11430" b="12065"/>
                  <wp:wrapNone/>
                  <wp:docPr id="246" name="图片_403"/>
                  <wp:cNvGraphicFramePr/>
                  <a:graphic xmlns:a="http://schemas.openxmlformats.org/drawingml/2006/main">
                    <a:graphicData uri="http://schemas.openxmlformats.org/drawingml/2006/picture">
                      <pic:pic xmlns:pic="http://schemas.openxmlformats.org/drawingml/2006/picture">
                        <pic:nvPicPr>
                          <pic:cNvPr id="246" name="图片_403"/>
                          <pic:cNvPicPr/>
                        </pic:nvPicPr>
                        <pic:blipFill>
                          <a:blip r:embed="rId169"/>
                          <a:stretch>
                            <a:fillRect/>
                          </a:stretch>
                        </pic:blipFill>
                        <pic:spPr>
                          <a:xfrm>
                            <a:off x="0" y="0"/>
                            <a:ext cx="864870" cy="864235"/>
                          </a:xfrm>
                          <a:prstGeom prst="rect">
                            <a:avLst/>
                          </a:prstGeom>
                          <a:noFill/>
                          <a:ln>
                            <a:noFill/>
                          </a:ln>
                        </pic:spPr>
                      </pic:pic>
                    </a:graphicData>
                  </a:graphic>
                </wp:anchor>
              </w:drawing>
            </w:r>
          </w:p>
        </w:tc>
        <w:tc>
          <w:tcPr>
            <w:tcW w:w="5689" w:type="dxa"/>
            <w:shd w:val="clear" w:color="auto" w:fill="auto"/>
            <w:vAlign w:val="center"/>
          </w:tcPr>
          <w:p w14:paraId="0800159F">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材质：玻璃微珠尺寸：约15×22cm底宽约8cm</w:t>
            </w:r>
          </w:p>
        </w:tc>
        <w:tc>
          <w:tcPr>
            <w:tcW w:w="1163" w:type="dxa"/>
            <w:shd w:val="clear" w:color="auto" w:fill="auto"/>
            <w:vAlign w:val="center"/>
          </w:tcPr>
          <w:p w14:paraId="2621AA2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5538CB8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5BAF3B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734" w:type="dxa"/>
            <w:shd w:val="clear" w:color="auto" w:fill="auto"/>
            <w:vAlign w:val="center"/>
          </w:tcPr>
          <w:p w14:paraId="2397560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57</w:t>
            </w:r>
          </w:p>
        </w:tc>
        <w:tc>
          <w:tcPr>
            <w:tcW w:w="1544" w:type="dxa"/>
            <w:shd w:val="clear" w:color="auto" w:fill="auto"/>
            <w:vAlign w:val="center"/>
          </w:tcPr>
          <w:p w14:paraId="5CD3386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魔力沙-蓝</w:t>
            </w:r>
          </w:p>
        </w:tc>
        <w:tc>
          <w:tcPr>
            <w:tcW w:w="2489" w:type="dxa"/>
            <w:shd w:val="clear" w:color="auto" w:fill="auto"/>
            <w:noWrap/>
            <w:vAlign w:val="center"/>
          </w:tcPr>
          <w:p w14:paraId="502F0AC2">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864235"/>
                  <wp:effectExtent l="0" t="0" r="11430" b="12065"/>
                  <wp:wrapNone/>
                  <wp:docPr id="249" name="图片_404"/>
                  <wp:cNvGraphicFramePr/>
                  <a:graphic xmlns:a="http://schemas.openxmlformats.org/drawingml/2006/main">
                    <a:graphicData uri="http://schemas.openxmlformats.org/drawingml/2006/picture">
                      <pic:pic xmlns:pic="http://schemas.openxmlformats.org/drawingml/2006/picture">
                        <pic:nvPicPr>
                          <pic:cNvPr id="249" name="图片_404"/>
                          <pic:cNvPicPr/>
                        </pic:nvPicPr>
                        <pic:blipFill>
                          <a:blip r:embed="rId170"/>
                          <a:stretch>
                            <a:fillRect/>
                          </a:stretch>
                        </pic:blipFill>
                        <pic:spPr>
                          <a:xfrm>
                            <a:off x="0" y="0"/>
                            <a:ext cx="864870" cy="864235"/>
                          </a:xfrm>
                          <a:prstGeom prst="rect">
                            <a:avLst/>
                          </a:prstGeom>
                          <a:noFill/>
                          <a:ln>
                            <a:noFill/>
                          </a:ln>
                        </pic:spPr>
                      </pic:pic>
                    </a:graphicData>
                  </a:graphic>
                </wp:anchor>
              </w:drawing>
            </w:r>
          </w:p>
        </w:tc>
        <w:tc>
          <w:tcPr>
            <w:tcW w:w="5689" w:type="dxa"/>
            <w:shd w:val="clear" w:color="auto" w:fill="auto"/>
            <w:vAlign w:val="center"/>
          </w:tcPr>
          <w:p w14:paraId="3797DCE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材质：玻璃微珠尺寸：约15×22cm底宽约8cm</w:t>
            </w:r>
          </w:p>
        </w:tc>
        <w:tc>
          <w:tcPr>
            <w:tcW w:w="1163" w:type="dxa"/>
            <w:shd w:val="clear" w:color="auto" w:fill="auto"/>
            <w:vAlign w:val="center"/>
          </w:tcPr>
          <w:p w14:paraId="33E9589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13C5635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4CBDC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734" w:type="dxa"/>
            <w:shd w:val="clear" w:color="auto" w:fill="auto"/>
            <w:vAlign w:val="center"/>
          </w:tcPr>
          <w:p w14:paraId="75856E2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58</w:t>
            </w:r>
          </w:p>
        </w:tc>
        <w:tc>
          <w:tcPr>
            <w:tcW w:w="1544" w:type="dxa"/>
            <w:shd w:val="clear" w:color="auto" w:fill="auto"/>
            <w:vAlign w:val="center"/>
          </w:tcPr>
          <w:p w14:paraId="2C99799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魔力沙-黄</w:t>
            </w:r>
          </w:p>
        </w:tc>
        <w:tc>
          <w:tcPr>
            <w:tcW w:w="2489" w:type="dxa"/>
            <w:shd w:val="clear" w:color="auto" w:fill="auto"/>
            <w:noWrap/>
            <w:vAlign w:val="center"/>
          </w:tcPr>
          <w:p w14:paraId="28417BC2">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864235"/>
                  <wp:effectExtent l="0" t="0" r="11430" b="12065"/>
                  <wp:wrapNone/>
                  <wp:docPr id="231" name="图片_405"/>
                  <wp:cNvGraphicFramePr/>
                  <a:graphic xmlns:a="http://schemas.openxmlformats.org/drawingml/2006/main">
                    <a:graphicData uri="http://schemas.openxmlformats.org/drawingml/2006/picture">
                      <pic:pic xmlns:pic="http://schemas.openxmlformats.org/drawingml/2006/picture">
                        <pic:nvPicPr>
                          <pic:cNvPr id="231" name="图片_405"/>
                          <pic:cNvPicPr/>
                        </pic:nvPicPr>
                        <pic:blipFill>
                          <a:blip r:embed="rId171"/>
                          <a:stretch>
                            <a:fillRect/>
                          </a:stretch>
                        </pic:blipFill>
                        <pic:spPr>
                          <a:xfrm>
                            <a:off x="0" y="0"/>
                            <a:ext cx="864870" cy="864235"/>
                          </a:xfrm>
                          <a:prstGeom prst="rect">
                            <a:avLst/>
                          </a:prstGeom>
                          <a:noFill/>
                          <a:ln>
                            <a:noFill/>
                          </a:ln>
                        </pic:spPr>
                      </pic:pic>
                    </a:graphicData>
                  </a:graphic>
                </wp:anchor>
              </w:drawing>
            </w:r>
          </w:p>
        </w:tc>
        <w:tc>
          <w:tcPr>
            <w:tcW w:w="5689" w:type="dxa"/>
            <w:shd w:val="clear" w:color="auto" w:fill="auto"/>
            <w:vAlign w:val="center"/>
          </w:tcPr>
          <w:p w14:paraId="58AC245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材质：玻璃微珠尺寸：约15×22cm底宽约8cm</w:t>
            </w:r>
          </w:p>
        </w:tc>
        <w:tc>
          <w:tcPr>
            <w:tcW w:w="1163" w:type="dxa"/>
            <w:shd w:val="clear" w:color="auto" w:fill="auto"/>
            <w:vAlign w:val="center"/>
          </w:tcPr>
          <w:p w14:paraId="04C7753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6CC38C0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1DE36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734" w:type="dxa"/>
            <w:shd w:val="clear" w:color="auto" w:fill="auto"/>
            <w:vAlign w:val="center"/>
          </w:tcPr>
          <w:p w14:paraId="21BAB13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59</w:t>
            </w:r>
          </w:p>
        </w:tc>
        <w:tc>
          <w:tcPr>
            <w:tcW w:w="1544" w:type="dxa"/>
            <w:shd w:val="clear" w:color="auto" w:fill="auto"/>
            <w:vAlign w:val="center"/>
          </w:tcPr>
          <w:p w14:paraId="57AAF25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小城堡9件套</w:t>
            </w:r>
          </w:p>
        </w:tc>
        <w:tc>
          <w:tcPr>
            <w:tcW w:w="2489" w:type="dxa"/>
            <w:shd w:val="clear" w:color="auto" w:fill="auto"/>
            <w:noWrap/>
            <w:vAlign w:val="center"/>
          </w:tcPr>
          <w:p w14:paraId="7540669D">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314960</wp:posOffset>
                  </wp:positionH>
                  <wp:positionV relativeFrom="paragraph">
                    <wp:posOffset>118745</wp:posOffset>
                  </wp:positionV>
                  <wp:extent cx="840740" cy="527685"/>
                  <wp:effectExtent l="0" t="0" r="10160" b="5715"/>
                  <wp:wrapNone/>
                  <wp:docPr id="252" name="图片_407"/>
                  <wp:cNvGraphicFramePr/>
                  <a:graphic xmlns:a="http://schemas.openxmlformats.org/drawingml/2006/main">
                    <a:graphicData uri="http://schemas.openxmlformats.org/drawingml/2006/picture">
                      <pic:pic xmlns:pic="http://schemas.openxmlformats.org/drawingml/2006/picture">
                        <pic:nvPicPr>
                          <pic:cNvPr id="252" name="图片_407"/>
                          <pic:cNvPicPr/>
                        </pic:nvPicPr>
                        <pic:blipFill>
                          <a:blip r:embed="rId172"/>
                          <a:stretch>
                            <a:fillRect/>
                          </a:stretch>
                        </pic:blipFill>
                        <pic:spPr>
                          <a:xfrm>
                            <a:off x="0" y="0"/>
                            <a:ext cx="840740" cy="527685"/>
                          </a:xfrm>
                          <a:prstGeom prst="rect">
                            <a:avLst/>
                          </a:prstGeom>
                          <a:noFill/>
                          <a:ln>
                            <a:noFill/>
                          </a:ln>
                        </pic:spPr>
                      </pic:pic>
                    </a:graphicData>
                  </a:graphic>
                </wp:anchor>
              </w:drawing>
            </w:r>
          </w:p>
        </w:tc>
        <w:tc>
          <w:tcPr>
            <w:tcW w:w="5689" w:type="dxa"/>
            <w:shd w:val="clear" w:color="auto" w:fill="auto"/>
            <w:vAlign w:val="center"/>
          </w:tcPr>
          <w:p w14:paraId="57F8CC01">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材质：塑料尺寸：约①5×3×4cm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②5.6×2×2.8cm③5×2.8×2cm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④5×3×4cm⑤4×3cm⑥4.8×3cm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⑦4×3.8cm⑧3.3×3.5cm⑨4.8×3cm</w:t>
            </w:r>
          </w:p>
        </w:tc>
        <w:tc>
          <w:tcPr>
            <w:tcW w:w="1163" w:type="dxa"/>
            <w:shd w:val="clear" w:color="auto" w:fill="auto"/>
            <w:vAlign w:val="center"/>
          </w:tcPr>
          <w:p w14:paraId="25F22AB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603393A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33D9B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00" w:hRule="atLeast"/>
          <w:jc w:val="center"/>
        </w:trPr>
        <w:tc>
          <w:tcPr>
            <w:tcW w:w="734" w:type="dxa"/>
            <w:shd w:val="clear" w:color="auto" w:fill="auto"/>
            <w:vAlign w:val="center"/>
          </w:tcPr>
          <w:p w14:paraId="09ABCB2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60</w:t>
            </w:r>
          </w:p>
        </w:tc>
        <w:tc>
          <w:tcPr>
            <w:tcW w:w="1544" w:type="dxa"/>
            <w:shd w:val="clear" w:color="auto" w:fill="auto"/>
            <w:vAlign w:val="center"/>
          </w:tcPr>
          <w:p w14:paraId="0C3E76A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蔬菜篮</w:t>
            </w:r>
          </w:p>
        </w:tc>
        <w:tc>
          <w:tcPr>
            <w:tcW w:w="2489" w:type="dxa"/>
            <w:shd w:val="clear" w:color="auto" w:fill="auto"/>
            <w:noWrap/>
            <w:vAlign w:val="center"/>
          </w:tcPr>
          <w:p w14:paraId="612312B8">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718185"/>
                  <wp:effectExtent l="0" t="0" r="11430" b="5715"/>
                  <wp:wrapNone/>
                  <wp:docPr id="253" name="图片_424"/>
                  <wp:cNvGraphicFramePr/>
                  <a:graphic xmlns:a="http://schemas.openxmlformats.org/drawingml/2006/main">
                    <a:graphicData uri="http://schemas.openxmlformats.org/drawingml/2006/picture">
                      <pic:pic xmlns:pic="http://schemas.openxmlformats.org/drawingml/2006/picture">
                        <pic:nvPicPr>
                          <pic:cNvPr id="253" name="图片_424"/>
                          <pic:cNvPicPr/>
                        </pic:nvPicPr>
                        <pic:blipFill>
                          <a:blip r:embed="rId173"/>
                          <a:stretch>
                            <a:fillRect/>
                          </a:stretch>
                        </pic:blipFill>
                        <pic:spPr>
                          <a:xfrm>
                            <a:off x="0" y="0"/>
                            <a:ext cx="864870" cy="718185"/>
                          </a:xfrm>
                          <a:prstGeom prst="rect">
                            <a:avLst/>
                          </a:prstGeom>
                          <a:noFill/>
                          <a:ln>
                            <a:noFill/>
                          </a:ln>
                        </pic:spPr>
                      </pic:pic>
                    </a:graphicData>
                  </a:graphic>
                </wp:anchor>
              </w:drawing>
            </w:r>
          </w:p>
        </w:tc>
        <w:tc>
          <w:tcPr>
            <w:tcW w:w="5689" w:type="dxa"/>
            <w:shd w:val="clear" w:color="auto" w:fill="auto"/>
            <w:vAlign w:val="center"/>
          </w:tcPr>
          <w:p w14:paraId="6B97F662">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材质：ABS、PVC、TPE</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尺寸：篮子高约10cm，直径约14cm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个篮子，9种蔬菜。内含玉米、黄瓜、花椰菜、红椒、茄子、胡萝卜、黄椒、芦笋和土豆等各种蔬菜，既可以让幼儿学习认识蔬菜名称、颜色，也可以作为扮演游戏的辅助材料，丰富游戏情节，体验互相交流的乐趣。</w:t>
            </w:r>
          </w:p>
        </w:tc>
        <w:tc>
          <w:tcPr>
            <w:tcW w:w="1163" w:type="dxa"/>
            <w:shd w:val="clear" w:color="auto" w:fill="auto"/>
            <w:vAlign w:val="center"/>
          </w:tcPr>
          <w:p w14:paraId="60348B1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164" w:type="dxa"/>
            <w:shd w:val="clear" w:color="auto" w:fill="auto"/>
            <w:vAlign w:val="center"/>
          </w:tcPr>
          <w:p w14:paraId="7B6499C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39B8B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600" w:hRule="atLeast"/>
          <w:jc w:val="center"/>
        </w:trPr>
        <w:tc>
          <w:tcPr>
            <w:tcW w:w="734" w:type="dxa"/>
            <w:shd w:val="clear" w:color="auto" w:fill="auto"/>
            <w:vAlign w:val="center"/>
          </w:tcPr>
          <w:p w14:paraId="4C8AE08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61</w:t>
            </w:r>
          </w:p>
        </w:tc>
        <w:tc>
          <w:tcPr>
            <w:tcW w:w="1544" w:type="dxa"/>
            <w:shd w:val="clear" w:color="auto" w:fill="auto"/>
            <w:vAlign w:val="center"/>
          </w:tcPr>
          <w:p w14:paraId="3D26001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12色60支易握粗杆彩铅笔</w:t>
            </w:r>
          </w:p>
        </w:tc>
        <w:tc>
          <w:tcPr>
            <w:tcW w:w="2489" w:type="dxa"/>
            <w:shd w:val="clear" w:color="auto" w:fill="auto"/>
            <w:noWrap/>
            <w:vAlign w:val="center"/>
          </w:tcPr>
          <w:p w14:paraId="6EA946F9">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248285</wp:posOffset>
                  </wp:positionH>
                  <wp:positionV relativeFrom="paragraph">
                    <wp:posOffset>109220</wp:posOffset>
                  </wp:positionV>
                  <wp:extent cx="836930" cy="704215"/>
                  <wp:effectExtent l="0" t="0" r="1270" b="6985"/>
                  <wp:wrapNone/>
                  <wp:docPr id="254" name="图片_425"/>
                  <wp:cNvGraphicFramePr/>
                  <a:graphic xmlns:a="http://schemas.openxmlformats.org/drawingml/2006/main">
                    <a:graphicData uri="http://schemas.openxmlformats.org/drawingml/2006/picture">
                      <pic:pic xmlns:pic="http://schemas.openxmlformats.org/drawingml/2006/picture">
                        <pic:nvPicPr>
                          <pic:cNvPr id="254" name="图片_425"/>
                          <pic:cNvPicPr/>
                        </pic:nvPicPr>
                        <pic:blipFill>
                          <a:blip r:embed="rId174"/>
                          <a:stretch>
                            <a:fillRect/>
                          </a:stretch>
                        </pic:blipFill>
                        <pic:spPr>
                          <a:xfrm>
                            <a:off x="0" y="0"/>
                            <a:ext cx="836930" cy="704215"/>
                          </a:xfrm>
                          <a:prstGeom prst="rect">
                            <a:avLst/>
                          </a:prstGeom>
                          <a:noFill/>
                          <a:ln>
                            <a:noFill/>
                          </a:ln>
                        </pic:spPr>
                      </pic:pic>
                    </a:graphicData>
                  </a:graphic>
                </wp:anchor>
              </w:drawing>
            </w:r>
          </w:p>
        </w:tc>
        <w:tc>
          <w:tcPr>
            <w:tcW w:w="5689" w:type="dxa"/>
            <w:shd w:val="clear" w:color="auto" w:fill="auto"/>
            <w:vAlign w:val="center"/>
          </w:tcPr>
          <w:p w14:paraId="7704883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材质：环保树脂+颜料单支</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尺寸：约长约17.5cm直径约1cm笔芯直径约</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0.5cm</w:t>
            </w:r>
          </w:p>
        </w:tc>
        <w:tc>
          <w:tcPr>
            <w:tcW w:w="1163" w:type="dxa"/>
            <w:shd w:val="clear" w:color="auto" w:fill="auto"/>
            <w:vAlign w:val="center"/>
          </w:tcPr>
          <w:p w14:paraId="1DFD345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164" w:type="dxa"/>
            <w:shd w:val="clear" w:color="auto" w:fill="auto"/>
            <w:vAlign w:val="center"/>
          </w:tcPr>
          <w:p w14:paraId="7971455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015FA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734" w:type="dxa"/>
            <w:shd w:val="clear" w:color="auto" w:fill="auto"/>
            <w:vAlign w:val="center"/>
          </w:tcPr>
          <w:p w14:paraId="6088EB0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62</w:t>
            </w:r>
          </w:p>
        </w:tc>
        <w:tc>
          <w:tcPr>
            <w:tcW w:w="1544" w:type="dxa"/>
            <w:shd w:val="clear" w:color="auto" w:fill="auto"/>
            <w:vAlign w:val="center"/>
          </w:tcPr>
          <w:p w14:paraId="0AA324D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白胶套装</w:t>
            </w:r>
          </w:p>
        </w:tc>
        <w:tc>
          <w:tcPr>
            <w:tcW w:w="2489" w:type="dxa"/>
            <w:shd w:val="clear" w:color="auto" w:fill="auto"/>
            <w:noWrap/>
            <w:vAlign w:val="center"/>
          </w:tcPr>
          <w:p w14:paraId="3FA46F13">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55245</wp:posOffset>
                  </wp:positionV>
                  <wp:extent cx="963295" cy="662940"/>
                  <wp:effectExtent l="0" t="0" r="1905" b="10160"/>
                  <wp:wrapNone/>
                  <wp:docPr id="259" name="图片_426"/>
                  <wp:cNvGraphicFramePr/>
                  <a:graphic xmlns:a="http://schemas.openxmlformats.org/drawingml/2006/main">
                    <a:graphicData uri="http://schemas.openxmlformats.org/drawingml/2006/picture">
                      <pic:pic xmlns:pic="http://schemas.openxmlformats.org/drawingml/2006/picture">
                        <pic:nvPicPr>
                          <pic:cNvPr id="259" name="图片_426"/>
                          <pic:cNvPicPr/>
                        </pic:nvPicPr>
                        <pic:blipFill>
                          <a:blip r:embed="rId175"/>
                          <a:stretch>
                            <a:fillRect/>
                          </a:stretch>
                        </pic:blipFill>
                        <pic:spPr>
                          <a:xfrm>
                            <a:off x="0" y="0"/>
                            <a:ext cx="963295" cy="662940"/>
                          </a:xfrm>
                          <a:prstGeom prst="rect">
                            <a:avLst/>
                          </a:prstGeom>
                          <a:noFill/>
                          <a:ln>
                            <a:noFill/>
                          </a:ln>
                        </pic:spPr>
                      </pic:pic>
                    </a:graphicData>
                  </a:graphic>
                </wp:anchor>
              </w:drawing>
            </w:r>
          </w:p>
        </w:tc>
        <w:tc>
          <w:tcPr>
            <w:tcW w:w="5689" w:type="dxa"/>
            <w:shd w:val="clear" w:color="auto" w:fill="auto"/>
            <w:vAlign w:val="center"/>
          </w:tcPr>
          <w:p w14:paraId="6B8DC3D4">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材质：胶水尺寸：约40ml</w:t>
            </w:r>
          </w:p>
        </w:tc>
        <w:tc>
          <w:tcPr>
            <w:tcW w:w="1163" w:type="dxa"/>
            <w:shd w:val="clear" w:color="auto" w:fill="auto"/>
            <w:vAlign w:val="center"/>
          </w:tcPr>
          <w:p w14:paraId="2883F41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30</w:t>
            </w:r>
          </w:p>
        </w:tc>
        <w:tc>
          <w:tcPr>
            <w:tcW w:w="1164" w:type="dxa"/>
            <w:shd w:val="clear" w:color="auto" w:fill="auto"/>
            <w:vAlign w:val="center"/>
          </w:tcPr>
          <w:p w14:paraId="0D13990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瓶</w:t>
            </w:r>
          </w:p>
        </w:tc>
      </w:tr>
      <w:tr w14:paraId="619A6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734" w:type="dxa"/>
            <w:shd w:val="clear" w:color="auto" w:fill="auto"/>
            <w:vAlign w:val="center"/>
          </w:tcPr>
          <w:p w14:paraId="0CEE4CD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63</w:t>
            </w:r>
          </w:p>
        </w:tc>
        <w:tc>
          <w:tcPr>
            <w:tcW w:w="1544" w:type="dxa"/>
            <w:shd w:val="clear" w:color="auto" w:fill="auto"/>
            <w:vAlign w:val="center"/>
          </w:tcPr>
          <w:p w14:paraId="0401AD6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DIY圆木片-L</w:t>
            </w:r>
          </w:p>
        </w:tc>
        <w:tc>
          <w:tcPr>
            <w:tcW w:w="2489" w:type="dxa"/>
            <w:shd w:val="clear" w:color="auto" w:fill="auto"/>
            <w:noWrap/>
            <w:vAlign w:val="center"/>
          </w:tcPr>
          <w:p w14:paraId="66E120B8">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229235</wp:posOffset>
                  </wp:positionH>
                  <wp:positionV relativeFrom="paragraph">
                    <wp:posOffset>71755</wp:posOffset>
                  </wp:positionV>
                  <wp:extent cx="959485" cy="650875"/>
                  <wp:effectExtent l="0" t="0" r="5715" b="9525"/>
                  <wp:wrapNone/>
                  <wp:docPr id="228" name="图片_1"/>
                  <wp:cNvGraphicFramePr/>
                  <a:graphic xmlns:a="http://schemas.openxmlformats.org/drawingml/2006/main">
                    <a:graphicData uri="http://schemas.openxmlformats.org/drawingml/2006/picture">
                      <pic:pic xmlns:pic="http://schemas.openxmlformats.org/drawingml/2006/picture">
                        <pic:nvPicPr>
                          <pic:cNvPr id="228" name="图片_1"/>
                          <pic:cNvPicPr/>
                        </pic:nvPicPr>
                        <pic:blipFill>
                          <a:blip r:embed="rId176"/>
                          <a:stretch>
                            <a:fillRect/>
                          </a:stretch>
                        </pic:blipFill>
                        <pic:spPr>
                          <a:xfrm>
                            <a:off x="0" y="0"/>
                            <a:ext cx="959485" cy="650875"/>
                          </a:xfrm>
                          <a:prstGeom prst="rect">
                            <a:avLst/>
                          </a:prstGeom>
                          <a:noFill/>
                          <a:ln>
                            <a:noFill/>
                          </a:ln>
                        </pic:spPr>
                      </pic:pic>
                    </a:graphicData>
                  </a:graphic>
                </wp:anchor>
              </w:drawing>
            </w:r>
          </w:p>
        </w:tc>
        <w:tc>
          <w:tcPr>
            <w:tcW w:w="5689" w:type="dxa"/>
            <w:shd w:val="clear" w:color="auto" w:fill="auto"/>
            <w:vAlign w:val="center"/>
          </w:tcPr>
          <w:p w14:paraId="21E571E9">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材质：木制尺寸：约9-10×1cm</w:t>
            </w:r>
          </w:p>
        </w:tc>
        <w:tc>
          <w:tcPr>
            <w:tcW w:w="1163" w:type="dxa"/>
            <w:shd w:val="clear" w:color="auto" w:fill="auto"/>
            <w:vAlign w:val="center"/>
          </w:tcPr>
          <w:p w14:paraId="2CB05D4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164" w:type="dxa"/>
            <w:shd w:val="clear" w:color="auto" w:fill="auto"/>
            <w:vAlign w:val="center"/>
          </w:tcPr>
          <w:p w14:paraId="0E595E4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427D3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734" w:type="dxa"/>
            <w:shd w:val="clear" w:color="auto" w:fill="auto"/>
            <w:vAlign w:val="center"/>
          </w:tcPr>
          <w:p w14:paraId="60635A1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64</w:t>
            </w:r>
          </w:p>
        </w:tc>
        <w:tc>
          <w:tcPr>
            <w:tcW w:w="1544" w:type="dxa"/>
            <w:shd w:val="clear" w:color="auto" w:fill="auto"/>
            <w:vAlign w:val="center"/>
          </w:tcPr>
          <w:p w14:paraId="77E5913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DIY圆木片-M</w:t>
            </w:r>
          </w:p>
        </w:tc>
        <w:tc>
          <w:tcPr>
            <w:tcW w:w="2489" w:type="dxa"/>
            <w:shd w:val="clear" w:color="auto" w:fill="auto"/>
            <w:noWrap/>
            <w:vAlign w:val="center"/>
          </w:tcPr>
          <w:p w14:paraId="38BCFC47">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240665</wp:posOffset>
                  </wp:positionH>
                  <wp:positionV relativeFrom="paragraph">
                    <wp:posOffset>72390</wp:posOffset>
                  </wp:positionV>
                  <wp:extent cx="937260" cy="693420"/>
                  <wp:effectExtent l="0" t="0" r="2540" b="5080"/>
                  <wp:wrapNone/>
                  <wp:docPr id="229" name="图片_2"/>
                  <wp:cNvGraphicFramePr/>
                  <a:graphic xmlns:a="http://schemas.openxmlformats.org/drawingml/2006/main">
                    <a:graphicData uri="http://schemas.openxmlformats.org/drawingml/2006/picture">
                      <pic:pic xmlns:pic="http://schemas.openxmlformats.org/drawingml/2006/picture">
                        <pic:nvPicPr>
                          <pic:cNvPr id="229" name="图片_2"/>
                          <pic:cNvPicPr/>
                        </pic:nvPicPr>
                        <pic:blipFill>
                          <a:blip r:embed="rId177"/>
                          <a:stretch>
                            <a:fillRect/>
                          </a:stretch>
                        </pic:blipFill>
                        <pic:spPr>
                          <a:xfrm>
                            <a:off x="0" y="0"/>
                            <a:ext cx="937260" cy="693420"/>
                          </a:xfrm>
                          <a:prstGeom prst="rect">
                            <a:avLst/>
                          </a:prstGeom>
                          <a:noFill/>
                          <a:ln>
                            <a:noFill/>
                          </a:ln>
                        </pic:spPr>
                      </pic:pic>
                    </a:graphicData>
                  </a:graphic>
                </wp:anchor>
              </w:drawing>
            </w:r>
          </w:p>
        </w:tc>
        <w:tc>
          <w:tcPr>
            <w:tcW w:w="5689" w:type="dxa"/>
            <w:shd w:val="clear" w:color="auto" w:fill="auto"/>
            <w:vAlign w:val="center"/>
          </w:tcPr>
          <w:p w14:paraId="01D6D8C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材质：木制尺寸：约5-6×1cm</w:t>
            </w:r>
          </w:p>
        </w:tc>
        <w:tc>
          <w:tcPr>
            <w:tcW w:w="1163" w:type="dxa"/>
            <w:shd w:val="clear" w:color="auto" w:fill="auto"/>
            <w:vAlign w:val="center"/>
          </w:tcPr>
          <w:p w14:paraId="26B0653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164" w:type="dxa"/>
            <w:shd w:val="clear" w:color="auto" w:fill="auto"/>
            <w:vAlign w:val="center"/>
          </w:tcPr>
          <w:p w14:paraId="5A68EC2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08DD0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600" w:hRule="atLeast"/>
          <w:jc w:val="center"/>
        </w:trPr>
        <w:tc>
          <w:tcPr>
            <w:tcW w:w="734" w:type="dxa"/>
            <w:shd w:val="clear" w:color="auto" w:fill="auto"/>
            <w:vAlign w:val="center"/>
          </w:tcPr>
          <w:p w14:paraId="03D242B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65</w:t>
            </w:r>
          </w:p>
        </w:tc>
        <w:tc>
          <w:tcPr>
            <w:tcW w:w="1544" w:type="dxa"/>
            <w:shd w:val="clear" w:color="auto" w:fill="auto"/>
            <w:vAlign w:val="center"/>
          </w:tcPr>
          <w:p w14:paraId="5EDE365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DIY圆木片-S</w:t>
            </w:r>
          </w:p>
        </w:tc>
        <w:tc>
          <w:tcPr>
            <w:tcW w:w="2489" w:type="dxa"/>
            <w:shd w:val="clear" w:color="auto" w:fill="auto"/>
            <w:noWrap/>
            <w:vAlign w:val="center"/>
          </w:tcPr>
          <w:p w14:paraId="40942A51">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235585</wp:posOffset>
                  </wp:positionH>
                  <wp:positionV relativeFrom="paragraph">
                    <wp:posOffset>137160</wp:posOffset>
                  </wp:positionV>
                  <wp:extent cx="842645" cy="645160"/>
                  <wp:effectExtent l="0" t="0" r="8255" b="2540"/>
                  <wp:wrapNone/>
                  <wp:docPr id="232" name="图片_4"/>
                  <wp:cNvGraphicFramePr/>
                  <a:graphic xmlns:a="http://schemas.openxmlformats.org/drawingml/2006/main">
                    <a:graphicData uri="http://schemas.openxmlformats.org/drawingml/2006/picture">
                      <pic:pic xmlns:pic="http://schemas.openxmlformats.org/drawingml/2006/picture">
                        <pic:nvPicPr>
                          <pic:cNvPr id="232" name="图片_4"/>
                          <pic:cNvPicPr/>
                        </pic:nvPicPr>
                        <pic:blipFill>
                          <a:blip r:embed="rId178"/>
                          <a:stretch>
                            <a:fillRect/>
                          </a:stretch>
                        </pic:blipFill>
                        <pic:spPr>
                          <a:xfrm>
                            <a:off x="0" y="0"/>
                            <a:ext cx="842645" cy="645160"/>
                          </a:xfrm>
                          <a:prstGeom prst="rect">
                            <a:avLst/>
                          </a:prstGeom>
                          <a:noFill/>
                          <a:ln>
                            <a:noFill/>
                          </a:ln>
                        </pic:spPr>
                      </pic:pic>
                    </a:graphicData>
                  </a:graphic>
                </wp:anchor>
              </w:drawing>
            </w:r>
          </w:p>
        </w:tc>
        <w:tc>
          <w:tcPr>
            <w:tcW w:w="5689" w:type="dxa"/>
            <w:shd w:val="clear" w:color="auto" w:fill="auto"/>
            <w:vAlign w:val="center"/>
          </w:tcPr>
          <w:p w14:paraId="066065A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材质：木制尺寸：约4-5×0.5cm</w:t>
            </w:r>
          </w:p>
        </w:tc>
        <w:tc>
          <w:tcPr>
            <w:tcW w:w="1163" w:type="dxa"/>
            <w:shd w:val="clear" w:color="auto" w:fill="auto"/>
            <w:vAlign w:val="center"/>
          </w:tcPr>
          <w:p w14:paraId="14F68AD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164" w:type="dxa"/>
            <w:shd w:val="clear" w:color="auto" w:fill="auto"/>
            <w:vAlign w:val="center"/>
          </w:tcPr>
          <w:p w14:paraId="615F6AA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37480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734" w:type="dxa"/>
            <w:shd w:val="clear" w:color="auto" w:fill="auto"/>
            <w:vAlign w:val="center"/>
          </w:tcPr>
          <w:p w14:paraId="69D153F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66</w:t>
            </w:r>
          </w:p>
        </w:tc>
        <w:tc>
          <w:tcPr>
            <w:tcW w:w="1544" w:type="dxa"/>
            <w:shd w:val="clear" w:color="auto" w:fill="auto"/>
            <w:vAlign w:val="center"/>
          </w:tcPr>
          <w:p w14:paraId="2D30C75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超轻黏土-红</w:t>
            </w:r>
          </w:p>
        </w:tc>
        <w:tc>
          <w:tcPr>
            <w:tcW w:w="2489" w:type="dxa"/>
            <w:shd w:val="clear" w:color="auto" w:fill="auto"/>
            <w:noWrap/>
            <w:vAlign w:val="center"/>
          </w:tcPr>
          <w:p w14:paraId="31EAE50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864235"/>
                  <wp:effectExtent l="0" t="0" r="11430" b="12065"/>
                  <wp:wrapNone/>
                  <wp:docPr id="262" name="图片_5"/>
                  <wp:cNvGraphicFramePr/>
                  <a:graphic xmlns:a="http://schemas.openxmlformats.org/drawingml/2006/main">
                    <a:graphicData uri="http://schemas.openxmlformats.org/drawingml/2006/picture">
                      <pic:pic xmlns:pic="http://schemas.openxmlformats.org/drawingml/2006/picture">
                        <pic:nvPicPr>
                          <pic:cNvPr id="262" name="图片_5"/>
                          <pic:cNvPicPr/>
                        </pic:nvPicPr>
                        <pic:blipFill>
                          <a:blip r:embed="rId102"/>
                          <a:stretch>
                            <a:fillRect/>
                          </a:stretch>
                        </pic:blipFill>
                        <pic:spPr>
                          <a:xfrm>
                            <a:off x="0" y="0"/>
                            <a:ext cx="864870" cy="864235"/>
                          </a:xfrm>
                          <a:prstGeom prst="rect">
                            <a:avLst/>
                          </a:prstGeom>
                          <a:noFill/>
                          <a:ln>
                            <a:noFill/>
                          </a:ln>
                        </pic:spPr>
                      </pic:pic>
                    </a:graphicData>
                  </a:graphic>
                </wp:anchor>
              </w:drawing>
            </w:r>
          </w:p>
        </w:tc>
        <w:tc>
          <w:tcPr>
            <w:tcW w:w="5689" w:type="dxa"/>
            <w:shd w:val="clear" w:color="auto" w:fill="auto"/>
            <w:vAlign w:val="center"/>
          </w:tcPr>
          <w:p w14:paraId="66011DD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材质：PVA、水、甘油尺寸：约100g约14X21.5cm</w:t>
            </w:r>
          </w:p>
        </w:tc>
        <w:tc>
          <w:tcPr>
            <w:tcW w:w="1163" w:type="dxa"/>
            <w:shd w:val="clear" w:color="auto" w:fill="auto"/>
            <w:vAlign w:val="center"/>
          </w:tcPr>
          <w:p w14:paraId="1965037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15</w:t>
            </w:r>
          </w:p>
        </w:tc>
        <w:tc>
          <w:tcPr>
            <w:tcW w:w="1164" w:type="dxa"/>
            <w:shd w:val="clear" w:color="auto" w:fill="auto"/>
            <w:vAlign w:val="center"/>
          </w:tcPr>
          <w:p w14:paraId="4745C81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2FC13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734" w:type="dxa"/>
            <w:shd w:val="clear" w:color="auto" w:fill="auto"/>
            <w:vAlign w:val="center"/>
          </w:tcPr>
          <w:p w14:paraId="3AFB24B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67</w:t>
            </w:r>
          </w:p>
        </w:tc>
        <w:tc>
          <w:tcPr>
            <w:tcW w:w="1544" w:type="dxa"/>
            <w:shd w:val="clear" w:color="auto" w:fill="auto"/>
            <w:vAlign w:val="center"/>
          </w:tcPr>
          <w:p w14:paraId="3312F43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超轻黏土-黄</w:t>
            </w:r>
          </w:p>
        </w:tc>
        <w:tc>
          <w:tcPr>
            <w:tcW w:w="2489" w:type="dxa"/>
            <w:shd w:val="clear" w:color="auto" w:fill="auto"/>
            <w:noWrap/>
            <w:vAlign w:val="center"/>
          </w:tcPr>
          <w:p w14:paraId="7E197C04">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864235"/>
                  <wp:effectExtent l="0" t="0" r="11430" b="12065"/>
                  <wp:wrapNone/>
                  <wp:docPr id="265" name="图片_9"/>
                  <wp:cNvGraphicFramePr/>
                  <a:graphic xmlns:a="http://schemas.openxmlformats.org/drawingml/2006/main">
                    <a:graphicData uri="http://schemas.openxmlformats.org/drawingml/2006/picture">
                      <pic:pic xmlns:pic="http://schemas.openxmlformats.org/drawingml/2006/picture">
                        <pic:nvPicPr>
                          <pic:cNvPr id="265" name="图片_9"/>
                          <pic:cNvPicPr/>
                        </pic:nvPicPr>
                        <pic:blipFill>
                          <a:blip r:embed="rId179"/>
                          <a:stretch>
                            <a:fillRect/>
                          </a:stretch>
                        </pic:blipFill>
                        <pic:spPr>
                          <a:xfrm>
                            <a:off x="0" y="0"/>
                            <a:ext cx="864870" cy="864235"/>
                          </a:xfrm>
                          <a:prstGeom prst="rect">
                            <a:avLst/>
                          </a:prstGeom>
                          <a:noFill/>
                          <a:ln>
                            <a:noFill/>
                          </a:ln>
                        </pic:spPr>
                      </pic:pic>
                    </a:graphicData>
                  </a:graphic>
                </wp:anchor>
              </w:drawing>
            </w:r>
          </w:p>
        </w:tc>
        <w:tc>
          <w:tcPr>
            <w:tcW w:w="5689" w:type="dxa"/>
            <w:shd w:val="clear" w:color="auto" w:fill="auto"/>
            <w:vAlign w:val="center"/>
          </w:tcPr>
          <w:p w14:paraId="793F4434">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材质：PVA、水、甘油尺寸：约100g约14X21.5cm</w:t>
            </w:r>
          </w:p>
        </w:tc>
        <w:tc>
          <w:tcPr>
            <w:tcW w:w="1163" w:type="dxa"/>
            <w:shd w:val="clear" w:color="auto" w:fill="auto"/>
            <w:vAlign w:val="center"/>
          </w:tcPr>
          <w:p w14:paraId="00CC02A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15</w:t>
            </w:r>
          </w:p>
        </w:tc>
        <w:tc>
          <w:tcPr>
            <w:tcW w:w="1164" w:type="dxa"/>
            <w:shd w:val="clear" w:color="auto" w:fill="auto"/>
            <w:vAlign w:val="center"/>
          </w:tcPr>
          <w:p w14:paraId="5073F6A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55EB4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600" w:hRule="atLeast"/>
          <w:jc w:val="center"/>
        </w:trPr>
        <w:tc>
          <w:tcPr>
            <w:tcW w:w="734" w:type="dxa"/>
            <w:shd w:val="clear" w:color="auto" w:fill="auto"/>
            <w:vAlign w:val="center"/>
          </w:tcPr>
          <w:p w14:paraId="2795D49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68</w:t>
            </w:r>
          </w:p>
        </w:tc>
        <w:tc>
          <w:tcPr>
            <w:tcW w:w="1544" w:type="dxa"/>
            <w:shd w:val="clear" w:color="auto" w:fill="auto"/>
            <w:vAlign w:val="center"/>
          </w:tcPr>
          <w:p w14:paraId="68004B7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超轻黏土-蓝</w:t>
            </w:r>
          </w:p>
        </w:tc>
        <w:tc>
          <w:tcPr>
            <w:tcW w:w="2489" w:type="dxa"/>
            <w:shd w:val="clear" w:color="auto" w:fill="auto"/>
            <w:noWrap/>
            <w:vAlign w:val="center"/>
          </w:tcPr>
          <w:p w14:paraId="11B5CA49">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864235"/>
                  <wp:effectExtent l="0" t="0" r="11430" b="12065"/>
                  <wp:wrapNone/>
                  <wp:docPr id="260" name="图片_12"/>
                  <wp:cNvGraphicFramePr/>
                  <a:graphic xmlns:a="http://schemas.openxmlformats.org/drawingml/2006/main">
                    <a:graphicData uri="http://schemas.openxmlformats.org/drawingml/2006/picture">
                      <pic:pic xmlns:pic="http://schemas.openxmlformats.org/drawingml/2006/picture">
                        <pic:nvPicPr>
                          <pic:cNvPr id="260" name="图片_12"/>
                          <pic:cNvPicPr/>
                        </pic:nvPicPr>
                        <pic:blipFill>
                          <a:blip r:embed="rId104"/>
                          <a:stretch>
                            <a:fillRect/>
                          </a:stretch>
                        </pic:blipFill>
                        <pic:spPr>
                          <a:xfrm>
                            <a:off x="0" y="0"/>
                            <a:ext cx="864870" cy="864235"/>
                          </a:xfrm>
                          <a:prstGeom prst="rect">
                            <a:avLst/>
                          </a:prstGeom>
                          <a:noFill/>
                          <a:ln>
                            <a:noFill/>
                          </a:ln>
                        </pic:spPr>
                      </pic:pic>
                    </a:graphicData>
                  </a:graphic>
                </wp:anchor>
              </w:drawing>
            </w:r>
          </w:p>
        </w:tc>
        <w:tc>
          <w:tcPr>
            <w:tcW w:w="5689" w:type="dxa"/>
            <w:shd w:val="clear" w:color="auto" w:fill="auto"/>
            <w:vAlign w:val="center"/>
          </w:tcPr>
          <w:p w14:paraId="2856D5F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材质：PVA、水、甘油尺寸：约100g约14X21.5cm</w:t>
            </w:r>
          </w:p>
        </w:tc>
        <w:tc>
          <w:tcPr>
            <w:tcW w:w="1163" w:type="dxa"/>
            <w:shd w:val="clear" w:color="auto" w:fill="auto"/>
            <w:vAlign w:val="center"/>
          </w:tcPr>
          <w:p w14:paraId="2B2568B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15</w:t>
            </w:r>
          </w:p>
        </w:tc>
        <w:tc>
          <w:tcPr>
            <w:tcW w:w="1164" w:type="dxa"/>
            <w:shd w:val="clear" w:color="auto" w:fill="auto"/>
            <w:vAlign w:val="center"/>
          </w:tcPr>
          <w:p w14:paraId="75CC391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46389A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600" w:hRule="atLeast"/>
          <w:jc w:val="center"/>
        </w:trPr>
        <w:tc>
          <w:tcPr>
            <w:tcW w:w="734" w:type="dxa"/>
            <w:shd w:val="clear" w:color="auto" w:fill="auto"/>
            <w:vAlign w:val="center"/>
          </w:tcPr>
          <w:p w14:paraId="5D3EAAE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69</w:t>
            </w:r>
          </w:p>
        </w:tc>
        <w:tc>
          <w:tcPr>
            <w:tcW w:w="1544" w:type="dxa"/>
            <w:shd w:val="clear" w:color="auto" w:fill="auto"/>
            <w:vAlign w:val="center"/>
          </w:tcPr>
          <w:p w14:paraId="736667A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超轻黏土-白</w:t>
            </w:r>
          </w:p>
        </w:tc>
        <w:tc>
          <w:tcPr>
            <w:tcW w:w="2489" w:type="dxa"/>
            <w:shd w:val="clear" w:color="auto" w:fill="auto"/>
            <w:noWrap/>
            <w:vAlign w:val="center"/>
          </w:tcPr>
          <w:p w14:paraId="5A878FCD">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251460</wp:posOffset>
                  </wp:positionH>
                  <wp:positionV relativeFrom="paragraph">
                    <wp:posOffset>8890</wp:posOffset>
                  </wp:positionV>
                  <wp:extent cx="952500" cy="952500"/>
                  <wp:effectExtent l="0" t="0" r="0" b="0"/>
                  <wp:wrapNone/>
                  <wp:docPr id="263" name="图片_8"/>
                  <wp:cNvGraphicFramePr/>
                  <a:graphic xmlns:a="http://schemas.openxmlformats.org/drawingml/2006/main">
                    <a:graphicData uri="http://schemas.openxmlformats.org/drawingml/2006/picture">
                      <pic:pic xmlns:pic="http://schemas.openxmlformats.org/drawingml/2006/picture">
                        <pic:nvPicPr>
                          <pic:cNvPr id="263" name="图片_8"/>
                          <pic:cNvPicPr/>
                        </pic:nvPicPr>
                        <pic:blipFill>
                          <a:blip r:embed="rId180"/>
                          <a:stretch>
                            <a:fillRect/>
                          </a:stretch>
                        </pic:blipFill>
                        <pic:spPr>
                          <a:xfrm>
                            <a:off x="0" y="0"/>
                            <a:ext cx="952500" cy="952500"/>
                          </a:xfrm>
                          <a:prstGeom prst="rect">
                            <a:avLst/>
                          </a:prstGeom>
                          <a:noFill/>
                          <a:ln>
                            <a:noFill/>
                          </a:ln>
                        </pic:spPr>
                      </pic:pic>
                    </a:graphicData>
                  </a:graphic>
                </wp:anchor>
              </w:drawing>
            </w:r>
          </w:p>
        </w:tc>
        <w:tc>
          <w:tcPr>
            <w:tcW w:w="5689" w:type="dxa"/>
            <w:shd w:val="clear" w:color="auto" w:fill="auto"/>
            <w:vAlign w:val="center"/>
          </w:tcPr>
          <w:p w14:paraId="07FBE64D">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材质：PVA、水、甘油尺寸：约100g约14X21.5cm</w:t>
            </w:r>
          </w:p>
        </w:tc>
        <w:tc>
          <w:tcPr>
            <w:tcW w:w="1163" w:type="dxa"/>
            <w:shd w:val="clear" w:color="auto" w:fill="auto"/>
            <w:vAlign w:val="center"/>
          </w:tcPr>
          <w:p w14:paraId="40A77D5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15</w:t>
            </w:r>
          </w:p>
        </w:tc>
        <w:tc>
          <w:tcPr>
            <w:tcW w:w="1164" w:type="dxa"/>
            <w:shd w:val="clear" w:color="auto" w:fill="auto"/>
            <w:vAlign w:val="center"/>
          </w:tcPr>
          <w:p w14:paraId="00F6A67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148B3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600" w:hRule="atLeast"/>
          <w:jc w:val="center"/>
        </w:trPr>
        <w:tc>
          <w:tcPr>
            <w:tcW w:w="734" w:type="dxa"/>
            <w:shd w:val="clear" w:color="auto" w:fill="auto"/>
            <w:vAlign w:val="center"/>
          </w:tcPr>
          <w:p w14:paraId="7AFE3E3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70</w:t>
            </w:r>
          </w:p>
        </w:tc>
        <w:tc>
          <w:tcPr>
            <w:tcW w:w="1544" w:type="dxa"/>
            <w:shd w:val="clear" w:color="auto" w:fill="auto"/>
            <w:vAlign w:val="center"/>
          </w:tcPr>
          <w:p w14:paraId="00D64CE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超轻黏土-黑</w:t>
            </w:r>
          </w:p>
        </w:tc>
        <w:tc>
          <w:tcPr>
            <w:tcW w:w="2489" w:type="dxa"/>
            <w:shd w:val="clear" w:color="auto" w:fill="auto"/>
            <w:noWrap/>
            <w:vAlign w:val="center"/>
          </w:tcPr>
          <w:p w14:paraId="24B807E2">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250190</wp:posOffset>
                  </wp:positionH>
                  <wp:positionV relativeFrom="paragraph">
                    <wp:posOffset>60960</wp:posOffset>
                  </wp:positionV>
                  <wp:extent cx="952500" cy="952500"/>
                  <wp:effectExtent l="0" t="0" r="0" b="0"/>
                  <wp:wrapNone/>
                  <wp:docPr id="264" name="图片_7"/>
                  <wp:cNvGraphicFramePr/>
                  <a:graphic xmlns:a="http://schemas.openxmlformats.org/drawingml/2006/main">
                    <a:graphicData uri="http://schemas.openxmlformats.org/drawingml/2006/picture">
                      <pic:pic xmlns:pic="http://schemas.openxmlformats.org/drawingml/2006/picture">
                        <pic:nvPicPr>
                          <pic:cNvPr id="264" name="图片_7"/>
                          <pic:cNvPicPr/>
                        </pic:nvPicPr>
                        <pic:blipFill>
                          <a:blip r:embed="rId181"/>
                          <a:stretch>
                            <a:fillRect/>
                          </a:stretch>
                        </pic:blipFill>
                        <pic:spPr>
                          <a:xfrm>
                            <a:off x="0" y="0"/>
                            <a:ext cx="952500" cy="952500"/>
                          </a:xfrm>
                          <a:prstGeom prst="rect">
                            <a:avLst/>
                          </a:prstGeom>
                          <a:noFill/>
                          <a:ln>
                            <a:noFill/>
                          </a:ln>
                        </pic:spPr>
                      </pic:pic>
                    </a:graphicData>
                  </a:graphic>
                </wp:anchor>
              </w:drawing>
            </w:r>
          </w:p>
        </w:tc>
        <w:tc>
          <w:tcPr>
            <w:tcW w:w="5689" w:type="dxa"/>
            <w:shd w:val="clear" w:color="auto" w:fill="auto"/>
            <w:vAlign w:val="center"/>
          </w:tcPr>
          <w:p w14:paraId="2C2D4172">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材质：PVA、水、甘油尺寸：约100g约14X21.5cm</w:t>
            </w:r>
          </w:p>
        </w:tc>
        <w:tc>
          <w:tcPr>
            <w:tcW w:w="1163" w:type="dxa"/>
            <w:shd w:val="clear" w:color="auto" w:fill="auto"/>
            <w:vAlign w:val="center"/>
          </w:tcPr>
          <w:p w14:paraId="29BF8CD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15</w:t>
            </w:r>
          </w:p>
        </w:tc>
        <w:tc>
          <w:tcPr>
            <w:tcW w:w="1164" w:type="dxa"/>
            <w:shd w:val="clear" w:color="auto" w:fill="auto"/>
            <w:vAlign w:val="center"/>
          </w:tcPr>
          <w:p w14:paraId="76D2875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6F616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734" w:type="dxa"/>
            <w:shd w:val="clear" w:color="auto" w:fill="auto"/>
            <w:vAlign w:val="center"/>
          </w:tcPr>
          <w:p w14:paraId="22317E3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71</w:t>
            </w:r>
          </w:p>
        </w:tc>
        <w:tc>
          <w:tcPr>
            <w:tcW w:w="1544" w:type="dxa"/>
            <w:shd w:val="clear" w:color="auto" w:fill="auto"/>
            <w:vAlign w:val="center"/>
          </w:tcPr>
          <w:p w14:paraId="14D7B2E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超轻黏土-绿</w:t>
            </w:r>
          </w:p>
        </w:tc>
        <w:tc>
          <w:tcPr>
            <w:tcW w:w="2489" w:type="dxa"/>
            <w:shd w:val="clear" w:color="auto" w:fill="auto"/>
            <w:noWrap/>
            <w:vAlign w:val="center"/>
          </w:tcPr>
          <w:p w14:paraId="7F878F02">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264160</wp:posOffset>
                  </wp:positionH>
                  <wp:positionV relativeFrom="paragraph">
                    <wp:posOffset>27940</wp:posOffset>
                  </wp:positionV>
                  <wp:extent cx="952500" cy="952500"/>
                  <wp:effectExtent l="0" t="0" r="0" b="0"/>
                  <wp:wrapNone/>
                  <wp:docPr id="261" name="图片_14"/>
                  <wp:cNvGraphicFramePr/>
                  <a:graphic xmlns:a="http://schemas.openxmlformats.org/drawingml/2006/main">
                    <a:graphicData uri="http://schemas.openxmlformats.org/drawingml/2006/picture">
                      <pic:pic xmlns:pic="http://schemas.openxmlformats.org/drawingml/2006/picture">
                        <pic:nvPicPr>
                          <pic:cNvPr id="261" name="图片_14"/>
                          <pic:cNvPicPr/>
                        </pic:nvPicPr>
                        <pic:blipFill>
                          <a:blip r:embed="rId182"/>
                          <a:stretch>
                            <a:fillRect/>
                          </a:stretch>
                        </pic:blipFill>
                        <pic:spPr>
                          <a:xfrm>
                            <a:off x="0" y="0"/>
                            <a:ext cx="952500" cy="952500"/>
                          </a:xfrm>
                          <a:prstGeom prst="rect">
                            <a:avLst/>
                          </a:prstGeom>
                          <a:noFill/>
                          <a:ln>
                            <a:noFill/>
                          </a:ln>
                        </pic:spPr>
                      </pic:pic>
                    </a:graphicData>
                  </a:graphic>
                </wp:anchor>
              </w:drawing>
            </w:r>
          </w:p>
        </w:tc>
        <w:tc>
          <w:tcPr>
            <w:tcW w:w="5689" w:type="dxa"/>
            <w:shd w:val="clear" w:color="auto" w:fill="auto"/>
            <w:vAlign w:val="center"/>
          </w:tcPr>
          <w:p w14:paraId="4070DBE8">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材质：PVA、水、甘油尺寸：约100g约14X21.5cm</w:t>
            </w:r>
          </w:p>
        </w:tc>
        <w:tc>
          <w:tcPr>
            <w:tcW w:w="1163" w:type="dxa"/>
            <w:shd w:val="clear" w:color="auto" w:fill="auto"/>
            <w:vAlign w:val="center"/>
          </w:tcPr>
          <w:p w14:paraId="1808EE8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15</w:t>
            </w:r>
          </w:p>
        </w:tc>
        <w:tc>
          <w:tcPr>
            <w:tcW w:w="1164" w:type="dxa"/>
            <w:shd w:val="clear" w:color="auto" w:fill="auto"/>
            <w:vAlign w:val="center"/>
          </w:tcPr>
          <w:p w14:paraId="542334E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bl>
    <w:p w14:paraId="61EB0481">
      <w:pPr>
        <w:spacing w:line="360" w:lineRule="auto"/>
        <w:jc w:val="center"/>
        <w:outlineLvl w:val="0"/>
        <w:rPr>
          <w:rFonts w:hint="eastAsia" w:ascii="宋体" w:hAnsi="宋体" w:cs="宋体"/>
          <w:b/>
          <w:color w:val="auto"/>
          <w:sz w:val="36"/>
          <w:szCs w:val="36"/>
        </w:rPr>
      </w:pPr>
    </w:p>
    <w:p w14:paraId="659B10E5">
      <w:pPr>
        <w:spacing w:line="360" w:lineRule="auto"/>
        <w:jc w:val="center"/>
        <w:outlineLvl w:val="0"/>
        <w:rPr>
          <w:rFonts w:hint="eastAsia" w:ascii="宋体" w:hAnsi="宋体" w:cs="宋体"/>
          <w:b/>
          <w:color w:val="auto"/>
          <w:sz w:val="36"/>
          <w:szCs w:val="36"/>
        </w:rPr>
      </w:pPr>
    </w:p>
    <w:p w14:paraId="3316FD14">
      <w:pPr>
        <w:spacing w:line="360" w:lineRule="auto"/>
        <w:jc w:val="center"/>
        <w:outlineLvl w:val="0"/>
        <w:rPr>
          <w:rFonts w:hint="eastAsia" w:ascii="宋体" w:hAnsi="宋体" w:cs="宋体"/>
          <w:b/>
          <w:color w:val="auto"/>
          <w:sz w:val="36"/>
          <w:szCs w:val="36"/>
        </w:rPr>
      </w:pPr>
    </w:p>
    <w:p w14:paraId="4E278184">
      <w:pPr>
        <w:spacing w:line="360" w:lineRule="auto"/>
        <w:jc w:val="center"/>
        <w:outlineLvl w:val="0"/>
        <w:rPr>
          <w:rFonts w:hint="eastAsia" w:ascii="宋体" w:hAnsi="宋体" w:cs="宋体"/>
          <w:b/>
          <w:color w:val="auto"/>
          <w:sz w:val="36"/>
          <w:szCs w:val="36"/>
        </w:rPr>
      </w:pPr>
    </w:p>
    <w:p w14:paraId="260195FE">
      <w:pPr>
        <w:spacing w:line="360" w:lineRule="auto"/>
        <w:jc w:val="center"/>
        <w:outlineLvl w:val="0"/>
        <w:rPr>
          <w:rFonts w:hint="eastAsia" w:ascii="宋体" w:hAnsi="宋体" w:cs="宋体"/>
          <w:b/>
          <w:color w:val="auto"/>
          <w:sz w:val="36"/>
          <w:szCs w:val="36"/>
        </w:rPr>
      </w:pPr>
    </w:p>
    <w:tbl>
      <w:tblPr>
        <w:tblStyle w:val="62"/>
        <w:tblW w:w="127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839"/>
        <w:gridCol w:w="1450"/>
        <w:gridCol w:w="2458"/>
        <w:gridCol w:w="5742"/>
        <w:gridCol w:w="1178"/>
        <w:gridCol w:w="1077"/>
      </w:tblGrid>
      <w:tr w14:paraId="5C1CA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80" w:hRule="atLeast"/>
          <w:jc w:val="center"/>
        </w:trPr>
        <w:tc>
          <w:tcPr>
            <w:tcW w:w="12744" w:type="dxa"/>
            <w:gridSpan w:val="6"/>
            <w:shd w:val="clear" w:color="auto" w:fill="auto"/>
            <w:noWrap/>
            <w:vAlign w:val="center"/>
          </w:tcPr>
          <w:p w14:paraId="41534703">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3、中班班级玩具</w:t>
            </w:r>
          </w:p>
        </w:tc>
      </w:tr>
      <w:tr w14:paraId="005D8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jc w:val="center"/>
        </w:trPr>
        <w:tc>
          <w:tcPr>
            <w:tcW w:w="839" w:type="dxa"/>
            <w:shd w:val="clear" w:color="auto" w:fill="auto"/>
            <w:vAlign w:val="center"/>
          </w:tcPr>
          <w:p w14:paraId="42B7F479">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序号</w:t>
            </w:r>
          </w:p>
        </w:tc>
        <w:tc>
          <w:tcPr>
            <w:tcW w:w="1450" w:type="dxa"/>
            <w:shd w:val="clear" w:color="auto" w:fill="auto"/>
            <w:vAlign w:val="center"/>
          </w:tcPr>
          <w:p w14:paraId="0998DC0B">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名称</w:t>
            </w:r>
          </w:p>
        </w:tc>
        <w:tc>
          <w:tcPr>
            <w:tcW w:w="2458" w:type="dxa"/>
            <w:shd w:val="clear" w:color="auto" w:fill="auto"/>
            <w:vAlign w:val="center"/>
          </w:tcPr>
          <w:p w14:paraId="5C40E863">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参考图片</w:t>
            </w:r>
          </w:p>
        </w:tc>
        <w:tc>
          <w:tcPr>
            <w:tcW w:w="5742" w:type="dxa"/>
            <w:shd w:val="clear" w:color="auto" w:fill="auto"/>
            <w:vAlign w:val="center"/>
          </w:tcPr>
          <w:p w14:paraId="4B3CD6A4">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参数规格</w:t>
            </w:r>
          </w:p>
        </w:tc>
        <w:tc>
          <w:tcPr>
            <w:tcW w:w="1178" w:type="dxa"/>
            <w:shd w:val="clear" w:color="auto" w:fill="auto"/>
            <w:vAlign w:val="center"/>
          </w:tcPr>
          <w:p w14:paraId="3103661E">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数量</w:t>
            </w:r>
          </w:p>
        </w:tc>
        <w:tc>
          <w:tcPr>
            <w:tcW w:w="1077" w:type="dxa"/>
            <w:shd w:val="clear" w:color="auto" w:fill="auto"/>
            <w:vAlign w:val="center"/>
          </w:tcPr>
          <w:p w14:paraId="18B8A868">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单位</w:t>
            </w:r>
          </w:p>
        </w:tc>
      </w:tr>
      <w:tr w14:paraId="5B705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5" w:hRule="atLeast"/>
          <w:jc w:val="center"/>
        </w:trPr>
        <w:tc>
          <w:tcPr>
            <w:tcW w:w="839" w:type="dxa"/>
            <w:shd w:val="clear" w:color="auto" w:fill="auto"/>
            <w:noWrap/>
            <w:vAlign w:val="center"/>
          </w:tcPr>
          <w:p w14:paraId="2D8F764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450" w:type="dxa"/>
            <w:shd w:val="clear" w:color="auto" w:fill="auto"/>
            <w:vAlign w:val="center"/>
          </w:tcPr>
          <w:p w14:paraId="4B146B2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四角简约帐篷</w:t>
            </w:r>
          </w:p>
        </w:tc>
        <w:tc>
          <w:tcPr>
            <w:tcW w:w="2458" w:type="dxa"/>
            <w:shd w:val="clear" w:color="auto" w:fill="auto"/>
            <w:noWrap/>
            <w:vAlign w:val="center"/>
          </w:tcPr>
          <w:p w14:paraId="035968F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151130</wp:posOffset>
                  </wp:positionH>
                  <wp:positionV relativeFrom="paragraph">
                    <wp:posOffset>58420</wp:posOffset>
                  </wp:positionV>
                  <wp:extent cx="1106805" cy="1012190"/>
                  <wp:effectExtent l="0" t="0" r="10795" b="3810"/>
                  <wp:wrapNone/>
                  <wp:docPr id="467" name="ID_BBF0DE4DBDE1486CB24F11DEEC5CF11F"/>
                  <wp:cNvGraphicFramePr/>
                  <a:graphic xmlns:a="http://schemas.openxmlformats.org/drawingml/2006/main">
                    <a:graphicData uri="http://schemas.openxmlformats.org/drawingml/2006/picture">
                      <pic:pic xmlns:pic="http://schemas.openxmlformats.org/drawingml/2006/picture">
                        <pic:nvPicPr>
                          <pic:cNvPr id="467" name="ID_BBF0DE4DBDE1486CB24F11DEEC5CF11F"/>
                          <pic:cNvPicPr/>
                        </pic:nvPicPr>
                        <pic:blipFill>
                          <a:blip r:embed="rId183"/>
                          <a:stretch>
                            <a:fillRect/>
                          </a:stretch>
                        </pic:blipFill>
                        <pic:spPr>
                          <a:xfrm>
                            <a:off x="0" y="0"/>
                            <a:ext cx="1106805" cy="1012190"/>
                          </a:xfrm>
                          <a:prstGeom prst="rect">
                            <a:avLst/>
                          </a:prstGeom>
                          <a:noFill/>
                          <a:ln>
                            <a:noFill/>
                          </a:ln>
                        </pic:spPr>
                      </pic:pic>
                    </a:graphicData>
                  </a:graphic>
                </wp:anchor>
              </w:drawing>
            </w:r>
          </w:p>
        </w:tc>
        <w:tc>
          <w:tcPr>
            <w:tcW w:w="5742" w:type="dxa"/>
            <w:shd w:val="clear" w:color="auto" w:fill="auto"/>
            <w:vAlign w:val="center"/>
          </w:tcPr>
          <w:p w14:paraId="2B9D1C0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规格：L120×W120×H145cm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（1）基材：采用桦木原木，材质厚实坚固，纹理均匀细致，板材甲醛释放量≤0.05mg/m3或未检出，拼接牢固，胶合强度、含水率、静曲强度、弹性模量等符合国家标准。</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（2）帆布：采用环保材质，无毒无味，甲醛释放量符合国家安全标准。</w:t>
            </w:r>
          </w:p>
        </w:tc>
        <w:tc>
          <w:tcPr>
            <w:tcW w:w="1178" w:type="dxa"/>
            <w:shd w:val="clear" w:color="auto" w:fill="auto"/>
            <w:vAlign w:val="center"/>
          </w:tcPr>
          <w:p w14:paraId="15FBC0C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077" w:type="dxa"/>
            <w:shd w:val="clear" w:color="auto" w:fill="auto"/>
            <w:noWrap/>
            <w:vAlign w:val="center"/>
          </w:tcPr>
          <w:p w14:paraId="2D024C0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个</w:t>
            </w:r>
          </w:p>
        </w:tc>
      </w:tr>
      <w:tr w14:paraId="74A14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1" w:hRule="atLeast"/>
          <w:jc w:val="center"/>
        </w:trPr>
        <w:tc>
          <w:tcPr>
            <w:tcW w:w="839" w:type="dxa"/>
            <w:shd w:val="clear" w:color="auto" w:fill="auto"/>
            <w:noWrap/>
            <w:vAlign w:val="center"/>
          </w:tcPr>
          <w:p w14:paraId="05996B1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450" w:type="dxa"/>
            <w:shd w:val="clear" w:color="auto" w:fill="auto"/>
            <w:vAlign w:val="center"/>
          </w:tcPr>
          <w:p w14:paraId="4B8BD8F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彩色拼花板</w:t>
            </w:r>
          </w:p>
        </w:tc>
        <w:tc>
          <w:tcPr>
            <w:tcW w:w="2458" w:type="dxa"/>
            <w:shd w:val="clear" w:color="auto" w:fill="auto"/>
            <w:noWrap/>
            <w:vAlign w:val="center"/>
          </w:tcPr>
          <w:p w14:paraId="61DCA29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256540</wp:posOffset>
                  </wp:positionH>
                  <wp:positionV relativeFrom="paragraph">
                    <wp:posOffset>59055</wp:posOffset>
                  </wp:positionV>
                  <wp:extent cx="864870" cy="864235"/>
                  <wp:effectExtent l="0" t="0" r="11430" b="12065"/>
                  <wp:wrapNone/>
                  <wp:docPr id="470" name="图片_457"/>
                  <wp:cNvGraphicFramePr/>
                  <a:graphic xmlns:a="http://schemas.openxmlformats.org/drawingml/2006/main">
                    <a:graphicData uri="http://schemas.openxmlformats.org/drawingml/2006/picture">
                      <pic:pic xmlns:pic="http://schemas.openxmlformats.org/drawingml/2006/picture">
                        <pic:nvPicPr>
                          <pic:cNvPr id="470" name="图片_457"/>
                          <pic:cNvPicPr/>
                        </pic:nvPicPr>
                        <pic:blipFill>
                          <a:blip r:embed="rId184"/>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3400213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边长约2.5cm、原色小菱形约2.5*0.8cm可以进行拼花板的颜色认知、分类等游戏。也可以对拼花板进行分类、组合，拼搭出平面或立体几何造型，建立几何概念。锻炼精细动作，享受创造的乐趣。</w:t>
            </w:r>
          </w:p>
        </w:tc>
        <w:tc>
          <w:tcPr>
            <w:tcW w:w="1178" w:type="dxa"/>
            <w:shd w:val="clear" w:color="auto" w:fill="auto"/>
            <w:vAlign w:val="center"/>
          </w:tcPr>
          <w:p w14:paraId="56E7A8E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077" w:type="dxa"/>
            <w:shd w:val="clear" w:color="auto" w:fill="auto"/>
            <w:vAlign w:val="center"/>
          </w:tcPr>
          <w:p w14:paraId="71D2A1E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50FD4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41" w:hRule="atLeast"/>
          <w:jc w:val="center"/>
        </w:trPr>
        <w:tc>
          <w:tcPr>
            <w:tcW w:w="839" w:type="dxa"/>
            <w:shd w:val="clear" w:color="auto" w:fill="auto"/>
            <w:noWrap/>
            <w:vAlign w:val="center"/>
          </w:tcPr>
          <w:p w14:paraId="7345369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w:t>
            </w:r>
          </w:p>
        </w:tc>
        <w:tc>
          <w:tcPr>
            <w:tcW w:w="1450" w:type="dxa"/>
            <w:shd w:val="clear" w:color="auto" w:fill="auto"/>
            <w:vAlign w:val="center"/>
          </w:tcPr>
          <w:p w14:paraId="0EC5CAD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几何穿线纽扣</w:t>
            </w:r>
          </w:p>
        </w:tc>
        <w:tc>
          <w:tcPr>
            <w:tcW w:w="2458" w:type="dxa"/>
            <w:shd w:val="clear" w:color="auto" w:fill="auto"/>
            <w:noWrap/>
            <w:vAlign w:val="center"/>
          </w:tcPr>
          <w:p w14:paraId="0C920E6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294005</wp:posOffset>
                  </wp:positionH>
                  <wp:positionV relativeFrom="paragraph">
                    <wp:posOffset>-27305</wp:posOffset>
                  </wp:positionV>
                  <wp:extent cx="949960" cy="952500"/>
                  <wp:effectExtent l="0" t="0" r="2540" b="0"/>
                  <wp:wrapNone/>
                  <wp:docPr id="468" name="图片_7"/>
                  <wp:cNvGraphicFramePr/>
                  <a:graphic xmlns:a="http://schemas.openxmlformats.org/drawingml/2006/main">
                    <a:graphicData uri="http://schemas.openxmlformats.org/drawingml/2006/picture">
                      <pic:pic xmlns:pic="http://schemas.openxmlformats.org/drawingml/2006/picture">
                        <pic:nvPicPr>
                          <pic:cNvPr id="468" name="图片_7"/>
                          <pic:cNvPicPr/>
                        </pic:nvPicPr>
                        <pic:blipFill>
                          <a:blip r:embed="rId185"/>
                          <a:stretch>
                            <a:fillRect/>
                          </a:stretch>
                        </pic:blipFill>
                        <pic:spPr>
                          <a:xfrm>
                            <a:off x="0" y="0"/>
                            <a:ext cx="949960" cy="952500"/>
                          </a:xfrm>
                          <a:prstGeom prst="rect">
                            <a:avLst/>
                          </a:prstGeom>
                          <a:noFill/>
                          <a:ln>
                            <a:noFill/>
                          </a:ln>
                        </pic:spPr>
                      </pic:pic>
                    </a:graphicData>
                  </a:graphic>
                </wp:anchor>
              </w:drawing>
            </w:r>
          </w:p>
        </w:tc>
        <w:tc>
          <w:tcPr>
            <w:tcW w:w="5742" w:type="dxa"/>
            <w:shd w:val="clear" w:color="auto" w:fill="auto"/>
            <w:vAlign w:val="center"/>
          </w:tcPr>
          <w:p w14:paraId="620B152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P尺寸：菱形约7.7×4.8×0.4cm，椭圆约4.7×3.8×4cm8个形状、6个颜色，红橙黄绿蓝紫，可以玩形状、颜色分类游戏，规律排序等游戏。也可以玩小组竞赛游戏，增加游戏的紧张感，释放幼儿情绪。还可以玩穿绳游戏，促进小手肌肉能力的发展。</w:t>
            </w:r>
          </w:p>
        </w:tc>
        <w:tc>
          <w:tcPr>
            <w:tcW w:w="1178" w:type="dxa"/>
            <w:shd w:val="clear" w:color="auto" w:fill="auto"/>
            <w:vAlign w:val="center"/>
          </w:tcPr>
          <w:p w14:paraId="7DB7B57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077" w:type="dxa"/>
            <w:shd w:val="clear" w:color="auto" w:fill="auto"/>
            <w:vAlign w:val="center"/>
          </w:tcPr>
          <w:p w14:paraId="66368B9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52293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0" w:hRule="atLeast"/>
          <w:jc w:val="center"/>
        </w:trPr>
        <w:tc>
          <w:tcPr>
            <w:tcW w:w="839" w:type="dxa"/>
            <w:shd w:val="clear" w:color="auto" w:fill="auto"/>
            <w:noWrap/>
            <w:vAlign w:val="center"/>
          </w:tcPr>
          <w:p w14:paraId="6FE1491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w:t>
            </w:r>
          </w:p>
        </w:tc>
        <w:tc>
          <w:tcPr>
            <w:tcW w:w="1450" w:type="dxa"/>
            <w:shd w:val="clear" w:color="auto" w:fill="auto"/>
            <w:vAlign w:val="center"/>
          </w:tcPr>
          <w:p w14:paraId="34B1B32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分类恐龙</w:t>
            </w:r>
          </w:p>
        </w:tc>
        <w:tc>
          <w:tcPr>
            <w:tcW w:w="2458" w:type="dxa"/>
            <w:shd w:val="clear" w:color="auto" w:fill="auto"/>
            <w:noWrap/>
            <w:vAlign w:val="center"/>
          </w:tcPr>
          <w:p w14:paraId="798D79A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864870" cy="753110"/>
                  <wp:effectExtent l="0" t="0" r="11430" b="8890"/>
                  <wp:wrapNone/>
                  <wp:docPr id="469" name="图片_459"/>
                  <wp:cNvGraphicFramePr/>
                  <a:graphic xmlns:a="http://schemas.openxmlformats.org/drawingml/2006/main">
                    <a:graphicData uri="http://schemas.openxmlformats.org/drawingml/2006/picture">
                      <pic:pic xmlns:pic="http://schemas.openxmlformats.org/drawingml/2006/picture">
                        <pic:nvPicPr>
                          <pic:cNvPr id="469" name="图片_459"/>
                          <pic:cNvPicPr/>
                        </pic:nvPicPr>
                        <pic:blipFill>
                          <a:blip r:embed="rId186"/>
                          <a:stretch>
                            <a:fillRect/>
                          </a:stretch>
                        </pic:blipFill>
                        <pic:spPr>
                          <a:xfrm>
                            <a:off x="0" y="0"/>
                            <a:ext cx="864870" cy="753110"/>
                          </a:xfrm>
                          <a:prstGeom prst="rect">
                            <a:avLst/>
                          </a:prstGeom>
                          <a:noFill/>
                          <a:ln>
                            <a:noFill/>
                          </a:ln>
                        </pic:spPr>
                      </pic:pic>
                    </a:graphicData>
                  </a:graphic>
                </wp:anchor>
              </w:drawing>
            </w:r>
          </w:p>
        </w:tc>
        <w:tc>
          <w:tcPr>
            <w:tcW w:w="5742" w:type="dxa"/>
            <w:shd w:val="clear" w:color="auto" w:fill="auto"/>
            <w:vAlign w:val="center"/>
          </w:tcPr>
          <w:p w14:paraId="00AC85F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VC尺寸：最小副栉龙约5.3×4.5cm最大剑龙约7.3×3cm内含不同种类的恐龙，小巧易握。可以对恐龙进行颜色、品种分类，帮助幼儿进行颜色、种类认知。还可以帮助幼儿进行计数、规律排序，帮助幼儿建立集合与数的概念等。</w:t>
            </w:r>
          </w:p>
        </w:tc>
        <w:tc>
          <w:tcPr>
            <w:tcW w:w="1178" w:type="dxa"/>
            <w:shd w:val="clear" w:color="auto" w:fill="auto"/>
            <w:vAlign w:val="center"/>
          </w:tcPr>
          <w:p w14:paraId="23F1E09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077" w:type="dxa"/>
            <w:shd w:val="clear" w:color="auto" w:fill="auto"/>
            <w:vAlign w:val="center"/>
          </w:tcPr>
          <w:p w14:paraId="281A637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7FB74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jc w:val="center"/>
        </w:trPr>
        <w:tc>
          <w:tcPr>
            <w:tcW w:w="839" w:type="dxa"/>
            <w:shd w:val="clear" w:color="auto" w:fill="auto"/>
            <w:noWrap/>
            <w:vAlign w:val="center"/>
          </w:tcPr>
          <w:p w14:paraId="7BE76EB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450" w:type="dxa"/>
            <w:shd w:val="clear" w:color="auto" w:fill="auto"/>
            <w:vAlign w:val="center"/>
          </w:tcPr>
          <w:p w14:paraId="29A7AE2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计数算数架-小</w:t>
            </w:r>
          </w:p>
        </w:tc>
        <w:tc>
          <w:tcPr>
            <w:tcW w:w="2458" w:type="dxa"/>
            <w:shd w:val="clear" w:color="auto" w:fill="auto"/>
            <w:noWrap/>
            <w:vAlign w:val="center"/>
          </w:tcPr>
          <w:p w14:paraId="25600D7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932815" cy="932180"/>
                  <wp:effectExtent l="0" t="0" r="6985" b="7620"/>
                  <wp:wrapNone/>
                  <wp:docPr id="472" name="图片_460"/>
                  <wp:cNvGraphicFramePr/>
                  <a:graphic xmlns:a="http://schemas.openxmlformats.org/drawingml/2006/main">
                    <a:graphicData uri="http://schemas.openxmlformats.org/drawingml/2006/picture">
                      <pic:pic xmlns:pic="http://schemas.openxmlformats.org/drawingml/2006/picture">
                        <pic:nvPicPr>
                          <pic:cNvPr id="472" name="图片_460"/>
                          <pic:cNvPicPr/>
                        </pic:nvPicPr>
                        <pic:blipFill>
                          <a:blip r:embed="rId187"/>
                          <a:stretch>
                            <a:fillRect/>
                          </a:stretch>
                        </pic:blipFill>
                        <pic:spPr>
                          <a:xfrm>
                            <a:off x="0" y="0"/>
                            <a:ext cx="932815" cy="932180"/>
                          </a:xfrm>
                          <a:prstGeom prst="rect">
                            <a:avLst/>
                          </a:prstGeom>
                          <a:noFill/>
                          <a:ln>
                            <a:noFill/>
                          </a:ln>
                        </pic:spPr>
                      </pic:pic>
                    </a:graphicData>
                  </a:graphic>
                </wp:anchor>
              </w:drawing>
            </w:r>
          </w:p>
        </w:tc>
        <w:tc>
          <w:tcPr>
            <w:tcW w:w="5742" w:type="dxa"/>
            <w:shd w:val="clear" w:color="auto" w:fill="auto"/>
            <w:vAlign w:val="center"/>
          </w:tcPr>
          <w:p w14:paraId="035EC1D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材质：木制尺寸：约30×7.5×31.5cm内含算数架1件。通过手指的摆弄，手脑并用，帮助幼儿辨别颜色。进行10以内的加减运算，认识数量，培养初步的数学概念。</w:t>
            </w:r>
          </w:p>
        </w:tc>
        <w:tc>
          <w:tcPr>
            <w:tcW w:w="1178" w:type="dxa"/>
            <w:shd w:val="clear" w:color="auto" w:fill="auto"/>
            <w:vAlign w:val="center"/>
          </w:tcPr>
          <w:p w14:paraId="1C7AEB7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077" w:type="dxa"/>
            <w:shd w:val="clear" w:color="auto" w:fill="auto"/>
            <w:vAlign w:val="center"/>
          </w:tcPr>
          <w:p w14:paraId="7113D79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276E3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jc w:val="center"/>
        </w:trPr>
        <w:tc>
          <w:tcPr>
            <w:tcW w:w="839" w:type="dxa"/>
            <w:shd w:val="clear" w:color="auto" w:fill="auto"/>
            <w:noWrap/>
            <w:vAlign w:val="center"/>
          </w:tcPr>
          <w:p w14:paraId="1A04422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w:t>
            </w:r>
          </w:p>
        </w:tc>
        <w:tc>
          <w:tcPr>
            <w:tcW w:w="1450" w:type="dxa"/>
            <w:shd w:val="clear" w:color="auto" w:fill="auto"/>
            <w:vAlign w:val="center"/>
          </w:tcPr>
          <w:p w14:paraId="5A300D4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四子棋</w:t>
            </w:r>
          </w:p>
        </w:tc>
        <w:tc>
          <w:tcPr>
            <w:tcW w:w="2458" w:type="dxa"/>
            <w:shd w:val="clear" w:color="auto" w:fill="auto"/>
            <w:noWrap/>
            <w:vAlign w:val="center"/>
          </w:tcPr>
          <w:p w14:paraId="6A3D085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864870" cy="864235"/>
                  <wp:effectExtent l="0" t="0" r="11430" b="12065"/>
                  <wp:wrapNone/>
                  <wp:docPr id="465" name="图片_461"/>
                  <wp:cNvGraphicFramePr/>
                  <a:graphic xmlns:a="http://schemas.openxmlformats.org/drawingml/2006/main">
                    <a:graphicData uri="http://schemas.openxmlformats.org/drawingml/2006/picture">
                      <pic:pic xmlns:pic="http://schemas.openxmlformats.org/drawingml/2006/picture">
                        <pic:nvPicPr>
                          <pic:cNvPr id="465" name="图片_461"/>
                          <pic:cNvPicPr/>
                        </pic:nvPicPr>
                        <pic:blipFill>
                          <a:blip r:embed="rId188"/>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4ABB880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塑料尺寸：棋子直径约2.6CM,厚度约5MM棋盘尺寸约21×18.5×18.5cm内含红棋子、黑棋子各22件和组装棋盘。四子棋采用立体垂直棋盘设计，培养幼儿空间维度感。双向滑盖设计，可轻松收纳与游戏，培养幼儿逐步形成有序整理、收纳的好习惯。</w:t>
            </w:r>
          </w:p>
        </w:tc>
        <w:tc>
          <w:tcPr>
            <w:tcW w:w="1178" w:type="dxa"/>
            <w:shd w:val="clear" w:color="auto" w:fill="auto"/>
            <w:vAlign w:val="center"/>
          </w:tcPr>
          <w:p w14:paraId="0D25AAB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077" w:type="dxa"/>
            <w:shd w:val="clear" w:color="auto" w:fill="auto"/>
            <w:vAlign w:val="center"/>
          </w:tcPr>
          <w:p w14:paraId="1638C15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432C1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9" w:hRule="atLeast"/>
          <w:jc w:val="center"/>
        </w:trPr>
        <w:tc>
          <w:tcPr>
            <w:tcW w:w="839" w:type="dxa"/>
            <w:shd w:val="clear" w:color="auto" w:fill="auto"/>
            <w:noWrap/>
            <w:vAlign w:val="center"/>
          </w:tcPr>
          <w:p w14:paraId="1110224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7</w:t>
            </w:r>
          </w:p>
        </w:tc>
        <w:tc>
          <w:tcPr>
            <w:tcW w:w="1450" w:type="dxa"/>
            <w:shd w:val="clear" w:color="auto" w:fill="auto"/>
            <w:vAlign w:val="center"/>
          </w:tcPr>
          <w:p w14:paraId="58D4520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计数野生动物</w:t>
            </w:r>
          </w:p>
        </w:tc>
        <w:tc>
          <w:tcPr>
            <w:tcW w:w="2458" w:type="dxa"/>
            <w:shd w:val="clear" w:color="auto" w:fill="auto"/>
            <w:noWrap/>
            <w:vAlign w:val="center"/>
          </w:tcPr>
          <w:p w14:paraId="5A647CC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267970</wp:posOffset>
                  </wp:positionH>
                  <wp:positionV relativeFrom="paragraph">
                    <wp:posOffset>72390</wp:posOffset>
                  </wp:positionV>
                  <wp:extent cx="881380" cy="864235"/>
                  <wp:effectExtent l="0" t="0" r="7620" b="12065"/>
                  <wp:wrapNone/>
                  <wp:docPr id="464" name="图片_462"/>
                  <wp:cNvGraphicFramePr/>
                  <a:graphic xmlns:a="http://schemas.openxmlformats.org/drawingml/2006/main">
                    <a:graphicData uri="http://schemas.openxmlformats.org/drawingml/2006/picture">
                      <pic:pic xmlns:pic="http://schemas.openxmlformats.org/drawingml/2006/picture">
                        <pic:nvPicPr>
                          <pic:cNvPr id="464" name="图片_462"/>
                          <pic:cNvPicPr/>
                        </pic:nvPicPr>
                        <pic:blipFill>
                          <a:blip r:embed="rId189"/>
                          <a:stretch>
                            <a:fillRect/>
                          </a:stretch>
                        </pic:blipFill>
                        <pic:spPr>
                          <a:xfrm>
                            <a:off x="0" y="0"/>
                            <a:ext cx="881380" cy="864235"/>
                          </a:xfrm>
                          <a:prstGeom prst="rect">
                            <a:avLst/>
                          </a:prstGeom>
                          <a:noFill/>
                          <a:ln>
                            <a:noFill/>
                          </a:ln>
                        </pic:spPr>
                      </pic:pic>
                    </a:graphicData>
                  </a:graphic>
                </wp:anchor>
              </w:drawing>
            </w:r>
          </w:p>
        </w:tc>
        <w:tc>
          <w:tcPr>
            <w:tcW w:w="5742" w:type="dxa"/>
            <w:shd w:val="clear" w:color="auto" w:fill="auto"/>
            <w:vAlign w:val="center"/>
          </w:tcPr>
          <w:p w14:paraId="1976056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VC尺寸：最大狮子约7.3×3.7cm，最小黑猩猩约3.7×3.5cm内含造型逼真的野生动物组，可供幼儿学习计数、排序、对应、分类等学习活动，帮助幼儿建立数的初步概念，让幼儿对野生动物的外形、生活特征有一定认识。</w:t>
            </w:r>
          </w:p>
        </w:tc>
        <w:tc>
          <w:tcPr>
            <w:tcW w:w="1178" w:type="dxa"/>
            <w:shd w:val="clear" w:color="auto" w:fill="auto"/>
            <w:vAlign w:val="center"/>
          </w:tcPr>
          <w:p w14:paraId="5F687ED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077" w:type="dxa"/>
            <w:shd w:val="clear" w:color="auto" w:fill="auto"/>
            <w:vAlign w:val="center"/>
          </w:tcPr>
          <w:p w14:paraId="7756E4F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05BF7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600" w:hRule="atLeast"/>
          <w:jc w:val="center"/>
        </w:trPr>
        <w:tc>
          <w:tcPr>
            <w:tcW w:w="839" w:type="dxa"/>
            <w:shd w:val="clear" w:color="auto" w:fill="auto"/>
            <w:noWrap/>
            <w:vAlign w:val="center"/>
          </w:tcPr>
          <w:p w14:paraId="52BCEBF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8</w:t>
            </w:r>
          </w:p>
        </w:tc>
        <w:tc>
          <w:tcPr>
            <w:tcW w:w="1450" w:type="dxa"/>
            <w:shd w:val="clear" w:color="auto" w:fill="auto"/>
            <w:vAlign w:val="center"/>
          </w:tcPr>
          <w:p w14:paraId="369F25E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单面创意磁珠板</w:t>
            </w:r>
          </w:p>
        </w:tc>
        <w:tc>
          <w:tcPr>
            <w:tcW w:w="2458" w:type="dxa"/>
            <w:shd w:val="clear" w:color="auto" w:fill="auto"/>
            <w:noWrap/>
            <w:vAlign w:val="center"/>
          </w:tcPr>
          <w:p w14:paraId="61A46BA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864870" cy="864235"/>
                  <wp:effectExtent l="0" t="0" r="11430" b="12065"/>
                  <wp:wrapNone/>
                  <wp:docPr id="471" name="图片_463"/>
                  <wp:cNvGraphicFramePr/>
                  <a:graphic xmlns:a="http://schemas.openxmlformats.org/drawingml/2006/main">
                    <a:graphicData uri="http://schemas.openxmlformats.org/drawingml/2006/picture">
                      <pic:pic xmlns:pic="http://schemas.openxmlformats.org/drawingml/2006/picture">
                        <pic:nvPicPr>
                          <pic:cNvPr id="471" name="图片_463"/>
                          <pic:cNvPicPr/>
                        </pic:nvPicPr>
                        <pic:blipFill>
                          <a:blip r:embed="rId190"/>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3ABCC2A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材质：ABS塑胶、钢球、磁铁、纸制尺寸：约31.5×25.5×1.6cm内含磁珠板1个、磁性笔1支（含笔绳）、折页1张。图形和数字，你想写什么？在磁珠板上发挥你的想象力，描述你的创意吧。</w:t>
            </w:r>
          </w:p>
        </w:tc>
        <w:tc>
          <w:tcPr>
            <w:tcW w:w="1178" w:type="dxa"/>
            <w:shd w:val="clear" w:color="auto" w:fill="auto"/>
            <w:vAlign w:val="center"/>
          </w:tcPr>
          <w:p w14:paraId="545F3D0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077" w:type="dxa"/>
            <w:shd w:val="clear" w:color="auto" w:fill="auto"/>
            <w:vAlign w:val="center"/>
          </w:tcPr>
          <w:p w14:paraId="0047D84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75964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600" w:hRule="atLeast"/>
          <w:jc w:val="center"/>
        </w:trPr>
        <w:tc>
          <w:tcPr>
            <w:tcW w:w="839" w:type="dxa"/>
            <w:shd w:val="clear" w:color="auto" w:fill="auto"/>
            <w:noWrap/>
            <w:vAlign w:val="center"/>
          </w:tcPr>
          <w:p w14:paraId="568D786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9</w:t>
            </w:r>
          </w:p>
        </w:tc>
        <w:tc>
          <w:tcPr>
            <w:tcW w:w="1450" w:type="dxa"/>
            <w:shd w:val="clear" w:color="auto" w:fill="auto"/>
            <w:vAlign w:val="center"/>
          </w:tcPr>
          <w:p w14:paraId="4DA9583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迷你积木</w:t>
            </w:r>
          </w:p>
        </w:tc>
        <w:tc>
          <w:tcPr>
            <w:tcW w:w="2458" w:type="dxa"/>
            <w:shd w:val="clear" w:color="auto" w:fill="auto"/>
            <w:noWrap/>
            <w:vAlign w:val="center"/>
          </w:tcPr>
          <w:p w14:paraId="34AC0A7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284480</wp:posOffset>
                  </wp:positionH>
                  <wp:positionV relativeFrom="paragraph">
                    <wp:posOffset>64770</wp:posOffset>
                  </wp:positionV>
                  <wp:extent cx="970915" cy="794385"/>
                  <wp:effectExtent l="0" t="0" r="6985" b="5715"/>
                  <wp:wrapNone/>
                  <wp:docPr id="466" name="图片_464"/>
                  <wp:cNvGraphicFramePr/>
                  <a:graphic xmlns:a="http://schemas.openxmlformats.org/drawingml/2006/main">
                    <a:graphicData uri="http://schemas.openxmlformats.org/drawingml/2006/picture">
                      <pic:pic xmlns:pic="http://schemas.openxmlformats.org/drawingml/2006/picture">
                        <pic:nvPicPr>
                          <pic:cNvPr id="466" name="图片_464"/>
                          <pic:cNvPicPr/>
                        </pic:nvPicPr>
                        <pic:blipFill>
                          <a:blip r:embed="rId191"/>
                          <a:stretch>
                            <a:fillRect/>
                          </a:stretch>
                        </pic:blipFill>
                        <pic:spPr>
                          <a:xfrm>
                            <a:off x="0" y="0"/>
                            <a:ext cx="970915" cy="794385"/>
                          </a:xfrm>
                          <a:prstGeom prst="rect">
                            <a:avLst/>
                          </a:prstGeom>
                          <a:noFill/>
                          <a:ln>
                            <a:noFill/>
                          </a:ln>
                        </pic:spPr>
                      </pic:pic>
                    </a:graphicData>
                  </a:graphic>
                </wp:anchor>
              </w:drawing>
            </w:r>
          </w:p>
        </w:tc>
        <w:tc>
          <w:tcPr>
            <w:tcW w:w="5742" w:type="dxa"/>
            <w:shd w:val="clear" w:color="auto" w:fill="auto"/>
            <w:vAlign w:val="center"/>
          </w:tcPr>
          <w:p w14:paraId="44BC246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材质：榉木</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原木色大小、形状不同的积木，纹理清晰、质地均匀，搭配操作卡，能提高幼儿对形状的认知能力。还可以搭建城堡、动物、大桥等各种造型，一物多玩，造型各异，丰富幼儿的创作能力。</w:t>
            </w:r>
          </w:p>
        </w:tc>
        <w:tc>
          <w:tcPr>
            <w:tcW w:w="1178" w:type="dxa"/>
            <w:shd w:val="clear" w:color="auto" w:fill="auto"/>
            <w:vAlign w:val="center"/>
          </w:tcPr>
          <w:p w14:paraId="317E2F6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077" w:type="dxa"/>
            <w:shd w:val="clear" w:color="auto" w:fill="auto"/>
            <w:vAlign w:val="center"/>
          </w:tcPr>
          <w:p w14:paraId="1E0E4B4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7761D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600" w:hRule="atLeast"/>
          <w:jc w:val="center"/>
        </w:trPr>
        <w:tc>
          <w:tcPr>
            <w:tcW w:w="839" w:type="dxa"/>
            <w:shd w:val="clear" w:color="auto" w:fill="auto"/>
            <w:noWrap/>
            <w:vAlign w:val="center"/>
          </w:tcPr>
          <w:p w14:paraId="7FEA2EC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10</w:t>
            </w:r>
          </w:p>
        </w:tc>
        <w:tc>
          <w:tcPr>
            <w:tcW w:w="1450" w:type="dxa"/>
            <w:shd w:val="clear" w:color="auto" w:fill="auto"/>
            <w:vAlign w:val="center"/>
          </w:tcPr>
          <w:p w14:paraId="6F84ED7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创意磁性积木</w:t>
            </w:r>
          </w:p>
        </w:tc>
        <w:tc>
          <w:tcPr>
            <w:tcW w:w="2458" w:type="dxa"/>
            <w:shd w:val="clear" w:color="auto" w:fill="auto"/>
            <w:noWrap/>
            <w:vAlign w:val="center"/>
          </w:tcPr>
          <w:p w14:paraId="7373A17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236220</wp:posOffset>
                  </wp:positionH>
                  <wp:positionV relativeFrom="paragraph">
                    <wp:posOffset>269240</wp:posOffset>
                  </wp:positionV>
                  <wp:extent cx="923290" cy="465455"/>
                  <wp:effectExtent l="0" t="0" r="3810" b="4445"/>
                  <wp:wrapNone/>
                  <wp:docPr id="418" name="图片_901"/>
                  <wp:cNvGraphicFramePr/>
                  <a:graphic xmlns:a="http://schemas.openxmlformats.org/drawingml/2006/main">
                    <a:graphicData uri="http://schemas.openxmlformats.org/drawingml/2006/picture">
                      <pic:pic xmlns:pic="http://schemas.openxmlformats.org/drawingml/2006/picture">
                        <pic:nvPicPr>
                          <pic:cNvPr id="418" name="图片_901"/>
                          <pic:cNvPicPr/>
                        </pic:nvPicPr>
                        <pic:blipFill>
                          <a:blip r:embed="rId192"/>
                          <a:stretch>
                            <a:fillRect/>
                          </a:stretch>
                        </pic:blipFill>
                        <pic:spPr>
                          <a:xfrm>
                            <a:off x="0" y="0"/>
                            <a:ext cx="923290" cy="465455"/>
                          </a:xfrm>
                          <a:prstGeom prst="rect">
                            <a:avLst/>
                          </a:prstGeom>
                          <a:noFill/>
                          <a:ln>
                            <a:noFill/>
                          </a:ln>
                        </pic:spPr>
                      </pic:pic>
                    </a:graphicData>
                  </a:graphic>
                </wp:anchor>
              </w:drawing>
            </w:r>
          </w:p>
        </w:tc>
        <w:tc>
          <w:tcPr>
            <w:tcW w:w="5742" w:type="dxa"/>
            <w:shd w:val="clear" w:color="auto" w:fill="auto"/>
            <w:vAlign w:val="center"/>
          </w:tcPr>
          <w:p w14:paraId="2AEFFD1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材质：山毛榉、磁铁尺寸：积木23×17×7.5cm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五颜六色的磁性积木，有不同的形状和大小，每块积木都可以任意连接，让创意与想象无处不在。初步感知磁铁的吸附原理。内赠操作卡。</w:t>
            </w:r>
          </w:p>
        </w:tc>
        <w:tc>
          <w:tcPr>
            <w:tcW w:w="1178" w:type="dxa"/>
            <w:shd w:val="clear" w:color="auto" w:fill="auto"/>
            <w:vAlign w:val="center"/>
          </w:tcPr>
          <w:p w14:paraId="053E4CB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077" w:type="dxa"/>
            <w:shd w:val="clear" w:color="auto" w:fill="auto"/>
            <w:vAlign w:val="center"/>
          </w:tcPr>
          <w:p w14:paraId="37F4660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35B3E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240" w:hRule="atLeast"/>
          <w:jc w:val="center"/>
        </w:trPr>
        <w:tc>
          <w:tcPr>
            <w:tcW w:w="839" w:type="dxa"/>
            <w:shd w:val="clear" w:color="auto" w:fill="auto"/>
            <w:noWrap/>
            <w:vAlign w:val="center"/>
          </w:tcPr>
          <w:p w14:paraId="39E0085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11</w:t>
            </w:r>
          </w:p>
        </w:tc>
        <w:tc>
          <w:tcPr>
            <w:tcW w:w="1450" w:type="dxa"/>
            <w:shd w:val="clear" w:color="auto" w:fill="auto"/>
            <w:vAlign w:val="center"/>
          </w:tcPr>
          <w:p w14:paraId="47B179B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小小工程师</w:t>
            </w:r>
          </w:p>
        </w:tc>
        <w:tc>
          <w:tcPr>
            <w:tcW w:w="2458" w:type="dxa"/>
            <w:shd w:val="clear" w:color="auto" w:fill="auto"/>
            <w:noWrap/>
            <w:vAlign w:val="center"/>
          </w:tcPr>
          <w:p w14:paraId="15A45DF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358140</wp:posOffset>
                  </wp:positionH>
                  <wp:positionV relativeFrom="paragraph">
                    <wp:posOffset>208280</wp:posOffset>
                  </wp:positionV>
                  <wp:extent cx="666750" cy="666750"/>
                  <wp:effectExtent l="0" t="0" r="6350" b="6350"/>
                  <wp:wrapNone/>
                  <wp:docPr id="438" name="图片_902"/>
                  <wp:cNvGraphicFramePr/>
                  <a:graphic xmlns:a="http://schemas.openxmlformats.org/drawingml/2006/main">
                    <a:graphicData uri="http://schemas.openxmlformats.org/drawingml/2006/picture">
                      <pic:pic xmlns:pic="http://schemas.openxmlformats.org/drawingml/2006/picture">
                        <pic:nvPicPr>
                          <pic:cNvPr id="438" name="图片_902"/>
                          <pic:cNvPicPr/>
                        </pic:nvPicPr>
                        <pic:blipFill>
                          <a:blip r:embed="rId193"/>
                          <a:stretch>
                            <a:fillRect/>
                          </a:stretch>
                        </pic:blipFill>
                        <pic:spPr>
                          <a:xfrm>
                            <a:off x="0" y="0"/>
                            <a:ext cx="666750" cy="666750"/>
                          </a:xfrm>
                          <a:prstGeom prst="rect">
                            <a:avLst/>
                          </a:prstGeom>
                          <a:noFill/>
                          <a:ln>
                            <a:noFill/>
                          </a:ln>
                        </pic:spPr>
                      </pic:pic>
                    </a:graphicData>
                  </a:graphic>
                </wp:anchor>
              </w:drawing>
            </w:r>
          </w:p>
        </w:tc>
        <w:tc>
          <w:tcPr>
            <w:tcW w:w="5742" w:type="dxa"/>
            <w:shd w:val="clear" w:color="auto" w:fill="auto"/>
            <w:vAlign w:val="center"/>
          </w:tcPr>
          <w:p w14:paraId="2D9A8A0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材质：ABS尺寸：约48×11.5×36cm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跑车、摩托车、飞机全部可以拆分为单个配件,同时可以通过电钻与螺丝刀进行组装起来。组装好的三款交通工具都可以摆放在平面上而不会倾倒,车轮转动时，摩托车会发出”嗒嗒“声，飞机的风叶会转动，趣味十足。小小工程师，通过旋拧建构，锻炼幼儿小手肌肉与创造能力。</w:t>
            </w:r>
          </w:p>
        </w:tc>
        <w:tc>
          <w:tcPr>
            <w:tcW w:w="1178" w:type="dxa"/>
            <w:shd w:val="clear" w:color="auto" w:fill="auto"/>
            <w:vAlign w:val="center"/>
          </w:tcPr>
          <w:p w14:paraId="461F787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077" w:type="dxa"/>
            <w:shd w:val="clear" w:color="auto" w:fill="auto"/>
            <w:vAlign w:val="center"/>
          </w:tcPr>
          <w:p w14:paraId="594C133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6AEE8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839" w:type="dxa"/>
            <w:shd w:val="clear" w:color="auto" w:fill="auto"/>
            <w:noWrap/>
            <w:vAlign w:val="center"/>
          </w:tcPr>
          <w:p w14:paraId="2468C94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12</w:t>
            </w:r>
          </w:p>
        </w:tc>
        <w:tc>
          <w:tcPr>
            <w:tcW w:w="1450" w:type="dxa"/>
            <w:shd w:val="clear" w:color="auto" w:fill="auto"/>
            <w:vAlign w:val="center"/>
          </w:tcPr>
          <w:p w14:paraId="5E976DA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半球太阳花</w:t>
            </w:r>
          </w:p>
        </w:tc>
        <w:tc>
          <w:tcPr>
            <w:tcW w:w="2458" w:type="dxa"/>
            <w:shd w:val="clear" w:color="auto" w:fill="auto"/>
            <w:noWrap/>
            <w:vAlign w:val="center"/>
          </w:tcPr>
          <w:p w14:paraId="2388558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864870" cy="864235"/>
                  <wp:effectExtent l="0" t="0" r="11430" b="12065"/>
                  <wp:wrapNone/>
                  <wp:docPr id="432" name="图片_465"/>
                  <wp:cNvGraphicFramePr/>
                  <a:graphic xmlns:a="http://schemas.openxmlformats.org/drawingml/2006/main">
                    <a:graphicData uri="http://schemas.openxmlformats.org/drawingml/2006/picture">
                      <pic:pic xmlns:pic="http://schemas.openxmlformats.org/drawingml/2006/picture">
                        <pic:nvPicPr>
                          <pic:cNvPr id="432" name="图片_465"/>
                          <pic:cNvPicPr/>
                        </pic:nvPicPr>
                        <pic:blipFill>
                          <a:blip r:embed="rId194"/>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17F1C7B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材质：PP尺寸：最长约6.5cm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每盒150件。红×25、黄×25、蓝×25、绿×25、紫×25、橘×25（5种类型每个颜色每种类型各5个）。色彩斑斓的太阳花，既可以计数、颜色认知和分类，还可以创造多种可爱的造型，鼓励幼儿开动脑筋，发挥想象力。</w:t>
            </w:r>
          </w:p>
        </w:tc>
        <w:tc>
          <w:tcPr>
            <w:tcW w:w="1178" w:type="dxa"/>
            <w:shd w:val="clear" w:color="auto" w:fill="auto"/>
            <w:vAlign w:val="center"/>
          </w:tcPr>
          <w:p w14:paraId="4555CD1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077" w:type="dxa"/>
            <w:shd w:val="clear" w:color="auto" w:fill="auto"/>
            <w:vAlign w:val="center"/>
          </w:tcPr>
          <w:p w14:paraId="704B6AA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724FA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600" w:hRule="atLeast"/>
          <w:jc w:val="center"/>
        </w:trPr>
        <w:tc>
          <w:tcPr>
            <w:tcW w:w="839" w:type="dxa"/>
            <w:shd w:val="clear" w:color="auto" w:fill="auto"/>
            <w:noWrap/>
            <w:vAlign w:val="center"/>
          </w:tcPr>
          <w:p w14:paraId="0408F5F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13</w:t>
            </w:r>
          </w:p>
        </w:tc>
        <w:tc>
          <w:tcPr>
            <w:tcW w:w="1450" w:type="dxa"/>
            <w:shd w:val="clear" w:color="auto" w:fill="auto"/>
            <w:vAlign w:val="center"/>
          </w:tcPr>
          <w:p w14:paraId="7587034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大圆孔八角片</w:t>
            </w:r>
          </w:p>
        </w:tc>
        <w:tc>
          <w:tcPr>
            <w:tcW w:w="2458" w:type="dxa"/>
            <w:shd w:val="clear" w:color="auto" w:fill="auto"/>
            <w:noWrap/>
            <w:vAlign w:val="center"/>
          </w:tcPr>
          <w:p w14:paraId="5C1D81A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864870" cy="864235"/>
                  <wp:effectExtent l="0" t="0" r="11430" b="12065"/>
                  <wp:wrapNone/>
                  <wp:docPr id="426" name="图片_466"/>
                  <wp:cNvGraphicFramePr/>
                  <a:graphic xmlns:a="http://schemas.openxmlformats.org/drawingml/2006/main">
                    <a:graphicData uri="http://schemas.openxmlformats.org/drawingml/2006/picture">
                      <pic:pic xmlns:pic="http://schemas.openxmlformats.org/drawingml/2006/picture">
                        <pic:nvPicPr>
                          <pic:cNvPr id="426" name="图片_466"/>
                          <pic:cNvPicPr/>
                        </pic:nvPicPr>
                        <pic:blipFill>
                          <a:blip r:embed="rId195"/>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7C5F864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材质：PP尺寸：单件直径约6.5cm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红、黄、蓝、绿、紫、橘各28个。颜色多样，可制作不同的作品，锻炼幼儿动手能力与想象力。</w:t>
            </w:r>
          </w:p>
        </w:tc>
        <w:tc>
          <w:tcPr>
            <w:tcW w:w="1178" w:type="dxa"/>
            <w:shd w:val="clear" w:color="auto" w:fill="auto"/>
            <w:vAlign w:val="center"/>
          </w:tcPr>
          <w:p w14:paraId="67364E0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077" w:type="dxa"/>
            <w:shd w:val="clear" w:color="auto" w:fill="auto"/>
            <w:vAlign w:val="center"/>
          </w:tcPr>
          <w:p w14:paraId="42CC7D6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03CF4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600" w:hRule="atLeast"/>
          <w:jc w:val="center"/>
        </w:trPr>
        <w:tc>
          <w:tcPr>
            <w:tcW w:w="839" w:type="dxa"/>
            <w:shd w:val="clear" w:color="auto" w:fill="auto"/>
            <w:noWrap/>
            <w:vAlign w:val="center"/>
          </w:tcPr>
          <w:p w14:paraId="5EE5A6E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14</w:t>
            </w:r>
          </w:p>
        </w:tc>
        <w:tc>
          <w:tcPr>
            <w:tcW w:w="1450" w:type="dxa"/>
            <w:shd w:val="clear" w:color="auto" w:fill="auto"/>
            <w:vAlign w:val="center"/>
          </w:tcPr>
          <w:p w14:paraId="0BEF3C1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子弹积木</w:t>
            </w:r>
          </w:p>
        </w:tc>
        <w:tc>
          <w:tcPr>
            <w:tcW w:w="2458" w:type="dxa"/>
            <w:shd w:val="clear" w:color="auto" w:fill="auto"/>
            <w:noWrap/>
            <w:vAlign w:val="center"/>
          </w:tcPr>
          <w:p w14:paraId="08D66D3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864870" cy="864235"/>
                  <wp:effectExtent l="0" t="0" r="11430" b="12065"/>
                  <wp:wrapNone/>
                  <wp:docPr id="420" name="图片_467"/>
                  <wp:cNvGraphicFramePr/>
                  <a:graphic xmlns:a="http://schemas.openxmlformats.org/drawingml/2006/main">
                    <a:graphicData uri="http://schemas.openxmlformats.org/drawingml/2006/picture">
                      <pic:pic xmlns:pic="http://schemas.openxmlformats.org/drawingml/2006/picture">
                        <pic:nvPicPr>
                          <pic:cNvPr id="420" name="图片_467"/>
                          <pic:cNvPicPr/>
                        </pic:nvPicPr>
                        <pic:blipFill>
                          <a:blip r:embed="rId196"/>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679F464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材质：PP最大单件尺寸约：约5x4.5cm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每盒120件，红、黄、蓝、绿、紫、橘各20个。利用子弹积木，可以制作一架飞向太空的火箭。锻炼小手灵活性，培养幼儿探索的精神。</w:t>
            </w:r>
          </w:p>
        </w:tc>
        <w:tc>
          <w:tcPr>
            <w:tcW w:w="1178" w:type="dxa"/>
            <w:shd w:val="clear" w:color="auto" w:fill="auto"/>
            <w:vAlign w:val="center"/>
          </w:tcPr>
          <w:p w14:paraId="0DBB79D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077" w:type="dxa"/>
            <w:shd w:val="clear" w:color="auto" w:fill="auto"/>
            <w:vAlign w:val="center"/>
          </w:tcPr>
          <w:p w14:paraId="6A182F8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3E835B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2" w:hRule="atLeast"/>
          <w:jc w:val="center"/>
        </w:trPr>
        <w:tc>
          <w:tcPr>
            <w:tcW w:w="839" w:type="dxa"/>
            <w:shd w:val="clear" w:color="auto" w:fill="auto"/>
            <w:noWrap/>
            <w:vAlign w:val="center"/>
          </w:tcPr>
          <w:p w14:paraId="1DB2EBE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15</w:t>
            </w:r>
          </w:p>
        </w:tc>
        <w:tc>
          <w:tcPr>
            <w:tcW w:w="1450" w:type="dxa"/>
            <w:shd w:val="clear" w:color="auto" w:fill="auto"/>
            <w:vAlign w:val="center"/>
          </w:tcPr>
          <w:p w14:paraId="4610586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毛毛虫积木</w:t>
            </w:r>
          </w:p>
        </w:tc>
        <w:tc>
          <w:tcPr>
            <w:tcW w:w="2458" w:type="dxa"/>
            <w:shd w:val="clear" w:color="auto" w:fill="auto"/>
            <w:noWrap/>
            <w:vAlign w:val="center"/>
          </w:tcPr>
          <w:p w14:paraId="2622A20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864870" cy="864235"/>
                  <wp:effectExtent l="0" t="0" r="11430" b="12065"/>
                  <wp:wrapNone/>
                  <wp:docPr id="435" name="图片_469"/>
                  <wp:cNvGraphicFramePr/>
                  <a:graphic xmlns:a="http://schemas.openxmlformats.org/drawingml/2006/main">
                    <a:graphicData uri="http://schemas.openxmlformats.org/drawingml/2006/picture">
                      <pic:pic xmlns:pic="http://schemas.openxmlformats.org/drawingml/2006/picture">
                        <pic:nvPicPr>
                          <pic:cNvPr id="435" name="图片_469"/>
                          <pic:cNvPicPr/>
                        </pic:nvPicPr>
                        <pic:blipFill>
                          <a:blip r:embed="rId197"/>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41C17FE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材质：PP尺寸：最长约11×4cm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红、黄、蓝、绿，各22个，黑20个。酷似毛毛虫的小积木，可以搭建变化多样的造型，操作简便，锻炼幼儿小手肌肉，发展幼儿想象力。</w:t>
            </w:r>
          </w:p>
        </w:tc>
        <w:tc>
          <w:tcPr>
            <w:tcW w:w="1178" w:type="dxa"/>
            <w:shd w:val="clear" w:color="auto" w:fill="auto"/>
            <w:vAlign w:val="center"/>
          </w:tcPr>
          <w:p w14:paraId="2437816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077" w:type="dxa"/>
            <w:shd w:val="clear" w:color="auto" w:fill="auto"/>
            <w:vAlign w:val="center"/>
          </w:tcPr>
          <w:p w14:paraId="7AB3FAF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511AB0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6" w:hRule="atLeast"/>
          <w:jc w:val="center"/>
        </w:trPr>
        <w:tc>
          <w:tcPr>
            <w:tcW w:w="839" w:type="dxa"/>
            <w:shd w:val="clear" w:color="auto" w:fill="auto"/>
            <w:noWrap/>
            <w:vAlign w:val="center"/>
          </w:tcPr>
          <w:p w14:paraId="42583B1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16</w:t>
            </w:r>
          </w:p>
        </w:tc>
        <w:tc>
          <w:tcPr>
            <w:tcW w:w="1450" w:type="dxa"/>
            <w:shd w:val="clear" w:color="auto" w:fill="auto"/>
            <w:vAlign w:val="center"/>
          </w:tcPr>
          <w:p w14:paraId="62ED80F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声音探索器</w:t>
            </w:r>
          </w:p>
        </w:tc>
        <w:tc>
          <w:tcPr>
            <w:tcW w:w="2458" w:type="dxa"/>
            <w:shd w:val="clear" w:color="auto" w:fill="auto"/>
            <w:noWrap/>
            <w:vAlign w:val="center"/>
          </w:tcPr>
          <w:p w14:paraId="6661B25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255905</wp:posOffset>
                  </wp:positionH>
                  <wp:positionV relativeFrom="paragraph">
                    <wp:posOffset>-203835</wp:posOffset>
                  </wp:positionV>
                  <wp:extent cx="864870" cy="864235"/>
                  <wp:effectExtent l="0" t="0" r="11430" b="12065"/>
                  <wp:wrapNone/>
                  <wp:docPr id="436" name="图片_470"/>
                  <wp:cNvGraphicFramePr/>
                  <a:graphic xmlns:a="http://schemas.openxmlformats.org/drawingml/2006/main">
                    <a:graphicData uri="http://schemas.openxmlformats.org/drawingml/2006/picture">
                      <pic:pic xmlns:pic="http://schemas.openxmlformats.org/drawingml/2006/picture">
                        <pic:nvPicPr>
                          <pic:cNvPr id="436" name="图片_470"/>
                          <pic:cNvPicPr/>
                        </pic:nvPicPr>
                        <pic:blipFill>
                          <a:blip r:embed="rId198"/>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05B1325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材质：PE,ABS,PVC</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尺寸：23×12×10cm，每个长约9cm</w:t>
            </w:r>
          </w:p>
        </w:tc>
        <w:tc>
          <w:tcPr>
            <w:tcW w:w="1178" w:type="dxa"/>
            <w:shd w:val="clear" w:color="auto" w:fill="auto"/>
            <w:vAlign w:val="center"/>
          </w:tcPr>
          <w:p w14:paraId="7882F49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077" w:type="dxa"/>
            <w:shd w:val="clear" w:color="auto" w:fill="auto"/>
            <w:vAlign w:val="center"/>
          </w:tcPr>
          <w:p w14:paraId="56CCDB4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5D7138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3" w:hRule="atLeast"/>
          <w:jc w:val="center"/>
        </w:trPr>
        <w:tc>
          <w:tcPr>
            <w:tcW w:w="839" w:type="dxa"/>
            <w:shd w:val="clear" w:color="auto" w:fill="auto"/>
            <w:noWrap/>
            <w:vAlign w:val="center"/>
          </w:tcPr>
          <w:p w14:paraId="5C7C6C3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17</w:t>
            </w:r>
          </w:p>
        </w:tc>
        <w:tc>
          <w:tcPr>
            <w:tcW w:w="1450" w:type="dxa"/>
            <w:shd w:val="clear" w:color="auto" w:fill="auto"/>
            <w:vAlign w:val="center"/>
          </w:tcPr>
          <w:p w14:paraId="42218A4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手持变色片</w:t>
            </w:r>
          </w:p>
        </w:tc>
        <w:tc>
          <w:tcPr>
            <w:tcW w:w="2458" w:type="dxa"/>
            <w:shd w:val="clear" w:color="auto" w:fill="auto"/>
            <w:noWrap/>
            <w:vAlign w:val="center"/>
          </w:tcPr>
          <w:p w14:paraId="1C8724C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248285</wp:posOffset>
                  </wp:positionH>
                  <wp:positionV relativeFrom="paragraph">
                    <wp:posOffset>15240</wp:posOffset>
                  </wp:positionV>
                  <wp:extent cx="864870" cy="864235"/>
                  <wp:effectExtent l="0" t="0" r="11430" b="12065"/>
                  <wp:wrapNone/>
                  <wp:docPr id="424" name="图片_471"/>
                  <wp:cNvGraphicFramePr/>
                  <a:graphic xmlns:a="http://schemas.openxmlformats.org/drawingml/2006/main">
                    <a:graphicData uri="http://schemas.openxmlformats.org/drawingml/2006/picture">
                      <pic:pic xmlns:pic="http://schemas.openxmlformats.org/drawingml/2006/picture">
                        <pic:nvPicPr>
                          <pic:cNvPr id="424" name="图片_471"/>
                          <pic:cNvPicPr/>
                        </pic:nvPicPr>
                        <pic:blipFill>
                          <a:blip r:embed="rId199"/>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7C42121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材质：ABS</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尺寸：约镜面直径11.5cm，加手柄总长23cm</w:t>
            </w:r>
          </w:p>
        </w:tc>
        <w:tc>
          <w:tcPr>
            <w:tcW w:w="1178" w:type="dxa"/>
            <w:shd w:val="clear" w:color="auto" w:fill="auto"/>
            <w:vAlign w:val="center"/>
          </w:tcPr>
          <w:p w14:paraId="6A8E886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077" w:type="dxa"/>
            <w:shd w:val="clear" w:color="auto" w:fill="auto"/>
            <w:vAlign w:val="center"/>
          </w:tcPr>
          <w:p w14:paraId="0D523E8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094B8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489" w:hRule="atLeast"/>
          <w:jc w:val="center"/>
        </w:trPr>
        <w:tc>
          <w:tcPr>
            <w:tcW w:w="839" w:type="dxa"/>
            <w:shd w:val="clear" w:color="auto" w:fill="auto"/>
            <w:noWrap/>
            <w:vAlign w:val="center"/>
          </w:tcPr>
          <w:p w14:paraId="24CAB4A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18</w:t>
            </w:r>
          </w:p>
        </w:tc>
        <w:tc>
          <w:tcPr>
            <w:tcW w:w="1450" w:type="dxa"/>
            <w:shd w:val="clear" w:color="auto" w:fill="auto"/>
            <w:vAlign w:val="center"/>
          </w:tcPr>
          <w:p w14:paraId="4EEEA51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行星投影仪</w:t>
            </w:r>
          </w:p>
        </w:tc>
        <w:tc>
          <w:tcPr>
            <w:tcW w:w="2458" w:type="dxa"/>
            <w:shd w:val="clear" w:color="auto" w:fill="auto"/>
            <w:noWrap/>
            <w:vAlign w:val="center"/>
          </w:tcPr>
          <w:p w14:paraId="3891CE7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269240</wp:posOffset>
                  </wp:positionH>
                  <wp:positionV relativeFrom="paragraph">
                    <wp:posOffset>71120</wp:posOffset>
                  </wp:positionV>
                  <wp:extent cx="864870" cy="864235"/>
                  <wp:effectExtent l="0" t="0" r="11430" b="12065"/>
                  <wp:wrapNone/>
                  <wp:docPr id="444" name="图片_472"/>
                  <wp:cNvGraphicFramePr/>
                  <a:graphic xmlns:a="http://schemas.openxmlformats.org/drawingml/2006/main">
                    <a:graphicData uri="http://schemas.openxmlformats.org/drawingml/2006/picture">
                      <pic:pic xmlns:pic="http://schemas.openxmlformats.org/drawingml/2006/picture">
                        <pic:nvPicPr>
                          <pic:cNvPr id="444" name="图片_472"/>
                          <pic:cNvPicPr/>
                        </pic:nvPicPr>
                        <pic:blipFill>
                          <a:blip r:embed="rId200"/>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4384D23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材质：ABS、PET、PMMA、聚乙烯投影：投影</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仪高约18cm</w:t>
            </w:r>
          </w:p>
        </w:tc>
        <w:tc>
          <w:tcPr>
            <w:tcW w:w="1178" w:type="dxa"/>
            <w:shd w:val="clear" w:color="auto" w:fill="auto"/>
            <w:vAlign w:val="center"/>
          </w:tcPr>
          <w:p w14:paraId="65163E7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077" w:type="dxa"/>
            <w:shd w:val="clear" w:color="auto" w:fill="auto"/>
            <w:vAlign w:val="center"/>
          </w:tcPr>
          <w:p w14:paraId="6F35EF5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121DC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8" w:hRule="atLeast"/>
          <w:jc w:val="center"/>
        </w:trPr>
        <w:tc>
          <w:tcPr>
            <w:tcW w:w="839" w:type="dxa"/>
            <w:shd w:val="clear" w:color="auto" w:fill="auto"/>
            <w:noWrap/>
            <w:vAlign w:val="center"/>
          </w:tcPr>
          <w:p w14:paraId="02E62A3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19</w:t>
            </w:r>
          </w:p>
        </w:tc>
        <w:tc>
          <w:tcPr>
            <w:tcW w:w="1450" w:type="dxa"/>
            <w:shd w:val="clear" w:color="auto" w:fill="auto"/>
            <w:vAlign w:val="center"/>
          </w:tcPr>
          <w:p w14:paraId="0E6BE52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看谁跑得快</w:t>
            </w:r>
          </w:p>
        </w:tc>
        <w:tc>
          <w:tcPr>
            <w:tcW w:w="2458" w:type="dxa"/>
            <w:shd w:val="clear" w:color="auto" w:fill="auto"/>
            <w:noWrap/>
            <w:vAlign w:val="center"/>
          </w:tcPr>
          <w:p w14:paraId="3977446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227965</wp:posOffset>
                  </wp:positionH>
                  <wp:positionV relativeFrom="paragraph">
                    <wp:posOffset>-78740</wp:posOffset>
                  </wp:positionV>
                  <wp:extent cx="864870" cy="864235"/>
                  <wp:effectExtent l="0" t="0" r="11430" b="12065"/>
                  <wp:wrapNone/>
                  <wp:docPr id="422" name="图片_473"/>
                  <wp:cNvGraphicFramePr/>
                  <a:graphic xmlns:a="http://schemas.openxmlformats.org/drawingml/2006/main">
                    <a:graphicData uri="http://schemas.openxmlformats.org/drawingml/2006/picture">
                      <pic:pic xmlns:pic="http://schemas.openxmlformats.org/drawingml/2006/picture">
                        <pic:nvPicPr>
                          <pic:cNvPr id="422" name="图片_473"/>
                          <pic:cNvPicPr/>
                        </pic:nvPicPr>
                        <pic:blipFill>
                          <a:blip r:embed="rId201"/>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10B34BA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材质：ABS、木板尺寸：斜坡长度约40.6cm，每条车道宽约9cm</w:t>
            </w:r>
          </w:p>
        </w:tc>
        <w:tc>
          <w:tcPr>
            <w:tcW w:w="1178" w:type="dxa"/>
            <w:shd w:val="clear" w:color="auto" w:fill="auto"/>
            <w:vAlign w:val="center"/>
          </w:tcPr>
          <w:p w14:paraId="549C1D0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077" w:type="dxa"/>
            <w:shd w:val="clear" w:color="auto" w:fill="auto"/>
            <w:vAlign w:val="center"/>
          </w:tcPr>
          <w:p w14:paraId="67C766F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7ADDB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839" w:type="dxa"/>
            <w:shd w:val="clear" w:color="auto" w:fill="auto"/>
            <w:noWrap/>
            <w:vAlign w:val="center"/>
          </w:tcPr>
          <w:p w14:paraId="65E96DD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20</w:t>
            </w:r>
          </w:p>
        </w:tc>
        <w:tc>
          <w:tcPr>
            <w:tcW w:w="1450" w:type="dxa"/>
            <w:shd w:val="clear" w:color="auto" w:fill="auto"/>
            <w:vAlign w:val="center"/>
          </w:tcPr>
          <w:p w14:paraId="0CC747E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沉浮游戏</w:t>
            </w:r>
          </w:p>
        </w:tc>
        <w:tc>
          <w:tcPr>
            <w:tcW w:w="2458" w:type="dxa"/>
            <w:shd w:val="clear" w:color="auto" w:fill="auto"/>
            <w:noWrap/>
            <w:vAlign w:val="center"/>
          </w:tcPr>
          <w:p w14:paraId="127C317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864235"/>
                  <wp:effectExtent l="0" t="0" r="11430" b="12065"/>
                  <wp:wrapNone/>
                  <wp:docPr id="437" name="图片_474"/>
                  <wp:cNvGraphicFramePr/>
                  <a:graphic xmlns:a="http://schemas.openxmlformats.org/drawingml/2006/main">
                    <a:graphicData uri="http://schemas.openxmlformats.org/drawingml/2006/picture">
                      <pic:pic xmlns:pic="http://schemas.openxmlformats.org/drawingml/2006/picture">
                        <pic:nvPicPr>
                          <pic:cNvPr id="437" name="图片_474"/>
                          <pic:cNvPicPr/>
                        </pic:nvPicPr>
                        <pic:blipFill>
                          <a:blip r:embed="rId202"/>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01C6667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材质：聚丙烯尺寸：储存罐高约16.5cm</w:t>
            </w:r>
          </w:p>
        </w:tc>
        <w:tc>
          <w:tcPr>
            <w:tcW w:w="1178" w:type="dxa"/>
            <w:shd w:val="clear" w:color="auto" w:fill="auto"/>
            <w:vAlign w:val="center"/>
          </w:tcPr>
          <w:p w14:paraId="240FE17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w:t>
            </w:r>
          </w:p>
        </w:tc>
        <w:tc>
          <w:tcPr>
            <w:tcW w:w="1077" w:type="dxa"/>
            <w:shd w:val="clear" w:color="auto" w:fill="auto"/>
            <w:vAlign w:val="center"/>
          </w:tcPr>
          <w:p w14:paraId="45B6FAA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0A787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839" w:type="dxa"/>
            <w:shd w:val="clear" w:color="auto" w:fill="auto"/>
            <w:noWrap/>
            <w:vAlign w:val="center"/>
          </w:tcPr>
          <w:p w14:paraId="3C19AD0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21</w:t>
            </w:r>
          </w:p>
        </w:tc>
        <w:tc>
          <w:tcPr>
            <w:tcW w:w="1450" w:type="dxa"/>
            <w:shd w:val="clear" w:color="auto" w:fill="auto"/>
            <w:vAlign w:val="center"/>
          </w:tcPr>
          <w:p w14:paraId="1AA8DBD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磁铁吸吸吸</w:t>
            </w:r>
          </w:p>
        </w:tc>
        <w:tc>
          <w:tcPr>
            <w:tcW w:w="2458" w:type="dxa"/>
            <w:shd w:val="clear" w:color="auto" w:fill="auto"/>
            <w:noWrap/>
            <w:vAlign w:val="center"/>
          </w:tcPr>
          <w:p w14:paraId="671B8FA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864235"/>
                  <wp:effectExtent l="0" t="0" r="11430" b="12065"/>
                  <wp:wrapNone/>
                  <wp:docPr id="427" name="图片_475"/>
                  <wp:cNvGraphicFramePr/>
                  <a:graphic xmlns:a="http://schemas.openxmlformats.org/drawingml/2006/main">
                    <a:graphicData uri="http://schemas.openxmlformats.org/drawingml/2006/picture">
                      <pic:pic xmlns:pic="http://schemas.openxmlformats.org/drawingml/2006/picture">
                        <pic:nvPicPr>
                          <pic:cNvPr id="427" name="图片_475"/>
                          <pic:cNvPicPr/>
                        </pic:nvPicPr>
                        <pic:blipFill>
                          <a:blip r:embed="rId203"/>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06D439A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材质：磁铁</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尺寸：马蹄形磁铁尺寸约12×11.4cm</w:t>
            </w:r>
          </w:p>
        </w:tc>
        <w:tc>
          <w:tcPr>
            <w:tcW w:w="1178" w:type="dxa"/>
            <w:shd w:val="clear" w:color="auto" w:fill="auto"/>
            <w:vAlign w:val="center"/>
          </w:tcPr>
          <w:p w14:paraId="33B6F4B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w:t>
            </w:r>
          </w:p>
        </w:tc>
        <w:tc>
          <w:tcPr>
            <w:tcW w:w="1077" w:type="dxa"/>
            <w:shd w:val="clear" w:color="auto" w:fill="auto"/>
            <w:vAlign w:val="center"/>
          </w:tcPr>
          <w:p w14:paraId="7F0DAFA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09AF1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600" w:hRule="atLeast"/>
          <w:jc w:val="center"/>
        </w:trPr>
        <w:tc>
          <w:tcPr>
            <w:tcW w:w="839" w:type="dxa"/>
            <w:shd w:val="clear" w:color="auto" w:fill="auto"/>
            <w:noWrap/>
            <w:vAlign w:val="center"/>
          </w:tcPr>
          <w:p w14:paraId="2DA7659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22</w:t>
            </w:r>
          </w:p>
        </w:tc>
        <w:tc>
          <w:tcPr>
            <w:tcW w:w="1450" w:type="dxa"/>
            <w:shd w:val="clear" w:color="auto" w:fill="auto"/>
            <w:vAlign w:val="center"/>
          </w:tcPr>
          <w:p w14:paraId="4143EBC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魔法磁力秀</w:t>
            </w:r>
          </w:p>
        </w:tc>
        <w:tc>
          <w:tcPr>
            <w:tcW w:w="2458" w:type="dxa"/>
            <w:shd w:val="clear" w:color="auto" w:fill="auto"/>
            <w:noWrap/>
            <w:vAlign w:val="center"/>
          </w:tcPr>
          <w:p w14:paraId="29C2A9C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864235"/>
                  <wp:effectExtent l="0" t="0" r="11430" b="12065"/>
                  <wp:wrapNone/>
                  <wp:docPr id="421" name="图片_476"/>
                  <wp:cNvGraphicFramePr/>
                  <a:graphic xmlns:a="http://schemas.openxmlformats.org/drawingml/2006/main">
                    <a:graphicData uri="http://schemas.openxmlformats.org/drawingml/2006/picture">
                      <pic:pic xmlns:pic="http://schemas.openxmlformats.org/drawingml/2006/picture">
                        <pic:nvPicPr>
                          <pic:cNvPr id="421" name="图片_476"/>
                          <pic:cNvPicPr/>
                        </pic:nvPicPr>
                        <pic:blipFill>
                          <a:blip r:embed="rId204"/>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007C41D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材质：ABS、SB、磁铁尺寸：立架约16cm</w:t>
            </w:r>
          </w:p>
        </w:tc>
        <w:tc>
          <w:tcPr>
            <w:tcW w:w="1178" w:type="dxa"/>
            <w:shd w:val="clear" w:color="auto" w:fill="auto"/>
            <w:vAlign w:val="center"/>
          </w:tcPr>
          <w:p w14:paraId="0D43BA0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077" w:type="dxa"/>
            <w:shd w:val="clear" w:color="auto" w:fill="auto"/>
            <w:vAlign w:val="center"/>
          </w:tcPr>
          <w:p w14:paraId="706F028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38985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839" w:type="dxa"/>
            <w:shd w:val="clear" w:color="auto" w:fill="auto"/>
            <w:noWrap/>
            <w:vAlign w:val="center"/>
          </w:tcPr>
          <w:p w14:paraId="712A513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23</w:t>
            </w:r>
          </w:p>
        </w:tc>
        <w:tc>
          <w:tcPr>
            <w:tcW w:w="1450" w:type="dxa"/>
            <w:shd w:val="clear" w:color="auto" w:fill="auto"/>
            <w:vAlign w:val="center"/>
          </w:tcPr>
          <w:p w14:paraId="02554AF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人体器官挂袋</w:t>
            </w:r>
          </w:p>
        </w:tc>
        <w:tc>
          <w:tcPr>
            <w:tcW w:w="2458" w:type="dxa"/>
            <w:shd w:val="clear" w:color="auto" w:fill="auto"/>
            <w:noWrap/>
            <w:vAlign w:val="center"/>
          </w:tcPr>
          <w:p w14:paraId="7B31A18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864235"/>
                  <wp:effectExtent l="0" t="0" r="11430" b="12065"/>
                  <wp:wrapNone/>
                  <wp:docPr id="449" name="图片_477"/>
                  <wp:cNvGraphicFramePr/>
                  <a:graphic xmlns:a="http://schemas.openxmlformats.org/drawingml/2006/main">
                    <a:graphicData uri="http://schemas.openxmlformats.org/drawingml/2006/picture">
                      <pic:pic xmlns:pic="http://schemas.openxmlformats.org/drawingml/2006/picture">
                        <pic:nvPicPr>
                          <pic:cNvPr id="449" name="图片_477"/>
                          <pic:cNvPicPr/>
                        </pic:nvPicPr>
                        <pic:blipFill>
                          <a:blip r:embed="rId205"/>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7ABE18E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材质：棉聚酯混纺布、绒布、不织布、充填棉</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尺寸：约70×50cm</w:t>
            </w:r>
          </w:p>
        </w:tc>
        <w:tc>
          <w:tcPr>
            <w:tcW w:w="1178" w:type="dxa"/>
            <w:shd w:val="clear" w:color="auto" w:fill="auto"/>
            <w:vAlign w:val="center"/>
          </w:tcPr>
          <w:p w14:paraId="01FC8BF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077" w:type="dxa"/>
            <w:shd w:val="clear" w:color="auto" w:fill="auto"/>
            <w:vAlign w:val="center"/>
          </w:tcPr>
          <w:p w14:paraId="74F90F7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44ED02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00" w:hRule="atLeast"/>
          <w:jc w:val="center"/>
        </w:trPr>
        <w:tc>
          <w:tcPr>
            <w:tcW w:w="839" w:type="dxa"/>
            <w:shd w:val="clear" w:color="auto" w:fill="auto"/>
            <w:noWrap/>
            <w:vAlign w:val="center"/>
          </w:tcPr>
          <w:p w14:paraId="6F1213F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24</w:t>
            </w:r>
          </w:p>
        </w:tc>
        <w:tc>
          <w:tcPr>
            <w:tcW w:w="1450" w:type="dxa"/>
            <w:shd w:val="clear" w:color="auto" w:fill="auto"/>
            <w:vAlign w:val="center"/>
          </w:tcPr>
          <w:p w14:paraId="205B4B6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医生急救箱</w:t>
            </w:r>
          </w:p>
        </w:tc>
        <w:tc>
          <w:tcPr>
            <w:tcW w:w="2458" w:type="dxa"/>
            <w:shd w:val="clear" w:color="auto" w:fill="auto"/>
            <w:noWrap/>
            <w:vAlign w:val="center"/>
          </w:tcPr>
          <w:p w14:paraId="60DF7B1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864870" cy="864235"/>
                  <wp:effectExtent l="0" t="0" r="11430" b="12065"/>
                  <wp:wrapNone/>
                  <wp:docPr id="419" name="图片_478"/>
                  <wp:cNvGraphicFramePr/>
                  <a:graphic xmlns:a="http://schemas.openxmlformats.org/drawingml/2006/main">
                    <a:graphicData uri="http://schemas.openxmlformats.org/drawingml/2006/picture">
                      <pic:pic xmlns:pic="http://schemas.openxmlformats.org/drawingml/2006/picture">
                        <pic:nvPicPr>
                          <pic:cNvPr id="419" name="图片_478"/>
                          <pic:cNvPicPr/>
                        </pic:nvPicPr>
                        <pic:blipFill>
                          <a:blip r:embed="rId206"/>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35EBF1A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材质：ABS尺寸：约17×46.5cm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内含1个听诊器、1把剪刀、1把钳子、1个药瓶、1个温度计、1把镊子、1把手术刀、1个牙镜、1个针筒、1副眼镜、1个耳镜及1个医药箱。温度计中的刻罗盘可以360°任意转动。针筒柄在一定力度的作用下可以下压，松开后自动弹起。丰富的材料可以帮助幼儿模仿医生工作，了解医生这一职业，也能让扮演情境更丰富。</w:t>
            </w:r>
          </w:p>
        </w:tc>
        <w:tc>
          <w:tcPr>
            <w:tcW w:w="1178" w:type="dxa"/>
            <w:shd w:val="clear" w:color="auto" w:fill="auto"/>
            <w:vAlign w:val="center"/>
          </w:tcPr>
          <w:p w14:paraId="03FCFE9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077" w:type="dxa"/>
            <w:shd w:val="clear" w:color="auto" w:fill="auto"/>
            <w:vAlign w:val="center"/>
          </w:tcPr>
          <w:p w14:paraId="190FDAC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3ABC9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839" w:type="dxa"/>
            <w:shd w:val="clear" w:color="auto" w:fill="auto"/>
            <w:noWrap/>
            <w:vAlign w:val="center"/>
          </w:tcPr>
          <w:p w14:paraId="049C462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25</w:t>
            </w:r>
          </w:p>
        </w:tc>
        <w:tc>
          <w:tcPr>
            <w:tcW w:w="1450" w:type="dxa"/>
            <w:shd w:val="clear" w:color="auto" w:fill="auto"/>
            <w:vAlign w:val="center"/>
          </w:tcPr>
          <w:p w14:paraId="711F318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茶壶8件套彩盒装</w:t>
            </w:r>
          </w:p>
        </w:tc>
        <w:tc>
          <w:tcPr>
            <w:tcW w:w="2458" w:type="dxa"/>
            <w:shd w:val="clear" w:color="auto" w:fill="auto"/>
            <w:noWrap/>
            <w:vAlign w:val="center"/>
          </w:tcPr>
          <w:p w14:paraId="58230ED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864870" cy="864235"/>
                  <wp:effectExtent l="0" t="0" r="11430" b="12065"/>
                  <wp:wrapNone/>
                  <wp:docPr id="447" name="图片_481"/>
                  <wp:cNvGraphicFramePr/>
                  <a:graphic xmlns:a="http://schemas.openxmlformats.org/drawingml/2006/main">
                    <a:graphicData uri="http://schemas.openxmlformats.org/drawingml/2006/picture">
                      <pic:pic xmlns:pic="http://schemas.openxmlformats.org/drawingml/2006/picture">
                        <pic:nvPicPr>
                          <pic:cNvPr id="447" name="图片_481"/>
                          <pic:cNvPicPr/>
                        </pic:nvPicPr>
                        <pic:blipFill>
                          <a:blip r:embed="rId207"/>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50F0408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材质：PP尺寸：茶壶约17×11×12cm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茶壶8件套彩盒装。泡壶花茶，邀请小朋友一起来品尝，学习招待客人的礼节。</w:t>
            </w:r>
          </w:p>
        </w:tc>
        <w:tc>
          <w:tcPr>
            <w:tcW w:w="1178" w:type="dxa"/>
            <w:shd w:val="clear" w:color="auto" w:fill="auto"/>
            <w:vAlign w:val="center"/>
          </w:tcPr>
          <w:p w14:paraId="50E7EBF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077" w:type="dxa"/>
            <w:shd w:val="clear" w:color="auto" w:fill="auto"/>
            <w:vAlign w:val="center"/>
          </w:tcPr>
          <w:p w14:paraId="40B841F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5FB618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00" w:hRule="atLeast"/>
          <w:jc w:val="center"/>
        </w:trPr>
        <w:tc>
          <w:tcPr>
            <w:tcW w:w="839" w:type="dxa"/>
            <w:shd w:val="clear" w:color="auto" w:fill="auto"/>
            <w:noWrap/>
            <w:vAlign w:val="center"/>
          </w:tcPr>
          <w:p w14:paraId="0A7142B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26</w:t>
            </w:r>
          </w:p>
        </w:tc>
        <w:tc>
          <w:tcPr>
            <w:tcW w:w="1450" w:type="dxa"/>
            <w:shd w:val="clear" w:color="auto" w:fill="auto"/>
            <w:vAlign w:val="center"/>
          </w:tcPr>
          <w:p w14:paraId="2C55B72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科学建筑坡道游戏</w:t>
            </w:r>
          </w:p>
        </w:tc>
        <w:tc>
          <w:tcPr>
            <w:tcW w:w="2458" w:type="dxa"/>
            <w:shd w:val="clear" w:color="auto" w:fill="auto"/>
            <w:noWrap/>
            <w:vAlign w:val="center"/>
          </w:tcPr>
          <w:p w14:paraId="7A43BD6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864870" cy="864235"/>
                  <wp:effectExtent l="0" t="0" r="11430" b="12065"/>
                  <wp:wrapNone/>
                  <wp:docPr id="448" name="图片_482"/>
                  <wp:cNvGraphicFramePr/>
                  <a:graphic xmlns:a="http://schemas.openxmlformats.org/drawingml/2006/main">
                    <a:graphicData uri="http://schemas.openxmlformats.org/drawingml/2006/picture">
                      <pic:pic xmlns:pic="http://schemas.openxmlformats.org/drawingml/2006/picture">
                        <pic:nvPicPr>
                          <pic:cNvPr id="448" name="图片_482"/>
                          <pic:cNvPicPr/>
                        </pic:nvPicPr>
                        <pic:blipFill>
                          <a:blip r:embed="rId208"/>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71D6A8F1">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材质：塑料,内含：工程建筑设计- 坡道x43,包括37件基于真实世界的建筑材料，如大梁、平台、圆锥体等。附送滑板手、滑板、5张卡片和一张贴纸，卡片立架x1、活动卡x8、坡道x2、手推车x2、木块x6、迷你高尔夫板x1、球x2、发射器x1、目标垫x1、昆虫x9.</w:t>
            </w:r>
          </w:p>
        </w:tc>
        <w:tc>
          <w:tcPr>
            <w:tcW w:w="1178" w:type="dxa"/>
            <w:shd w:val="clear" w:color="auto" w:fill="auto"/>
            <w:vAlign w:val="center"/>
          </w:tcPr>
          <w:p w14:paraId="1B88D4F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077" w:type="dxa"/>
            <w:shd w:val="clear" w:color="auto" w:fill="auto"/>
            <w:vAlign w:val="center"/>
          </w:tcPr>
          <w:p w14:paraId="29FD6C2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0FB49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0" w:hRule="atLeast"/>
          <w:jc w:val="center"/>
        </w:trPr>
        <w:tc>
          <w:tcPr>
            <w:tcW w:w="839" w:type="dxa"/>
            <w:shd w:val="clear" w:color="auto" w:fill="auto"/>
            <w:noWrap/>
            <w:vAlign w:val="center"/>
          </w:tcPr>
          <w:p w14:paraId="7E33CB0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27</w:t>
            </w:r>
          </w:p>
        </w:tc>
        <w:tc>
          <w:tcPr>
            <w:tcW w:w="1450" w:type="dxa"/>
            <w:shd w:val="clear" w:color="auto" w:fill="auto"/>
            <w:vAlign w:val="center"/>
          </w:tcPr>
          <w:p w14:paraId="682A5EC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我的工程包</w:t>
            </w:r>
          </w:p>
        </w:tc>
        <w:tc>
          <w:tcPr>
            <w:tcW w:w="2458" w:type="dxa"/>
            <w:shd w:val="clear" w:color="auto" w:fill="auto"/>
            <w:noWrap/>
            <w:vAlign w:val="center"/>
          </w:tcPr>
          <w:p w14:paraId="50FD5DB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864870" cy="864235"/>
                  <wp:effectExtent l="0" t="0" r="11430" b="12065"/>
                  <wp:wrapNone/>
                  <wp:docPr id="446" name="图片_483"/>
                  <wp:cNvGraphicFramePr/>
                  <a:graphic xmlns:a="http://schemas.openxmlformats.org/drawingml/2006/main">
                    <a:graphicData uri="http://schemas.openxmlformats.org/drawingml/2006/picture">
                      <pic:pic xmlns:pic="http://schemas.openxmlformats.org/drawingml/2006/picture">
                        <pic:nvPicPr>
                          <pic:cNvPr id="446" name="图片_483"/>
                          <pic:cNvPicPr/>
                        </pic:nvPicPr>
                        <pic:blipFill>
                          <a:blip r:embed="rId209"/>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08681AC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榉木卡片尺寸：约20.3×20.3cm内含100块木板游戏材料和15张双面示例图卡。通过不同的建构技能，将木板材料进行组合，搭建出迷你飞机、床、桥梁，让幼儿从简单的火车轨道到高耸的摩天大楼的创建过程中，提升建构技能，获得解决问题的经验，并能进行大胆尝试。</w:t>
            </w:r>
          </w:p>
        </w:tc>
        <w:tc>
          <w:tcPr>
            <w:tcW w:w="1178" w:type="dxa"/>
            <w:shd w:val="clear" w:color="auto" w:fill="auto"/>
            <w:vAlign w:val="center"/>
          </w:tcPr>
          <w:p w14:paraId="6C83EC7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077" w:type="dxa"/>
            <w:shd w:val="clear" w:color="auto" w:fill="auto"/>
            <w:vAlign w:val="center"/>
          </w:tcPr>
          <w:p w14:paraId="178C8FE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1A3F5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0" w:hRule="atLeast"/>
          <w:jc w:val="center"/>
        </w:trPr>
        <w:tc>
          <w:tcPr>
            <w:tcW w:w="839" w:type="dxa"/>
            <w:shd w:val="clear" w:color="auto" w:fill="auto"/>
            <w:noWrap/>
            <w:vAlign w:val="center"/>
          </w:tcPr>
          <w:p w14:paraId="169D026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28</w:t>
            </w:r>
          </w:p>
        </w:tc>
        <w:tc>
          <w:tcPr>
            <w:tcW w:w="1450" w:type="dxa"/>
            <w:shd w:val="clear" w:color="auto" w:fill="auto"/>
            <w:vAlign w:val="center"/>
          </w:tcPr>
          <w:p w14:paraId="2977A15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机器人障碍游戏组</w:t>
            </w:r>
          </w:p>
        </w:tc>
        <w:tc>
          <w:tcPr>
            <w:tcW w:w="2458" w:type="dxa"/>
            <w:shd w:val="clear" w:color="auto" w:fill="auto"/>
            <w:noWrap/>
            <w:vAlign w:val="center"/>
          </w:tcPr>
          <w:p w14:paraId="394DCC3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317500</wp:posOffset>
                  </wp:positionH>
                  <wp:positionV relativeFrom="paragraph">
                    <wp:posOffset>161925</wp:posOffset>
                  </wp:positionV>
                  <wp:extent cx="860425" cy="629920"/>
                  <wp:effectExtent l="0" t="0" r="3175" b="5080"/>
                  <wp:wrapNone/>
                  <wp:docPr id="439" name="图片_485"/>
                  <wp:cNvGraphicFramePr/>
                  <a:graphic xmlns:a="http://schemas.openxmlformats.org/drawingml/2006/main">
                    <a:graphicData uri="http://schemas.openxmlformats.org/drawingml/2006/picture">
                      <pic:pic xmlns:pic="http://schemas.openxmlformats.org/drawingml/2006/picture">
                        <pic:nvPicPr>
                          <pic:cNvPr id="439" name="图片_485"/>
                          <pic:cNvPicPr/>
                        </pic:nvPicPr>
                        <pic:blipFill>
                          <a:blip r:embed="rId210"/>
                          <a:stretch>
                            <a:fillRect/>
                          </a:stretch>
                        </pic:blipFill>
                        <pic:spPr>
                          <a:xfrm>
                            <a:off x="0" y="0"/>
                            <a:ext cx="860425" cy="629920"/>
                          </a:xfrm>
                          <a:prstGeom prst="rect">
                            <a:avLst/>
                          </a:prstGeom>
                          <a:noFill/>
                          <a:ln>
                            <a:noFill/>
                          </a:ln>
                        </pic:spPr>
                      </pic:pic>
                    </a:graphicData>
                  </a:graphic>
                </wp:anchor>
              </w:drawing>
            </w:r>
          </w:p>
        </w:tc>
        <w:tc>
          <w:tcPr>
            <w:tcW w:w="5742" w:type="dxa"/>
            <w:shd w:val="clear" w:color="auto" w:fill="auto"/>
            <w:vAlign w:val="center"/>
          </w:tcPr>
          <w:p w14:paraId="16BE32D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ABS、PP、TPE、TPR尺寸：约22.9×23.1×15.5cm配置：远程编程器x1、可拆卸机械臂x1、编码卡x40、双面瓷砖x6、障碍积木x27、入门指南x1聪明的机器人要挑战并冲破障碍，前进、越野，最终到达城堡。通过游戏，使幼儿轻松获得批判性思维。本商品不需要手机或平板电脑就可以让机器人完成任务：机器人内含远程编程器。</w:t>
            </w:r>
          </w:p>
        </w:tc>
        <w:tc>
          <w:tcPr>
            <w:tcW w:w="1178" w:type="dxa"/>
            <w:shd w:val="clear" w:color="auto" w:fill="auto"/>
            <w:vAlign w:val="center"/>
          </w:tcPr>
          <w:p w14:paraId="54F6218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077" w:type="dxa"/>
            <w:shd w:val="clear" w:color="auto" w:fill="auto"/>
            <w:vAlign w:val="center"/>
          </w:tcPr>
          <w:p w14:paraId="5B3D856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6F12EB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0" w:hRule="atLeast"/>
          <w:jc w:val="center"/>
        </w:trPr>
        <w:tc>
          <w:tcPr>
            <w:tcW w:w="839" w:type="dxa"/>
            <w:shd w:val="clear" w:color="auto" w:fill="auto"/>
            <w:noWrap/>
            <w:vAlign w:val="center"/>
          </w:tcPr>
          <w:p w14:paraId="300A374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29</w:t>
            </w:r>
          </w:p>
        </w:tc>
        <w:tc>
          <w:tcPr>
            <w:tcW w:w="1450" w:type="dxa"/>
            <w:shd w:val="clear" w:color="auto" w:fill="auto"/>
            <w:vAlign w:val="center"/>
          </w:tcPr>
          <w:p w14:paraId="1CD1468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打击乐器9件组</w:t>
            </w:r>
          </w:p>
        </w:tc>
        <w:tc>
          <w:tcPr>
            <w:tcW w:w="2458" w:type="dxa"/>
            <w:shd w:val="clear" w:color="auto" w:fill="auto"/>
            <w:noWrap/>
            <w:vAlign w:val="center"/>
          </w:tcPr>
          <w:p w14:paraId="0DCE45C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864870" cy="864235"/>
                  <wp:effectExtent l="0" t="0" r="11430" b="12065"/>
                  <wp:wrapNone/>
                  <wp:docPr id="423" name="图片_486"/>
                  <wp:cNvGraphicFramePr/>
                  <a:graphic xmlns:a="http://schemas.openxmlformats.org/drawingml/2006/main">
                    <a:graphicData uri="http://schemas.openxmlformats.org/drawingml/2006/picture">
                      <pic:pic xmlns:pic="http://schemas.openxmlformats.org/drawingml/2006/picture">
                        <pic:nvPicPr>
                          <pic:cNvPr id="423" name="图片_486"/>
                          <pic:cNvPicPr/>
                        </pic:nvPicPr>
                        <pic:blipFill>
                          <a:blip r:embed="rId211"/>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383952B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材质：木制、塑料、金属</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尺寸：最小的尺寸约5.7cm最大的尺寸约23×4cm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内含铃鼓1件、铁镲1对、三角铁1件、响棒1对、塑料沙蛋1件、四片铃</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木质板镲1件、大号木质沙锤1对、木沙筒1件、腕铃1件共计9件组，科</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学组合，满足不同教学需求，培养幼儿乐感。</w:t>
            </w:r>
          </w:p>
        </w:tc>
        <w:tc>
          <w:tcPr>
            <w:tcW w:w="1178" w:type="dxa"/>
            <w:shd w:val="clear" w:color="auto" w:fill="auto"/>
            <w:vAlign w:val="center"/>
          </w:tcPr>
          <w:p w14:paraId="07785CA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077" w:type="dxa"/>
            <w:shd w:val="clear" w:color="auto" w:fill="auto"/>
            <w:vAlign w:val="center"/>
          </w:tcPr>
          <w:p w14:paraId="531D389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50BC0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2" w:hRule="atLeast"/>
          <w:jc w:val="center"/>
        </w:trPr>
        <w:tc>
          <w:tcPr>
            <w:tcW w:w="839" w:type="dxa"/>
            <w:shd w:val="clear" w:color="auto" w:fill="auto"/>
            <w:noWrap/>
            <w:vAlign w:val="center"/>
          </w:tcPr>
          <w:p w14:paraId="6BD0255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30</w:t>
            </w:r>
          </w:p>
        </w:tc>
        <w:tc>
          <w:tcPr>
            <w:tcW w:w="1450" w:type="dxa"/>
            <w:shd w:val="clear" w:color="auto" w:fill="auto"/>
            <w:vAlign w:val="center"/>
          </w:tcPr>
          <w:p w14:paraId="74A3D6A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手鼓</w:t>
            </w:r>
          </w:p>
        </w:tc>
        <w:tc>
          <w:tcPr>
            <w:tcW w:w="2458" w:type="dxa"/>
            <w:shd w:val="clear" w:color="auto" w:fill="auto"/>
            <w:noWrap/>
            <w:vAlign w:val="center"/>
          </w:tcPr>
          <w:p w14:paraId="259BCAB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864870" cy="864235"/>
                  <wp:effectExtent l="0" t="0" r="11430" b="12065"/>
                  <wp:wrapNone/>
                  <wp:docPr id="430" name="图片_487"/>
                  <wp:cNvGraphicFramePr/>
                  <a:graphic xmlns:a="http://schemas.openxmlformats.org/drawingml/2006/main">
                    <a:graphicData uri="http://schemas.openxmlformats.org/drawingml/2006/picture">
                      <pic:pic xmlns:pic="http://schemas.openxmlformats.org/drawingml/2006/picture">
                        <pic:nvPicPr>
                          <pic:cNvPr id="430" name="图片_487"/>
                          <pic:cNvPicPr/>
                        </pic:nvPicPr>
                        <pic:blipFill>
                          <a:blip r:embed="rId212"/>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66A341A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材质：木制+防皮+金属</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尺寸：直径约13cm，高约15cm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内含手鼓1件、棒子1件。平滑有</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微微弹性的鼓面，敲击起来使乐声</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更有质感。鼓面强韧，不易破损。</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在打鼓的过程中锻炼幼儿四肢协</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调能力，促进右脑潜能的开发和平</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衡左右脑发展。</w:t>
            </w:r>
          </w:p>
        </w:tc>
        <w:tc>
          <w:tcPr>
            <w:tcW w:w="1178" w:type="dxa"/>
            <w:shd w:val="clear" w:color="auto" w:fill="auto"/>
            <w:vAlign w:val="center"/>
          </w:tcPr>
          <w:p w14:paraId="513101E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077" w:type="dxa"/>
            <w:shd w:val="clear" w:color="auto" w:fill="auto"/>
            <w:vAlign w:val="center"/>
          </w:tcPr>
          <w:p w14:paraId="4A4D696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3406A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2" w:hRule="atLeast"/>
          <w:jc w:val="center"/>
        </w:trPr>
        <w:tc>
          <w:tcPr>
            <w:tcW w:w="839" w:type="dxa"/>
            <w:shd w:val="clear" w:color="auto" w:fill="auto"/>
            <w:noWrap/>
            <w:vAlign w:val="center"/>
          </w:tcPr>
          <w:p w14:paraId="635F7D7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31</w:t>
            </w:r>
          </w:p>
        </w:tc>
        <w:tc>
          <w:tcPr>
            <w:tcW w:w="1450" w:type="dxa"/>
            <w:shd w:val="clear" w:color="auto" w:fill="auto"/>
            <w:vAlign w:val="center"/>
          </w:tcPr>
          <w:p w14:paraId="6CFD873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12音木琴</w:t>
            </w:r>
          </w:p>
        </w:tc>
        <w:tc>
          <w:tcPr>
            <w:tcW w:w="2458" w:type="dxa"/>
            <w:shd w:val="clear" w:color="auto" w:fill="auto"/>
            <w:noWrap/>
            <w:vAlign w:val="center"/>
          </w:tcPr>
          <w:p w14:paraId="20D1384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864235" cy="864235"/>
                  <wp:effectExtent l="0" t="0" r="12065" b="12065"/>
                  <wp:wrapNone/>
                  <wp:docPr id="428" name="图片_488"/>
                  <wp:cNvGraphicFramePr/>
                  <a:graphic xmlns:a="http://schemas.openxmlformats.org/drawingml/2006/main">
                    <a:graphicData uri="http://schemas.openxmlformats.org/drawingml/2006/picture">
                      <pic:pic xmlns:pic="http://schemas.openxmlformats.org/drawingml/2006/picture">
                        <pic:nvPicPr>
                          <pic:cNvPr id="428" name="图片_488"/>
                          <pic:cNvPicPr/>
                        </pic:nvPicPr>
                        <pic:blipFill>
                          <a:blip r:embed="rId155"/>
                          <a:stretch>
                            <a:fillRect/>
                          </a:stretch>
                        </pic:blipFill>
                        <pic:spPr>
                          <a:xfrm>
                            <a:off x="0" y="0"/>
                            <a:ext cx="864235" cy="864235"/>
                          </a:xfrm>
                          <a:prstGeom prst="rect">
                            <a:avLst/>
                          </a:prstGeom>
                          <a:noFill/>
                          <a:ln>
                            <a:noFill/>
                          </a:ln>
                        </pic:spPr>
                      </pic:pic>
                    </a:graphicData>
                  </a:graphic>
                </wp:anchor>
              </w:drawing>
            </w:r>
          </w:p>
        </w:tc>
        <w:tc>
          <w:tcPr>
            <w:tcW w:w="5742" w:type="dxa"/>
            <w:shd w:val="clear" w:color="auto" w:fill="auto"/>
            <w:vAlign w:val="center"/>
          </w:tcPr>
          <w:p w14:paraId="1ABC72A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材质：木制尺寸：约42cm×21.5cm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内含木琴1件、棒子2件。实木琴片，更贴近自然。质地坚固，不易开裂和变形，</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经久耐玩。标准音阶，音乐启蒙不跑偏。音色自然，带给幼儿准确的音乐启蒙。</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两根实木敲棒，在双手敲打间培养幼儿手眼协调，也能促进左右大脑的开发。</w:t>
            </w:r>
          </w:p>
        </w:tc>
        <w:tc>
          <w:tcPr>
            <w:tcW w:w="1178" w:type="dxa"/>
            <w:shd w:val="clear" w:color="auto" w:fill="auto"/>
            <w:vAlign w:val="center"/>
          </w:tcPr>
          <w:p w14:paraId="33A3004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077" w:type="dxa"/>
            <w:shd w:val="clear" w:color="auto" w:fill="auto"/>
            <w:vAlign w:val="center"/>
          </w:tcPr>
          <w:p w14:paraId="6CFDABE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2160C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atLeast"/>
          <w:jc w:val="center"/>
        </w:trPr>
        <w:tc>
          <w:tcPr>
            <w:tcW w:w="839" w:type="dxa"/>
            <w:shd w:val="clear" w:color="auto" w:fill="auto"/>
            <w:noWrap/>
            <w:vAlign w:val="center"/>
          </w:tcPr>
          <w:p w14:paraId="2DF0B32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32</w:t>
            </w:r>
          </w:p>
        </w:tc>
        <w:tc>
          <w:tcPr>
            <w:tcW w:w="1450" w:type="dxa"/>
            <w:shd w:val="clear" w:color="auto" w:fill="auto"/>
            <w:vAlign w:val="center"/>
          </w:tcPr>
          <w:p w14:paraId="54673EC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8K绘画本</w:t>
            </w:r>
          </w:p>
        </w:tc>
        <w:tc>
          <w:tcPr>
            <w:tcW w:w="2458" w:type="dxa"/>
            <w:shd w:val="clear" w:color="auto" w:fill="auto"/>
            <w:noWrap/>
            <w:vAlign w:val="center"/>
          </w:tcPr>
          <w:p w14:paraId="6B94A45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864870" cy="727710"/>
                  <wp:effectExtent l="0" t="0" r="11430" b="8890"/>
                  <wp:wrapNone/>
                  <wp:docPr id="440" name="图片_6"/>
                  <wp:cNvGraphicFramePr/>
                  <a:graphic xmlns:a="http://schemas.openxmlformats.org/drawingml/2006/main">
                    <a:graphicData uri="http://schemas.openxmlformats.org/drawingml/2006/picture">
                      <pic:pic xmlns:pic="http://schemas.openxmlformats.org/drawingml/2006/picture">
                        <pic:nvPicPr>
                          <pic:cNvPr id="440" name="图片_6"/>
                          <pic:cNvPicPr/>
                        </pic:nvPicPr>
                        <pic:blipFill>
                          <a:blip r:embed="rId213"/>
                          <a:stretch>
                            <a:fillRect/>
                          </a:stretch>
                        </pic:blipFill>
                        <pic:spPr>
                          <a:xfrm>
                            <a:off x="0" y="0"/>
                            <a:ext cx="864870" cy="727710"/>
                          </a:xfrm>
                          <a:prstGeom prst="rect">
                            <a:avLst/>
                          </a:prstGeom>
                          <a:noFill/>
                          <a:ln>
                            <a:noFill/>
                          </a:ln>
                        </pic:spPr>
                      </pic:pic>
                    </a:graphicData>
                  </a:graphic>
                </wp:anchor>
              </w:drawing>
            </w: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273050</wp:posOffset>
                  </wp:positionH>
                  <wp:positionV relativeFrom="paragraph">
                    <wp:posOffset>99695</wp:posOffset>
                  </wp:positionV>
                  <wp:extent cx="846455" cy="555625"/>
                  <wp:effectExtent l="0" t="0" r="4445" b="3175"/>
                  <wp:wrapNone/>
                  <wp:docPr id="429" name="图片_5"/>
                  <wp:cNvGraphicFramePr/>
                  <a:graphic xmlns:a="http://schemas.openxmlformats.org/drawingml/2006/main">
                    <a:graphicData uri="http://schemas.openxmlformats.org/drawingml/2006/picture">
                      <pic:pic xmlns:pic="http://schemas.openxmlformats.org/drawingml/2006/picture">
                        <pic:nvPicPr>
                          <pic:cNvPr id="429" name="图片_5"/>
                          <pic:cNvPicPr/>
                        </pic:nvPicPr>
                        <pic:blipFill>
                          <a:blip r:embed="rId156"/>
                          <a:stretch>
                            <a:fillRect/>
                          </a:stretch>
                        </pic:blipFill>
                        <pic:spPr>
                          <a:xfrm>
                            <a:off x="0" y="0"/>
                            <a:ext cx="846455" cy="555625"/>
                          </a:xfrm>
                          <a:prstGeom prst="rect">
                            <a:avLst/>
                          </a:prstGeom>
                          <a:noFill/>
                          <a:ln>
                            <a:noFill/>
                          </a:ln>
                        </pic:spPr>
                      </pic:pic>
                    </a:graphicData>
                  </a:graphic>
                </wp:anchor>
              </w:drawing>
            </w:r>
          </w:p>
        </w:tc>
        <w:tc>
          <w:tcPr>
            <w:tcW w:w="5742" w:type="dxa"/>
            <w:shd w:val="clear" w:color="auto" w:fill="auto"/>
            <w:vAlign w:val="center"/>
          </w:tcPr>
          <w:p w14:paraId="0677AAE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材质：纸制40P</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尺寸：约265×380mm</w:t>
            </w:r>
          </w:p>
        </w:tc>
        <w:tc>
          <w:tcPr>
            <w:tcW w:w="1178" w:type="dxa"/>
            <w:shd w:val="clear" w:color="auto" w:fill="auto"/>
            <w:vAlign w:val="center"/>
          </w:tcPr>
          <w:p w14:paraId="4DF911D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30</w:t>
            </w:r>
          </w:p>
        </w:tc>
        <w:tc>
          <w:tcPr>
            <w:tcW w:w="1077" w:type="dxa"/>
            <w:shd w:val="clear" w:color="auto" w:fill="auto"/>
            <w:vAlign w:val="center"/>
          </w:tcPr>
          <w:p w14:paraId="625E3AB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5CF7C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2" w:hRule="atLeast"/>
          <w:jc w:val="center"/>
        </w:trPr>
        <w:tc>
          <w:tcPr>
            <w:tcW w:w="839" w:type="dxa"/>
            <w:shd w:val="clear" w:color="auto" w:fill="auto"/>
            <w:noWrap/>
            <w:vAlign w:val="center"/>
          </w:tcPr>
          <w:p w14:paraId="1EF1AFC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33</w:t>
            </w:r>
          </w:p>
        </w:tc>
        <w:tc>
          <w:tcPr>
            <w:tcW w:w="1450" w:type="dxa"/>
            <w:shd w:val="clear" w:color="auto" w:fill="auto"/>
            <w:vAlign w:val="center"/>
          </w:tcPr>
          <w:p w14:paraId="0D6E609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500ml可清洗绘画颜料-白</w:t>
            </w:r>
          </w:p>
        </w:tc>
        <w:tc>
          <w:tcPr>
            <w:tcW w:w="2458" w:type="dxa"/>
            <w:shd w:val="clear" w:color="auto" w:fill="auto"/>
            <w:noWrap/>
            <w:vAlign w:val="center"/>
          </w:tcPr>
          <w:p w14:paraId="2B5DFD9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319405</wp:posOffset>
                  </wp:positionH>
                  <wp:positionV relativeFrom="paragraph">
                    <wp:posOffset>-104775</wp:posOffset>
                  </wp:positionV>
                  <wp:extent cx="660400" cy="575310"/>
                  <wp:effectExtent l="0" t="0" r="0" b="8890"/>
                  <wp:wrapNone/>
                  <wp:docPr id="434" name="图片_490"/>
                  <wp:cNvGraphicFramePr/>
                  <a:graphic xmlns:a="http://schemas.openxmlformats.org/drawingml/2006/main">
                    <a:graphicData uri="http://schemas.openxmlformats.org/drawingml/2006/picture">
                      <pic:pic xmlns:pic="http://schemas.openxmlformats.org/drawingml/2006/picture">
                        <pic:nvPicPr>
                          <pic:cNvPr id="434" name="图片_490"/>
                          <pic:cNvPicPr/>
                        </pic:nvPicPr>
                        <pic:blipFill>
                          <a:blip r:embed="rId108"/>
                          <a:stretch>
                            <a:fillRect/>
                          </a:stretch>
                        </pic:blipFill>
                        <pic:spPr>
                          <a:xfrm>
                            <a:off x="0" y="0"/>
                            <a:ext cx="660400" cy="575310"/>
                          </a:xfrm>
                          <a:prstGeom prst="rect">
                            <a:avLst/>
                          </a:prstGeom>
                          <a:noFill/>
                          <a:ln>
                            <a:noFill/>
                          </a:ln>
                        </pic:spPr>
                      </pic:pic>
                    </a:graphicData>
                  </a:graphic>
                </wp:anchor>
              </w:drawing>
            </w:r>
          </w:p>
        </w:tc>
        <w:tc>
          <w:tcPr>
            <w:tcW w:w="5742" w:type="dxa"/>
            <w:shd w:val="clear" w:color="auto" w:fill="auto"/>
            <w:vAlign w:val="center"/>
          </w:tcPr>
          <w:p w14:paraId="2EAF976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材质：色粉+水尺寸：约500ml</w:t>
            </w:r>
          </w:p>
        </w:tc>
        <w:tc>
          <w:tcPr>
            <w:tcW w:w="1178" w:type="dxa"/>
            <w:shd w:val="clear" w:color="auto" w:fill="auto"/>
            <w:vAlign w:val="center"/>
          </w:tcPr>
          <w:p w14:paraId="7042765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077" w:type="dxa"/>
            <w:shd w:val="clear" w:color="auto" w:fill="auto"/>
            <w:vAlign w:val="center"/>
          </w:tcPr>
          <w:p w14:paraId="6CEA75C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41274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389" w:hRule="atLeast"/>
          <w:jc w:val="center"/>
        </w:trPr>
        <w:tc>
          <w:tcPr>
            <w:tcW w:w="839" w:type="dxa"/>
            <w:shd w:val="clear" w:color="auto" w:fill="auto"/>
            <w:noWrap/>
            <w:vAlign w:val="center"/>
          </w:tcPr>
          <w:p w14:paraId="5268AF6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34</w:t>
            </w:r>
          </w:p>
        </w:tc>
        <w:tc>
          <w:tcPr>
            <w:tcW w:w="1450" w:type="dxa"/>
            <w:shd w:val="clear" w:color="auto" w:fill="auto"/>
            <w:vAlign w:val="center"/>
          </w:tcPr>
          <w:p w14:paraId="53DE8D7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500ml可清洗绘画颜料-红</w:t>
            </w:r>
          </w:p>
        </w:tc>
        <w:tc>
          <w:tcPr>
            <w:tcW w:w="2458" w:type="dxa"/>
            <w:shd w:val="clear" w:color="auto" w:fill="auto"/>
            <w:noWrap/>
            <w:vAlign w:val="center"/>
          </w:tcPr>
          <w:p w14:paraId="618629E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368300</wp:posOffset>
                  </wp:positionH>
                  <wp:positionV relativeFrom="paragraph">
                    <wp:posOffset>-217170</wp:posOffset>
                  </wp:positionV>
                  <wp:extent cx="596900" cy="554355"/>
                  <wp:effectExtent l="0" t="0" r="0" b="4445"/>
                  <wp:wrapNone/>
                  <wp:docPr id="431" name="图片_491"/>
                  <wp:cNvGraphicFramePr/>
                  <a:graphic xmlns:a="http://schemas.openxmlformats.org/drawingml/2006/main">
                    <a:graphicData uri="http://schemas.openxmlformats.org/drawingml/2006/picture">
                      <pic:pic xmlns:pic="http://schemas.openxmlformats.org/drawingml/2006/picture">
                        <pic:nvPicPr>
                          <pic:cNvPr id="431" name="图片_491"/>
                          <pic:cNvPicPr/>
                        </pic:nvPicPr>
                        <pic:blipFill>
                          <a:blip r:embed="rId109"/>
                          <a:stretch>
                            <a:fillRect/>
                          </a:stretch>
                        </pic:blipFill>
                        <pic:spPr>
                          <a:xfrm>
                            <a:off x="0" y="0"/>
                            <a:ext cx="596900" cy="554355"/>
                          </a:xfrm>
                          <a:prstGeom prst="rect">
                            <a:avLst/>
                          </a:prstGeom>
                          <a:noFill/>
                          <a:ln>
                            <a:noFill/>
                          </a:ln>
                        </pic:spPr>
                      </pic:pic>
                    </a:graphicData>
                  </a:graphic>
                </wp:anchor>
              </w:drawing>
            </w:r>
          </w:p>
        </w:tc>
        <w:tc>
          <w:tcPr>
            <w:tcW w:w="5742" w:type="dxa"/>
            <w:shd w:val="clear" w:color="auto" w:fill="auto"/>
            <w:vAlign w:val="center"/>
          </w:tcPr>
          <w:p w14:paraId="374A69F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材质：色粉+水尺寸：约500ml</w:t>
            </w:r>
          </w:p>
        </w:tc>
        <w:tc>
          <w:tcPr>
            <w:tcW w:w="1178" w:type="dxa"/>
            <w:shd w:val="clear" w:color="auto" w:fill="auto"/>
            <w:vAlign w:val="center"/>
          </w:tcPr>
          <w:p w14:paraId="1A0A5B4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077" w:type="dxa"/>
            <w:shd w:val="clear" w:color="auto" w:fill="auto"/>
            <w:vAlign w:val="center"/>
          </w:tcPr>
          <w:p w14:paraId="7E67895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4F8D0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7" w:hRule="atLeast"/>
          <w:jc w:val="center"/>
        </w:trPr>
        <w:tc>
          <w:tcPr>
            <w:tcW w:w="839" w:type="dxa"/>
            <w:shd w:val="clear" w:color="auto" w:fill="auto"/>
            <w:noWrap/>
            <w:vAlign w:val="center"/>
          </w:tcPr>
          <w:p w14:paraId="7189C51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35</w:t>
            </w:r>
          </w:p>
        </w:tc>
        <w:tc>
          <w:tcPr>
            <w:tcW w:w="1450" w:type="dxa"/>
            <w:shd w:val="clear" w:color="auto" w:fill="auto"/>
            <w:vAlign w:val="center"/>
          </w:tcPr>
          <w:p w14:paraId="0F4E503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500ml可清洗绘画颜料-黄</w:t>
            </w:r>
          </w:p>
        </w:tc>
        <w:tc>
          <w:tcPr>
            <w:tcW w:w="2458" w:type="dxa"/>
            <w:shd w:val="clear" w:color="auto" w:fill="auto"/>
            <w:noWrap/>
            <w:vAlign w:val="center"/>
          </w:tcPr>
          <w:p w14:paraId="66E883E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389890</wp:posOffset>
                  </wp:positionH>
                  <wp:positionV relativeFrom="paragraph">
                    <wp:posOffset>29210</wp:posOffset>
                  </wp:positionV>
                  <wp:extent cx="631825" cy="653415"/>
                  <wp:effectExtent l="0" t="0" r="3175" b="6985"/>
                  <wp:wrapNone/>
                  <wp:docPr id="433" name="图片_492"/>
                  <wp:cNvGraphicFramePr/>
                  <a:graphic xmlns:a="http://schemas.openxmlformats.org/drawingml/2006/main">
                    <a:graphicData uri="http://schemas.openxmlformats.org/drawingml/2006/picture">
                      <pic:pic xmlns:pic="http://schemas.openxmlformats.org/drawingml/2006/picture">
                        <pic:nvPicPr>
                          <pic:cNvPr id="433" name="图片_492"/>
                          <pic:cNvPicPr/>
                        </pic:nvPicPr>
                        <pic:blipFill>
                          <a:blip r:embed="rId110"/>
                          <a:stretch>
                            <a:fillRect/>
                          </a:stretch>
                        </pic:blipFill>
                        <pic:spPr>
                          <a:xfrm>
                            <a:off x="0" y="0"/>
                            <a:ext cx="631825" cy="653415"/>
                          </a:xfrm>
                          <a:prstGeom prst="rect">
                            <a:avLst/>
                          </a:prstGeom>
                          <a:noFill/>
                          <a:ln>
                            <a:noFill/>
                          </a:ln>
                        </pic:spPr>
                      </pic:pic>
                    </a:graphicData>
                  </a:graphic>
                </wp:anchor>
              </w:drawing>
            </w:r>
          </w:p>
        </w:tc>
        <w:tc>
          <w:tcPr>
            <w:tcW w:w="5742" w:type="dxa"/>
            <w:shd w:val="clear" w:color="auto" w:fill="auto"/>
            <w:vAlign w:val="center"/>
          </w:tcPr>
          <w:p w14:paraId="77BBF66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材质：色粉+水尺寸：约500ml</w:t>
            </w:r>
          </w:p>
        </w:tc>
        <w:tc>
          <w:tcPr>
            <w:tcW w:w="1178" w:type="dxa"/>
            <w:shd w:val="clear" w:color="auto" w:fill="auto"/>
            <w:vAlign w:val="center"/>
          </w:tcPr>
          <w:p w14:paraId="5B756D7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077" w:type="dxa"/>
            <w:shd w:val="clear" w:color="auto" w:fill="auto"/>
            <w:vAlign w:val="center"/>
          </w:tcPr>
          <w:p w14:paraId="5A2F0FB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649024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jc w:val="center"/>
        </w:trPr>
        <w:tc>
          <w:tcPr>
            <w:tcW w:w="839" w:type="dxa"/>
            <w:shd w:val="clear" w:color="auto" w:fill="auto"/>
            <w:noWrap/>
            <w:vAlign w:val="center"/>
          </w:tcPr>
          <w:p w14:paraId="7791A08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36</w:t>
            </w:r>
          </w:p>
        </w:tc>
        <w:tc>
          <w:tcPr>
            <w:tcW w:w="1450" w:type="dxa"/>
            <w:shd w:val="clear" w:color="auto" w:fill="auto"/>
            <w:vAlign w:val="center"/>
          </w:tcPr>
          <w:p w14:paraId="13E739E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500ml可清洗绘画颜料-蓝</w:t>
            </w:r>
          </w:p>
        </w:tc>
        <w:tc>
          <w:tcPr>
            <w:tcW w:w="2458" w:type="dxa"/>
            <w:shd w:val="clear" w:color="auto" w:fill="auto"/>
            <w:noWrap/>
            <w:vAlign w:val="center"/>
          </w:tcPr>
          <w:p w14:paraId="042A1B3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737870" cy="624205"/>
                  <wp:effectExtent l="0" t="0" r="11430" b="10795"/>
                  <wp:wrapNone/>
                  <wp:docPr id="425" name="图片_493"/>
                  <wp:cNvGraphicFramePr/>
                  <a:graphic xmlns:a="http://schemas.openxmlformats.org/drawingml/2006/main">
                    <a:graphicData uri="http://schemas.openxmlformats.org/drawingml/2006/picture">
                      <pic:pic xmlns:pic="http://schemas.openxmlformats.org/drawingml/2006/picture">
                        <pic:nvPicPr>
                          <pic:cNvPr id="425" name="图片_493"/>
                          <pic:cNvPicPr/>
                        </pic:nvPicPr>
                        <pic:blipFill>
                          <a:blip r:embed="rId157"/>
                          <a:stretch>
                            <a:fillRect/>
                          </a:stretch>
                        </pic:blipFill>
                        <pic:spPr>
                          <a:xfrm>
                            <a:off x="0" y="0"/>
                            <a:ext cx="737870" cy="624205"/>
                          </a:xfrm>
                          <a:prstGeom prst="rect">
                            <a:avLst/>
                          </a:prstGeom>
                          <a:noFill/>
                          <a:ln>
                            <a:noFill/>
                          </a:ln>
                        </pic:spPr>
                      </pic:pic>
                    </a:graphicData>
                  </a:graphic>
                </wp:anchor>
              </w:drawing>
            </w:r>
          </w:p>
        </w:tc>
        <w:tc>
          <w:tcPr>
            <w:tcW w:w="5742" w:type="dxa"/>
            <w:shd w:val="clear" w:color="auto" w:fill="auto"/>
            <w:vAlign w:val="center"/>
          </w:tcPr>
          <w:p w14:paraId="7436B6C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材质：色粉+水尺寸：约500ml</w:t>
            </w:r>
          </w:p>
        </w:tc>
        <w:tc>
          <w:tcPr>
            <w:tcW w:w="1178" w:type="dxa"/>
            <w:shd w:val="clear" w:color="auto" w:fill="auto"/>
            <w:vAlign w:val="center"/>
          </w:tcPr>
          <w:p w14:paraId="1D992B6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077" w:type="dxa"/>
            <w:shd w:val="clear" w:color="auto" w:fill="auto"/>
            <w:vAlign w:val="center"/>
          </w:tcPr>
          <w:p w14:paraId="7425C4D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6E8B9A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9" w:hRule="atLeast"/>
          <w:jc w:val="center"/>
        </w:trPr>
        <w:tc>
          <w:tcPr>
            <w:tcW w:w="839" w:type="dxa"/>
            <w:shd w:val="clear" w:color="auto" w:fill="auto"/>
            <w:noWrap/>
            <w:vAlign w:val="center"/>
          </w:tcPr>
          <w:p w14:paraId="2CEC945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37</w:t>
            </w:r>
          </w:p>
        </w:tc>
        <w:tc>
          <w:tcPr>
            <w:tcW w:w="1450" w:type="dxa"/>
            <w:shd w:val="clear" w:color="auto" w:fill="auto"/>
            <w:vAlign w:val="center"/>
          </w:tcPr>
          <w:p w14:paraId="1FA2A45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10格调色盘</w:t>
            </w:r>
          </w:p>
        </w:tc>
        <w:tc>
          <w:tcPr>
            <w:tcW w:w="2458" w:type="dxa"/>
            <w:shd w:val="clear" w:color="auto" w:fill="auto"/>
            <w:noWrap/>
            <w:vAlign w:val="center"/>
          </w:tcPr>
          <w:p w14:paraId="0563EC0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864235"/>
                  <wp:effectExtent l="0" t="0" r="11430" b="12065"/>
                  <wp:wrapNone/>
                  <wp:docPr id="441" name="图片_494"/>
                  <wp:cNvGraphicFramePr/>
                  <a:graphic xmlns:a="http://schemas.openxmlformats.org/drawingml/2006/main">
                    <a:graphicData uri="http://schemas.openxmlformats.org/drawingml/2006/picture">
                      <pic:pic xmlns:pic="http://schemas.openxmlformats.org/drawingml/2006/picture">
                        <pic:nvPicPr>
                          <pic:cNvPr id="441" name="图片_494"/>
                          <pic:cNvPicPr/>
                        </pic:nvPicPr>
                        <pic:blipFill>
                          <a:blip r:embed="rId214"/>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4502E71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材质：塑料尺寸：约直径13.5cm</w:t>
            </w:r>
          </w:p>
        </w:tc>
        <w:tc>
          <w:tcPr>
            <w:tcW w:w="1178" w:type="dxa"/>
            <w:shd w:val="clear" w:color="auto" w:fill="auto"/>
            <w:vAlign w:val="center"/>
          </w:tcPr>
          <w:p w14:paraId="50C0A57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30</w:t>
            </w:r>
          </w:p>
        </w:tc>
        <w:tc>
          <w:tcPr>
            <w:tcW w:w="1077" w:type="dxa"/>
            <w:shd w:val="clear" w:color="auto" w:fill="auto"/>
            <w:vAlign w:val="center"/>
          </w:tcPr>
          <w:p w14:paraId="4481C3E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5F311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819" w:hRule="atLeast"/>
          <w:jc w:val="center"/>
        </w:trPr>
        <w:tc>
          <w:tcPr>
            <w:tcW w:w="839" w:type="dxa"/>
            <w:shd w:val="clear" w:color="auto" w:fill="auto"/>
            <w:noWrap/>
            <w:vAlign w:val="center"/>
          </w:tcPr>
          <w:p w14:paraId="6ABCF18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38</w:t>
            </w:r>
          </w:p>
        </w:tc>
        <w:tc>
          <w:tcPr>
            <w:tcW w:w="1450" w:type="dxa"/>
            <w:shd w:val="clear" w:color="auto" w:fill="auto"/>
            <w:vAlign w:val="center"/>
          </w:tcPr>
          <w:p w14:paraId="6AEBC15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24色油画棒</w:t>
            </w:r>
          </w:p>
        </w:tc>
        <w:tc>
          <w:tcPr>
            <w:tcW w:w="2458" w:type="dxa"/>
            <w:shd w:val="clear" w:color="auto" w:fill="auto"/>
            <w:noWrap/>
            <w:vAlign w:val="center"/>
          </w:tcPr>
          <w:p w14:paraId="3A31724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241935</wp:posOffset>
                  </wp:positionH>
                  <wp:positionV relativeFrom="paragraph">
                    <wp:posOffset>121920</wp:posOffset>
                  </wp:positionV>
                  <wp:extent cx="864870" cy="864235"/>
                  <wp:effectExtent l="0" t="0" r="11430" b="12065"/>
                  <wp:wrapNone/>
                  <wp:docPr id="442" name="图片_496"/>
                  <wp:cNvGraphicFramePr/>
                  <a:graphic xmlns:a="http://schemas.openxmlformats.org/drawingml/2006/main">
                    <a:graphicData uri="http://schemas.openxmlformats.org/drawingml/2006/picture">
                      <pic:pic xmlns:pic="http://schemas.openxmlformats.org/drawingml/2006/picture">
                        <pic:nvPicPr>
                          <pic:cNvPr id="442" name="图片_496"/>
                          <pic:cNvPicPr/>
                        </pic:nvPicPr>
                        <pic:blipFill>
                          <a:blip r:embed="rId215"/>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1084F99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材质：混合油+蜡尺寸：单支约7.5×0.8cm</w:t>
            </w:r>
          </w:p>
        </w:tc>
        <w:tc>
          <w:tcPr>
            <w:tcW w:w="1178" w:type="dxa"/>
            <w:shd w:val="clear" w:color="auto" w:fill="auto"/>
            <w:vAlign w:val="center"/>
          </w:tcPr>
          <w:p w14:paraId="115CDD1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30</w:t>
            </w:r>
          </w:p>
        </w:tc>
        <w:tc>
          <w:tcPr>
            <w:tcW w:w="1077" w:type="dxa"/>
            <w:shd w:val="clear" w:color="auto" w:fill="auto"/>
            <w:vAlign w:val="center"/>
          </w:tcPr>
          <w:p w14:paraId="2466060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0A65F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2" w:hRule="atLeast"/>
          <w:jc w:val="center"/>
        </w:trPr>
        <w:tc>
          <w:tcPr>
            <w:tcW w:w="839" w:type="dxa"/>
            <w:shd w:val="clear" w:color="auto" w:fill="auto"/>
            <w:noWrap/>
            <w:vAlign w:val="center"/>
          </w:tcPr>
          <w:p w14:paraId="3809788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39</w:t>
            </w:r>
          </w:p>
        </w:tc>
        <w:tc>
          <w:tcPr>
            <w:tcW w:w="1450" w:type="dxa"/>
            <w:shd w:val="clear" w:color="auto" w:fill="auto"/>
            <w:vAlign w:val="center"/>
          </w:tcPr>
          <w:p w14:paraId="1D157AB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A4绘画本</w:t>
            </w:r>
          </w:p>
        </w:tc>
        <w:tc>
          <w:tcPr>
            <w:tcW w:w="2458" w:type="dxa"/>
            <w:shd w:val="clear" w:color="auto" w:fill="auto"/>
            <w:noWrap/>
            <w:vAlign w:val="center"/>
          </w:tcPr>
          <w:p w14:paraId="737DB413">
            <w:pPr>
              <w:jc w:val="center"/>
              <w:rPr>
                <w:rFonts w:hint="eastAsia" w:ascii="宋体" w:hAnsi="宋体" w:eastAsia="宋体" w:cs="宋体"/>
                <w:i w:val="0"/>
                <w:iCs w:val="0"/>
                <w:color w:val="auto"/>
                <w:sz w:val="24"/>
                <w:szCs w:val="24"/>
                <w:u w:val="none"/>
              </w:rPr>
            </w:pPr>
          </w:p>
        </w:tc>
        <w:tc>
          <w:tcPr>
            <w:tcW w:w="5742" w:type="dxa"/>
            <w:shd w:val="clear" w:color="auto" w:fill="auto"/>
            <w:vAlign w:val="center"/>
          </w:tcPr>
          <w:p w14:paraId="369F643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材质：纸制40P</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尺寸：约210×297mm</w:t>
            </w:r>
          </w:p>
        </w:tc>
        <w:tc>
          <w:tcPr>
            <w:tcW w:w="1178" w:type="dxa"/>
            <w:shd w:val="clear" w:color="auto" w:fill="auto"/>
            <w:vAlign w:val="center"/>
          </w:tcPr>
          <w:p w14:paraId="279F3BF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30</w:t>
            </w:r>
          </w:p>
        </w:tc>
        <w:tc>
          <w:tcPr>
            <w:tcW w:w="1077" w:type="dxa"/>
            <w:shd w:val="clear" w:color="auto" w:fill="auto"/>
            <w:vAlign w:val="center"/>
          </w:tcPr>
          <w:p w14:paraId="667E0A3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521E6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2" w:hRule="atLeast"/>
          <w:jc w:val="center"/>
        </w:trPr>
        <w:tc>
          <w:tcPr>
            <w:tcW w:w="839" w:type="dxa"/>
            <w:shd w:val="clear" w:color="auto" w:fill="auto"/>
            <w:noWrap/>
            <w:vAlign w:val="center"/>
          </w:tcPr>
          <w:p w14:paraId="54363A1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40</w:t>
            </w:r>
          </w:p>
        </w:tc>
        <w:tc>
          <w:tcPr>
            <w:tcW w:w="1450" w:type="dxa"/>
            <w:shd w:val="clear" w:color="auto" w:fill="auto"/>
            <w:vAlign w:val="center"/>
          </w:tcPr>
          <w:p w14:paraId="1E90546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18.5cm白色纸盘</w:t>
            </w:r>
          </w:p>
        </w:tc>
        <w:tc>
          <w:tcPr>
            <w:tcW w:w="2458" w:type="dxa"/>
            <w:shd w:val="clear" w:color="auto" w:fill="auto"/>
            <w:noWrap/>
            <w:vAlign w:val="center"/>
          </w:tcPr>
          <w:p w14:paraId="48BE7E7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215900</wp:posOffset>
                  </wp:positionH>
                  <wp:positionV relativeFrom="paragraph">
                    <wp:posOffset>86360</wp:posOffset>
                  </wp:positionV>
                  <wp:extent cx="863600" cy="863600"/>
                  <wp:effectExtent l="0" t="0" r="0" b="0"/>
                  <wp:wrapNone/>
                  <wp:docPr id="443" name="图片_500"/>
                  <wp:cNvGraphicFramePr/>
                  <a:graphic xmlns:a="http://schemas.openxmlformats.org/drawingml/2006/main">
                    <a:graphicData uri="http://schemas.openxmlformats.org/drawingml/2006/picture">
                      <pic:pic xmlns:pic="http://schemas.openxmlformats.org/drawingml/2006/picture">
                        <pic:nvPicPr>
                          <pic:cNvPr id="443" name="图片_500"/>
                          <pic:cNvPicPr/>
                        </pic:nvPicPr>
                        <pic:blipFill>
                          <a:blip r:embed="rId216"/>
                          <a:stretch>
                            <a:fillRect/>
                          </a:stretch>
                        </pic:blipFill>
                        <pic:spPr>
                          <a:xfrm>
                            <a:off x="0" y="0"/>
                            <a:ext cx="863600" cy="863600"/>
                          </a:xfrm>
                          <a:prstGeom prst="rect">
                            <a:avLst/>
                          </a:prstGeom>
                          <a:noFill/>
                          <a:ln>
                            <a:noFill/>
                          </a:ln>
                        </pic:spPr>
                      </pic:pic>
                    </a:graphicData>
                  </a:graphic>
                </wp:anchor>
              </w:drawing>
            </w:r>
          </w:p>
        </w:tc>
        <w:tc>
          <w:tcPr>
            <w:tcW w:w="5742" w:type="dxa"/>
            <w:shd w:val="clear" w:color="auto" w:fill="auto"/>
            <w:vAlign w:val="center"/>
          </w:tcPr>
          <w:p w14:paraId="3675DEC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材质：250g食品级甘蔗浆</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尺寸：直径18.5cm</w:t>
            </w:r>
          </w:p>
        </w:tc>
        <w:tc>
          <w:tcPr>
            <w:tcW w:w="1178" w:type="dxa"/>
            <w:shd w:val="clear" w:color="auto" w:fill="auto"/>
            <w:vAlign w:val="center"/>
          </w:tcPr>
          <w:p w14:paraId="0A67972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077" w:type="dxa"/>
            <w:shd w:val="clear" w:color="auto" w:fill="auto"/>
            <w:vAlign w:val="center"/>
          </w:tcPr>
          <w:p w14:paraId="1ECE497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08F1F4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2" w:hRule="atLeast"/>
          <w:jc w:val="center"/>
        </w:trPr>
        <w:tc>
          <w:tcPr>
            <w:tcW w:w="839" w:type="dxa"/>
            <w:shd w:val="clear" w:color="auto" w:fill="auto"/>
            <w:noWrap/>
            <w:vAlign w:val="center"/>
          </w:tcPr>
          <w:p w14:paraId="47FD1A7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41</w:t>
            </w:r>
          </w:p>
        </w:tc>
        <w:tc>
          <w:tcPr>
            <w:tcW w:w="1450" w:type="dxa"/>
            <w:shd w:val="clear" w:color="auto" w:fill="auto"/>
            <w:vAlign w:val="center"/>
          </w:tcPr>
          <w:p w14:paraId="1F77755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空白DIY面具-男款</w:t>
            </w:r>
          </w:p>
        </w:tc>
        <w:tc>
          <w:tcPr>
            <w:tcW w:w="2458" w:type="dxa"/>
            <w:shd w:val="clear" w:color="auto" w:fill="auto"/>
            <w:noWrap/>
            <w:vAlign w:val="center"/>
          </w:tcPr>
          <w:p w14:paraId="77500B8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864235"/>
                  <wp:effectExtent l="0" t="0" r="11430" b="12065"/>
                  <wp:wrapNone/>
                  <wp:docPr id="445" name="图片_501"/>
                  <wp:cNvGraphicFramePr/>
                  <a:graphic xmlns:a="http://schemas.openxmlformats.org/drawingml/2006/main">
                    <a:graphicData uri="http://schemas.openxmlformats.org/drawingml/2006/picture">
                      <pic:pic xmlns:pic="http://schemas.openxmlformats.org/drawingml/2006/picture">
                        <pic:nvPicPr>
                          <pic:cNvPr id="445" name="图片_501"/>
                          <pic:cNvPicPr/>
                        </pic:nvPicPr>
                        <pic:blipFill>
                          <a:blip r:embed="rId217"/>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62E86F6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材质：纸浆尺寸：约24×18.4×9cm</w:t>
            </w:r>
          </w:p>
        </w:tc>
        <w:tc>
          <w:tcPr>
            <w:tcW w:w="1178" w:type="dxa"/>
            <w:shd w:val="clear" w:color="auto" w:fill="auto"/>
            <w:vAlign w:val="center"/>
          </w:tcPr>
          <w:p w14:paraId="0806FC0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077" w:type="dxa"/>
            <w:shd w:val="clear" w:color="auto" w:fill="auto"/>
            <w:vAlign w:val="center"/>
          </w:tcPr>
          <w:p w14:paraId="51C05BC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0F0887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2" w:hRule="atLeast"/>
          <w:jc w:val="center"/>
        </w:trPr>
        <w:tc>
          <w:tcPr>
            <w:tcW w:w="839" w:type="dxa"/>
            <w:shd w:val="clear" w:color="auto" w:fill="auto"/>
            <w:noWrap/>
            <w:vAlign w:val="center"/>
          </w:tcPr>
          <w:p w14:paraId="520C97E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48</w:t>
            </w:r>
          </w:p>
        </w:tc>
        <w:tc>
          <w:tcPr>
            <w:tcW w:w="1450" w:type="dxa"/>
            <w:shd w:val="clear" w:color="auto" w:fill="auto"/>
            <w:vAlign w:val="center"/>
          </w:tcPr>
          <w:p w14:paraId="2538571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安全剪刀-黄蓝色</w:t>
            </w:r>
          </w:p>
        </w:tc>
        <w:tc>
          <w:tcPr>
            <w:tcW w:w="2458" w:type="dxa"/>
            <w:shd w:val="clear" w:color="auto" w:fill="auto"/>
            <w:noWrap/>
            <w:vAlign w:val="center"/>
          </w:tcPr>
          <w:p w14:paraId="23E0AA3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864870" cy="864235"/>
                  <wp:effectExtent l="0" t="0" r="11430" b="12065"/>
                  <wp:wrapNone/>
                  <wp:docPr id="455" name="图片_509"/>
                  <wp:cNvGraphicFramePr/>
                  <a:graphic xmlns:a="http://schemas.openxmlformats.org/drawingml/2006/main">
                    <a:graphicData uri="http://schemas.openxmlformats.org/drawingml/2006/picture">
                      <pic:pic xmlns:pic="http://schemas.openxmlformats.org/drawingml/2006/picture">
                        <pic:nvPicPr>
                          <pic:cNvPr id="455" name="图片_509"/>
                          <pic:cNvPicPr/>
                        </pic:nvPicPr>
                        <pic:blipFill>
                          <a:blip r:embed="rId218"/>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56320F1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材质：不锈钢、塑料尺寸：约13.5cm</w:t>
            </w:r>
          </w:p>
        </w:tc>
        <w:tc>
          <w:tcPr>
            <w:tcW w:w="1178" w:type="dxa"/>
            <w:shd w:val="clear" w:color="auto" w:fill="auto"/>
            <w:vAlign w:val="center"/>
          </w:tcPr>
          <w:p w14:paraId="49E77EF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30</w:t>
            </w:r>
          </w:p>
        </w:tc>
        <w:tc>
          <w:tcPr>
            <w:tcW w:w="1077" w:type="dxa"/>
            <w:shd w:val="clear" w:color="auto" w:fill="auto"/>
            <w:vAlign w:val="center"/>
          </w:tcPr>
          <w:p w14:paraId="6E17607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1918D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602" w:hRule="atLeast"/>
          <w:jc w:val="center"/>
        </w:trPr>
        <w:tc>
          <w:tcPr>
            <w:tcW w:w="839" w:type="dxa"/>
            <w:shd w:val="clear" w:color="auto" w:fill="auto"/>
            <w:noWrap/>
            <w:vAlign w:val="center"/>
          </w:tcPr>
          <w:p w14:paraId="5643A50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49</w:t>
            </w:r>
          </w:p>
        </w:tc>
        <w:tc>
          <w:tcPr>
            <w:tcW w:w="1450" w:type="dxa"/>
            <w:shd w:val="clear" w:color="auto" w:fill="auto"/>
            <w:vAlign w:val="center"/>
          </w:tcPr>
          <w:p w14:paraId="3A84339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花纹剪刀-城堡纹</w:t>
            </w:r>
          </w:p>
        </w:tc>
        <w:tc>
          <w:tcPr>
            <w:tcW w:w="2458" w:type="dxa"/>
            <w:shd w:val="clear" w:color="auto" w:fill="auto"/>
            <w:noWrap/>
            <w:vAlign w:val="center"/>
          </w:tcPr>
          <w:p w14:paraId="1C5A132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864870" cy="864235"/>
                  <wp:effectExtent l="0" t="0" r="11430" b="12065"/>
                  <wp:wrapNone/>
                  <wp:docPr id="450" name="图片_510"/>
                  <wp:cNvGraphicFramePr/>
                  <a:graphic xmlns:a="http://schemas.openxmlformats.org/drawingml/2006/main">
                    <a:graphicData uri="http://schemas.openxmlformats.org/drawingml/2006/picture">
                      <pic:pic xmlns:pic="http://schemas.openxmlformats.org/drawingml/2006/picture">
                        <pic:nvPicPr>
                          <pic:cNvPr id="450" name="图片_510"/>
                          <pic:cNvPicPr/>
                        </pic:nvPicPr>
                        <pic:blipFill>
                          <a:blip r:embed="rId219"/>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48E0DDB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材质：不锈钢、塑料尺寸：约13.5cm</w:t>
            </w:r>
          </w:p>
        </w:tc>
        <w:tc>
          <w:tcPr>
            <w:tcW w:w="1178" w:type="dxa"/>
            <w:shd w:val="clear" w:color="auto" w:fill="auto"/>
            <w:vAlign w:val="center"/>
          </w:tcPr>
          <w:p w14:paraId="1283E56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077" w:type="dxa"/>
            <w:shd w:val="clear" w:color="auto" w:fill="auto"/>
            <w:vAlign w:val="center"/>
          </w:tcPr>
          <w:p w14:paraId="6E59B18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06D718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2" w:hRule="atLeast"/>
          <w:jc w:val="center"/>
        </w:trPr>
        <w:tc>
          <w:tcPr>
            <w:tcW w:w="839" w:type="dxa"/>
            <w:shd w:val="clear" w:color="auto" w:fill="auto"/>
            <w:noWrap/>
            <w:vAlign w:val="center"/>
          </w:tcPr>
          <w:p w14:paraId="4FEEAE9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50</w:t>
            </w:r>
          </w:p>
        </w:tc>
        <w:tc>
          <w:tcPr>
            <w:tcW w:w="1450" w:type="dxa"/>
            <w:shd w:val="clear" w:color="auto" w:fill="auto"/>
            <w:vAlign w:val="center"/>
          </w:tcPr>
          <w:p w14:paraId="6BD1EC6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花纹剪刀-大锯齿</w:t>
            </w:r>
          </w:p>
        </w:tc>
        <w:tc>
          <w:tcPr>
            <w:tcW w:w="2458" w:type="dxa"/>
            <w:shd w:val="clear" w:color="auto" w:fill="auto"/>
            <w:noWrap/>
            <w:vAlign w:val="center"/>
          </w:tcPr>
          <w:p w14:paraId="066DA6F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864870" cy="864235"/>
                  <wp:effectExtent l="0" t="0" r="11430" b="12065"/>
                  <wp:wrapNone/>
                  <wp:docPr id="456" name="图片_511"/>
                  <wp:cNvGraphicFramePr/>
                  <a:graphic xmlns:a="http://schemas.openxmlformats.org/drawingml/2006/main">
                    <a:graphicData uri="http://schemas.openxmlformats.org/drawingml/2006/picture">
                      <pic:pic xmlns:pic="http://schemas.openxmlformats.org/drawingml/2006/picture">
                        <pic:nvPicPr>
                          <pic:cNvPr id="456" name="图片_511"/>
                          <pic:cNvPicPr/>
                        </pic:nvPicPr>
                        <pic:blipFill>
                          <a:blip r:embed="rId220"/>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28AEA5A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材质：不锈钢、塑料尺寸：约13.5cm</w:t>
            </w:r>
          </w:p>
        </w:tc>
        <w:tc>
          <w:tcPr>
            <w:tcW w:w="1178" w:type="dxa"/>
            <w:shd w:val="clear" w:color="auto" w:fill="auto"/>
            <w:vAlign w:val="center"/>
          </w:tcPr>
          <w:p w14:paraId="53C1AC0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077" w:type="dxa"/>
            <w:shd w:val="clear" w:color="auto" w:fill="auto"/>
            <w:vAlign w:val="center"/>
          </w:tcPr>
          <w:p w14:paraId="4A5C54D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32773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2" w:hRule="atLeast"/>
          <w:jc w:val="center"/>
        </w:trPr>
        <w:tc>
          <w:tcPr>
            <w:tcW w:w="839" w:type="dxa"/>
            <w:shd w:val="clear" w:color="auto" w:fill="auto"/>
            <w:noWrap/>
            <w:vAlign w:val="center"/>
          </w:tcPr>
          <w:p w14:paraId="0B2CAEA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51</w:t>
            </w:r>
          </w:p>
        </w:tc>
        <w:tc>
          <w:tcPr>
            <w:tcW w:w="1450" w:type="dxa"/>
            <w:shd w:val="clear" w:color="auto" w:fill="auto"/>
            <w:vAlign w:val="center"/>
          </w:tcPr>
          <w:p w14:paraId="784BD8C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12色60支易握粗杆彩铅笔</w:t>
            </w:r>
          </w:p>
        </w:tc>
        <w:tc>
          <w:tcPr>
            <w:tcW w:w="2458" w:type="dxa"/>
            <w:shd w:val="clear" w:color="auto" w:fill="auto"/>
            <w:noWrap/>
            <w:vAlign w:val="center"/>
          </w:tcPr>
          <w:p w14:paraId="38EFAB1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864870" cy="864235"/>
                  <wp:effectExtent l="0" t="0" r="11430" b="12065"/>
                  <wp:wrapNone/>
                  <wp:docPr id="459" name="图片_516"/>
                  <wp:cNvGraphicFramePr/>
                  <a:graphic xmlns:a="http://schemas.openxmlformats.org/drawingml/2006/main">
                    <a:graphicData uri="http://schemas.openxmlformats.org/drawingml/2006/picture">
                      <pic:pic xmlns:pic="http://schemas.openxmlformats.org/drawingml/2006/picture">
                        <pic:nvPicPr>
                          <pic:cNvPr id="459" name="图片_516"/>
                          <pic:cNvPicPr/>
                        </pic:nvPicPr>
                        <pic:blipFill>
                          <a:blip r:embed="rId221"/>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29E38FB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材质：环保树脂+颜料单支</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尺寸：约长约17.5cm直径约1cm笔芯直径约</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0.5cm</w:t>
            </w:r>
          </w:p>
        </w:tc>
        <w:tc>
          <w:tcPr>
            <w:tcW w:w="1178" w:type="dxa"/>
            <w:shd w:val="clear" w:color="auto" w:fill="auto"/>
            <w:vAlign w:val="center"/>
          </w:tcPr>
          <w:p w14:paraId="5B27F9A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077" w:type="dxa"/>
            <w:shd w:val="clear" w:color="auto" w:fill="auto"/>
            <w:vAlign w:val="center"/>
          </w:tcPr>
          <w:p w14:paraId="7B913BD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01E47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2" w:hRule="atLeast"/>
          <w:jc w:val="center"/>
        </w:trPr>
        <w:tc>
          <w:tcPr>
            <w:tcW w:w="839" w:type="dxa"/>
            <w:shd w:val="clear" w:color="auto" w:fill="auto"/>
            <w:noWrap/>
            <w:vAlign w:val="center"/>
          </w:tcPr>
          <w:p w14:paraId="5036C53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52</w:t>
            </w:r>
          </w:p>
        </w:tc>
        <w:tc>
          <w:tcPr>
            <w:tcW w:w="1450" w:type="dxa"/>
            <w:shd w:val="clear" w:color="auto" w:fill="auto"/>
            <w:vAlign w:val="center"/>
          </w:tcPr>
          <w:p w14:paraId="4E13C8E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白胶套装</w:t>
            </w:r>
          </w:p>
        </w:tc>
        <w:tc>
          <w:tcPr>
            <w:tcW w:w="2458" w:type="dxa"/>
            <w:shd w:val="clear" w:color="auto" w:fill="auto"/>
            <w:noWrap/>
            <w:vAlign w:val="center"/>
          </w:tcPr>
          <w:p w14:paraId="1C1B1B1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72390</wp:posOffset>
                  </wp:positionV>
                  <wp:extent cx="864870" cy="864235"/>
                  <wp:effectExtent l="0" t="0" r="11430" b="12065"/>
                  <wp:wrapNone/>
                  <wp:docPr id="452" name="图片_517"/>
                  <wp:cNvGraphicFramePr/>
                  <a:graphic xmlns:a="http://schemas.openxmlformats.org/drawingml/2006/main">
                    <a:graphicData uri="http://schemas.openxmlformats.org/drawingml/2006/picture">
                      <pic:pic xmlns:pic="http://schemas.openxmlformats.org/drawingml/2006/picture">
                        <pic:nvPicPr>
                          <pic:cNvPr id="452" name="图片_517"/>
                          <pic:cNvPicPr/>
                        </pic:nvPicPr>
                        <pic:blipFill>
                          <a:blip r:embed="rId222"/>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6D4B2D0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材质：胶水尺寸：约40ml</w:t>
            </w:r>
          </w:p>
        </w:tc>
        <w:tc>
          <w:tcPr>
            <w:tcW w:w="1178" w:type="dxa"/>
            <w:shd w:val="clear" w:color="auto" w:fill="auto"/>
            <w:vAlign w:val="center"/>
          </w:tcPr>
          <w:p w14:paraId="7E3C780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30</w:t>
            </w:r>
          </w:p>
        </w:tc>
        <w:tc>
          <w:tcPr>
            <w:tcW w:w="1077" w:type="dxa"/>
            <w:shd w:val="clear" w:color="auto" w:fill="auto"/>
            <w:vAlign w:val="center"/>
          </w:tcPr>
          <w:p w14:paraId="16B7DD1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瓶</w:t>
            </w:r>
          </w:p>
        </w:tc>
      </w:tr>
      <w:tr w14:paraId="77F56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602" w:hRule="atLeast"/>
          <w:jc w:val="center"/>
        </w:trPr>
        <w:tc>
          <w:tcPr>
            <w:tcW w:w="839" w:type="dxa"/>
            <w:shd w:val="clear" w:color="auto" w:fill="auto"/>
            <w:noWrap/>
            <w:vAlign w:val="center"/>
          </w:tcPr>
          <w:p w14:paraId="33DDA49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53</w:t>
            </w:r>
          </w:p>
        </w:tc>
        <w:tc>
          <w:tcPr>
            <w:tcW w:w="1450" w:type="dxa"/>
            <w:shd w:val="clear" w:color="auto" w:fill="auto"/>
            <w:vAlign w:val="center"/>
          </w:tcPr>
          <w:p w14:paraId="20820D4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DIY圆木片-L</w:t>
            </w:r>
          </w:p>
        </w:tc>
        <w:tc>
          <w:tcPr>
            <w:tcW w:w="2458" w:type="dxa"/>
            <w:shd w:val="clear" w:color="auto" w:fill="auto"/>
            <w:noWrap/>
            <w:vAlign w:val="center"/>
          </w:tcPr>
          <w:p w14:paraId="524DDE3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229235</wp:posOffset>
                  </wp:positionH>
                  <wp:positionV relativeFrom="paragraph">
                    <wp:posOffset>72390</wp:posOffset>
                  </wp:positionV>
                  <wp:extent cx="959485" cy="864235"/>
                  <wp:effectExtent l="0" t="0" r="5715" b="12065"/>
                  <wp:wrapNone/>
                  <wp:docPr id="462" name="图片_2"/>
                  <wp:cNvGraphicFramePr/>
                  <a:graphic xmlns:a="http://schemas.openxmlformats.org/drawingml/2006/main">
                    <a:graphicData uri="http://schemas.openxmlformats.org/drawingml/2006/picture">
                      <pic:pic xmlns:pic="http://schemas.openxmlformats.org/drawingml/2006/picture">
                        <pic:nvPicPr>
                          <pic:cNvPr id="462" name="图片_2"/>
                          <pic:cNvPicPr/>
                        </pic:nvPicPr>
                        <pic:blipFill>
                          <a:blip r:embed="rId223"/>
                          <a:stretch>
                            <a:fillRect/>
                          </a:stretch>
                        </pic:blipFill>
                        <pic:spPr>
                          <a:xfrm>
                            <a:off x="0" y="0"/>
                            <a:ext cx="959485" cy="864235"/>
                          </a:xfrm>
                          <a:prstGeom prst="rect">
                            <a:avLst/>
                          </a:prstGeom>
                          <a:noFill/>
                          <a:ln>
                            <a:noFill/>
                          </a:ln>
                        </pic:spPr>
                      </pic:pic>
                    </a:graphicData>
                  </a:graphic>
                </wp:anchor>
              </w:drawing>
            </w:r>
          </w:p>
        </w:tc>
        <w:tc>
          <w:tcPr>
            <w:tcW w:w="5742" w:type="dxa"/>
            <w:shd w:val="clear" w:color="auto" w:fill="auto"/>
            <w:vAlign w:val="center"/>
          </w:tcPr>
          <w:p w14:paraId="23DD8C4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材质：木制尺寸：约9-10×1cm</w:t>
            </w:r>
          </w:p>
        </w:tc>
        <w:tc>
          <w:tcPr>
            <w:tcW w:w="1178" w:type="dxa"/>
            <w:shd w:val="clear" w:color="auto" w:fill="auto"/>
            <w:vAlign w:val="center"/>
          </w:tcPr>
          <w:p w14:paraId="091A5A8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077" w:type="dxa"/>
            <w:shd w:val="clear" w:color="auto" w:fill="auto"/>
            <w:vAlign w:val="center"/>
          </w:tcPr>
          <w:p w14:paraId="1DB32C0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11E1F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602" w:hRule="atLeast"/>
          <w:jc w:val="center"/>
        </w:trPr>
        <w:tc>
          <w:tcPr>
            <w:tcW w:w="839" w:type="dxa"/>
            <w:shd w:val="clear" w:color="auto" w:fill="auto"/>
            <w:noWrap/>
            <w:vAlign w:val="center"/>
          </w:tcPr>
          <w:p w14:paraId="0329ABA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54</w:t>
            </w:r>
          </w:p>
        </w:tc>
        <w:tc>
          <w:tcPr>
            <w:tcW w:w="1450" w:type="dxa"/>
            <w:shd w:val="clear" w:color="auto" w:fill="auto"/>
            <w:vAlign w:val="center"/>
          </w:tcPr>
          <w:p w14:paraId="0C5AEF8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DIY圆木片-M</w:t>
            </w:r>
          </w:p>
        </w:tc>
        <w:tc>
          <w:tcPr>
            <w:tcW w:w="2458" w:type="dxa"/>
            <w:shd w:val="clear" w:color="auto" w:fill="auto"/>
            <w:noWrap/>
            <w:vAlign w:val="center"/>
          </w:tcPr>
          <w:p w14:paraId="61ADF9B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240665</wp:posOffset>
                  </wp:positionH>
                  <wp:positionV relativeFrom="paragraph">
                    <wp:posOffset>72390</wp:posOffset>
                  </wp:positionV>
                  <wp:extent cx="937260" cy="864235"/>
                  <wp:effectExtent l="0" t="0" r="2540" b="12065"/>
                  <wp:wrapNone/>
                  <wp:docPr id="458" name="图片_13"/>
                  <wp:cNvGraphicFramePr/>
                  <a:graphic xmlns:a="http://schemas.openxmlformats.org/drawingml/2006/main">
                    <a:graphicData uri="http://schemas.openxmlformats.org/drawingml/2006/picture">
                      <pic:pic xmlns:pic="http://schemas.openxmlformats.org/drawingml/2006/picture">
                        <pic:nvPicPr>
                          <pic:cNvPr id="458" name="图片_13"/>
                          <pic:cNvPicPr/>
                        </pic:nvPicPr>
                        <pic:blipFill>
                          <a:blip r:embed="rId224"/>
                          <a:stretch>
                            <a:fillRect/>
                          </a:stretch>
                        </pic:blipFill>
                        <pic:spPr>
                          <a:xfrm>
                            <a:off x="0" y="0"/>
                            <a:ext cx="937260" cy="864235"/>
                          </a:xfrm>
                          <a:prstGeom prst="rect">
                            <a:avLst/>
                          </a:prstGeom>
                          <a:noFill/>
                          <a:ln>
                            <a:noFill/>
                          </a:ln>
                        </pic:spPr>
                      </pic:pic>
                    </a:graphicData>
                  </a:graphic>
                </wp:anchor>
              </w:drawing>
            </w:r>
          </w:p>
        </w:tc>
        <w:tc>
          <w:tcPr>
            <w:tcW w:w="5742" w:type="dxa"/>
            <w:shd w:val="clear" w:color="auto" w:fill="auto"/>
            <w:vAlign w:val="center"/>
          </w:tcPr>
          <w:p w14:paraId="485C02B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材质：木制尺寸：约5-6×1cm</w:t>
            </w:r>
          </w:p>
        </w:tc>
        <w:tc>
          <w:tcPr>
            <w:tcW w:w="1178" w:type="dxa"/>
            <w:shd w:val="clear" w:color="auto" w:fill="auto"/>
            <w:vAlign w:val="center"/>
          </w:tcPr>
          <w:p w14:paraId="75CE899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077" w:type="dxa"/>
            <w:shd w:val="clear" w:color="auto" w:fill="auto"/>
            <w:vAlign w:val="center"/>
          </w:tcPr>
          <w:p w14:paraId="52F910A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643B1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2" w:hRule="atLeast"/>
          <w:jc w:val="center"/>
        </w:trPr>
        <w:tc>
          <w:tcPr>
            <w:tcW w:w="839" w:type="dxa"/>
            <w:shd w:val="clear" w:color="auto" w:fill="auto"/>
            <w:noWrap/>
            <w:vAlign w:val="center"/>
          </w:tcPr>
          <w:p w14:paraId="401F59B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55</w:t>
            </w:r>
          </w:p>
        </w:tc>
        <w:tc>
          <w:tcPr>
            <w:tcW w:w="1450" w:type="dxa"/>
            <w:shd w:val="clear" w:color="auto" w:fill="auto"/>
            <w:vAlign w:val="center"/>
          </w:tcPr>
          <w:p w14:paraId="1CBB0F0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DIY圆木片-S</w:t>
            </w:r>
          </w:p>
        </w:tc>
        <w:tc>
          <w:tcPr>
            <w:tcW w:w="2458" w:type="dxa"/>
            <w:shd w:val="clear" w:color="auto" w:fill="auto"/>
            <w:noWrap/>
            <w:vAlign w:val="center"/>
          </w:tcPr>
          <w:p w14:paraId="6A3E15D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264160</wp:posOffset>
                  </wp:positionH>
                  <wp:positionV relativeFrom="paragraph">
                    <wp:posOffset>72390</wp:posOffset>
                  </wp:positionV>
                  <wp:extent cx="889000" cy="864235"/>
                  <wp:effectExtent l="0" t="0" r="0" b="12065"/>
                  <wp:wrapNone/>
                  <wp:docPr id="451" name="图片_468"/>
                  <wp:cNvGraphicFramePr/>
                  <a:graphic xmlns:a="http://schemas.openxmlformats.org/drawingml/2006/main">
                    <a:graphicData uri="http://schemas.openxmlformats.org/drawingml/2006/picture">
                      <pic:pic xmlns:pic="http://schemas.openxmlformats.org/drawingml/2006/picture">
                        <pic:nvPicPr>
                          <pic:cNvPr id="451" name="图片_468"/>
                          <pic:cNvPicPr/>
                        </pic:nvPicPr>
                        <pic:blipFill>
                          <a:blip r:embed="rId225"/>
                          <a:stretch>
                            <a:fillRect/>
                          </a:stretch>
                        </pic:blipFill>
                        <pic:spPr>
                          <a:xfrm>
                            <a:off x="0" y="0"/>
                            <a:ext cx="889000" cy="864235"/>
                          </a:xfrm>
                          <a:prstGeom prst="rect">
                            <a:avLst/>
                          </a:prstGeom>
                          <a:noFill/>
                          <a:ln>
                            <a:noFill/>
                          </a:ln>
                        </pic:spPr>
                      </pic:pic>
                    </a:graphicData>
                  </a:graphic>
                </wp:anchor>
              </w:drawing>
            </w:r>
          </w:p>
        </w:tc>
        <w:tc>
          <w:tcPr>
            <w:tcW w:w="5742" w:type="dxa"/>
            <w:shd w:val="clear" w:color="auto" w:fill="auto"/>
            <w:vAlign w:val="center"/>
          </w:tcPr>
          <w:p w14:paraId="62553AE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材质：木制尺寸：约4-5×0.5cm</w:t>
            </w:r>
          </w:p>
        </w:tc>
        <w:tc>
          <w:tcPr>
            <w:tcW w:w="1178" w:type="dxa"/>
            <w:shd w:val="clear" w:color="auto" w:fill="auto"/>
            <w:vAlign w:val="center"/>
          </w:tcPr>
          <w:p w14:paraId="29A21DB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077" w:type="dxa"/>
            <w:shd w:val="clear" w:color="auto" w:fill="auto"/>
            <w:vAlign w:val="center"/>
          </w:tcPr>
          <w:p w14:paraId="632D5A6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3679C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2" w:hRule="atLeast"/>
          <w:jc w:val="center"/>
        </w:trPr>
        <w:tc>
          <w:tcPr>
            <w:tcW w:w="839" w:type="dxa"/>
            <w:shd w:val="clear" w:color="auto" w:fill="auto"/>
            <w:noWrap/>
            <w:vAlign w:val="center"/>
          </w:tcPr>
          <w:p w14:paraId="6FE9B57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56</w:t>
            </w:r>
          </w:p>
        </w:tc>
        <w:tc>
          <w:tcPr>
            <w:tcW w:w="1450" w:type="dxa"/>
            <w:shd w:val="clear" w:color="auto" w:fill="auto"/>
            <w:vAlign w:val="center"/>
          </w:tcPr>
          <w:p w14:paraId="025E97B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超轻黏土-红</w:t>
            </w:r>
          </w:p>
        </w:tc>
        <w:tc>
          <w:tcPr>
            <w:tcW w:w="2458" w:type="dxa"/>
            <w:shd w:val="clear" w:color="auto" w:fill="auto"/>
            <w:noWrap/>
            <w:vAlign w:val="center"/>
          </w:tcPr>
          <w:p w14:paraId="59BD0DE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864235"/>
                  <wp:effectExtent l="0" t="0" r="11430" b="12065"/>
                  <wp:wrapNone/>
                  <wp:docPr id="457" name="图片_479"/>
                  <wp:cNvGraphicFramePr/>
                  <a:graphic xmlns:a="http://schemas.openxmlformats.org/drawingml/2006/main">
                    <a:graphicData uri="http://schemas.openxmlformats.org/drawingml/2006/picture">
                      <pic:pic xmlns:pic="http://schemas.openxmlformats.org/drawingml/2006/picture">
                        <pic:nvPicPr>
                          <pic:cNvPr id="457" name="图片_479"/>
                          <pic:cNvPicPr/>
                        </pic:nvPicPr>
                        <pic:blipFill>
                          <a:blip r:embed="rId102"/>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5052581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材质：PVA、水、甘油尺寸：约100g约14X21.5cm</w:t>
            </w:r>
          </w:p>
        </w:tc>
        <w:tc>
          <w:tcPr>
            <w:tcW w:w="1178" w:type="dxa"/>
            <w:shd w:val="clear" w:color="auto" w:fill="auto"/>
            <w:vAlign w:val="center"/>
          </w:tcPr>
          <w:p w14:paraId="1AE0283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10</w:t>
            </w:r>
          </w:p>
        </w:tc>
        <w:tc>
          <w:tcPr>
            <w:tcW w:w="1077" w:type="dxa"/>
            <w:shd w:val="clear" w:color="auto" w:fill="auto"/>
            <w:vAlign w:val="center"/>
          </w:tcPr>
          <w:p w14:paraId="18E6B0B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187CBA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2" w:hRule="atLeast"/>
          <w:jc w:val="center"/>
        </w:trPr>
        <w:tc>
          <w:tcPr>
            <w:tcW w:w="839" w:type="dxa"/>
            <w:shd w:val="clear" w:color="auto" w:fill="auto"/>
            <w:noWrap/>
            <w:vAlign w:val="center"/>
          </w:tcPr>
          <w:p w14:paraId="1A6D7CA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57</w:t>
            </w:r>
          </w:p>
        </w:tc>
        <w:tc>
          <w:tcPr>
            <w:tcW w:w="1450" w:type="dxa"/>
            <w:shd w:val="clear" w:color="auto" w:fill="auto"/>
            <w:vAlign w:val="center"/>
          </w:tcPr>
          <w:p w14:paraId="52CFBDB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超轻黏土-黄</w:t>
            </w:r>
          </w:p>
        </w:tc>
        <w:tc>
          <w:tcPr>
            <w:tcW w:w="2458" w:type="dxa"/>
            <w:shd w:val="clear" w:color="auto" w:fill="auto"/>
            <w:noWrap/>
            <w:vAlign w:val="center"/>
          </w:tcPr>
          <w:p w14:paraId="6436924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864235"/>
                  <wp:effectExtent l="0" t="0" r="11430" b="12065"/>
                  <wp:wrapNone/>
                  <wp:docPr id="463" name="图片_480"/>
                  <wp:cNvGraphicFramePr/>
                  <a:graphic xmlns:a="http://schemas.openxmlformats.org/drawingml/2006/main">
                    <a:graphicData uri="http://schemas.openxmlformats.org/drawingml/2006/picture">
                      <pic:pic xmlns:pic="http://schemas.openxmlformats.org/drawingml/2006/picture">
                        <pic:nvPicPr>
                          <pic:cNvPr id="463" name="图片_480"/>
                          <pic:cNvPicPr/>
                        </pic:nvPicPr>
                        <pic:blipFill>
                          <a:blip r:embed="rId103"/>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63B6AE2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材质：PVA、水、甘油尺寸：约100g约14X21.5cm</w:t>
            </w:r>
          </w:p>
        </w:tc>
        <w:tc>
          <w:tcPr>
            <w:tcW w:w="1178" w:type="dxa"/>
            <w:shd w:val="clear" w:color="auto" w:fill="auto"/>
            <w:vAlign w:val="center"/>
          </w:tcPr>
          <w:p w14:paraId="0F75CBA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10</w:t>
            </w:r>
          </w:p>
        </w:tc>
        <w:tc>
          <w:tcPr>
            <w:tcW w:w="1077" w:type="dxa"/>
            <w:shd w:val="clear" w:color="auto" w:fill="auto"/>
            <w:vAlign w:val="center"/>
          </w:tcPr>
          <w:p w14:paraId="6FBC542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77555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2" w:hRule="atLeast"/>
          <w:jc w:val="center"/>
        </w:trPr>
        <w:tc>
          <w:tcPr>
            <w:tcW w:w="839" w:type="dxa"/>
            <w:shd w:val="clear" w:color="auto" w:fill="auto"/>
            <w:noWrap/>
            <w:vAlign w:val="center"/>
          </w:tcPr>
          <w:p w14:paraId="6D4C5DC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58</w:t>
            </w:r>
          </w:p>
        </w:tc>
        <w:tc>
          <w:tcPr>
            <w:tcW w:w="1450" w:type="dxa"/>
            <w:shd w:val="clear" w:color="auto" w:fill="auto"/>
            <w:vAlign w:val="center"/>
          </w:tcPr>
          <w:p w14:paraId="3BEDBBD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超轻黏土-蓝</w:t>
            </w:r>
          </w:p>
        </w:tc>
        <w:tc>
          <w:tcPr>
            <w:tcW w:w="2458" w:type="dxa"/>
            <w:shd w:val="clear" w:color="auto" w:fill="auto"/>
            <w:noWrap/>
            <w:vAlign w:val="center"/>
          </w:tcPr>
          <w:p w14:paraId="7B30B8F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864235"/>
                  <wp:effectExtent l="0" t="0" r="11430" b="12065"/>
                  <wp:wrapNone/>
                  <wp:docPr id="453" name="图片_495"/>
                  <wp:cNvGraphicFramePr/>
                  <a:graphic xmlns:a="http://schemas.openxmlformats.org/drawingml/2006/main">
                    <a:graphicData uri="http://schemas.openxmlformats.org/drawingml/2006/picture">
                      <pic:pic xmlns:pic="http://schemas.openxmlformats.org/drawingml/2006/picture">
                        <pic:nvPicPr>
                          <pic:cNvPr id="453" name="图片_495"/>
                          <pic:cNvPicPr/>
                        </pic:nvPicPr>
                        <pic:blipFill>
                          <a:blip r:embed="rId104"/>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3EB62B3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材质：PVA、水、甘油尺寸：约100g约14X21.5cm</w:t>
            </w:r>
          </w:p>
        </w:tc>
        <w:tc>
          <w:tcPr>
            <w:tcW w:w="1178" w:type="dxa"/>
            <w:shd w:val="clear" w:color="auto" w:fill="auto"/>
            <w:vAlign w:val="center"/>
          </w:tcPr>
          <w:p w14:paraId="0439D0A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10</w:t>
            </w:r>
          </w:p>
        </w:tc>
        <w:tc>
          <w:tcPr>
            <w:tcW w:w="1077" w:type="dxa"/>
            <w:shd w:val="clear" w:color="auto" w:fill="auto"/>
            <w:vAlign w:val="center"/>
          </w:tcPr>
          <w:p w14:paraId="4C85DEF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468257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2" w:hRule="atLeast"/>
          <w:jc w:val="center"/>
        </w:trPr>
        <w:tc>
          <w:tcPr>
            <w:tcW w:w="839" w:type="dxa"/>
            <w:shd w:val="clear" w:color="auto" w:fill="auto"/>
            <w:noWrap/>
            <w:vAlign w:val="center"/>
          </w:tcPr>
          <w:p w14:paraId="4B54234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59</w:t>
            </w:r>
          </w:p>
        </w:tc>
        <w:tc>
          <w:tcPr>
            <w:tcW w:w="1450" w:type="dxa"/>
            <w:shd w:val="clear" w:color="auto" w:fill="auto"/>
            <w:vAlign w:val="center"/>
          </w:tcPr>
          <w:p w14:paraId="2F72404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超轻黏土-白</w:t>
            </w:r>
          </w:p>
        </w:tc>
        <w:tc>
          <w:tcPr>
            <w:tcW w:w="2458" w:type="dxa"/>
            <w:shd w:val="clear" w:color="auto" w:fill="auto"/>
            <w:noWrap/>
            <w:vAlign w:val="center"/>
          </w:tcPr>
          <w:p w14:paraId="0AA728F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864235"/>
                  <wp:effectExtent l="0" t="0" r="11430" b="12065"/>
                  <wp:wrapNone/>
                  <wp:docPr id="454" name="图片_1"/>
                  <wp:cNvGraphicFramePr/>
                  <a:graphic xmlns:a="http://schemas.openxmlformats.org/drawingml/2006/main">
                    <a:graphicData uri="http://schemas.openxmlformats.org/drawingml/2006/picture">
                      <pic:pic xmlns:pic="http://schemas.openxmlformats.org/drawingml/2006/picture">
                        <pic:nvPicPr>
                          <pic:cNvPr id="454" name="图片_1"/>
                          <pic:cNvPicPr/>
                        </pic:nvPicPr>
                        <pic:blipFill>
                          <a:blip r:embed="rId226"/>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650E808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材质：PVA、水、甘油尺寸：约100g约14X21.5cm</w:t>
            </w:r>
          </w:p>
        </w:tc>
        <w:tc>
          <w:tcPr>
            <w:tcW w:w="1178" w:type="dxa"/>
            <w:shd w:val="clear" w:color="auto" w:fill="auto"/>
            <w:vAlign w:val="center"/>
          </w:tcPr>
          <w:p w14:paraId="04E959C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10</w:t>
            </w:r>
          </w:p>
        </w:tc>
        <w:tc>
          <w:tcPr>
            <w:tcW w:w="1077" w:type="dxa"/>
            <w:shd w:val="clear" w:color="auto" w:fill="auto"/>
            <w:vAlign w:val="center"/>
          </w:tcPr>
          <w:p w14:paraId="531C467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210D1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2" w:hRule="atLeast"/>
          <w:jc w:val="center"/>
        </w:trPr>
        <w:tc>
          <w:tcPr>
            <w:tcW w:w="839" w:type="dxa"/>
            <w:shd w:val="clear" w:color="auto" w:fill="auto"/>
            <w:noWrap/>
            <w:vAlign w:val="center"/>
          </w:tcPr>
          <w:p w14:paraId="0EE681D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60</w:t>
            </w:r>
          </w:p>
        </w:tc>
        <w:tc>
          <w:tcPr>
            <w:tcW w:w="1450" w:type="dxa"/>
            <w:shd w:val="clear" w:color="auto" w:fill="auto"/>
            <w:vAlign w:val="center"/>
          </w:tcPr>
          <w:p w14:paraId="44B10C2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超轻黏土-黑</w:t>
            </w:r>
          </w:p>
        </w:tc>
        <w:tc>
          <w:tcPr>
            <w:tcW w:w="2458" w:type="dxa"/>
            <w:shd w:val="clear" w:color="auto" w:fill="auto"/>
            <w:noWrap/>
            <w:vAlign w:val="center"/>
          </w:tcPr>
          <w:p w14:paraId="7BCB7BB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864235"/>
                  <wp:effectExtent l="0" t="0" r="11430" b="12065"/>
                  <wp:wrapNone/>
                  <wp:docPr id="460" name="图片_3"/>
                  <wp:cNvGraphicFramePr/>
                  <a:graphic xmlns:a="http://schemas.openxmlformats.org/drawingml/2006/main">
                    <a:graphicData uri="http://schemas.openxmlformats.org/drawingml/2006/picture">
                      <pic:pic xmlns:pic="http://schemas.openxmlformats.org/drawingml/2006/picture">
                        <pic:nvPicPr>
                          <pic:cNvPr id="460" name="图片_3"/>
                          <pic:cNvPicPr/>
                        </pic:nvPicPr>
                        <pic:blipFill>
                          <a:blip r:embed="rId227"/>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6B949A4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材质：PVA、水、甘油尺寸：约100g约14X21.5cm</w:t>
            </w:r>
          </w:p>
        </w:tc>
        <w:tc>
          <w:tcPr>
            <w:tcW w:w="1178" w:type="dxa"/>
            <w:shd w:val="clear" w:color="auto" w:fill="auto"/>
            <w:vAlign w:val="center"/>
          </w:tcPr>
          <w:p w14:paraId="637B9E9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10</w:t>
            </w:r>
          </w:p>
        </w:tc>
        <w:tc>
          <w:tcPr>
            <w:tcW w:w="1077" w:type="dxa"/>
            <w:shd w:val="clear" w:color="auto" w:fill="auto"/>
            <w:vAlign w:val="center"/>
          </w:tcPr>
          <w:p w14:paraId="09EE01E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r w14:paraId="7B770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2" w:hRule="atLeast"/>
          <w:jc w:val="center"/>
        </w:trPr>
        <w:tc>
          <w:tcPr>
            <w:tcW w:w="839" w:type="dxa"/>
            <w:shd w:val="clear" w:color="auto" w:fill="auto"/>
            <w:noWrap/>
            <w:vAlign w:val="center"/>
          </w:tcPr>
          <w:p w14:paraId="7CDE3CF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61</w:t>
            </w:r>
          </w:p>
        </w:tc>
        <w:tc>
          <w:tcPr>
            <w:tcW w:w="1450" w:type="dxa"/>
            <w:shd w:val="clear" w:color="auto" w:fill="auto"/>
            <w:vAlign w:val="center"/>
          </w:tcPr>
          <w:p w14:paraId="29F4CF8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超轻黏土-绿</w:t>
            </w:r>
          </w:p>
        </w:tc>
        <w:tc>
          <w:tcPr>
            <w:tcW w:w="2458" w:type="dxa"/>
            <w:shd w:val="clear" w:color="auto" w:fill="auto"/>
            <w:noWrap/>
            <w:vAlign w:val="center"/>
          </w:tcPr>
          <w:p w14:paraId="3B65677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71755</wp:posOffset>
                  </wp:positionV>
                  <wp:extent cx="864870" cy="864235"/>
                  <wp:effectExtent l="0" t="0" r="11430" b="12065"/>
                  <wp:wrapNone/>
                  <wp:docPr id="461" name="图片_4"/>
                  <wp:cNvGraphicFramePr/>
                  <a:graphic xmlns:a="http://schemas.openxmlformats.org/drawingml/2006/main">
                    <a:graphicData uri="http://schemas.openxmlformats.org/drawingml/2006/picture">
                      <pic:pic xmlns:pic="http://schemas.openxmlformats.org/drawingml/2006/picture">
                        <pic:nvPicPr>
                          <pic:cNvPr id="461" name="图片_4"/>
                          <pic:cNvPicPr/>
                        </pic:nvPicPr>
                        <pic:blipFill>
                          <a:blip r:embed="rId228"/>
                          <a:stretch>
                            <a:fillRect/>
                          </a:stretch>
                        </pic:blipFill>
                        <pic:spPr>
                          <a:xfrm>
                            <a:off x="0" y="0"/>
                            <a:ext cx="864870" cy="864235"/>
                          </a:xfrm>
                          <a:prstGeom prst="rect">
                            <a:avLst/>
                          </a:prstGeom>
                          <a:noFill/>
                          <a:ln>
                            <a:noFill/>
                          </a:ln>
                        </pic:spPr>
                      </pic:pic>
                    </a:graphicData>
                  </a:graphic>
                </wp:anchor>
              </w:drawing>
            </w:r>
          </w:p>
        </w:tc>
        <w:tc>
          <w:tcPr>
            <w:tcW w:w="5742" w:type="dxa"/>
            <w:shd w:val="clear" w:color="auto" w:fill="auto"/>
            <w:vAlign w:val="center"/>
          </w:tcPr>
          <w:p w14:paraId="667BACA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材质：PVA、水、甘油尺寸：约100g约14X21.5cm</w:t>
            </w:r>
          </w:p>
        </w:tc>
        <w:tc>
          <w:tcPr>
            <w:tcW w:w="1178" w:type="dxa"/>
            <w:shd w:val="clear" w:color="auto" w:fill="auto"/>
            <w:vAlign w:val="center"/>
          </w:tcPr>
          <w:p w14:paraId="733F01B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10</w:t>
            </w:r>
          </w:p>
        </w:tc>
        <w:tc>
          <w:tcPr>
            <w:tcW w:w="1077" w:type="dxa"/>
            <w:shd w:val="clear" w:color="auto" w:fill="auto"/>
            <w:vAlign w:val="center"/>
          </w:tcPr>
          <w:p w14:paraId="20D8798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件</w:t>
            </w:r>
          </w:p>
        </w:tc>
      </w:tr>
    </w:tbl>
    <w:p w14:paraId="4C8BE459">
      <w:pPr>
        <w:spacing w:line="360" w:lineRule="auto"/>
        <w:jc w:val="center"/>
        <w:outlineLvl w:val="0"/>
        <w:rPr>
          <w:rFonts w:hint="eastAsia" w:ascii="宋体" w:hAnsi="宋体" w:cs="宋体"/>
          <w:b/>
          <w:color w:val="auto"/>
          <w:sz w:val="36"/>
          <w:szCs w:val="36"/>
        </w:rPr>
      </w:pPr>
    </w:p>
    <w:p w14:paraId="00D11B6A">
      <w:pPr>
        <w:spacing w:line="360" w:lineRule="auto"/>
        <w:jc w:val="center"/>
        <w:outlineLvl w:val="0"/>
        <w:rPr>
          <w:rFonts w:hint="eastAsia" w:ascii="宋体" w:hAnsi="宋体" w:cs="宋体"/>
          <w:b/>
          <w:color w:val="auto"/>
          <w:sz w:val="36"/>
          <w:szCs w:val="36"/>
        </w:rPr>
      </w:pPr>
    </w:p>
    <w:p w14:paraId="15AEA99B">
      <w:pPr>
        <w:spacing w:line="360" w:lineRule="auto"/>
        <w:jc w:val="center"/>
        <w:outlineLvl w:val="0"/>
        <w:rPr>
          <w:rFonts w:hint="eastAsia" w:ascii="宋体" w:hAnsi="宋体" w:cs="宋体"/>
          <w:b/>
          <w:color w:val="auto"/>
          <w:sz w:val="36"/>
          <w:szCs w:val="36"/>
        </w:rPr>
      </w:pPr>
    </w:p>
    <w:p w14:paraId="748792B7">
      <w:pPr>
        <w:spacing w:line="360" w:lineRule="auto"/>
        <w:jc w:val="center"/>
        <w:outlineLvl w:val="0"/>
        <w:rPr>
          <w:rFonts w:hint="eastAsia" w:ascii="宋体" w:hAnsi="宋体" w:cs="宋体"/>
          <w:b/>
          <w:color w:val="auto"/>
          <w:sz w:val="36"/>
          <w:szCs w:val="36"/>
        </w:rPr>
      </w:pPr>
    </w:p>
    <w:p w14:paraId="4F548C5D">
      <w:pPr>
        <w:spacing w:line="360" w:lineRule="auto"/>
        <w:jc w:val="center"/>
        <w:outlineLvl w:val="0"/>
        <w:rPr>
          <w:rFonts w:hint="eastAsia" w:ascii="宋体" w:hAnsi="宋体" w:cs="宋体"/>
          <w:b/>
          <w:color w:val="auto"/>
          <w:sz w:val="36"/>
          <w:szCs w:val="36"/>
        </w:rPr>
      </w:pPr>
    </w:p>
    <w:p w14:paraId="6FBCF305">
      <w:pPr>
        <w:spacing w:line="360" w:lineRule="auto"/>
        <w:jc w:val="center"/>
        <w:outlineLvl w:val="0"/>
        <w:rPr>
          <w:rFonts w:hint="eastAsia" w:ascii="宋体" w:hAnsi="宋体" w:cs="宋体"/>
          <w:b/>
          <w:color w:val="auto"/>
          <w:sz w:val="36"/>
          <w:szCs w:val="36"/>
        </w:rPr>
      </w:pPr>
    </w:p>
    <w:tbl>
      <w:tblPr>
        <w:tblStyle w:val="62"/>
        <w:tblW w:w="13036" w:type="dxa"/>
        <w:tblInd w:w="7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822"/>
        <w:gridCol w:w="1445"/>
        <w:gridCol w:w="2488"/>
        <w:gridCol w:w="4800"/>
        <w:gridCol w:w="1167"/>
        <w:gridCol w:w="2192"/>
        <w:gridCol w:w="122"/>
      </w:tblGrid>
      <w:tr w14:paraId="304A13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PrEx>
        <w:trPr>
          <w:gridAfter w:val="1"/>
          <w:wAfter w:w="122" w:type="dxa"/>
          <w:trHeight w:val="535" w:hRule="atLeast"/>
        </w:trPr>
        <w:tc>
          <w:tcPr>
            <w:tcW w:w="12914" w:type="dxa"/>
            <w:gridSpan w:val="6"/>
            <w:shd w:val="clear" w:color="auto" w:fill="auto"/>
            <w:noWrap/>
            <w:vAlign w:val="center"/>
          </w:tcPr>
          <w:p w14:paraId="27B40C90">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cs="宋体"/>
                <w:b/>
                <w:bCs/>
                <w:i w:val="0"/>
                <w:iCs w:val="0"/>
                <w:color w:val="auto"/>
                <w:kern w:val="0"/>
                <w:sz w:val="24"/>
                <w:szCs w:val="24"/>
                <w:u w:val="none"/>
                <w:lang w:val="en-US" w:eastAsia="zh-CN" w:bidi="ar"/>
              </w:rPr>
              <w:t>4</w:t>
            </w:r>
            <w:r>
              <w:rPr>
                <w:rFonts w:hint="eastAsia" w:ascii="宋体" w:hAnsi="宋体" w:eastAsia="宋体" w:cs="宋体"/>
                <w:b/>
                <w:bCs/>
                <w:i w:val="0"/>
                <w:iCs w:val="0"/>
                <w:color w:val="auto"/>
                <w:kern w:val="0"/>
                <w:sz w:val="24"/>
                <w:szCs w:val="24"/>
                <w:u w:val="none"/>
                <w:lang w:val="en-US" w:eastAsia="zh-CN" w:bidi="ar"/>
              </w:rPr>
              <w:t>、共享空间玩具</w:t>
            </w:r>
          </w:p>
        </w:tc>
      </w:tr>
      <w:tr w14:paraId="70664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00" w:hRule="atLeast"/>
        </w:trPr>
        <w:tc>
          <w:tcPr>
            <w:tcW w:w="822" w:type="dxa"/>
            <w:shd w:val="clear" w:color="auto" w:fill="auto"/>
            <w:vAlign w:val="center"/>
          </w:tcPr>
          <w:p w14:paraId="412AD6E3">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序号</w:t>
            </w:r>
          </w:p>
        </w:tc>
        <w:tc>
          <w:tcPr>
            <w:tcW w:w="1445" w:type="dxa"/>
            <w:shd w:val="clear" w:color="auto" w:fill="auto"/>
            <w:vAlign w:val="center"/>
          </w:tcPr>
          <w:p w14:paraId="295842A0">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名称</w:t>
            </w:r>
          </w:p>
        </w:tc>
        <w:tc>
          <w:tcPr>
            <w:tcW w:w="2488" w:type="dxa"/>
            <w:shd w:val="clear" w:color="auto" w:fill="auto"/>
            <w:vAlign w:val="center"/>
          </w:tcPr>
          <w:p w14:paraId="0DC6D0F6">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参考图片</w:t>
            </w:r>
          </w:p>
        </w:tc>
        <w:tc>
          <w:tcPr>
            <w:tcW w:w="4800" w:type="dxa"/>
            <w:shd w:val="clear" w:color="auto" w:fill="auto"/>
            <w:vAlign w:val="center"/>
          </w:tcPr>
          <w:p w14:paraId="2739C976">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参数规格</w:t>
            </w:r>
          </w:p>
        </w:tc>
        <w:tc>
          <w:tcPr>
            <w:tcW w:w="1167" w:type="dxa"/>
            <w:shd w:val="clear" w:color="auto" w:fill="auto"/>
            <w:vAlign w:val="center"/>
          </w:tcPr>
          <w:p w14:paraId="15B7C162">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数量</w:t>
            </w:r>
          </w:p>
        </w:tc>
        <w:tc>
          <w:tcPr>
            <w:tcW w:w="2314" w:type="dxa"/>
            <w:gridSpan w:val="2"/>
            <w:shd w:val="clear" w:color="auto" w:fill="auto"/>
            <w:vAlign w:val="center"/>
          </w:tcPr>
          <w:p w14:paraId="226B7118">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单位</w:t>
            </w:r>
          </w:p>
        </w:tc>
      </w:tr>
      <w:tr w14:paraId="2DC349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456" w:hRule="atLeast"/>
        </w:trPr>
        <w:tc>
          <w:tcPr>
            <w:tcW w:w="822" w:type="dxa"/>
            <w:shd w:val="clear" w:color="auto" w:fill="auto"/>
            <w:vAlign w:val="center"/>
          </w:tcPr>
          <w:p w14:paraId="3EEF323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445" w:type="dxa"/>
            <w:shd w:val="clear" w:color="auto" w:fill="auto"/>
            <w:vAlign w:val="center"/>
          </w:tcPr>
          <w:p w14:paraId="50C0759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可爱熊双人沙发</w:t>
            </w:r>
          </w:p>
        </w:tc>
        <w:tc>
          <w:tcPr>
            <w:tcW w:w="2488" w:type="dxa"/>
            <w:shd w:val="clear" w:color="auto" w:fill="auto"/>
            <w:noWrap/>
            <w:vAlign w:val="center"/>
          </w:tcPr>
          <w:p w14:paraId="7D0F694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309880</wp:posOffset>
                  </wp:positionH>
                  <wp:positionV relativeFrom="paragraph">
                    <wp:posOffset>28575</wp:posOffset>
                  </wp:positionV>
                  <wp:extent cx="696595" cy="880110"/>
                  <wp:effectExtent l="0" t="0" r="1905" b="8890"/>
                  <wp:wrapSquare wrapText="bothSides"/>
                  <wp:docPr id="551" name="图片_38"/>
                  <wp:cNvGraphicFramePr/>
                  <a:graphic xmlns:a="http://schemas.openxmlformats.org/drawingml/2006/main">
                    <a:graphicData uri="http://schemas.openxmlformats.org/drawingml/2006/picture">
                      <pic:pic xmlns:pic="http://schemas.openxmlformats.org/drawingml/2006/picture">
                        <pic:nvPicPr>
                          <pic:cNvPr id="551" name="图片_38"/>
                          <pic:cNvPicPr/>
                        </pic:nvPicPr>
                        <pic:blipFill>
                          <a:blip r:embed="rId229"/>
                          <a:stretch>
                            <a:fillRect/>
                          </a:stretch>
                        </pic:blipFill>
                        <pic:spPr>
                          <a:xfrm>
                            <a:off x="0" y="0"/>
                            <a:ext cx="696595" cy="880110"/>
                          </a:xfrm>
                          <a:prstGeom prst="rect">
                            <a:avLst/>
                          </a:prstGeom>
                          <a:noFill/>
                          <a:ln>
                            <a:noFill/>
                          </a:ln>
                        </pic:spPr>
                      </pic:pic>
                    </a:graphicData>
                  </a:graphic>
                </wp:anchor>
              </w:drawing>
            </w:r>
          </w:p>
        </w:tc>
        <w:tc>
          <w:tcPr>
            <w:tcW w:w="4800" w:type="dxa"/>
            <w:shd w:val="clear" w:color="auto" w:fill="auto"/>
            <w:vAlign w:val="center"/>
          </w:tcPr>
          <w:p w14:paraId="2D3087DA">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品号：GP1-4035；材质：环保PVC耐磨皮、高密度泡棉、木制</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尺寸：86×58×56cm</w:t>
            </w:r>
          </w:p>
        </w:tc>
        <w:tc>
          <w:tcPr>
            <w:tcW w:w="1167" w:type="dxa"/>
            <w:shd w:val="clear" w:color="auto" w:fill="auto"/>
            <w:vAlign w:val="center"/>
          </w:tcPr>
          <w:p w14:paraId="6338F15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2314" w:type="dxa"/>
            <w:gridSpan w:val="2"/>
            <w:shd w:val="clear" w:color="auto" w:fill="auto"/>
            <w:vAlign w:val="center"/>
          </w:tcPr>
          <w:p w14:paraId="7F71FA1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个</w:t>
            </w:r>
          </w:p>
        </w:tc>
      </w:tr>
      <w:tr w14:paraId="533EA6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45" w:hRule="atLeast"/>
        </w:trPr>
        <w:tc>
          <w:tcPr>
            <w:tcW w:w="822" w:type="dxa"/>
            <w:shd w:val="clear" w:color="auto" w:fill="auto"/>
            <w:vAlign w:val="center"/>
          </w:tcPr>
          <w:p w14:paraId="4DC0A3A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445" w:type="dxa"/>
            <w:shd w:val="clear" w:color="auto" w:fill="auto"/>
            <w:vAlign w:val="center"/>
          </w:tcPr>
          <w:p w14:paraId="6729F0A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双人动物沙发（大象</w:t>
            </w:r>
          </w:p>
        </w:tc>
        <w:tc>
          <w:tcPr>
            <w:tcW w:w="2488" w:type="dxa"/>
            <w:shd w:val="clear" w:color="auto" w:fill="auto"/>
            <w:noWrap/>
            <w:vAlign w:val="center"/>
          </w:tcPr>
          <w:p w14:paraId="7B7CA3C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252730</wp:posOffset>
                  </wp:positionH>
                  <wp:positionV relativeFrom="paragraph">
                    <wp:posOffset>-313055</wp:posOffset>
                  </wp:positionV>
                  <wp:extent cx="787400" cy="793115"/>
                  <wp:effectExtent l="0" t="0" r="0" b="6985"/>
                  <wp:wrapSquare wrapText="bothSides"/>
                  <wp:docPr id="559" name="图片_41"/>
                  <wp:cNvGraphicFramePr/>
                  <a:graphic xmlns:a="http://schemas.openxmlformats.org/drawingml/2006/main">
                    <a:graphicData uri="http://schemas.openxmlformats.org/drawingml/2006/picture">
                      <pic:pic xmlns:pic="http://schemas.openxmlformats.org/drawingml/2006/picture">
                        <pic:nvPicPr>
                          <pic:cNvPr id="559" name="图片_41"/>
                          <pic:cNvPicPr/>
                        </pic:nvPicPr>
                        <pic:blipFill>
                          <a:blip r:embed="rId230"/>
                          <a:stretch>
                            <a:fillRect/>
                          </a:stretch>
                        </pic:blipFill>
                        <pic:spPr>
                          <a:xfrm>
                            <a:off x="0" y="0"/>
                            <a:ext cx="787400" cy="793115"/>
                          </a:xfrm>
                          <a:prstGeom prst="rect">
                            <a:avLst/>
                          </a:prstGeom>
                          <a:noFill/>
                          <a:ln>
                            <a:noFill/>
                          </a:ln>
                        </pic:spPr>
                      </pic:pic>
                    </a:graphicData>
                  </a:graphic>
                </wp:anchor>
              </w:drawing>
            </w:r>
          </w:p>
        </w:tc>
        <w:tc>
          <w:tcPr>
            <w:tcW w:w="4800" w:type="dxa"/>
            <w:shd w:val="clear" w:color="auto" w:fill="auto"/>
            <w:vAlign w:val="center"/>
          </w:tcPr>
          <w:p w14:paraId="3B4212BA">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品号：GP1-4212；材质：环保PVC耐磨皮、高密度泡棉、木制</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尺寸：86×58×56cm</w:t>
            </w:r>
          </w:p>
        </w:tc>
        <w:tc>
          <w:tcPr>
            <w:tcW w:w="1167" w:type="dxa"/>
            <w:shd w:val="clear" w:color="auto" w:fill="auto"/>
            <w:vAlign w:val="center"/>
          </w:tcPr>
          <w:p w14:paraId="4B0D592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2314" w:type="dxa"/>
            <w:gridSpan w:val="2"/>
            <w:shd w:val="clear" w:color="auto" w:fill="auto"/>
            <w:vAlign w:val="center"/>
          </w:tcPr>
          <w:p w14:paraId="50D6393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个</w:t>
            </w:r>
          </w:p>
        </w:tc>
      </w:tr>
      <w:tr w14:paraId="2EAD9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776" w:hRule="atLeast"/>
        </w:trPr>
        <w:tc>
          <w:tcPr>
            <w:tcW w:w="822" w:type="dxa"/>
            <w:shd w:val="clear" w:color="auto" w:fill="auto"/>
            <w:vAlign w:val="center"/>
          </w:tcPr>
          <w:p w14:paraId="25346A1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w:t>
            </w:r>
          </w:p>
        </w:tc>
        <w:tc>
          <w:tcPr>
            <w:tcW w:w="1445" w:type="dxa"/>
            <w:shd w:val="clear" w:color="auto" w:fill="auto"/>
            <w:vAlign w:val="center"/>
          </w:tcPr>
          <w:p w14:paraId="5FEC535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三人动物沙发（长颈鹿）</w:t>
            </w:r>
          </w:p>
        </w:tc>
        <w:tc>
          <w:tcPr>
            <w:tcW w:w="2488" w:type="dxa"/>
            <w:shd w:val="clear" w:color="auto" w:fill="auto"/>
            <w:noWrap/>
            <w:vAlign w:val="center"/>
          </w:tcPr>
          <w:p w14:paraId="3DD91F2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210820</wp:posOffset>
                  </wp:positionH>
                  <wp:positionV relativeFrom="paragraph">
                    <wp:posOffset>-266700</wp:posOffset>
                  </wp:positionV>
                  <wp:extent cx="864870" cy="864235"/>
                  <wp:effectExtent l="0" t="0" r="11430" b="12065"/>
                  <wp:wrapSquare wrapText="bothSides"/>
                  <wp:docPr id="563" name="图片_42"/>
                  <wp:cNvGraphicFramePr/>
                  <a:graphic xmlns:a="http://schemas.openxmlformats.org/drawingml/2006/main">
                    <a:graphicData uri="http://schemas.openxmlformats.org/drawingml/2006/picture">
                      <pic:pic xmlns:pic="http://schemas.openxmlformats.org/drawingml/2006/picture">
                        <pic:nvPicPr>
                          <pic:cNvPr id="563" name="图片_42"/>
                          <pic:cNvPicPr/>
                        </pic:nvPicPr>
                        <pic:blipFill>
                          <a:blip r:embed="rId231"/>
                          <a:stretch>
                            <a:fillRect/>
                          </a:stretch>
                        </pic:blipFill>
                        <pic:spPr>
                          <a:xfrm>
                            <a:off x="0" y="0"/>
                            <a:ext cx="864870" cy="864235"/>
                          </a:xfrm>
                          <a:prstGeom prst="rect">
                            <a:avLst/>
                          </a:prstGeom>
                          <a:noFill/>
                          <a:ln>
                            <a:noFill/>
                          </a:ln>
                        </pic:spPr>
                      </pic:pic>
                    </a:graphicData>
                  </a:graphic>
                </wp:anchor>
              </w:drawing>
            </w:r>
          </w:p>
        </w:tc>
        <w:tc>
          <w:tcPr>
            <w:tcW w:w="4800" w:type="dxa"/>
            <w:shd w:val="clear" w:color="auto" w:fill="auto"/>
            <w:vAlign w:val="center"/>
          </w:tcPr>
          <w:p w14:paraId="5F74ACB7">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品号：GP1-4213；材质：环保PVC耐磨皮、高密度泡棉、木制</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尺寸：116×61×56cm</w:t>
            </w:r>
          </w:p>
        </w:tc>
        <w:tc>
          <w:tcPr>
            <w:tcW w:w="1167" w:type="dxa"/>
            <w:shd w:val="clear" w:color="auto" w:fill="auto"/>
            <w:vAlign w:val="center"/>
          </w:tcPr>
          <w:p w14:paraId="4569C5E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2314" w:type="dxa"/>
            <w:gridSpan w:val="2"/>
            <w:shd w:val="clear" w:color="auto" w:fill="auto"/>
            <w:vAlign w:val="center"/>
          </w:tcPr>
          <w:p w14:paraId="3F9A557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个</w:t>
            </w:r>
          </w:p>
        </w:tc>
      </w:tr>
      <w:tr w14:paraId="40C90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519" w:hRule="atLeast"/>
        </w:trPr>
        <w:tc>
          <w:tcPr>
            <w:tcW w:w="822" w:type="dxa"/>
            <w:shd w:val="clear" w:color="auto" w:fill="auto"/>
            <w:vAlign w:val="center"/>
          </w:tcPr>
          <w:p w14:paraId="1A65160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w:t>
            </w:r>
          </w:p>
        </w:tc>
        <w:tc>
          <w:tcPr>
            <w:tcW w:w="1445" w:type="dxa"/>
            <w:shd w:val="clear" w:color="auto" w:fill="auto"/>
            <w:vAlign w:val="center"/>
          </w:tcPr>
          <w:p w14:paraId="30FFB83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大沙发-浅棕色</w:t>
            </w:r>
          </w:p>
        </w:tc>
        <w:tc>
          <w:tcPr>
            <w:tcW w:w="2488" w:type="dxa"/>
            <w:shd w:val="clear" w:color="auto" w:fill="auto"/>
            <w:noWrap/>
            <w:vAlign w:val="center"/>
          </w:tcPr>
          <w:p w14:paraId="54BAF8B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295910</wp:posOffset>
                  </wp:positionH>
                  <wp:positionV relativeFrom="paragraph">
                    <wp:posOffset>137795</wp:posOffset>
                  </wp:positionV>
                  <wp:extent cx="864870" cy="864235"/>
                  <wp:effectExtent l="0" t="0" r="11430" b="12065"/>
                  <wp:wrapSquare wrapText="bothSides"/>
                  <wp:docPr id="542" name="图片_43"/>
                  <wp:cNvGraphicFramePr/>
                  <a:graphic xmlns:a="http://schemas.openxmlformats.org/drawingml/2006/main">
                    <a:graphicData uri="http://schemas.openxmlformats.org/drawingml/2006/picture">
                      <pic:pic xmlns:pic="http://schemas.openxmlformats.org/drawingml/2006/picture">
                        <pic:nvPicPr>
                          <pic:cNvPr id="542" name="图片_43"/>
                          <pic:cNvPicPr/>
                        </pic:nvPicPr>
                        <pic:blipFill>
                          <a:blip r:embed="rId232"/>
                          <a:stretch>
                            <a:fillRect/>
                          </a:stretch>
                        </pic:blipFill>
                        <pic:spPr>
                          <a:xfrm>
                            <a:off x="0" y="0"/>
                            <a:ext cx="864870" cy="864235"/>
                          </a:xfrm>
                          <a:prstGeom prst="rect">
                            <a:avLst/>
                          </a:prstGeom>
                          <a:noFill/>
                          <a:ln>
                            <a:noFill/>
                          </a:ln>
                        </pic:spPr>
                      </pic:pic>
                    </a:graphicData>
                  </a:graphic>
                </wp:anchor>
              </w:drawing>
            </w:r>
          </w:p>
        </w:tc>
        <w:tc>
          <w:tcPr>
            <w:tcW w:w="4800" w:type="dxa"/>
            <w:shd w:val="clear" w:color="auto" w:fill="auto"/>
            <w:vAlign w:val="center"/>
          </w:tcPr>
          <w:p w14:paraId="0E3B544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材质：木制、环保PVC耐磨皮、高密度泡棉</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尺寸：116×46×59cm</w:t>
            </w:r>
          </w:p>
        </w:tc>
        <w:tc>
          <w:tcPr>
            <w:tcW w:w="1167" w:type="dxa"/>
            <w:shd w:val="clear" w:color="auto" w:fill="auto"/>
            <w:vAlign w:val="center"/>
          </w:tcPr>
          <w:p w14:paraId="1BB7ED9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2314" w:type="dxa"/>
            <w:gridSpan w:val="2"/>
            <w:shd w:val="clear" w:color="auto" w:fill="auto"/>
            <w:vAlign w:val="center"/>
          </w:tcPr>
          <w:p w14:paraId="4A7EE50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个</w:t>
            </w:r>
          </w:p>
        </w:tc>
      </w:tr>
      <w:tr w14:paraId="113786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733" w:hRule="atLeast"/>
        </w:trPr>
        <w:tc>
          <w:tcPr>
            <w:tcW w:w="822" w:type="dxa"/>
            <w:shd w:val="clear" w:color="auto" w:fill="auto"/>
            <w:vAlign w:val="center"/>
          </w:tcPr>
          <w:p w14:paraId="0C2A1BC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1445" w:type="dxa"/>
            <w:shd w:val="clear" w:color="auto" w:fill="auto"/>
            <w:vAlign w:val="center"/>
          </w:tcPr>
          <w:p w14:paraId="44DD531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小沙发-浅棕色</w:t>
            </w:r>
          </w:p>
        </w:tc>
        <w:tc>
          <w:tcPr>
            <w:tcW w:w="2488" w:type="dxa"/>
            <w:shd w:val="clear" w:color="auto" w:fill="auto"/>
            <w:noWrap/>
            <w:vAlign w:val="center"/>
          </w:tcPr>
          <w:p w14:paraId="2FEE23C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276860</wp:posOffset>
                  </wp:positionH>
                  <wp:positionV relativeFrom="paragraph">
                    <wp:posOffset>-29210</wp:posOffset>
                  </wp:positionV>
                  <wp:extent cx="864870" cy="864235"/>
                  <wp:effectExtent l="0" t="0" r="11430" b="12065"/>
                  <wp:wrapSquare wrapText="bothSides"/>
                  <wp:docPr id="543" name="图片_44"/>
                  <wp:cNvGraphicFramePr/>
                  <a:graphic xmlns:a="http://schemas.openxmlformats.org/drawingml/2006/main">
                    <a:graphicData uri="http://schemas.openxmlformats.org/drawingml/2006/picture">
                      <pic:pic xmlns:pic="http://schemas.openxmlformats.org/drawingml/2006/picture">
                        <pic:nvPicPr>
                          <pic:cNvPr id="543" name="图片_44"/>
                          <pic:cNvPicPr/>
                        </pic:nvPicPr>
                        <pic:blipFill>
                          <a:blip r:embed="rId233"/>
                          <a:stretch>
                            <a:fillRect/>
                          </a:stretch>
                        </pic:blipFill>
                        <pic:spPr>
                          <a:xfrm>
                            <a:off x="0" y="0"/>
                            <a:ext cx="864870" cy="864235"/>
                          </a:xfrm>
                          <a:prstGeom prst="rect">
                            <a:avLst/>
                          </a:prstGeom>
                          <a:noFill/>
                          <a:ln>
                            <a:noFill/>
                          </a:ln>
                        </pic:spPr>
                      </pic:pic>
                    </a:graphicData>
                  </a:graphic>
                </wp:anchor>
              </w:drawing>
            </w:r>
          </w:p>
        </w:tc>
        <w:tc>
          <w:tcPr>
            <w:tcW w:w="4800" w:type="dxa"/>
            <w:shd w:val="clear" w:color="auto" w:fill="auto"/>
            <w:vAlign w:val="center"/>
          </w:tcPr>
          <w:p w14:paraId="09A46A8E">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材质：木制、环保PVC耐磨皮、高密度泡棉</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尺寸：70×46×59cm</w:t>
            </w:r>
          </w:p>
        </w:tc>
        <w:tc>
          <w:tcPr>
            <w:tcW w:w="1167" w:type="dxa"/>
            <w:shd w:val="clear" w:color="auto" w:fill="auto"/>
            <w:vAlign w:val="center"/>
          </w:tcPr>
          <w:p w14:paraId="418A389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w:t>
            </w:r>
          </w:p>
        </w:tc>
        <w:tc>
          <w:tcPr>
            <w:tcW w:w="2314" w:type="dxa"/>
            <w:gridSpan w:val="2"/>
            <w:shd w:val="clear" w:color="auto" w:fill="auto"/>
            <w:vAlign w:val="center"/>
          </w:tcPr>
          <w:p w14:paraId="4D929EA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个</w:t>
            </w:r>
          </w:p>
        </w:tc>
      </w:tr>
      <w:tr w14:paraId="65C1A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20" w:hRule="atLeast"/>
        </w:trPr>
        <w:tc>
          <w:tcPr>
            <w:tcW w:w="822" w:type="dxa"/>
            <w:shd w:val="clear" w:color="auto" w:fill="auto"/>
            <w:vAlign w:val="center"/>
          </w:tcPr>
          <w:p w14:paraId="64EF89A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w:t>
            </w:r>
          </w:p>
        </w:tc>
        <w:tc>
          <w:tcPr>
            <w:tcW w:w="1445" w:type="dxa"/>
            <w:shd w:val="clear" w:color="auto" w:fill="auto"/>
            <w:vAlign w:val="center"/>
          </w:tcPr>
          <w:p w14:paraId="1CB3A55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主题哈哈镜</w:t>
            </w:r>
          </w:p>
        </w:tc>
        <w:tc>
          <w:tcPr>
            <w:tcW w:w="2488" w:type="dxa"/>
            <w:shd w:val="clear" w:color="auto" w:fill="auto"/>
            <w:noWrap/>
            <w:vAlign w:val="center"/>
          </w:tcPr>
          <w:p w14:paraId="2BDC064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303530</wp:posOffset>
                  </wp:positionH>
                  <wp:positionV relativeFrom="paragraph">
                    <wp:posOffset>505460</wp:posOffset>
                  </wp:positionV>
                  <wp:extent cx="864235" cy="863600"/>
                  <wp:effectExtent l="0" t="0" r="12065" b="0"/>
                  <wp:wrapNone/>
                  <wp:docPr id="544" name="图片_45"/>
                  <wp:cNvGraphicFramePr/>
                  <a:graphic xmlns:a="http://schemas.openxmlformats.org/drawingml/2006/main">
                    <a:graphicData uri="http://schemas.openxmlformats.org/drawingml/2006/picture">
                      <pic:pic xmlns:pic="http://schemas.openxmlformats.org/drawingml/2006/picture">
                        <pic:nvPicPr>
                          <pic:cNvPr id="544" name="图片_45"/>
                          <pic:cNvPicPr/>
                        </pic:nvPicPr>
                        <pic:blipFill>
                          <a:blip r:embed="rId234"/>
                          <a:stretch>
                            <a:fillRect/>
                          </a:stretch>
                        </pic:blipFill>
                        <pic:spPr>
                          <a:xfrm>
                            <a:off x="0" y="0"/>
                            <a:ext cx="864235" cy="863600"/>
                          </a:xfrm>
                          <a:prstGeom prst="rect">
                            <a:avLst/>
                          </a:prstGeom>
                          <a:noFill/>
                          <a:ln>
                            <a:noFill/>
                          </a:ln>
                        </pic:spPr>
                      </pic:pic>
                    </a:graphicData>
                  </a:graphic>
                </wp:anchor>
              </w:drawing>
            </w:r>
          </w:p>
        </w:tc>
        <w:tc>
          <w:tcPr>
            <w:tcW w:w="4800" w:type="dxa"/>
            <w:shd w:val="clear" w:color="auto" w:fill="auto"/>
            <w:vAlign w:val="center"/>
          </w:tcPr>
          <w:p w14:paraId="5F623199">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材质：木制</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星星：凹面镜，82.5×65.5cm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星球：凸面镜，45×47.5cm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飞船：平面镜，80×47cm</w:t>
            </w:r>
          </w:p>
        </w:tc>
        <w:tc>
          <w:tcPr>
            <w:tcW w:w="1167" w:type="dxa"/>
            <w:shd w:val="clear" w:color="auto" w:fill="auto"/>
            <w:vAlign w:val="center"/>
          </w:tcPr>
          <w:p w14:paraId="758B78F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w:t>
            </w:r>
          </w:p>
        </w:tc>
        <w:tc>
          <w:tcPr>
            <w:tcW w:w="2314" w:type="dxa"/>
            <w:gridSpan w:val="2"/>
            <w:shd w:val="clear" w:color="auto" w:fill="auto"/>
            <w:vAlign w:val="center"/>
          </w:tcPr>
          <w:p w14:paraId="451E45C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个</w:t>
            </w:r>
          </w:p>
        </w:tc>
      </w:tr>
      <w:tr w14:paraId="256A0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0" w:hRule="atLeast"/>
        </w:trPr>
        <w:tc>
          <w:tcPr>
            <w:tcW w:w="822" w:type="dxa"/>
            <w:shd w:val="clear" w:color="auto" w:fill="auto"/>
            <w:vAlign w:val="center"/>
          </w:tcPr>
          <w:p w14:paraId="21A2B36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7</w:t>
            </w:r>
          </w:p>
        </w:tc>
        <w:tc>
          <w:tcPr>
            <w:tcW w:w="1445" w:type="dxa"/>
            <w:shd w:val="clear" w:color="auto" w:fill="auto"/>
            <w:vAlign w:val="center"/>
          </w:tcPr>
          <w:p w14:paraId="1ACC450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牙科套装包</w:t>
            </w:r>
          </w:p>
        </w:tc>
        <w:tc>
          <w:tcPr>
            <w:tcW w:w="2488" w:type="dxa"/>
            <w:shd w:val="clear" w:color="auto" w:fill="auto"/>
            <w:noWrap/>
            <w:vAlign w:val="center"/>
          </w:tcPr>
          <w:p w14:paraId="7D534EE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293370</wp:posOffset>
                  </wp:positionH>
                  <wp:positionV relativeFrom="paragraph">
                    <wp:posOffset>168910</wp:posOffset>
                  </wp:positionV>
                  <wp:extent cx="864870" cy="1369060"/>
                  <wp:effectExtent l="0" t="0" r="11430" b="2540"/>
                  <wp:wrapNone/>
                  <wp:docPr id="561" name="图片_49"/>
                  <wp:cNvGraphicFramePr/>
                  <a:graphic xmlns:a="http://schemas.openxmlformats.org/drawingml/2006/main">
                    <a:graphicData uri="http://schemas.openxmlformats.org/drawingml/2006/picture">
                      <pic:pic xmlns:pic="http://schemas.openxmlformats.org/drawingml/2006/picture">
                        <pic:nvPicPr>
                          <pic:cNvPr id="561" name="图片_49"/>
                          <pic:cNvPicPr/>
                        </pic:nvPicPr>
                        <pic:blipFill>
                          <a:blip r:embed="rId235"/>
                          <a:stretch>
                            <a:fillRect/>
                          </a:stretch>
                        </pic:blipFill>
                        <pic:spPr>
                          <a:xfrm>
                            <a:off x="0" y="0"/>
                            <a:ext cx="864870" cy="1369060"/>
                          </a:xfrm>
                          <a:prstGeom prst="rect">
                            <a:avLst/>
                          </a:prstGeom>
                          <a:noFill/>
                          <a:ln>
                            <a:noFill/>
                          </a:ln>
                        </pic:spPr>
                      </pic:pic>
                    </a:graphicData>
                  </a:graphic>
                </wp:anchor>
              </w:drawing>
            </w:r>
          </w:p>
        </w:tc>
        <w:tc>
          <w:tcPr>
            <w:tcW w:w="4800" w:type="dxa"/>
            <w:shd w:val="clear" w:color="auto" w:fill="auto"/>
            <w:vAlign w:val="center"/>
          </w:tcPr>
          <w:p w14:paraId="4AD4ED21">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材质：ABS、PP尺寸：约28×10×28cm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老虎狗1只、刮刀组件1个、打磨机1台、镊子1只、牙镜组件1只、牙模1个、</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 xml:space="preserve">2安士透明泥胶1组。将老虎狗的嘴巴掰开到45度左右可以定型，不会合拢。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用手扭动打磨机上的打磨头，可以360度旋转。在牙模内放入泥胶，可挤压 出牙齿的形状。用镊子将挤压出的牙齿放入老虎狗的上下牙床内，可模仿牙 医用打磨机等工具对牙齿进行修补。丰富的材料可以帮助幼儿了解蛀牙，寓 教于乐，提高动手能力，知道刷牙的重要性。</w:t>
            </w:r>
          </w:p>
        </w:tc>
        <w:tc>
          <w:tcPr>
            <w:tcW w:w="1167" w:type="dxa"/>
            <w:shd w:val="clear" w:color="auto" w:fill="auto"/>
            <w:vAlign w:val="center"/>
          </w:tcPr>
          <w:p w14:paraId="368C57A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w:t>
            </w:r>
          </w:p>
        </w:tc>
        <w:tc>
          <w:tcPr>
            <w:tcW w:w="2314" w:type="dxa"/>
            <w:gridSpan w:val="2"/>
            <w:shd w:val="clear" w:color="auto" w:fill="auto"/>
            <w:vAlign w:val="center"/>
          </w:tcPr>
          <w:p w14:paraId="14B6065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405E0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20" w:hRule="atLeast"/>
        </w:trPr>
        <w:tc>
          <w:tcPr>
            <w:tcW w:w="822" w:type="dxa"/>
            <w:shd w:val="clear" w:color="auto" w:fill="auto"/>
            <w:vAlign w:val="center"/>
          </w:tcPr>
          <w:p w14:paraId="3B63A1A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8</w:t>
            </w:r>
          </w:p>
        </w:tc>
        <w:tc>
          <w:tcPr>
            <w:tcW w:w="1445" w:type="dxa"/>
            <w:shd w:val="clear" w:color="auto" w:fill="auto"/>
            <w:vAlign w:val="center"/>
          </w:tcPr>
          <w:p w14:paraId="0DF04A3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医生推车套装</w:t>
            </w:r>
          </w:p>
        </w:tc>
        <w:tc>
          <w:tcPr>
            <w:tcW w:w="2488" w:type="dxa"/>
            <w:shd w:val="clear" w:color="auto" w:fill="auto"/>
            <w:noWrap/>
            <w:vAlign w:val="center"/>
          </w:tcPr>
          <w:p w14:paraId="381FB6D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324485</wp:posOffset>
                  </wp:positionH>
                  <wp:positionV relativeFrom="paragraph">
                    <wp:posOffset>396240</wp:posOffset>
                  </wp:positionV>
                  <wp:extent cx="864870" cy="864235"/>
                  <wp:effectExtent l="0" t="0" r="11430" b="12065"/>
                  <wp:wrapNone/>
                  <wp:docPr id="549" name="图片_50"/>
                  <wp:cNvGraphicFramePr/>
                  <a:graphic xmlns:a="http://schemas.openxmlformats.org/drawingml/2006/main">
                    <a:graphicData uri="http://schemas.openxmlformats.org/drawingml/2006/picture">
                      <pic:pic xmlns:pic="http://schemas.openxmlformats.org/drawingml/2006/picture">
                        <pic:nvPicPr>
                          <pic:cNvPr id="549" name="图片_50"/>
                          <pic:cNvPicPr/>
                        </pic:nvPicPr>
                        <pic:blipFill>
                          <a:blip r:embed="rId236"/>
                          <a:stretch>
                            <a:fillRect/>
                          </a:stretch>
                        </pic:blipFill>
                        <pic:spPr>
                          <a:xfrm>
                            <a:off x="0" y="0"/>
                            <a:ext cx="864870" cy="864235"/>
                          </a:xfrm>
                          <a:prstGeom prst="rect">
                            <a:avLst/>
                          </a:prstGeom>
                          <a:noFill/>
                          <a:ln>
                            <a:noFill/>
                          </a:ln>
                        </pic:spPr>
                      </pic:pic>
                    </a:graphicData>
                  </a:graphic>
                </wp:anchor>
              </w:drawing>
            </w:r>
          </w:p>
        </w:tc>
        <w:tc>
          <w:tcPr>
            <w:tcW w:w="4800" w:type="dxa"/>
            <w:shd w:val="clear" w:color="auto" w:fill="auto"/>
            <w:vAlign w:val="center"/>
          </w:tcPr>
          <w:p w14:paraId="51F183DB">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材质：PP尺寸：约40×23.5×62cm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 xml:space="preserve">产品包括医生推车、医生出诊器、听诊器、针筒、温度计、手术刀、工作牌、消毒皿、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手术剪刀、耳镜、眼镜、病历卡、药瓶、输液瓶各一个，菲林三张。产品仿照 医疗器材设计，让幼儿认识各种医疗工具的作用及使用方法。既能丰富幼儿 的生活经验，了解相关的医疗知识，又能培养幼儿对医生这一职业的兴趣。</w:t>
            </w:r>
          </w:p>
        </w:tc>
        <w:tc>
          <w:tcPr>
            <w:tcW w:w="1167" w:type="dxa"/>
            <w:shd w:val="clear" w:color="auto" w:fill="auto"/>
            <w:vAlign w:val="center"/>
          </w:tcPr>
          <w:p w14:paraId="5D78A1E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w:t>
            </w:r>
          </w:p>
        </w:tc>
        <w:tc>
          <w:tcPr>
            <w:tcW w:w="2314" w:type="dxa"/>
            <w:gridSpan w:val="2"/>
            <w:shd w:val="clear" w:color="auto" w:fill="auto"/>
            <w:vAlign w:val="center"/>
          </w:tcPr>
          <w:p w14:paraId="0FB8A89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2E3DF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811" w:hRule="atLeast"/>
        </w:trPr>
        <w:tc>
          <w:tcPr>
            <w:tcW w:w="822" w:type="dxa"/>
            <w:shd w:val="clear" w:color="auto" w:fill="auto"/>
            <w:vAlign w:val="center"/>
          </w:tcPr>
          <w:p w14:paraId="6FF5D26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9</w:t>
            </w:r>
          </w:p>
        </w:tc>
        <w:tc>
          <w:tcPr>
            <w:tcW w:w="1445" w:type="dxa"/>
            <w:shd w:val="clear" w:color="auto" w:fill="auto"/>
            <w:vAlign w:val="center"/>
          </w:tcPr>
          <w:p w14:paraId="041B409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兽医套装组</w:t>
            </w:r>
          </w:p>
        </w:tc>
        <w:tc>
          <w:tcPr>
            <w:tcW w:w="2488" w:type="dxa"/>
            <w:shd w:val="clear" w:color="auto" w:fill="auto"/>
            <w:noWrap/>
            <w:vAlign w:val="center"/>
          </w:tcPr>
          <w:p w14:paraId="620988A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314960</wp:posOffset>
                  </wp:positionH>
                  <wp:positionV relativeFrom="paragraph">
                    <wp:posOffset>468630</wp:posOffset>
                  </wp:positionV>
                  <wp:extent cx="864870" cy="864235"/>
                  <wp:effectExtent l="0" t="0" r="11430" b="12065"/>
                  <wp:wrapSquare wrapText="bothSides"/>
                  <wp:docPr id="565" name="图片_51"/>
                  <wp:cNvGraphicFramePr/>
                  <a:graphic xmlns:a="http://schemas.openxmlformats.org/drawingml/2006/main">
                    <a:graphicData uri="http://schemas.openxmlformats.org/drawingml/2006/picture">
                      <pic:pic xmlns:pic="http://schemas.openxmlformats.org/drawingml/2006/picture">
                        <pic:nvPicPr>
                          <pic:cNvPr id="565" name="图片_51"/>
                          <pic:cNvPicPr/>
                        </pic:nvPicPr>
                        <pic:blipFill>
                          <a:blip r:embed="rId237"/>
                          <a:stretch>
                            <a:fillRect/>
                          </a:stretch>
                        </pic:blipFill>
                        <pic:spPr>
                          <a:xfrm>
                            <a:off x="0" y="0"/>
                            <a:ext cx="864870" cy="864235"/>
                          </a:xfrm>
                          <a:prstGeom prst="rect">
                            <a:avLst/>
                          </a:prstGeom>
                          <a:noFill/>
                          <a:ln>
                            <a:noFill/>
                          </a:ln>
                        </pic:spPr>
                      </pic:pic>
                    </a:graphicData>
                  </a:graphic>
                </wp:anchor>
              </w:drawing>
            </w:r>
          </w:p>
        </w:tc>
        <w:tc>
          <w:tcPr>
            <w:tcW w:w="4800" w:type="dxa"/>
            <w:shd w:val="clear" w:color="auto" w:fill="auto"/>
            <w:vAlign w:val="center"/>
          </w:tcPr>
          <w:p w14:paraId="7FC29BE4">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材质：塑料、涤伦尺寸：34×27×9cm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内含24件产品，有一只猫和一只狗及大量的医用配件材料。丰富的游戏扮 演材料，满足幼儿对动物医生的模仿及扮演。培养幼儿的爱心意识，增强社交能力。</w:t>
            </w:r>
          </w:p>
        </w:tc>
        <w:tc>
          <w:tcPr>
            <w:tcW w:w="1167" w:type="dxa"/>
            <w:shd w:val="clear" w:color="auto" w:fill="auto"/>
            <w:vAlign w:val="center"/>
          </w:tcPr>
          <w:p w14:paraId="17766F8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w:t>
            </w:r>
          </w:p>
        </w:tc>
        <w:tc>
          <w:tcPr>
            <w:tcW w:w="2314" w:type="dxa"/>
            <w:gridSpan w:val="2"/>
            <w:shd w:val="clear" w:color="auto" w:fill="auto"/>
            <w:vAlign w:val="center"/>
          </w:tcPr>
          <w:p w14:paraId="70CBCE3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1BD26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857" w:hRule="atLeast"/>
        </w:trPr>
        <w:tc>
          <w:tcPr>
            <w:tcW w:w="822" w:type="dxa"/>
            <w:shd w:val="clear" w:color="auto" w:fill="auto"/>
            <w:vAlign w:val="center"/>
          </w:tcPr>
          <w:p w14:paraId="20EBDB3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10</w:t>
            </w:r>
          </w:p>
        </w:tc>
        <w:tc>
          <w:tcPr>
            <w:tcW w:w="1445" w:type="dxa"/>
            <w:shd w:val="clear" w:color="auto" w:fill="auto"/>
            <w:vAlign w:val="center"/>
          </w:tcPr>
          <w:p w14:paraId="7054B70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医生手提箱</w:t>
            </w:r>
          </w:p>
        </w:tc>
        <w:tc>
          <w:tcPr>
            <w:tcW w:w="2488" w:type="dxa"/>
            <w:shd w:val="clear" w:color="auto" w:fill="auto"/>
            <w:noWrap/>
            <w:vAlign w:val="center"/>
          </w:tcPr>
          <w:p w14:paraId="5F77716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227330</wp:posOffset>
                  </wp:positionH>
                  <wp:positionV relativeFrom="paragraph">
                    <wp:posOffset>91440</wp:posOffset>
                  </wp:positionV>
                  <wp:extent cx="864870" cy="864235"/>
                  <wp:effectExtent l="0" t="0" r="11430" b="12065"/>
                  <wp:wrapSquare wrapText="bothSides"/>
                  <wp:docPr id="545" name="图片_52"/>
                  <wp:cNvGraphicFramePr/>
                  <a:graphic xmlns:a="http://schemas.openxmlformats.org/drawingml/2006/main">
                    <a:graphicData uri="http://schemas.openxmlformats.org/drawingml/2006/picture">
                      <pic:pic xmlns:pic="http://schemas.openxmlformats.org/drawingml/2006/picture">
                        <pic:nvPicPr>
                          <pic:cNvPr id="545" name="图片_52"/>
                          <pic:cNvPicPr/>
                        </pic:nvPicPr>
                        <pic:blipFill>
                          <a:blip r:embed="rId238"/>
                          <a:stretch>
                            <a:fillRect/>
                          </a:stretch>
                        </pic:blipFill>
                        <pic:spPr>
                          <a:xfrm>
                            <a:off x="0" y="0"/>
                            <a:ext cx="864870" cy="864235"/>
                          </a:xfrm>
                          <a:prstGeom prst="rect">
                            <a:avLst/>
                          </a:prstGeom>
                          <a:noFill/>
                          <a:ln>
                            <a:noFill/>
                          </a:ln>
                        </pic:spPr>
                      </pic:pic>
                    </a:graphicData>
                  </a:graphic>
                </wp:anchor>
              </w:drawing>
            </w:r>
          </w:p>
        </w:tc>
        <w:tc>
          <w:tcPr>
            <w:tcW w:w="4800" w:type="dxa"/>
            <w:shd w:val="clear" w:color="auto" w:fill="auto"/>
            <w:vAlign w:val="center"/>
          </w:tcPr>
          <w:p w14:paraId="396421A4">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材质：PP、ABS、GP、PE尺寸：外盒30×8×35cm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 xml:space="preserve">共19件，听诊器、剪刀、护镜、手机、镊子、绷带、温度计等医生诊断用具，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未含电池。适合作为职业扮演游戏的道具。</w:t>
            </w:r>
          </w:p>
        </w:tc>
        <w:tc>
          <w:tcPr>
            <w:tcW w:w="1167" w:type="dxa"/>
            <w:shd w:val="clear" w:color="auto" w:fill="auto"/>
            <w:vAlign w:val="center"/>
          </w:tcPr>
          <w:p w14:paraId="2434FC9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w:t>
            </w:r>
          </w:p>
        </w:tc>
        <w:tc>
          <w:tcPr>
            <w:tcW w:w="2314" w:type="dxa"/>
            <w:gridSpan w:val="2"/>
            <w:shd w:val="clear" w:color="auto" w:fill="auto"/>
            <w:vAlign w:val="center"/>
          </w:tcPr>
          <w:p w14:paraId="556C2FD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4A07C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20" w:hRule="atLeast"/>
        </w:trPr>
        <w:tc>
          <w:tcPr>
            <w:tcW w:w="822" w:type="dxa"/>
            <w:shd w:val="clear" w:color="auto" w:fill="auto"/>
            <w:vAlign w:val="center"/>
          </w:tcPr>
          <w:p w14:paraId="188334A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11</w:t>
            </w:r>
          </w:p>
        </w:tc>
        <w:tc>
          <w:tcPr>
            <w:tcW w:w="1445" w:type="dxa"/>
            <w:shd w:val="clear" w:color="auto" w:fill="auto"/>
            <w:vAlign w:val="center"/>
          </w:tcPr>
          <w:p w14:paraId="0A5F79B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医生急救箱</w:t>
            </w:r>
          </w:p>
        </w:tc>
        <w:tc>
          <w:tcPr>
            <w:tcW w:w="2488" w:type="dxa"/>
            <w:shd w:val="clear" w:color="auto" w:fill="auto"/>
            <w:noWrap/>
            <w:vAlign w:val="center"/>
          </w:tcPr>
          <w:p w14:paraId="7C28F3B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200660</wp:posOffset>
                  </wp:positionH>
                  <wp:positionV relativeFrom="paragraph">
                    <wp:posOffset>422910</wp:posOffset>
                  </wp:positionV>
                  <wp:extent cx="864870" cy="864235"/>
                  <wp:effectExtent l="0" t="0" r="11430" b="12065"/>
                  <wp:wrapNone/>
                  <wp:docPr id="557" name="图片_53"/>
                  <wp:cNvGraphicFramePr/>
                  <a:graphic xmlns:a="http://schemas.openxmlformats.org/drawingml/2006/main">
                    <a:graphicData uri="http://schemas.openxmlformats.org/drawingml/2006/picture">
                      <pic:pic xmlns:pic="http://schemas.openxmlformats.org/drawingml/2006/picture">
                        <pic:nvPicPr>
                          <pic:cNvPr id="557" name="图片_53"/>
                          <pic:cNvPicPr/>
                        </pic:nvPicPr>
                        <pic:blipFill>
                          <a:blip r:embed="rId206"/>
                          <a:stretch>
                            <a:fillRect/>
                          </a:stretch>
                        </pic:blipFill>
                        <pic:spPr>
                          <a:xfrm>
                            <a:off x="0" y="0"/>
                            <a:ext cx="864870" cy="864235"/>
                          </a:xfrm>
                          <a:prstGeom prst="rect">
                            <a:avLst/>
                          </a:prstGeom>
                          <a:noFill/>
                          <a:ln>
                            <a:noFill/>
                          </a:ln>
                        </pic:spPr>
                      </pic:pic>
                    </a:graphicData>
                  </a:graphic>
                </wp:anchor>
              </w:drawing>
            </w:r>
          </w:p>
        </w:tc>
        <w:tc>
          <w:tcPr>
            <w:tcW w:w="4800" w:type="dxa"/>
            <w:shd w:val="clear" w:color="auto" w:fill="auto"/>
            <w:vAlign w:val="center"/>
          </w:tcPr>
          <w:p w14:paraId="25D65463">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材质：ABS尺寸：约17×46.5cm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内含1个听诊器、1把剪刀、1把钳子、1个药瓶、1个温度计、1把镊子、1把手术刀、1个牙镜、1个针筒、1副眼镜、1个耳镜及1个医药箱。温度计中的刻罗盘可以360°任意转动。针筒柄在一定力度的作用下可以下压，松开后自动弹起。丰富的材料可以帮助幼儿模仿医生工作，了解医生这一职业，也能让扮演情境更丰富。</w:t>
            </w:r>
          </w:p>
        </w:tc>
        <w:tc>
          <w:tcPr>
            <w:tcW w:w="1167" w:type="dxa"/>
            <w:shd w:val="clear" w:color="auto" w:fill="auto"/>
            <w:vAlign w:val="center"/>
          </w:tcPr>
          <w:p w14:paraId="5E81CB6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w:t>
            </w:r>
          </w:p>
        </w:tc>
        <w:tc>
          <w:tcPr>
            <w:tcW w:w="2314" w:type="dxa"/>
            <w:gridSpan w:val="2"/>
            <w:shd w:val="clear" w:color="auto" w:fill="auto"/>
            <w:vAlign w:val="center"/>
          </w:tcPr>
          <w:p w14:paraId="0B1ADB1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7028F4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210" w:hRule="atLeast"/>
        </w:trPr>
        <w:tc>
          <w:tcPr>
            <w:tcW w:w="822" w:type="dxa"/>
            <w:shd w:val="clear" w:color="auto" w:fill="auto"/>
            <w:vAlign w:val="center"/>
          </w:tcPr>
          <w:p w14:paraId="5EC11F8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12</w:t>
            </w:r>
          </w:p>
        </w:tc>
        <w:tc>
          <w:tcPr>
            <w:tcW w:w="1445" w:type="dxa"/>
            <w:shd w:val="clear" w:color="auto" w:fill="auto"/>
            <w:vAlign w:val="center"/>
          </w:tcPr>
          <w:p w14:paraId="027B3F4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商店收银机</w:t>
            </w:r>
          </w:p>
        </w:tc>
        <w:tc>
          <w:tcPr>
            <w:tcW w:w="2488" w:type="dxa"/>
            <w:shd w:val="clear" w:color="auto" w:fill="auto"/>
            <w:noWrap/>
            <w:vAlign w:val="center"/>
          </w:tcPr>
          <w:p w14:paraId="306A12E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257810</wp:posOffset>
                  </wp:positionH>
                  <wp:positionV relativeFrom="paragraph">
                    <wp:posOffset>485775</wp:posOffset>
                  </wp:positionV>
                  <wp:extent cx="864870" cy="864235"/>
                  <wp:effectExtent l="0" t="0" r="11430" b="12065"/>
                  <wp:wrapSquare wrapText="bothSides"/>
                  <wp:docPr id="550" name="图片_54"/>
                  <wp:cNvGraphicFramePr/>
                  <a:graphic xmlns:a="http://schemas.openxmlformats.org/drawingml/2006/main">
                    <a:graphicData uri="http://schemas.openxmlformats.org/drawingml/2006/picture">
                      <pic:pic xmlns:pic="http://schemas.openxmlformats.org/drawingml/2006/picture">
                        <pic:nvPicPr>
                          <pic:cNvPr id="550" name="图片_54"/>
                          <pic:cNvPicPr/>
                        </pic:nvPicPr>
                        <pic:blipFill>
                          <a:blip r:embed="rId239"/>
                          <a:stretch>
                            <a:fillRect/>
                          </a:stretch>
                        </pic:blipFill>
                        <pic:spPr>
                          <a:xfrm>
                            <a:off x="0" y="0"/>
                            <a:ext cx="864870" cy="864235"/>
                          </a:xfrm>
                          <a:prstGeom prst="rect">
                            <a:avLst/>
                          </a:prstGeom>
                          <a:noFill/>
                          <a:ln>
                            <a:noFill/>
                          </a:ln>
                        </pic:spPr>
                      </pic:pic>
                    </a:graphicData>
                  </a:graphic>
                </wp:anchor>
              </w:drawing>
            </w:r>
          </w:p>
        </w:tc>
        <w:tc>
          <w:tcPr>
            <w:tcW w:w="4800" w:type="dxa"/>
            <w:shd w:val="clear" w:color="auto" w:fill="auto"/>
            <w:vAlign w:val="center"/>
          </w:tcPr>
          <w:p w14:paraId="0BF1557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材质：塑料 尺寸：约28×19×14cm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内含精准的计算器、各种物品、钱币等配件。可以玩在商店购买物品进行结</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账的扮演游戏。话筒具有扩音功能，可以实现场景语音互动，增加游戏乐趣，</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提高同伴间的互动交流。</w:t>
            </w:r>
          </w:p>
        </w:tc>
        <w:tc>
          <w:tcPr>
            <w:tcW w:w="1167" w:type="dxa"/>
            <w:shd w:val="clear" w:color="auto" w:fill="auto"/>
            <w:vAlign w:val="center"/>
          </w:tcPr>
          <w:p w14:paraId="2C4B316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w:t>
            </w:r>
          </w:p>
        </w:tc>
        <w:tc>
          <w:tcPr>
            <w:tcW w:w="2314" w:type="dxa"/>
            <w:gridSpan w:val="2"/>
            <w:shd w:val="clear" w:color="auto" w:fill="auto"/>
            <w:vAlign w:val="center"/>
          </w:tcPr>
          <w:p w14:paraId="79763A4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08F21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155" w:hRule="atLeast"/>
        </w:trPr>
        <w:tc>
          <w:tcPr>
            <w:tcW w:w="822" w:type="dxa"/>
            <w:shd w:val="clear" w:color="auto" w:fill="auto"/>
            <w:vAlign w:val="center"/>
          </w:tcPr>
          <w:p w14:paraId="0710306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13</w:t>
            </w:r>
          </w:p>
        </w:tc>
        <w:tc>
          <w:tcPr>
            <w:tcW w:w="1445" w:type="dxa"/>
            <w:shd w:val="clear" w:color="auto" w:fill="auto"/>
            <w:vAlign w:val="center"/>
          </w:tcPr>
          <w:p w14:paraId="2D03787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ATM取款机</w:t>
            </w:r>
          </w:p>
        </w:tc>
        <w:tc>
          <w:tcPr>
            <w:tcW w:w="2488" w:type="dxa"/>
            <w:shd w:val="clear" w:color="auto" w:fill="auto"/>
            <w:noWrap/>
            <w:vAlign w:val="center"/>
          </w:tcPr>
          <w:p w14:paraId="2253241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201295</wp:posOffset>
                  </wp:positionH>
                  <wp:positionV relativeFrom="paragraph">
                    <wp:posOffset>274320</wp:posOffset>
                  </wp:positionV>
                  <wp:extent cx="864870" cy="864235"/>
                  <wp:effectExtent l="0" t="0" r="11430" b="12065"/>
                  <wp:wrapSquare wrapText="bothSides"/>
                  <wp:docPr id="562" name="图片_55"/>
                  <wp:cNvGraphicFramePr/>
                  <a:graphic xmlns:a="http://schemas.openxmlformats.org/drawingml/2006/main">
                    <a:graphicData uri="http://schemas.openxmlformats.org/drawingml/2006/picture">
                      <pic:pic xmlns:pic="http://schemas.openxmlformats.org/drawingml/2006/picture">
                        <pic:nvPicPr>
                          <pic:cNvPr id="562" name="图片_55"/>
                          <pic:cNvPicPr/>
                        </pic:nvPicPr>
                        <pic:blipFill>
                          <a:blip r:embed="rId240"/>
                          <a:stretch>
                            <a:fillRect/>
                          </a:stretch>
                        </pic:blipFill>
                        <pic:spPr>
                          <a:xfrm>
                            <a:off x="0" y="0"/>
                            <a:ext cx="864870" cy="864235"/>
                          </a:xfrm>
                          <a:prstGeom prst="rect">
                            <a:avLst/>
                          </a:prstGeom>
                          <a:noFill/>
                          <a:ln>
                            <a:noFill/>
                          </a:ln>
                        </pic:spPr>
                      </pic:pic>
                    </a:graphicData>
                  </a:graphic>
                </wp:anchor>
              </w:drawing>
            </w:r>
          </w:p>
        </w:tc>
        <w:tc>
          <w:tcPr>
            <w:tcW w:w="4800" w:type="dxa"/>
            <w:shd w:val="clear" w:color="auto" w:fill="auto"/>
            <w:vAlign w:val="center"/>
          </w:tcPr>
          <w:p w14:paraId="10771AD2">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材质：ABS尺寸：约30.7×25.6×11.7cm显示屏尺寸：6×5cm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个性十足的职业扮演工具，包括取款机、纸币、硬币等。通过游戏，帮助幼儿了解取款机的原理，学习钱币换算等，同时增强同伴间的交往、沟通能力。</w:t>
            </w:r>
          </w:p>
        </w:tc>
        <w:tc>
          <w:tcPr>
            <w:tcW w:w="1167" w:type="dxa"/>
            <w:shd w:val="clear" w:color="auto" w:fill="auto"/>
            <w:vAlign w:val="center"/>
          </w:tcPr>
          <w:p w14:paraId="2692C6B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w:t>
            </w:r>
          </w:p>
        </w:tc>
        <w:tc>
          <w:tcPr>
            <w:tcW w:w="2314" w:type="dxa"/>
            <w:gridSpan w:val="2"/>
            <w:shd w:val="clear" w:color="auto" w:fill="auto"/>
            <w:vAlign w:val="center"/>
          </w:tcPr>
          <w:p w14:paraId="5D9ABDC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5B148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723" w:hRule="atLeast"/>
        </w:trPr>
        <w:tc>
          <w:tcPr>
            <w:tcW w:w="822" w:type="dxa"/>
            <w:shd w:val="clear" w:color="auto" w:fill="auto"/>
            <w:vAlign w:val="center"/>
          </w:tcPr>
          <w:p w14:paraId="60A7B84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14</w:t>
            </w:r>
          </w:p>
        </w:tc>
        <w:tc>
          <w:tcPr>
            <w:tcW w:w="1445" w:type="dxa"/>
            <w:shd w:val="clear" w:color="auto" w:fill="auto"/>
            <w:vAlign w:val="center"/>
          </w:tcPr>
          <w:p w14:paraId="6B71B37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儿童游戏钱币组</w:t>
            </w:r>
          </w:p>
        </w:tc>
        <w:tc>
          <w:tcPr>
            <w:tcW w:w="2488" w:type="dxa"/>
            <w:shd w:val="clear" w:color="auto" w:fill="auto"/>
            <w:noWrap/>
            <w:vAlign w:val="center"/>
          </w:tcPr>
          <w:p w14:paraId="00EEBF1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194310</wp:posOffset>
                  </wp:positionH>
                  <wp:positionV relativeFrom="paragraph">
                    <wp:posOffset>93345</wp:posOffset>
                  </wp:positionV>
                  <wp:extent cx="864870" cy="864235"/>
                  <wp:effectExtent l="0" t="0" r="11430" b="12065"/>
                  <wp:wrapSquare wrapText="bothSides"/>
                  <wp:docPr id="546" name="图片_56"/>
                  <wp:cNvGraphicFramePr/>
                  <a:graphic xmlns:a="http://schemas.openxmlformats.org/drawingml/2006/main">
                    <a:graphicData uri="http://schemas.openxmlformats.org/drawingml/2006/picture">
                      <pic:pic xmlns:pic="http://schemas.openxmlformats.org/drawingml/2006/picture">
                        <pic:nvPicPr>
                          <pic:cNvPr id="546" name="图片_56"/>
                          <pic:cNvPicPr/>
                        </pic:nvPicPr>
                        <pic:blipFill>
                          <a:blip r:embed="rId241"/>
                          <a:stretch>
                            <a:fillRect/>
                          </a:stretch>
                        </pic:blipFill>
                        <pic:spPr>
                          <a:xfrm>
                            <a:off x="0" y="0"/>
                            <a:ext cx="864870" cy="864235"/>
                          </a:xfrm>
                          <a:prstGeom prst="rect">
                            <a:avLst/>
                          </a:prstGeom>
                          <a:noFill/>
                          <a:ln>
                            <a:noFill/>
                          </a:ln>
                        </pic:spPr>
                      </pic:pic>
                    </a:graphicData>
                  </a:graphic>
                </wp:anchor>
              </w:drawing>
            </w:r>
          </w:p>
        </w:tc>
        <w:tc>
          <w:tcPr>
            <w:tcW w:w="4800" w:type="dxa"/>
            <w:shd w:val="clear" w:color="auto" w:fill="auto"/>
            <w:vAlign w:val="center"/>
          </w:tcPr>
          <w:p w14:paraId="0EBE1AE5">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材质：纸制、ABS、木制包装尺寸：约4×25×43cm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有美元钱币与硬币，清楚的分别装在木盒中，方便幼儿玩大富翁或是钱币兑换的概念。11款面额各50件。</w:t>
            </w:r>
          </w:p>
        </w:tc>
        <w:tc>
          <w:tcPr>
            <w:tcW w:w="1167" w:type="dxa"/>
            <w:shd w:val="clear" w:color="auto" w:fill="auto"/>
            <w:vAlign w:val="center"/>
          </w:tcPr>
          <w:p w14:paraId="7D1A9FA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w:t>
            </w:r>
          </w:p>
        </w:tc>
        <w:tc>
          <w:tcPr>
            <w:tcW w:w="2314" w:type="dxa"/>
            <w:gridSpan w:val="2"/>
            <w:shd w:val="clear" w:color="auto" w:fill="auto"/>
            <w:vAlign w:val="center"/>
          </w:tcPr>
          <w:p w14:paraId="0B9A771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522825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889" w:hRule="atLeast"/>
        </w:trPr>
        <w:tc>
          <w:tcPr>
            <w:tcW w:w="822" w:type="dxa"/>
            <w:shd w:val="clear" w:color="auto" w:fill="auto"/>
            <w:vAlign w:val="center"/>
          </w:tcPr>
          <w:p w14:paraId="2DCF0E7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15</w:t>
            </w:r>
          </w:p>
        </w:tc>
        <w:tc>
          <w:tcPr>
            <w:tcW w:w="1445" w:type="dxa"/>
            <w:shd w:val="clear" w:color="auto" w:fill="auto"/>
            <w:vAlign w:val="center"/>
          </w:tcPr>
          <w:p w14:paraId="67E3B47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购物车-粉</w:t>
            </w:r>
          </w:p>
        </w:tc>
        <w:tc>
          <w:tcPr>
            <w:tcW w:w="2488" w:type="dxa"/>
            <w:shd w:val="clear" w:color="auto" w:fill="auto"/>
            <w:noWrap/>
            <w:vAlign w:val="center"/>
          </w:tcPr>
          <w:p w14:paraId="07EE399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181610</wp:posOffset>
                  </wp:positionH>
                  <wp:positionV relativeFrom="paragraph">
                    <wp:posOffset>-96520</wp:posOffset>
                  </wp:positionV>
                  <wp:extent cx="864870" cy="864235"/>
                  <wp:effectExtent l="0" t="0" r="11430" b="12065"/>
                  <wp:wrapSquare wrapText="bothSides"/>
                  <wp:docPr id="558" name="图片_57"/>
                  <wp:cNvGraphicFramePr/>
                  <a:graphic xmlns:a="http://schemas.openxmlformats.org/drawingml/2006/main">
                    <a:graphicData uri="http://schemas.openxmlformats.org/drawingml/2006/picture">
                      <pic:pic xmlns:pic="http://schemas.openxmlformats.org/drawingml/2006/picture">
                        <pic:nvPicPr>
                          <pic:cNvPr id="558" name="图片_57"/>
                          <pic:cNvPicPr/>
                        </pic:nvPicPr>
                        <pic:blipFill>
                          <a:blip r:embed="rId242"/>
                          <a:stretch>
                            <a:fillRect/>
                          </a:stretch>
                        </pic:blipFill>
                        <pic:spPr>
                          <a:xfrm>
                            <a:off x="0" y="0"/>
                            <a:ext cx="864870" cy="864235"/>
                          </a:xfrm>
                          <a:prstGeom prst="rect">
                            <a:avLst/>
                          </a:prstGeom>
                          <a:noFill/>
                          <a:ln>
                            <a:noFill/>
                          </a:ln>
                        </pic:spPr>
                      </pic:pic>
                    </a:graphicData>
                  </a:graphic>
                </wp:anchor>
              </w:drawing>
            </w:r>
          </w:p>
        </w:tc>
        <w:tc>
          <w:tcPr>
            <w:tcW w:w="4800" w:type="dxa"/>
            <w:shd w:val="clear" w:color="auto" w:fill="auto"/>
            <w:vAlign w:val="center"/>
          </w:tcPr>
          <w:p w14:paraId="4ABB28AE">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材质：PE、PP尺寸：约33×47×54.6cm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购物车包含车底、购物篮、轮子和娃娃座。购物车上下两侧设计，上层可以放置各种物品，能够行商店、超市等的扮演游戏，拓展幼儿游戏情节。</w:t>
            </w:r>
          </w:p>
        </w:tc>
        <w:tc>
          <w:tcPr>
            <w:tcW w:w="1167" w:type="dxa"/>
            <w:shd w:val="clear" w:color="auto" w:fill="auto"/>
            <w:vAlign w:val="center"/>
          </w:tcPr>
          <w:p w14:paraId="0BD3152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w:t>
            </w:r>
          </w:p>
        </w:tc>
        <w:tc>
          <w:tcPr>
            <w:tcW w:w="2314" w:type="dxa"/>
            <w:gridSpan w:val="2"/>
            <w:shd w:val="clear" w:color="auto" w:fill="auto"/>
            <w:vAlign w:val="center"/>
          </w:tcPr>
          <w:p w14:paraId="5345184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512F6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467" w:hRule="atLeast"/>
        </w:trPr>
        <w:tc>
          <w:tcPr>
            <w:tcW w:w="822" w:type="dxa"/>
            <w:shd w:val="clear" w:color="auto" w:fill="auto"/>
            <w:vAlign w:val="center"/>
          </w:tcPr>
          <w:p w14:paraId="4A11224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16</w:t>
            </w:r>
          </w:p>
        </w:tc>
        <w:tc>
          <w:tcPr>
            <w:tcW w:w="1445" w:type="dxa"/>
            <w:shd w:val="clear" w:color="auto" w:fill="auto"/>
            <w:vAlign w:val="center"/>
          </w:tcPr>
          <w:p w14:paraId="350D74F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购物车-蓝</w:t>
            </w:r>
          </w:p>
        </w:tc>
        <w:tc>
          <w:tcPr>
            <w:tcW w:w="2488" w:type="dxa"/>
            <w:shd w:val="clear" w:color="auto" w:fill="auto"/>
            <w:noWrap/>
            <w:vAlign w:val="center"/>
          </w:tcPr>
          <w:p w14:paraId="348B08B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196850</wp:posOffset>
                  </wp:positionH>
                  <wp:positionV relativeFrom="paragraph">
                    <wp:posOffset>-207010</wp:posOffset>
                  </wp:positionV>
                  <wp:extent cx="864870" cy="864235"/>
                  <wp:effectExtent l="0" t="0" r="11430" b="12065"/>
                  <wp:wrapSquare wrapText="bothSides"/>
                  <wp:docPr id="560" name="图片_58"/>
                  <wp:cNvGraphicFramePr/>
                  <a:graphic xmlns:a="http://schemas.openxmlformats.org/drawingml/2006/main">
                    <a:graphicData uri="http://schemas.openxmlformats.org/drawingml/2006/picture">
                      <pic:pic xmlns:pic="http://schemas.openxmlformats.org/drawingml/2006/picture">
                        <pic:nvPicPr>
                          <pic:cNvPr id="560" name="图片_58"/>
                          <pic:cNvPicPr/>
                        </pic:nvPicPr>
                        <pic:blipFill>
                          <a:blip r:embed="rId243"/>
                          <a:stretch>
                            <a:fillRect/>
                          </a:stretch>
                        </pic:blipFill>
                        <pic:spPr>
                          <a:xfrm>
                            <a:off x="0" y="0"/>
                            <a:ext cx="864870" cy="864235"/>
                          </a:xfrm>
                          <a:prstGeom prst="rect">
                            <a:avLst/>
                          </a:prstGeom>
                          <a:noFill/>
                          <a:ln>
                            <a:noFill/>
                          </a:ln>
                        </pic:spPr>
                      </pic:pic>
                    </a:graphicData>
                  </a:graphic>
                </wp:anchor>
              </w:drawing>
            </w:r>
          </w:p>
        </w:tc>
        <w:tc>
          <w:tcPr>
            <w:tcW w:w="4800" w:type="dxa"/>
            <w:shd w:val="clear" w:color="auto" w:fill="auto"/>
            <w:vAlign w:val="center"/>
          </w:tcPr>
          <w:p w14:paraId="0895B958">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材质：PE尺寸：46.9×33×54.6cm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上下两层设计，拓展幼儿游戏情节。带上宠物，一起开启购物之旅吧！</w:t>
            </w:r>
          </w:p>
        </w:tc>
        <w:tc>
          <w:tcPr>
            <w:tcW w:w="1167" w:type="dxa"/>
            <w:shd w:val="clear" w:color="auto" w:fill="auto"/>
            <w:vAlign w:val="center"/>
          </w:tcPr>
          <w:p w14:paraId="0695686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2314" w:type="dxa"/>
            <w:gridSpan w:val="2"/>
            <w:shd w:val="clear" w:color="auto" w:fill="auto"/>
            <w:vAlign w:val="center"/>
          </w:tcPr>
          <w:p w14:paraId="763C91C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601CF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666" w:hRule="atLeast"/>
        </w:trPr>
        <w:tc>
          <w:tcPr>
            <w:tcW w:w="822" w:type="dxa"/>
            <w:shd w:val="clear" w:color="auto" w:fill="auto"/>
            <w:vAlign w:val="center"/>
          </w:tcPr>
          <w:p w14:paraId="798A4BB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17</w:t>
            </w:r>
          </w:p>
        </w:tc>
        <w:tc>
          <w:tcPr>
            <w:tcW w:w="1445" w:type="dxa"/>
            <w:shd w:val="clear" w:color="auto" w:fill="auto"/>
            <w:vAlign w:val="center"/>
          </w:tcPr>
          <w:p w14:paraId="787FE66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冰淇淋点心摊</w:t>
            </w:r>
          </w:p>
        </w:tc>
        <w:tc>
          <w:tcPr>
            <w:tcW w:w="2488" w:type="dxa"/>
            <w:shd w:val="clear" w:color="auto" w:fill="auto"/>
            <w:noWrap/>
            <w:vAlign w:val="center"/>
          </w:tcPr>
          <w:p w14:paraId="0C23E37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260350</wp:posOffset>
                  </wp:positionH>
                  <wp:positionV relativeFrom="paragraph">
                    <wp:posOffset>-363220</wp:posOffset>
                  </wp:positionV>
                  <wp:extent cx="864870" cy="864235"/>
                  <wp:effectExtent l="0" t="0" r="11430" b="12065"/>
                  <wp:wrapSquare wrapText="bothSides"/>
                  <wp:docPr id="564" name="图片_59"/>
                  <wp:cNvGraphicFramePr/>
                  <a:graphic xmlns:a="http://schemas.openxmlformats.org/drawingml/2006/main">
                    <a:graphicData uri="http://schemas.openxmlformats.org/drawingml/2006/picture">
                      <pic:pic xmlns:pic="http://schemas.openxmlformats.org/drawingml/2006/picture">
                        <pic:nvPicPr>
                          <pic:cNvPr id="564" name="图片_59"/>
                          <pic:cNvPicPr/>
                        </pic:nvPicPr>
                        <pic:blipFill>
                          <a:blip r:embed="rId244"/>
                          <a:stretch>
                            <a:fillRect/>
                          </a:stretch>
                        </pic:blipFill>
                        <pic:spPr>
                          <a:xfrm>
                            <a:off x="0" y="0"/>
                            <a:ext cx="864870" cy="864235"/>
                          </a:xfrm>
                          <a:prstGeom prst="rect">
                            <a:avLst/>
                          </a:prstGeom>
                          <a:noFill/>
                          <a:ln>
                            <a:noFill/>
                          </a:ln>
                        </pic:spPr>
                      </pic:pic>
                    </a:graphicData>
                  </a:graphic>
                </wp:anchor>
              </w:drawing>
            </w:r>
          </w:p>
        </w:tc>
        <w:tc>
          <w:tcPr>
            <w:tcW w:w="4800" w:type="dxa"/>
            <w:shd w:val="clear" w:color="auto" w:fill="auto"/>
            <w:vAlign w:val="center"/>
          </w:tcPr>
          <w:p w14:paraId="2472626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想吃咸的还是甜的？遮阳棚小摊，幼儿们可以卖热狗，椒盐饼干等等；翻转遮雨棚和菜单就变成冰淇淋小贩，提供各种甜点！坚固的木头车附有40多件附件。</w:t>
            </w:r>
          </w:p>
        </w:tc>
        <w:tc>
          <w:tcPr>
            <w:tcW w:w="1167" w:type="dxa"/>
            <w:shd w:val="clear" w:color="auto" w:fill="auto"/>
            <w:vAlign w:val="center"/>
          </w:tcPr>
          <w:p w14:paraId="167B601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w:t>
            </w:r>
          </w:p>
        </w:tc>
        <w:tc>
          <w:tcPr>
            <w:tcW w:w="2314" w:type="dxa"/>
            <w:gridSpan w:val="2"/>
            <w:shd w:val="clear" w:color="auto" w:fill="auto"/>
            <w:vAlign w:val="center"/>
          </w:tcPr>
          <w:p w14:paraId="4757B40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3D8DB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966" w:hRule="atLeast"/>
        </w:trPr>
        <w:tc>
          <w:tcPr>
            <w:tcW w:w="822" w:type="dxa"/>
            <w:shd w:val="clear" w:color="auto" w:fill="auto"/>
            <w:vAlign w:val="center"/>
          </w:tcPr>
          <w:p w14:paraId="31D105C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18</w:t>
            </w:r>
          </w:p>
        </w:tc>
        <w:tc>
          <w:tcPr>
            <w:tcW w:w="1445" w:type="dxa"/>
            <w:shd w:val="clear" w:color="auto" w:fill="auto"/>
            <w:vAlign w:val="center"/>
          </w:tcPr>
          <w:p w14:paraId="0F24423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厨师服4件套</w:t>
            </w:r>
          </w:p>
        </w:tc>
        <w:tc>
          <w:tcPr>
            <w:tcW w:w="2488" w:type="dxa"/>
            <w:shd w:val="clear" w:color="auto" w:fill="auto"/>
            <w:noWrap/>
            <w:vAlign w:val="center"/>
          </w:tcPr>
          <w:p w14:paraId="006D40B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324485</wp:posOffset>
                  </wp:positionH>
                  <wp:positionV relativeFrom="paragraph">
                    <wp:posOffset>190500</wp:posOffset>
                  </wp:positionV>
                  <wp:extent cx="864870" cy="864235"/>
                  <wp:effectExtent l="0" t="0" r="11430" b="12065"/>
                  <wp:wrapSquare wrapText="bothSides"/>
                  <wp:docPr id="548" name="图片_60"/>
                  <wp:cNvGraphicFramePr/>
                  <a:graphic xmlns:a="http://schemas.openxmlformats.org/drawingml/2006/main">
                    <a:graphicData uri="http://schemas.openxmlformats.org/drawingml/2006/picture">
                      <pic:pic xmlns:pic="http://schemas.openxmlformats.org/drawingml/2006/picture">
                        <pic:nvPicPr>
                          <pic:cNvPr id="548" name="图片_60"/>
                          <pic:cNvPicPr/>
                        </pic:nvPicPr>
                        <pic:blipFill>
                          <a:blip r:embed="rId245"/>
                          <a:stretch>
                            <a:fillRect/>
                          </a:stretch>
                        </pic:blipFill>
                        <pic:spPr>
                          <a:xfrm>
                            <a:off x="0" y="0"/>
                            <a:ext cx="864870" cy="864235"/>
                          </a:xfrm>
                          <a:prstGeom prst="rect">
                            <a:avLst/>
                          </a:prstGeom>
                          <a:noFill/>
                          <a:ln>
                            <a:noFill/>
                          </a:ln>
                        </pic:spPr>
                      </pic:pic>
                    </a:graphicData>
                  </a:graphic>
                </wp:anchor>
              </w:drawing>
            </w:r>
          </w:p>
        </w:tc>
        <w:tc>
          <w:tcPr>
            <w:tcW w:w="4800" w:type="dxa"/>
            <w:shd w:val="clear" w:color="auto" w:fill="auto"/>
            <w:vAlign w:val="center"/>
          </w:tcPr>
          <w:p w14:paraId="2F5200A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材质：优质棉布尺寸：衣长约54cm，帽子1件、上衣1件、围裙1件、三角巾1件。可以玩扮演厨师、开面包店、美食店等游戏活动，帮助幼儿了解厨师及相关的职业功能、特性，扩大幼儿的视野，培养社交能力。</w:t>
            </w:r>
          </w:p>
        </w:tc>
        <w:tc>
          <w:tcPr>
            <w:tcW w:w="1167" w:type="dxa"/>
            <w:shd w:val="clear" w:color="auto" w:fill="auto"/>
            <w:vAlign w:val="center"/>
          </w:tcPr>
          <w:p w14:paraId="1694553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10</w:t>
            </w:r>
          </w:p>
        </w:tc>
        <w:tc>
          <w:tcPr>
            <w:tcW w:w="2314" w:type="dxa"/>
            <w:gridSpan w:val="2"/>
            <w:shd w:val="clear" w:color="auto" w:fill="auto"/>
            <w:vAlign w:val="center"/>
          </w:tcPr>
          <w:p w14:paraId="19BB67F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467046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532" w:hRule="atLeast"/>
        </w:trPr>
        <w:tc>
          <w:tcPr>
            <w:tcW w:w="822" w:type="dxa"/>
            <w:shd w:val="clear" w:color="auto" w:fill="auto"/>
            <w:vAlign w:val="center"/>
          </w:tcPr>
          <w:p w14:paraId="59DBB60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19</w:t>
            </w:r>
          </w:p>
        </w:tc>
        <w:tc>
          <w:tcPr>
            <w:tcW w:w="1445" w:type="dxa"/>
            <w:shd w:val="clear" w:color="auto" w:fill="auto"/>
            <w:vAlign w:val="center"/>
          </w:tcPr>
          <w:p w14:paraId="4FA3AB1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扮演服套装—医生</w:t>
            </w:r>
          </w:p>
        </w:tc>
        <w:tc>
          <w:tcPr>
            <w:tcW w:w="2488" w:type="dxa"/>
            <w:shd w:val="clear" w:color="auto" w:fill="auto"/>
            <w:noWrap/>
            <w:vAlign w:val="center"/>
          </w:tcPr>
          <w:p w14:paraId="4B3EE9A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410210</wp:posOffset>
                  </wp:positionH>
                  <wp:positionV relativeFrom="paragraph">
                    <wp:posOffset>520065</wp:posOffset>
                  </wp:positionV>
                  <wp:extent cx="864870" cy="864235"/>
                  <wp:effectExtent l="0" t="0" r="11430" b="12065"/>
                  <wp:wrapSquare wrapText="bothSides"/>
                  <wp:docPr id="555" name="图片_61"/>
                  <wp:cNvGraphicFramePr/>
                  <a:graphic xmlns:a="http://schemas.openxmlformats.org/drawingml/2006/main">
                    <a:graphicData uri="http://schemas.openxmlformats.org/drawingml/2006/picture">
                      <pic:pic xmlns:pic="http://schemas.openxmlformats.org/drawingml/2006/picture">
                        <pic:nvPicPr>
                          <pic:cNvPr id="555" name="图片_61"/>
                          <pic:cNvPicPr/>
                        </pic:nvPicPr>
                        <pic:blipFill>
                          <a:blip r:embed="rId246"/>
                          <a:stretch>
                            <a:fillRect/>
                          </a:stretch>
                        </pic:blipFill>
                        <pic:spPr>
                          <a:xfrm>
                            <a:off x="0" y="0"/>
                            <a:ext cx="864870" cy="864235"/>
                          </a:xfrm>
                          <a:prstGeom prst="rect">
                            <a:avLst/>
                          </a:prstGeom>
                          <a:noFill/>
                          <a:ln>
                            <a:noFill/>
                          </a:ln>
                        </pic:spPr>
                      </pic:pic>
                    </a:graphicData>
                  </a:graphic>
                </wp:anchor>
              </w:drawing>
            </w:r>
          </w:p>
        </w:tc>
        <w:tc>
          <w:tcPr>
            <w:tcW w:w="4800" w:type="dxa"/>
            <w:shd w:val="clear" w:color="auto" w:fill="auto"/>
            <w:vAlign w:val="center"/>
          </w:tcPr>
          <w:p w14:paraId="7D2E63FD">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材质：涤纶、ABS产品尺寸：衣长:69cm肩宽:38cm胸围:96cm袖长:20cm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内含医生服1件，帽子1顶，听诊器1个，针筒1个，文件夹1个，温度计1个，血压计1个。共计7件。仿真医生扮演服，帮助幼儿了解医生的职业功能。同时在游戏中强化游戏角色，培养社会交往能力。</w:t>
            </w:r>
          </w:p>
        </w:tc>
        <w:tc>
          <w:tcPr>
            <w:tcW w:w="1167" w:type="dxa"/>
            <w:shd w:val="clear" w:color="auto" w:fill="auto"/>
            <w:vAlign w:val="center"/>
          </w:tcPr>
          <w:p w14:paraId="4DB1797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10</w:t>
            </w:r>
          </w:p>
        </w:tc>
        <w:tc>
          <w:tcPr>
            <w:tcW w:w="2314" w:type="dxa"/>
            <w:gridSpan w:val="2"/>
            <w:shd w:val="clear" w:color="auto" w:fill="auto"/>
            <w:vAlign w:val="center"/>
          </w:tcPr>
          <w:p w14:paraId="102C7B6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1ACFA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20" w:hRule="atLeast"/>
        </w:trPr>
        <w:tc>
          <w:tcPr>
            <w:tcW w:w="822" w:type="dxa"/>
            <w:shd w:val="clear" w:color="auto" w:fill="auto"/>
            <w:vAlign w:val="center"/>
          </w:tcPr>
          <w:p w14:paraId="4BFEE65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20</w:t>
            </w:r>
          </w:p>
        </w:tc>
        <w:tc>
          <w:tcPr>
            <w:tcW w:w="1445" w:type="dxa"/>
            <w:shd w:val="clear" w:color="auto" w:fill="auto"/>
            <w:vAlign w:val="center"/>
          </w:tcPr>
          <w:p w14:paraId="55EA0BF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扮演服套装-警察</w:t>
            </w:r>
          </w:p>
        </w:tc>
        <w:tc>
          <w:tcPr>
            <w:tcW w:w="2488" w:type="dxa"/>
            <w:shd w:val="clear" w:color="auto" w:fill="auto"/>
            <w:noWrap/>
            <w:vAlign w:val="center"/>
          </w:tcPr>
          <w:p w14:paraId="27B587F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314960</wp:posOffset>
                  </wp:positionH>
                  <wp:positionV relativeFrom="paragraph">
                    <wp:posOffset>325755</wp:posOffset>
                  </wp:positionV>
                  <wp:extent cx="864870" cy="864235"/>
                  <wp:effectExtent l="0" t="0" r="11430" b="12065"/>
                  <wp:wrapNone/>
                  <wp:docPr id="552" name="图片_62"/>
                  <wp:cNvGraphicFramePr/>
                  <a:graphic xmlns:a="http://schemas.openxmlformats.org/drawingml/2006/main">
                    <a:graphicData uri="http://schemas.openxmlformats.org/drawingml/2006/picture">
                      <pic:pic xmlns:pic="http://schemas.openxmlformats.org/drawingml/2006/picture">
                        <pic:nvPicPr>
                          <pic:cNvPr id="552" name="图片_62"/>
                          <pic:cNvPicPr/>
                        </pic:nvPicPr>
                        <pic:blipFill>
                          <a:blip r:embed="rId247"/>
                          <a:stretch>
                            <a:fillRect/>
                          </a:stretch>
                        </pic:blipFill>
                        <pic:spPr>
                          <a:xfrm>
                            <a:off x="0" y="0"/>
                            <a:ext cx="864870" cy="864235"/>
                          </a:xfrm>
                          <a:prstGeom prst="rect">
                            <a:avLst/>
                          </a:prstGeom>
                          <a:noFill/>
                          <a:ln>
                            <a:noFill/>
                          </a:ln>
                        </pic:spPr>
                      </pic:pic>
                    </a:graphicData>
                  </a:graphic>
                </wp:anchor>
              </w:drawing>
            </w:r>
          </w:p>
        </w:tc>
        <w:tc>
          <w:tcPr>
            <w:tcW w:w="4800" w:type="dxa"/>
            <w:shd w:val="clear" w:color="auto" w:fill="auto"/>
            <w:vAlign w:val="center"/>
          </w:tcPr>
          <w:p w14:paraId="415C8BBA">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材质：涤纶、ABS 产品尺寸：衣长：48cm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胸围：63cm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肩宽：31cm.内含警察服 1 件，领带 1 条，帽子 1 顶，对讲机 1 个，手铐 1 副，警棍 1 个。</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共计 6 件。丰富的扮演材料和仿真扮演服，帮助幼儿了解学习警察的职业功能。</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同时在游戏中强化游戏角色，培养社会交往能力。</w:t>
            </w:r>
          </w:p>
        </w:tc>
        <w:tc>
          <w:tcPr>
            <w:tcW w:w="1167" w:type="dxa"/>
            <w:shd w:val="clear" w:color="auto" w:fill="auto"/>
            <w:vAlign w:val="center"/>
          </w:tcPr>
          <w:p w14:paraId="34F5543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10</w:t>
            </w:r>
          </w:p>
        </w:tc>
        <w:tc>
          <w:tcPr>
            <w:tcW w:w="2314" w:type="dxa"/>
            <w:gridSpan w:val="2"/>
            <w:shd w:val="clear" w:color="auto" w:fill="auto"/>
            <w:vAlign w:val="center"/>
          </w:tcPr>
          <w:p w14:paraId="65D6720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6B3B0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276" w:hRule="atLeast"/>
        </w:trPr>
        <w:tc>
          <w:tcPr>
            <w:tcW w:w="822" w:type="dxa"/>
            <w:shd w:val="clear" w:color="auto" w:fill="auto"/>
            <w:vAlign w:val="center"/>
          </w:tcPr>
          <w:p w14:paraId="6637195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21</w:t>
            </w:r>
          </w:p>
        </w:tc>
        <w:tc>
          <w:tcPr>
            <w:tcW w:w="1445" w:type="dxa"/>
            <w:shd w:val="clear" w:color="auto" w:fill="auto"/>
            <w:vAlign w:val="center"/>
          </w:tcPr>
          <w:p w14:paraId="7D5D728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扮演服套装-航天员服</w:t>
            </w:r>
          </w:p>
        </w:tc>
        <w:tc>
          <w:tcPr>
            <w:tcW w:w="2488" w:type="dxa"/>
            <w:shd w:val="clear" w:color="auto" w:fill="auto"/>
            <w:noWrap/>
            <w:vAlign w:val="center"/>
          </w:tcPr>
          <w:p w14:paraId="03D54FD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486410</wp:posOffset>
                  </wp:positionH>
                  <wp:positionV relativeFrom="paragraph">
                    <wp:posOffset>321945</wp:posOffset>
                  </wp:positionV>
                  <wp:extent cx="864870" cy="864235"/>
                  <wp:effectExtent l="0" t="0" r="11430" b="12065"/>
                  <wp:wrapSquare wrapText="bothSides"/>
                  <wp:docPr id="547" name="图片_63"/>
                  <wp:cNvGraphicFramePr/>
                  <a:graphic xmlns:a="http://schemas.openxmlformats.org/drawingml/2006/main">
                    <a:graphicData uri="http://schemas.openxmlformats.org/drawingml/2006/picture">
                      <pic:pic xmlns:pic="http://schemas.openxmlformats.org/drawingml/2006/picture">
                        <pic:nvPicPr>
                          <pic:cNvPr id="547" name="图片_63"/>
                          <pic:cNvPicPr/>
                        </pic:nvPicPr>
                        <pic:blipFill>
                          <a:blip r:embed="rId248"/>
                          <a:stretch>
                            <a:fillRect/>
                          </a:stretch>
                        </pic:blipFill>
                        <pic:spPr>
                          <a:xfrm>
                            <a:off x="0" y="0"/>
                            <a:ext cx="864870" cy="864235"/>
                          </a:xfrm>
                          <a:prstGeom prst="rect">
                            <a:avLst/>
                          </a:prstGeom>
                          <a:noFill/>
                          <a:ln>
                            <a:noFill/>
                          </a:ln>
                        </pic:spPr>
                      </pic:pic>
                    </a:graphicData>
                  </a:graphic>
                </wp:anchor>
              </w:drawing>
            </w:r>
          </w:p>
        </w:tc>
        <w:tc>
          <w:tcPr>
            <w:tcW w:w="4800" w:type="dxa"/>
            <w:shd w:val="clear" w:color="auto" w:fill="auto"/>
            <w:vAlign w:val="center"/>
          </w:tcPr>
          <w:p w14:paraId="2B877DFC">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材质：涤纶 产品尺寸：衣长：98cm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胸围：68cm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肩宽：28cm 袖长约38cm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内含航天员服 1 件，帽子 1 顶，手套 1 副。共计 3 件。丰富的扮演材料和仿真扮演服，帮助幼儿了解学习航天员的职业功能。同时在游戏中强化游戏角色，培养社会交往能力。</w:t>
            </w:r>
          </w:p>
        </w:tc>
        <w:tc>
          <w:tcPr>
            <w:tcW w:w="1167" w:type="dxa"/>
            <w:shd w:val="clear" w:color="auto" w:fill="auto"/>
            <w:vAlign w:val="center"/>
          </w:tcPr>
          <w:p w14:paraId="3E54E9D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10</w:t>
            </w:r>
          </w:p>
        </w:tc>
        <w:tc>
          <w:tcPr>
            <w:tcW w:w="2314" w:type="dxa"/>
            <w:gridSpan w:val="2"/>
            <w:shd w:val="clear" w:color="auto" w:fill="auto"/>
            <w:vAlign w:val="center"/>
          </w:tcPr>
          <w:p w14:paraId="72A703EA">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5C552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443" w:hRule="atLeast"/>
        </w:trPr>
        <w:tc>
          <w:tcPr>
            <w:tcW w:w="822" w:type="dxa"/>
            <w:shd w:val="clear" w:color="auto" w:fill="auto"/>
            <w:vAlign w:val="center"/>
          </w:tcPr>
          <w:p w14:paraId="1E78E56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22</w:t>
            </w:r>
          </w:p>
        </w:tc>
        <w:tc>
          <w:tcPr>
            <w:tcW w:w="1445" w:type="dxa"/>
            <w:shd w:val="clear" w:color="auto" w:fill="auto"/>
            <w:vAlign w:val="center"/>
          </w:tcPr>
          <w:p w14:paraId="102A3E3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演服套装-工程师</w:t>
            </w:r>
          </w:p>
        </w:tc>
        <w:tc>
          <w:tcPr>
            <w:tcW w:w="2488" w:type="dxa"/>
            <w:shd w:val="clear" w:color="auto" w:fill="auto"/>
            <w:noWrap/>
            <w:vAlign w:val="center"/>
          </w:tcPr>
          <w:p w14:paraId="41992E5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286385</wp:posOffset>
                  </wp:positionH>
                  <wp:positionV relativeFrom="paragraph">
                    <wp:posOffset>251460</wp:posOffset>
                  </wp:positionV>
                  <wp:extent cx="864870" cy="864235"/>
                  <wp:effectExtent l="0" t="0" r="11430" b="12065"/>
                  <wp:wrapSquare wrapText="bothSides"/>
                  <wp:docPr id="553" name="图片_64"/>
                  <wp:cNvGraphicFramePr/>
                  <a:graphic xmlns:a="http://schemas.openxmlformats.org/drawingml/2006/main">
                    <a:graphicData uri="http://schemas.openxmlformats.org/drawingml/2006/picture">
                      <pic:pic xmlns:pic="http://schemas.openxmlformats.org/drawingml/2006/picture">
                        <pic:nvPicPr>
                          <pic:cNvPr id="553" name="图片_64"/>
                          <pic:cNvPicPr/>
                        </pic:nvPicPr>
                        <pic:blipFill>
                          <a:blip r:embed="rId249"/>
                          <a:stretch>
                            <a:fillRect/>
                          </a:stretch>
                        </pic:blipFill>
                        <pic:spPr>
                          <a:xfrm>
                            <a:off x="0" y="0"/>
                            <a:ext cx="864870" cy="864235"/>
                          </a:xfrm>
                          <a:prstGeom prst="rect">
                            <a:avLst/>
                          </a:prstGeom>
                          <a:noFill/>
                          <a:ln>
                            <a:noFill/>
                          </a:ln>
                        </pic:spPr>
                      </pic:pic>
                    </a:graphicData>
                  </a:graphic>
                </wp:anchor>
              </w:drawing>
            </w:r>
          </w:p>
        </w:tc>
        <w:tc>
          <w:tcPr>
            <w:tcW w:w="4800" w:type="dxa"/>
            <w:shd w:val="clear" w:color="auto" w:fill="auto"/>
            <w:vAlign w:val="center"/>
          </w:tcPr>
          <w:p w14:paraId="0F20649B">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材质：聚酯纤维 产品尺寸：衣长：60cm,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胸围：80cm 内含马甲 1 件，帽子 1 顶，腰包 1 个，工具 1 套（5 种），卡头 1 个，</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衣架 1 个。共计 6 件。丰富的扮演材料和仿真扮演服，帮助幼儿了解学习工程师职业功能。同时在游戏中强化游戏角色，培养社会交往能力。</w:t>
            </w:r>
          </w:p>
        </w:tc>
        <w:tc>
          <w:tcPr>
            <w:tcW w:w="1167" w:type="dxa"/>
            <w:shd w:val="clear" w:color="auto" w:fill="auto"/>
            <w:vAlign w:val="center"/>
          </w:tcPr>
          <w:p w14:paraId="3CE8C54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10</w:t>
            </w:r>
          </w:p>
        </w:tc>
        <w:tc>
          <w:tcPr>
            <w:tcW w:w="2314" w:type="dxa"/>
            <w:gridSpan w:val="2"/>
            <w:shd w:val="clear" w:color="auto" w:fill="auto"/>
            <w:vAlign w:val="center"/>
          </w:tcPr>
          <w:p w14:paraId="2AD0A35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33199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555" w:hRule="atLeast"/>
        </w:trPr>
        <w:tc>
          <w:tcPr>
            <w:tcW w:w="822" w:type="dxa"/>
            <w:shd w:val="clear" w:color="auto" w:fill="auto"/>
            <w:vAlign w:val="center"/>
          </w:tcPr>
          <w:p w14:paraId="13C5569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23</w:t>
            </w:r>
          </w:p>
        </w:tc>
        <w:tc>
          <w:tcPr>
            <w:tcW w:w="1445" w:type="dxa"/>
            <w:shd w:val="clear" w:color="auto" w:fill="auto"/>
            <w:vAlign w:val="center"/>
          </w:tcPr>
          <w:p w14:paraId="2C621F4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扮演服套装—护士</w:t>
            </w:r>
          </w:p>
        </w:tc>
        <w:tc>
          <w:tcPr>
            <w:tcW w:w="2488" w:type="dxa"/>
            <w:shd w:val="clear" w:color="auto" w:fill="auto"/>
            <w:noWrap/>
            <w:vAlign w:val="center"/>
          </w:tcPr>
          <w:p w14:paraId="698D5DF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219710</wp:posOffset>
                  </wp:positionH>
                  <wp:positionV relativeFrom="paragraph">
                    <wp:posOffset>523875</wp:posOffset>
                  </wp:positionV>
                  <wp:extent cx="864870" cy="864235"/>
                  <wp:effectExtent l="0" t="0" r="11430" b="12065"/>
                  <wp:wrapNone/>
                  <wp:docPr id="554" name="图片_65"/>
                  <wp:cNvGraphicFramePr/>
                  <a:graphic xmlns:a="http://schemas.openxmlformats.org/drawingml/2006/main">
                    <a:graphicData uri="http://schemas.openxmlformats.org/drawingml/2006/picture">
                      <pic:pic xmlns:pic="http://schemas.openxmlformats.org/drawingml/2006/picture">
                        <pic:nvPicPr>
                          <pic:cNvPr id="554" name="图片_65"/>
                          <pic:cNvPicPr/>
                        </pic:nvPicPr>
                        <pic:blipFill>
                          <a:blip r:embed="rId250"/>
                          <a:stretch>
                            <a:fillRect/>
                          </a:stretch>
                        </pic:blipFill>
                        <pic:spPr>
                          <a:xfrm>
                            <a:off x="0" y="0"/>
                            <a:ext cx="864870" cy="864235"/>
                          </a:xfrm>
                          <a:prstGeom prst="rect">
                            <a:avLst/>
                          </a:prstGeom>
                          <a:noFill/>
                          <a:ln>
                            <a:noFill/>
                          </a:ln>
                        </pic:spPr>
                      </pic:pic>
                    </a:graphicData>
                  </a:graphic>
                </wp:anchor>
              </w:drawing>
            </w:r>
          </w:p>
        </w:tc>
        <w:tc>
          <w:tcPr>
            <w:tcW w:w="4800" w:type="dxa"/>
            <w:shd w:val="clear" w:color="auto" w:fill="auto"/>
            <w:vAlign w:val="center"/>
          </w:tcPr>
          <w:p w14:paraId="02DBCA1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材质：涤棉 产品尺寸：衣长：68cm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胸围：74cm肩宽：32cm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内含护士服 1 件，帽子 1 顶，针筒 1 个，体温枪个，血压计 1 个，胶皮娃娃 1 个。</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共计 6 件。丰富的扮演材料和仿真护士服，帮助幼儿了解学习护士的职业功能。同时在游戏中强化游戏角色，培养社会交往能力。</w:t>
            </w:r>
          </w:p>
        </w:tc>
        <w:tc>
          <w:tcPr>
            <w:tcW w:w="1167" w:type="dxa"/>
            <w:shd w:val="clear" w:color="auto" w:fill="auto"/>
            <w:vAlign w:val="center"/>
          </w:tcPr>
          <w:p w14:paraId="2F2FB40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10</w:t>
            </w:r>
          </w:p>
        </w:tc>
        <w:tc>
          <w:tcPr>
            <w:tcW w:w="2314" w:type="dxa"/>
            <w:gridSpan w:val="2"/>
            <w:shd w:val="clear" w:color="auto" w:fill="auto"/>
            <w:vAlign w:val="center"/>
          </w:tcPr>
          <w:p w14:paraId="4A15BF2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3ED84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728" w:hRule="atLeast"/>
        </w:trPr>
        <w:tc>
          <w:tcPr>
            <w:tcW w:w="822" w:type="dxa"/>
            <w:shd w:val="clear" w:color="auto" w:fill="auto"/>
            <w:vAlign w:val="center"/>
          </w:tcPr>
          <w:p w14:paraId="1354642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24</w:t>
            </w:r>
          </w:p>
        </w:tc>
        <w:tc>
          <w:tcPr>
            <w:tcW w:w="1445" w:type="dxa"/>
            <w:shd w:val="clear" w:color="auto" w:fill="auto"/>
            <w:vAlign w:val="center"/>
          </w:tcPr>
          <w:p w14:paraId="0A219A2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扮演服套装-消防员</w:t>
            </w:r>
          </w:p>
        </w:tc>
        <w:tc>
          <w:tcPr>
            <w:tcW w:w="2488" w:type="dxa"/>
            <w:shd w:val="clear" w:color="auto" w:fill="auto"/>
            <w:noWrap/>
            <w:vAlign w:val="center"/>
          </w:tcPr>
          <w:p w14:paraId="63A4006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229235</wp:posOffset>
                  </wp:positionH>
                  <wp:positionV relativeFrom="paragraph">
                    <wp:posOffset>529590</wp:posOffset>
                  </wp:positionV>
                  <wp:extent cx="864870" cy="864235"/>
                  <wp:effectExtent l="0" t="0" r="11430" b="12065"/>
                  <wp:wrapSquare wrapText="bothSides"/>
                  <wp:docPr id="556" name="图片_66"/>
                  <wp:cNvGraphicFramePr/>
                  <a:graphic xmlns:a="http://schemas.openxmlformats.org/drawingml/2006/main">
                    <a:graphicData uri="http://schemas.openxmlformats.org/drawingml/2006/picture">
                      <pic:pic xmlns:pic="http://schemas.openxmlformats.org/drawingml/2006/picture">
                        <pic:nvPicPr>
                          <pic:cNvPr id="556" name="图片_66"/>
                          <pic:cNvPicPr/>
                        </pic:nvPicPr>
                        <pic:blipFill>
                          <a:blip r:embed="rId251"/>
                          <a:stretch>
                            <a:fillRect/>
                          </a:stretch>
                        </pic:blipFill>
                        <pic:spPr>
                          <a:xfrm>
                            <a:off x="0" y="0"/>
                            <a:ext cx="864870" cy="864235"/>
                          </a:xfrm>
                          <a:prstGeom prst="rect">
                            <a:avLst/>
                          </a:prstGeom>
                          <a:noFill/>
                          <a:ln>
                            <a:noFill/>
                          </a:ln>
                        </pic:spPr>
                      </pic:pic>
                    </a:graphicData>
                  </a:graphic>
                </wp:anchor>
              </w:drawing>
            </w:r>
          </w:p>
        </w:tc>
        <w:tc>
          <w:tcPr>
            <w:tcW w:w="4800" w:type="dxa"/>
            <w:shd w:val="clear" w:color="auto" w:fill="auto"/>
            <w:vAlign w:val="center"/>
          </w:tcPr>
          <w:p w14:paraId="36C5AEC4">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材质：全棉 产品尺寸：衣长：50cm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胸围：63cm肩宽：35cm.</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内含消防员服 1 件，帽子 1 顶，灭火器 1 个，消防斧 1 个，对讲机 1 个，指南</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针 1 个。共计 6 件。丰富的扮演材料和仿真消防服，帮助幼儿了解学习消防员的职业功能。同时在游戏中强化游戏角色，培养社会交往能力。</w:t>
            </w:r>
          </w:p>
        </w:tc>
        <w:tc>
          <w:tcPr>
            <w:tcW w:w="1167" w:type="dxa"/>
            <w:shd w:val="clear" w:color="auto" w:fill="auto"/>
            <w:vAlign w:val="center"/>
          </w:tcPr>
          <w:p w14:paraId="5C283DA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10</w:t>
            </w:r>
          </w:p>
        </w:tc>
        <w:tc>
          <w:tcPr>
            <w:tcW w:w="2314" w:type="dxa"/>
            <w:gridSpan w:val="2"/>
            <w:shd w:val="clear" w:color="auto" w:fill="auto"/>
            <w:vAlign w:val="center"/>
          </w:tcPr>
          <w:p w14:paraId="0474225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00D9EC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20" w:hRule="atLeast"/>
        </w:trPr>
        <w:tc>
          <w:tcPr>
            <w:tcW w:w="822" w:type="dxa"/>
            <w:shd w:val="clear" w:color="auto" w:fill="auto"/>
            <w:vAlign w:val="center"/>
          </w:tcPr>
          <w:p w14:paraId="7F84CE6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25</w:t>
            </w:r>
          </w:p>
        </w:tc>
        <w:tc>
          <w:tcPr>
            <w:tcW w:w="1445" w:type="dxa"/>
            <w:shd w:val="clear" w:color="auto" w:fill="auto"/>
            <w:vAlign w:val="center"/>
          </w:tcPr>
          <w:p w14:paraId="234149B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微笑动物手偶</w:t>
            </w:r>
          </w:p>
        </w:tc>
        <w:tc>
          <w:tcPr>
            <w:tcW w:w="2488" w:type="dxa"/>
            <w:shd w:val="clear" w:color="auto" w:fill="auto"/>
            <w:noWrap/>
            <w:vAlign w:val="center"/>
          </w:tcPr>
          <w:p w14:paraId="752AF6B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286385</wp:posOffset>
                  </wp:positionH>
                  <wp:positionV relativeFrom="paragraph">
                    <wp:posOffset>371475</wp:posOffset>
                  </wp:positionV>
                  <wp:extent cx="864870" cy="864235"/>
                  <wp:effectExtent l="0" t="0" r="11430" b="12065"/>
                  <wp:wrapNone/>
                  <wp:docPr id="568" name="图片_74"/>
                  <wp:cNvGraphicFramePr/>
                  <a:graphic xmlns:a="http://schemas.openxmlformats.org/drawingml/2006/main">
                    <a:graphicData uri="http://schemas.openxmlformats.org/drawingml/2006/picture">
                      <pic:pic xmlns:pic="http://schemas.openxmlformats.org/drawingml/2006/picture">
                        <pic:nvPicPr>
                          <pic:cNvPr id="568" name="图片_74"/>
                          <pic:cNvPicPr/>
                        </pic:nvPicPr>
                        <pic:blipFill>
                          <a:blip r:embed="rId252"/>
                          <a:stretch>
                            <a:fillRect/>
                          </a:stretch>
                        </pic:blipFill>
                        <pic:spPr>
                          <a:xfrm>
                            <a:off x="0" y="0"/>
                            <a:ext cx="864870" cy="864235"/>
                          </a:xfrm>
                          <a:prstGeom prst="rect">
                            <a:avLst/>
                          </a:prstGeom>
                          <a:noFill/>
                          <a:ln>
                            <a:noFill/>
                          </a:ln>
                        </pic:spPr>
                      </pic:pic>
                    </a:graphicData>
                  </a:graphic>
                </wp:anchor>
              </w:drawing>
            </w:r>
          </w:p>
        </w:tc>
        <w:tc>
          <w:tcPr>
            <w:tcW w:w="4800" w:type="dxa"/>
            <w:shd w:val="clear" w:color="auto" w:fill="auto"/>
            <w:vAlign w:val="center"/>
          </w:tcPr>
          <w:p w14:paraId="1082F9ED">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材质：超柔面料/聚酯纤维/填充棉尺寸：包装约37.2×59.4cm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内含6种动物手偶，形象逼真、活泼可爱的动物造型，能让幼儿沉浸在创意游戏中，发展幼儿的创造力、专注力、想象力。</w:t>
            </w:r>
          </w:p>
        </w:tc>
        <w:tc>
          <w:tcPr>
            <w:tcW w:w="1167" w:type="dxa"/>
            <w:shd w:val="clear" w:color="auto" w:fill="auto"/>
            <w:vAlign w:val="center"/>
          </w:tcPr>
          <w:p w14:paraId="0760834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10</w:t>
            </w:r>
          </w:p>
        </w:tc>
        <w:tc>
          <w:tcPr>
            <w:tcW w:w="2314" w:type="dxa"/>
            <w:gridSpan w:val="2"/>
            <w:shd w:val="clear" w:color="auto" w:fill="auto"/>
            <w:vAlign w:val="center"/>
          </w:tcPr>
          <w:p w14:paraId="0137FCF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797AC9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722" w:hRule="atLeast"/>
        </w:trPr>
        <w:tc>
          <w:tcPr>
            <w:tcW w:w="822" w:type="dxa"/>
            <w:shd w:val="clear" w:color="auto" w:fill="auto"/>
            <w:vAlign w:val="center"/>
          </w:tcPr>
          <w:p w14:paraId="0ADA9C5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26</w:t>
            </w:r>
          </w:p>
        </w:tc>
        <w:tc>
          <w:tcPr>
            <w:tcW w:w="1445" w:type="dxa"/>
            <w:shd w:val="clear" w:color="auto" w:fill="auto"/>
            <w:vAlign w:val="center"/>
          </w:tcPr>
          <w:p w14:paraId="79C0C25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梳妆扮演组</w:t>
            </w:r>
          </w:p>
        </w:tc>
        <w:tc>
          <w:tcPr>
            <w:tcW w:w="2488" w:type="dxa"/>
            <w:shd w:val="clear" w:color="auto" w:fill="auto"/>
            <w:noWrap/>
            <w:vAlign w:val="center"/>
          </w:tcPr>
          <w:p w14:paraId="3989C5D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396875</wp:posOffset>
                  </wp:positionH>
                  <wp:positionV relativeFrom="paragraph">
                    <wp:posOffset>280670</wp:posOffset>
                  </wp:positionV>
                  <wp:extent cx="864870" cy="864235"/>
                  <wp:effectExtent l="0" t="0" r="11430" b="12065"/>
                  <wp:wrapSquare wrapText="bothSides"/>
                  <wp:docPr id="567" name="图片_75"/>
                  <wp:cNvGraphicFramePr/>
                  <a:graphic xmlns:a="http://schemas.openxmlformats.org/drawingml/2006/main">
                    <a:graphicData uri="http://schemas.openxmlformats.org/drawingml/2006/picture">
                      <pic:pic xmlns:pic="http://schemas.openxmlformats.org/drawingml/2006/picture">
                        <pic:nvPicPr>
                          <pic:cNvPr id="567" name="图片_75"/>
                          <pic:cNvPicPr/>
                        </pic:nvPicPr>
                        <pic:blipFill>
                          <a:blip r:embed="rId253"/>
                          <a:stretch>
                            <a:fillRect/>
                          </a:stretch>
                        </pic:blipFill>
                        <pic:spPr>
                          <a:xfrm>
                            <a:off x="0" y="0"/>
                            <a:ext cx="864870" cy="864235"/>
                          </a:xfrm>
                          <a:prstGeom prst="rect">
                            <a:avLst/>
                          </a:prstGeom>
                          <a:noFill/>
                          <a:ln>
                            <a:noFill/>
                          </a:ln>
                        </pic:spPr>
                      </pic:pic>
                    </a:graphicData>
                  </a:graphic>
                </wp:anchor>
              </w:drawing>
            </w:r>
          </w:p>
        </w:tc>
        <w:tc>
          <w:tcPr>
            <w:tcW w:w="4800" w:type="dxa"/>
            <w:shd w:val="clear" w:color="auto" w:fill="auto"/>
            <w:vAlign w:val="center"/>
          </w:tcPr>
          <w:p w14:paraId="6F49F34F">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材质：木制、塑料尺寸：约30×30×13cm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粉粉的梳妆扮演组，共有18件。充分满足幼儿想要模仿成人的心理需求。通过扮演游戏，培养幼儿的审美能力与社交能力。</w:t>
            </w:r>
          </w:p>
        </w:tc>
        <w:tc>
          <w:tcPr>
            <w:tcW w:w="1167" w:type="dxa"/>
            <w:shd w:val="clear" w:color="auto" w:fill="auto"/>
            <w:vAlign w:val="center"/>
          </w:tcPr>
          <w:p w14:paraId="3BD9B2E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w:t>
            </w:r>
          </w:p>
        </w:tc>
        <w:tc>
          <w:tcPr>
            <w:tcW w:w="2314" w:type="dxa"/>
            <w:gridSpan w:val="2"/>
            <w:shd w:val="clear" w:color="auto" w:fill="auto"/>
            <w:vAlign w:val="center"/>
          </w:tcPr>
          <w:p w14:paraId="600EFB3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51D27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154" w:hRule="atLeast"/>
        </w:trPr>
        <w:tc>
          <w:tcPr>
            <w:tcW w:w="822" w:type="dxa"/>
            <w:shd w:val="clear" w:color="auto" w:fill="auto"/>
            <w:vAlign w:val="center"/>
          </w:tcPr>
          <w:p w14:paraId="15A4C63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27</w:t>
            </w:r>
          </w:p>
        </w:tc>
        <w:tc>
          <w:tcPr>
            <w:tcW w:w="1445" w:type="dxa"/>
            <w:shd w:val="clear" w:color="auto" w:fill="auto"/>
            <w:vAlign w:val="center"/>
          </w:tcPr>
          <w:p w14:paraId="74567AF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户外野营扮演组</w:t>
            </w:r>
          </w:p>
        </w:tc>
        <w:tc>
          <w:tcPr>
            <w:tcW w:w="2488" w:type="dxa"/>
            <w:shd w:val="clear" w:color="auto" w:fill="auto"/>
            <w:noWrap/>
            <w:vAlign w:val="center"/>
          </w:tcPr>
          <w:p w14:paraId="1A3815E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243205</wp:posOffset>
                  </wp:positionH>
                  <wp:positionV relativeFrom="paragraph">
                    <wp:posOffset>-185420</wp:posOffset>
                  </wp:positionV>
                  <wp:extent cx="1033780" cy="1154430"/>
                  <wp:effectExtent l="0" t="0" r="7620" b="1270"/>
                  <wp:wrapSquare wrapText="bothSides"/>
                  <wp:docPr id="569" name="图片_77"/>
                  <wp:cNvGraphicFramePr/>
                  <a:graphic xmlns:a="http://schemas.openxmlformats.org/drawingml/2006/main">
                    <a:graphicData uri="http://schemas.openxmlformats.org/drawingml/2006/picture">
                      <pic:pic xmlns:pic="http://schemas.openxmlformats.org/drawingml/2006/picture">
                        <pic:nvPicPr>
                          <pic:cNvPr id="569" name="图片_77"/>
                          <pic:cNvPicPr/>
                        </pic:nvPicPr>
                        <pic:blipFill>
                          <a:blip r:embed="rId254"/>
                          <a:stretch>
                            <a:fillRect/>
                          </a:stretch>
                        </pic:blipFill>
                        <pic:spPr>
                          <a:xfrm>
                            <a:off x="0" y="0"/>
                            <a:ext cx="1033780" cy="1154430"/>
                          </a:xfrm>
                          <a:prstGeom prst="rect">
                            <a:avLst/>
                          </a:prstGeom>
                          <a:noFill/>
                          <a:ln>
                            <a:noFill/>
                          </a:ln>
                        </pic:spPr>
                      </pic:pic>
                    </a:graphicData>
                  </a:graphic>
                </wp:anchor>
              </w:drawing>
            </w:r>
          </w:p>
        </w:tc>
        <w:tc>
          <w:tcPr>
            <w:tcW w:w="4800" w:type="dxa"/>
            <w:shd w:val="clear" w:color="auto" w:fill="auto"/>
            <w:vAlign w:val="center"/>
          </w:tcPr>
          <w:p w14:paraId="6D8ECF14">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材质：ABS、GPPS、PP、COPP、HDPE、LDPE、TPP尺寸：30×22×13cm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一起来玩野营游戏吧！有电灯、水杯、锅、铲、急救箱、指南针、野外探索组等。通过玩野营游戏扮演，让幼儿了解户外野营安全知识，学习社会生存技能等。</w:t>
            </w:r>
          </w:p>
        </w:tc>
        <w:tc>
          <w:tcPr>
            <w:tcW w:w="1167" w:type="dxa"/>
            <w:shd w:val="clear" w:color="auto" w:fill="auto"/>
            <w:vAlign w:val="center"/>
          </w:tcPr>
          <w:p w14:paraId="7BD4B485">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w:t>
            </w:r>
          </w:p>
        </w:tc>
        <w:tc>
          <w:tcPr>
            <w:tcW w:w="2314" w:type="dxa"/>
            <w:gridSpan w:val="2"/>
            <w:shd w:val="clear" w:color="auto" w:fill="auto"/>
            <w:vAlign w:val="center"/>
          </w:tcPr>
          <w:p w14:paraId="24BEA346">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r w14:paraId="355B4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86" w:hRule="atLeast"/>
        </w:trPr>
        <w:tc>
          <w:tcPr>
            <w:tcW w:w="822" w:type="dxa"/>
            <w:shd w:val="clear" w:color="auto" w:fill="auto"/>
            <w:vAlign w:val="center"/>
          </w:tcPr>
          <w:p w14:paraId="06219E2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28</w:t>
            </w:r>
          </w:p>
        </w:tc>
        <w:tc>
          <w:tcPr>
            <w:tcW w:w="1445" w:type="dxa"/>
            <w:shd w:val="clear" w:color="auto" w:fill="auto"/>
            <w:vAlign w:val="center"/>
          </w:tcPr>
          <w:p w14:paraId="4642AF3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冰淇淋小老板</w:t>
            </w:r>
          </w:p>
        </w:tc>
        <w:tc>
          <w:tcPr>
            <w:tcW w:w="2488" w:type="dxa"/>
            <w:shd w:val="clear" w:color="auto" w:fill="auto"/>
            <w:noWrap/>
            <w:vAlign w:val="center"/>
          </w:tcPr>
          <w:p w14:paraId="4E93F5B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295910</wp:posOffset>
                  </wp:positionH>
                  <wp:positionV relativeFrom="paragraph">
                    <wp:posOffset>415290</wp:posOffset>
                  </wp:positionV>
                  <wp:extent cx="864870" cy="864235"/>
                  <wp:effectExtent l="0" t="0" r="11430" b="12065"/>
                  <wp:wrapSquare wrapText="bothSides"/>
                  <wp:docPr id="566" name="图片_78"/>
                  <wp:cNvGraphicFramePr/>
                  <a:graphic xmlns:a="http://schemas.openxmlformats.org/drawingml/2006/main">
                    <a:graphicData uri="http://schemas.openxmlformats.org/drawingml/2006/picture">
                      <pic:pic xmlns:pic="http://schemas.openxmlformats.org/drawingml/2006/picture">
                        <pic:nvPicPr>
                          <pic:cNvPr id="566" name="图片_78"/>
                          <pic:cNvPicPr/>
                        </pic:nvPicPr>
                        <pic:blipFill>
                          <a:blip r:embed="rId255"/>
                          <a:stretch>
                            <a:fillRect/>
                          </a:stretch>
                        </pic:blipFill>
                        <pic:spPr>
                          <a:xfrm>
                            <a:off x="0" y="0"/>
                            <a:ext cx="864870" cy="864235"/>
                          </a:xfrm>
                          <a:prstGeom prst="rect">
                            <a:avLst/>
                          </a:prstGeom>
                          <a:noFill/>
                          <a:ln>
                            <a:noFill/>
                          </a:ln>
                        </pic:spPr>
                      </pic:pic>
                    </a:graphicData>
                  </a:graphic>
                </wp:anchor>
              </w:drawing>
            </w:r>
          </w:p>
        </w:tc>
        <w:tc>
          <w:tcPr>
            <w:tcW w:w="4800" w:type="dxa"/>
            <w:shd w:val="clear" w:color="auto" w:fill="auto"/>
            <w:vAlign w:val="center"/>
          </w:tcPr>
          <w:p w14:paraId="522735BF">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材质：木制、ABS、PVC尺寸：35×22×20cm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内含28件配件。客人要点什么口味的冰淇淋呢？ 要一球还两球？请用挖勺做出可口冰淇淋，完成 后再看看点菜单是否一致。8种口味冰淇淋，还能训练幼儿手眼协调及记忆力。</w:t>
            </w:r>
          </w:p>
        </w:tc>
        <w:tc>
          <w:tcPr>
            <w:tcW w:w="1167" w:type="dxa"/>
            <w:shd w:val="clear" w:color="auto" w:fill="auto"/>
            <w:vAlign w:val="center"/>
          </w:tcPr>
          <w:p w14:paraId="1B362E7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w:t>
            </w:r>
          </w:p>
        </w:tc>
        <w:tc>
          <w:tcPr>
            <w:tcW w:w="2314" w:type="dxa"/>
            <w:gridSpan w:val="2"/>
            <w:shd w:val="clear" w:color="auto" w:fill="auto"/>
            <w:vAlign w:val="center"/>
          </w:tcPr>
          <w:p w14:paraId="334901E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套</w:t>
            </w:r>
          </w:p>
        </w:tc>
      </w:tr>
    </w:tbl>
    <w:p w14:paraId="44F63283">
      <w:pPr>
        <w:spacing w:line="360" w:lineRule="auto"/>
        <w:ind w:firstLine="723" w:firstLineChars="300"/>
        <w:jc w:val="both"/>
        <w:outlineLvl w:val="0"/>
        <w:rPr>
          <w:rFonts w:hint="default" w:ascii="宋体" w:hAnsi="宋体" w:eastAsia="宋体" w:cs="宋体"/>
          <w:b/>
          <w:color w:val="auto"/>
          <w:sz w:val="24"/>
          <w:szCs w:val="24"/>
          <w:lang w:val="en-US" w:eastAsia="zh-CN"/>
        </w:rPr>
      </w:pPr>
      <w:r>
        <w:rPr>
          <w:rFonts w:hint="eastAsia" w:ascii="宋体" w:hAnsi="宋体" w:cs="宋体"/>
          <w:b/>
          <w:color w:val="auto"/>
          <w:sz w:val="24"/>
          <w:szCs w:val="24"/>
          <w:lang w:val="en-US" w:eastAsia="zh-CN"/>
        </w:rPr>
        <w:t>十一</w:t>
      </w:r>
      <w:r>
        <w:rPr>
          <w:rFonts w:hint="eastAsia" w:ascii="宋体" w:hAnsi="宋体" w:cs="宋体"/>
          <w:b/>
          <w:color w:val="auto"/>
          <w:sz w:val="24"/>
          <w:szCs w:val="24"/>
        </w:rPr>
        <w:t>、本项目的</w:t>
      </w:r>
      <w:r>
        <w:rPr>
          <w:rFonts w:hint="eastAsia" w:ascii="宋体" w:hAnsi="宋体" w:cs="宋体"/>
          <w:b/>
          <w:color w:val="auto"/>
          <w:sz w:val="24"/>
          <w:szCs w:val="24"/>
          <w:lang w:val="en-US" w:eastAsia="zh-CN"/>
        </w:rPr>
        <w:t>样品要求</w:t>
      </w:r>
    </w:p>
    <w:p w14:paraId="39DA861B">
      <w:pPr>
        <w:numPr>
          <w:ilvl w:val="0"/>
          <w:numId w:val="3"/>
        </w:numPr>
        <w:spacing w:line="360" w:lineRule="auto"/>
        <w:ind w:left="86" w:firstLine="964" w:firstLineChars="0"/>
        <w:jc w:val="both"/>
        <w:outlineLvl w:val="0"/>
        <w:rPr>
          <w:rFonts w:hint="eastAsia" w:ascii="宋体" w:hAnsi="宋体" w:cs="宋体"/>
          <w:b/>
          <w:color w:val="auto"/>
          <w:sz w:val="24"/>
          <w:szCs w:val="24"/>
        </w:rPr>
      </w:pPr>
      <w:r>
        <w:rPr>
          <w:rFonts w:hint="eastAsia" w:ascii="宋体" w:hAnsi="宋体" w:cs="宋体"/>
          <w:b/>
          <w:color w:val="auto"/>
          <w:sz w:val="24"/>
          <w:szCs w:val="24"/>
          <w:lang w:val="en-US" w:eastAsia="zh-CN"/>
        </w:rPr>
        <w:t>响应供应商</w:t>
      </w:r>
      <w:r>
        <w:rPr>
          <w:rFonts w:hint="eastAsia" w:ascii="宋体" w:hAnsi="宋体" w:cs="宋体"/>
          <w:b/>
          <w:color w:val="auto"/>
          <w:sz w:val="24"/>
          <w:szCs w:val="24"/>
        </w:rPr>
        <w:t>须按照采购清单规格参数要求提供以下样品，因提供投标样品产生的所有费用由</w:t>
      </w:r>
      <w:r>
        <w:rPr>
          <w:rFonts w:hint="eastAsia" w:ascii="宋体" w:hAnsi="宋体" w:cs="宋体"/>
          <w:b/>
          <w:color w:val="auto"/>
          <w:sz w:val="24"/>
          <w:szCs w:val="24"/>
          <w:lang w:val="en-US" w:eastAsia="zh-CN"/>
        </w:rPr>
        <w:t>供应商</w:t>
      </w:r>
      <w:r>
        <w:rPr>
          <w:rFonts w:hint="eastAsia" w:ascii="宋体" w:hAnsi="宋体" w:cs="宋体"/>
          <w:b/>
          <w:color w:val="auto"/>
          <w:sz w:val="24"/>
          <w:szCs w:val="24"/>
        </w:rPr>
        <w:t>自行承担：</w:t>
      </w:r>
    </w:p>
    <w:p w14:paraId="236AD1A3">
      <w:pPr>
        <w:numPr>
          <w:ilvl w:val="-1"/>
          <w:numId w:val="0"/>
        </w:numPr>
        <w:spacing w:line="360" w:lineRule="auto"/>
        <w:ind w:left="1050" w:firstLine="0" w:firstLineChars="0"/>
        <w:jc w:val="both"/>
        <w:outlineLvl w:val="0"/>
        <w:rPr>
          <w:rFonts w:hint="eastAsia" w:ascii="宋体" w:hAnsi="宋体" w:cs="宋体"/>
          <w:b/>
          <w:color w:val="auto"/>
          <w:sz w:val="24"/>
          <w:szCs w:val="24"/>
        </w:rPr>
      </w:pPr>
    </w:p>
    <w:tbl>
      <w:tblPr>
        <w:tblStyle w:val="62"/>
        <w:tblW w:w="1051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086"/>
        <w:gridCol w:w="1702"/>
        <w:gridCol w:w="4829"/>
        <w:gridCol w:w="1376"/>
        <w:gridCol w:w="1523"/>
      </w:tblGrid>
      <w:tr w14:paraId="46AEFC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3" w:hRule="atLeast"/>
          <w:jc w:val="center"/>
        </w:trPr>
        <w:tc>
          <w:tcPr>
            <w:tcW w:w="1086" w:type="dxa"/>
            <w:tcBorders>
              <w:top w:val="single" w:color="000000" w:sz="4" w:space="0"/>
              <w:left w:val="single" w:color="000000" w:sz="4" w:space="0"/>
              <w:bottom w:val="single" w:color="auto" w:sz="4" w:space="0"/>
              <w:right w:val="single" w:color="000000" w:sz="4" w:space="0"/>
            </w:tcBorders>
            <w:noWrap/>
            <w:vAlign w:val="center"/>
          </w:tcPr>
          <w:p w14:paraId="1BC157A2">
            <w:pPr>
              <w:keepNext w:val="0"/>
              <w:keepLines w:val="0"/>
              <w:widowControl/>
              <w:suppressLineNumbers w:val="0"/>
              <w:shd w:val="clear" w:color="auto" w:fill="auto"/>
              <w:autoSpaceDE/>
              <w:autoSpaceDN/>
              <w:spacing w:line="460" w:lineRule="exact"/>
              <w:jc w:val="center"/>
              <w:textAlignment w:val="center"/>
              <w:rPr>
                <w:rFonts w:hint="eastAsia" w:ascii="宋体" w:hAnsi="宋体" w:eastAsia="宋体" w:cs="宋体"/>
                <w:b/>
                <w:bCs/>
                <w:i w:val="0"/>
                <w:iCs w:val="0"/>
                <w:color w:val="auto"/>
                <w:kern w:val="2"/>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序号</w:t>
            </w:r>
          </w:p>
        </w:tc>
        <w:tc>
          <w:tcPr>
            <w:tcW w:w="1702" w:type="dxa"/>
            <w:tcBorders>
              <w:top w:val="single" w:color="000000" w:sz="4" w:space="0"/>
              <w:left w:val="single" w:color="000000" w:sz="4" w:space="0"/>
              <w:bottom w:val="single" w:color="auto" w:sz="4" w:space="0"/>
              <w:right w:val="single" w:color="000000" w:sz="4" w:space="0"/>
            </w:tcBorders>
            <w:noWrap/>
            <w:vAlign w:val="center"/>
          </w:tcPr>
          <w:p w14:paraId="58089A34">
            <w:pPr>
              <w:keepNext w:val="0"/>
              <w:keepLines w:val="0"/>
              <w:widowControl/>
              <w:suppressLineNumbers w:val="0"/>
              <w:shd w:val="clear" w:color="auto" w:fill="auto"/>
              <w:autoSpaceDE/>
              <w:autoSpaceDN/>
              <w:spacing w:line="460" w:lineRule="exact"/>
              <w:jc w:val="center"/>
              <w:textAlignment w:val="center"/>
              <w:rPr>
                <w:rFonts w:hint="eastAsia" w:ascii="宋体" w:hAnsi="宋体" w:eastAsia="宋体" w:cs="宋体"/>
                <w:b/>
                <w:bCs/>
                <w:i w:val="0"/>
                <w:iCs w:val="0"/>
                <w:color w:val="auto"/>
                <w:kern w:val="2"/>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名称</w:t>
            </w:r>
          </w:p>
        </w:tc>
        <w:tc>
          <w:tcPr>
            <w:tcW w:w="4829" w:type="dxa"/>
            <w:tcBorders>
              <w:top w:val="single" w:color="000000" w:sz="4" w:space="0"/>
              <w:left w:val="single" w:color="000000" w:sz="4" w:space="0"/>
              <w:bottom w:val="single" w:color="auto" w:sz="4" w:space="0"/>
              <w:right w:val="single" w:color="000000" w:sz="4" w:space="0"/>
            </w:tcBorders>
            <w:noWrap/>
            <w:vAlign w:val="center"/>
          </w:tcPr>
          <w:p w14:paraId="71ADACC7">
            <w:pPr>
              <w:keepNext w:val="0"/>
              <w:keepLines w:val="0"/>
              <w:widowControl/>
              <w:suppressLineNumbers w:val="0"/>
              <w:shd w:val="clear" w:color="auto" w:fill="auto"/>
              <w:autoSpaceDE/>
              <w:autoSpaceDN/>
              <w:spacing w:line="460" w:lineRule="exact"/>
              <w:jc w:val="center"/>
              <w:textAlignment w:val="center"/>
              <w:rPr>
                <w:rFonts w:hint="eastAsia" w:ascii="宋体" w:hAnsi="宋体" w:eastAsia="宋体" w:cs="宋体"/>
                <w:b/>
                <w:bCs/>
                <w:i w:val="0"/>
                <w:iCs w:val="0"/>
                <w:color w:val="auto"/>
                <w:kern w:val="2"/>
                <w:sz w:val="24"/>
                <w:szCs w:val="24"/>
                <w:highlight w:val="none"/>
                <w:u w:val="none"/>
                <w:lang w:val="en-US"/>
              </w:rPr>
            </w:pPr>
            <w:r>
              <w:rPr>
                <w:rFonts w:hint="eastAsia" w:ascii="宋体" w:hAnsi="宋体" w:eastAsia="宋体" w:cs="宋体"/>
                <w:b/>
                <w:bCs/>
                <w:i w:val="0"/>
                <w:iCs w:val="0"/>
                <w:color w:val="auto"/>
                <w:kern w:val="0"/>
                <w:sz w:val="24"/>
                <w:szCs w:val="24"/>
                <w:highlight w:val="none"/>
                <w:u w:val="none"/>
                <w:lang w:val="en-US" w:eastAsia="zh-CN" w:bidi="ar"/>
              </w:rPr>
              <w:t>参数</w:t>
            </w:r>
          </w:p>
        </w:tc>
        <w:tc>
          <w:tcPr>
            <w:tcW w:w="1376" w:type="dxa"/>
            <w:tcBorders>
              <w:top w:val="single" w:color="000000" w:sz="4" w:space="0"/>
              <w:left w:val="single" w:color="000000" w:sz="4" w:space="0"/>
              <w:bottom w:val="single" w:color="auto" w:sz="4" w:space="0"/>
              <w:right w:val="single" w:color="000000" w:sz="4" w:space="0"/>
            </w:tcBorders>
            <w:noWrap/>
            <w:vAlign w:val="center"/>
          </w:tcPr>
          <w:p w14:paraId="7E564EC2">
            <w:pPr>
              <w:keepNext w:val="0"/>
              <w:keepLines w:val="0"/>
              <w:widowControl/>
              <w:suppressLineNumbers w:val="0"/>
              <w:shd w:val="clear" w:color="auto" w:fill="auto"/>
              <w:autoSpaceDE/>
              <w:autoSpaceDN/>
              <w:spacing w:line="460" w:lineRule="exact"/>
              <w:jc w:val="center"/>
              <w:textAlignment w:val="center"/>
              <w:rPr>
                <w:rFonts w:hint="eastAsia" w:ascii="宋体" w:hAnsi="宋体" w:eastAsia="宋体" w:cs="宋体"/>
                <w:b/>
                <w:bCs/>
                <w:i w:val="0"/>
                <w:iCs w:val="0"/>
                <w:color w:val="auto"/>
                <w:kern w:val="2"/>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数量</w:t>
            </w:r>
          </w:p>
        </w:tc>
        <w:tc>
          <w:tcPr>
            <w:tcW w:w="1523" w:type="dxa"/>
            <w:tcBorders>
              <w:top w:val="single" w:color="000000" w:sz="4" w:space="0"/>
              <w:left w:val="single" w:color="000000" w:sz="4" w:space="0"/>
              <w:bottom w:val="single" w:color="auto" w:sz="4" w:space="0"/>
              <w:right w:val="single" w:color="000000" w:sz="4" w:space="0"/>
            </w:tcBorders>
            <w:noWrap/>
            <w:vAlign w:val="center"/>
          </w:tcPr>
          <w:p w14:paraId="6ACE2739">
            <w:pPr>
              <w:keepNext w:val="0"/>
              <w:keepLines w:val="0"/>
              <w:widowControl/>
              <w:suppressLineNumbers w:val="0"/>
              <w:shd w:val="clear" w:color="auto" w:fill="auto"/>
              <w:autoSpaceDE/>
              <w:autoSpaceDN/>
              <w:spacing w:line="460" w:lineRule="exact"/>
              <w:jc w:val="center"/>
              <w:textAlignment w:val="center"/>
              <w:rPr>
                <w:rFonts w:hint="eastAsia" w:ascii="宋体" w:hAnsi="宋体" w:eastAsia="宋体" w:cs="宋体"/>
                <w:b/>
                <w:bCs/>
                <w:i w:val="0"/>
                <w:iCs w:val="0"/>
                <w:color w:val="auto"/>
                <w:kern w:val="2"/>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单位</w:t>
            </w:r>
          </w:p>
        </w:tc>
      </w:tr>
      <w:tr w14:paraId="17139F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3" w:hRule="atLeast"/>
          <w:jc w:val="center"/>
        </w:trPr>
        <w:tc>
          <w:tcPr>
            <w:tcW w:w="1086" w:type="dxa"/>
            <w:tcBorders>
              <w:top w:val="single" w:color="auto" w:sz="4" w:space="0"/>
              <w:left w:val="single" w:color="auto" w:sz="4" w:space="0"/>
              <w:bottom w:val="single" w:color="auto" w:sz="4" w:space="0"/>
              <w:right w:val="single" w:color="auto" w:sz="4" w:space="0"/>
            </w:tcBorders>
            <w:noWrap/>
            <w:vAlign w:val="center"/>
          </w:tcPr>
          <w:p w14:paraId="52B442FC">
            <w:pPr>
              <w:keepNext w:val="0"/>
              <w:keepLines w:val="0"/>
              <w:widowControl/>
              <w:suppressLineNumbers w:val="0"/>
              <w:shd w:val="clear" w:color="auto" w:fill="auto"/>
              <w:autoSpaceDE/>
              <w:autoSpaceDN/>
              <w:spacing w:line="460" w:lineRule="exact"/>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cs="宋体"/>
                <w:b w:val="0"/>
                <w:bCs w:val="0"/>
                <w:color w:val="auto"/>
                <w:sz w:val="24"/>
                <w:highlight w:val="none"/>
                <w:u w:val="single"/>
              </w:rPr>
              <w:t>（</w:t>
            </w:r>
            <w:r>
              <w:rPr>
                <w:rFonts w:hint="eastAsia" w:ascii="宋体" w:hAnsi="宋体" w:cs="宋体"/>
                <w:b w:val="0"/>
                <w:bCs w:val="0"/>
                <w:color w:val="auto"/>
                <w:sz w:val="24"/>
                <w:highlight w:val="none"/>
                <w:u w:val="single"/>
                <w:lang w:val="en-US" w:eastAsia="zh-CN"/>
              </w:rPr>
              <w:t>1</w:t>
            </w:r>
            <w:r>
              <w:rPr>
                <w:rFonts w:hint="eastAsia" w:ascii="宋体" w:hAnsi="宋体" w:cs="宋体"/>
                <w:b w:val="0"/>
                <w:bCs w:val="0"/>
                <w:color w:val="auto"/>
                <w:sz w:val="24"/>
                <w:highlight w:val="none"/>
                <w:u w:val="single"/>
              </w:rPr>
              <w:t>）</w:t>
            </w:r>
          </w:p>
        </w:tc>
        <w:tc>
          <w:tcPr>
            <w:tcW w:w="1702" w:type="dxa"/>
            <w:tcBorders>
              <w:top w:val="single" w:color="auto" w:sz="4" w:space="0"/>
              <w:left w:val="single" w:color="auto" w:sz="4" w:space="0"/>
              <w:bottom w:val="single" w:color="auto" w:sz="4" w:space="0"/>
              <w:right w:val="single" w:color="auto" w:sz="4" w:space="0"/>
            </w:tcBorders>
            <w:noWrap/>
            <w:vAlign w:val="center"/>
          </w:tcPr>
          <w:p w14:paraId="3D65B4DA">
            <w:pPr>
              <w:keepNext w:val="0"/>
              <w:keepLines w:val="0"/>
              <w:widowControl/>
              <w:suppressLineNumbers w:val="0"/>
              <w:shd w:val="clear" w:color="auto" w:fill="auto"/>
              <w:autoSpaceDE/>
              <w:autoSpaceDN/>
              <w:spacing w:line="460" w:lineRule="exact"/>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cs="宋体"/>
                <w:b w:val="0"/>
                <w:bCs w:val="0"/>
                <w:color w:val="auto"/>
                <w:sz w:val="24"/>
                <w:highlight w:val="none"/>
                <w:u w:val="single"/>
                <w:lang w:val="en-US" w:eastAsia="zh-CN"/>
              </w:rPr>
              <w:t>起重机</w:t>
            </w:r>
          </w:p>
        </w:tc>
        <w:tc>
          <w:tcPr>
            <w:tcW w:w="4829" w:type="dxa"/>
            <w:tcBorders>
              <w:top w:val="single" w:color="auto" w:sz="4" w:space="0"/>
              <w:left w:val="single" w:color="auto" w:sz="4" w:space="0"/>
              <w:bottom w:val="single" w:color="auto" w:sz="4" w:space="0"/>
              <w:right w:val="single" w:color="auto" w:sz="4" w:space="0"/>
            </w:tcBorders>
            <w:noWrap/>
            <w:vAlign w:val="center"/>
          </w:tcPr>
          <w:p w14:paraId="5E13CFA3">
            <w:pPr>
              <w:keepNext w:val="0"/>
              <w:keepLines w:val="0"/>
              <w:widowControl/>
              <w:suppressLineNumbers w:val="0"/>
              <w:shd w:val="clear" w:color="auto" w:fill="auto"/>
              <w:wordWrap w:val="0"/>
              <w:autoSpaceDE/>
              <w:autoSpaceDN/>
              <w:spacing w:line="46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u w:val="none"/>
                <w:lang w:val="en-US" w:eastAsia="zh-CN" w:bidi="ar"/>
              </w:rPr>
              <w:t>材质：胶合板尺寸：起重机高约33cm生活中很重的物品是如何搬运的？使用起重机，你会发现搬运重物不是难事。幼儿转动旋钮，启动滑轮系统并将平台上下移动，探究起重机工作的原理。</w:t>
            </w:r>
          </w:p>
        </w:tc>
        <w:tc>
          <w:tcPr>
            <w:tcW w:w="1376" w:type="dxa"/>
            <w:tcBorders>
              <w:top w:val="single" w:color="auto" w:sz="4" w:space="0"/>
              <w:left w:val="single" w:color="auto" w:sz="4" w:space="0"/>
              <w:bottom w:val="single" w:color="auto" w:sz="4" w:space="0"/>
              <w:right w:val="single" w:color="auto" w:sz="4" w:space="0"/>
            </w:tcBorders>
            <w:noWrap/>
            <w:vAlign w:val="center"/>
          </w:tcPr>
          <w:p w14:paraId="6F05A635">
            <w:pPr>
              <w:keepNext w:val="0"/>
              <w:keepLines w:val="0"/>
              <w:widowControl/>
              <w:suppressLineNumbers w:val="0"/>
              <w:shd w:val="clear" w:color="auto" w:fill="auto"/>
              <w:autoSpaceDE/>
              <w:autoSpaceDN/>
              <w:spacing w:line="460" w:lineRule="exact"/>
              <w:jc w:val="center"/>
              <w:textAlignment w:val="center"/>
              <w:rPr>
                <w:rFonts w:hint="default" w:ascii="宋体" w:hAnsi="宋体" w:eastAsia="宋体" w:cs="宋体"/>
                <w:i w:val="0"/>
                <w:iCs w:val="0"/>
                <w:color w:val="auto"/>
                <w:kern w:val="2"/>
                <w:sz w:val="24"/>
                <w:szCs w:val="24"/>
                <w:highlight w:val="none"/>
                <w:u w:val="none"/>
                <w:lang w:val="en-US" w:eastAsia="zh-CN" w:bidi="ar-SA"/>
              </w:rPr>
            </w:pPr>
            <w:r>
              <w:rPr>
                <w:rFonts w:hint="eastAsia" w:ascii="宋体" w:hAnsi="宋体" w:cs="宋体"/>
                <w:i w:val="0"/>
                <w:iCs w:val="0"/>
                <w:color w:val="auto"/>
                <w:kern w:val="2"/>
                <w:sz w:val="24"/>
                <w:szCs w:val="24"/>
                <w:highlight w:val="none"/>
                <w:u w:val="none"/>
                <w:lang w:val="en-US" w:eastAsia="zh-CN" w:bidi="ar-SA"/>
              </w:rPr>
              <w:t>1</w:t>
            </w:r>
          </w:p>
        </w:tc>
        <w:tc>
          <w:tcPr>
            <w:tcW w:w="1523" w:type="dxa"/>
            <w:tcBorders>
              <w:top w:val="single" w:color="auto" w:sz="4" w:space="0"/>
              <w:left w:val="single" w:color="auto" w:sz="4" w:space="0"/>
              <w:bottom w:val="single" w:color="auto" w:sz="4" w:space="0"/>
              <w:right w:val="single" w:color="auto" w:sz="4" w:space="0"/>
            </w:tcBorders>
            <w:noWrap/>
            <w:vAlign w:val="center"/>
          </w:tcPr>
          <w:p w14:paraId="316A585B">
            <w:pPr>
              <w:keepNext w:val="0"/>
              <w:keepLines w:val="0"/>
              <w:widowControl/>
              <w:suppressLineNumbers w:val="0"/>
              <w:shd w:val="clear" w:color="auto" w:fill="auto"/>
              <w:autoSpaceDE/>
              <w:autoSpaceDN/>
              <w:spacing w:line="460" w:lineRule="exact"/>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cs="宋体"/>
                <w:i w:val="0"/>
                <w:iCs w:val="0"/>
                <w:color w:val="auto"/>
                <w:kern w:val="2"/>
                <w:sz w:val="24"/>
                <w:szCs w:val="24"/>
                <w:highlight w:val="none"/>
                <w:u w:val="none"/>
                <w:lang w:val="en-US" w:eastAsia="zh-CN" w:bidi="ar-SA"/>
              </w:rPr>
              <w:t>套</w:t>
            </w:r>
          </w:p>
        </w:tc>
      </w:tr>
      <w:tr w14:paraId="544FFD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3" w:hRule="atLeast"/>
          <w:jc w:val="center"/>
        </w:trPr>
        <w:tc>
          <w:tcPr>
            <w:tcW w:w="1086" w:type="dxa"/>
            <w:tcBorders>
              <w:top w:val="single" w:color="auto" w:sz="4" w:space="0"/>
              <w:left w:val="single" w:color="auto" w:sz="4" w:space="0"/>
              <w:bottom w:val="single" w:color="auto" w:sz="4" w:space="0"/>
              <w:right w:val="single" w:color="auto" w:sz="4" w:space="0"/>
            </w:tcBorders>
            <w:noWrap/>
            <w:vAlign w:val="center"/>
          </w:tcPr>
          <w:p w14:paraId="4451202D">
            <w:pPr>
              <w:keepNext w:val="0"/>
              <w:keepLines w:val="0"/>
              <w:widowControl/>
              <w:suppressLineNumbers w:val="0"/>
              <w:shd w:val="clear" w:color="auto" w:fill="auto"/>
              <w:autoSpaceDE/>
              <w:autoSpaceDN/>
              <w:spacing w:line="460" w:lineRule="exact"/>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cs="宋体"/>
                <w:b w:val="0"/>
                <w:bCs w:val="0"/>
                <w:color w:val="auto"/>
                <w:sz w:val="24"/>
                <w:highlight w:val="none"/>
                <w:u w:val="single"/>
              </w:rPr>
              <w:t>（</w:t>
            </w:r>
            <w:r>
              <w:rPr>
                <w:rFonts w:hint="eastAsia" w:ascii="宋体" w:hAnsi="宋体" w:cs="宋体"/>
                <w:b w:val="0"/>
                <w:bCs w:val="0"/>
                <w:color w:val="auto"/>
                <w:sz w:val="24"/>
                <w:highlight w:val="none"/>
                <w:u w:val="single"/>
                <w:lang w:val="en-US" w:eastAsia="zh-CN"/>
              </w:rPr>
              <w:t>2</w:t>
            </w:r>
            <w:r>
              <w:rPr>
                <w:rFonts w:hint="eastAsia" w:ascii="宋体" w:hAnsi="宋体" w:cs="宋体"/>
                <w:b w:val="0"/>
                <w:bCs w:val="0"/>
                <w:color w:val="auto"/>
                <w:sz w:val="24"/>
                <w:highlight w:val="none"/>
                <w:u w:val="single"/>
              </w:rPr>
              <w:t>）</w:t>
            </w:r>
          </w:p>
        </w:tc>
        <w:tc>
          <w:tcPr>
            <w:tcW w:w="1702" w:type="dxa"/>
            <w:tcBorders>
              <w:top w:val="single" w:color="auto" w:sz="4" w:space="0"/>
              <w:left w:val="single" w:color="auto" w:sz="4" w:space="0"/>
              <w:bottom w:val="single" w:color="auto" w:sz="4" w:space="0"/>
              <w:right w:val="single" w:color="auto" w:sz="4" w:space="0"/>
            </w:tcBorders>
            <w:noWrap/>
            <w:vAlign w:val="center"/>
          </w:tcPr>
          <w:p w14:paraId="139359F0">
            <w:pPr>
              <w:keepNext w:val="0"/>
              <w:keepLines w:val="0"/>
              <w:widowControl/>
              <w:suppressLineNumbers w:val="0"/>
              <w:shd w:val="clear" w:color="auto" w:fill="auto"/>
              <w:autoSpaceDE/>
              <w:autoSpaceDN/>
              <w:spacing w:line="460" w:lineRule="exact"/>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木制扮演交通车</w:t>
            </w:r>
          </w:p>
        </w:tc>
        <w:tc>
          <w:tcPr>
            <w:tcW w:w="4829" w:type="dxa"/>
            <w:tcBorders>
              <w:top w:val="single" w:color="auto" w:sz="4" w:space="0"/>
              <w:left w:val="single" w:color="auto" w:sz="4" w:space="0"/>
              <w:bottom w:val="single" w:color="auto" w:sz="4" w:space="0"/>
              <w:right w:val="single" w:color="auto" w:sz="4" w:space="0"/>
            </w:tcBorders>
            <w:noWrap/>
            <w:vAlign w:val="center"/>
          </w:tcPr>
          <w:p w14:paraId="0794F61C">
            <w:pPr>
              <w:keepNext w:val="0"/>
              <w:keepLines w:val="0"/>
              <w:widowControl/>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u w:val="none"/>
                <w:lang w:val="en-US" w:eastAsia="zh-CN" w:bidi="ar"/>
              </w:rPr>
              <w:t xml:space="preserve">材质：PE、榉木 尺寸：每辆车长约 6.3-8.2cm </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套装内含 15 辆微型硬木车辆，内含轿车，卡车，</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公共汽车及其它。各式各样的木质交通车，重量轻，</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易推动。在游戏中，幼儿可以认知不同的车辆和</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对应职业，如知道什么是救护车，什么是消防车，</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什么是警车，获得社会经验，发展语言能力。</w:t>
            </w:r>
          </w:p>
        </w:tc>
        <w:tc>
          <w:tcPr>
            <w:tcW w:w="1376" w:type="dxa"/>
            <w:tcBorders>
              <w:top w:val="single" w:color="auto" w:sz="4" w:space="0"/>
              <w:left w:val="single" w:color="auto" w:sz="4" w:space="0"/>
              <w:bottom w:val="single" w:color="auto" w:sz="4" w:space="0"/>
              <w:right w:val="single" w:color="auto" w:sz="4" w:space="0"/>
            </w:tcBorders>
            <w:noWrap/>
            <w:vAlign w:val="center"/>
          </w:tcPr>
          <w:p w14:paraId="5409941A">
            <w:pPr>
              <w:keepNext w:val="0"/>
              <w:keepLines w:val="0"/>
              <w:widowControl/>
              <w:suppressLineNumbers w:val="0"/>
              <w:shd w:val="clear" w:color="auto" w:fill="auto"/>
              <w:autoSpaceDE/>
              <w:autoSpaceDN/>
              <w:spacing w:line="460" w:lineRule="exact"/>
              <w:jc w:val="center"/>
              <w:textAlignment w:val="center"/>
              <w:rPr>
                <w:rFonts w:hint="default" w:ascii="宋体" w:hAnsi="宋体" w:eastAsia="宋体" w:cs="宋体"/>
                <w:i w:val="0"/>
                <w:iCs w:val="0"/>
                <w:color w:val="auto"/>
                <w:kern w:val="2"/>
                <w:sz w:val="24"/>
                <w:szCs w:val="24"/>
                <w:highlight w:val="none"/>
                <w:u w:val="none"/>
                <w:lang w:val="en-US" w:eastAsia="zh-CN" w:bidi="ar-SA"/>
              </w:rPr>
            </w:pPr>
            <w:r>
              <w:rPr>
                <w:rFonts w:hint="eastAsia" w:ascii="宋体" w:hAnsi="宋体" w:cs="宋体"/>
                <w:i w:val="0"/>
                <w:iCs w:val="0"/>
                <w:color w:val="auto"/>
                <w:kern w:val="2"/>
                <w:sz w:val="24"/>
                <w:szCs w:val="24"/>
                <w:highlight w:val="none"/>
                <w:u w:val="none"/>
                <w:lang w:val="en-US" w:eastAsia="zh-CN" w:bidi="ar-SA"/>
              </w:rPr>
              <w:t>1</w:t>
            </w:r>
          </w:p>
        </w:tc>
        <w:tc>
          <w:tcPr>
            <w:tcW w:w="1523" w:type="dxa"/>
            <w:tcBorders>
              <w:top w:val="single" w:color="auto" w:sz="4" w:space="0"/>
              <w:left w:val="single" w:color="auto" w:sz="4" w:space="0"/>
              <w:bottom w:val="single" w:color="auto" w:sz="4" w:space="0"/>
              <w:right w:val="single" w:color="auto" w:sz="4" w:space="0"/>
            </w:tcBorders>
            <w:noWrap/>
            <w:vAlign w:val="center"/>
          </w:tcPr>
          <w:p w14:paraId="42A26930">
            <w:pPr>
              <w:keepNext w:val="0"/>
              <w:keepLines w:val="0"/>
              <w:widowControl/>
              <w:suppressLineNumbers w:val="0"/>
              <w:shd w:val="clear" w:color="auto" w:fill="auto"/>
              <w:autoSpaceDE/>
              <w:autoSpaceDN/>
              <w:spacing w:line="460" w:lineRule="exact"/>
              <w:jc w:val="center"/>
              <w:textAlignment w:val="center"/>
              <w:rPr>
                <w:rFonts w:hint="default" w:ascii="宋体" w:hAnsi="宋体" w:eastAsia="宋体" w:cs="宋体"/>
                <w:i w:val="0"/>
                <w:iCs w:val="0"/>
                <w:color w:val="auto"/>
                <w:kern w:val="2"/>
                <w:sz w:val="24"/>
                <w:szCs w:val="24"/>
                <w:highlight w:val="none"/>
                <w:u w:val="none"/>
                <w:lang w:val="en-US" w:eastAsia="zh-CN" w:bidi="ar-SA"/>
              </w:rPr>
            </w:pPr>
            <w:r>
              <w:rPr>
                <w:rFonts w:hint="eastAsia" w:ascii="宋体" w:hAnsi="宋体" w:cs="宋体"/>
                <w:i w:val="0"/>
                <w:iCs w:val="0"/>
                <w:color w:val="auto"/>
                <w:kern w:val="2"/>
                <w:sz w:val="24"/>
                <w:szCs w:val="24"/>
                <w:highlight w:val="none"/>
                <w:u w:val="none"/>
                <w:lang w:val="en-US" w:eastAsia="zh-CN" w:bidi="ar-SA"/>
              </w:rPr>
              <w:t>套</w:t>
            </w:r>
          </w:p>
        </w:tc>
      </w:tr>
      <w:tr w14:paraId="1DE453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3" w:hRule="atLeast"/>
          <w:jc w:val="center"/>
        </w:trPr>
        <w:tc>
          <w:tcPr>
            <w:tcW w:w="1086" w:type="dxa"/>
            <w:tcBorders>
              <w:top w:val="single" w:color="auto" w:sz="4" w:space="0"/>
              <w:left w:val="single" w:color="auto" w:sz="4" w:space="0"/>
              <w:bottom w:val="single" w:color="auto" w:sz="4" w:space="0"/>
              <w:right w:val="single" w:color="auto" w:sz="4" w:space="0"/>
            </w:tcBorders>
            <w:noWrap/>
            <w:vAlign w:val="center"/>
          </w:tcPr>
          <w:p w14:paraId="723246E7">
            <w:pPr>
              <w:keepNext w:val="0"/>
              <w:keepLines w:val="0"/>
              <w:widowControl/>
              <w:suppressLineNumbers w:val="0"/>
              <w:shd w:val="clear" w:color="auto" w:fill="auto"/>
              <w:autoSpaceDE/>
              <w:autoSpaceDN/>
              <w:spacing w:line="460" w:lineRule="exact"/>
              <w:jc w:val="center"/>
              <w:textAlignment w:val="center"/>
              <w:rPr>
                <w:rFonts w:hint="eastAsia" w:ascii="宋体" w:hAnsi="宋体" w:cs="宋体"/>
                <w:b w:val="0"/>
                <w:bCs w:val="0"/>
                <w:color w:val="auto"/>
                <w:sz w:val="24"/>
                <w:highlight w:val="none"/>
                <w:u w:val="single"/>
              </w:rPr>
            </w:pPr>
            <w:r>
              <w:rPr>
                <w:rFonts w:hint="eastAsia" w:ascii="宋体" w:hAnsi="宋体" w:cs="宋体"/>
                <w:b w:val="0"/>
                <w:bCs w:val="0"/>
                <w:color w:val="auto"/>
                <w:sz w:val="24"/>
                <w:highlight w:val="none"/>
                <w:u w:val="single"/>
              </w:rPr>
              <w:t>（</w:t>
            </w:r>
            <w:r>
              <w:rPr>
                <w:rFonts w:hint="eastAsia" w:ascii="宋体" w:hAnsi="宋体" w:cs="宋体"/>
                <w:b w:val="0"/>
                <w:bCs w:val="0"/>
                <w:color w:val="auto"/>
                <w:sz w:val="24"/>
                <w:highlight w:val="none"/>
                <w:u w:val="single"/>
                <w:lang w:val="en-US" w:eastAsia="zh-CN"/>
              </w:rPr>
              <w:t>3</w:t>
            </w:r>
            <w:r>
              <w:rPr>
                <w:rFonts w:hint="eastAsia" w:ascii="宋体" w:hAnsi="宋体" w:cs="宋体"/>
                <w:b w:val="0"/>
                <w:bCs w:val="0"/>
                <w:color w:val="auto"/>
                <w:sz w:val="24"/>
                <w:highlight w:val="none"/>
                <w:u w:val="single"/>
              </w:rPr>
              <w:t>）</w:t>
            </w:r>
          </w:p>
        </w:tc>
        <w:tc>
          <w:tcPr>
            <w:tcW w:w="1702" w:type="dxa"/>
            <w:tcBorders>
              <w:top w:val="single" w:color="auto" w:sz="4" w:space="0"/>
              <w:left w:val="single" w:color="auto" w:sz="4" w:space="0"/>
              <w:bottom w:val="single" w:color="auto" w:sz="4" w:space="0"/>
              <w:right w:val="single" w:color="auto" w:sz="4" w:space="0"/>
            </w:tcBorders>
            <w:noWrap/>
            <w:vAlign w:val="center"/>
          </w:tcPr>
          <w:p w14:paraId="54580E3A">
            <w:pPr>
              <w:keepNext w:val="0"/>
              <w:keepLines w:val="0"/>
              <w:widowControl/>
              <w:suppressLineNumbers w:val="0"/>
              <w:shd w:val="clear" w:color="auto" w:fill="auto"/>
              <w:autoSpaceDE/>
              <w:autoSpaceDN/>
              <w:spacing w:line="460" w:lineRule="exact"/>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行星投影仪</w:t>
            </w:r>
          </w:p>
        </w:tc>
        <w:tc>
          <w:tcPr>
            <w:tcW w:w="482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7811FC1">
            <w:pPr>
              <w:keepNext w:val="0"/>
              <w:keepLines w:val="0"/>
              <w:widowControl/>
              <w:suppressLineNumbers w:val="0"/>
              <w:jc w:val="center"/>
              <w:textAlignment w:val="center"/>
              <w:rPr>
                <w:rFonts w:hint="eastAsia" w:ascii="宋体" w:hAnsi="宋体" w:eastAsia="宋体" w:cs="宋体"/>
                <w:i w:val="0"/>
                <w:iCs w:val="0"/>
                <w:color w:val="auto"/>
                <w:kern w:val="2"/>
                <w:sz w:val="24"/>
                <w:szCs w:val="24"/>
                <w:u w:val="none"/>
                <w:lang w:val="en-US" w:eastAsia="zh-CN" w:bidi="ar-SA"/>
              </w:rPr>
            </w:pPr>
            <w:r>
              <w:rPr>
                <w:rFonts w:hint="eastAsia" w:ascii="宋体" w:hAnsi="宋体" w:eastAsia="宋体" w:cs="宋体"/>
                <w:i w:val="0"/>
                <w:iCs w:val="0"/>
                <w:color w:val="auto"/>
                <w:kern w:val="0"/>
                <w:sz w:val="24"/>
                <w:szCs w:val="24"/>
                <w:u w:val="none"/>
                <w:lang w:val="en-US" w:eastAsia="zh-CN" w:bidi="ar"/>
              </w:rPr>
              <w:t>材质：ABS、PET、PMMA、聚乙烯投影：投影</w:t>
            </w:r>
            <w:r>
              <w:rPr>
                <w:rFonts w:hint="eastAsia" w:ascii="宋体" w:hAnsi="宋体" w:eastAsia="宋体" w:cs="宋体"/>
                <w:i w:val="0"/>
                <w:iCs w:val="0"/>
                <w:color w:val="auto"/>
                <w:kern w:val="0"/>
                <w:sz w:val="24"/>
                <w:szCs w:val="24"/>
                <w:u w:val="none"/>
                <w:lang w:val="en-US" w:eastAsia="zh-CN" w:bidi="ar"/>
              </w:rPr>
              <w:br w:type="textWrapping"/>
            </w:r>
            <w:r>
              <w:rPr>
                <w:rFonts w:hint="eastAsia" w:ascii="宋体" w:hAnsi="宋体" w:eastAsia="宋体" w:cs="宋体"/>
                <w:i w:val="0"/>
                <w:iCs w:val="0"/>
                <w:color w:val="auto"/>
                <w:kern w:val="0"/>
                <w:sz w:val="24"/>
                <w:szCs w:val="24"/>
                <w:u w:val="none"/>
                <w:lang w:val="en-US" w:eastAsia="zh-CN" w:bidi="ar"/>
              </w:rPr>
              <w:t>仪高约18cm</w:t>
            </w:r>
          </w:p>
        </w:tc>
        <w:tc>
          <w:tcPr>
            <w:tcW w:w="1376" w:type="dxa"/>
            <w:tcBorders>
              <w:top w:val="single" w:color="auto" w:sz="4" w:space="0"/>
              <w:left w:val="single" w:color="auto" w:sz="4" w:space="0"/>
              <w:bottom w:val="single" w:color="auto" w:sz="4" w:space="0"/>
              <w:right w:val="single" w:color="auto" w:sz="4" w:space="0"/>
            </w:tcBorders>
            <w:noWrap/>
            <w:vAlign w:val="center"/>
          </w:tcPr>
          <w:p w14:paraId="50B59624">
            <w:pPr>
              <w:keepNext w:val="0"/>
              <w:keepLines w:val="0"/>
              <w:widowControl/>
              <w:suppressLineNumbers w:val="0"/>
              <w:shd w:val="clear" w:color="auto" w:fill="auto"/>
              <w:autoSpaceDE/>
              <w:autoSpaceDN/>
              <w:spacing w:line="460" w:lineRule="exact"/>
              <w:jc w:val="center"/>
              <w:textAlignment w:val="center"/>
              <w:rPr>
                <w:rFonts w:hint="default" w:ascii="宋体" w:hAnsi="宋体" w:cs="宋体"/>
                <w:i w:val="0"/>
                <w:iCs w:val="0"/>
                <w:color w:val="auto"/>
                <w:kern w:val="2"/>
                <w:sz w:val="24"/>
                <w:szCs w:val="24"/>
                <w:highlight w:val="none"/>
                <w:u w:val="none"/>
                <w:lang w:val="en-US" w:eastAsia="zh-CN" w:bidi="ar-SA"/>
              </w:rPr>
            </w:pPr>
            <w:r>
              <w:rPr>
                <w:rFonts w:hint="eastAsia" w:ascii="宋体" w:hAnsi="宋体" w:cs="宋体"/>
                <w:i w:val="0"/>
                <w:iCs w:val="0"/>
                <w:color w:val="auto"/>
                <w:kern w:val="2"/>
                <w:sz w:val="24"/>
                <w:szCs w:val="24"/>
                <w:highlight w:val="none"/>
                <w:u w:val="none"/>
                <w:lang w:val="en-US" w:eastAsia="zh-CN" w:bidi="ar-SA"/>
              </w:rPr>
              <w:t>1</w:t>
            </w:r>
          </w:p>
        </w:tc>
        <w:tc>
          <w:tcPr>
            <w:tcW w:w="1523" w:type="dxa"/>
            <w:tcBorders>
              <w:top w:val="single" w:color="auto" w:sz="4" w:space="0"/>
              <w:left w:val="single" w:color="auto" w:sz="4" w:space="0"/>
              <w:bottom w:val="single" w:color="auto" w:sz="4" w:space="0"/>
              <w:right w:val="single" w:color="auto" w:sz="4" w:space="0"/>
            </w:tcBorders>
            <w:noWrap/>
            <w:vAlign w:val="center"/>
          </w:tcPr>
          <w:p w14:paraId="44ECA10A">
            <w:pPr>
              <w:keepNext w:val="0"/>
              <w:keepLines w:val="0"/>
              <w:widowControl/>
              <w:suppressLineNumbers w:val="0"/>
              <w:shd w:val="clear" w:color="auto" w:fill="auto"/>
              <w:autoSpaceDE/>
              <w:autoSpaceDN/>
              <w:spacing w:line="460" w:lineRule="exact"/>
              <w:jc w:val="center"/>
              <w:textAlignment w:val="center"/>
              <w:rPr>
                <w:rFonts w:hint="default" w:ascii="宋体" w:hAnsi="宋体" w:cs="宋体"/>
                <w:i w:val="0"/>
                <w:iCs w:val="0"/>
                <w:color w:val="auto"/>
                <w:kern w:val="2"/>
                <w:sz w:val="24"/>
                <w:szCs w:val="24"/>
                <w:highlight w:val="none"/>
                <w:u w:val="none"/>
                <w:lang w:val="en-US" w:eastAsia="zh-CN" w:bidi="ar-SA"/>
              </w:rPr>
            </w:pPr>
            <w:r>
              <w:rPr>
                <w:rFonts w:hint="eastAsia" w:ascii="宋体" w:hAnsi="宋体" w:cs="宋体"/>
                <w:i w:val="0"/>
                <w:iCs w:val="0"/>
                <w:color w:val="auto"/>
                <w:kern w:val="2"/>
                <w:sz w:val="24"/>
                <w:szCs w:val="24"/>
                <w:highlight w:val="none"/>
                <w:u w:val="none"/>
                <w:lang w:val="en-US" w:eastAsia="zh-CN" w:bidi="ar-SA"/>
              </w:rPr>
              <w:t>件</w:t>
            </w:r>
          </w:p>
        </w:tc>
      </w:tr>
    </w:tbl>
    <w:p w14:paraId="5D3A503A">
      <w:pPr>
        <w:spacing w:line="360" w:lineRule="auto"/>
        <w:ind w:firstLine="964" w:firstLineChars="400"/>
        <w:jc w:val="both"/>
        <w:outlineLvl w:val="0"/>
        <w:rPr>
          <w:rFonts w:hint="eastAsia" w:ascii="宋体" w:hAnsi="宋体" w:cs="宋体"/>
          <w:b/>
          <w:color w:val="auto"/>
          <w:sz w:val="24"/>
          <w:szCs w:val="24"/>
        </w:rPr>
      </w:pPr>
      <w:r>
        <w:rPr>
          <w:rFonts w:hint="eastAsia" w:ascii="宋体" w:hAnsi="宋体" w:cs="宋体"/>
          <w:b/>
          <w:color w:val="auto"/>
          <w:sz w:val="24"/>
          <w:szCs w:val="24"/>
          <w:lang w:val="en-US" w:eastAsia="zh-CN"/>
        </w:rPr>
        <w:t>2</w:t>
      </w:r>
      <w:r>
        <w:rPr>
          <w:rFonts w:hint="eastAsia" w:ascii="宋体" w:hAnsi="宋体" w:cs="宋体"/>
          <w:b/>
          <w:color w:val="auto"/>
          <w:sz w:val="24"/>
          <w:szCs w:val="24"/>
        </w:rPr>
        <w:t>.样品递交方式：</w:t>
      </w:r>
      <w:r>
        <w:rPr>
          <w:rFonts w:hint="eastAsia" w:ascii="宋体" w:hAnsi="宋体" w:cs="宋体"/>
          <w:b/>
          <w:color w:val="auto"/>
          <w:sz w:val="24"/>
          <w:szCs w:val="24"/>
          <w:highlight w:val="none"/>
          <w:lang w:val="en-US" w:eastAsia="zh-CN"/>
        </w:rPr>
        <w:t>响应供应商</w:t>
      </w:r>
      <w:r>
        <w:rPr>
          <w:rFonts w:hint="eastAsia" w:ascii="宋体" w:hAnsi="宋体" w:cs="宋体"/>
          <w:b/>
          <w:color w:val="auto"/>
          <w:sz w:val="24"/>
          <w:szCs w:val="24"/>
          <w:highlight w:val="none"/>
        </w:rPr>
        <w:t>自行提交并安装到位。</w:t>
      </w:r>
    </w:p>
    <w:p w14:paraId="786EC680">
      <w:pPr>
        <w:spacing w:line="360" w:lineRule="auto"/>
        <w:ind w:firstLine="964" w:firstLineChars="400"/>
        <w:jc w:val="both"/>
        <w:outlineLvl w:val="0"/>
        <w:rPr>
          <w:rFonts w:hint="eastAsia" w:ascii="宋体" w:hAnsi="宋体" w:cs="宋体"/>
          <w:b/>
          <w:color w:val="auto"/>
          <w:sz w:val="24"/>
          <w:szCs w:val="24"/>
        </w:rPr>
      </w:pPr>
      <w:r>
        <w:rPr>
          <w:rFonts w:hint="eastAsia" w:ascii="宋体" w:hAnsi="宋体" w:cs="宋体"/>
          <w:b/>
          <w:color w:val="auto"/>
          <w:sz w:val="24"/>
          <w:szCs w:val="24"/>
        </w:rPr>
        <w:t>3.样品上须标注项目名称、样品名称及供应商名称加盖公章。</w:t>
      </w:r>
    </w:p>
    <w:p w14:paraId="3FCA42DD">
      <w:pPr>
        <w:spacing w:line="360" w:lineRule="auto"/>
        <w:ind w:firstLine="964" w:firstLineChars="400"/>
        <w:jc w:val="both"/>
        <w:outlineLvl w:val="0"/>
        <w:rPr>
          <w:rFonts w:hint="eastAsia" w:ascii="宋体" w:hAnsi="宋体" w:cs="宋体"/>
          <w:b/>
          <w:color w:val="auto"/>
          <w:sz w:val="24"/>
          <w:szCs w:val="24"/>
        </w:rPr>
      </w:pPr>
      <w:r>
        <w:rPr>
          <w:rFonts w:hint="eastAsia" w:ascii="宋体" w:hAnsi="宋体" w:cs="宋体"/>
          <w:b/>
          <w:color w:val="auto"/>
          <w:sz w:val="24"/>
          <w:szCs w:val="24"/>
        </w:rPr>
        <w:t>4.样品须</w:t>
      </w:r>
      <w:r>
        <w:rPr>
          <w:rFonts w:hint="eastAsia" w:ascii="宋体" w:hAnsi="宋体" w:cs="宋体"/>
          <w:b/>
          <w:color w:val="auto"/>
          <w:sz w:val="24"/>
          <w:szCs w:val="24"/>
          <w:lang w:val="en-US" w:eastAsia="zh-CN"/>
        </w:rPr>
        <w:t>按前附表时间</w:t>
      </w:r>
      <w:r>
        <w:rPr>
          <w:rFonts w:hint="eastAsia" w:ascii="宋体" w:hAnsi="宋体" w:cs="宋体"/>
          <w:b/>
          <w:color w:val="auto"/>
          <w:sz w:val="24"/>
          <w:szCs w:val="24"/>
        </w:rPr>
        <w:t>送至欧邦工程管理集团有限公司开标区（杭州市文一西路558号绿城西溪诚园诚公馆1号楼9楼开标区开标区，须提前电话联系，号码：13758250560），逾期送达将拒收。</w:t>
      </w:r>
    </w:p>
    <w:p w14:paraId="1E641797">
      <w:pPr>
        <w:spacing w:line="360" w:lineRule="auto"/>
        <w:ind w:firstLine="964" w:firstLineChars="400"/>
        <w:jc w:val="both"/>
        <w:outlineLvl w:val="0"/>
        <w:rPr>
          <w:rFonts w:hint="eastAsia" w:ascii="宋体" w:hAnsi="宋体" w:cs="宋体"/>
          <w:b/>
          <w:color w:val="auto"/>
          <w:sz w:val="24"/>
          <w:szCs w:val="24"/>
        </w:rPr>
      </w:pPr>
      <w:r>
        <w:rPr>
          <w:rFonts w:hint="eastAsia" w:ascii="宋体" w:hAnsi="宋体" w:cs="宋体"/>
          <w:b/>
          <w:color w:val="auto"/>
          <w:sz w:val="24"/>
          <w:szCs w:val="24"/>
          <w:lang w:val="en-US" w:eastAsia="zh-CN"/>
        </w:rPr>
        <w:t>5</w:t>
      </w:r>
      <w:r>
        <w:rPr>
          <w:rFonts w:hint="eastAsia" w:ascii="宋体" w:hAnsi="宋体" w:cs="宋体"/>
          <w:b/>
          <w:color w:val="auto"/>
          <w:sz w:val="24"/>
          <w:szCs w:val="24"/>
        </w:rPr>
        <w:t>.中标</w:t>
      </w:r>
      <w:r>
        <w:rPr>
          <w:rFonts w:hint="eastAsia" w:ascii="宋体" w:hAnsi="宋体" w:cs="宋体"/>
          <w:b/>
          <w:color w:val="auto"/>
          <w:sz w:val="24"/>
          <w:szCs w:val="24"/>
          <w:lang w:val="en-US" w:eastAsia="zh-CN"/>
        </w:rPr>
        <w:t>供应商</w:t>
      </w:r>
      <w:r>
        <w:rPr>
          <w:rFonts w:hint="eastAsia" w:ascii="宋体" w:hAnsi="宋体" w:cs="宋体"/>
          <w:b/>
          <w:color w:val="auto"/>
          <w:sz w:val="24"/>
          <w:szCs w:val="24"/>
        </w:rPr>
        <w:t>的样品将在评标结束后移交采购人留样封存，并作为本项目验收标准之一，未中标候选人的样品在评标结束后接到采购人或采购代理机构通知由投标</w:t>
      </w:r>
      <w:r>
        <w:rPr>
          <w:rFonts w:hint="eastAsia" w:ascii="宋体" w:hAnsi="宋体" w:cs="宋体"/>
          <w:b/>
          <w:color w:val="auto"/>
          <w:sz w:val="24"/>
          <w:szCs w:val="24"/>
          <w:lang w:val="en-US" w:eastAsia="zh-CN"/>
        </w:rPr>
        <w:t>供应商</w:t>
      </w:r>
      <w:r>
        <w:rPr>
          <w:rFonts w:hint="eastAsia" w:ascii="宋体" w:hAnsi="宋体" w:cs="宋体"/>
          <w:b/>
          <w:color w:val="auto"/>
          <w:sz w:val="24"/>
          <w:szCs w:val="24"/>
        </w:rPr>
        <w:t>自行取回。</w:t>
      </w:r>
    </w:p>
    <w:p w14:paraId="26294E3B">
      <w:pPr>
        <w:spacing w:line="360" w:lineRule="auto"/>
        <w:ind w:firstLine="964" w:firstLineChars="400"/>
        <w:jc w:val="both"/>
        <w:outlineLvl w:val="0"/>
        <w:rPr>
          <w:rFonts w:hint="eastAsia" w:ascii="宋体" w:hAnsi="宋体" w:cs="宋体"/>
          <w:b/>
          <w:color w:val="auto"/>
          <w:sz w:val="24"/>
          <w:szCs w:val="24"/>
          <w:highlight w:val="none"/>
        </w:rPr>
      </w:pPr>
      <w:r>
        <w:rPr>
          <w:rFonts w:hint="eastAsia" w:ascii="宋体" w:hAnsi="宋体" w:cs="宋体"/>
          <w:b/>
          <w:color w:val="auto"/>
          <w:sz w:val="24"/>
          <w:szCs w:val="24"/>
          <w:highlight w:val="none"/>
        </w:rPr>
        <w:t>注：▲</w:t>
      </w:r>
      <w:r>
        <w:rPr>
          <w:rFonts w:hint="eastAsia" w:ascii="宋体" w:hAnsi="宋体" w:cs="宋体"/>
          <w:b/>
          <w:color w:val="auto"/>
          <w:sz w:val="24"/>
          <w:szCs w:val="24"/>
          <w:highlight w:val="none"/>
          <w:lang w:val="en-US" w:eastAsia="zh-CN"/>
        </w:rPr>
        <w:t>采购</w:t>
      </w:r>
      <w:r>
        <w:rPr>
          <w:rFonts w:hint="eastAsia" w:ascii="宋体" w:hAnsi="宋体" w:cs="宋体"/>
          <w:b/>
          <w:color w:val="auto"/>
          <w:sz w:val="24"/>
          <w:szCs w:val="24"/>
          <w:highlight w:val="none"/>
        </w:rPr>
        <w:t>文件要求提供样品，投标人没有提供样品或样品不全的，投标无效。</w:t>
      </w:r>
    </w:p>
    <w:p w14:paraId="4ED26F35">
      <w:pPr>
        <w:spacing w:line="360" w:lineRule="auto"/>
        <w:jc w:val="center"/>
        <w:outlineLvl w:val="0"/>
        <w:rPr>
          <w:rFonts w:hint="eastAsia" w:ascii="宋体" w:hAnsi="宋体" w:cs="宋体"/>
          <w:b/>
          <w:color w:val="auto"/>
          <w:sz w:val="36"/>
          <w:szCs w:val="36"/>
        </w:rPr>
      </w:pPr>
    </w:p>
    <w:p w14:paraId="40B48067">
      <w:pPr>
        <w:spacing w:line="360" w:lineRule="auto"/>
        <w:jc w:val="center"/>
        <w:outlineLvl w:val="0"/>
        <w:rPr>
          <w:rFonts w:hint="eastAsia" w:ascii="宋体" w:hAnsi="宋体" w:cs="宋体"/>
          <w:b/>
          <w:color w:val="auto"/>
          <w:sz w:val="36"/>
          <w:szCs w:val="36"/>
        </w:rPr>
        <w:sectPr>
          <w:pgSz w:w="16838" w:h="11906" w:orient="landscape"/>
          <w:pgMar w:top="1803" w:right="1440" w:bottom="1803" w:left="1440" w:header="851" w:footer="992" w:gutter="0"/>
          <w:pgBorders>
            <w:top w:val="none" w:sz="0" w:space="0"/>
            <w:left w:val="none" w:sz="0" w:space="0"/>
            <w:bottom w:val="none" w:sz="0" w:space="0"/>
            <w:right w:val="none" w:sz="0" w:space="0"/>
          </w:pgBorders>
          <w:cols w:space="0" w:num="1"/>
          <w:rtlGutter w:val="0"/>
          <w:docGrid w:type="lines" w:linePitch="319" w:charSpace="0"/>
        </w:sectPr>
      </w:pPr>
    </w:p>
    <w:p w14:paraId="1FAF90A3">
      <w:pPr>
        <w:spacing w:line="360" w:lineRule="auto"/>
        <w:jc w:val="center"/>
        <w:outlineLvl w:val="0"/>
        <w:rPr>
          <w:rFonts w:ascii="宋体" w:hAnsi="宋体" w:cs="宋体"/>
          <w:b/>
          <w:color w:val="auto"/>
          <w:sz w:val="36"/>
          <w:szCs w:val="36"/>
        </w:rPr>
      </w:pPr>
      <w:r>
        <w:rPr>
          <w:rFonts w:hint="eastAsia" w:ascii="宋体" w:hAnsi="宋体" w:cs="宋体"/>
          <w:b/>
          <w:color w:val="auto"/>
          <w:sz w:val="36"/>
          <w:szCs w:val="36"/>
        </w:rPr>
        <w:t xml:space="preserve">第四部分   </w:t>
      </w:r>
      <w:bookmarkStart w:id="35" w:name="_Toc184308091"/>
      <w:bookmarkEnd w:id="35"/>
      <w:bookmarkStart w:id="36" w:name="_Toc184313250"/>
      <w:bookmarkEnd w:id="36"/>
      <w:bookmarkStart w:id="37" w:name="_Toc184312076"/>
      <w:bookmarkEnd w:id="37"/>
      <w:bookmarkStart w:id="38" w:name="_Toc184308057"/>
      <w:bookmarkEnd w:id="38"/>
      <w:bookmarkStart w:id="39" w:name="_Toc184308058"/>
      <w:bookmarkEnd w:id="39"/>
      <w:bookmarkStart w:id="40" w:name="_Toc184310313"/>
      <w:bookmarkEnd w:id="40"/>
      <w:bookmarkStart w:id="41" w:name="_Toc184310323"/>
      <w:bookmarkEnd w:id="41"/>
      <w:bookmarkStart w:id="42" w:name="_Toc184313277"/>
      <w:bookmarkEnd w:id="42"/>
      <w:bookmarkStart w:id="43" w:name="_Toc184312139"/>
      <w:bookmarkEnd w:id="43"/>
      <w:bookmarkStart w:id="44" w:name="_Toc184308087"/>
      <w:bookmarkEnd w:id="44"/>
      <w:bookmarkStart w:id="45" w:name="_Toc184310322"/>
      <w:bookmarkEnd w:id="45"/>
      <w:bookmarkStart w:id="46" w:name="_Toc184308094"/>
      <w:bookmarkEnd w:id="46"/>
      <w:bookmarkStart w:id="47" w:name="_Toc184314477"/>
      <w:bookmarkEnd w:id="47"/>
      <w:bookmarkStart w:id="48" w:name="_Toc184313307"/>
      <w:bookmarkEnd w:id="48"/>
      <w:bookmarkStart w:id="49" w:name="_Toc184310285"/>
      <w:bookmarkEnd w:id="49"/>
      <w:bookmarkStart w:id="50" w:name="_Toc184310292"/>
      <w:bookmarkEnd w:id="50"/>
      <w:bookmarkStart w:id="51" w:name="_Toc184308106"/>
      <w:bookmarkEnd w:id="51"/>
      <w:bookmarkStart w:id="52" w:name="_Toc184314459"/>
      <w:bookmarkEnd w:id="52"/>
      <w:bookmarkStart w:id="53" w:name="_Toc184308063"/>
      <w:bookmarkEnd w:id="53"/>
      <w:bookmarkStart w:id="54" w:name="_Toc184308061"/>
      <w:bookmarkEnd w:id="54"/>
      <w:bookmarkStart w:id="55" w:name="_Toc184313275"/>
      <w:bookmarkEnd w:id="55"/>
      <w:bookmarkStart w:id="56" w:name="_Toc184314469"/>
      <w:bookmarkEnd w:id="56"/>
      <w:bookmarkStart w:id="57" w:name="_Toc184313301"/>
      <w:bookmarkEnd w:id="57"/>
      <w:bookmarkStart w:id="58" w:name="_Toc184314461"/>
      <w:bookmarkEnd w:id="58"/>
      <w:bookmarkStart w:id="59" w:name="_Toc184314473"/>
      <w:bookmarkEnd w:id="59"/>
      <w:bookmarkStart w:id="60" w:name="_Toc184308048"/>
      <w:bookmarkEnd w:id="60"/>
      <w:bookmarkStart w:id="61" w:name="_Toc184313266"/>
      <w:bookmarkEnd w:id="61"/>
      <w:bookmarkStart w:id="62" w:name="_Toc184312119"/>
      <w:bookmarkEnd w:id="62"/>
      <w:bookmarkStart w:id="63" w:name="_Toc184310286"/>
      <w:bookmarkEnd w:id="63"/>
      <w:bookmarkStart w:id="64" w:name="_Toc184312077"/>
      <w:bookmarkEnd w:id="64"/>
      <w:bookmarkStart w:id="65" w:name="_Toc184312082"/>
      <w:bookmarkEnd w:id="65"/>
      <w:bookmarkStart w:id="66" w:name="_Toc184312079"/>
      <w:bookmarkEnd w:id="66"/>
      <w:bookmarkStart w:id="67" w:name="_Toc184310331"/>
      <w:bookmarkEnd w:id="67"/>
      <w:bookmarkStart w:id="68" w:name="_Toc184312115"/>
      <w:bookmarkEnd w:id="68"/>
      <w:bookmarkStart w:id="69" w:name="_Toc184308108"/>
      <w:bookmarkEnd w:id="69"/>
      <w:bookmarkStart w:id="70" w:name="_Toc184312111"/>
      <w:bookmarkEnd w:id="70"/>
      <w:bookmarkStart w:id="71" w:name="_Toc184310279"/>
      <w:bookmarkEnd w:id="71"/>
      <w:bookmarkStart w:id="72" w:name="_Toc184308101"/>
      <w:bookmarkEnd w:id="72"/>
      <w:bookmarkStart w:id="73" w:name="_Toc184312074"/>
      <w:bookmarkEnd w:id="73"/>
      <w:bookmarkStart w:id="74" w:name="_Toc184308096"/>
      <w:bookmarkEnd w:id="74"/>
      <w:bookmarkStart w:id="75" w:name="_Toc184310306"/>
      <w:bookmarkEnd w:id="75"/>
      <w:bookmarkStart w:id="76" w:name="_Toc184310342"/>
      <w:bookmarkEnd w:id="76"/>
      <w:bookmarkStart w:id="77" w:name="_Toc184312138"/>
      <w:bookmarkEnd w:id="77"/>
      <w:bookmarkStart w:id="78" w:name="_Toc184312123"/>
      <w:bookmarkEnd w:id="78"/>
      <w:bookmarkStart w:id="79" w:name="_Toc184308089"/>
      <w:bookmarkEnd w:id="79"/>
      <w:bookmarkStart w:id="80" w:name="_Toc184308039"/>
      <w:bookmarkEnd w:id="80"/>
      <w:bookmarkStart w:id="81" w:name="_Toc184310283"/>
      <w:bookmarkEnd w:id="81"/>
      <w:bookmarkStart w:id="82" w:name="_Toc184313270"/>
      <w:bookmarkEnd w:id="82"/>
      <w:bookmarkStart w:id="83" w:name="_Toc184313244"/>
      <w:bookmarkEnd w:id="83"/>
      <w:bookmarkStart w:id="84" w:name="_Toc184314435"/>
      <w:bookmarkEnd w:id="84"/>
      <w:bookmarkStart w:id="85" w:name="_Toc184314451"/>
      <w:bookmarkEnd w:id="85"/>
      <w:bookmarkStart w:id="86" w:name="_Toc184312089"/>
      <w:bookmarkEnd w:id="86"/>
      <w:bookmarkStart w:id="87" w:name="_Toc184310282"/>
      <w:bookmarkEnd w:id="87"/>
      <w:bookmarkStart w:id="88" w:name="_Toc184313262"/>
      <w:bookmarkEnd w:id="88"/>
      <w:bookmarkStart w:id="89" w:name="_Toc184308062"/>
      <w:bookmarkEnd w:id="89"/>
      <w:bookmarkStart w:id="90" w:name="_Toc184308084"/>
      <w:bookmarkEnd w:id="90"/>
      <w:bookmarkStart w:id="91" w:name="_Toc184310301"/>
      <w:bookmarkEnd w:id="91"/>
      <w:bookmarkStart w:id="92" w:name="_Toc184313292"/>
      <w:bookmarkEnd w:id="92"/>
      <w:bookmarkStart w:id="93" w:name="_Toc184313239"/>
      <w:bookmarkEnd w:id="93"/>
      <w:bookmarkStart w:id="94" w:name="_Toc184314453"/>
      <w:bookmarkEnd w:id="94"/>
      <w:bookmarkStart w:id="95" w:name="_Toc184312094"/>
      <w:bookmarkEnd w:id="95"/>
      <w:bookmarkStart w:id="96" w:name="_Toc184313246"/>
      <w:bookmarkEnd w:id="96"/>
      <w:bookmarkStart w:id="97" w:name="_Toc184310335"/>
      <w:bookmarkEnd w:id="97"/>
      <w:bookmarkStart w:id="98" w:name="_Toc184313304"/>
      <w:bookmarkEnd w:id="98"/>
      <w:bookmarkStart w:id="99" w:name="_Toc184312067"/>
      <w:bookmarkEnd w:id="99"/>
      <w:bookmarkStart w:id="100" w:name="_Toc184314442"/>
      <w:bookmarkEnd w:id="100"/>
      <w:bookmarkStart w:id="101" w:name="_Toc184313261"/>
      <w:bookmarkEnd w:id="101"/>
      <w:bookmarkStart w:id="102" w:name="_Toc184312093"/>
      <w:bookmarkEnd w:id="102"/>
      <w:bookmarkStart w:id="103" w:name="_Toc184314440"/>
      <w:bookmarkEnd w:id="103"/>
      <w:bookmarkStart w:id="104" w:name="_Toc184312081"/>
      <w:bookmarkEnd w:id="104"/>
      <w:bookmarkStart w:id="105" w:name="_Toc184313264"/>
      <w:bookmarkEnd w:id="105"/>
      <w:bookmarkStart w:id="106" w:name="_Toc184314417"/>
      <w:bookmarkEnd w:id="106"/>
      <w:bookmarkStart w:id="107" w:name="_Toc184313302"/>
      <w:bookmarkEnd w:id="107"/>
      <w:bookmarkStart w:id="108" w:name="_Toc184314452"/>
      <w:bookmarkEnd w:id="108"/>
      <w:bookmarkStart w:id="109" w:name="_Toc184314418"/>
      <w:bookmarkEnd w:id="109"/>
      <w:bookmarkStart w:id="110" w:name="_Toc184314431"/>
      <w:bookmarkEnd w:id="110"/>
      <w:bookmarkStart w:id="111" w:name="_Toc184314414"/>
      <w:bookmarkEnd w:id="111"/>
      <w:bookmarkStart w:id="112" w:name="_Toc184313254"/>
      <w:bookmarkEnd w:id="112"/>
      <w:bookmarkStart w:id="113" w:name="_Toc184313308"/>
      <w:bookmarkEnd w:id="113"/>
      <w:bookmarkStart w:id="114" w:name="_Toc184314428"/>
      <w:bookmarkEnd w:id="114"/>
      <w:bookmarkStart w:id="115" w:name="_Toc184314412"/>
      <w:bookmarkEnd w:id="115"/>
      <w:bookmarkStart w:id="116" w:name="_Toc184312109"/>
      <w:bookmarkEnd w:id="116"/>
      <w:bookmarkStart w:id="117" w:name="_Toc184314421"/>
      <w:bookmarkEnd w:id="117"/>
      <w:bookmarkStart w:id="118" w:name="_Toc184313293"/>
      <w:bookmarkEnd w:id="118"/>
      <w:bookmarkStart w:id="119" w:name="_Toc184310284"/>
      <w:bookmarkEnd w:id="119"/>
      <w:bookmarkStart w:id="120" w:name="_Toc184310310"/>
      <w:bookmarkEnd w:id="120"/>
      <w:bookmarkStart w:id="121" w:name="_Toc184313298"/>
      <w:bookmarkEnd w:id="121"/>
      <w:bookmarkStart w:id="122" w:name="_Toc184308105"/>
      <w:bookmarkEnd w:id="122"/>
      <w:bookmarkStart w:id="123" w:name="_Toc184310337"/>
      <w:bookmarkEnd w:id="123"/>
      <w:bookmarkStart w:id="124" w:name="_Toc184312100"/>
      <w:bookmarkEnd w:id="124"/>
      <w:bookmarkStart w:id="125" w:name="_Toc184312073"/>
      <w:bookmarkEnd w:id="125"/>
      <w:bookmarkStart w:id="126" w:name="_Toc184310288"/>
      <w:bookmarkEnd w:id="126"/>
      <w:bookmarkStart w:id="127" w:name="_Toc184312075"/>
      <w:bookmarkEnd w:id="127"/>
      <w:bookmarkStart w:id="128" w:name="_Toc184308038"/>
      <w:bookmarkEnd w:id="128"/>
      <w:bookmarkStart w:id="129" w:name="_Toc184308093"/>
      <w:bookmarkEnd w:id="129"/>
      <w:bookmarkStart w:id="130" w:name="_Toc184312091"/>
      <w:bookmarkEnd w:id="130"/>
      <w:bookmarkStart w:id="131" w:name="_Toc184314466"/>
      <w:bookmarkEnd w:id="131"/>
      <w:bookmarkStart w:id="132" w:name="_Toc184308040"/>
      <w:bookmarkEnd w:id="132"/>
      <w:bookmarkStart w:id="133" w:name="_Toc184313251"/>
      <w:bookmarkEnd w:id="133"/>
      <w:bookmarkStart w:id="134" w:name="_Toc184310319"/>
      <w:bookmarkEnd w:id="134"/>
      <w:bookmarkStart w:id="135" w:name="_Toc184312102"/>
      <w:bookmarkEnd w:id="135"/>
      <w:bookmarkStart w:id="136" w:name="_Toc184312112"/>
      <w:bookmarkEnd w:id="136"/>
      <w:bookmarkStart w:id="137" w:name="_Toc184313276"/>
      <w:bookmarkEnd w:id="137"/>
      <w:bookmarkStart w:id="138" w:name="_Toc184308086"/>
      <w:bookmarkEnd w:id="138"/>
      <w:bookmarkStart w:id="139" w:name="_Toc184310344"/>
      <w:bookmarkEnd w:id="139"/>
      <w:bookmarkStart w:id="140" w:name="_Toc184313259"/>
      <w:bookmarkEnd w:id="140"/>
      <w:bookmarkStart w:id="141" w:name="_Toc184313257"/>
      <w:bookmarkEnd w:id="141"/>
      <w:bookmarkStart w:id="142" w:name="_Toc184314441"/>
      <w:bookmarkEnd w:id="142"/>
      <w:bookmarkStart w:id="143" w:name="_Toc184312092"/>
      <w:bookmarkEnd w:id="143"/>
      <w:bookmarkStart w:id="144" w:name="_Toc184312105"/>
      <w:bookmarkEnd w:id="144"/>
      <w:bookmarkStart w:id="145" w:name="_Toc184314460"/>
      <w:bookmarkEnd w:id="145"/>
      <w:bookmarkStart w:id="146" w:name="_Toc184313300"/>
      <w:bookmarkEnd w:id="146"/>
      <w:bookmarkStart w:id="147" w:name="_Toc184312116"/>
      <w:bookmarkEnd w:id="147"/>
      <w:bookmarkStart w:id="148" w:name="_Toc184313294"/>
      <w:bookmarkEnd w:id="148"/>
      <w:bookmarkStart w:id="149" w:name="_Toc184310278"/>
      <w:bookmarkEnd w:id="149"/>
      <w:bookmarkStart w:id="150" w:name="_Toc184310340"/>
      <w:bookmarkEnd w:id="150"/>
      <w:bookmarkStart w:id="151" w:name="_Toc184314436"/>
      <w:bookmarkEnd w:id="151"/>
      <w:bookmarkStart w:id="152" w:name="_Toc184314455"/>
      <w:bookmarkEnd w:id="152"/>
      <w:bookmarkStart w:id="153" w:name="_Toc184308095"/>
      <w:bookmarkEnd w:id="153"/>
      <w:bookmarkStart w:id="154" w:name="_Toc184313238"/>
      <w:bookmarkEnd w:id="154"/>
      <w:bookmarkStart w:id="155" w:name="_Toc184312072"/>
      <w:bookmarkEnd w:id="155"/>
      <w:bookmarkStart w:id="156" w:name="_Toc184314447"/>
      <w:bookmarkEnd w:id="156"/>
      <w:bookmarkStart w:id="157" w:name="_Toc184310314"/>
      <w:bookmarkEnd w:id="157"/>
      <w:bookmarkStart w:id="158" w:name="_Toc184313305"/>
      <w:bookmarkEnd w:id="158"/>
      <w:bookmarkStart w:id="159" w:name="_Toc184312127"/>
      <w:bookmarkEnd w:id="159"/>
      <w:bookmarkStart w:id="160" w:name="_Toc184310330"/>
      <w:bookmarkEnd w:id="160"/>
      <w:bookmarkStart w:id="161" w:name="_Toc184310281"/>
      <w:bookmarkEnd w:id="161"/>
      <w:bookmarkStart w:id="162" w:name="_Toc184310318"/>
      <w:bookmarkEnd w:id="162"/>
      <w:bookmarkStart w:id="163" w:name="_Toc184314443"/>
      <w:bookmarkEnd w:id="163"/>
      <w:bookmarkStart w:id="164" w:name="_Toc184312130"/>
      <w:bookmarkEnd w:id="164"/>
      <w:bookmarkStart w:id="165" w:name="_Toc184310332"/>
      <w:bookmarkEnd w:id="165"/>
      <w:bookmarkStart w:id="166" w:name="_Toc184313281"/>
      <w:bookmarkEnd w:id="166"/>
      <w:bookmarkStart w:id="167" w:name="_Toc184310287"/>
      <w:bookmarkEnd w:id="167"/>
      <w:bookmarkStart w:id="168" w:name="_Toc184314424"/>
      <w:bookmarkEnd w:id="168"/>
      <w:bookmarkStart w:id="169" w:name="_Toc184312084"/>
      <w:bookmarkEnd w:id="169"/>
      <w:bookmarkStart w:id="170" w:name="_Toc184308055"/>
      <w:bookmarkEnd w:id="170"/>
      <w:bookmarkStart w:id="171" w:name="_Toc184313272"/>
      <w:bookmarkEnd w:id="171"/>
      <w:bookmarkStart w:id="172" w:name="_Toc184310274"/>
      <w:bookmarkEnd w:id="172"/>
      <w:bookmarkStart w:id="173" w:name="_Toc184314427"/>
      <w:bookmarkEnd w:id="173"/>
      <w:bookmarkStart w:id="174" w:name="_Toc184312118"/>
      <w:bookmarkEnd w:id="174"/>
      <w:bookmarkStart w:id="175" w:name="_Toc184310327"/>
      <w:bookmarkEnd w:id="175"/>
      <w:bookmarkStart w:id="176" w:name="_Toc184310294"/>
      <w:bookmarkEnd w:id="176"/>
      <w:bookmarkStart w:id="177" w:name="_Toc184314444"/>
      <w:bookmarkEnd w:id="177"/>
      <w:bookmarkStart w:id="178" w:name="_Toc184308081"/>
      <w:bookmarkEnd w:id="178"/>
      <w:bookmarkStart w:id="179" w:name="_Toc184313288"/>
      <w:bookmarkEnd w:id="179"/>
      <w:bookmarkStart w:id="180" w:name="_Toc184313249"/>
      <w:bookmarkEnd w:id="180"/>
      <w:bookmarkStart w:id="181" w:name="_Toc184308054"/>
      <w:bookmarkEnd w:id="181"/>
      <w:bookmarkStart w:id="182" w:name="_Toc184310298"/>
      <w:bookmarkEnd w:id="182"/>
      <w:bookmarkStart w:id="183" w:name="_Toc184314464"/>
      <w:bookmarkEnd w:id="183"/>
      <w:bookmarkStart w:id="184" w:name="_Toc184308060"/>
      <w:bookmarkEnd w:id="184"/>
      <w:bookmarkStart w:id="185" w:name="_Toc184313240"/>
      <w:bookmarkEnd w:id="185"/>
      <w:bookmarkStart w:id="186" w:name="_Toc184312069"/>
      <w:bookmarkEnd w:id="186"/>
      <w:bookmarkStart w:id="187" w:name="_Toc184310299"/>
      <w:bookmarkEnd w:id="187"/>
      <w:bookmarkStart w:id="188" w:name="_Toc184310280"/>
      <w:bookmarkEnd w:id="188"/>
      <w:bookmarkStart w:id="189" w:name="_Toc184314423"/>
      <w:bookmarkEnd w:id="189"/>
      <w:bookmarkStart w:id="190" w:name="_Toc184314446"/>
      <w:bookmarkEnd w:id="190"/>
      <w:bookmarkStart w:id="191" w:name="_Toc184310343"/>
      <w:bookmarkEnd w:id="191"/>
      <w:bookmarkStart w:id="192" w:name="_Toc184313287"/>
      <w:bookmarkEnd w:id="192"/>
      <w:bookmarkStart w:id="193" w:name="_Toc184314437"/>
      <w:bookmarkEnd w:id="193"/>
      <w:bookmarkStart w:id="194" w:name="_Toc184308071"/>
      <w:bookmarkEnd w:id="194"/>
      <w:bookmarkStart w:id="195" w:name="_Toc184310307"/>
      <w:bookmarkEnd w:id="195"/>
      <w:bookmarkStart w:id="196" w:name="_Toc184310325"/>
      <w:bookmarkEnd w:id="196"/>
      <w:bookmarkStart w:id="197" w:name="_Toc184313242"/>
      <w:bookmarkEnd w:id="197"/>
      <w:bookmarkStart w:id="198" w:name="_Toc184310320"/>
      <w:bookmarkEnd w:id="198"/>
      <w:bookmarkStart w:id="199" w:name="_Toc184313241"/>
      <w:bookmarkEnd w:id="199"/>
      <w:bookmarkStart w:id="200" w:name="_Toc184308078"/>
      <w:bookmarkEnd w:id="200"/>
      <w:bookmarkStart w:id="201" w:name="_Toc184308064"/>
      <w:bookmarkEnd w:id="201"/>
      <w:bookmarkStart w:id="202" w:name="_Toc184310308"/>
      <w:bookmarkEnd w:id="202"/>
      <w:bookmarkStart w:id="203" w:name="_Toc184313299"/>
      <w:bookmarkEnd w:id="203"/>
      <w:bookmarkStart w:id="204" w:name="_Toc184312088"/>
      <w:bookmarkEnd w:id="204"/>
      <w:bookmarkStart w:id="205" w:name="_Toc184308074"/>
      <w:bookmarkEnd w:id="205"/>
      <w:bookmarkStart w:id="206" w:name="_Toc184314482"/>
      <w:bookmarkEnd w:id="206"/>
      <w:bookmarkStart w:id="207" w:name="_Toc184314438"/>
      <w:bookmarkEnd w:id="207"/>
      <w:bookmarkStart w:id="208" w:name="_Toc184308069"/>
      <w:bookmarkEnd w:id="208"/>
      <w:bookmarkStart w:id="209" w:name="_Toc184308102"/>
      <w:bookmarkEnd w:id="209"/>
      <w:bookmarkStart w:id="210" w:name="_Toc184310304"/>
      <w:bookmarkEnd w:id="210"/>
      <w:bookmarkStart w:id="211" w:name="_Toc184312103"/>
      <w:bookmarkEnd w:id="211"/>
      <w:bookmarkStart w:id="212" w:name="_Toc184314479"/>
      <w:bookmarkEnd w:id="212"/>
      <w:bookmarkStart w:id="213" w:name="_Toc184313285"/>
      <w:bookmarkEnd w:id="213"/>
      <w:bookmarkStart w:id="214" w:name="_Toc184308092"/>
      <w:bookmarkEnd w:id="214"/>
      <w:bookmarkStart w:id="215" w:name="_Toc184310300"/>
      <w:bookmarkEnd w:id="215"/>
      <w:bookmarkStart w:id="216" w:name="_Toc184314450"/>
      <w:bookmarkEnd w:id="216"/>
      <w:bookmarkStart w:id="217" w:name="_Toc184314434"/>
      <w:bookmarkEnd w:id="217"/>
      <w:bookmarkStart w:id="218" w:name="_Toc184314472"/>
      <w:bookmarkEnd w:id="218"/>
      <w:bookmarkStart w:id="219" w:name="_Toc184314429"/>
      <w:bookmarkEnd w:id="219"/>
      <w:bookmarkStart w:id="220" w:name="_Toc184314432"/>
      <w:bookmarkEnd w:id="220"/>
      <w:bookmarkStart w:id="221" w:name="_Toc184312068"/>
      <w:bookmarkEnd w:id="221"/>
      <w:bookmarkStart w:id="222" w:name="_Toc184310291"/>
      <w:bookmarkEnd w:id="222"/>
      <w:bookmarkStart w:id="223" w:name="_Toc184310295"/>
      <w:bookmarkEnd w:id="223"/>
      <w:bookmarkStart w:id="224" w:name="_Toc184314439"/>
      <w:bookmarkEnd w:id="224"/>
      <w:bookmarkStart w:id="225" w:name="_Toc184312117"/>
      <w:bookmarkEnd w:id="225"/>
      <w:bookmarkStart w:id="226" w:name="_Toc184313286"/>
      <w:bookmarkEnd w:id="226"/>
      <w:bookmarkStart w:id="227" w:name="_Toc184312108"/>
      <w:bookmarkEnd w:id="227"/>
      <w:bookmarkStart w:id="228" w:name="_Toc184308082"/>
      <w:bookmarkEnd w:id="228"/>
      <w:bookmarkStart w:id="229" w:name="_Toc184314413"/>
      <w:bookmarkEnd w:id="229"/>
      <w:bookmarkStart w:id="230" w:name="_Toc184310315"/>
      <w:bookmarkEnd w:id="230"/>
      <w:bookmarkStart w:id="231" w:name="_Toc184314463"/>
      <w:bookmarkEnd w:id="231"/>
      <w:bookmarkStart w:id="232" w:name="_Toc184308075"/>
      <w:bookmarkEnd w:id="232"/>
      <w:bookmarkStart w:id="233" w:name="_Toc184312136"/>
      <w:bookmarkEnd w:id="233"/>
      <w:bookmarkStart w:id="234" w:name="_Toc184313296"/>
      <w:bookmarkEnd w:id="234"/>
      <w:bookmarkStart w:id="235" w:name="_Toc184314475"/>
      <w:bookmarkEnd w:id="235"/>
      <w:bookmarkStart w:id="236" w:name="_Toc184313274"/>
      <w:bookmarkEnd w:id="236"/>
      <w:bookmarkStart w:id="237" w:name="_Toc184313284"/>
      <w:bookmarkEnd w:id="237"/>
      <w:bookmarkStart w:id="238" w:name="_Toc184314425"/>
      <w:bookmarkEnd w:id="238"/>
      <w:bookmarkStart w:id="239" w:name="_Toc184308045"/>
      <w:bookmarkEnd w:id="239"/>
      <w:bookmarkStart w:id="240" w:name="_Toc184308047"/>
      <w:bookmarkEnd w:id="240"/>
      <w:bookmarkStart w:id="241" w:name="_Toc184312098"/>
      <w:bookmarkEnd w:id="241"/>
      <w:bookmarkStart w:id="242" w:name="_Toc184312114"/>
      <w:bookmarkEnd w:id="242"/>
      <w:bookmarkStart w:id="243" w:name="_Toc184312070"/>
      <w:bookmarkEnd w:id="243"/>
      <w:bookmarkStart w:id="244" w:name="_Toc184310273"/>
      <w:bookmarkEnd w:id="244"/>
      <w:bookmarkStart w:id="245" w:name="_Toc184312132"/>
      <w:bookmarkEnd w:id="245"/>
      <w:bookmarkStart w:id="246" w:name="_Toc184312083"/>
      <w:bookmarkEnd w:id="246"/>
      <w:bookmarkStart w:id="247" w:name="_Toc184313269"/>
      <w:bookmarkEnd w:id="247"/>
      <w:bookmarkStart w:id="248" w:name="_Toc184310338"/>
      <w:bookmarkEnd w:id="248"/>
      <w:bookmarkStart w:id="249" w:name="_Toc184313303"/>
      <w:bookmarkEnd w:id="249"/>
      <w:bookmarkStart w:id="250" w:name="_Toc184313280"/>
      <w:bookmarkEnd w:id="250"/>
      <w:bookmarkStart w:id="251" w:name="_Toc184312131"/>
      <w:bookmarkEnd w:id="251"/>
      <w:bookmarkStart w:id="252" w:name="_Toc184313256"/>
      <w:bookmarkEnd w:id="252"/>
      <w:bookmarkStart w:id="253" w:name="_Toc184310329"/>
      <w:bookmarkEnd w:id="253"/>
      <w:bookmarkStart w:id="254" w:name="_Toc184314410"/>
      <w:bookmarkEnd w:id="254"/>
      <w:bookmarkStart w:id="255" w:name="_Toc184310303"/>
      <w:bookmarkEnd w:id="255"/>
      <w:bookmarkStart w:id="256" w:name="_Toc184310339"/>
      <w:bookmarkEnd w:id="256"/>
      <w:bookmarkStart w:id="257" w:name="_Toc184313310"/>
      <w:bookmarkEnd w:id="257"/>
      <w:bookmarkStart w:id="258" w:name="_Toc184313245"/>
      <w:bookmarkEnd w:id="258"/>
      <w:bookmarkStart w:id="259" w:name="_Toc184314467"/>
      <w:bookmarkEnd w:id="259"/>
      <w:bookmarkStart w:id="260" w:name="_Toc184310305"/>
      <w:bookmarkEnd w:id="260"/>
      <w:bookmarkStart w:id="261" w:name="_Toc184312120"/>
      <w:bookmarkEnd w:id="261"/>
      <w:bookmarkStart w:id="262" w:name="_Toc184312107"/>
      <w:bookmarkEnd w:id="262"/>
      <w:bookmarkStart w:id="263" w:name="_Toc184312125"/>
      <w:bookmarkEnd w:id="263"/>
      <w:bookmarkStart w:id="264" w:name="_Toc184314476"/>
      <w:bookmarkEnd w:id="264"/>
      <w:bookmarkStart w:id="265" w:name="_Toc184314478"/>
      <w:bookmarkEnd w:id="265"/>
      <w:bookmarkStart w:id="266" w:name="_Toc184314481"/>
      <w:bookmarkEnd w:id="266"/>
      <w:bookmarkStart w:id="267" w:name="_Toc184314454"/>
      <w:bookmarkEnd w:id="267"/>
      <w:bookmarkStart w:id="268" w:name="_Toc184308107"/>
      <w:bookmarkEnd w:id="268"/>
      <w:bookmarkStart w:id="269" w:name="_Toc184314448"/>
      <w:bookmarkEnd w:id="269"/>
      <w:bookmarkStart w:id="270" w:name="_Toc184313295"/>
      <w:bookmarkEnd w:id="270"/>
      <w:bookmarkStart w:id="271" w:name="_Toc184314415"/>
      <w:bookmarkEnd w:id="271"/>
      <w:bookmarkStart w:id="272" w:name="_Toc184314457"/>
      <w:bookmarkEnd w:id="272"/>
      <w:bookmarkStart w:id="273" w:name="_Toc184313306"/>
      <w:bookmarkEnd w:id="273"/>
      <w:bookmarkStart w:id="274" w:name="_Toc184314480"/>
      <w:bookmarkEnd w:id="274"/>
      <w:bookmarkStart w:id="275" w:name="_Toc184310341"/>
      <w:bookmarkEnd w:id="275"/>
      <w:bookmarkStart w:id="276" w:name="_Toc184314430"/>
      <w:bookmarkEnd w:id="276"/>
      <w:bookmarkStart w:id="277" w:name="_Toc184308065"/>
      <w:bookmarkEnd w:id="277"/>
      <w:bookmarkStart w:id="278" w:name="_Toc184312071"/>
      <w:bookmarkEnd w:id="278"/>
      <w:bookmarkStart w:id="279" w:name="_Toc184312135"/>
      <w:bookmarkEnd w:id="279"/>
      <w:bookmarkStart w:id="280" w:name="_Toc184314449"/>
      <w:bookmarkEnd w:id="280"/>
      <w:bookmarkStart w:id="281" w:name="_Toc184313289"/>
      <w:bookmarkEnd w:id="281"/>
      <w:bookmarkStart w:id="282" w:name="_Toc184313279"/>
      <w:bookmarkEnd w:id="282"/>
      <w:bookmarkStart w:id="283" w:name="_Toc184310317"/>
      <w:bookmarkEnd w:id="283"/>
      <w:bookmarkStart w:id="284" w:name="_Toc184314426"/>
      <w:bookmarkEnd w:id="284"/>
      <w:bookmarkStart w:id="285" w:name="_Toc184310276"/>
      <w:bookmarkEnd w:id="285"/>
      <w:bookmarkStart w:id="286" w:name="_Toc184310326"/>
      <w:bookmarkEnd w:id="286"/>
      <w:bookmarkStart w:id="287" w:name="_Toc184308050"/>
      <w:bookmarkEnd w:id="287"/>
      <w:bookmarkStart w:id="288" w:name="_Toc184308043"/>
      <w:bookmarkEnd w:id="288"/>
      <w:bookmarkStart w:id="289" w:name="_Toc184313291"/>
      <w:bookmarkEnd w:id="289"/>
      <w:bookmarkStart w:id="290" w:name="_Toc184310289"/>
      <w:bookmarkEnd w:id="290"/>
      <w:bookmarkStart w:id="291" w:name="_Toc184312126"/>
      <w:bookmarkEnd w:id="291"/>
      <w:bookmarkStart w:id="292" w:name="_Toc184308053"/>
      <w:bookmarkEnd w:id="292"/>
      <w:bookmarkStart w:id="293" w:name="_Toc184313253"/>
      <w:bookmarkEnd w:id="293"/>
      <w:bookmarkStart w:id="294" w:name="_Toc184312086"/>
      <w:bookmarkEnd w:id="294"/>
      <w:bookmarkStart w:id="295" w:name="_Toc184312090"/>
      <w:bookmarkEnd w:id="295"/>
      <w:bookmarkStart w:id="296" w:name="_Toc184312110"/>
      <w:bookmarkEnd w:id="296"/>
      <w:bookmarkStart w:id="297" w:name="_Toc184308079"/>
      <w:bookmarkEnd w:id="297"/>
      <w:bookmarkStart w:id="298" w:name="_Toc184312101"/>
      <w:bookmarkEnd w:id="298"/>
      <w:bookmarkStart w:id="299" w:name="_Toc184313290"/>
      <w:bookmarkEnd w:id="299"/>
      <w:bookmarkStart w:id="300" w:name="_Toc184314422"/>
      <w:bookmarkEnd w:id="300"/>
      <w:bookmarkStart w:id="301" w:name="_Toc184308080"/>
      <w:bookmarkEnd w:id="301"/>
      <w:bookmarkStart w:id="302" w:name="_Toc184310312"/>
      <w:bookmarkEnd w:id="302"/>
      <w:bookmarkStart w:id="303" w:name="_Toc184312099"/>
      <w:bookmarkEnd w:id="303"/>
      <w:bookmarkStart w:id="304" w:name="_Toc184308098"/>
      <w:bookmarkEnd w:id="304"/>
      <w:bookmarkStart w:id="305" w:name="_Toc184313268"/>
      <w:bookmarkEnd w:id="305"/>
      <w:bookmarkStart w:id="306" w:name="_Toc184312078"/>
      <w:bookmarkEnd w:id="306"/>
      <w:bookmarkStart w:id="307" w:name="_Toc184308037"/>
      <w:bookmarkEnd w:id="307"/>
      <w:bookmarkStart w:id="308" w:name="_Toc184312124"/>
      <w:bookmarkEnd w:id="308"/>
      <w:bookmarkStart w:id="309" w:name="_Toc184313263"/>
      <w:bookmarkEnd w:id="309"/>
      <w:bookmarkStart w:id="310" w:name="_Toc184308051"/>
      <w:bookmarkEnd w:id="310"/>
      <w:bookmarkStart w:id="311" w:name="_Toc184313267"/>
      <w:bookmarkEnd w:id="311"/>
      <w:bookmarkStart w:id="312" w:name="_Toc184308104"/>
      <w:bookmarkEnd w:id="312"/>
      <w:bookmarkStart w:id="313" w:name="_Toc184308085"/>
      <w:bookmarkEnd w:id="313"/>
      <w:bookmarkStart w:id="314" w:name="_Toc184310302"/>
      <w:bookmarkEnd w:id="314"/>
      <w:bookmarkStart w:id="315" w:name="_Toc184313271"/>
      <w:bookmarkEnd w:id="315"/>
      <w:bookmarkStart w:id="316" w:name="_Toc184312122"/>
      <w:bookmarkEnd w:id="316"/>
      <w:bookmarkStart w:id="317" w:name="_Toc184312113"/>
      <w:bookmarkEnd w:id="317"/>
      <w:bookmarkStart w:id="318" w:name="_Toc184314465"/>
      <w:bookmarkEnd w:id="318"/>
      <w:bookmarkStart w:id="319" w:name="_Toc184313247"/>
      <w:bookmarkEnd w:id="319"/>
      <w:bookmarkStart w:id="320" w:name="_Toc184314420"/>
      <w:bookmarkEnd w:id="320"/>
      <w:bookmarkStart w:id="321" w:name="_Toc184310333"/>
      <w:bookmarkEnd w:id="321"/>
      <w:bookmarkStart w:id="322" w:name="_Toc184308100"/>
      <w:bookmarkEnd w:id="322"/>
      <w:bookmarkStart w:id="323" w:name="_Toc184312129"/>
      <w:bookmarkEnd w:id="323"/>
      <w:bookmarkStart w:id="324" w:name="_Toc184308042"/>
      <w:bookmarkEnd w:id="324"/>
      <w:bookmarkStart w:id="325" w:name="_Toc184310293"/>
      <w:bookmarkEnd w:id="325"/>
      <w:bookmarkStart w:id="326" w:name="_Toc184313255"/>
      <w:bookmarkEnd w:id="326"/>
      <w:bookmarkStart w:id="327" w:name="_Toc184308068"/>
      <w:bookmarkEnd w:id="327"/>
      <w:bookmarkStart w:id="328" w:name="_Toc184313282"/>
      <w:bookmarkEnd w:id="328"/>
      <w:bookmarkStart w:id="329" w:name="_Toc184308103"/>
      <w:bookmarkEnd w:id="329"/>
      <w:bookmarkStart w:id="330" w:name="_Toc184308036"/>
      <w:bookmarkEnd w:id="330"/>
      <w:bookmarkStart w:id="331" w:name="_Toc184312095"/>
      <w:bookmarkEnd w:id="331"/>
      <w:bookmarkStart w:id="332" w:name="_Toc184314458"/>
      <w:bookmarkEnd w:id="332"/>
      <w:bookmarkStart w:id="333" w:name="_Toc184312080"/>
      <w:bookmarkEnd w:id="333"/>
      <w:bookmarkStart w:id="334" w:name="_Toc184310321"/>
      <w:bookmarkEnd w:id="334"/>
      <w:bookmarkStart w:id="335" w:name="_Toc184312104"/>
      <w:bookmarkEnd w:id="335"/>
      <w:bookmarkStart w:id="336" w:name="_Toc184308056"/>
      <w:bookmarkEnd w:id="336"/>
      <w:bookmarkStart w:id="337" w:name="_Toc184313248"/>
      <w:bookmarkEnd w:id="337"/>
      <w:bookmarkStart w:id="338" w:name="_Toc184310316"/>
      <w:bookmarkEnd w:id="338"/>
      <w:bookmarkStart w:id="339" w:name="_Toc184312133"/>
      <w:bookmarkEnd w:id="339"/>
      <w:bookmarkStart w:id="340" w:name="_Toc184314416"/>
      <w:bookmarkEnd w:id="340"/>
      <w:bookmarkStart w:id="341" w:name="_Toc184313258"/>
      <w:bookmarkEnd w:id="341"/>
      <w:bookmarkStart w:id="342" w:name="_Toc184313243"/>
      <w:bookmarkEnd w:id="342"/>
      <w:bookmarkStart w:id="343" w:name="_Toc184310324"/>
      <w:bookmarkEnd w:id="343"/>
      <w:bookmarkStart w:id="344" w:name="_Toc184313273"/>
      <w:bookmarkEnd w:id="344"/>
      <w:bookmarkStart w:id="345" w:name="_Toc184313278"/>
      <w:bookmarkEnd w:id="345"/>
      <w:bookmarkStart w:id="346" w:name="_Toc184312106"/>
      <w:bookmarkEnd w:id="346"/>
      <w:bookmarkStart w:id="347" w:name="_Toc184310275"/>
      <w:bookmarkEnd w:id="347"/>
      <w:bookmarkStart w:id="348" w:name="_Toc184308059"/>
      <w:bookmarkEnd w:id="348"/>
      <w:bookmarkStart w:id="349" w:name="_Toc184312096"/>
      <w:bookmarkEnd w:id="349"/>
      <w:bookmarkStart w:id="350" w:name="_Toc184310328"/>
      <w:bookmarkEnd w:id="350"/>
      <w:bookmarkStart w:id="351" w:name="_Toc184310272"/>
      <w:bookmarkEnd w:id="351"/>
      <w:bookmarkStart w:id="352" w:name="_Toc184308052"/>
      <w:bookmarkEnd w:id="352"/>
      <w:bookmarkStart w:id="353" w:name="_Toc184308077"/>
      <w:bookmarkEnd w:id="353"/>
      <w:bookmarkStart w:id="354" w:name="_Toc184308073"/>
      <w:bookmarkEnd w:id="354"/>
      <w:bookmarkStart w:id="355" w:name="_Toc184308076"/>
      <w:bookmarkEnd w:id="355"/>
      <w:bookmarkStart w:id="356" w:name="_Toc184312137"/>
      <w:bookmarkEnd w:id="356"/>
      <w:bookmarkStart w:id="357" w:name="_Toc184312085"/>
      <w:bookmarkEnd w:id="357"/>
      <w:bookmarkStart w:id="358" w:name="_Toc184314462"/>
      <w:bookmarkEnd w:id="358"/>
      <w:bookmarkStart w:id="359" w:name="_Toc184308049"/>
      <w:bookmarkEnd w:id="359"/>
      <w:bookmarkStart w:id="360" w:name="_Toc184308044"/>
      <w:bookmarkEnd w:id="360"/>
      <w:bookmarkStart w:id="361" w:name="_Toc184308041"/>
      <w:bookmarkEnd w:id="361"/>
      <w:bookmarkStart w:id="362" w:name="_Toc184312134"/>
      <w:bookmarkEnd w:id="362"/>
      <w:bookmarkStart w:id="363" w:name="_Toc184313260"/>
      <w:bookmarkEnd w:id="363"/>
      <w:bookmarkStart w:id="364" w:name="_Toc184314419"/>
      <w:bookmarkEnd w:id="364"/>
      <w:bookmarkStart w:id="365" w:name="_Toc184308097"/>
      <w:bookmarkEnd w:id="365"/>
      <w:bookmarkStart w:id="366" w:name="_Toc184308090"/>
      <w:bookmarkEnd w:id="366"/>
      <w:bookmarkStart w:id="367" w:name="_Toc184310336"/>
      <w:bookmarkEnd w:id="367"/>
      <w:bookmarkStart w:id="368" w:name="_Toc184310290"/>
      <w:bookmarkEnd w:id="368"/>
      <w:bookmarkStart w:id="369" w:name="_Toc184308099"/>
      <w:bookmarkEnd w:id="369"/>
      <w:bookmarkStart w:id="370" w:name="_Toc184312087"/>
      <w:bookmarkEnd w:id="370"/>
      <w:bookmarkStart w:id="371" w:name="_Toc184310277"/>
      <w:bookmarkEnd w:id="371"/>
      <w:bookmarkStart w:id="372" w:name="_Toc184310309"/>
      <w:bookmarkEnd w:id="372"/>
      <w:bookmarkStart w:id="373" w:name="_Toc184312128"/>
      <w:bookmarkEnd w:id="373"/>
      <w:bookmarkStart w:id="374" w:name="_Toc184310334"/>
      <w:bookmarkEnd w:id="374"/>
      <w:bookmarkStart w:id="375" w:name="_Toc184308067"/>
      <w:bookmarkEnd w:id="375"/>
      <w:bookmarkStart w:id="376" w:name="_Toc184313309"/>
      <w:bookmarkEnd w:id="376"/>
      <w:bookmarkStart w:id="377" w:name="_Toc184308066"/>
      <w:bookmarkEnd w:id="377"/>
      <w:bookmarkStart w:id="378" w:name="_Toc184308046"/>
      <w:bookmarkEnd w:id="378"/>
      <w:bookmarkStart w:id="379" w:name="_Toc184312121"/>
      <w:bookmarkEnd w:id="379"/>
      <w:bookmarkStart w:id="380" w:name="_Toc184308072"/>
      <w:bookmarkEnd w:id="380"/>
      <w:bookmarkStart w:id="381" w:name="_Toc184313297"/>
      <w:bookmarkEnd w:id="381"/>
      <w:bookmarkStart w:id="382" w:name="_Toc184312097"/>
      <w:bookmarkEnd w:id="382"/>
      <w:bookmarkStart w:id="383" w:name="_Toc184314474"/>
      <w:bookmarkEnd w:id="383"/>
      <w:bookmarkStart w:id="384" w:name="_Toc184308070"/>
      <w:bookmarkEnd w:id="384"/>
      <w:bookmarkStart w:id="385" w:name="_Toc184310297"/>
      <w:bookmarkEnd w:id="385"/>
      <w:bookmarkStart w:id="386" w:name="_Toc184313283"/>
      <w:bookmarkEnd w:id="386"/>
      <w:bookmarkStart w:id="387" w:name="_Toc184314471"/>
      <w:bookmarkEnd w:id="387"/>
      <w:bookmarkStart w:id="388" w:name="_Toc184308083"/>
      <w:bookmarkEnd w:id="388"/>
      <w:bookmarkStart w:id="389" w:name="_Toc184310311"/>
      <w:bookmarkEnd w:id="389"/>
      <w:bookmarkStart w:id="390" w:name="_Toc184313252"/>
      <w:bookmarkEnd w:id="390"/>
      <w:bookmarkStart w:id="391" w:name="_Toc184308088"/>
      <w:bookmarkEnd w:id="391"/>
      <w:bookmarkStart w:id="392" w:name="_Toc184314468"/>
      <w:bookmarkEnd w:id="392"/>
      <w:bookmarkStart w:id="393" w:name="_Toc184314433"/>
      <w:bookmarkEnd w:id="393"/>
      <w:bookmarkStart w:id="394" w:name="_Toc184314470"/>
      <w:bookmarkEnd w:id="394"/>
      <w:bookmarkStart w:id="395" w:name="_Toc184314456"/>
      <w:bookmarkEnd w:id="395"/>
      <w:bookmarkStart w:id="396" w:name="_Toc184314411"/>
      <w:bookmarkEnd w:id="396"/>
      <w:bookmarkStart w:id="397" w:name="_Toc184310296"/>
      <w:bookmarkEnd w:id="397"/>
      <w:bookmarkStart w:id="398" w:name="_Toc184314445"/>
      <w:bookmarkEnd w:id="398"/>
      <w:bookmarkStart w:id="399" w:name="_Toc184313265"/>
      <w:bookmarkEnd w:id="399"/>
      <w:r>
        <w:rPr>
          <w:rFonts w:hint="eastAsia" w:ascii="宋体" w:hAnsi="宋体" w:cs="宋体"/>
          <w:b/>
          <w:color w:val="auto"/>
          <w:sz w:val="36"/>
          <w:szCs w:val="36"/>
        </w:rPr>
        <w:t>评标办法</w:t>
      </w:r>
    </w:p>
    <w:p w14:paraId="79DFB429">
      <w:pPr>
        <w:snapToGrid w:val="0"/>
        <w:spacing w:line="360" w:lineRule="auto"/>
        <w:jc w:val="center"/>
        <w:rPr>
          <w:rFonts w:ascii="宋体" w:hAnsi="宋体" w:cs="宋体"/>
          <w:b/>
          <w:color w:val="auto"/>
          <w:sz w:val="32"/>
          <w:szCs w:val="20"/>
        </w:rPr>
      </w:pPr>
      <w:r>
        <w:rPr>
          <w:rFonts w:hint="eastAsia" w:ascii="宋体" w:hAnsi="宋体" w:cs="宋体"/>
          <w:b/>
          <w:color w:val="auto"/>
          <w:sz w:val="32"/>
          <w:szCs w:val="20"/>
        </w:rPr>
        <w:t>评标办法前附表</w:t>
      </w:r>
    </w:p>
    <w:tbl>
      <w:tblPr>
        <w:tblStyle w:val="63"/>
        <w:tblW w:w="498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4"/>
        <w:gridCol w:w="8787"/>
        <w:gridCol w:w="1232"/>
        <w:gridCol w:w="1365"/>
        <w:gridCol w:w="2021"/>
      </w:tblGrid>
      <w:tr w14:paraId="11866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6" w:hRule="atLeast"/>
          <w:jc w:val="center"/>
        </w:trPr>
        <w:tc>
          <w:tcPr>
            <w:tcW w:w="256" w:type="pct"/>
            <w:vAlign w:val="center"/>
          </w:tcPr>
          <w:p w14:paraId="3E7981AA">
            <w:pPr>
              <w:snapToGrid/>
              <w:spacing w:line="240" w:lineRule="auto"/>
              <w:jc w:val="center"/>
              <w:rPr>
                <w:rFonts w:hint="eastAsia" w:ascii="宋体" w:hAnsi="宋体" w:eastAsia="宋体" w:cs="宋体"/>
                <w:color w:val="auto"/>
                <w:kern w:val="13"/>
                <w:sz w:val="24"/>
              </w:rPr>
            </w:pPr>
            <w:r>
              <w:rPr>
                <w:rFonts w:hint="eastAsia" w:ascii="宋体" w:hAnsi="宋体" w:eastAsia="宋体" w:cs="宋体"/>
                <w:color w:val="auto"/>
                <w:kern w:val="13"/>
                <w:sz w:val="24"/>
              </w:rPr>
              <w:t>序号</w:t>
            </w:r>
          </w:p>
        </w:tc>
        <w:tc>
          <w:tcPr>
            <w:tcW w:w="3109" w:type="pct"/>
            <w:vAlign w:val="center"/>
          </w:tcPr>
          <w:p w14:paraId="56701AF1">
            <w:pPr>
              <w:snapToGrid/>
              <w:spacing w:line="240" w:lineRule="auto"/>
              <w:jc w:val="center"/>
              <w:rPr>
                <w:rFonts w:hint="eastAsia" w:ascii="宋体" w:hAnsi="宋体" w:eastAsia="宋体" w:cs="宋体"/>
                <w:color w:val="auto"/>
                <w:kern w:val="13"/>
                <w:sz w:val="24"/>
              </w:rPr>
            </w:pPr>
            <w:r>
              <w:rPr>
                <w:rFonts w:hint="eastAsia" w:ascii="宋体" w:hAnsi="宋体" w:eastAsia="宋体" w:cs="宋体"/>
                <w:color w:val="auto"/>
                <w:kern w:val="13"/>
                <w:sz w:val="24"/>
              </w:rPr>
              <w:t>评标标准</w:t>
            </w:r>
          </w:p>
        </w:tc>
        <w:tc>
          <w:tcPr>
            <w:tcW w:w="436" w:type="pct"/>
            <w:vAlign w:val="center"/>
          </w:tcPr>
          <w:p w14:paraId="25C674A2">
            <w:pPr>
              <w:snapToGrid/>
              <w:spacing w:line="240" w:lineRule="auto"/>
              <w:jc w:val="center"/>
              <w:rPr>
                <w:rFonts w:hint="eastAsia" w:ascii="宋体" w:hAnsi="宋体" w:eastAsia="宋体" w:cs="宋体"/>
                <w:color w:val="auto"/>
                <w:kern w:val="13"/>
                <w:sz w:val="24"/>
              </w:rPr>
            </w:pPr>
            <w:r>
              <w:rPr>
                <w:rFonts w:hint="eastAsia" w:ascii="宋体" w:hAnsi="宋体" w:eastAsia="宋体" w:cs="宋体"/>
                <w:color w:val="auto"/>
                <w:kern w:val="13"/>
                <w:sz w:val="24"/>
              </w:rPr>
              <w:t>最高分值</w:t>
            </w:r>
          </w:p>
        </w:tc>
        <w:tc>
          <w:tcPr>
            <w:tcW w:w="483" w:type="pct"/>
            <w:vAlign w:val="center"/>
          </w:tcPr>
          <w:p w14:paraId="49751F9A">
            <w:pPr>
              <w:snapToGrid/>
              <w:spacing w:line="240" w:lineRule="auto"/>
              <w:jc w:val="center"/>
              <w:rPr>
                <w:rFonts w:hint="eastAsia" w:ascii="宋体" w:hAnsi="宋体" w:eastAsia="宋体" w:cs="宋体"/>
                <w:bCs w:val="0"/>
                <w:color w:val="auto"/>
                <w:kern w:val="13"/>
                <w:sz w:val="24"/>
              </w:rPr>
            </w:pPr>
            <w:r>
              <w:rPr>
                <w:rFonts w:hint="eastAsia" w:ascii="宋体" w:hAnsi="宋体" w:eastAsia="宋体" w:cs="宋体"/>
                <w:bCs w:val="0"/>
                <w:color w:val="auto"/>
                <w:kern w:val="13"/>
                <w:sz w:val="24"/>
              </w:rPr>
              <w:t>主观分/客观分属性</w:t>
            </w:r>
          </w:p>
        </w:tc>
        <w:tc>
          <w:tcPr>
            <w:tcW w:w="715" w:type="pct"/>
          </w:tcPr>
          <w:p w14:paraId="2D4A2BFE">
            <w:pPr>
              <w:snapToGrid/>
              <w:spacing w:line="240" w:lineRule="auto"/>
              <w:jc w:val="center"/>
              <w:rPr>
                <w:rFonts w:hint="eastAsia" w:ascii="宋体" w:hAnsi="宋体" w:eastAsia="宋体" w:cs="宋体"/>
                <w:color w:val="auto"/>
                <w:kern w:val="13"/>
                <w:sz w:val="24"/>
              </w:rPr>
            </w:pPr>
            <w:r>
              <w:rPr>
                <w:rFonts w:hint="eastAsia" w:ascii="宋体" w:hAnsi="宋体" w:eastAsia="宋体" w:cs="宋体"/>
                <w:bCs w:val="0"/>
                <w:color w:val="auto"/>
                <w:kern w:val="13"/>
                <w:sz w:val="24"/>
              </w:rPr>
              <w:t>投标文件中评标标准相应的商务技术资料目录*</w:t>
            </w:r>
          </w:p>
        </w:tc>
      </w:tr>
      <w:tr w14:paraId="09A21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1" w:hRule="atLeast"/>
          <w:jc w:val="center"/>
        </w:trPr>
        <w:tc>
          <w:tcPr>
            <w:tcW w:w="256" w:type="pct"/>
            <w:vAlign w:val="center"/>
          </w:tcPr>
          <w:p w14:paraId="6C75C6AF">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1</w:t>
            </w:r>
          </w:p>
        </w:tc>
        <w:tc>
          <w:tcPr>
            <w:tcW w:w="3109" w:type="pct"/>
            <w:vAlign w:val="top"/>
          </w:tcPr>
          <w:p w14:paraId="36CEB257">
            <w:pPr>
              <w:jc w:val="left"/>
              <w:rPr>
                <w:rFonts w:hint="eastAsia" w:ascii="宋体" w:hAnsi="宋体" w:eastAsia="宋体" w:cs="宋体"/>
                <w:b w:val="0"/>
                <w:bCs w:val="0"/>
                <w:color w:val="auto"/>
                <w:kern w:val="16"/>
                <w:sz w:val="24"/>
                <w:szCs w:val="24"/>
                <w:highlight w:val="none"/>
              </w:rPr>
            </w:pPr>
            <w:r>
              <w:rPr>
                <w:rFonts w:hint="eastAsia" w:ascii="宋体" w:hAnsi="宋体" w:eastAsia="宋体" w:cs="宋体"/>
                <w:b w:val="0"/>
                <w:bCs w:val="0"/>
                <w:color w:val="auto"/>
                <w:kern w:val="16"/>
                <w:sz w:val="24"/>
                <w:szCs w:val="24"/>
                <w:highlight w:val="none"/>
              </w:rPr>
              <w:t>样品清单为：</w:t>
            </w:r>
            <w:r>
              <w:rPr>
                <w:rFonts w:hint="eastAsia" w:ascii="宋体" w:hAnsi="宋体" w:cs="宋体"/>
                <w:b w:val="0"/>
                <w:bCs w:val="0"/>
                <w:color w:val="auto"/>
                <w:kern w:val="16"/>
                <w:sz w:val="24"/>
                <w:szCs w:val="24"/>
                <w:highlight w:val="none"/>
                <w:lang w:val="en-US" w:eastAsia="zh-CN"/>
              </w:rPr>
              <w:t>（1）</w:t>
            </w:r>
            <w:r>
              <w:rPr>
                <w:rFonts w:hint="eastAsia" w:ascii="宋体" w:hAnsi="宋体" w:cs="宋体"/>
                <w:b w:val="0"/>
                <w:bCs w:val="0"/>
                <w:color w:val="auto"/>
                <w:sz w:val="24"/>
                <w:highlight w:val="none"/>
                <w:u w:val="single"/>
                <w:lang w:val="en-US" w:eastAsia="zh-CN"/>
              </w:rPr>
              <w:t>起重机</w:t>
            </w:r>
            <w:r>
              <w:rPr>
                <w:rFonts w:hint="eastAsia" w:ascii="宋体" w:hAnsi="宋体" w:cs="宋体"/>
                <w:b w:val="0"/>
                <w:bCs w:val="0"/>
                <w:color w:val="auto"/>
                <w:kern w:val="16"/>
                <w:sz w:val="24"/>
                <w:szCs w:val="24"/>
                <w:highlight w:val="none"/>
                <w:lang w:val="en-US" w:eastAsia="zh-CN"/>
              </w:rPr>
              <w:t>（2）</w:t>
            </w:r>
            <w:r>
              <w:rPr>
                <w:rFonts w:hint="eastAsia" w:ascii="宋体" w:hAnsi="宋体" w:eastAsia="宋体" w:cs="宋体"/>
                <w:i w:val="0"/>
                <w:iCs w:val="0"/>
                <w:color w:val="auto"/>
                <w:kern w:val="0"/>
                <w:sz w:val="24"/>
                <w:szCs w:val="24"/>
                <w:highlight w:val="none"/>
                <w:u w:val="none"/>
                <w:lang w:val="en-US" w:eastAsia="zh-CN" w:bidi="ar"/>
              </w:rPr>
              <w:t>木制扮演交通车</w:t>
            </w:r>
            <w:r>
              <w:rPr>
                <w:rFonts w:hint="eastAsia" w:ascii="宋体" w:hAnsi="宋体" w:cs="宋体"/>
                <w:i w:val="0"/>
                <w:iCs w:val="0"/>
                <w:color w:val="auto"/>
                <w:kern w:val="0"/>
                <w:sz w:val="24"/>
                <w:szCs w:val="24"/>
                <w:highlight w:val="none"/>
                <w:u w:val="none"/>
                <w:lang w:val="en-US" w:eastAsia="zh-CN" w:bidi="ar"/>
              </w:rPr>
              <w:t>（3）</w:t>
            </w:r>
            <w:r>
              <w:rPr>
                <w:rFonts w:hint="eastAsia" w:ascii="宋体" w:hAnsi="宋体" w:eastAsia="宋体" w:cs="宋体"/>
                <w:i w:val="0"/>
                <w:iCs w:val="0"/>
                <w:color w:val="auto"/>
                <w:kern w:val="0"/>
                <w:sz w:val="24"/>
                <w:szCs w:val="24"/>
                <w:highlight w:val="none"/>
                <w:u w:val="none"/>
                <w:lang w:val="en-US" w:eastAsia="zh-CN" w:bidi="ar"/>
              </w:rPr>
              <w:t>行星投影仪</w:t>
            </w:r>
            <w:r>
              <w:rPr>
                <w:rFonts w:hint="eastAsia" w:ascii="宋体" w:hAnsi="宋体" w:cs="宋体"/>
                <w:b w:val="0"/>
                <w:bCs w:val="0"/>
                <w:color w:val="auto"/>
                <w:kern w:val="16"/>
                <w:sz w:val="24"/>
                <w:szCs w:val="24"/>
                <w:highlight w:val="none"/>
                <w:lang w:val="en-US" w:eastAsia="zh-CN"/>
              </w:rPr>
              <w:t xml:space="preserve"> </w:t>
            </w:r>
            <w:r>
              <w:rPr>
                <w:rFonts w:hint="eastAsia" w:ascii="宋体" w:hAnsi="宋体" w:eastAsia="宋体" w:cs="宋体"/>
                <w:b w:val="0"/>
                <w:bCs w:val="0"/>
                <w:color w:val="auto"/>
                <w:kern w:val="16"/>
                <w:sz w:val="24"/>
                <w:szCs w:val="24"/>
                <w:highlight w:val="none"/>
              </w:rPr>
              <w:t>。</w:t>
            </w:r>
          </w:p>
          <w:p w14:paraId="54AFB6B3">
            <w:pPr>
              <w:jc w:val="left"/>
              <w:rPr>
                <w:rFonts w:hint="eastAsia" w:ascii="宋体" w:hAnsi="宋体" w:eastAsia="宋体" w:cs="宋体"/>
                <w:color w:val="auto"/>
                <w:kern w:val="16"/>
                <w:sz w:val="24"/>
                <w:szCs w:val="24"/>
                <w:highlight w:val="none"/>
              </w:rPr>
            </w:pPr>
            <w:r>
              <w:rPr>
                <w:rFonts w:hint="eastAsia" w:ascii="宋体" w:hAnsi="宋体" w:eastAsia="宋体" w:cs="宋体"/>
                <w:color w:val="auto"/>
                <w:kern w:val="16"/>
                <w:sz w:val="24"/>
                <w:szCs w:val="24"/>
                <w:highlight w:val="none"/>
              </w:rPr>
              <w:t>根据供应商所提供样品的产品质量性能、功能、外观结构、材料档次、做工水平、安全性、耐用性、功能是否先进等方面按招标文件技术参数要求进行的打分。</w:t>
            </w:r>
          </w:p>
          <w:p w14:paraId="39A771B9">
            <w:pPr>
              <w:jc w:val="left"/>
              <w:rPr>
                <w:rFonts w:hint="eastAsia" w:ascii="宋体" w:hAnsi="宋体" w:eastAsia="宋体" w:cs="宋体"/>
                <w:color w:val="auto"/>
                <w:kern w:val="16"/>
                <w:sz w:val="24"/>
                <w:szCs w:val="24"/>
                <w:highlight w:val="none"/>
              </w:rPr>
            </w:pPr>
            <w:r>
              <w:rPr>
                <w:rFonts w:hint="eastAsia" w:ascii="宋体" w:hAnsi="宋体" w:eastAsia="宋体" w:cs="宋体"/>
                <w:color w:val="auto"/>
                <w:kern w:val="16"/>
                <w:sz w:val="24"/>
                <w:szCs w:val="24"/>
                <w:highlight w:val="none"/>
              </w:rPr>
              <w:t>产品质量性能较先进、功能较为先进满足使用要求、做工较精良、安全耐用性较强得5分</w:t>
            </w:r>
          </w:p>
          <w:p w14:paraId="2288DE2C">
            <w:pPr>
              <w:jc w:val="left"/>
              <w:rPr>
                <w:rFonts w:hint="eastAsia" w:ascii="宋体" w:hAnsi="宋体" w:eastAsia="宋体" w:cs="宋体"/>
                <w:color w:val="auto"/>
                <w:kern w:val="16"/>
                <w:sz w:val="24"/>
                <w:szCs w:val="24"/>
                <w:highlight w:val="none"/>
              </w:rPr>
            </w:pPr>
            <w:r>
              <w:rPr>
                <w:rFonts w:hint="eastAsia" w:ascii="宋体" w:hAnsi="宋体" w:eastAsia="宋体" w:cs="宋体"/>
                <w:color w:val="auto"/>
                <w:kern w:val="16"/>
                <w:sz w:val="24"/>
                <w:szCs w:val="24"/>
                <w:highlight w:val="none"/>
              </w:rPr>
              <w:t>产品质量性能先进、功能齐全满足使用要求、做工精良、安全耐用性强得3分</w:t>
            </w:r>
          </w:p>
          <w:p w14:paraId="30BB193A">
            <w:pPr>
              <w:jc w:val="left"/>
              <w:rPr>
                <w:rFonts w:hint="eastAsia" w:ascii="宋体" w:hAnsi="宋体" w:eastAsia="宋体" w:cs="宋体"/>
                <w:color w:val="auto"/>
                <w:kern w:val="16"/>
                <w:sz w:val="24"/>
                <w:szCs w:val="24"/>
                <w:highlight w:val="none"/>
              </w:rPr>
            </w:pPr>
            <w:r>
              <w:rPr>
                <w:rFonts w:hint="eastAsia" w:ascii="宋体" w:hAnsi="宋体" w:eastAsia="宋体" w:cs="宋体"/>
                <w:color w:val="auto"/>
                <w:kern w:val="16"/>
                <w:sz w:val="24"/>
                <w:szCs w:val="24"/>
                <w:highlight w:val="none"/>
              </w:rPr>
              <w:t>产品质量性能一般、功能基本满足要求、做工一般、安全耐用性一般得 1分</w:t>
            </w:r>
          </w:p>
          <w:p w14:paraId="32E94A19">
            <w:pPr>
              <w:jc w:val="left"/>
              <w:rPr>
                <w:rFonts w:hint="eastAsia" w:ascii="宋体" w:hAnsi="宋体" w:eastAsia="宋体" w:cs="宋体"/>
                <w:color w:val="auto"/>
                <w:kern w:val="16"/>
                <w:sz w:val="24"/>
                <w:szCs w:val="24"/>
                <w:highlight w:val="none"/>
              </w:rPr>
            </w:pPr>
            <w:r>
              <w:rPr>
                <w:rFonts w:hint="eastAsia" w:ascii="宋体" w:hAnsi="宋体" w:eastAsia="宋体" w:cs="宋体"/>
                <w:color w:val="auto"/>
                <w:kern w:val="16"/>
                <w:sz w:val="24"/>
                <w:szCs w:val="24"/>
                <w:highlight w:val="none"/>
              </w:rPr>
              <w:t>未提供不得分。</w:t>
            </w:r>
          </w:p>
          <w:p w14:paraId="2D118165">
            <w:pPr>
              <w:jc w:val="left"/>
              <w:rPr>
                <w:rFonts w:hint="eastAsia" w:ascii="宋体" w:hAnsi="宋体" w:eastAsia="宋体" w:cs="宋体"/>
                <w:color w:val="auto"/>
                <w:kern w:val="16"/>
                <w:sz w:val="24"/>
                <w:szCs w:val="24"/>
                <w:highlight w:val="yellow"/>
              </w:rPr>
            </w:pPr>
            <w:r>
              <w:rPr>
                <w:rFonts w:hint="eastAsia" w:ascii="宋体" w:hAnsi="宋体" w:eastAsia="宋体" w:cs="宋体"/>
                <w:color w:val="auto"/>
                <w:kern w:val="16"/>
                <w:sz w:val="24"/>
                <w:szCs w:val="24"/>
                <w:highlight w:val="none"/>
              </w:rPr>
              <w:t>（每一个样品满分5分，最多得15分。）</w:t>
            </w:r>
          </w:p>
        </w:tc>
        <w:tc>
          <w:tcPr>
            <w:tcW w:w="436" w:type="pct"/>
            <w:vAlign w:val="center"/>
          </w:tcPr>
          <w:p w14:paraId="2F38A741">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15</w:t>
            </w:r>
          </w:p>
        </w:tc>
        <w:tc>
          <w:tcPr>
            <w:tcW w:w="483" w:type="pct"/>
            <w:vAlign w:val="center"/>
          </w:tcPr>
          <w:p w14:paraId="2B75236F">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主观分</w:t>
            </w:r>
          </w:p>
        </w:tc>
        <w:tc>
          <w:tcPr>
            <w:tcW w:w="715" w:type="pct"/>
            <w:vAlign w:val="center"/>
          </w:tcPr>
          <w:p w14:paraId="47DD235A">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样品</w:t>
            </w:r>
          </w:p>
        </w:tc>
      </w:tr>
      <w:tr w14:paraId="72F3C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jc w:val="center"/>
        </w:trPr>
        <w:tc>
          <w:tcPr>
            <w:tcW w:w="256" w:type="pct"/>
            <w:vAlign w:val="center"/>
          </w:tcPr>
          <w:p w14:paraId="2B9473EC">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2</w:t>
            </w:r>
          </w:p>
        </w:tc>
        <w:tc>
          <w:tcPr>
            <w:tcW w:w="3109" w:type="pct"/>
          </w:tcPr>
          <w:p w14:paraId="792FF0A2">
            <w:pPr>
              <w:jc w:val="left"/>
              <w:rPr>
                <w:rFonts w:hint="eastAsia" w:ascii="宋体" w:hAnsi="宋体" w:eastAsia="宋体" w:cs="宋体"/>
                <w:color w:val="auto"/>
                <w:kern w:val="16"/>
                <w:sz w:val="24"/>
                <w:szCs w:val="24"/>
              </w:rPr>
            </w:pPr>
            <w:r>
              <w:rPr>
                <w:rFonts w:hint="eastAsia" w:ascii="宋体" w:hAnsi="宋体" w:eastAsia="宋体" w:cs="宋体"/>
                <w:color w:val="auto"/>
                <w:kern w:val="16"/>
                <w:sz w:val="24"/>
                <w:szCs w:val="24"/>
              </w:rPr>
              <w:t>除核心性能技术指标外的其余技术规格均满足得20分，每一项负偏离扣0.5分，扣完为止。</w:t>
            </w:r>
          </w:p>
        </w:tc>
        <w:tc>
          <w:tcPr>
            <w:tcW w:w="436" w:type="pct"/>
            <w:vAlign w:val="center"/>
          </w:tcPr>
          <w:p w14:paraId="3F2F7721">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20</w:t>
            </w:r>
          </w:p>
        </w:tc>
        <w:tc>
          <w:tcPr>
            <w:tcW w:w="483" w:type="pct"/>
            <w:vAlign w:val="center"/>
          </w:tcPr>
          <w:p w14:paraId="1AFA05A2">
            <w:pPr>
              <w:jc w:val="center"/>
              <w:rPr>
                <w:rFonts w:hint="eastAsia" w:ascii="宋体" w:hAnsi="宋体" w:eastAsia="宋体" w:cs="宋体"/>
                <w:color w:val="auto"/>
                <w:kern w:val="13"/>
                <w:sz w:val="24"/>
                <w:szCs w:val="24"/>
              </w:rPr>
            </w:pPr>
            <w:r>
              <w:rPr>
                <w:rFonts w:hint="eastAsia" w:ascii="宋体" w:hAnsi="宋体" w:eastAsia="宋体" w:cs="宋体"/>
                <w:bCs w:val="0"/>
                <w:color w:val="auto"/>
                <w:kern w:val="13"/>
                <w:sz w:val="24"/>
                <w:szCs w:val="24"/>
              </w:rPr>
              <w:t>客观分</w:t>
            </w:r>
          </w:p>
        </w:tc>
        <w:tc>
          <w:tcPr>
            <w:tcW w:w="715" w:type="pct"/>
            <w:vAlign w:val="center"/>
          </w:tcPr>
          <w:p w14:paraId="04B6C6C3">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技术规格</w:t>
            </w:r>
          </w:p>
        </w:tc>
      </w:tr>
      <w:tr w14:paraId="3D7E6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3" w:hRule="atLeast"/>
          <w:jc w:val="center"/>
        </w:trPr>
        <w:tc>
          <w:tcPr>
            <w:tcW w:w="256" w:type="pct"/>
            <w:vAlign w:val="center"/>
          </w:tcPr>
          <w:p w14:paraId="0E5BFA80">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3</w:t>
            </w:r>
          </w:p>
        </w:tc>
        <w:tc>
          <w:tcPr>
            <w:tcW w:w="3109" w:type="pct"/>
          </w:tcPr>
          <w:p w14:paraId="79A5B7DE">
            <w:pPr>
              <w:jc w:val="left"/>
              <w:rPr>
                <w:rFonts w:hint="eastAsia" w:ascii="宋体" w:hAnsi="宋体" w:eastAsia="宋体" w:cs="宋体"/>
                <w:color w:val="auto"/>
                <w:kern w:val="16"/>
                <w:sz w:val="24"/>
                <w:szCs w:val="24"/>
              </w:rPr>
            </w:pPr>
            <w:r>
              <w:rPr>
                <w:rFonts w:hint="eastAsia" w:ascii="宋体" w:hAnsi="宋体" w:eastAsia="宋体" w:cs="宋体"/>
                <w:color w:val="auto"/>
                <w:kern w:val="16"/>
                <w:sz w:val="24"/>
                <w:szCs w:val="24"/>
              </w:rPr>
              <w:t>项目供货方案：投标人针对该项目的总体部署、总工期、进度安排表、运输安排表、现场卸货及搬运入户措施的供货方案，完全符合得5分，基本符合得3分，部分符合得1分，完全不符合得0分；</w:t>
            </w:r>
          </w:p>
        </w:tc>
        <w:tc>
          <w:tcPr>
            <w:tcW w:w="436" w:type="pct"/>
            <w:vAlign w:val="center"/>
          </w:tcPr>
          <w:p w14:paraId="658BC8C4">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5</w:t>
            </w:r>
          </w:p>
        </w:tc>
        <w:tc>
          <w:tcPr>
            <w:tcW w:w="483" w:type="pct"/>
            <w:vAlign w:val="center"/>
          </w:tcPr>
          <w:p w14:paraId="3EA1F0A1">
            <w:pPr>
              <w:jc w:val="center"/>
              <w:rPr>
                <w:rFonts w:hint="eastAsia" w:ascii="宋体" w:hAnsi="宋体" w:eastAsia="宋体" w:cs="宋体"/>
                <w:color w:val="auto"/>
                <w:kern w:val="13"/>
                <w:sz w:val="24"/>
                <w:szCs w:val="24"/>
              </w:rPr>
            </w:pPr>
            <w:r>
              <w:rPr>
                <w:rFonts w:hint="eastAsia" w:ascii="宋体" w:hAnsi="宋体" w:eastAsia="宋体" w:cs="宋体"/>
                <w:bCs w:val="0"/>
                <w:color w:val="auto"/>
                <w:kern w:val="13"/>
                <w:sz w:val="24"/>
                <w:szCs w:val="24"/>
              </w:rPr>
              <w:t>主观分</w:t>
            </w:r>
          </w:p>
        </w:tc>
        <w:tc>
          <w:tcPr>
            <w:tcW w:w="715" w:type="pct"/>
            <w:vAlign w:val="center"/>
          </w:tcPr>
          <w:p w14:paraId="659919C4">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供货方案</w:t>
            </w:r>
          </w:p>
        </w:tc>
      </w:tr>
      <w:tr w14:paraId="21951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6" w:type="pct"/>
            <w:vAlign w:val="center"/>
          </w:tcPr>
          <w:p w14:paraId="353962FE">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4</w:t>
            </w:r>
          </w:p>
        </w:tc>
        <w:tc>
          <w:tcPr>
            <w:tcW w:w="3109" w:type="pct"/>
          </w:tcPr>
          <w:p w14:paraId="7597726D">
            <w:pPr>
              <w:jc w:val="left"/>
              <w:rPr>
                <w:rFonts w:hint="eastAsia" w:ascii="宋体" w:hAnsi="宋体" w:eastAsia="宋体" w:cs="宋体"/>
                <w:color w:val="auto"/>
                <w:kern w:val="16"/>
                <w:sz w:val="24"/>
                <w:szCs w:val="24"/>
              </w:rPr>
            </w:pPr>
            <w:r>
              <w:rPr>
                <w:rFonts w:hint="eastAsia" w:ascii="宋体" w:hAnsi="宋体" w:eastAsia="宋体" w:cs="宋体"/>
                <w:color w:val="auto"/>
                <w:kern w:val="16"/>
                <w:sz w:val="24"/>
                <w:szCs w:val="24"/>
              </w:rPr>
              <w:t>项目生产方案：投标人针对该项目产品的生产流程、工艺流程控制方案，内容完整、针对性强为符合，完全符合得5分，基本符合得3分，部分符合得1分，完全不符合得0分；</w:t>
            </w:r>
          </w:p>
        </w:tc>
        <w:tc>
          <w:tcPr>
            <w:tcW w:w="436" w:type="pct"/>
            <w:vAlign w:val="center"/>
          </w:tcPr>
          <w:p w14:paraId="4E0DBCBA">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5</w:t>
            </w:r>
          </w:p>
        </w:tc>
        <w:tc>
          <w:tcPr>
            <w:tcW w:w="483" w:type="pct"/>
            <w:vAlign w:val="center"/>
          </w:tcPr>
          <w:p w14:paraId="000E129A">
            <w:pPr>
              <w:jc w:val="center"/>
              <w:rPr>
                <w:rFonts w:hint="eastAsia" w:ascii="宋体" w:hAnsi="宋体" w:eastAsia="宋体" w:cs="宋体"/>
                <w:bCs w:val="0"/>
                <w:color w:val="auto"/>
                <w:kern w:val="13"/>
                <w:sz w:val="24"/>
                <w:szCs w:val="24"/>
              </w:rPr>
            </w:pPr>
            <w:r>
              <w:rPr>
                <w:rFonts w:hint="eastAsia" w:ascii="宋体" w:hAnsi="宋体" w:eastAsia="宋体" w:cs="宋体"/>
                <w:bCs w:val="0"/>
                <w:color w:val="auto"/>
                <w:kern w:val="13"/>
                <w:sz w:val="24"/>
                <w:szCs w:val="24"/>
              </w:rPr>
              <w:t>主观分</w:t>
            </w:r>
          </w:p>
        </w:tc>
        <w:tc>
          <w:tcPr>
            <w:tcW w:w="715" w:type="pct"/>
            <w:vAlign w:val="center"/>
          </w:tcPr>
          <w:p w14:paraId="36EC480E">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生产方案</w:t>
            </w:r>
          </w:p>
        </w:tc>
      </w:tr>
      <w:tr w14:paraId="1FCBA1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6" w:type="pct"/>
            <w:vAlign w:val="center"/>
          </w:tcPr>
          <w:p w14:paraId="70AF8FF9">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5</w:t>
            </w:r>
          </w:p>
        </w:tc>
        <w:tc>
          <w:tcPr>
            <w:tcW w:w="3109" w:type="pct"/>
          </w:tcPr>
          <w:p w14:paraId="1A3331D4">
            <w:pPr>
              <w:jc w:val="left"/>
              <w:rPr>
                <w:rFonts w:hint="eastAsia" w:ascii="宋体" w:hAnsi="宋体" w:eastAsia="宋体" w:cs="宋体"/>
                <w:color w:val="auto"/>
                <w:kern w:val="16"/>
                <w:sz w:val="24"/>
                <w:szCs w:val="24"/>
              </w:rPr>
            </w:pPr>
            <w:r>
              <w:rPr>
                <w:rFonts w:hint="eastAsia" w:ascii="宋体" w:hAnsi="宋体" w:eastAsia="宋体" w:cs="宋体"/>
                <w:color w:val="auto"/>
                <w:kern w:val="16"/>
                <w:sz w:val="24"/>
                <w:szCs w:val="24"/>
              </w:rPr>
              <w:t>项目检验方案：投标人针对该项目产品的质量检验程序控制方案，内容完整、针对性强为符合，完全符合得5分，基本符合得3分，部分符合得1分，完全不符合得0分；</w:t>
            </w:r>
          </w:p>
        </w:tc>
        <w:tc>
          <w:tcPr>
            <w:tcW w:w="436" w:type="pct"/>
            <w:vAlign w:val="center"/>
          </w:tcPr>
          <w:p w14:paraId="390B5AEC">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5</w:t>
            </w:r>
          </w:p>
        </w:tc>
        <w:tc>
          <w:tcPr>
            <w:tcW w:w="483" w:type="pct"/>
            <w:vAlign w:val="center"/>
          </w:tcPr>
          <w:p w14:paraId="03ABDF76">
            <w:pPr>
              <w:jc w:val="center"/>
              <w:rPr>
                <w:rFonts w:hint="eastAsia" w:ascii="宋体" w:hAnsi="宋体" w:eastAsia="宋体" w:cs="宋体"/>
                <w:bCs w:val="0"/>
                <w:color w:val="auto"/>
                <w:kern w:val="13"/>
                <w:sz w:val="24"/>
                <w:szCs w:val="24"/>
              </w:rPr>
            </w:pPr>
            <w:r>
              <w:rPr>
                <w:rFonts w:hint="eastAsia" w:ascii="宋体" w:hAnsi="宋体" w:eastAsia="宋体" w:cs="宋体"/>
                <w:bCs w:val="0"/>
                <w:color w:val="auto"/>
                <w:kern w:val="13"/>
                <w:sz w:val="24"/>
                <w:szCs w:val="24"/>
              </w:rPr>
              <w:t>主观分</w:t>
            </w:r>
          </w:p>
        </w:tc>
        <w:tc>
          <w:tcPr>
            <w:tcW w:w="715" w:type="pct"/>
            <w:vAlign w:val="center"/>
          </w:tcPr>
          <w:p w14:paraId="73A86F88">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检验方案</w:t>
            </w:r>
          </w:p>
        </w:tc>
      </w:tr>
      <w:tr w14:paraId="03270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jc w:val="center"/>
        </w:trPr>
        <w:tc>
          <w:tcPr>
            <w:tcW w:w="256" w:type="pct"/>
            <w:vAlign w:val="center"/>
          </w:tcPr>
          <w:p w14:paraId="61EE583F">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6</w:t>
            </w:r>
          </w:p>
        </w:tc>
        <w:tc>
          <w:tcPr>
            <w:tcW w:w="3109" w:type="pct"/>
          </w:tcPr>
          <w:p w14:paraId="0FBC51A4">
            <w:pPr>
              <w:jc w:val="left"/>
              <w:rPr>
                <w:rFonts w:hint="eastAsia" w:ascii="宋体" w:hAnsi="宋体" w:eastAsia="宋体" w:cs="宋体"/>
                <w:color w:val="auto"/>
                <w:kern w:val="16"/>
                <w:sz w:val="24"/>
                <w:szCs w:val="24"/>
              </w:rPr>
            </w:pPr>
            <w:r>
              <w:rPr>
                <w:rFonts w:hint="eastAsia" w:ascii="宋体" w:hAnsi="宋体" w:eastAsia="宋体" w:cs="宋体"/>
                <w:color w:val="auto"/>
                <w:kern w:val="16"/>
                <w:sz w:val="24"/>
                <w:szCs w:val="24"/>
              </w:rPr>
              <w:t>项目安装管理方案：投标人针对该项目的现场安装管理计划方案（至少包括安装计划、人员、时间、场地、工具、配件等），内容完整、针对性强为符合，完全符合得3分，基本符合得2分，部分符合得1分，完全不符合得0分</w:t>
            </w:r>
            <w:r>
              <w:rPr>
                <w:rFonts w:hint="eastAsia" w:ascii="宋体" w:hAnsi="宋体" w:eastAsia="宋体" w:cs="宋体"/>
                <w:color w:val="auto"/>
                <w:kern w:val="16"/>
                <w:sz w:val="24"/>
                <w:szCs w:val="24"/>
                <w:lang w:val="zh-CN"/>
              </w:rPr>
              <w:t>。</w:t>
            </w:r>
          </w:p>
        </w:tc>
        <w:tc>
          <w:tcPr>
            <w:tcW w:w="436" w:type="pct"/>
            <w:vAlign w:val="center"/>
          </w:tcPr>
          <w:p w14:paraId="4694B182">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3</w:t>
            </w:r>
          </w:p>
        </w:tc>
        <w:tc>
          <w:tcPr>
            <w:tcW w:w="483" w:type="pct"/>
            <w:vAlign w:val="center"/>
          </w:tcPr>
          <w:p w14:paraId="516A9327">
            <w:pPr>
              <w:jc w:val="center"/>
              <w:rPr>
                <w:rFonts w:hint="eastAsia" w:ascii="宋体" w:hAnsi="宋体" w:eastAsia="宋体" w:cs="宋体"/>
                <w:bCs w:val="0"/>
                <w:color w:val="auto"/>
                <w:kern w:val="13"/>
                <w:sz w:val="24"/>
                <w:szCs w:val="24"/>
              </w:rPr>
            </w:pPr>
            <w:r>
              <w:rPr>
                <w:rFonts w:hint="eastAsia" w:ascii="宋体" w:hAnsi="宋体" w:eastAsia="宋体" w:cs="宋体"/>
                <w:bCs w:val="0"/>
                <w:color w:val="auto"/>
                <w:kern w:val="13"/>
                <w:sz w:val="24"/>
                <w:szCs w:val="24"/>
              </w:rPr>
              <w:t>主观分</w:t>
            </w:r>
          </w:p>
        </w:tc>
        <w:tc>
          <w:tcPr>
            <w:tcW w:w="715" w:type="pct"/>
            <w:vAlign w:val="center"/>
          </w:tcPr>
          <w:p w14:paraId="009C3196">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安装管理方案</w:t>
            </w:r>
          </w:p>
        </w:tc>
      </w:tr>
      <w:tr w14:paraId="59191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1" w:hRule="atLeast"/>
          <w:jc w:val="center"/>
        </w:trPr>
        <w:tc>
          <w:tcPr>
            <w:tcW w:w="256" w:type="pct"/>
            <w:vAlign w:val="center"/>
          </w:tcPr>
          <w:p w14:paraId="0B905596">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7</w:t>
            </w:r>
          </w:p>
        </w:tc>
        <w:tc>
          <w:tcPr>
            <w:tcW w:w="3109" w:type="pct"/>
          </w:tcPr>
          <w:p w14:paraId="3B3016A5">
            <w:pPr>
              <w:jc w:val="left"/>
              <w:rPr>
                <w:rFonts w:hint="eastAsia" w:ascii="宋体" w:hAnsi="宋体" w:eastAsia="宋体" w:cs="宋体"/>
                <w:color w:val="auto"/>
                <w:kern w:val="16"/>
                <w:sz w:val="24"/>
                <w:szCs w:val="24"/>
              </w:rPr>
            </w:pPr>
            <w:r>
              <w:rPr>
                <w:rFonts w:hint="eastAsia" w:ascii="宋体" w:hAnsi="宋体" w:eastAsia="宋体" w:cs="宋体"/>
                <w:color w:val="auto"/>
                <w:kern w:val="16"/>
                <w:sz w:val="24"/>
                <w:szCs w:val="24"/>
              </w:rPr>
              <w:t>项目供货质量保证措施：投标人制定的供货质量保证措施详细、完整、可行的得3分；供应商制定的供货质量保证措施较详细、较完整、较可行的得2分；供应商制定的供货质量保证措施不详细、不完整、可行性差的得1分；不符合得0分。</w:t>
            </w:r>
          </w:p>
        </w:tc>
        <w:tc>
          <w:tcPr>
            <w:tcW w:w="436" w:type="pct"/>
            <w:vAlign w:val="center"/>
          </w:tcPr>
          <w:p w14:paraId="3EE19D84">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3</w:t>
            </w:r>
          </w:p>
        </w:tc>
        <w:tc>
          <w:tcPr>
            <w:tcW w:w="483" w:type="pct"/>
            <w:vAlign w:val="center"/>
          </w:tcPr>
          <w:p w14:paraId="7064AF0F">
            <w:pPr>
              <w:jc w:val="center"/>
              <w:rPr>
                <w:rFonts w:hint="eastAsia" w:ascii="宋体" w:hAnsi="宋体" w:eastAsia="宋体" w:cs="宋体"/>
                <w:bCs w:val="0"/>
                <w:color w:val="auto"/>
                <w:kern w:val="13"/>
                <w:sz w:val="24"/>
                <w:szCs w:val="24"/>
              </w:rPr>
            </w:pPr>
            <w:r>
              <w:rPr>
                <w:rFonts w:hint="eastAsia" w:ascii="宋体" w:hAnsi="宋体" w:eastAsia="宋体" w:cs="宋体"/>
                <w:bCs w:val="0"/>
                <w:color w:val="auto"/>
                <w:kern w:val="13"/>
                <w:sz w:val="24"/>
                <w:szCs w:val="24"/>
              </w:rPr>
              <w:t>主观分</w:t>
            </w:r>
          </w:p>
        </w:tc>
        <w:tc>
          <w:tcPr>
            <w:tcW w:w="715" w:type="pct"/>
            <w:vAlign w:val="center"/>
          </w:tcPr>
          <w:p w14:paraId="619CD80B">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质量保证措施</w:t>
            </w:r>
          </w:p>
        </w:tc>
      </w:tr>
      <w:tr w14:paraId="5C5FC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6" w:type="pct"/>
            <w:vAlign w:val="center"/>
          </w:tcPr>
          <w:p w14:paraId="32E4E4FF">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8</w:t>
            </w:r>
          </w:p>
        </w:tc>
        <w:tc>
          <w:tcPr>
            <w:tcW w:w="3109" w:type="pct"/>
          </w:tcPr>
          <w:p w14:paraId="1231C95B">
            <w:pPr>
              <w:jc w:val="left"/>
              <w:rPr>
                <w:rFonts w:hint="eastAsia" w:ascii="宋体" w:hAnsi="宋体" w:eastAsia="宋体" w:cs="宋体"/>
                <w:color w:val="auto"/>
                <w:kern w:val="16"/>
                <w:sz w:val="24"/>
                <w:szCs w:val="24"/>
              </w:rPr>
            </w:pPr>
            <w:r>
              <w:rPr>
                <w:rFonts w:hint="eastAsia" w:ascii="宋体" w:hAnsi="宋体" w:eastAsia="宋体" w:cs="宋体"/>
                <w:color w:val="auto"/>
                <w:kern w:val="16"/>
                <w:sz w:val="24"/>
                <w:szCs w:val="24"/>
              </w:rPr>
              <w:t>投标人提供详细完整的“三包”措施及售后服务措施，包括但不限</w:t>
            </w:r>
            <w:r>
              <w:rPr>
                <w:rFonts w:hint="eastAsia" w:ascii="宋体" w:hAnsi="宋体" w:eastAsia="宋体" w:cs="宋体"/>
                <w:color w:val="auto"/>
                <w:kern w:val="16"/>
                <w:sz w:val="24"/>
                <w:szCs w:val="24"/>
                <w:highlight w:val="none"/>
              </w:rPr>
              <w:t>于</w:t>
            </w:r>
            <w:r>
              <w:rPr>
                <w:rFonts w:hint="eastAsia" w:ascii="宋体" w:hAnsi="宋体" w:eastAsia="宋体" w:cs="宋体"/>
                <w:color w:val="auto"/>
                <w:kern w:val="16"/>
                <w:sz w:val="24"/>
                <w:szCs w:val="24"/>
                <w:highlight w:val="none"/>
              </w:rPr>
              <w:fldChar w:fldCharType="begin"/>
            </w:r>
            <w:r>
              <w:rPr>
                <w:rFonts w:hint="eastAsia" w:ascii="宋体" w:hAnsi="宋体" w:eastAsia="宋体" w:cs="宋体"/>
                <w:color w:val="auto"/>
                <w:kern w:val="16"/>
                <w:sz w:val="24"/>
                <w:szCs w:val="24"/>
                <w:highlight w:val="none"/>
              </w:rPr>
              <w:instrText xml:space="preserve"> = 1 \* GB3 \* MERGEFORMAT </w:instrText>
            </w:r>
            <w:r>
              <w:rPr>
                <w:rFonts w:hint="eastAsia" w:ascii="宋体" w:hAnsi="宋体" w:eastAsia="宋体" w:cs="宋体"/>
                <w:color w:val="auto"/>
                <w:kern w:val="16"/>
                <w:sz w:val="24"/>
                <w:szCs w:val="24"/>
                <w:highlight w:val="none"/>
              </w:rPr>
              <w:fldChar w:fldCharType="separate"/>
            </w:r>
            <w:r>
              <w:rPr>
                <w:rFonts w:hint="eastAsia" w:ascii="宋体" w:hAnsi="宋体" w:eastAsia="宋体" w:cs="宋体"/>
                <w:color w:val="auto"/>
                <w:kern w:val="16"/>
                <w:sz w:val="24"/>
                <w:szCs w:val="24"/>
                <w:highlight w:val="none"/>
              </w:rPr>
              <w:t>①</w:t>
            </w:r>
            <w:r>
              <w:rPr>
                <w:rFonts w:hint="eastAsia" w:ascii="宋体" w:hAnsi="宋体" w:eastAsia="宋体" w:cs="宋体"/>
                <w:color w:val="auto"/>
                <w:kern w:val="16"/>
                <w:sz w:val="24"/>
                <w:szCs w:val="24"/>
                <w:highlight w:val="none"/>
              </w:rPr>
              <w:fldChar w:fldCharType="end"/>
            </w:r>
            <w:r>
              <w:rPr>
                <w:rFonts w:hint="eastAsia" w:ascii="宋体" w:hAnsi="宋体" w:eastAsia="宋体" w:cs="宋体"/>
                <w:color w:val="auto"/>
                <w:kern w:val="16"/>
                <w:sz w:val="24"/>
                <w:szCs w:val="24"/>
                <w:highlight w:val="none"/>
              </w:rPr>
              <w:t>在质保期内，如在正常使用过程中出现的质量问题，供应商须负责免费维修或调换。</w:t>
            </w:r>
            <w:r>
              <w:rPr>
                <w:rFonts w:hint="eastAsia" w:ascii="宋体" w:hAnsi="宋体" w:eastAsia="宋体" w:cs="宋体"/>
                <w:color w:val="auto"/>
                <w:kern w:val="16"/>
                <w:sz w:val="24"/>
                <w:szCs w:val="24"/>
                <w:highlight w:val="none"/>
              </w:rPr>
              <w:fldChar w:fldCharType="begin"/>
            </w:r>
            <w:r>
              <w:rPr>
                <w:rFonts w:hint="eastAsia" w:ascii="宋体" w:hAnsi="宋体" w:eastAsia="宋体" w:cs="宋体"/>
                <w:color w:val="auto"/>
                <w:kern w:val="16"/>
                <w:sz w:val="24"/>
                <w:szCs w:val="24"/>
                <w:highlight w:val="none"/>
              </w:rPr>
              <w:instrText xml:space="preserve"> = 2 \* GB3 \* MERGEFORMAT </w:instrText>
            </w:r>
            <w:r>
              <w:rPr>
                <w:rFonts w:hint="eastAsia" w:ascii="宋体" w:hAnsi="宋体" w:eastAsia="宋体" w:cs="宋体"/>
                <w:color w:val="auto"/>
                <w:kern w:val="16"/>
                <w:sz w:val="24"/>
                <w:szCs w:val="24"/>
                <w:highlight w:val="none"/>
              </w:rPr>
              <w:fldChar w:fldCharType="separate"/>
            </w:r>
            <w:r>
              <w:rPr>
                <w:rFonts w:hint="eastAsia" w:ascii="宋体" w:hAnsi="宋体" w:eastAsia="宋体" w:cs="宋体"/>
                <w:color w:val="auto"/>
                <w:kern w:val="16"/>
                <w:sz w:val="24"/>
                <w:szCs w:val="24"/>
                <w:highlight w:val="none"/>
              </w:rPr>
              <w:t>②</w:t>
            </w:r>
            <w:r>
              <w:rPr>
                <w:rFonts w:hint="eastAsia" w:ascii="宋体" w:hAnsi="宋体" w:eastAsia="宋体" w:cs="宋体"/>
                <w:color w:val="auto"/>
                <w:kern w:val="16"/>
                <w:sz w:val="24"/>
                <w:szCs w:val="24"/>
                <w:highlight w:val="none"/>
              </w:rPr>
              <w:fldChar w:fldCharType="end"/>
            </w:r>
            <w:r>
              <w:rPr>
                <w:rFonts w:hint="eastAsia" w:ascii="宋体" w:hAnsi="宋体" w:eastAsia="宋体" w:cs="宋体"/>
                <w:color w:val="auto"/>
                <w:kern w:val="16"/>
                <w:sz w:val="24"/>
                <w:szCs w:val="24"/>
                <w:highlight w:val="none"/>
              </w:rPr>
              <w:t>质保期内出现问题，1小时内响应，2小时内到达现场，1小时内解决问题，对于现场解决不了的故障，供应商应提供采购人同型号、同规格的备用设备使用，直至</w:t>
            </w:r>
            <w:r>
              <w:rPr>
                <w:rFonts w:hint="eastAsia" w:ascii="宋体" w:hAnsi="宋体" w:eastAsia="宋体" w:cs="宋体"/>
                <w:color w:val="auto"/>
                <w:kern w:val="16"/>
                <w:sz w:val="24"/>
                <w:szCs w:val="24"/>
              </w:rPr>
              <w:t>故障设备修复。</w:t>
            </w:r>
          </w:p>
          <w:p w14:paraId="5E23463E">
            <w:pPr>
              <w:jc w:val="left"/>
              <w:rPr>
                <w:rFonts w:hint="eastAsia" w:ascii="宋体" w:hAnsi="宋体" w:eastAsia="宋体" w:cs="宋体"/>
                <w:color w:val="auto"/>
                <w:kern w:val="16"/>
                <w:sz w:val="24"/>
                <w:szCs w:val="24"/>
              </w:rPr>
            </w:pPr>
            <w:r>
              <w:rPr>
                <w:rFonts w:hint="eastAsia" w:ascii="宋体" w:hAnsi="宋体" w:eastAsia="宋体" w:cs="宋体"/>
                <w:color w:val="auto"/>
                <w:kern w:val="16"/>
                <w:sz w:val="24"/>
                <w:szCs w:val="24"/>
              </w:rPr>
              <w:t>根据投标人提供的方案能否满足采购需求判定评分，内容完整、措施有效、完全符合的得5分，内容合理、措施合理、较为符合得3分，内容一般、措施一般的得1分，不符合得0分。</w:t>
            </w:r>
          </w:p>
        </w:tc>
        <w:tc>
          <w:tcPr>
            <w:tcW w:w="436" w:type="pct"/>
            <w:vAlign w:val="center"/>
          </w:tcPr>
          <w:p w14:paraId="0A4A9896">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5</w:t>
            </w:r>
          </w:p>
        </w:tc>
        <w:tc>
          <w:tcPr>
            <w:tcW w:w="483" w:type="pct"/>
            <w:vAlign w:val="center"/>
          </w:tcPr>
          <w:p w14:paraId="6ACC60B8">
            <w:pPr>
              <w:jc w:val="center"/>
              <w:rPr>
                <w:rFonts w:hint="eastAsia" w:ascii="宋体" w:hAnsi="宋体" w:eastAsia="宋体" w:cs="宋体"/>
                <w:color w:val="auto"/>
                <w:kern w:val="13"/>
                <w:sz w:val="24"/>
                <w:szCs w:val="24"/>
              </w:rPr>
            </w:pPr>
            <w:r>
              <w:rPr>
                <w:rFonts w:hint="eastAsia" w:ascii="宋体" w:hAnsi="宋体" w:eastAsia="宋体" w:cs="宋体"/>
                <w:bCs w:val="0"/>
                <w:color w:val="auto"/>
                <w:kern w:val="13"/>
                <w:sz w:val="24"/>
                <w:szCs w:val="24"/>
              </w:rPr>
              <w:t>主观分</w:t>
            </w:r>
          </w:p>
        </w:tc>
        <w:tc>
          <w:tcPr>
            <w:tcW w:w="715" w:type="pct"/>
            <w:vAlign w:val="center"/>
          </w:tcPr>
          <w:p w14:paraId="3DA775D2">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售后服务方案及承诺</w:t>
            </w:r>
          </w:p>
        </w:tc>
      </w:tr>
      <w:tr w14:paraId="11687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256" w:type="pct"/>
            <w:vAlign w:val="center"/>
          </w:tcPr>
          <w:p w14:paraId="605F0B40">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9</w:t>
            </w:r>
          </w:p>
        </w:tc>
        <w:tc>
          <w:tcPr>
            <w:tcW w:w="3109" w:type="pct"/>
          </w:tcPr>
          <w:p w14:paraId="393F7256">
            <w:pPr>
              <w:jc w:val="left"/>
              <w:rPr>
                <w:rFonts w:hint="eastAsia" w:ascii="宋体" w:hAnsi="宋体" w:eastAsia="宋体" w:cs="宋体"/>
                <w:color w:val="auto"/>
                <w:kern w:val="16"/>
                <w:sz w:val="24"/>
                <w:szCs w:val="24"/>
              </w:rPr>
            </w:pPr>
            <w:r>
              <w:rPr>
                <w:rFonts w:hint="eastAsia" w:ascii="宋体" w:hAnsi="宋体" w:eastAsia="宋体" w:cs="宋体"/>
                <w:color w:val="auto"/>
                <w:kern w:val="16"/>
                <w:sz w:val="24"/>
                <w:szCs w:val="24"/>
              </w:rPr>
              <w:t>为本项目配备有专业的培训人员并承诺免费培训直至满足幼儿园教学需要：</w:t>
            </w:r>
          </w:p>
          <w:p w14:paraId="52123026">
            <w:pPr>
              <w:jc w:val="left"/>
              <w:rPr>
                <w:rFonts w:hint="eastAsia" w:ascii="宋体" w:hAnsi="宋体" w:eastAsia="宋体" w:cs="宋体"/>
                <w:color w:val="auto"/>
                <w:kern w:val="16"/>
                <w:sz w:val="24"/>
                <w:szCs w:val="24"/>
              </w:rPr>
            </w:pPr>
            <w:r>
              <w:rPr>
                <w:rFonts w:hint="eastAsia" w:ascii="宋体" w:hAnsi="宋体" w:eastAsia="宋体" w:cs="宋体"/>
                <w:color w:val="auto"/>
                <w:kern w:val="16"/>
                <w:sz w:val="24"/>
                <w:szCs w:val="24"/>
              </w:rPr>
              <w:t>培训人员配备专业、齐全，完全满足本项目需求，承诺免费培训直至满足幼儿园教学需要，得3分；</w:t>
            </w:r>
          </w:p>
          <w:p w14:paraId="1ECDF2A8">
            <w:pPr>
              <w:jc w:val="left"/>
              <w:rPr>
                <w:rFonts w:hint="eastAsia" w:ascii="宋体" w:hAnsi="宋体" w:eastAsia="宋体" w:cs="宋体"/>
                <w:color w:val="auto"/>
                <w:kern w:val="16"/>
                <w:sz w:val="24"/>
                <w:szCs w:val="24"/>
              </w:rPr>
            </w:pPr>
            <w:r>
              <w:rPr>
                <w:rFonts w:hint="eastAsia" w:ascii="宋体" w:hAnsi="宋体" w:eastAsia="宋体" w:cs="宋体"/>
                <w:color w:val="auto"/>
                <w:kern w:val="16"/>
                <w:sz w:val="24"/>
                <w:szCs w:val="24"/>
              </w:rPr>
              <w:t>培训人员配备较专业、较齐全，较为满足本项目需求，承诺免费培训直至满足幼儿园教学需要，得2分；</w:t>
            </w:r>
          </w:p>
          <w:p w14:paraId="5DE2CA21">
            <w:pPr>
              <w:jc w:val="left"/>
              <w:rPr>
                <w:rFonts w:hint="eastAsia" w:ascii="宋体" w:hAnsi="宋体" w:eastAsia="宋体" w:cs="宋体"/>
                <w:color w:val="auto"/>
                <w:kern w:val="16"/>
                <w:sz w:val="24"/>
                <w:szCs w:val="24"/>
              </w:rPr>
            </w:pPr>
            <w:r>
              <w:rPr>
                <w:rFonts w:hint="eastAsia" w:ascii="宋体" w:hAnsi="宋体" w:eastAsia="宋体" w:cs="宋体"/>
                <w:color w:val="auto"/>
                <w:kern w:val="16"/>
                <w:sz w:val="24"/>
                <w:szCs w:val="24"/>
              </w:rPr>
              <w:t>培训人员配备较差、基本齐全，基本满足本项目需求，承诺免费培训直至满足幼儿园教学需要，得1分；</w:t>
            </w:r>
          </w:p>
          <w:p w14:paraId="60714F8B">
            <w:pPr>
              <w:jc w:val="left"/>
              <w:rPr>
                <w:rFonts w:hint="eastAsia" w:ascii="宋体" w:hAnsi="宋体" w:eastAsia="宋体" w:cs="宋体"/>
                <w:color w:val="auto"/>
                <w:kern w:val="16"/>
                <w:sz w:val="24"/>
                <w:szCs w:val="24"/>
              </w:rPr>
            </w:pPr>
            <w:r>
              <w:rPr>
                <w:rFonts w:hint="eastAsia" w:ascii="宋体" w:hAnsi="宋体" w:eastAsia="宋体" w:cs="宋体"/>
                <w:color w:val="auto"/>
                <w:kern w:val="16"/>
                <w:sz w:val="24"/>
                <w:szCs w:val="24"/>
              </w:rPr>
              <w:t>未提供或不符合的0分。</w:t>
            </w:r>
          </w:p>
        </w:tc>
        <w:tc>
          <w:tcPr>
            <w:tcW w:w="436" w:type="pct"/>
            <w:vAlign w:val="center"/>
          </w:tcPr>
          <w:p w14:paraId="7605757D">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3</w:t>
            </w:r>
          </w:p>
        </w:tc>
        <w:tc>
          <w:tcPr>
            <w:tcW w:w="483" w:type="pct"/>
            <w:vAlign w:val="center"/>
          </w:tcPr>
          <w:p w14:paraId="4A792F20">
            <w:pPr>
              <w:jc w:val="center"/>
              <w:rPr>
                <w:rFonts w:hint="eastAsia" w:ascii="宋体" w:hAnsi="宋体" w:eastAsia="宋体" w:cs="宋体"/>
                <w:bCs w:val="0"/>
                <w:color w:val="auto"/>
                <w:kern w:val="13"/>
                <w:sz w:val="24"/>
                <w:szCs w:val="24"/>
              </w:rPr>
            </w:pPr>
            <w:r>
              <w:rPr>
                <w:rFonts w:hint="eastAsia" w:ascii="宋体" w:hAnsi="宋体" w:eastAsia="宋体" w:cs="宋体"/>
                <w:bCs w:val="0"/>
                <w:color w:val="auto"/>
                <w:kern w:val="13"/>
                <w:sz w:val="24"/>
                <w:szCs w:val="24"/>
              </w:rPr>
              <w:t>主观分</w:t>
            </w:r>
          </w:p>
        </w:tc>
        <w:tc>
          <w:tcPr>
            <w:tcW w:w="715" w:type="pct"/>
            <w:vAlign w:val="center"/>
          </w:tcPr>
          <w:p w14:paraId="2611BC10">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培训</w:t>
            </w:r>
          </w:p>
        </w:tc>
      </w:tr>
      <w:tr w14:paraId="4EC17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256" w:type="pct"/>
            <w:vAlign w:val="center"/>
          </w:tcPr>
          <w:p w14:paraId="6FEB180F">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10</w:t>
            </w:r>
          </w:p>
        </w:tc>
        <w:tc>
          <w:tcPr>
            <w:tcW w:w="3109" w:type="pct"/>
          </w:tcPr>
          <w:p w14:paraId="2906D7A9">
            <w:pPr>
              <w:rPr>
                <w:rFonts w:hint="eastAsia" w:ascii="宋体" w:hAnsi="宋体" w:eastAsia="宋体" w:cs="宋体"/>
                <w:color w:val="auto"/>
                <w:kern w:val="16"/>
                <w:sz w:val="24"/>
                <w:szCs w:val="24"/>
              </w:rPr>
            </w:pPr>
            <w:r>
              <w:rPr>
                <w:rFonts w:hint="eastAsia" w:ascii="宋体" w:hAnsi="宋体" w:eastAsia="宋体" w:cs="宋体"/>
                <w:color w:val="auto"/>
                <w:kern w:val="16"/>
                <w:sz w:val="24"/>
                <w:szCs w:val="24"/>
              </w:rPr>
              <w:t>质保期：在满足招标文件质保期要求的基础上，每增加半年加1分，最多得3分。</w:t>
            </w:r>
          </w:p>
        </w:tc>
        <w:tc>
          <w:tcPr>
            <w:tcW w:w="436" w:type="pct"/>
            <w:vAlign w:val="center"/>
          </w:tcPr>
          <w:p w14:paraId="068C2A91">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3</w:t>
            </w:r>
          </w:p>
        </w:tc>
        <w:tc>
          <w:tcPr>
            <w:tcW w:w="483" w:type="pct"/>
            <w:vAlign w:val="center"/>
          </w:tcPr>
          <w:p w14:paraId="4A49AAAE">
            <w:pPr>
              <w:jc w:val="center"/>
              <w:rPr>
                <w:rFonts w:hint="eastAsia" w:ascii="宋体" w:hAnsi="宋体" w:eastAsia="宋体" w:cs="宋体"/>
                <w:color w:val="auto"/>
                <w:kern w:val="13"/>
                <w:sz w:val="24"/>
                <w:szCs w:val="24"/>
              </w:rPr>
            </w:pPr>
            <w:r>
              <w:rPr>
                <w:rFonts w:hint="eastAsia" w:ascii="宋体" w:hAnsi="宋体" w:eastAsia="宋体" w:cs="宋体"/>
                <w:bCs w:val="0"/>
                <w:color w:val="auto"/>
                <w:kern w:val="13"/>
                <w:sz w:val="24"/>
                <w:szCs w:val="24"/>
              </w:rPr>
              <w:t>客观分</w:t>
            </w:r>
          </w:p>
        </w:tc>
        <w:tc>
          <w:tcPr>
            <w:tcW w:w="715" w:type="pct"/>
            <w:vAlign w:val="center"/>
          </w:tcPr>
          <w:p w14:paraId="0725C349">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质保期</w:t>
            </w:r>
          </w:p>
        </w:tc>
      </w:tr>
      <w:tr w14:paraId="6631D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jc w:val="center"/>
        </w:trPr>
        <w:tc>
          <w:tcPr>
            <w:tcW w:w="256" w:type="pct"/>
            <w:vAlign w:val="center"/>
          </w:tcPr>
          <w:p w14:paraId="6E9E458F">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11</w:t>
            </w:r>
          </w:p>
        </w:tc>
        <w:tc>
          <w:tcPr>
            <w:tcW w:w="3109" w:type="pct"/>
          </w:tcPr>
          <w:p w14:paraId="48DF659A">
            <w:pPr>
              <w:rPr>
                <w:rFonts w:hint="eastAsia" w:ascii="宋体" w:hAnsi="宋体" w:eastAsia="宋体" w:cs="宋体"/>
                <w:color w:val="auto"/>
                <w:kern w:val="16"/>
                <w:sz w:val="24"/>
                <w:szCs w:val="24"/>
              </w:rPr>
            </w:pPr>
            <w:r>
              <w:rPr>
                <w:rFonts w:hint="eastAsia" w:ascii="宋体" w:hAnsi="宋体" w:eastAsia="宋体" w:cs="宋体"/>
                <w:color w:val="auto"/>
                <w:kern w:val="16"/>
                <w:sz w:val="24"/>
                <w:szCs w:val="24"/>
              </w:rPr>
              <w:t>投标人自202</w:t>
            </w:r>
            <w:r>
              <w:rPr>
                <w:rFonts w:hint="eastAsia" w:ascii="宋体" w:hAnsi="宋体" w:eastAsia="宋体" w:cs="宋体"/>
                <w:color w:val="auto"/>
                <w:kern w:val="16"/>
                <w:sz w:val="24"/>
                <w:szCs w:val="24"/>
                <w:lang w:eastAsia="zh-CN"/>
              </w:rPr>
              <w:t>2</w:t>
            </w:r>
            <w:r>
              <w:rPr>
                <w:rFonts w:hint="eastAsia" w:ascii="宋体" w:hAnsi="宋体" w:eastAsia="宋体" w:cs="宋体"/>
                <w:color w:val="auto"/>
                <w:kern w:val="16"/>
                <w:sz w:val="24"/>
                <w:szCs w:val="24"/>
              </w:rPr>
              <w:t>年1月1日（含）以来（以合同签订时间为准）承担过类似项目成功案例</w:t>
            </w:r>
            <w:r>
              <w:rPr>
                <w:rFonts w:hint="eastAsia" w:ascii="宋体" w:hAnsi="宋体" w:eastAsia="宋体" w:cs="宋体"/>
                <w:color w:val="auto"/>
                <w:kern w:val="16"/>
                <w:sz w:val="24"/>
                <w:szCs w:val="24"/>
                <w:lang w:eastAsia="zh-CN"/>
              </w:rPr>
              <w:t>，</w:t>
            </w:r>
            <w:r>
              <w:rPr>
                <w:rFonts w:hint="eastAsia" w:ascii="宋体" w:hAnsi="宋体" w:eastAsia="宋体" w:cs="宋体"/>
                <w:color w:val="auto"/>
                <w:kern w:val="16"/>
                <w:sz w:val="24"/>
                <w:szCs w:val="24"/>
              </w:rPr>
              <w:t>每提供一个得1分，最高得3分。</w:t>
            </w:r>
          </w:p>
          <w:p w14:paraId="69F05FF3">
            <w:pPr>
              <w:rPr>
                <w:rFonts w:hint="eastAsia" w:ascii="宋体" w:hAnsi="宋体" w:eastAsia="宋体" w:cs="宋体"/>
                <w:color w:val="auto"/>
                <w:kern w:val="16"/>
                <w:sz w:val="24"/>
                <w:szCs w:val="24"/>
              </w:rPr>
            </w:pPr>
            <w:r>
              <w:rPr>
                <w:rFonts w:hint="eastAsia" w:ascii="宋体" w:hAnsi="宋体" w:eastAsia="宋体" w:cs="宋体"/>
                <w:color w:val="auto"/>
                <w:kern w:val="16"/>
                <w:sz w:val="24"/>
                <w:szCs w:val="24"/>
                <w:lang w:val="en-US" w:eastAsia="zh-CN"/>
              </w:rPr>
              <w:t>证明材料：</w:t>
            </w:r>
            <w:r>
              <w:rPr>
                <w:rFonts w:hint="eastAsia" w:ascii="宋体" w:hAnsi="宋体" w:eastAsia="宋体" w:cs="宋体"/>
                <w:color w:val="auto"/>
                <w:kern w:val="16"/>
                <w:sz w:val="24"/>
                <w:szCs w:val="24"/>
              </w:rPr>
              <w:t>须同时提供合同</w:t>
            </w:r>
            <w:r>
              <w:rPr>
                <w:rFonts w:hint="eastAsia" w:ascii="宋体" w:hAnsi="宋体" w:eastAsia="宋体" w:cs="宋体"/>
                <w:color w:val="auto"/>
                <w:kern w:val="16"/>
                <w:sz w:val="24"/>
                <w:szCs w:val="24"/>
                <w:lang w:val="en-US" w:eastAsia="zh-CN"/>
              </w:rPr>
              <w:t>复印件与</w:t>
            </w:r>
            <w:r>
              <w:rPr>
                <w:rFonts w:hint="eastAsia" w:ascii="宋体" w:hAnsi="宋体" w:eastAsia="宋体" w:cs="宋体"/>
                <w:color w:val="auto"/>
                <w:kern w:val="16"/>
                <w:sz w:val="24"/>
                <w:szCs w:val="24"/>
              </w:rPr>
              <w:t>合格验收报告相关证明材料</w:t>
            </w:r>
            <w:r>
              <w:rPr>
                <w:rFonts w:hint="eastAsia" w:ascii="宋体" w:hAnsi="宋体" w:eastAsia="宋体" w:cs="宋体"/>
                <w:color w:val="auto"/>
                <w:kern w:val="16"/>
                <w:sz w:val="24"/>
                <w:szCs w:val="24"/>
                <w:lang w:eastAsia="zh-CN"/>
              </w:rPr>
              <w:t>，未提供证明材料扫描件不得分。</w:t>
            </w:r>
          </w:p>
        </w:tc>
        <w:tc>
          <w:tcPr>
            <w:tcW w:w="436" w:type="pct"/>
            <w:vAlign w:val="center"/>
          </w:tcPr>
          <w:p w14:paraId="3D499917">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3</w:t>
            </w:r>
          </w:p>
        </w:tc>
        <w:tc>
          <w:tcPr>
            <w:tcW w:w="483" w:type="pct"/>
            <w:vAlign w:val="center"/>
          </w:tcPr>
          <w:p w14:paraId="4B82E085">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客观分</w:t>
            </w:r>
          </w:p>
        </w:tc>
        <w:tc>
          <w:tcPr>
            <w:tcW w:w="715" w:type="pct"/>
            <w:vAlign w:val="center"/>
          </w:tcPr>
          <w:p w14:paraId="76EC2DFF">
            <w:pPr>
              <w:jc w:val="center"/>
              <w:rPr>
                <w:rFonts w:hint="eastAsia" w:ascii="宋体" w:hAnsi="宋体" w:eastAsia="宋体" w:cs="宋体"/>
                <w:color w:val="auto"/>
                <w:kern w:val="13"/>
                <w:sz w:val="24"/>
                <w:szCs w:val="24"/>
              </w:rPr>
            </w:pPr>
          </w:p>
          <w:p w14:paraId="5DAD8E1D">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类似项目实施业绩</w:t>
            </w:r>
          </w:p>
        </w:tc>
      </w:tr>
      <w:tr w14:paraId="2F02D9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3" w:hRule="atLeast"/>
          <w:jc w:val="center"/>
        </w:trPr>
        <w:tc>
          <w:tcPr>
            <w:tcW w:w="256" w:type="pct"/>
            <w:vAlign w:val="center"/>
          </w:tcPr>
          <w:p w14:paraId="2261B433">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12</w:t>
            </w:r>
          </w:p>
        </w:tc>
        <w:tc>
          <w:tcPr>
            <w:tcW w:w="3109" w:type="pct"/>
          </w:tcPr>
          <w:p w14:paraId="194ACE23">
            <w:pPr>
              <w:rPr>
                <w:rFonts w:hint="eastAsia" w:ascii="宋体" w:hAnsi="宋体" w:eastAsia="宋体" w:cs="宋体"/>
                <w:color w:val="auto"/>
                <w:kern w:val="16"/>
                <w:sz w:val="24"/>
                <w:szCs w:val="24"/>
              </w:rPr>
            </w:pPr>
            <w:r>
              <w:rPr>
                <w:rFonts w:hint="eastAsia" w:ascii="宋体" w:hAnsi="宋体" w:eastAsia="宋体" w:cs="宋体"/>
                <w:color w:val="auto"/>
                <w:kern w:val="16"/>
                <w:sz w:val="24"/>
                <w:szCs w:val="24"/>
              </w:rPr>
              <w:t>有效投标报价的最低价作为评标基准价，其最低报价为满分；按［投标报价得分=（评标基准价/投标报价）*30］的计算公式计算。</w:t>
            </w:r>
          </w:p>
          <w:p w14:paraId="65D2E4BC">
            <w:pPr>
              <w:rPr>
                <w:rFonts w:hint="eastAsia" w:ascii="宋体" w:hAnsi="宋体" w:eastAsia="宋体" w:cs="宋体"/>
                <w:color w:val="auto"/>
                <w:kern w:val="16"/>
                <w:sz w:val="24"/>
                <w:szCs w:val="24"/>
              </w:rPr>
            </w:pPr>
            <w:r>
              <w:rPr>
                <w:rFonts w:hint="eastAsia" w:ascii="宋体" w:hAnsi="宋体" w:eastAsia="宋体" w:cs="宋体"/>
                <w:color w:val="auto"/>
                <w:kern w:val="16"/>
                <w:sz w:val="24"/>
                <w:szCs w:val="24"/>
              </w:rPr>
              <w:t>评标过程中，不得去掉报价中的最高报价和最低报价。</w:t>
            </w:r>
          </w:p>
        </w:tc>
        <w:tc>
          <w:tcPr>
            <w:tcW w:w="436" w:type="pct"/>
            <w:vAlign w:val="center"/>
          </w:tcPr>
          <w:p w14:paraId="567A80B0">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30</w:t>
            </w:r>
          </w:p>
        </w:tc>
        <w:tc>
          <w:tcPr>
            <w:tcW w:w="483" w:type="pct"/>
            <w:vAlign w:val="center"/>
          </w:tcPr>
          <w:p w14:paraId="34A7C9D0">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w:t>
            </w:r>
          </w:p>
        </w:tc>
        <w:tc>
          <w:tcPr>
            <w:tcW w:w="715" w:type="pct"/>
            <w:vAlign w:val="center"/>
          </w:tcPr>
          <w:p w14:paraId="23F5FD4B">
            <w:pPr>
              <w:jc w:val="center"/>
              <w:rPr>
                <w:rFonts w:hint="eastAsia" w:ascii="宋体" w:hAnsi="宋体" w:eastAsia="宋体" w:cs="宋体"/>
                <w:color w:val="auto"/>
                <w:kern w:val="13"/>
                <w:sz w:val="24"/>
                <w:szCs w:val="24"/>
              </w:rPr>
            </w:pPr>
            <w:r>
              <w:rPr>
                <w:rFonts w:hint="eastAsia" w:ascii="宋体" w:hAnsi="宋体" w:eastAsia="宋体" w:cs="宋体"/>
                <w:color w:val="auto"/>
                <w:kern w:val="13"/>
                <w:sz w:val="24"/>
                <w:szCs w:val="24"/>
              </w:rPr>
              <w:t>价格分</w:t>
            </w:r>
          </w:p>
        </w:tc>
      </w:tr>
    </w:tbl>
    <w:p w14:paraId="75C3A554">
      <w:pPr>
        <w:rPr>
          <w:color w:val="auto"/>
        </w:rPr>
      </w:pPr>
    </w:p>
    <w:p w14:paraId="3394EB89">
      <w:pPr>
        <w:snapToGrid w:val="0"/>
        <w:spacing w:line="360" w:lineRule="auto"/>
        <w:rPr>
          <w:rFonts w:ascii="宋体" w:hAnsi="宋体" w:cs="宋体"/>
          <w:b/>
          <w:color w:val="auto"/>
          <w:sz w:val="24"/>
        </w:rPr>
      </w:pPr>
      <w:r>
        <w:rPr>
          <w:rFonts w:hint="eastAsia" w:ascii="宋体" w:hAnsi="宋体" w:cs="宋体"/>
          <w:color w:val="auto"/>
          <w:sz w:val="20"/>
          <w:szCs w:val="20"/>
          <w:shd w:val="clear" w:color="auto" w:fill="FFFFFF"/>
        </w:rPr>
        <w:t> *</w:t>
      </w:r>
      <w:r>
        <w:rPr>
          <w:rFonts w:hint="eastAsia" w:ascii="宋体" w:hAnsi="宋体" w:cs="宋体"/>
          <w:b/>
          <w:color w:val="auto"/>
          <w:sz w:val="24"/>
        </w:rPr>
        <w:t>备注：</w:t>
      </w:r>
      <w:r>
        <w:rPr>
          <w:rFonts w:hint="eastAsia" w:ascii="宋体" w:hAnsi="宋体" w:cs="宋体"/>
          <w:color w:val="auto"/>
          <w:sz w:val="24"/>
        </w:rPr>
        <w:t>投标人编制投标文件（商务技术文件部分）时，建议按此目录（序号和内容）提供评标标准相应的商务技术资料。 </w:t>
      </w:r>
    </w:p>
    <w:p w14:paraId="5BE6C581">
      <w:pPr>
        <w:snapToGrid w:val="0"/>
        <w:spacing w:line="360" w:lineRule="auto"/>
        <w:rPr>
          <w:rFonts w:hint="eastAsia" w:ascii="宋体" w:hAnsi="宋体" w:cs="宋体"/>
          <w:b/>
          <w:color w:val="auto"/>
          <w:sz w:val="32"/>
        </w:rPr>
        <w:sectPr>
          <w:pgSz w:w="16838" w:h="11906" w:orient="landscape"/>
          <w:pgMar w:top="1803" w:right="1440" w:bottom="1803" w:left="1440" w:header="851" w:footer="992" w:gutter="0"/>
          <w:pgBorders>
            <w:top w:val="none" w:sz="0" w:space="0"/>
            <w:left w:val="none" w:sz="0" w:space="0"/>
            <w:bottom w:val="none" w:sz="0" w:space="0"/>
            <w:right w:val="none" w:sz="0" w:space="0"/>
          </w:pgBorders>
          <w:cols w:space="0" w:num="1"/>
          <w:rtlGutter w:val="0"/>
          <w:docGrid w:type="lines" w:linePitch="319" w:charSpace="0"/>
        </w:sectPr>
      </w:pPr>
    </w:p>
    <w:p w14:paraId="4FA25040">
      <w:pPr>
        <w:snapToGrid w:val="0"/>
        <w:spacing w:line="360" w:lineRule="auto"/>
        <w:rPr>
          <w:rFonts w:ascii="宋体" w:hAnsi="宋体" w:cs="宋体"/>
          <w:b/>
          <w:color w:val="auto"/>
          <w:sz w:val="28"/>
          <w:szCs w:val="28"/>
        </w:rPr>
      </w:pPr>
      <w:r>
        <w:rPr>
          <w:rFonts w:hint="eastAsia" w:ascii="宋体" w:hAnsi="宋体" w:cs="宋体"/>
          <w:b/>
          <w:color w:val="auto"/>
          <w:sz w:val="32"/>
        </w:rPr>
        <w:t>一、评标方法</w:t>
      </w:r>
    </w:p>
    <w:p w14:paraId="2E20AA49">
      <w:pPr>
        <w:adjustRightInd/>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1.本项目采用综合评分法。</w:t>
      </w:r>
      <w:r>
        <w:rPr>
          <w:rFonts w:hint="eastAsia" w:ascii="宋体" w:hAnsi="宋体" w:cs="宋体"/>
          <w:color w:val="auto"/>
          <w:kern w:val="0"/>
          <w:sz w:val="24"/>
        </w:rPr>
        <w:t>综合评分法，是指投标文件满足招标文件全部实质性要求，且按照评审因素的量化指标评审得分最高的投标人为中标候选人的评标方法。</w:t>
      </w:r>
    </w:p>
    <w:p w14:paraId="7B006063">
      <w:pPr>
        <w:adjustRightInd/>
        <w:spacing w:line="360" w:lineRule="auto"/>
        <w:rPr>
          <w:rFonts w:ascii="宋体" w:hAnsi="宋体" w:cs="宋体"/>
          <w:color w:val="auto"/>
          <w:kern w:val="0"/>
          <w:sz w:val="24"/>
        </w:rPr>
      </w:pPr>
      <w:r>
        <w:rPr>
          <w:rFonts w:hint="eastAsia" w:ascii="宋体" w:hAnsi="宋体" w:cs="宋体"/>
          <w:b/>
          <w:color w:val="auto"/>
          <w:sz w:val="32"/>
        </w:rPr>
        <w:t>二、评标标准</w:t>
      </w:r>
    </w:p>
    <w:p w14:paraId="1B582C0A">
      <w:pPr>
        <w:spacing w:line="360" w:lineRule="auto"/>
        <w:ind w:firstLine="472" w:firstLineChars="196"/>
        <w:rPr>
          <w:rFonts w:ascii="宋体" w:hAnsi="宋体" w:cs="宋体"/>
          <w:b/>
          <w:color w:val="auto"/>
          <w:sz w:val="24"/>
        </w:rPr>
      </w:pPr>
      <w:r>
        <w:rPr>
          <w:rFonts w:hint="eastAsia" w:ascii="宋体" w:hAnsi="宋体" w:cs="宋体"/>
          <w:b/>
          <w:color w:val="auto"/>
          <w:sz w:val="24"/>
        </w:rPr>
        <w:t>2.</w:t>
      </w:r>
      <w:r>
        <w:rPr>
          <w:rFonts w:hint="eastAsia" w:ascii="宋体" w:hAnsi="宋体" w:cs="宋体"/>
          <w:color w:val="auto"/>
        </w:rPr>
        <w:t xml:space="preserve"> </w:t>
      </w:r>
      <w:r>
        <w:rPr>
          <w:rFonts w:hint="eastAsia" w:ascii="宋体" w:hAnsi="宋体" w:cs="宋体"/>
          <w:b/>
          <w:color w:val="auto"/>
          <w:sz w:val="24"/>
        </w:rPr>
        <w:t>评标标准：</w:t>
      </w:r>
      <w:r>
        <w:rPr>
          <w:rFonts w:hint="eastAsia" w:ascii="宋体" w:hAnsi="宋体" w:cs="宋体"/>
          <w:color w:val="auto"/>
          <w:kern w:val="0"/>
          <w:sz w:val="24"/>
        </w:rPr>
        <w:t>见评标办法前附表。</w:t>
      </w:r>
    </w:p>
    <w:p w14:paraId="1F3CD009">
      <w:pPr>
        <w:spacing w:line="360" w:lineRule="auto"/>
        <w:outlineLvl w:val="0"/>
        <w:rPr>
          <w:rFonts w:ascii="宋体" w:hAnsi="宋体" w:cs="宋体"/>
          <w:b/>
          <w:color w:val="auto"/>
          <w:sz w:val="36"/>
          <w:szCs w:val="36"/>
        </w:rPr>
      </w:pPr>
      <w:r>
        <w:rPr>
          <w:rFonts w:hint="eastAsia" w:ascii="宋体" w:hAnsi="宋体" w:cs="宋体"/>
          <w:b/>
          <w:color w:val="auto"/>
          <w:sz w:val="36"/>
          <w:szCs w:val="36"/>
        </w:rPr>
        <w:t>三、评标程序</w:t>
      </w:r>
    </w:p>
    <w:p w14:paraId="52B48722">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3.1符合性审查。</w:t>
      </w:r>
      <w:r>
        <w:rPr>
          <w:rFonts w:hint="eastAsia" w:ascii="宋体" w:hAnsi="宋体" w:cs="宋体"/>
          <w:color w:val="auto"/>
          <w:kern w:val="0"/>
          <w:sz w:val="24"/>
        </w:rPr>
        <w:t>评标委员会应当对符合资格的投标人的投标文件进行符合性审查，以确定其是否满足招标文件的实质性要求。不满足招标文件的实质性要求的，投标无效。</w:t>
      </w:r>
    </w:p>
    <w:p w14:paraId="1CAC80F5">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3.2 比较与评价。</w:t>
      </w:r>
      <w:r>
        <w:rPr>
          <w:rFonts w:hint="eastAsia" w:ascii="宋体" w:hAnsi="宋体" w:cs="宋体"/>
          <w:color w:val="auto"/>
          <w:kern w:val="0"/>
          <w:sz w:val="24"/>
        </w:rPr>
        <w:t>评标委员会应当按照招标文件中规定的评标方法和标准，对符合性审查合格的投标文件进行商务和技术评估，综合比较与评价。</w:t>
      </w:r>
    </w:p>
    <w:p w14:paraId="76310C96">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3.3汇总商务技术得分。</w:t>
      </w:r>
      <w:r>
        <w:rPr>
          <w:rFonts w:hint="eastAsia" w:ascii="宋体" w:hAnsi="宋体" w:cs="宋体"/>
          <w:color w:val="auto"/>
          <w:kern w:val="0"/>
          <w:sz w:val="24"/>
        </w:rPr>
        <w:t>评标委员会各成员应当独立对每个投标人的商务和技术文件进行评价，并汇总商务技术得分情况。</w:t>
      </w:r>
    </w:p>
    <w:p w14:paraId="4DA1972D">
      <w:pPr>
        <w:spacing w:line="360" w:lineRule="auto"/>
        <w:ind w:firstLine="472" w:firstLineChars="196"/>
        <w:rPr>
          <w:rFonts w:ascii="宋体" w:hAnsi="宋体" w:cs="宋体"/>
          <w:b/>
          <w:color w:val="auto"/>
          <w:kern w:val="0"/>
          <w:sz w:val="24"/>
        </w:rPr>
      </w:pPr>
      <w:r>
        <w:rPr>
          <w:rFonts w:hint="eastAsia" w:ascii="宋体" w:hAnsi="宋体" w:cs="宋体"/>
          <w:b/>
          <w:color w:val="auto"/>
          <w:kern w:val="0"/>
          <w:sz w:val="24"/>
        </w:rPr>
        <w:t>3.4报价评审。</w:t>
      </w:r>
    </w:p>
    <w:p w14:paraId="68BFB131">
      <w:pPr>
        <w:pStyle w:val="131"/>
        <w:spacing w:before="0"/>
        <w:ind w:firstLine="508" w:firstLineChars="212"/>
        <w:rPr>
          <w:rFonts w:ascii="宋体" w:hAnsi="宋体" w:cs="宋体"/>
          <w:color w:val="auto"/>
          <w:kern w:val="0"/>
        </w:rPr>
      </w:pPr>
      <w:r>
        <w:rPr>
          <w:rFonts w:hint="eastAsia" w:ascii="宋体" w:hAnsi="宋体" w:cs="宋体"/>
          <w:color w:val="auto"/>
          <w:kern w:val="0"/>
        </w:rPr>
        <w:t>3.4.1投标文件报价出现前后不一致的，按照下列规定修正：</w:t>
      </w:r>
    </w:p>
    <w:p w14:paraId="5F298057">
      <w:pPr>
        <w:pStyle w:val="131"/>
        <w:spacing w:before="0"/>
        <w:ind w:firstLine="480"/>
        <w:rPr>
          <w:rFonts w:ascii="宋体" w:hAnsi="宋体" w:cs="宋体"/>
          <w:color w:val="auto"/>
          <w:kern w:val="0"/>
          <w:szCs w:val="24"/>
        </w:rPr>
      </w:pPr>
      <w:r>
        <w:rPr>
          <w:rFonts w:hint="eastAsia" w:ascii="宋体" w:hAnsi="宋体" w:cs="宋体"/>
          <w:color w:val="auto"/>
          <w:kern w:val="0"/>
          <w:szCs w:val="24"/>
        </w:rPr>
        <w:t>3.4.1.1投标文件中开标一览表(报价表)内容与投标文件中相应内容不一致的，以开标一览表(报价表)为准;</w:t>
      </w:r>
    </w:p>
    <w:p w14:paraId="3457A5C8">
      <w:pPr>
        <w:pStyle w:val="131"/>
        <w:spacing w:before="0"/>
        <w:ind w:firstLine="480"/>
        <w:rPr>
          <w:rFonts w:ascii="宋体" w:hAnsi="宋体" w:cs="宋体"/>
          <w:color w:val="auto"/>
          <w:kern w:val="0"/>
          <w:szCs w:val="24"/>
        </w:rPr>
      </w:pPr>
      <w:r>
        <w:rPr>
          <w:rFonts w:hint="eastAsia" w:ascii="宋体" w:hAnsi="宋体" w:cs="宋体"/>
          <w:color w:val="auto"/>
          <w:kern w:val="0"/>
          <w:szCs w:val="24"/>
        </w:rPr>
        <w:t>3.4.1.2大写金额和小写金额不一致的，以大写金额为准;</w:t>
      </w:r>
    </w:p>
    <w:p w14:paraId="005D3906">
      <w:pPr>
        <w:pStyle w:val="131"/>
        <w:spacing w:before="0"/>
        <w:ind w:firstLine="480"/>
        <w:rPr>
          <w:rFonts w:ascii="宋体" w:hAnsi="宋体" w:cs="宋体"/>
          <w:color w:val="auto"/>
          <w:kern w:val="0"/>
          <w:szCs w:val="24"/>
        </w:rPr>
      </w:pPr>
      <w:r>
        <w:rPr>
          <w:rFonts w:hint="eastAsia" w:ascii="宋体" w:hAnsi="宋体" w:cs="宋体"/>
          <w:color w:val="auto"/>
          <w:kern w:val="0"/>
          <w:szCs w:val="24"/>
        </w:rPr>
        <w:t>3.4.1.3单价金额小数点或者百分比有明显错位的，以开标一览表的总价为准，并修改单价;</w:t>
      </w:r>
    </w:p>
    <w:p w14:paraId="0BB8BAF0">
      <w:pPr>
        <w:pStyle w:val="131"/>
        <w:spacing w:before="0"/>
        <w:ind w:firstLine="480"/>
        <w:rPr>
          <w:rFonts w:ascii="宋体" w:hAnsi="宋体" w:cs="宋体"/>
          <w:color w:val="auto"/>
          <w:kern w:val="0"/>
          <w:szCs w:val="24"/>
        </w:rPr>
      </w:pPr>
      <w:r>
        <w:rPr>
          <w:rFonts w:hint="eastAsia" w:ascii="宋体" w:hAnsi="宋体" w:cs="宋体"/>
          <w:color w:val="auto"/>
          <w:kern w:val="0"/>
          <w:szCs w:val="24"/>
        </w:rPr>
        <w:t>3.4.1.4总价金额与按单价汇总金额不一致的，以单价金额计算结果为准。</w:t>
      </w:r>
    </w:p>
    <w:p w14:paraId="21B1F2E2">
      <w:pPr>
        <w:pStyle w:val="131"/>
        <w:spacing w:before="0"/>
        <w:ind w:firstLine="480"/>
        <w:rPr>
          <w:rFonts w:ascii="宋体" w:hAnsi="宋体" w:cs="宋体"/>
          <w:color w:val="auto"/>
          <w:kern w:val="0"/>
          <w:szCs w:val="24"/>
        </w:rPr>
      </w:pPr>
      <w:r>
        <w:rPr>
          <w:rFonts w:hint="eastAsia" w:ascii="宋体" w:hAnsi="宋体" w:cs="宋体"/>
          <w:color w:val="auto"/>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27C97AE3">
      <w:pPr>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3.4.2投标文件出现不是唯一的、有选择性投标报价的，投标无效。</w:t>
      </w:r>
    </w:p>
    <w:p w14:paraId="288BFC9B">
      <w:pPr>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3.4.3投标报价超过招标文件中规定的预算金额或者最高限价的，投标无效。</w:t>
      </w:r>
    </w:p>
    <w:p w14:paraId="328CC4E2">
      <w:pPr>
        <w:pStyle w:val="131"/>
        <w:spacing w:before="0"/>
        <w:ind w:firstLine="480"/>
        <w:rPr>
          <w:rFonts w:ascii="宋体" w:hAnsi="宋体" w:cs="宋体"/>
          <w:color w:val="auto"/>
          <w:kern w:val="0"/>
          <w:szCs w:val="24"/>
        </w:rPr>
      </w:pPr>
      <w:r>
        <w:rPr>
          <w:rFonts w:hint="eastAsia" w:ascii="宋体" w:hAnsi="宋体" w:cs="宋体"/>
          <w:color w:val="auto"/>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13BB7517">
      <w:pPr>
        <w:pStyle w:val="131"/>
        <w:spacing w:before="0"/>
        <w:ind w:firstLine="480"/>
        <w:rPr>
          <w:rFonts w:ascii="宋体" w:hAnsi="宋体" w:cs="宋体"/>
          <w:color w:val="auto"/>
          <w:kern w:val="0"/>
          <w:szCs w:val="24"/>
        </w:rPr>
      </w:pPr>
      <w:r>
        <w:rPr>
          <w:rFonts w:hint="eastAsia" w:ascii="宋体" w:hAnsi="宋体" w:cs="宋体"/>
          <w:color w:val="auto"/>
          <w:kern w:val="0"/>
          <w:szCs w:val="24"/>
        </w:rPr>
        <w:t>3.4.5对于未预留份额专门面向中小企业的政府采购货物项目，以及预留份额政府采购货物项目中的非预留部分标项，对小型和微型企业的投标报价给予10%-</w:t>
      </w:r>
      <w:r>
        <w:rPr>
          <w:rFonts w:ascii="宋体" w:hAnsi="宋体" w:cs="宋体"/>
          <w:color w:val="auto"/>
          <w:kern w:val="0"/>
          <w:szCs w:val="24"/>
        </w:rPr>
        <w:t>20</w:t>
      </w:r>
      <w:r>
        <w:rPr>
          <w:rFonts w:hint="eastAsia" w:ascii="宋体" w:hAnsi="宋体" w:cs="宋体"/>
          <w:color w:val="auto"/>
          <w:kern w:val="0"/>
          <w:szCs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w:t>
      </w:r>
      <w:r>
        <w:rPr>
          <w:rFonts w:ascii="宋体" w:hAnsi="宋体" w:cs="宋体"/>
          <w:color w:val="auto"/>
          <w:kern w:val="0"/>
          <w:szCs w:val="24"/>
        </w:rPr>
        <w:t>6</w:t>
      </w:r>
      <w:r>
        <w:rPr>
          <w:rFonts w:hint="eastAsia" w:ascii="宋体" w:hAnsi="宋体" w:cs="宋体"/>
          <w:color w:val="auto"/>
          <w:kern w:val="0"/>
          <w:szCs w:val="24"/>
        </w:rPr>
        <w:t>%的扣除，用扣除后的价格参加评审。组成联合体或者接受分包的小微企业与联合体内其他企业、分包企业之间存在直接控股、管理关系的，不享受价格扣除优惠政策。</w:t>
      </w:r>
    </w:p>
    <w:p w14:paraId="6B036EB4">
      <w:pPr>
        <w:spacing w:line="360" w:lineRule="auto"/>
        <w:ind w:firstLine="482" w:firstLineChars="200"/>
        <w:rPr>
          <w:rFonts w:ascii="宋体" w:hAnsi="宋体" w:cs="宋体"/>
          <w:color w:val="auto"/>
          <w:kern w:val="0"/>
          <w:sz w:val="24"/>
        </w:rPr>
      </w:pPr>
      <w:r>
        <w:rPr>
          <w:rFonts w:hint="eastAsia" w:ascii="宋体" w:hAnsi="宋体" w:cs="宋体"/>
          <w:b/>
          <w:color w:val="auto"/>
          <w:kern w:val="0"/>
          <w:sz w:val="24"/>
        </w:rPr>
        <w:t>3.5排序与推荐。</w:t>
      </w:r>
      <w:r>
        <w:rPr>
          <w:rFonts w:hint="eastAsia" w:ascii="宋体" w:hAnsi="宋体" w:cs="宋体"/>
          <w:color w:val="auto"/>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55336E0F">
      <w:pPr>
        <w:spacing w:line="360" w:lineRule="auto"/>
        <w:ind w:firstLine="480" w:firstLineChars="200"/>
        <w:rPr>
          <w:rFonts w:ascii="宋体" w:hAnsi="宋体" w:cs="宋体"/>
          <w:b/>
          <w:color w:val="auto"/>
          <w:kern w:val="0"/>
          <w:sz w:val="24"/>
        </w:rPr>
      </w:pPr>
      <w:r>
        <w:rPr>
          <w:rFonts w:hint="eastAsia" w:ascii="宋体" w:hAnsi="宋体" w:cs="宋体"/>
          <w:color w:val="auto"/>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5E82111">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3.6编写评标报告。</w:t>
      </w:r>
      <w:r>
        <w:rPr>
          <w:rFonts w:hint="eastAsia" w:ascii="宋体" w:hAnsi="宋体" w:cs="宋体"/>
          <w:color w:val="auto"/>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40D8621">
      <w:pPr>
        <w:widowControl/>
        <w:shd w:val="clear" w:color="auto" w:fill="FFFFFF"/>
        <w:adjustRightInd/>
        <w:spacing w:after="225" w:line="315" w:lineRule="atLeast"/>
        <w:jc w:val="left"/>
        <w:rPr>
          <w:rFonts w:ascii="宋体" w:hAnsi="宋体" w:cs="宋体"/>
          <w:b/>
          <w:color w:val="auto"/>
          <w:sz w:val="32"/>
        </w:rPr>
      </w:pPr>
      <w:r>
        <w:rPr>
          <w:rFonts w:hint="eastAsia" w:ascii="宋体" w:hAnsi="宋体" w:cs="宋体"/>
          <w:b/>
          <w:color w:val="auto"/>
          <w:sz w:val="32"/>
        </w:rPr>
        <w:t>四、评标中的其他事项</w:t>
      </w:r>
    </w:p>
    <w:p w14:paraId="7EECFE6C">
      <w:pPr>
        <w:pStyle w:val="131"/>
        <w:spacing w:before="0"/>
        <w:ind w:firstLine="472" w:firstLineChars="196"/>
        <w:rPr>
          <w:rFonts w:ascii="宋体" w:hAnsi="宋体" w:cs="宋体"/>
          <w:color w:val="auto"/>
          <w:kern w:val="0"/>
          <w:szCs w:val="24"/>
        </w:rPr>
      </w:pPr>
      <w:r>
        <w:rPr>
          <w:rFonts w:hint="eastAsia" w:ascii="宋体" w:hAnsi="宋体" w:cs="宋体"/>
          <w:b/>
          <w:color w:val="auto"/>
          <w:kern w:val="0"/>
          <w:szCs w:val="24"/>
        </w:rPr>
        <w:t>4.1投标人澄清、说明或者补正。</w:t>
      </w:r>
      <w:r>
        <w:rPr>
          <w:rFonts w:hint="eastAsia" w:ascii="宋体" w:hAnsi="宋体" w:cs="宋体"/>
          <w:color w:val="auto"/>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A03EAE1">
      <w:pPr>
        <w:pStyle w:val="24"/>
        <w:spacing w:line="360" w:lineRule="auto"/>
        <w:ind w:left="954" w:leftChars="226" w:hanging="479" w:firstLineChars="0"/>
        <w:rPr>
          <w:rFonts w:cs="宋体"/>
          <w:color w:val="auto"/>
          <w:szCs w:val="21"/>
        </w:rPr>
      </w:pPr>
      <w:r>
        <w:rPr>
          <w:rFonts w:hint="eastAsia" w:cs="宋体"/>
          <w:b/>
          <w:color w:val="auto"/>
          <w:kern w:val="0"/>
        </w:rPr>
        <w:t>4.2投标无效。</w:t>
      </w:r>
      <w:r>
        <w:rPr>
          <w:rFonts w:hint="eastAsia" w:cs="宋体"/>
          <w:color w:val="auto"/>
          <w:szCs w:val="21"/>
        </w:rPr>
        <w:t>有下列情形之一的，投标无效：</w:t>
      </w:r>
    </w:p>
    <w:p w14:paraId="72449318">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4.2.1投标人不具备招标文件中规定的资格要求的（投标人未提供有效的资格文件的，视为投标人不具备招标文件中规定的资格要求）；</w:t>
      </w:r>
    </w:p>
    <w:p w14:paraId="5754DAF0">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4.2.2投标文件未按照招标文件要求签署、盖章的；</w:t>
      </w:r>
    </w:p>
    <w:p w14:paraId="6EFA5C8A">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4.2.3采购人拟采购的产品属于政府强制采购的节能产品品目清单范围的，投标人相应的投标产品未获得国家确定的认证机构出具的、处于有效期之内的节能产品认证证书的；</w:t>
      </w:r>
    </w:p>
    <w:p w14:paraId="76E636D7">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4.2.4投标文件含有采购人不能接受的附加条件的；</w:t>
      </w:r>
    </w:p>
    <w:p w14:paraId="3D866348">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4.2.5投标文件中承诺的投标有效期少于招标文件中载明的投标有效期的；</w:t>
      </w:r>
    </w:p>
    <w:p w14:paraId="7EA6E446">
      <w:pPr>
        <w:snapToGrid w:val="0"/>
        <w:spacing w:line="360" w:lineRule="auto"/>
        <w:ind w:firstLine="120" w:firstLineChars="50"/>
        <w:jc w:val="left"/>
        <w:rPr>
          <w:rFonts w:ascii="宋体" w:hAnsi="宋体" w:cs="宋体"/>
          <w:color w:val="auto"/>
          <w:kern w:val="0"/>
          <w:sz w:val="24"/>
        </w:rPr>
      </w:pPr>
      <w:r>
        <w:rPr>
          <w:rFonts w:hint="eastAsia" w:ascii="宋体" w:hAnsi="宋体" w:cs="宋体"/>
          <w:color w:val="auto"/>
          <w:kern w:val="0"/>
          <w:sz w:val="24"/>
        </w:rPr>
        <w:t xml:space="preserve">   4.2.6投标文件出现不是唯一的、有选择性投标报价的;</w:t>
      </w:r>
    </w:p>
    <w:p w14:paraId="35EEA457">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4.2.7投标报价超过招标文件中规定的预算金额或者最高限价的;</w:t>
      </w:r>
    </w:p>
    <w:p w14:paraId="1D25F62D">
      <w:pPr>
        <w:ind w:firstLine="240" w:firstLineChars="100"/>
        <w:rPr>
          <w:rFonts w:hint="eastAsia" w:ascii="宋体" w:hAnsi="宋体" w:cs="宋体"/>
          <w:color w:val="auto"/>
          <w:kern w:val="0"/>
          <w:sz w:val="24"/>
        </w:rPr>
      </w:pPr>
    </w:p>
    <w:p w14:paraId="75EA4AC7">
      <w:pPr>
        <w:ind w:firstLine="240" w:firstLineChars="100"/>
        <w:rPr>
          <w:color w:val="auto"/>
        </w:rPr>
      </w:pPr>
      <w:r>
        <w:rPr>
          <w:rFonts w:hint="eastAsia" w:ascii="宋体" w:hAnsi="宋体" w:cs="宋体"/>
          <w:color w:val="auto"/>
          <w:kern w:val="0"/>
          <w:sz w:val="24"/>
        </w:rPr>
        <w:t>4.2.</w:t>
      </w:r>
      <w:r>
        <w:rPr>
          <w:rFonts w:hint="eastAsia" w:ascii="宋体" w:hAnsi="宋体" w:cs="宋体"/>
          <w:color w:val="auto"/>
          <w:kern w:val="0"/>
          <w:sz w:val="24"/>
          <w:lang w:val="en-US" w:eastAsia="zh-CN"/>
        </w:rPr>
        <w:t>8</w:t>
      </w:r>
      <w:r>
        <w:rPr>
          <w:rFonts w:hint="eastAsia" w:ascii="宋体" w:hAnsi="宋体" w:cs="宋体"/>
          <w:color w:val="auto"/>
          <w:sz w:val="24"/>
          <w:lang w:val="en-US" w:eastAsia="zh-CN"/>
        </w:rPr>
        <w:t>《中小企业声明函》填写企业类型错误或者未填写企业类型的，投标无效。</w:t>
      </w:r>
    </w:p>
    <w:p w14:paraId="294BCE83">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4.2.9投标人对根据修正原则修正后的报价不确认的；</w:t>
      </w:r>
    </w:p>
    <w:p w14:paraId="68AE62C4">
      <w:pPr>
        <w:spacing w:line="360" w:lineRule="auto"/>
        <w:ind w:firstLine="480" w:firstLineChars="200"/>
        <w:rPr>
          <w:rFonts w:hint="eastAsia" w:ascii="宋体" w:hAnsi="宋体" w:cs="宋体"/>
          <w:color w:val="auto"/>
          <w:kern w:val="0"/>
          <w:sz w:val="24"/>
        </w:rPr>
      </w:pPr>
      <w:r>
        <w:rPr>
          <w:rFonts w:hint="eastAsia" w:ascii="宋体" w:hAnsi="宋体" w:cs="宋体"/>
          <w:color w:val="auto"/>
          <w:kern w:val="0"/>
          <w:sz w:val="24"/>
        </w:rPr>
        <w:t>4.2.10投标人提供虚假材料投标的；</w:t>
      </w:r>
    </w:p>
    <w:p w14:paraId="459F08CE">
      <w:pPr>
        <w:spacing w:line="360" w:lineRule="auto"/>
        <w:ind w:firstLine="240" w:firstLineChars="100"/>
        <w:rPr>
          <w:rFonts w:hint="eastAsia" w:ascii="宋体" w:hAnsi="宋体" w:cs="宋体"/>
          <w:color w:val="auto"/>
          <w:kern w:val="0"/>
          <w:sz w:val="24"/>
        </w:rPr>
      </w:pPr>
      <w:r>
        <w:rPr>
          <w:rFonts w:hint="eastAsia" w:ascii="宋体" w:hAnsi="宋体" w:cs="宋体"/>
          <w:color w:val="auto"/>
          <w:kern w:val="0"/>
          <w:sz w:val="24"/>
        </w:rPr>
        <w:t xml:space="preserve">  4.2.11投标人有恶意串通、妨碍其他投标人的竞争行为、损害采购人或者其他投标人的合法权益情形的；</w:t>
      </w:r>
    </w:p>
    <w:p w14:paraId="14B5EF0B">
      <w:pPr>
        <w:pStyle w:val="79"/>
        <w:rPr>
          <w:color w:val="auto"/>
        </w:rPr>
      </w:pPr>
      <w:r>
        <w:rPr>
          <w:rFonts w:hint="eastAsia"/>
          <w:color w:val="auto"/>
          <w:lang w:val="en-US" w:eastAsia="zh-CN"/>
        </w:rPr>
        <w:t xml:space="preserve">4.2.12 </w:t>
      </w:r>
      <w:r>
        <w:rPr>
          <w:rFonts w:hint="eastAsia"/>
          <w:color w:val="auto"/>
        </w:rPr>
        <w:t>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p w14:paraId="074F76F1">
      <w:pPr>
        <w:pStyle w:val="79"/>
        <w:rPr>
          <w:rFonts w:hint="eastAsia" w:eastAsia="华文楷体"/>
          <w:color w:val="auto"/>
          <w:lang w:val="en-US" w:eastAsia="zh-CN"/>
        </w:rPr>
      </w:pPr>
    </w:p>
    <w:p w14:paraId="26DD1DD4">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4.2.12投标人仅提交备份投标文件，未在电子交易平台传输递交投标文件的，投标无效；</w:t>
      </w:r>
    </w:p>
    <w:p w14:paraId="589B65BB">
      <w:pPr>
        <w:pStyle w:val="3"/>
        <w:ind w:left="862" w:leftChars="205"/>
        <w:rPr>
          <w:rFonts w:ascii="宋体" w:hAnsi="宋体" w:eastAsia="宋体" w:cs="宋体"/>
          <w:b w:val="0"/>
          <w:bCs w:val="0"/>
          <w:color w:val="auto"/>
          <w:kern w:val="0"/>
          <w:sz w:val="24"/>
          <w:szCs w:val="24"/>
          <w:lang w:val="en-US"/>
        </w:rPr>
      </w:pPr>
      <w:r>
        <w:rPr>
          <w:rFonts w:hint="eastAsia" w:ascii="宋体" w:hAnsi="宋体" w:eastAsia="宋体" w:cs="宋体"/>
          <w:b w:val="0"/>
          <w:bCs w:val="0"/>
          <w:color w:val="auto"/>
          <w:kern w:val="0"/>
          <w:sz w:val="24"/>
          <w:szCs w:val="24"/>
          <w:lang w:val="en-US"/>
        </w:rPr>
        <w:t>4.2.13 投标文件不满足招标文件的其它实质性要求的；</w:t>
      </w:r>
    </w:p>
    <w:p w14:paraId="75AF17BC">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4.2.14法律、法规、规章（适用本市的）及省级以上规范性文件（适用本市的）规定的其他无效情形。</w:t>
      </w:r>
    </w:p>
    <w:p w14:paraId="0A3E4066">
      <w:pPr>
        <w:pStyle w:val="24"/>
        <w:snapToGrid w:val="0"/>
        <w:spacing w:line="360" w:lineRule="auto"/>
        <w:ind w:firstLine="472" w:firstLineChars="196"/>
        <w:rPr>
          <w:rFonts w:cs="宋体"/>
          <w:color w:val="auto"/>
        </w:rPr>
      </w:pPr>
      <w:r>
        <w:rPr>
          <w:rFonts w:hint="eastAsia" w:cs="宋体"/>
          <w:b/>
          <w:color w:val="auto"/>
        </w:rPr>
        <w:t>5.废标。</w:t>
      </w:r>
      <w:r>
        <w:rPr>
          <w:rFonts w:hint="eastAsia" w:cs="宋体"/>
          <w:color w:val="auto"/>
        </w:rPr>
        <w:t>根据《中华人民共和国政府采购法》第三十六条之规定，在采购中，出现下列情形之一的，应予废标：</w:t>
      </w:r>
    </w:p>
    <w:p w14:paraId="2F207155">
      <w:pPr>
        <w:pStyle w:val="24"/>
        <w:snapToGrid w:val="0"/>
        <w:spacing w:line="360" w:lineRule="auto"/>
        <w:rPr>
          <w:rFonts w:cs="宋体"/>
          <w:color w:val="auto"/>
        </w:rPr>
      </w:pPr>
      <w:r>
        <w:rPr>
          <w:rFonts w:hint="eastAsia" w:cs="宋体"/>
          <w:color w:val="auto"/>
        </w:rPr>
        <w:t>5.1符合专业条件的供应商或者对招标文件作实质响应的供应商不足3家的；</w:t>
      </w:r>
    </w:p>
    <w:p w14:paraId="2A4DD666">
      <w:pPr>
        <w:pStyle w:val="24"/>
        <w:snapToGrid w:val="0"/>
        <w:spacing w:line="360" w:lineRule="auto"/>
        <w:rPr>
          <w:rFonts w:cs="宋体"/>
          <w:color w:val="auto"/>
        </w:rPr>
      </w:pPr>
      <w:r>
        <w:rPr>
          <w:rFonts w:hint="eastAsia" w:cs="宋体"/>
          <w:color w:val="auto"/>
        </w:rPr>
        <w:t>5.2出现影响采购公正的违法、违规行为的；</w:t>
      </w:r>
    </w:p>
    <w:p w14:paraId="33447AA3">
      <w:pPr>
        <w:pStyle w:val="24"/>
        <w:snapToGrid w:val="0"/>
        <w:spacing w:line="360" w:lineRule="auto"/>
        <w:rPr>
          <w:rFonts w:cs="宋体"/>
          <w:color w:val="auto"/>
        </w:rPr>
      </w:pPr>
      <w:r>
        <w:rPr>
          <w:rFonts w:hint="eastAsia" w:cs="宋体"/>
          <w:color w:val="auto"/>
        </w:rPr>
        <w:t>5.3投标人的报价均超过了采购预算，采购人不能支付的；</w:t>
      </w:r>
    </w:p>
    <w:p w14:paraId="2714210B">
      <w:pPr>
        <w:pStyle w:val="24"/>
        <w:snapToGrid w:val="0"/>
        <w:spacing w:line="360" w:lineRule="auto"/>
        <w:rPr>
          <w:rFonts w:cs="宋体"/>
          <w:color w:val="auto"/>
        </w:rPr>
      </w:pPr>
      <w:r>
        <w:rPr>
          <w:rFonts w:hint="eastAsia" w:cs="宋体"/>
          <w:color w:val="auto"/>
        </w:rPr>
        <w:t>5.4因重大变故，采购任务取消的。</w:t>
      </w:r>
    </w:p>
    <w:p w14:paraId="7E207DD4">
      <w:pPr>
        <w:pStyle w:val="24"/>
        <w:snapToGrid w:val="0"/>
        <w:spacing w:line="360" w:lineRule="auto"/>
        <w:rPr>
          <w:rFonts w:cs="宋体"/>
          <w:color w:val="auto"/>
        </w:rPr>
      </w:pPr>
      <w:r>
        <w:rPr>
          <w:rFonts w:hint="eastAsia" w:cs="宋体"/>
          <w:color w:val="auto"/>
        </w:rPr>
        <w:t>废标后，</w:t>
      </w:r>
      <w:r>
        <w:rPr>
          <w:rFonts w:hint="eastAsia" w:cs="宋体"/>
          <w:color w:val="auto"/>
          <w:lang w:eastAsia="zh-CN"/>
        </w:rPr>
        <w:t>采购代理机构</w:t>
      </w:r>
      <w:r>
        <w:rPr>
          <w:rFonts w:hint="eastAsia" w:cs="宋体"/>
          <w:color w:val="auto"/>
        </w:rPr>
        <w:t>应当将废标理由通知所有投标人。</w:t>
      </w:r>
    </w:p>
    <w:p w14:paraId="44909DB0">
      <w:pPr>
        <w:pStyle w:val="24"/>
        <w:snapToGrid w:val="0"/>
        <w:spacing w:line="360" w:lineRule="auto"/>
        <w:ind w:firstLine="590" w:firstLineChars="245"/>
        <w:rPr>
          <w:rFonts w:cs="宋体"/>
          <w:color w:val="auto"/>
        </w:rPr>
      </w:pPr>
      <w:r>
        <w:rPr>
          <w:rFonts w:hint="eastAsia" w:cs="宋体"/>
          <w:b/>
          <w:color w:val="auto"/>
        </w:rPr>
        <w:t>6.修改招标文件，重新组织采购活动。</w:t>
      </w:r>
      <w:r>
        <w:rPr>
          <w:rFonts w:hint="eastAsia" w:cs="宋体"/>
          <w:color w:val="auto"/>
        </w:rPr>
        <w:t>评标委员会发现招标文件存在歧义、重大缺陷导致评标工作无法进行，或者招标文件内容违反国家有关强制性规定的，将停止评标工作，并与采购人、</w:t>
      </w:r>
      <w:r>
        <w:rPr>
          <w:rFonts w:hint="eastAsia" w:cs="宋体"/>
          <w:color w:val="auto"/>
          <w:lang w:eastAsia="zh-CN"/>
        </w:rPr>
        <w:t>采购代理机构</w:t>
      </w:r>
      <w:r>
        <w:rPr>
          <w:rFonts w:hint="eastAsia" w:cs="宋体"/>
          <w:color w:val="auto"/>
        </w:rPr>
        <w:t>沟通并作书面记录。采购人、</w:t>
      </w:r>
      <w:r>
        <w:rPr>
          <w:rFonts w:hint="eastAsia" w:cs="宋体"/>
          <w:color w:val="auto"/>
          <w:lang w:eastAsia="zh-CN"/>
        </w:rPr>
        <w:t>采购代理机构</w:t>
      </w:r>
      <w:r>
        <w:rPr>
          <w:rFonts w:hint="eastAsia" w:cs="宋体"/>
          <w:color w:val="auto"/>
        </w:rPr>
        <w:t>确认后，将修改招标文件，重新组织采购活动。</w:t>
      </w:r>
    </w:p>
    <w:p w14:paraId="7E193081">
      <w:pPr>
        <w:pStyle w:val="24"/>
        <w:snapToGrid w:val="0"/>
        <w:spacing w:line="360" w:lineRule="auto"/>
        <w:ind w:firstLine="482"/>
        <w:rPr>
          <w:rFonts w:cs="宋体"/>
          <w:color w:val="auto"/>
        </w:rPr>
      </w:pPr>
      <w:r>
        <w:rPr>
          <w:rFonts w:hint="eastAsia" w:cs="宋体"/>
          <w:b/>
          <w:color w:val="auto"/>
          <w:kern w:val="0"/>
        </w:rPr>
        <w:t>7.重新开展采购。</w:t>
      </w:r>
      <w:r>
        <w:rPr>
          <w:rFonts w:hint="eastAsia" w:cs="宋体"/>
          <w:color w:val="auto"/>
        </w:rPr>
        <w:t>有政府采购法第七十一条、第七十二条规定的违法行为之一，影响或者可能影响中标结果的，依照下列规定处理：</w:t>
      </w:r>
    </w:p>
    <w:p w14:paraId="24776999">
      <w:pPr>
        <w:pStyle w:val="24"/>
        <w:snapToGrid w:val="0"/>
        <w:spacing w:line="360" w:lineRule="auto"/>
        <w:rPr>
          <w:rFonts w:cs="宋体"/>
          <w:color w:val="auto"/>
        </w:rPr>
      </w:pPr>
      <w:r>
        <w:rPr>
          <w:rFonts w:hint="eastAsia" w:cs="宋体"/>
          <w:color w:val="auto"/>
        </w:rPr>
        <w:t>7.1未确定中标供应商的，终止本次政府采购活动，重新开展政府采购活动。</w:t>
      </w:r>
    </w:p>
    <w:p w14:paraId="1301DCD8">
      <w:pPr>
        <w:pStyle w:val="24"/>
        <w:snapToGrid w:val="0"/>
        <w:spacing w:line="360" w:lineRule="auto"/>
        <w:rPr>
          <w:rFonts w:cs="宋体"/>
          <w:color w:val="auto"/>
        </w:rPr>
      </w:pPr>
      <w:r>
        <w:rPr>
          <w:rFonts w:hint="eastAsia" w:cs="宋体"/>
          <w:color w:val="auto"/>
        </w:rPr>
        <w:t>7.2已确定中标供应商但尚未签订政府采购合同的，中标结果无效，从合格的中标候选人中另行确定中标供应商；没有合格的中标候选人的，重新开展政府采购活动。</w:t>
      </w:r>
    </w:p>
    <w:p w14:paraId="229C6902">
      <w:pPr>
        <w:pStyle w:val="24"/>
        <w:snapToGrid w:val="0"/>
        <w:spacing w:line="360" w:lineRule="auto"/>
        <w:rPr>
          <w:rFonts w:cs="宋体"/>
          <w:color w:val="auto"/>
        </w:rPr>
      </w:pPr>
      <w:r>
        <w:rPr>
          <w:rFonts w:hint="eastAsia" w:cs="宋体"/>
          <w:color w:val="auto"/>
        </w:rPr>
        <w:t>7.3政府采购合同已签订但尚未履行的，撤销合同，从合格的中标候选人中另行确定中标供应商；没有合格的中标候选人的，重新开展政府采购活动。</w:t>
      </w:r>
    </w:p>
    <w:p w14:paraId="4AF954C6">
      <w:pPr>
        <w:pStyle w:val="24"/>
        <w:snapToGrid w:val="0"/>
        <w:spacing w:line="360" w:lineRule="auto"/>
        <w:rPr>
          <w:rFonts w:cs="宋体"/>
          <w:color w:val="auto"/>
        </w:rPr>
      </w:pPr>
      <w:r>
        <w:rPr>
          <w:rFonts w:hint="eastAsia" w:cs="宋体"/>
          <w:color w:val="auto"/>
        </w:rPr>
        <w:t>7.4政府采购合同已经履行，给采购人、供应商造成损失的，由责任人承担赔偿责任。</w:t>
      </w:r>
    </w:p>
    <w:p w14:paraId="6733B129">
      <w:pPr>
        <w:pStyle w:val="24"/>
        <w:snapToGrid w:val="0"/>
        <w:spacing w:line="360" w:lineRule="auto"/>
        <w:rPr>
          <w:rFonts w:cs="宋体"/>
          <w:color w:val="auto"/>
        </w:rPr>
      </w:pPr>
      <w:r>
        <w:rPr>
          <w:rFonts w:hint="eastAsia" w:cs="宋体"/>
          <w:color w:val="auto"/>
        </w:rPr>
        <w:t>7.5政府采购当事人有其他违反政府采购法或者政府采购法实施条例等法律法规规定的行为，经改正后仍然影响或者可能影响中标结果或者依法被认定为中标无效的，依照7.1-7.4规定处理。</w:t>
      </w:r>
    </w:p>
    <w:p w14:paraId="3464EA55">
      <w:pPr>
        <w:pStyle w:val="24"/>
        <w:snapToGrid w:val="0"/>
        <w:spacing w:line="360" w:lineRule="auto"/>
        <w:ind w:firstLine="0" w:firstLineChars="0"/>
        <w:rPr>
          <w:rFonts w:cs="宋体"/>
          <w:color w:val="auto"/>
        </w:rPr>
      </w:pPr>
    </w:p>
    <w:bookmarkEnd w:id="31"/>
    <w:p w14:paraId="1C274340">
      <w:pPr>
        <w:spacing w:line="360" w:lineRule="auto"/>
        <w:ind w:left="720" w:leftChars="343" w:firstLine="1084" w:firstLineChars="300"/>
        <w:outlineLvl w:val="0"/>
        <w:rPr>
          <w:rFonts w:ascii="宋体" w:hAnsi="宋体" w:cs="宋体"/>
          <w:b/>
          <w:color w:val="auto"/>
          <w:sz w:val="36"/>
          <w:szCs w:val="36"/>
        </w:rPr>
      </w:pPr>
      <w:bookmarkStart w:id="400" w:name="第五部分"/>
      <w:bookmarkStart w:id="401" w:name="_Toc86217003"/>
      <w:r>
        <w:rPr>
          <w:rFonts w:hint="eastAsia" w:ascii="宋体" w:hAnsi="宋体" w:cs="宋体"/>
          <w:b/>
          <w:color w:val="auto"/>
          <w:sz w:val="36"/>
          <w:szCs w:val="36"/>
        </w:rPr>
        <w:t xml:space="preserve">   </w:t>
      </w:r>
    </w:p>
    <w:p w14:paraId="4D9C9EDF">
      <w:pPr>
        <w:spacing w:line="360" w:lineRule="auto"/>
        <w:ind w:left="720" w:leftChars="343" w:firstLine="1084" w:firstLineChars="300"/>
        <w:outlineLvl w:val="0"/>
        <w:rPr>
          <w:rFonts w:ascii="宋体" w:hAnsi="宋体" w:cs="宋体"/>
          <w:b/>
          <w:color w:val="auto"/>
          <w:sz w:val="36"/>
          <w:szCs w:val="36"/>
        </w:rPr>
      </w:pPr>
      <w:r>
        <w:rPr>
          <w:rFonts w:hint="eastAsia" w:ascii="宋体" w:hAnsi="宋体" w:cs="宋体"/>
          <w:b/>
          <w:color w:val="auto"/>
          <w:sz w:val="36"/>
          <w:szCs w:val="36"/>
        </w:rPr>
        <w:t>第五部分 拟签订的合同文本</w:t>
      </w:r>
    </w:p>
    <w:p w14:paraId="3043D06E">
      <w:pPr>
        <w:spacing w:line="480" w:lineRule="auto"/>
        <w:jc w:val="center"/>
        <w:rPr>
          <w:rFonts w:ascii="宋体" w:hAnsi="宋体" w:cs="宋体"/>
          <w:b/>
          <w:color w:val="auto"/>
          <w:sz w:val="28"/>
          <w:szCs w:val="28"/>
        </w:rPr>
      </w:pPr>
    </w:p>
    <w:p w14:paraId="75F2B129">
      <w:pPr>
        <w:pStyle w:val="80"/>
        <w:rPr>
          <w:rFonts w:ascii="宋体" w:hAnsi="宋体" w:cs="宋体"/>
          <w:b/>
          <w:color w:val="auto"/>
          <w:sz w:val="28"/>
          <w:szCs w:val="28"/>
        </w:rPr>
      </w:pPr>
    </w:p>
    <w:p w14:paraId="4294DEBF">
      <w:pPr>
        <w:pStyle w:val="80"/>
        <w:rPr>
          <w:rFonts w:ascii="宋体" w:hAnsi="宋体" w:cs="宋体"/>
          <w:b/>
          <w:color w:val="auto"/>
          <w:sz w:val="28"/>
          <w:szCs w:val="28"/>
        </w:rPr>
      </w:pPr>
    </w:p>
    <w:p w14:paraId="6DC49022">
      <w:pPr>
        <w:pStyle w:val="23"/>
        <w:spacing w:after="0"/>
        <w:jc w:val="center"/>
        <w:rPr>
          <w:rFonts w:ascii="宋体" w:hAnsi="宋体" w:cs="宋体"/>
          <w:b/>
          <w:bCs/>
          <w:color w:val="auto"/>
          <w:spacing w:val="-20"/>
          <w:kern w:val="44"/>
          <w:sz w:val="48"/>
          <w:szCs w:val="48"/>
        </w:rPr>
      </w:pPr>
      <w:bookmarkStart w:id="402" w:name="_Toc3995"/>
    </w:p>
    <w:p w14:paraId="6EC39375">
      <w:pPr>
        <w:pStyle w:val="23"/>
        <w:spacing w:after="0"/>
        <w:jc w:val="center"/>
        <w:rPr>
          <w:rFonts w:ascii="宋体" w:hAnsi="宋体" w:cs="宋体"/>
          <w:b/>
          <w:bCs/>
          <w:color w:val="auto"/>
          <w:spacing w:val="-20"/>
          <w:kern w:val="44"/>
          <w:sz w:val="48"/>
          <w:szCs w:val="48"/>
        </w:rPr>
      </w:pPr>
    </w:p>
    <w:p w14:paraId="670BCCF9">
      <w:pPr>
        <w:pStyle w:val="23"/>
        <w:spacing w:after="0"/>
        <w:jc w:val="center"/>
        <w:rPr>
          <w:rFonts w:ascii="宋体" w:hAnsi="宋体" w:cs="宋体"/>
          <w:b/>
          <w:bCs/>
          <w:color w:val="auto"/>
          <w:spacing w:val="-20"/>
          <w:kern w:val="44"/>
          <w:sz w:val="48"/>
          <w:szCs w:val="48"/>
        </w:rPr>
      </w:pPr>
    </w:p>
    <w:p w14:paraId="4912B7EE">
      <w:pPr>
        <w:pStyle w:val="23"/>
        <w:spacing w:after="0"/>
        <w:jc w:val="center"/>
        <w:rPr>
          <w:rFonts w:ascii="宋体" w:hAnsi="宋体" w:cs="宋体"/>
          <w:b/>
          <w:bCs/>
          <w:color w:val="auto"/>
          <w:spacing w:val="-20"/>
          <w:kern w:val="44"/>
          <w:sz w:val="48"/>
          <w:szCs w:val="48"/>
        </w:rPr>
      </w:pPr>
    </w:p>
    <w:p w14:paraId="0AC74322">
      <w:pPr>
        <w:pStyle w:val="23"/>
        <w:spacing w:after="0"/>
        <w:jc w:val="center"/>
        <w:rPr>
          <w:rFonts w:ascii="宋体" w:hAnsi="宋体" w:cs="宋体"/>
          <w:b/>
          <w:bCs/>
          <w:color w:val="auto"/>
          <w:spacing w:val="-20"/>
          <w:kern w:val="44"/>
          <w:sz w:val="48"/>
          <w:szCs w:val="48"/>
        </w:rPr>
      </w:pPr>
    </w:p>
    <w:p w14:paraId="7780603A">
      <w:pPr>
        <w:pStyle w:val="23"/>
        <w:spacing w:after="0"/>
        <w:jc w:val="center"/>
        <w:rPr>
          <w:rFonts w:hint="eastAsia" w:ascii="宋体" w:hAnsi="宋体" w:cs="宋体"/>
          <w:b/>
          <w:bCs/>
          <w:color w:val="auto"/>
          <w:spacing w:val="-20"/>
          <w:kern w:val="44"/>
          <w:sz w:val="48"/>
          <w:szCs w:val="48"/>
        </w:rPr>
      </w:pPr>
      <w:r>
        <w:rPr>
          <w:rFonts w:hint="eastAsia" w:ascii="宋体" w:hAnsi="宋体" w:cs="宋体"/>
          <w:b/>
          <w:bCs/>
          <w:color w:val="auto"/>
          <w:spacing w:val="-20"/>
          <w:kern w:val="44"/>
          <w:sz w:val="48"/>
          <w:szCs w:val="48"/>
        </w:rPr>
        <w:t>政府采购</w:t>
      </w:r>
      <w:r>
        <w:rPr>
          <w:rFonts w:hint="eastAsia" w:ascii="宋体" w:hAnsi="宋体" w:cs="宋体"/>
          <w:b/>
          <w:bCs/>
          <w:color w:val="auto"/>
          <w:spacing w:val="-20"/>
          <w:kern w:val="44"/>
          <w:sz w:val="48"/>
          <w:szCs w:val="48"/>
          <w:lang w:eastAsia="zh-CN"/>
        </w:rPr>
        <w:t>货物买卖</w:t>
      </w:r>
      <w:r>
        <w:rPr>
          <w:rFonts w:hint="eastAsia" w:ascii="宋体" w:hAnsi="宋体" w:cs="宋体"/>
          <w:b/>
          <w:bCs/>
          <w:color w:val="auto"/>
          <w:spacing w:val="-20"/>
          <w:kern w:val="44"/>
          <w:sz w:val="48"/>
          <w:szCs w:val="48"/>
        </w:rPr>
        <w:t>合同</w:t>
      </w:r>
    </w:p>
    <w:p w14:paraId="7B034FE4">
      <w:pPr>
        <w:pStyle w:val="23"/>
        <w:spacing w:after="0"/>
        <w:jc w:val="center"/>
        <w:rPr>
          <w:rFonts w:hint="eastAsia" w:ascii="宋体" w:hAnsi="宋体" w:eastAsia="宋体" w:cs="宋体"/>
          <w:b/>
          <w:bCs/>
          <w:color w:val="auto"/>
          <w:spacing w:val="-20"/>
          <w:kern w:val="44"/>
          <w:sz w:val="48"/>
          <w:szCs w:val="48"/>
          <w:lang w:eastAsia="zh-CN"/>
        </w:rPr>
      </w:pPr>
      <w:r>
        <w:rPr>
          <w:rFonts w:hint="eastAsia" w:ascii="宋体" w:hAnsi="宋体" w:cs="宋体"/>
          <w:b/>
          <w:bCs/>
          <w:color w:val="auto"/>
          <w:spacing w:val="-20"/>
          <w:kern w:val="44"/>
          <w:sz w:val="48"/>
          <w:szCs w:val="48"/>
          <w:lang w:eastAsia="zh-CN"/>
        </w:rPr>
        <w:t>（试行）</w:t>
      </w:r>
    </w:p>
    <w:p w14:paraId="4BD4C2E5">
      <w:pPr>
        <w:rPr>
          <w:rFonts w:ascii="宋体" w:hAnsi="宋体" w:cs="宋体"/>
          <w:b/>
          <w:bCs/>
          <w:color w:val="auto"/>
          <w:spacing w:val="-20"/>
          <w:kern w:val="44"/>
          <w:sz w:val="40"/>
          <w:szCs w:val="40"/>
        </w:rPr>
      </w:pPr>
    </w:p>
    <w:p w14:paraId="6455C99B">
      <w:pPr>
        <w:rPr>
          <w:rFonts w:ascii="宋体" w:hAnsi="宋体" w:cs="宋体"/>
          <w:b/>
          <w:bCs/>
          <w:color w:val="auto"/>
          <w:spacing w:val="-20"/>
          <w:kern w:val="44"/>
          <w:sz w:val="40"/>
          <w:szCs w:val="40"/>
        </w:rPr>
      </w:pPr>
    </w:p>
    <w:p w14:paraId="49759F9D">
      <w:pPr>
        <w:rPr>
          <w:rFonts w:ascii="宋体" w:hAnsi="宋体" w:cs="宋体"/>
          <w:b/>
          <w:bCs/>
          <w:color w:val="auto"/>
          <w:spacing w:val="-20"/>
          <w:kern w:val="44"/>
          <w:sz w:val="40"/>
          <w:szCs w:val="40"/>
        </w:rPr>
      </w:pPr>
    </w:p>
    <w:p w14:paraId="6735951F">
      <w:pPr>
        <w:spacing w:line="360" w:lineRule="auto"/>
        <w:ind w:left="420" w:leftChars="200"/>
        <w:rPr>
          <w:color w:val="auto"/>
          <w:sz w:val="32"/>
          <w:szCs w:val="32"/>
        </w:rPr>
      </w:pPr>
      <w:r>
        <w:rPr>
          <w:rFonts w:hint="eastAsia" w:ascii="宋体" w:hAnsi="宋体" w:cs="宋体"/>
          <w:color w:val="auto"/>
          <w:kern w:val="0"/>
          <w:sz w:val="32"/>
          <w:szCs w:val="32"/>
        </w:rPr>
        <w:t>项目名称：</w:t>
      </w:r>
      <w:r>
        <w:rPr>
          <w:rFonts w:hint="eastAsia"/>
          <w:color w:val="auto"/>
          <w:sz w:val="32"/>
          <w:szCs w:val="32"/>
          <w:u w:val="single"/>
        </w:rPr>
        <w:t xml:space="preserve">                             </w:t>
      </w:r>
    </w:p>
    <w:p w14:paraId="6A460231">
      <w:pPr>
        <w:spacing w:line="360" w:lineRule="auto"/>
        <w:ind w:left="420" w:leftChars="200"/>
        <w:rPr>
          <w:color w:val="auto"/>
          <w:sz w:val="32"/>
          <w:szCs w:val="32"/>
          <w:u w:val="single"/>
        </w:rPr>
      </w:pPr>
      <w:r>
        <w:rPr>
          <w:rFonts w:hint="eastAsia"/>
          <w:color w:val="auto"/>
          <w:sz w:val="32"/>
          <w:szCs w:val="32"/>
        </w:rPr>
        <w:t>合同编号：</w:t>
      </w:r>
      <w:r>
        <w:rPr>
          <w:rFonts w:hint="eastAsia"/>
          <w:color w:val="auto"/>
          <w:sz w:val="32"/>
          <w:szCs w:val="32"/>
          <w:u w:val="single"/>
        </w:rPr>
        <w:t xml:space="preserve">                             </w:t>
      </w:r>
    </w:p>
    <w:p w14:paraId="328D4F97">
      <w:pPr>
        <w:spacing w:line="360" w:lineRule="auto"/>
        <w:ind w:left="420" w:leftChars="200"/>
        <w:rPr>
          <w:color w:val="auto"/>
          <w:sz w:val="32"/>
          <w:szCs w:val="32"/>
        </w:rPr>
      </w:pPr>
      <w:r>
        <w:rPr>
          <w:rFonts w:hint="eastAsia"/>
          <w:color w:val="auto"/>
          <w:sz w:val="32"/>
          <w:szCs w:val="32"/>
        </w:rPr>
        <w:t>甲    方：</w:t>
      </w:r>
      <w:r>
        <w:rPr>
          <w:rFonts w:hint="eastAsia"/>
          <w:color w:val="auto"/>
          <w:sz w:val="32"/>
          <w:szCs w:val="32"/>
          <w:u w:val="single"/>
        </w:rPr>
        <w:t xml:space="preserve">                             </w:t>
      </w:r>
    </w:p>
    <w:p w14:paraId="71F8D1BA">
      <w:pPr>
        <w:spacing w:line="360" w:lineRule="auto"/>
        <w:ind w:left="420" w:leftChars="200"/>
        <w:rPr>
          <w:color w:val="auto"/>
          <w:sz w:val="32"/>
          <w:szCs w:val="32"/>
          <w:u w:val="single"/>
        </w:rPr>
      </w:pPr>
      <w:r>
        <w:rPr>
          <w:rFonts w:hint="eastAsia"/>
          <w:color w:val="auto"/>
          <w:sz w:val="32"/>
          <w:szCs w:val="32"/>
        </w:rPr>
        <w:t>乙    方：</w:t>
      </w:r>
      <w:r>
        <w:rPr>
          <w:rFonts w:hint="eastAsia"/>
          <w:color w:val="auto"/>
          <w:sz w:val="32"/>
          <w:szCs w:val="32"/>
          <w:u w:val="single"/>
        </w:rPr>
        <w:t xml:space="preserve">                             </w:t>
      </w:r>
    </w:p>
    <w:p w14:paraId="4F32912D">
      <w:pPr>
        <w:spacing w:line="360" w:lineRule="auto"/>
        <w:ind w:left="420" w:leftChars="200"/>
        <w:rPr>
          <w:color w:val="auto"/>
          <w:sz w:val="32"/>
          <w:szCs w:val="32"/>
        </w:rPr>
      </w:pPr>
      <w:r>
        <w:rPr>
          <w:rFonts w:hint="eastAsia"/>
          <w:color w:val="auto"/>
          <w:sz w:val="32"/>
          <w:szCs w:val="32"/>
        </w:rPr>
        <w:t>签订时间：</w:t>
      </w:r>
      <w:r>
        <w:rPr>
          <w:rFonts w:hint="eastAsia"/>
          <w:color w:val="auto"/>
          <w:sz w:val="32"/>
          <w:szCs w:val="32"/>
          <w:u w:val="single"/>
        </w:rPr>
        <w:t xml:space="preserve">      </w:t>
      </w:r>
      <w:r>
        <w:rPr>
          <w:color w:val="auto"/>
          <w:sz w:val="32"/>
          <w:szCs w:val="32"/>
          <w:u w:val="single"/>
        </w:rPr>
        <w:t xml:space="preserve">           </w:t>
      </w:r>
      <w:r>
        <w:rPr>
          <w:rFonts w:hint="eastAsia"/>
          <w:color w:val="auto"/>
          <w:sz w:val="32"/>
          <w:szCs w:val="32"/>
          <w:u w:val="single"/>
        </w:rPr>
        <w:t xml:space="preserve">            </w:t>
      </w:r>
    </w:p>
    <w:p w14:paraId="59720538">
      <w:pPr>
        <w:rPr>
          <w:color w:val="auto"/>
        </w:rPr>
      </w:pPr>
    </w:p>
    <w:p w14:paraId="4F99D224">
      <w:pPr>
        <w:rPr>
          <w:rFonts w:eastAsia="黑体"/>
          <w:color w:val="auto"/>
          <w:sz w:val="44"/>
          <w:szCs w:val="44"/>
        </w:rPr>
      </w:pPr>
      <w:r>
        <w:rPr>
          <w:rFonts w:eastAsia="黑体"/>
          <w:color w:val="auto"/>
          <w:sz w:val="44"/>
          <w:szCs w:val="44"/>
        </w:rPr>
        <w:br w:type="page"/>
      </w:r>
    </w:p>
    <w:p w14:paraId="0CC9926A">
      <w:pPr>
        <w:rPr>
          <w:rFonts w:eastAsia="黑体"/>
          <w:color w:val="auto"/>
          <w:sz w:val="44"/>
          <w:szCs w:val="44"/>
        </w:rPr>
      </w:pPr>
    </w:p>
    <w:p w14:paraId="08533B28">
      <w:pPr>
        <w:rPr>
          <w:rFonts w:eastAsia="黑体"/>
          <w:color w:val="auto"/>
          <w:sz w:val="44"/>
          <w:szCs w:val="44"/>
        </w:rPr>
      </w:pPr>
    </w:p>
    <w:p w14:paraId="695AF74C">
      <w:pPr>
        <w:jc w:val="center"/>
        <w:rPr>
          <w:rFonts w:hint="eastAsia" w:eastAsia="黑体"/>
          <w:color w:val="auto"/>
          <w:sz w:val="44"/>
          <w:szCs w:val="44"/>
          <w:lang w:eastAsia="zh-CN"/>
        </w:rPr>
      </w:pPr>
      <w:r>
        <w:rPr>
          <w:rFonts w:hint="eastAsia" w:eastAsia="黑体"/>
          <w:color w:val="auto"/>
          <w:sz w:val="44"/>
          <w:szCs w:val="44"/>
          <w:lang w:eastAsia="zh-CN"/>
        </w:rPr>
        <w:t>使</w:t>
      </w:r>
      <w:r>
        <w:rPr>
          <w:rFonts w:hint="eastAsia" w:eastAsia="黑体"/>
          <w:color w:val="auto"/>
          <w:sz w:val="44"/>
          <w:szCs w:val="44"/>
          <w:lang w:val="en-US" w:eastAsia="zh-CN"/>
        </w:rPr>
        <w:t xml:space="preserve"> </w:t>
      </w:r>
      <w:r>
        <w:rPr>
          <w:rFonts w:hint="eastAsia" w:eastAsia="黑体"/>
          <w:color w:val="auto"/>
          <w:sz w:val="44"/>
          <w:szCs w:val="44"/>
          <w:lang w:eastAsia="zh-CN"/>
        </w:rPr>
        <w:t>用</w:t>
      </w:r>
      <w:r>
        <w:rPr>
          <w:rFonts w:hint="eastAsia" w:eastAsia="黑体"/>
          <w:color w:val="auto"/>
          <w:sz w:val="44"/>
          <w:szCs w:val="44"/>
          <w:lang w:val="en-US" w:eastAsia="zh-CN"/>
        </w:rPr>
        <w:t xml:space="preserve"> </w:t>
      </w:r>
      <w:r>
        <w:rPr>
          <w:rFonts w:hint="eastAsia" w:eastAsia="黑体"/>
          <w:color w:val="auto"/>
          <w:sz w:val="44"/>
          <w:szCs w:val="44"/>
          <w:lang w:eastAsia="zh-CN"/>
        </w:rPr>
        <w:t>说</w:t>
      </w:r>
      <w:r>
        <w:rPr>
          <w:rFonts w:hint="eastAsia" w:eastAsia="黑体"/>
          <w:color w:val="auto"/>
          <w:sz w:val="44"/>
          <w:szCs w:val="44"/>
          <w:lang w:val="en-US" w:eastAsia="zh-CN"/>
        </w:rPr>
        <w:t xml:space="preserve"> </w:t>
      </w:r>
      <w:r>
        <w:rPr>
          <w:rFonts w:hint="eastAsia" w:eastAsia="黑体"/>
          <w:color w:val="auto"/>
          <w:sz w:val="44"/>
          <w:szCs w:val="44"/>
          <w:lang w:eastAsia="zh-CN"/>
        </w:rPr>
        <w:t>明</w:t>
      </w:r>
    </w:p>
    <w:p w14:paraId="228E9FD3">
      <w:pPr>
        <w:ind w:firstLine="640" w:firstLineChars="200"/>
        <w:rPr>
          <w:rFonts w:hint="eastAsia" w:ascii="仿宋_GB2312" w:hAnsi="仿宋_GB2312" w:eastAsia="仿宋_GB2312" w:cs="仿宋_GB2312"/>
          <w:color w:val="auto"/>
          <w:sz w:val="32"/>
          <w:szCs w:val="32"/>
          <w:lang w:val="en-US" w:eastAsia="zh-CN"/>
        </w:rPr>
      </w:pPr>
    </w:p>
    <w:p w14:paraId="316508A5">
      <w:pPr>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1.本合同标准文本适用于购买现成货物的采购项目，不包括需要供应商定制开发、创新研发的货物采购项目。</w:t>
      </w:r>
    </w:p>
    <w:p w14:paraId="5CC592C3">
      <w:pPr>
        <w:ind w:firstLine="0" w:firstLineChars="0"/>
        <w:rPr>
          <w:rFonts w:hint="default" w:eastAsia="黑体"/>
          <w:color w:val="auto"/>
          <w:sz w:val="44"/>
          <w:szCs w:val="44"/>
          <w:lang w:val="en-US" w:eastAsia="zh-CN"/>
        </w:rPr>
      </w:pPr>
      <w:r>
        <w:rPr>
          <w:rFonts w:hint="eastAsia" w:eastAsia="黑体"/>
          <w:color w:val="auto"/>
          <w:sz w:val="44"/>
          <w:szCs w:val="44"/>
          <w:lang w:val="en-US" w:eastAsia="zh-CN"/>
        </w:rPr>
        <w:t xml:space="preserve">   </w:t>
      </w:r>
      <w:r>
        <w:rPr>
          <w:rFonts w:hint="eastAsia" w:ascii="仿宋_GB2312" w:hAnsi="仿宋_GB2312" w:eastAsia="仿宋_GB2312" w:cs="仿宋_GB2312"/>
          <w:color w:val="auto"/>
          <w:sz w:val="32"/>
          <w:szCs w:val="32"/>
          <w:lang w:val="en-US" w:eastAsia="zh-CN"/>
        </w:rPr>
        <w:t>2.本合同标准文本为政府采购货物买卖合同编制提供参考，可以结合采购项目具体情况，对文本作必要的调整修订后使用。</w:t>
      </w:r>
    </w:p>
    <w:p w14:paraId="454D6525">
      <w:pPr>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3.本合同标准文本各条款中，如涉及填写多家供应商、制造商，多种采购标的、分包主要内容等信息的，可根据采购项目具体情况添加信息项。</w:t>
      </w:r>
    </w:p>
    <w:p w14:paraId="5834E19C">
      <w:pPr>
        <w:ind w:firstLine="880" w:firstLineChars="200"/>
        <w:jc w:val="both"/>
        <w:rPr>
          <w:rFonts w:eastAsia="黑体"/>
          <w:color w:val="auto"/>
          <w:sz w:val="44"/>
          <w:szCs w:val="44"/>
        </w:rPr>
        <w:sectPr>
          <w:pgSz w:w="11906" w:h="16838"/>
          <w:pgMar w:top="1440" w:right="1803" w:bottom="1440" w:left="1803" w:header="851" w:footer="992" w:gutter="0"/>
          <w:pgBorders>
            <w:top w:val="none" w:sz="0" w:space="0"/>
            <w:left w:val="none" w:sz="0" w:space="0"/>
            <w:bottom w:val="none" w:sz="0" w:space="0"/>
            <w:right w:val="none" w:sz="0" w:space="0"/>
          </w:pgBorders>
          <w:cols w:space="0" w:num="1"/>
          <w:rtlGutter w:val="0"/>
          <w:docGrid w:type="lines" w:linePitch="319" w:charSpace="0"/>
        </w:sectPr>
      </w:pPr>
    </w:p>
    <w:bookmarkEnd w:id="402"/>
    <w:p w14:paraId="118451F1">
      <w:pPr>
        <w:pStyle w:val="3"/>
        <w:adjustRightInd w:val="0"/>
        <w:snapToGrid w:val="0"/>
        <w:spacing w:beforeLines="0" w:line="400" w:lineRule="exact"/>
        <w:jc w:val="center"/>
        <w:rPr>
          <w:rFonts w:hint="eastAsia" w:ascii="黑体" w:hAnsi="黑体" w:eastAsia="黑体"/>
          <w:color w:val="auto"/>
          <w:sz w:val="28"/>
          <w:szCs w:val="28"/>
        </w:rPr>
      </w:pPr>
      <w:bookmarkStart w:id="403" w:name="_Toc22209"/>
    </w:p>
    <w:p w14:paraId="2DBA4878">
      <w:pPr>
        <w:pStyle w:val="3"/>
        <w:adjustRightInd w:val="0"/>
        <w:snapToGrid w:val="0"/>
        <w:spacing w:beforeLines="0" w:line="400" w:lineRule="exact"/>
        <w:jc w:val="center"/>
        <w:rPr>
          <w:rFonts w:hint="eastAsia" w:ascii="黑体" w:hAnsi="华文中宋" w:eastAsia="黑体"/>
          <w:b w:val="0"/>
          <w:bCs w:val="0"/>
          <w:color w:val="auto"/>
          <w:sz w:val="28"/>
          <w:szCs w:val="28"/>
        </w:rPr>
      </w:pPr>
      <w:r>
        <w:rPr>
          <w:rFonts w:hint="eastAsia" w:ascii="黑体" w:hAnsi="黑体" w:eastAsia="黑体"/>
          <w:b w:val="0"/>
          <w:bCs w:val="0"/>
          <w:color w:val="auto"/>
          <w:sz w:val="28"/>
          <w:szCs w:val="28"/>
        </w:rPr>
        <w:t xml:space="preserve">第一节 </w:t>
      </w:r>
      <w:r>
        <w:rPr>
          <w:rFonts w:hint="eastAsia" w:ascii="黑体" w:hAnsi="华文中宋" w:eastAsia="黑体"/>
          <w:b w:val="0"/>
          <w:bCs w:val="0"/>
          <w:color w:val="auto"/>
          <w:sz w:val="28"/>
          <w:szCs w:val="28"/>
        </w:rPr>
        <w:t>政府采购合同协议书</w:t>
      </w:r>
      <w:bookmarkEnd w:id="403"/>
    </w:p>
    <w:p w14:paraId="28679AD4">
      <w:pPr>
        <w:pStyle w:val="3"/>
        <w:adjustRightInd w:val="0"/>
        <w:snapToGrid w:val="0"/>
        <w:spacing w:beforeLines="0" w:line="400" w:lineRule="exact"/>
        <w:jc w:val="center"/>
        <w:rPr>
          <w:rFonts w:hint="eastAsia" w:ascii="黑体" w:hAnsi="华文中宋" w:eastAsia="黑体"/>
          <w:b w:val="0"/>
          <w:bCs w:val="0"/>
          <w:color w:val="auto"/>
          <w:sz w:val="28"/>
          <w:szCs w:val="28"/>
        </w:rPr>
      </w:pPr>
    </w:p>
    <w:p w14:paraId="2D122E26">
      <w:pPr>
        <w:adjustRightInd w:val="0"/>
        <w:snapToGrid w:val="0"/>
        <w:spacing w:before="0" w:beforeLines="0" w:line="400" w:lineRule="exact"/>
        <w:rPr>
          <w:rFonts w:ascii="宋体" w:hAnsi="宋体"/>
          <w:color w:val="auto"/>
          <w:szCs w:val="21"/>
        </w:rPr>
      </w:pPr>
      <w:r>
        <w:rPr>
          <w:rFonts w:hint="eastAsia" w:ascii="宋体" w:hAnsi="宋体"/>
          <w:color w:val="auto"/>
          <w:szCs w:val="21"/>
        </w:rPr>
        <w:t>甲方（全称）：</w:t>
      </w:r>
      <w:r>
        <w:rPr>
          <w:rFonts w:hint="eastAsia" w:ascii="宋体" w:hAnsi="宋体"/>
          <w:color w:val="auto"/>
          <w:szCs w:val="21"/>
          <w:u w:val="single"/>
        </w:rPr>
        <w:t xml:space="preserve">                        </w:t>
      </w:r>
      <w:r>
        <w:rPr>
          <w:rFonts w:hint="eastAsia" w:ascii="宋体" w:hAnsi="宋体"/>
          <w:color w:val="auto"/>
          <w:szCs w:val="21"/>
        </w:rPr>
        <w:t>（采购人</w:t>
      </w:r>
      <w:r>
        <w:rPr>
          <w:rFonts w:hint="eastAsia" w:ascii="宋体" w:hAnsi="宋体"/>
          <w:color w:val="auto"/>
          <w:szCs w:val="21"/>
          <w:lang w:eastAsia="zh-CN"/>
        </w:rPr>
        <w:t>、受采购人委托签订合同的单位</w:t>
      </w:r>
      <w:r>
        <w:rPr>
          <w:rFonts w:hint="eastAsia" w:ascii="宋体" w:hAnsi="宋体"/>
          <w:color w:val="auto"/>
          <w:szCs w:val="21"/>
        </w:rPr>
        <w:t>或采购</w:t>
      </w:r>
      <w:r>
        <w:rPr>
          <w:rFonts w:hint="eastAsia" w:ascii="宋体" w:hAnsi="宋体"/>
          <w:color w:val="auto"/>
          <w:szCs w:val="21"/>
          <w:lang w:val="en-US" w:eastAsia="zh-CN"/>
        </w:rPr>
        <w:tab/>
      </w:r>
      <w:r>
        <w:rPr>
          <w:rFonts w:hint="eastAsia" w:ascii="宋体" w:hAnsi="宋体"/>
          <w:color w:val="auto"/>
          <w:szCs w:val="21"/>
          <w:lang w:val="en-US" w:eastAsia="zh-CN"/>
        </w:rPr>
        <w:t xml:space="preserve">                                   </w:t>
      </w:r>
      <w:r>
        <w:rPr>
          <w:rFonts w:hint="eastAsia" w:ascii="宋体" w:hAnsi="宋体"/>
          <w:color w:val="auto"/>
          <w:szCs w:val="21"/>
        </w:rPr>
        <w:t>文件约定的合同甲方）</w:t>
      </w:r>
    </w:p>
    <w:p w14:paraId="264BF619">
      <w:pPr>
        <w:adjustRightInd w:val="0"/>
        <w:snapToGrid w:val="0"/>
        <w:spacing w:before="0" w:beforeLines="0" w:line="400" w:lineRule="exact"/>
        <w:rPr>
          <w:rFonts w:ascii="宋体" w:hAnsi="宋体"/>
          <w:color w:val="auto"/>
          <w:szCs w:val="21"/>
        </w:rPr>
      </w:pPr>
      <w:r>
        <w:rPr>
          <w:rFonts w:hint="eastAsia" w:ascii="宋体" w:hAnsi="宋体"/>
          <w:color w:val="auto"/>
          <w:szCs w:val="21"/>
        </w:rPr>
        <w:t>乙方</w:t>
      </w:r>
      <w:r>
        <w:rPr>
          <w:rFonts w:hint="eastAsia" w:ascii="宋体" w:hAnsi="宋体"/>
          <w:color w:val="auto"/>
          <w:szCs w:val="21"/>
          <w:lang w:val="en-US" w:eastAsia="zh-CN"/>
        </w:rPr>
        <w:t>1</w:t>
      </w:r>
      <w:r>
        <w:rPr>
          <w:rFonts w:hint="eastAsia" w:ascii="宋体" w:hAnsi="宋体"/>
          <w:color w:val="auto"/>
          <w:szCs w:val="21"/>
        </w:rPr>
        <w:t>（全称）：</w:t>
      </w:r>
      <w:r>
        <w:rPr>
          <w:rFonts w:hint="eastAsia" w:ascii="宋体" w:hAnsi="宋体"/>
          <w:color w:val="auto"/>
          <w:szCs w:val="21"/>
          <w:u w:val="single"/>
        </w:rPr>
        <w:t xml:space="preserve">                       </w:t>
      </w:r>
      <w:r>
        <w:rPr>
          <w:rFonts w:hint="eastAsia" w:ascii="宋体" w:hAnsi="宋体"/>
          <w:color w:val="auto"/>
          <w:szCs w:val="21"/>
        </w:rPr>
        <w:t>（供应商）</w:t>
      </w:r>
    </w:p>
    <w:p w14:paraId="2E69D57F">
      <w:pPr>
        <w:adjustRightInd w:val="0"/>
        <w:snapToGrid w:val="0"/>
        <w:spacing w:before="0" w:beforeLines="0" w:line="400" w:lineRule="exact"/>
        <w:rPr>
          <w:rFonts w:hint="eastAsia" w:ascii="宋体" w:hAnsi="宋体"/>
          <w:color w:val="auto"/>
          <w:szCs w:val="21"/>
        </w:rPr>
      </w:pPr>
      <w:r>
        <w:rPr>
          <w:rFonts w:hint="eastAsia" w:ascii="宋体" w:hAnsi="宋体"/>
          <w:color w:val="auto"/>
          <w:szCs w:val="21"/>
        </w:rPr>
        <w:t>乙方2（全称）：</w:t>
      </w:r>
      <w:r>
        <w:rPr>
          <w:rFonts w:hint="eastAsia" w:ascii="宋体" w:hAnsi="宋体"/>
          <w:color w:val="auto"/>
          <w:szCs w:val="21"/>
          <w:u w:val="single"/>
        </w:rPr>
        <w:t xml:space="preserve">                        </w:t>
      </w:r>
      <w:r>
        <w:rPr>
          <w:rFonts w:hint="eastAsia" w:ascii="宋体" w:hAnsi="宋体"/>
          <w:color w:val="auto"/>
          <w:szCs w:val="21"/>
        </w:rPr>
        <w:t>（联合体成员供应商或其他合同主体）（如有）</w:t>
      </w:r>
    </w:p>
    <w:p w14:paraId="712C0AFF">
      <w:pPr>
        <w:adjustRightInd w:val="0"/>
        <w:snapToGrid w:val="0"/>
        <w:spacing w:before="0" w:beforeLines="0" w:line="400" w:lineRule="exact"/>
        <w:rPr>
          <w:rFonts w:hint="eastAsia" w:ascii="宋体" w:hAnsi="宋体"/>
          <w:color w:val="auto"/>
          <w:szCs w:val="21"/>
        </w:rPr>
      </w:pPr>
      <w:r>
        <w:rPr>
          <w:rFonts w:hint="eastAsia"/>
          <w:color w:val="auto"/>
          <w:lang w:eastAsia="zh-CN"/>
        </w:rPr>
        <w:t>乙方</w:t>
      </w:r>
      <w:r>
        <w:rPr>
          <w:rFonts w:hint="eastAsia" w:ascii="宋体" w:hAnsi="宋体"/>
          <w:color w:val="auto"/>
          <w:szCs w:val="21"/>
          <w:lang w:val="en-US" w:eastAsia="zh-CN"/>
        </w:rPr>
        <w:t>3</w:t>
      </w:r>
      <w:r>
        <w:rPr>
          <w:rFonts w:hint="eastAsia"/>
          <w:color w:val="auto"/>
          <w:lang w:val="en-US" w:eastAsia="zh-CN"/>
        </w:rPr>
        <w:t>（全称）</w:t>
      </w:r>
      <w:r>
        <w:rPr>
          <w:rFonts w:hint="eastAsia" w:ascii="宋体" w:hAnsi="宋体"/>
          <w:color w:val="auto"/>
          <w:szCs w:val="21"/>
          <w:u w:val="single"/>
        </w:rPr>
        <w:t xml:space="preserve">                          </w:t>
      </w:r>
      <w:r>
        <w:rPr>
          <w:rFonts w:hint="eastAsia" w:ascii="宋体" w:hAnsi="宋体"/>
          <w:color w:val="auto"/>
          <w:szCs w:val="21"/>
        </w:rPr>
        <w:t>（联合体成员供应商或其他合同主体）（如有）</w:t>
      </w:r>
    </w:p>
    <w:p w14:paraId="726A900B">
      <w:pPr>
        <w:spacing w:beforeLines="0" w:line="400" w:lineRule="exact"/>
        <w:rPr>
          <w:rFonts w:hint="default" w:eastAsia="宋体"/>
          <w:color w:val="auto"/>
          <w:lang w:val="en-US" w:eastAsia="zh-CN"/>
        </w:rPr>
      </w:pPr>
    </w:p>
    <w:p w14:paraId="0F905F0C">
      <w:pPr>
        <w:pStyle w:val="24"/>
        <w:adjustRightInd w:val="0"/>
        <w:snapToGrid w:val="0"/>
        <w:spacing w:before="0" w:beforeLines="0" w:after="0" w:line="400" w:lineRule="exact"/>
        <w:ind w:left="0" w:leftChars="0" w:firstLine="480" w:firstLineChars="200"/>
        <w:rPr>
          <w:rFonts w:ascii="宋体" w:hAnsi="宋体"/>
          <w:color w:val="auto"/>
          <w:szCs w:val="21"/>
        </w:rPr>
      </w:pPr>
      <w:r>
        <w:rPr>
          <w:rFonts w:hint="eastAsia" w:ascii="宋体" w:hAnsi="宋体"/>
          <w:color w:val="auto"/>
          <w:szCs w:val="21"/>
        </w:rPr>
        <w:t>依据《中华人民共和国民法典》</w:t>
      </w:r>
      <w:r>
        <w:rPr>
          <w:rFonts w:hint="eastAsia" w:ascii="宋体" w:hAnsi="宋体"/>
          <w:color w:val="auto"/>
          <w:szCs w:val="21"/>
          <w:lang w:eastAsia="zh-CN"/>
        </w:rPr>
        <w:t>、</w:t>
      </w:r>
      <w:r>
        <w:rPr>
          <w:rFonts w:hint="eastAsia" w:ascii="宋体" w:hAnsi="宋体"/>
          <w:color w:val="auto"/>
          <w:szCs w:val="21"/>
        </w:rPr>
        <w:t>《中华人民共和国政府采购法》等有关的法律法规，以及</w:t>
      </w:r>
      <w:r>
        <w:rPr>
          <w:rFonts w:hint="eastAsia" w:ascii="宋体" w:hAnsi="宋体"/>
          <w:i w:val="0"/>
          <w:iCs w:val="0"/>
          <w:color w:val="auto"/>
          <w:szCs w:val="21"/>
          <w:u w:val="none"/>
          <w:lang w:eastAsia="zh-CN"/>
        </w:rPr>
        <w:t>本采购项目</w:t>
      </w:r>
      <w:r>
        <w:rPr>
          <w:rFonts w:hint="eastAsia" w:ascii="宋体" w:hAnsi="宋体"/>
          <w:color w:val="auto"/>
          <w:szCs w:val="21"/>
        </w:rPr>
        <w:t>的</w:t>
      </w:r>
      <w:r>
        <w:rPr>
          <w:rFonts w:hint="eastAsia" w:ascii="宋体" w:hAnsi="宋体"/>
          <w:color w:val="auto"/>
          <w:szCs w:val="21"/>
          <w:lang w:eastAsia="zh-CN"/>
        </w:rPr>
        <w:t>招标</w:t>
      </w:r>
      <w:r>
        <w:rPr>
          <w:rFonts w:hint="eastAsia" w:ascii="宋体" w:hAnsi="宋体"/>
          <w:color w:val="auto"/>
          <w:szCs w:val="21"/>
          <w:lang w:val="en-US" w:eastAsia="zh-CN"/>
        </w:rPr>
        <w:t>/谈判</w:t>
      </w:r>
      <w:r>
        <w:rPr>
          <w:rFonts w:hint="eastAsia" w:ascii="宋体" w:hAnsi="宋体"/>
          <w:color w:val="auto"/>
          <w:szCs w:val="21"/>
          <w:lang w:eastAsia="zh-CN"/>
        </w:rPr>
        <w:t>文件等</w:t>
      </w:r>
      <w:r>
        <w:rPr>
          <w:rFonts w:hint="eastAsia" w:ascii="宋体" w:hAnsi="宋体"/>
          <w:color w:val="auto"/>
          <w:szCs w:val="21"/>
        </w:rPr>
        <w:t>采购文件</w:t>
      </w:r>
      <w:r>
        <w:rPr>
          <w:rFonts w:hint="eastAsia" w:ascii="宋体" w:hAnsi="宋体"/>
          <w:color w:val="auto"/>
          <w:szCs w:val="21"/>
          <w:lang w:eastAsia="zh-CN"/>
        </w:rPr>
        <w:t>、</w:t>
      </w:r>
      <w:r>
        <w:rPr>
          <w:rFonts w:hint="eastAsia" w:ascii="宋体" w:hAnsi="宋体"/>
          <w:color w:val="auto"/>
          <w:szCs w:val="21"/>
        </w:rPr>
        <w:t xml:space="preserve">乙方的《投标（响应）文件》及《中标（成交）通知书》，甲乙双方同意签订本合同。具体情况及要求如下：     </w:t>
      </w:r>
    </w:p>
    <w:p w14:paraId="1ACA1B5A">
      <w:pPr>
        <w:numPr>
          <w:ilvl w:val="0"/>
          <w:numId w:val="4"/>
        </w:numPr>
        <w:adjustRightInd w:val="0"/>
        <w:snapToGrid w:val="0"/>
        <w:spacing w:before="0" w:beforeLines="0" w:line="400" w:lineRule="exact"/>
        <w:ind w:firstLine="422" w:firstLineChars="200"/>
        <w:rPr>
          <w:rFonts w:ascii="宋体" w:hAnsi="宋体"/>
          <w:b/>
          <w:color w:val="auto"/>
          <w:szCs w:val="21"/>
        </w:rPr>
      </w:pPr>
      <w:r>
        <w:rPr>
          <w:rFonts w:hint="eastAsia" w:ascii="宋体" w:hAnsi="宋体"/>
          <w:b/>
          <w:color w:val="auto"/>
          <w:szCs w:val="21"/>
        </w:rPr>
        <w:t>项目信息</w:t>
      </w:r>
    </w:p>
    <w:p w14:paraId="0CDBC2C6">
      <w:pPr>
        <w:pStyle w:val="24"/>
        <w:numPr>
          <w:ilvl w:val="0"/>
          <w:numId w:val="5"/>
        </w:numPr>
        <w:adjustRightInd w:val="0"/>
        <w:snapToGrid w:val="0"/>
        <w:spacing w:before="0" w:beforeLines="0" w:after="0" w:line="400" w:lineRule="exact"/>
        <w:ind w:left="0" w:leftChars="0" w:firstLine="480" w:firstLineChars="200"/>
        <w:rPr>
          <w:rFonts w:ascii="宋体" w:hAnsi="宋体"/>
          <w:color w:val="auto"/>
          <w:szCs w:val="21"/>
          <w:u w:val="single"/>
        </w:rPr>
      </w:pPr>
      <w:r>
        <w:rPr>
          <w:rFonts w:hint="eastAsia" w:ascii="宋体" w:hAnsi="宋体"/>
          <w:color w:val="auto"/>
          <w:szCs w:val="21"/>
        </w:rPr>
        <w:t>采购项目名称：</w:t>
      </w:r>
      <w:r>
        <w:rPr>
          <w:rFonts w:ascii="宋体" w:hAnsi="宋体"/>
          <w:color w:val="auto"/>
          <w:szCs w:val="21"/>
          <w:u w:val="single"/>
        </w:rPr>
        <w:t xml:space="preserve">                                          </w:t>
      </w:r>
    </w:p>
    <w:p w14:paraId="680750A9">
      <w:pPr>
        <w:pStyle w:val="24"/>
        <w:numPr>
          <w:ilvl w:val="-1"/>
          <w:numId w:val="0"/>
        </w:numPr>
        <w:tabs>
          <w:tab w:val="left" w:pos="999"/>
        </w:tabs>
        <w:adjustRightInd w:val="0"/>
        <w:snapToGrid w:val="0"/>
        <w:spacing w:before="0" w:beforeLines="0" w:after="0" w:line="400" w:lineRule="exact"/>
        <w:ind w:left="0" w:leftChars="0" w:firstLine="0" w:firstLineChars="0"/>
        <w:rPr>
          <w:rFonts w:hint="default" w:ascii="宋体" w:hAnsi="宋体" w:eastAsia="宋体"/>
          <w:color w:val="auto"/>
          <w:szCs w:val="21"/>
          <w:u w:val="none"/>
          <w:lang w:val="en-US" w:eastAsia="zh-CN"/>
        </w:rPr>
      </w:pPr>
      <w:r>
        <w:rPr>
          <w:rFonts w:hint="eastAsia" w:ascii="宋体" w:hAnsi="宋体"/>
          <w:color w:val="auto"/>
          <w:szCs w:val="21"/>
          <w:u w:val="none"/>
          <w:lang w:val="en-US" w:eastAsia="zh-CN"/>
        </w:rPr>
        <w:t xml:space="preserve">         采购项目编号：</w:t>
      </w:r>
      <w:r>
        <w:rPr>
          <w:rFonts w:ascii="宋体" w:hAnsi="宋体"/>
          <w:color w:val="auto"/>
          <w:szCs w:val="21"/>
          <w:u w:val="single"/>
        </w:rPr>
        <w:t xml:space="preserve">                                          </w:t>
      </w:r>
    </w:p>
    <w:p w14:paraId="543F0EDA">
      <w:pPr>
        <w:pStyle w:val="24"/>
        <w:adjustRightInd w:val="0"/>
        <w:snapToGrid w:val="0"/>
        <w:spacing w:before="0" w:beforeLines="0" w:after="0" w:line="400" w:lineRule="exact"/>
        <w:ind w:left="0" w:leftChars="0" w:firstLine="480" w:firstLineChars="200"/>
        <w:rPr>
          <w:rFonts w:ascii="宋体" w:hAnsi="宋体"/>
          <w:color w:val="auto"/>
          <w:szCs w:val="21"/>
        </w:rPr>
      </w:pPr>
      <w:r>
        <w:rPr>
          <w:rFonts w:hint="eastAsia" w:ascii="宋体" w:hAnsi="宋体"/>
          <w:color w:val="auto"/>
          <w:szCs w:val="21"/>
        </w:rPr>
        <w:t>（2）采购计划编号：</w:t>
      </w:r>
      <w:r>
        <w:rPr>
          <w:rFonts w:ascii="宋体" w:hAnsi="宋体"/>
          <w:color w:val="auto"/>
          <w:szCs w:val="21"/>
          <w:u w:val="single"/>
        </w:rPr>
        <w:t xml:space="preserve">                     </w:t>
      </w:r>
      <w:r>
        <w:rPr>
          <w:rFonts w:hint="eastAsia" w:ascii="宋体" w:hAnsi="宋体"/>
          <w:color w:val="auto"/>
          <w:szCs w:val="21"/>
          <w:u w:val="single"/>
        </w:rPr>
        <w:t xml:space="preserve">                </w:t>
      </w:r>
      <w:r>
        <w:rPr>
          <w:rFonts w:ascii="宋体" w:hAnsi="宋体"/>
          <w:color w:val="auto"/>
          <w:szCs w:val="21"/>
          <w:u w:val="single"/>
        </w:rPr>
        <w:t xml:space="preserve">     </w:t>
      </w:r>
      <w:r>
        <w:rPr>
          <w:rFonts w:ascii="宋体" w:hAnsi="宋体"/>
          <w:color w:val="auto"/>
          <w:szCs w:val="21"/>
        </w:rPr>
        <w:t xml:space="preserve"> </w:t>
      </w:r>
    </w:p>
    <w:p w14:paraId="70859FB8">
      <w:pPr>
        <w:adjustRightInd w:val="0"/>
        <w:snapToGrid w:val="0"/>
        <w:spacing w:before="0" w:beforeLines="0" w:line="400" w:lineRule="exact"/>
        <w:ind w:firstLine="420" w:firstLineChars="200"/>
        <w:rPr>
          <w:rFonts w:hint="eastAsia" w:ascii="宋体" w:hAnsi="宋体"/>
          <w:color w:val="auto"/>
          <w:szCs w:val="21"/>
        </w:rPr>
      </w:pPr>
      <w:r>
        <w:rPr>
          <w:rFonts w:hint="eastAsia" w:ascii="宋体" w:hAnsi="宋体"/>
          <w:color w:val="auto"/>
          <w:szCs w:val="21"/>
        </w:rPr>
        <w:t>（3）项目内容：</w:t>
      </w:r>
    </w:p>
    <w:p w14:paraId="5B2F382F">
      <w:pPr>
        <w:adjustRightInd w:val="0"/>
        <w:snapToGrid w:val="0"/>
        <w:spacing w:before="0" w:beforeLines="0" w:line="400" w:lineRule="exact"/>
        <w:ind w:firstLine="420" w:firstLineChars="200"/>
        <w:rPr>
          <w:rFonts w:hint="eastAsia" w:ascii="宋体" w:hAnsi="宋体"/>
          <w:color w:val="auto"/>
          <w:szCs w:val="21"/>
          <w:lang w:val="en-US" w:eastAsia="zh-CN"/>
        </w:rPr>
      </w:pPr>
      <w:r>
        <w:rPr>
          <w:rFonts w:hint="eastAsia" w:ascii="宋体" w:hAnsi="宋体"/>
          <w:color w:val="auto"/>
          <w:szCs w:val="21"/>
          <w:lang w:val="en-US" w:eastAsia="zh-CN"/>
        </w:rPr>
        <w:t xml:space="preserve">     </w:t>
      </w:r>
      <w:r>
        <w:rPr>
          <w:rFonts w:hint="eastAsia" w:ascii="宋体" w:hAnsi="宋体"/>
          <w:color w:val="auto"/>
          <w:szCs w:val="21"/>
          <w:lang w:eastAsia="zh-CN"/>
        </w:rPr>
        <w:t>采购标的及数量</w:t>
      </w:r>
      <w:r>
        <w:rPr>
          <w:rFonts w:hint="eastAsia" w:ascii="宋体" w:hAnsi="宋体"/>
          <w:color w:val="auto"/>
          <w:szCs w:val="21"/>
          <w:lang w:val="en-US" w:eastAsia="zh-CN"/>
        </w:rPr>
        <w:t>（台/套</w:t>
      </w:r>
      <w:r>
        <w:rPr>
          <w:rFonts w:hint="default" w:ascii="宋体" w:hAnsi="宋体"/>
          <w:color w:val="auto"/>
          <w:szCs w:val="21"/>
          <w:lang w:val="en" w:eastAsia="zh-CN"/>
        </w:rPr>
        <w:t>/</w:t>
      </w:r>
      <w:r>
        <w:rPr>
          <w:rFonts w:hint="eastAsia" w:ascii="宋体" w:hAnsi="宋体"/>
          <w:color w:val="auto"/>
          <w:szCs w:val="21"/>
          <w:lang w:val="en" w:eastAsia="zh-CN"/>
        </w:rPr>
        <w:t>个</w:t>
      </w:r>
      <w:r>
        <w:rPr>
          <w:rFonts w:hint="default" w:ascii="宋体" w:hAnsi="宋体"/>
          <w:color w:val="auto"/>
          <w:szCs w:val="21"/>
          <w:lang w:val="en" w:eastAsia="zh-CN"/>
        </w:rPr>
        <w:t>/</w:t>
      </w:r>
      <w:r>
        <w:rPr>
          <w:rFonts w:hint="eastAsia" w:ascii="宋体" w:hAnsi="宋体"/>
          <w:color w:val="auto"/>
          <w:szCs w:val="21"/>
          <w:lang w:val="en" w:eastAsia="zh-CN"/>
        </w:rPr>
        <w:t>架</w:t>
      </w:r>
      <w:r>
        <w:rPr>
          <w:rFonts w:hint="default" w:ascii="宋体" w:hAnsi="宋体"/>
          <w:color w:val="auto"/>
          <w:szCs w:val="21"/>
          <w:lang w:val="en" w:eastAsia="zh-CN"/>
        </w:rPr>
        <w:t>/</w:t>
      </w:r>
      <w:r>
        <w:rPr>
          <w:rFonts w:hint="eastAsia" w:ascii="宋体" w:hAnsi="宋体"/>
          <w:color w:val="auto"/>
          <w:szCs w:val="21"/>
          <w:lang w:val="en" w:eastAsia="zh-CN"/>
        </w:rPr>
        <w:t>组等</w:t>
      </w:r>
      <w:r>
        <w:rPr>
          <w:rFonts w:hint="eastAsia" w:ascii="宋体" w:hAnsi="宋体"/>
          <w:color w:val="auto"/>
          <w:szCs w:val="21"/>
          <w:lang w:val="en-US" w:eastAsia="zh-CN"/>
        </w:rPr>
        <w:t>）</w:t>
      </w:r>
      <w:r>
        <w:rPr>
          <w:rFonts w:hint="eastAsia" w:ascii="宋体" w:hAnsi="宋体"/>
          <w:color w:val="auto"/>
          <w:szCs w:val="21"/>
          <w:lang w:eastAsia="zh-CN"/>
        </w:rPr>
        <w:t>：</w:t>
      </w:r>
      <w:r>
        <w:rPr>
          <w:rFonts w:hint="eastAsia" w:ascii="宋体" w:hAnsi="宋体"/>
          <w:color w:val="auto"/>
          <w:szCs w:val="21"/>
          <w:u w:val="single"/>
          <w:lang w:val="en-US" w:eastAsia="zh-CN"/>
        </w:rPr>
        <w:t xml:space="preserve">                       </w:t>
      </w:r>
      <w:r>
        <w:rPr>
          <w:rFonts w:hint="eastAsia" w:ascii="宋体" w:hAnsi="宋体"/>
          <w:color w:val="auto"/>
          <w:szCs w:val="21"/>
          <w:u w:val="none"/>
          <w:lang w:val="en-US" w:eastAsia="zh-CN"/>
        </w:rPr>
        <w:t xml:space="preserve">            </w:t>
      </w:r>
      <w:r>
        <w:rPr>
          <w:rFonts w:hint="eastAsia" w:ascii="宋体" w:hAnsi="宋体"/>
          <w:color w:val="auto"/>
          <w:szCs w:val="21"/>
          <w:u w:val="single"/>
          <w:lang w:val="en-US" w:eastAsia="zh-CN"/>
        </w:rPr>
        <w:t xml:space="preserve">                  </w:t>
      </w:r>
      <w:r>
        <w:rPr>
          <w:rFonts w:hint="eastAsia" w:ascii="宋体" w:hAnsi="宋体"/>
          <w:color w:val="auto"/>
          <w:szCs w:val="21"/>
          <w:lang w:val="en-US" w:eastAsia="zh-CN"/>
        </w:rPr>
        <w:t xml:space="preserve"> </w:t>
      </w:r>
    </w:p>
    <w:p w14:paraId="58690595">
      <w:pPr>
        <w:numPr>
          <w:ilvl w:val="-1"/>
          <w:numId w:val="0"/>
        </w:numPr>
        <w:adjustRightInd w:val="0"/>
        <w:snapToGrid w:val="0"/>
        <w:spacing w:before="0" w:beforeLines="0" w:line="400" w:lineRule="exact"/>
        <w:ind w:firstLine="420" w:firstLineChars="200"/>
        <w:rPr>
          <w:rFonts w:hint="default" w:ascii="宋体" w:hAnsi="宋体" w:cs="宋体"/>
          <w:color w:val="auto"/>
          <w:szCs w:val="21"/>
          <w:lang w:val="en" w:eastAsia="zh-CN"/>
        </w:rPr>
      </w:pPr>
      <w:r>
        <w:rPr>
          <w:rFonts w:hint="eastAsia" w:ascii="宋体" w:hAnsi="宋体"/>
          <w:color w:val="auto"/>
          <w:szCs w:val="21"/>
          <w:highlight w:val="none"/>
          <w:u w:val="none"/>
          <w:lang w:val="en-US" w:eastAsia="zh-CN"/>
        </w:rPr>
        <w:t xml:space="preserve">     </w:t>
      </w:r>
      <w:r>
        <w:rPr>
          <w:rFonts w:hint="eastAsia" w:ascii="宋体" w:hAnsi="宋体" w:cs="宋体"/>
          <w:color w:val="auto"/>
          <w:szCs w:val="21"/>
          <w:lang w:val="en-US" w:eastAsia="zh-CN"/>
        </w:rPr>
        <w:t>品牌：</w:t>
      </w:r>
      <w:r>
        <w:rPr>
          <w:rFonts w:hint="eastAsia" w:ascii="宋体" w:hAnsi="宋体" w:cs="宋体"/>
          <w:color w:val="auto"/>
          <w:szCs w:val="21"/>
          <w:u w:val="single"/>
          <w:lang w:val="en-US" w:eastAsia="zh-CN"/>
        </w:rPr>
        <w:t xml:space="preserve">      </w:t>
      </w:r>
      <w:r>
        <w:rPr>
          <w:rFonts w:hint="default" w:ascii="宋体" w:hAnsi="宋体" w:cs="宋体"/>
          <w:color w:val="auto"/>
          <w:szCs w:val="21"/>
          <w:u w:val="single"/>
          <w:lang w:val="en" w:eastAsia="zh-CN"/>
        </w:rPr>
        <w:t xml:space="preserve">   </w:t>
      </w:r>
      <w:r>
        <w:rPr>
          <w:rFonts w:hint="eastAsia" w:ascii="宋体" w:hAnsi="宋体" w:cs="宋体"/>
          <w:color w:val="auto"/>
          <w:szCs w:val="21"/>
          <w:u w:val="single"/>
          <w:lang w:val="en-US" w:eastAsia="zh-CN"/>
        </w:rPr>
        <w:t xml:space="preserve">    </w:t>
      </w:r>
      <w:r>
        <w:rPr>
          <w:rFonts w:hint="default" w:ascii="宋体" w:hAnsi="宋体" w:cs="宋体"/>
          <w:color w:val="auto"/>
          <w:szCs w:val="21"/>
          <w:u w:val="single"/>
          <w:lang w:val="en" w:eastAsia="zh-CN"/>
        </w:rPr>
        <w:t xml:space="preserve"> </w:t>
      </w:r>
      <w:r>
        <w:rPr>
          <w:rFonts w:hint="eastAsia" w:ascii="宋体" w:hAnsi="宋体" w:cs="宋体"/>
          <w:color w:val="auto"/>
          <w:szCs w:val="21"/>
          <w:u w:val="single"/>
          <w:lang w:val="en-US" w:eastAsia="zh-CN"/>
        </w:rPr>
        <w:t xml:space="preserve"> </w:t>
      </w:r>
      <w:r>
        <w:rPr>
          <w:rFonts w:hint="default" w:ascii="宋体" w:hAnsi="宋体" w:cs="宋体"/>
          <w:color w:val="auto"/>
          <w:szCs w:val="21"/>
          <w:u w:val="none"/>
          <w:lang w:val="en" w:eastAsia="zh-CN"/>
        </w:rPr>
        <w:t xml:space="preserve">     </w:t>
      </w:r>
      <w:r>
        <w:rPr>
          <w:rFonts w:hint="eastAsia" w:ascii="宋体" w:hAnsi="宋体" w:cs="宋体"/>
          <w:color w:val="auto"/>
          <w:szCs w:val="21"/>
          <w:lang w:val="en-US" w:eastAsia="zh-CN"/>
        </w:rPr>
        <w:t>规格型号：</w:t>
      </w:r>
      <w:r>
        <w:rPr>
          <w:rFonts w:hint="eastAsia" w:ascii="宋体" w:hAnsi="宋体" w:cs="宋体"/>
          <w:color w:val="auto"/>
          <w:szCs w:val="21"/>
          <w:u w:val="single"/>
          <w:lang w:val="en-US" w:eastAsia="zh-CN"/>
        </w:rPr>
        <w:t xml:space="preserve">   </w:t>
      </w:r>
      <w:r>
        <w:rPr>
          <w:rFonts w:hint="default" w:ascii="宋体" w:hAnsi="宋体" w:cs="宋体"/>
          <w:color w:val="auto"/>
          <w:szCs w:val="21"/>
          <w:u w:val="single"/>
          <w:lang w:val="en" w:eastAsia="zh-CN"/>
        </w:rPr>
        <w:t xml:space="preserve">  </w:t>
      </w:r>
      <w:r>
        <w:rPr>
          <w:rFonts w:hint="eastAsia" w:ascii="宋体" w:hAnsi="宋体" w:cs="宋体"/>
          <w:color w:val="auto"/>
          <w:szCs w:val="21"/>
          <w:u w:val="single"/>
          <w:lang w:val="en-US" w:eastAsia="zh-CN"/>
        </w:rPr>
        <w:t xml:space="preserve">       </w:t>
      </w:r>
      <w:r>
        <w:rPr>
          <w:rFonts w:hint="default" w:ascii="宋体" w:hAnsi="宋体" w:cs="宋体"/>
          <w:color w:val="auto"/>
          <w:szCs w:val="21"/>
          <w:u w:val="single"/>
          <w:lang w:val="en" w:eastAsia="zh-CN"/>
        </w:rPr>
        <w:t xml:space="preserve">   </w:t>
      </w:r>
    </w:p>
    <w:p w14:paraId="1F173086">
      <w:pPr>
        <w:adjustRightInd w:val="0"/>
        <w:snapToGrid w:val="0"/>
        <w:spacing w:before="0" w:beforeLines="0" w:line="400" w:lineRule="exact"/>
        <w:ind w:firstLine="945" w:firstLineChars="450"/>
        <w:rPr>
          <w:rFonts w:ascii="宋体" w:hAnsi="宋体"/>
          <w:color w:val="auto"/>
          <w:szCs w:val="21"/>
          <w:highlight w:val="none"/>
          <w:u w:val="single"/>
        </w:rPr>
      </w:pPr>
      <w:r>
        <w:rPr>
          <w:rFonts w:hint="eastAsia" w:ascii="宋体" w:hAnsi="宋体"/>
          <w:color w:val="auto"/>
          <w:szCs w:val="21"/>
          <w:highlight w:val="none"/>
          <w:u w:val="none"/>
          <w:lang w:val="en-US" w:eastAsia="zh-CN"/>
        </w:rPr>
        <w:t>采购标的的技术要求、商务要求具体见附件。</w:t>
      </w:r>
    </w:p>
    <w:p w14:paraId="00532AC7">
      <w:pPr>
        <w:numPr>
          <w:ilvl w:val="-1"/>
          <w:numId w:val="0"/>
        </w:numPr>
        <w:adjustRightInd w:val="0"/>
        <w:snapToGrid w:val="0"/>
        <w:spacing w:before="0" w:beforeLines="0" w:line="400" w:lineRule="exact"/>
        <w:ind w:firstLine="945" w:firstLineChars="450"/>
        <w:rPr>
          <w:rFonts w:hint="eastAsia" w:ascii="宋体" w:hAnsi="宋体" w:cs="宋体"/>
          <w:color w:val="auto"/>
          <w:szCs w:val="21"/>
          <w:lang w:val="en-US" w:eastAsia="zh-CN"/>
        </w:rPr>
      </w:pPr>
      <w:r>
        <w:rPr>
          <w:rFonts w:hint="eastAsia" w:ascii="汉仪书宋二S" w:hAnsi="汉仪书宋二S" w:eastAsia="汉仪书宋二S" w:cs="汉仪书宋二S"/>
          <w:color w:val="auto"/>
          <w:szCs w:val="21"/>
          <w:lang w:val="en-US" w:eastAsia="zh-CN"/>
        </w:rPr>
        <w:t>①</w:t>
      </w:r>
      <w:r>
        <w:rPr>
          <w:rFonts w:hint="eastAsia" w:ascii="宋体" w:hAnsi="宋体" w:cs="宋体"/>
          <w:color w:val="auto"/>
          <w:szCs w:val="21"/>
          <w:lang w:val="en-US" w:eastAsia="zh-CN"/>
        </w:rPr>
        <w:t>涉及信息类产品，请填写该产品关键部件的品牌、型号：</w:t>
      </w:r>
    </w:p>
    <w:p w14:paraId="458A98BE">
      <w:pPr>
        <w:numPr>
          <w:ilvl w:val="-1"/>
          <w:numId w:val="0"/>
        </w:numPr>
        <w:adjustRightInd w:val="0"/>
        <w:snapToGrid w:val="0"/>
        <w:spacing w:before="0" w:beforeLines="0" w:line="400" w:lineRule="exact"/>
        <w:ind w:firstLine="420" w:firstLineChars="200"/>
        <w:rPr>
          <w:rFonts w:hint="eastAsia" w:ascii="宋体" w:hAnsi="宋体" w:cs="宋体"/>
          <w:color w:val="auto"/>
          <w:kern w:val="0"/>
          <w:szCs w:val="21"/>
          <w:u w:val="single"/>
          <w:lang w:val="en-US" w:eastAsia="zh-CN"/>
        </w:rPr>
      </w:pPr>
      <w:r>
        <w:rPr>
          <w:rFonts w:hint="eastAsia" w:ascii="宋体" w:hAnsi="宋体" w:cs="宋体"/>
          <w:color w:val="auto"/>
          <w:szCs w:val="21"/>
          <w:lang w:val="en-US" w:eastAsia="zh-CN"/>
        </w:rPr>
        <w:t xml:space="preserve">     标的名称：</w:t>
      </w:r>
      <w:r>
        <w:rPr>
          <w:rFonts w:hint="eastAsia" w:ascii="宋体" w:hAnsi="宋体" w:cs="宋体"/>
          <w:color w:val="auto"/>
          <w:kern w:val="0"/>
          <w:szCs w:val="21"/>
          <w:u w:val="single"/>
          <w:lang w:val="en-US" w:eastAsia="zh-CN"/>
        </w:rPr>
        <w:t xml:space="preserve">      </w:t>
      </w:r>
      <w:r>
        <w:rPr>
          <w:rFonts w:hint="default" w:ascii="宋体" w:hAnsi="宋体" w:cs="宋体"/>
          <w:color w:val="auto"/>
          <w:kern w:val="0"/>
          <w:szCs w:val="21"/>
          <w:u w:val="single"/>
          <w:lang w:val="en" w:eastAsia="zh-CN"/>
        </w:rPr>
        <w:t xml:space="preserve">               </w:t>
      </w:r>
      <w:r>
        <w:rPr>
          <w:rFonts w:hint="eastAsia" w:ascii="宋体" w:hAnsi="宋体" w:cs="宋体"/>
          <w:color w:val="auto"/>
          <w:kern w:val="0"/>
          <w:szCs w:val="21"/>
          <w:u w:val="single"/>
          <w:lang w:val="en-US" w:eastAsia="zh-CN"/>
        </w:rPr>
        <w:t xml:space="preserve">    </w:t>
      </w:r>
    </w:p>
    <w:p w14:paraId="496F1C24">
      <w:pPr>
        <w:numPr>
          <w:ilvl w:val="-1"/>
          <w:numId w:val="0"/>
        </w:numPr>
        <w:adjustRightInd w:val="0"/>
        <w:snapToGrid w:val="0"/>
        <w:spacing w:before="0" w:beforeLines="0" w:line="400" w:lineRule="exact"/>
        <w:ind w:firstLine="420" w:firstLineChars="200"/>
        <w:rPr>
          <w:rFonts w:hint="eastAsia" w:ascii="宋体" w:hAnsi="宋体" w:cs="宋体"/>
          <w:color w:val="auto"/>
          <w:szCs w:val="21"/>
          <w:lang w:val="en-US" w:eastAsia="zh-CN"/>
        </w:rPr>
      </w:pPr>
      <w:r>
        <w:rPr>
          <w:rFonts w:hint="eastAsia" w:ascii="宋体" w:hAnsi="宋体" w:cs="宋体"/>
          <w:color w:val="auto"/>
          <w:szCs w:val="21"/>
          <w:lang w:val="en-US" w:eastAsia="zh-CN"/>
        </w:rPr>
        <w:t xml:space="preserve">     关键部件：</w:t>
      </w:r>
      <w:r>
        <w:rPr>
          <w:rFonts w:hint="eastAsia" w:ascii="宋体" w:hAnsi="宋体" w:cs="宋体"/>
          <w:color w:val="auto"/>
          <w:kern w:val="0"/>
          <w:szCs w:val="21"/>
          <w:u w:val="single"/>
          <w:lang w:val="en-US" w:eastAsia="zh-CN"/>
        </w:rPr>
        <w:t xml:space="preserve">          </w:t>
      </w:r>
      <w:r>
        <w:rPr>
          <w:rFonts w:hint="eastAsia" w:ascii="宋体" w:hAnsi="宋体" w:cs="宋体"/>
          <w:color w:val="auto"/>
          <w:kern w:val="0"/>
          <w:szCs w:val="21"/>
          <w:u w:val="none"/>
          <w:lang w:val="en-US" w:eastAsia="zh-CN"/>
        </w:rPr>
        <w:t xml:space="preserve"> </w:t>
      </w:r>
      <w:r>
        <w:rPr>
          <w:rFonts w:hint="eastAsia" w:ascii="宋体" w:hAnsi="宋体" w:cs="宋体"/>
          <w:color w:val="auto"/>
          <w:szCs w:val="21"/>
          <w:lang w:val="en-US" w:eastAsia="zh-CN"/>
        </w:rPr>
        <w:t>品牌：</w:t>
      </w:r>
      <w:r>
        <w:rPr>
          <w:rFonts w:hint="eastAsia" w:ascii="宋体" w:hAnsi="宋体" w:cs="宋体"/>
          <w:color w:val="auto"/>
          <w:szCs w:val="21"/>
          <w:u w:val="single"/>
          <w:lang w:val="en-US" w:eastAsia="zh-CN"/>
        </w:rPr>
        <w:t xml:space="preserve">        </w:t>
      </w:r>
      <w:r>
        <w:rPr>
          <w:rFonts w:hint="eastAsia" w:ascii="宋体" w:hAnsi="宋体" w:cs="宋体"/>
          <w:color w:val="auto"/>
          <w:szCs w:val="21"/>
          <w:u w:val="none"/>
          <w:lang w:val="en-US" w:eastAsia="zh-CN"/>
        </w:rPr>
        <w:t xml:space="preserve"> </w:t>
      </w:r>
      <w:r>
        <w:rPr>
          <w:rFonts w:hint="eastAsia" w:ascii="宋体" w:hAnsi="宋体" w:cs="宋体"/>
          <w:color w:val="auto"/>
          <w:szCs w:val="21"/>
          <w:lang w:val="en-US" w:eastAsia="zh-CN"/>
        </w:rPr>
        <w:t>型号：</w:t>
      </w:r>
      <w:r>
        <w:rPr>
          <w:rFonts w:hint="eastAsia" w:ascii="宋体" w:hAnsi="宋体" w:cs="宋体"/>
          <w:color w:val="auto"/>
          <w:szCs w:val="21"/>
          <w:u w:val="single"/>
          <w:lang w:val="en-US" w:eastAsia="zh-CN"/>
        </w:rPr>
        <w:t xml:space="preserve">       </w:t>
      </w:r>
      <w:r>
        <w:rPr>
          <w:rFonts w:hint="eastAsia" w:ascii="宋体" w:hAnsi="宋体" w:cs="宋体"/>
          <w:color w:val="auto"/>
          <w:szCs w:val="21"/>
          <w:lang w:val="en-US" w:eastAsia="zh-CN"/>
        </w:rPr>
        <w:t xml:space="preserve"> </w:t>
      </w:r>
    </w:p>
    <w:p w14:paraId="6FA1A451">
      <w:pPr>
        <w:pStyle w:val="79"/>
        <w:spacing w:beforeLine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kern w:val="2"/>
          <w:sz w:val="21"/>
          <w:szCs w:val="21"/>
          <w:lang w:val="en-US" w:eastAsia="zh-CN"/>
        </w:rPr>
        <w:t>关键部件</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none"/>
          <w:lang w:val="en-US" w:eastAsia="zh-CN"/>
        </w:rPr>
        <w:t xml:space="preserve"> </w:t>
      </w:r>
      <w:r>
        <w:rPr>
          <w:rFonts w:hint="eastAsia" w:ascii="宋体" w:hAnsi="宋体" w:eastAsia="宋体" w:cs="宋体"/>
          <w:color w:val="auto"/>
          <w:sz w:val="21"/>
          <w:szCs w:val="21"/>
          <w:lang w:val="en-US" w:eastAsia="zh-CN"/>
        </w:rPr>
        <w:t>品牌：</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none"/>
          <w:lang w:val="en-US" w:eastAsia="zh-CN"/>
        </w:rPr>
        <w:t xml:space="preserve"> </w:t>
      </w:r>
      <w:r>
        <w:rPr>
          <w:rFonts w:hint="eastAsia" w:ascii="宋体" w:hAnsi="宋体" w:eastAsia="宋体" w:cs="宋体"/>
          <w:color w:val="auto"/>
          <w:sz w:val="21"/>
          <w:szCs w:val="21"/>
          <w:lang w:val="en-US" w:eastAsia="zh-CN"/>
        </w:rPr>
        <w:t>型号：</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lang w:val="en-US" w:eastAsia="zh-CN"/>
        </w:rPr>
        <w:t xml:space="preserve"> </w:t>
      </w:r>
    </w:p>
    <w:p w14:paraId="03EA0FFA">
      <w:pPr>
        <w:pStyle w:val="79"/>
        <w:spacing w:beforeLine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 xml:space="preserve">     关键部件：</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none"/>
          <w:lang w:val="en-US" w:eastAsia="zh-CN"/>
        </w:rPr>
        <w:t xml:space="preserve"> </w:t>
      </w:r>
      <w:r>
        <w:rPr>
          <w:rFonts w:hint="eastAsia" w:ascii="宋体" w:hAnsi="宋体" w:eastAsia="宋体" w:cs="宋体"/>
          <w:color w:val="auto"/>
          <w:sz w:val="21"/>
          <w:szCs w:val="21"/>
          <w:lang w:val="en-US" w:eastAsia="zh-CN"/>
        </w:rPr>
        <w:t>品牌：</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none"/>
          <w:lang w:val="en-US" w:eastAsia="zh-CN"/>
        </w:rPr>
        <w:t xml:space="preserve"> </w:t>
      </w:r>
      <w:r>
        <w:rPr>
          <w:rFonts w:hint="eastAsia" w:ascii="宋体" w:hAnsi="宋体" w:eastAsia="宋体" w:cs="宋体"/>
          <w:color w:val="auto"/>
          <w:sz w:val="21"/>
          <w:szCs w:val="21"/>
          <w:lang w:val="en-US" w:eastAsia="zh-CN"/>
        </w:rPr>
        <w:t>型号：</w:t>
      </w:r>
      <w:r>
        <w:rPr>
          <w:rFonts w:hint="eastAsia" w:ascii="宋体" w:hAnsi="宋体" w:eastAsia="宋体" w:cs="宋体"/>
          <w:color w:val="auto"/>
          <w:sz w:val="21"/>
          <w:szCs w:val="21"/>
          <w:u w:val="single"/>
          <w:lang w:val="en-US" w:eastAsia="zh-CN"/>
        </w:rPr>
        <w:t xml:space="preserve">       </w:t>
      </w:r>
    </w:p>
    <w:p w14:paraId="30E82E38">
      <w:pPr>
        <w:pStyle w:val="79"/>
        <w:numPr>
          <w:ilvl w:val="-1"/>
          <w:numId w:val="0"/>
        </w:numPr>
        <w:adjustRightInd w:val="0"/>
        <w:snapToGrid w:val="0"/>
        <w:spacing w:before="0" w:beforeLines="0" w:line="400" w:lineRule="exact"/>
        <w:ind w:firstLine="0" w:firstLine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74600401">
      <w:pPr>
        <w:pStyle w:val="79"/>
        <w:numPr>
          <w:ilvl w:val="-1"/>
          <w:numId w:val="0"/>
        </w:numPr>
        <w:adjustRightInd w:val="0"/>
        <w:snapToGrid w:val="0"/>
        <w:spacing w:before="0" w:beforeLines="0" w:line="400" w:lineRule="exact"/>
        <w:ind w:firstLine="0" w:firstLine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 xml:space="preserve">         </w:t>
      </w:r>
      <w:r>
        <w:rPr>
          <w:rFonts w:hint="eastAsia" w:ascii="汉仪书宋二S" w:hAnsi="汉仪书宋二S" w:eastAsia="汉仪书宋二S" w:cs="汉仪书宋二S"/>
          <w:color w:val="auto"/>
          <w:sz w:val="21"/>
          <w:szCs w:val="21"/>
          <w:lang w:val="en-US" w:eastAsia="zh-CN"/>
        </w:rPr>
        <w:t>②</w:t>
      </w:r>
      <w:r>
        <w:rPr>
          <w:rFonts w:hint="eastAsia" w:ascii="宋体" w:hAnsi="宋体" w:eastAsia="宋体" w:cs="宋体"/>
          <w:color w:val="auto"/>
          <w:sz w:val="21"/>
          <w:szCs w:val="21"/>
          <w:lang w:val="en-US" w:eastAsia="zh-CN"/>
        </w:rPr>
        <w:t>涉及车辆采购，请填写是否属于新能源汽车：</w:t>
      </w:r>
    </w:p>
    <w:p w14:paraId="66224EF7">
      <w:pPr>
        <w:pStyle w:val="79"/>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rPr>
        <w:t>是</w:t>
      </w:r>
      <w:r>
        <w:rPr>
          <w:rFonts w:hint="eastAsia" w:asciiTheme="minorEastAsia" w:hAnsiTheme="minorEastAsia" w:eastAsiaTheme="minorEastAsia" w:cstheme="minorEastAsia"/>
          <w:iCs w:val="0"/>
          <w:color w:val="auto"/>
          <w:sz w:val="21"/>
          <w:szCs w:val="21"/>
          <w:lang w:eastAsia="zh-CN"/>
        </w:rPr>
        <w:t>，《政府采购品目分类目录》底级品目名称</w:t>
      </w:r>
      <w:r>
        <w:rPr>
          <w:rFonts w:hint="eastAsia" w:asciiTheme="minorEastAsia" w:hAnsiTheme="minorEastAsia" w:eastAsiaTheme="minorEastAsia" w:cstheme="minorEastAsia"/>
          <w:color w:val="auto"/>
          <w:sz w:val="21"/>
          <w:szCs w:val="21"/>
          <w:lang w:val="en-US" w:eastAsia="zh-CN"/>
        </w:rPr>
        <w:t>：</w:t>
      </w:r>
      <w:r>
        <w:rPr>
          <w:rFonts w:hint="eastAsia" w:ascii="宋体" w:hAnsi="宋体" w:eastAsia="宋体" w:cs="宋体"/>
          <w:color w:val="auto"/>
          <w:sz w:val="21"/>
          <w:szCs w:val="21"/>
          <w:u w:val="single"/>
          <w:lang w:val="en-US" w:eastAsia="zh-CN"/>
        </w:rPr>
        <w:t xml:space="preserve">     </w:t>
      </w:r>
      <w:r>
        <w:rPr>
          <w:rFonts w:hint="eastAsia" w:asciiTheme="minorEastAsia" w:hAnsiTheme="minorEastAsia" w:eastAsiaTheme="minorEastAsia" w:cstheme="minorEastAsia"/>
          <w:color w:val="auto"/>
          <w:sz w:val="21"/>
          <w:szCs w:val="21"/>
          <w:lang w:val="en-US" w:eastAsia="zh-CN"/>
        </w:rPr>
        <w:t xml:space="preserve"> 数量：</w:t>
      </w:r>
      <w:r>
        <w:rPr>
          <w:rFonts w:hint="eastAsia" w:asciiTheme="minorEastAsia" w:hAnsiTheme="minorEastAsia" w:eastAsiaTheme="minorEastAsia" w:cstheme="minorEastAsia"/>
          <w:color w:val="auto"/>
          <w:sz w:val="21"/>
          <w:szCs w:val="21"/>
          <w:u w:val="single"/>
          <w:lang w:val="en-US" w:eastAsia="zh-CN"/>
        </w:rPr>
        <w:t xml:space="preserve"> </w:t>
      </w:r>
      <w:r>
        <w:rPr>
          <w:rFonts w:hint="eastAsia" w:ascii="宋体" w:hAnsi="宋体" w:eastAsia="宋体" w:cs="宋体"/>
          <w:color w:val="auto"/>
          <w:sz w:val="21"/>
          <w:szCs w:val="21"/>
          <w:u w:val="single"/>
          <w:lang w:val="en-US" w:eastAsia="zh-CN"/>
        </w:rPr>
        <w:t xml:space="preserve">   </w:t>
      </w:r>
      <w:r>
        <w:rPr>
          <w:rFonts w:hint="eastAsia" w:asciiTheme="minorEastAsia" w:hAnsiTheme="minorEastAsia" w:eastAsiaTheme="minorEastAsia" w:cstheme="minorEastAsia"/>
          <w:color w:val="auto"/>
          <w:sz w:val="21"/>
          <w:szCs w:val="21"/>
          <w:lang w:val="en-US" w:eastAsia="zh-CN"/>
        </w:rPr>
        <w:t xml:space="preserve"> 金额：</w:t>
      </w:r>
      <w:r>
        <w:rPr>
          <w:rFonts w:hint="eastAsia" w:ascii="宋体" w:hAnsi="宋体" w:eastAsia="宋体" w:cs="宋体"/>
          <w:color w:val="auto"/>
          <w:sz w:val="21"/>
          <w:szCs w:val="21"/>
          <w:u w:val="single"/>
          <w:lang w:val="en-US" w:eastAsia="zh-CN"/>
        </w:rPr>
        <w:t xml:space="preserve">     </w:t>
      </w:r>
      <w:r>
        <w:rPr>
          <w:rFonts w:hint="eastAsia" w:asciiTheme="minorEastAsia" w:hAnsiTheme="minorEastAsia" w:eastAsiaTheme="minorEastAsia" w:cstheme="minorEastAsia"/>
          <w:iCs w:val="0"/>
          <w:color w:val="auto"/>
          <w:sz w:val="21"/>
          <w:szCs w:val="21"/>
          <w:lang w:val="en-US" w:eastAsia="zh-CN"/>
        </w:rPr>
        <w:t xml:space="preserve"> </w:t>
      </w:r>
    </w:p>
    <w:p w14:paraId="0FA97EEB">
      <w:pPr>
        <w:pStyle w:val="79"/>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color w:val="auto"/>
          <w:sz w:val="21"/>
          <w:szCs w:val="21"/>
          <w:lang w:eastAsia="zh-CN"/>
        </w:rPr>
      </w:pP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否</w:t>
      </w:r>
    </w:p>
    <w:p w14:paraId="6B011493">
      <w:pPr>
        <w:pStyle w:val="79"/>
        <w:numPr>
          <w:ilvl w:val="-1"/>
          <w:numId w:val="0"/>
        </w:numPr>
        <w:adjustRightInd w:val="0"/>
        <w:snapToGrid w:val="0"/>
        <w:spacing w:before="0" w:beforeLines="0" w:line="400" w:lineRule="exact"/>
        <w:ind w:left="0" w:firstLine="0" w:firstLineChars="0"/>
        <w:rPr>
          <w:rFonts w:hint="eastAsia" w:asciiTheme="minorEastAsia" w:hAnsiTheme="minorEastAsia" w:eastAsiaTheme="minorEastAsia" w:cstheme="minorEastAsia"/>
          <w:iCs w:val="0"/>
          <w:color w:val="auto"/>
          <w:sz w:val="21"/>
          <w:szCs w:val="21"/>
          <w:lang w:val="en-US" w:eastAsia="zh-CN"/>
        </w:rPr>
      </w:pPr>
      <w:r>
        <w:rPr>
          <w:rFonts w:hint="eastAsia" w:asciiTheme="minorEastAsia" w:hAnsiTheme="minorEastAsia" w:eastAsiaTheme="minorEastAsia" w:cstheme="minorEastAsia"/>
          <w:iCs w:val="0"/>
          <w:color w:val="auto"/>
          <w:sz w:val="21"/>
          <w:szCs w:val="21"/>
          <w:lang w:val="en-US" w:eastAsia="zh-CN"/>
        </w:rPr>
        <w:t xml:space="preserve">    （</w:t>
      </w:r>
      <w:r>
        <w:rPr>
          <w:rFonts w:hint="default" w:asciiTheme="minorEastAsia" w:hAnsiTheme="minorEastAsia" w:eastAsiaTheme="minorEastAsia" w:cstheme="minorEastAsia"/>
          <w:iCs w:val="0"/>
          <w:color w:val="auto"/>
          <w:sz w:val="21"/>
          <w:szCs w:val="21"/>
          <w:lang w:val="en" w:eastAsia="zh-CN"/>
        </w:rPr>
        <w:t>4</w:t>
      </w:r>
      <w:r>
        <w:rPr>
          <w:rFonts w:hint="eastAsia" w:asciiTheme="minorEastAsia" w:hAnsiTheme="minorEastAsia" w:eastAsiaTheme="minorEastAsia" w:cstheme="minorEastAsia"/>
          <w:iCs w:val="0"/>
          <w:color w:val="auto"/>
          <w:sz w:val="21"/>
          <w:szCs w:val="21"/>
          <w:lang w:val="en-US" w:eastAsia="zh-CN"/>
        </w:rPr>
        <w:t>）政府采购组织形式：</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政府集中采购</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val="en-US" w:eastAsia="zh-CN"/>
        </w:rPr>
        <w:t xml:space="preserve">部门集中采购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val="en-US" w:eastAsia="zh-CN"/>
        </w:rPr>
        <w:t>分散采购</w:t>
      </w:r>
    </w:p>
    <w:p w14:paraId="7695F271">
      <w:pPr>
        <w:pStyle w:val="79"/>
        <w:numPr>
          <w:ilvl w:val="-1"/>
          <w:numId w:val="0"/>
        </w:numPr>
        <w:adjustRightInd w:val="0"/>
        <w:snapToGrid w:val="0"/>
        <w:spacing w:before="0" w:beforeLines="0" w:line="400" w:lineRule="exact"/>
        <w:ind w:left="0" w:firstLine="420" w:firstLineChars="0"/>
        <w:rPr>
          <w:rFonts w:hint="eastAsia" w:asciiTheme="minorEastAsia" w:hAnsiTheme="minorEastAsia" w:eastAsiaTheme="minorEastAsia" w:cstheme="minorEastAsia"/>
          <w:iCs w:val="0"/>
          <w:color w:val="auto"/>
          <w:sz w:val="21"/>
          <w:szCs w:val="21"/>
          <w:lang w:eastAsia="zh-CN"/>
        </w:rPr>
      </w:pPr>
      <w:r>
        <w:rPr>
          <w:rFonts w:hint="eastAsia" w:asciiTheme="minorEastAsia" w:hAnsiTheme="minorEastAsia" w:eastAsiaTheme="minorEastAsia" w:cstheme="minorEastAsia"/>
          <w:iCs w:val="0"/>
          <w:color w:val="auto"/>
          <w:sz w:val="21"/>
          <w:szCs w:val="21"/>
          <w:lang w:val="en-US" w:eastAsia="zh-CN"/>
        </w:rPr>
        <w:t>（</w:t>
      </w:r>
      <w:r>
        <w:rPr>
          <w:rFonts w:hint="default" w:asciiTheme="minorEastAsia" w:hAnsiTheme="minorEastAsia" w:eastAsiaTheme="minorEastAsia" w:cstheme="minorEastAsia"/>
          <w:iCs w:val="0"/>
          <w:color w:val="auto"/>
          <w:sz w:val="21"/>
          <w:szCs w:val="21"/>
          <w:lang w:val="en" w:eastAsia="zh-CN"/>
        </w:rPr>
        <w:t>5</w:t>
      </w:r>
      <w:r>
        <w:rPr>
          <w:rFonts w:hint="eastAsia" w:asciiTheme="minorEastAsia" w:hAnsiTheme="minorEastAsia" w:eastAsiaTheme="minorEastAsia" w:cstheme="minorEastAsia"/>
          <w:iCs w:val="0"/>
          <w:color w:val="auto"/>
          <w:sz w:val="21"/>
          <w:szCs w:val="21"/>
          <w:lang w:val="en-US" w:eastAsia="zh-CN"/>
        </w:rPr>
        <w:t>）政府采购方式：</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公开招标</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邀请招标</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竞争性谈判</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竞争性磋商</w:t>
      </w:r>
    </w:p>
    <w:p w14:paraId="04F1DDC7">
      <w:pPr>
        <w:pStyle w:val="79"/>
        <w:numPr>
          <w:ilvl w:val="-1"/>
          <w:numId w:val="0"/>
        </w:numPr>
        <w:adjustRightInd w:val="0"/>
        <w:snapToGrid w:val="0"/>
        <w:spacing w:before="0" w:beforeLines="0" w:line="400" w:lineRule="exact"/>
        <w:ind w:left="0" w:firstLine="420" w:firstLineChars="0"/>
        <w:rPr>
          <w:rFonts w:hint="eastAsia" w:ascii="宋体" w:hAnsi="宋体" w:eastAsia="宋体" w:cs="宋体"/>
          <w:iCs w:val="0"/>
          <w:color w:val="auto"/>
          <w:sz w:val="21"/>
          <w:szCs w:val="21"/>
          <w:u w:val="single"/>
          <w:lang w:val="en-US" w:eastAsia="zh-CN"/>
        </w:rPr>
      </w:pPr>
      <w:r>
        <w:rPr>
          <w:rFonts w:hint="eastAsia" w:ascii="宋体" w:hAnsi="宋体" w:cs="宋体"/>
          <w:color w:val="auto"/>
          <w:szCs w:val="21"/>
          <w:u w:val="none"/>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询价</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单一来源</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框架协议</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其他：</w:t>
      </w:r>
      <w:r>
        <w:rPr>
          <w:rFonts w:hint="eastAsia" w:ascii="宋体" w:hAnsi="宋体" w:eastAsia="宋体" w:cs="宋体"/>
          <w:iCs w:val="0"/>
          <w:color w:val="auto"/>
          <w:sz w:val="21"/>
          <w:szCs w:val="21"/>
          <w:u w:val="single"/>
          <w:lang w:val="en-US" w:eastAsia="zh-CN"/>
        </w:rPr>
        <w:t xml:space="preserve">          </w:t>
      </w:r>
    </w:p>
    <w:p w14:paraId="604F7D7D">
      <w:pPr>
        <w:pStyle w:val="79"/>
        <w:numPr>
          <w:ilvl w:val="-1"/>
          <w:numId w:val="0"/>
        </w:numPr>
        <w:adjustRightInd w:val="0"/>
        <w:snapToGrid w:val="0"/>
        <w:spacing w:before="0" w:beforeLines="0" w:line="400" w:lineRule="exact"/>
        <w:ind w:left="0" w:firstLine="420" w:firstLineChars="0"/>
        <w:rPr>
          <w:rFonts w:hint="default" w:ascii="宋体" w:hAnsi="宋体" w:eastAsia="宋体" w:cs="宋体"/>
          <w:iCs w:val="0"/>
          <w:color w:val="auto"/>
          <w:sz w:val="21"/>
          <w:szCs w:val="21"/>
          <w:u w:val="none"/>
          <w:lang w:val="en-US" w:eastAsia="zh-CN"/>
        </w:rPr>
      </w:pPr>
      <w:r>
        <w:rPr>
          <w:rFonts w:hint="eastAsia" w:ascii="宋体" w:hAnsi="宋体" w:eastAsia="宋体" w:cs="宋体"/>
          <w:iCs w:val="0"/>
          <w:color w:val="auto"/>
          <w:sz w:val="21"/>
          <w:szCs w:val="21"/>
          <w:u w:val="none"/>
          <w:lang w:val="en-US" w:eastAsia="zh-CN"/>
        </w:rPr>
        <w:t>（注：在框架协议采购的第二阶段，可选择使用该合同文本）</w:t>
      </w:r>
    </w:p>
    <w:p w14:paraId="0069F7BC">
      <w:pPr>
        <w:pStyle w:val="79"/>
        <w:numPr>
          <w:ilvl w:val="-1"/>
          <w:numId w:val="0"/>
        </w:numPr>
        <w:adjustRightInd w:val="0"/>
        <w:snapToGrid w:val="0"/>
        <w:spacing w:before="0" w:beforeLines="0" w:line="400" w:lineRule="exact"/>
        <w:ind w:firstLine="220" w:firstLineChars="100"/>
        <w:rPr>
          <w:rFonts w:hint="eastAsia" w:ascii="宋体" w:hAnsi="宋体" w:eastAsia="宋体" w:cs="Times New Roman"/>
          <w:color w:val="auto"/>
          <w:w w:val="100"/>
          <w:kern w:val="2"/>
          <w:sz w:val="21"/>
          <w:szCs w:val="21"/>
          <w:lang w:val="en-US" w:eastAsia="zh-CN" w:bidi="ar-SA"/>
        </w:rPr>
      </w:pPr>
      <w:r>
        <w:rPr>
          <w:rFonts w:hint="eastAsia" w:ascii="宋体" w:hAnsi="宋体"/>
          <w:color w:val="auto"/>
          <w:szCs w:val="21"/>
          <w:lang w:val="en-US" w:eastAsia="zh-CN"/>
        </w:rPr>
        <w:t xml:space="preserve"> （</w:t>
      </w:r>
      <w:r>
        <w:rPr>
          <w:rFonts w:hint="default" w:ascii="宋体" w:hAnsi="宋体"/>
          <w:color w:val="auto"/>
          <w:szCs w:val="21"/>
          <w:lang w:val="en" w:eastAsia="zh-CN"/>
        </w:rPr>
        <w:t>6</w:t>
      </w:r>
      <w:r>
        <w:rPr>
          <w:rFonts w:hint="eastAsia" w:ascii="宋体" w:hAnsi="宋体"/>
          <w:color w:val="auto"/>
          <w:szCs w:val="21"/>
          <w:lang w:val="en-US" w:eastAsia="zh-CN"/>
        </w:rPr>
        <w:t>）</w:t>
      </w:r>
      <w:r>
        <w:rPr>
          <w:rFonts w:hint="eastAsia" w:ascii="宋体" w:hAnsi="宋体" w:eastAsia="宋体" w:cs="Times New Roman"/>
          <w:color w:val="auto"/>
          <w:w w:val="100"/>
          <w:kern w:val="2"/>
          <w:sz w:val="21"/>
          <w:szCs w:val="21"/>
          <w:lang w:val="en-US" w:eastAsia="zh-CN" w:bidi="ar-SA"/>
        </w:rPr>
        <w:t>中标（成交）采购标的制造商是否为中小企业：</w:t>
      </w:r>
      <w:r>
        <w:rPr>
          <w:rFonts w:hint="eastAsia" w:ascii="宋体" w:hAnsi="宋体" w:eastAsia="宋体" w:cs="Times New Roman"/>
          <w:color w:val="auto"/>
          <w:w w:val="100"/>
          <w:kern w:val="2"/>
          <w:sz w:val="21"/>
          <w:szCs w:val="21"/>
          <w:lang w:val="en-US" w:eastAsia="zh-CN" w:bidi="ar-SA"/>
        </w:rPr>
        <w:sym w:font="Wingdings" w:char="00A8"/>
      </w:r>
      <w:r>
        <w:rPr>
          <w:rFonts w:hint="eastAsia" w:ascii="宋体" w:hAnsi="宋体" w:eastAsia="宋体" w:cs="Times New Roman"/>
          <w:color w:val="auto"/>
          <w:w w:val="100"/>
          <w:kern w:val="2"/>
          <w:sz w:val="21"/>
          <w:szCs w:val="21"/>
          <w:lang w:val="en-US" w:eastAsia="zh-CN" w:bidi="ar-SA"/>
        </w:rPr>
        <w:t xml:space="preserve">是      </w:t>
      </w:r>
      <w:r>
        <w:rPr>
          <w:rFonts w:hint="eastAsia" w:ascii="宋体" w:hAnsi="宋体" w:eastAsia="宋体" w:cs="Times New Roman"/>
          <w:color w:val="auto"/>
          <w:w w:val="100"/>
          <w:kern w:val="2"/>
          <w:sz w:val="21"/>
          <w:szCs w:val="21"/>
          <w:lang w:val="en-US" w:eastAsia="zh-CN" w:bidi="ar-SA"/>
        </w:rPr>
        <w:sym w:font="Wingdings" w:char="00A8"/>
      </w:r>
      <w:r>
        <w:rPr>
          <w:rFonts w:hint="eastAsia" w:ascii="宋体" w:hAnsi="宋体" w:eastAsia="宋体" w:cs="Times New Roman"/>
          <w:color w:val="auto"/>
          <w:w w:val="100"/>
          <w:kern w:val="2"/>
          <w:sz w:val="21"/>
          <w:szCs w:val="21"/>
          <w:lang w:val="en-US" w:eastAsia="zh-CN" w:bidi="ar-SA"/>
        </w:rPr>
        <w:t>否</w:t>
      </w:r>
    </w:p>
    <w:p w14:paraId="72B1E7EF">
      <w:pPr>
        <w:numPr>
          <w:ilvl w:val="-1"/>
          <w:numId w:val="0"/>
        </w:numPr>
        <w:adjustRightInd w:val="0"/>
        <w:snapToGrid w:val="0"/>
        <w:spacing w:before="0" w:beforeLines="0" w:line="400" w:lineRule="exact"/>
        <w:ind w:left="0" w:leftChars="0" w:firstLine="0" w:firstLineChars="0"/>
        <w:rPr>
          <w:rFonts w:hint="eastAsia" w:ascii="宋体" w:hAnsi="宋体"/>
          <w:iCs/>
          <w:color w:val="auto"/>
          <w:szCs w:val="21"/>
        </w:rPr>
      </w:pPr>
      <w:r>
        <w:rPr>
          <w:rFonts w:hint="eastAsia" w:ascii="宋体" w:hAnsi="宋体"/>
          <w:color w:val="auto"/>
          <w:w w:val="100"/>
          <w:szCs w:val="21"/>
          <w:lang w:val="en-US" w:eastAsia="zh-CN"/>
        </w:rPr>
        <w:t xml:space="preserve">         本合同</w:t>
      </w:r>
      <w:r>
        <w:rPr>
          <w:rFonts w:hint="eastAsia" w:ascii="宋体" w:hAnsi="宋体"/>
          <w:color w:val="auto"/>
          <w:w w:val="100"/>
          <w:szCs w:val="21"/>
        </w:rPr>
        <w:t>是否</w:t>
      </w:r>
      <w:r>
        <w:rPr>
          <w:rFonts w:hint="eastAsia" w:ascii="宋体" w:hAnsi="宋体"/>
          <w:color w:val="auto"/>
          <w:w w:val="100"/>
          <w:szCs w:val="21"/>
          <w:lang w:eastAsia="zh-CN"/>
        </w:rPr>
        <w:t>为专门面向</w:t>
      </w:r>
      <w:r>
        <w:rPr>
          <w:rFonts w:hint="eastAsia" w:ascii="宋体" w:hAnsi="宋体"/>
          <w:color w:val="auto"/>
          <w:w w:val="100"/>
          <w:szCs w:val="21"/>
        </w:rPr>
        <w:t>中小企业</w:t>
      </w:r>
      <w:r>
        <w:rPr>
          <w:rFonts w:hint="eastAsia" w:ascii="宋体" w:hAnsi="宋体"/>
          <w:color w:val="auto"/>
          <w:w w:val="100"/>
          <w:szCs w:val="21"/>
          <w:lang w:eastAsia="zh-CN"/>
        </w:rPr>
        <w:t>的采</w:t>
      </w:r>
      <w:r>
        <w:rPr>
          <w:rFonts w:hint="eastAsia" w:ascii="宋体" w:hAnsi="宋体"/>
          <w:color w:val="auto"/>
          <w:w w:val="100"/>
          <w:szCs w:val="21"/>
          <w:shd w:val="clear"/>
          <w:lang w:eastAsia="zh-CN"/>
        </w:rPr>
        <w:t>购</w:t>
      </w:r>
      <w:r>
        <w:rPr>
          <w:rFonts w:hint="eastAsia" w:ascii="宋体" w:hAnsi="宋体"/>
          <w:color w:val="auto"/>
          <w:w w:val="100"/>
          <w:szCs w:val="21"/>
          <w:shd w:val="clear"/>
        </w:rPr>
        <w:t>合同</w:t>
      </w:r>
      <w:r>
        <w:rPr>
          <w:rFonts w:hint="eastAsia" w:ascii="宋体" w:hAnsi="宋体"/>
          <w:color w:val="auto"/>
          <w:w w:val="100"/>
          <w:szCs w:val="21"/>
          <w:shd w:val="clear"/>
          <w:lang w:eastAsia="zh-CN"/>
        </w:rPr>
        <w:t>（中小企业预留合同）</w:t>
      </w:r>
      <w:r>
        <w:rPr>
          <w:rFonts w:hint="eastAsia" w:ascii="宋体" w:hAnsi="宋体"/>
          <w:color w:val="auto"/>
          <w:szCs w:val="21"/>
          <w:shd w:val="clear"/>
        </w:rPr>
        <w:t>：</w:t>
      </w:r>
      <w:r>
        <w:rPr>
          <w:rFonts w:hint="eastAsia" w:ascii="宋体" w:hAnsi="宋体"/>
          <w:iCs/>
          <w:color w:val="auto"/>
          <w:szCs w:val="21"/>
        </w:rPr>
        <w:sym w:font="Wingdings" w:char="00A8"/>
      </w:r>
      <w:r>
        <w:rPr>
          <w:rFonts w:hint="eastAsia" w:ascii="宋体" w:hAnsi="宋体"/>
          <w:iCs/>
          <w:color w:val="auto"/>
          <w:szCs w:val="21"/>
        </w:rPr>
        <w:t xml:space="preserve">是 </w:t>
      </w:r>
      <w:r>
        <w:rPr>
          <w:rFonts w:hint="eastAsia" w:ascii="宋体" w:hAnsi="宋体"/>
          <w:iCs/>
          <w:color w:val="auto"/>
          <w:szCs w:val="21"/>
          <w:lang w:val="en-US" w:eastAsia="zh-CN"/>
        </w:rPr>
        <w:t xml:space="preserve">  </w:t>
      </w:r>
      <w:r>
        <w:rPr>
          <w:rFonts w:hint="eastAsia" w:ascii="宋体" w:hAnsi="宋体"/>
          <w:iCs/>
          <w:color w:val="auto"/>
          <w:szCs w:val="21"/>
        </w:rPr>
        <w:t xml:space="preserve"> </w:t>
      </w:r>
      <w:r>
        <w:rPr>
          <w:rFonts w:hint="eastAsia" w:ascii="宋体" w:hAnsi="宋体"/>
          <w:iCs/>
          <w:color w:val="auto"/>
          <w:szCs w:val="21"/>
        </w:rPr>
        <w:sym w:font="Wingdings" w:char="00A8"/>
      </w:r>
      <w:r>
        <w:rPr>
          <w:rFonts w:hint="eastAsia" w:ascii="宋体" w:hAnsi="宋体"/>
          <w:iCs/>
          <w:color w:val="auto"/>
          <w:szCs w:val="21"/>
        </w:rPr>
        <w:t>否</w:t>
      </w:r>
    </w:p>
    <w:p w14:paraId="3CF5D727">
      <w:pPr>
        <w:numPr>
          <w:ilvl w:val="-1"/>
          <w:numId w:val="0"/>
        </w:numPr>
        <w:adjustRightInd w:val="0"/>
        <w:snapToGrid w:val="0"/>
        <w:spacing w:before="0" w:beforeLines="0" w:line="400" w:lineRule="exact"/>
        <w:ind w:firstLine="0" w:firstLineChars="0"/>
        <w:rPr>
          <w:rFonts w:hint="eastAsia" w:ascii="宋体" w:hAnsi="宋体"/>
          <w:iCs/>
          <w:color w:val="auto"/>
          <w:szCs w:val="21"/>
        </w:rPr>
      </w:pPr>
      <w:r>
        <w:rPr>
          <w:rFonts w:hint="eastAsia"/>
          <w:color w:val="auto"/>
          <w:lang w:val="en-US" w:eastAsia="zh-CN"/>
        </w:rPr>
        <w:t xml:space="preserve">         若本项目不专门面向中小企业采购，是否给予小微企业评审优惠：</w:t>
      </w:r>
      <w:r>
        <w:rPr>
          <w:rFonts w:hint="eastAsia" w:ascii="宋体" w:hAnsi="宋体"/>
          <w:iCs/>
          <w:color w:val="auto"/>
          <w:szCs w:val="21"/>
        </w:rPr>
        <w:sym w:font="Wingdings" w:char="00A8"/>
      </w:r>
      <w:r>
        <w:rPr>
          <w:rFonts w:hint="eastAsia" w:ascii="宋体" w:hAnsi="宋体"/>
          <w:iCs/>
          <w:color w:val="auto"/>
          <w:szCs w:val="21"/>
        </w:rPr>
        <w:t xml:space="preserve">是   </w:t>
      </w:r>
      <w:r>
        <w:rPr>
          <w:rFonts w:hint="eastAsia" w:ascii="宋体" w:hAnsi="宋体"/>
          <w:iCs/>
          <w:color w:val="auto"/>
          <w:szCs w:val="21"/>
        </w:rPr>
        <w:sym w:font="Wingdings" w:char="00A8"/>
      </w:r>
      <w:r>
        <w:rPr>
          <w:rFonts w:hint="eastAsia" w:ascii="宋体" w:hAnsi="宋体"/>
          <w:iCs/>
          <w:color w:val="auto"/>
          <w:szCs w:val="21"/>
        </w:rPr>
        <w:t>否</w:t>
      </w:r>
    </w:p>
    <w:p w14:paraId="3A34AD97">
      <w:pPr>
        <w:numPr>
          <w:ilvl w:val="-1"/>
          <w:numId w:val="0"/>
        </w:numPr>
        <w:adjustRightInd w:val="0"/>
        <w:snapToGrid w:val="0"/>
        <w:spacing w:before="0" w:beforeLines="0" w:line="400" w:lineRule="exact"/>
        <w:ind w:firstLine="0" w:firstLineChars="0"/>
        <w:rPr>
          <w:rFonts w:hint="eastAsia" w:ascii="宋体" w:hAnsi="宋体"/>
          <w:iCs/>
          <w:color w:val="auto"/>
          <w:szCs w:val="21"/>
        </w:rPr>
      </w:pPr>
      <w:r>
        <w:rPr>
          <w:rFonts w:hint="eastAsia"/>
          <w:color w:val="auto"/>
          <w:lang w:val="en-US" w:eastAsia="zh-CN"/>
        </w:rPr>
        <w:t xml:space="preserve">         中标（成交）采购标的制造商是否为残疾人福利性单位：</w:t>
      </w:r>
      <w:r>
        <w:rPr>
          <w:rFonts w:hint="eastAsia" w:ascii="宋体" w:hAnsi="宋体"/>
          <w:iCs/>
          <w:color w:val="auto"/>
          <w:szCs w:val="21"/>
        </w:rPr>
        <w:sym w:font="Wingdings" w:char="00A8"/>
      </w:r>
      <w:r>
        <w:rPr>
          <w:rFonts w:hint="eastAsia" w:ascii="宋体" w:hAnsi="宋体"/>
          <w:iCs/>
          <w:color w:val="auto"/>
          <w:szCs w:val="21"/>
        </w:rPr>
        <w:t xml:space="preserve">是   </w:t>
      </w:r>
      <w:r>
        <w:rPr>
          <w:rFonts w:hint="eastAsia" w:ascii="宋体" w:hAnsi="宋体"/>
          <w:iCs/>
          <w:color w:val="auto"/>
          <w:szCs w:val="21"/>
        </w:rPr>
        <w:sym w:font="Wingdings" w:char="00A8"/>
      </w:r>
      <w:r>
        <w:rPr>
          <w:rFonts w:hint="eastAsia" w:ascii="宋体" w:hAnsi="宋体"/>
          <w:iCs/>
          <w:color w:val="auto"/>
          <w:szCs w:val="21"/>
        </w:rPr>
        <w:t>否</w:t>
      </w:r>
    </w:p>
    <w:p w14:paraId="03FE143E">
      <w:pPr>
        <w:numPr>
          <w:ilvl w:val="0"/>
          <w:numId w:val="0"/>
        </w:numPr>
        <w:snapToGrid w:val="0"/>
        <w:spacing w:beforeLines="0" w:line="400" w:lineRule="exact"/>
        <w:ind w:firstLine="0" w:firstLineChars="0"/>
        <w:rPr>
          <w:rFonts w:hint="default"/>
          <w:color w:val="auto"/>
          <w:lang w:val="en-US" w:eastAsia="zh-CN"/>
        </w:rPr>
      </w:pPr>
      <w:r>
        <w:rPr>
          <w:rFonts w:hint="eastAsia"/>
          <w:color w:val="auto"/>
          <w:lang w:val="en-US" w:eastAsia="zh-CN"/>
        </w:rPr>
        <w:t xml:space="preserve">         中标（成交）采购标的制造商是否为监狱企业：</w:t>
      </w:r>
      <w:r>
        <w:rPr>
          <w:rFonts w:hint="eastAsia" w:ascii="宋体" w:hAnsi="宋体"/>
          <w:iCs/>
          <w:color w:val="auto"/>
          <w:szCs w:val="21"/>
        </w:rPr>
        <w:sym w:font="Wingdings" w:char="00A8"/>
      </w:r>
      <w:r>
        <w:rPr>
          <w:rFonts w:hint="eastAsia" w:ascii="宋体" w:hAnsi="宋体"/>
          <w:iCs/>
          <w:color w:val="auto"/>
          <w:szCs w:val="21"/>
        </w:rPr>
        <w:t xml:space="preserve">是       </w:t>
      </w:r>
      <w:r>
        <w:rPr>
          <w:rFonts w:hint="eastAsia" w:ascii="宋体" w:hAnsi="宋体"/>
          <w:iCs/>
          <w:color w:val="auto"/>
          <w:szCs w:val="21"/>
        </w:rPr>
        <w:sym w:font="Wingdings" w:char="00A8"/>
      </w:r>
      <w:r>
        <w:rPr>
          <w:rFonts w:hint="eastAsia" w:ascii="宋体" w:hAnsi="宋体"/>
          <w:iCs/>
          <w:color w:val="auto"/>
          <w:szCs w:val="21"/>
        </w:rPr>
        <w:t>否</w:t>
      </w:r>
    </w:p>
    <w:p w14:paraId="0F5204FF">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default" w:ascii="宋体" w:hAnsi="宋体"/>
          <w:color w:val="auto"/>
          <w:szCs w:val="21"/>
          <w:lang w:val="en" w:eastAsia="zh-CN"/>
        </w:rPr>
        <w:t>7</w:t>
      </w:r>
      <w:r>
        <w:rPr>
          <w:rFonts w:hint="eastAsia" w:ascii="宋体" w:hAnsi="宋体"/>
          <w:color w:val="auto"/>
          <w:szCs w:val="21"/>
        </w:rPr>
        <w:t>）合同是否分包：</w:t>
      </w:r>
      <w:r>
        <w:rPr>
          <w:rFonts w:hint="eastAsia" w:ascii="宋体" w:hAnsi="宋体"/>
          <w:iCs/>
          <w:color w:val="auto"/>
          <w:szCs w:val="21"/>
        </w:rPr>
        <w:sym w:font="Wingdings" w:char="00A8"/>
      </w:r>
      <w:r>
        <w:rPr>
          <w:rFonts w:hint="eastAsia" w:ascii="宋体" w:hAnsi="宋体"/>
          <w:iCs/>
          <w:color w:val="auto"/>
          <w:szCs w:val="21"/>
        </w:rPr>
        <w:t xml:space="preserve">是       </w:t>
      </w:r>
      <w:r>
        <w:rPr>
          <w:rFonts w:hint="eastAsia" w:ascii="宋体" w:hAnsi="宋体"/>
          <w:iCs/>
          <w:color w:val="auto"/>
          <w:szCs w:val="21"/>
        </w:rPr>
        <w:sym w:font="Wingdings" w:char="00A8"/>
      </w:r>
      <w:r>
        <w:rPr>
          <w:rFonts w:hint="eastAsia" w:ascii="宋体" w:hAnsi="宋体"/>
          <w:iCs/>
          <w:color w:val="auto"/>
          <w:szCs w:val="21"/>
        </w:rPr>
        <w:t>否</w:t>
      </w:r>
    </w:p>
    <w:p w14:paraId="46A3DF25">
      <w:pPr>
        <w:adjustRightInd w:val="0"/>
        <w:snapToGrid w:val="0"/>
        <w:spacing w:before="0" w:beforeLines="0" w:line="400" w:lineRule="exact"/>
        <w:ind w:firstLine="840" w:firstLineChars="400"/>
        <w:rPr>
          <w:rFonts w:hint="eastAsia" w:ascii="宋体" w:hAnsi="宋体"/>
          <w:color w:val="auto"/>
          <w:szCs w:val="21"/>
          <w:u w:val="single"/>
        </w:rPr>
      </w:pPr>
      <w:r>
        <w:rPr>
          <w:rFonts w:hint="eastAsia" w:ascii="宋体" w:hAnsi="宋体"/>
          <w:color w:val="auto"/>
          <w:szCs w:val="21"/>
          <w:lang w:val="en-US" w:eastAsia="zh-CN"/>
        </w:rPr>
        <w:t xml:space="preserve"> </w:t>
      </w:r>
      <w:r>
        <w:rPr>
          <w:rFonts w:hint="eastAsia" w:ascii="宋体" w:hAnsi="宋体"/>
          <w:color w:val="auto"/>
          <w:szCs w:val="21"/>
        </w:rPr>
        <w:t>分包主要内容：</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p>
    <w:p w14:paraId="7EA4D40A">
      <w:pPr>
        <w:adjustRightInd w:val="0"/>
        <w:snapToGrid w:val="0"/>
        <w:spacing w:before="0" w:beforeLines="0" w:line="400" w:lineRule="exact"/>
        <w:ind w:firstLine="840" w:firstLineChars="400"/>
        <w:rPr>
          <w:rFonts w:hint="eastAsia" w:ascii="宋体" w:hAnsi="宋体"/>
          <w:color w:val="auto"/>
          <w:szCs w:val="21"/>
          <w:highlight w:val="none"/>
        </w:rPr>
      </w:pPr>
      <w:r>
        <w:rPr>
          <w:rFonts w:hint="eastAsia" w:ascii="宋体" w:hAnsi="宋体"/>
          <w:color w:val="auto"/>
          <w:szCs w:val="21"/>
          <w:u w:val="none"/>
          <w:lang w:val="en-US" w:eastAsia="zh-CN"/>
        </w:rPr>
        <w:t xml:space="preserve"> </w:t>
      </w:r>
      <w:r>
        <w:rPr>
          <w:rFonts w:hint="eastAsia" w:ascii="宋体" w:hAnsi="宋体"/>
          <w:color w:val="auto"/>
          <w:szCs w:val="21"/>
        </w:rPr>
        <w:t>分包</w:t>
      </w:r>
      <w:r>
        <w:rPr>
          <w:rFonts w:hint="eastAsia" w:ascii="宋体" w:hAnsi="宋体"/>
          <w:color w:val="auto"/>
          <w:szCs w:val="21"/>
          <w:highlight w:val="none"/>
        </w:rPr>
        <w:t>供应商</w:t>
      </w:r>
      <w:r>
        <w:rPr>
          <w:rFonts w:hint="eastAsia" w:ascii="宋体" w:hAnsi="宋体"/>
          <w:color w:val="auto"/>
          <w:szCs w:val="21"/>
          <w:highlight w:val="none"/>
          <w:lang w:eastAsia="zh-CN"/>
        </w:rPr>
        <w:t>/制造商</w:t>
      </w:r>
      <w:r>
        <w:rPr>
          <w:rFonts w:hint="eastAsia" w:ascii="宋体" w:hAnsi="宋体"/>
          <w:color w:val="auto"/>
          <w:szCs w:val="21"/>
          <w:highlight w:val="none"/>
        </w:rPr>
        <w:t>名称</w:t>
      </w:r>
      <w:r>
        <w:rPr>
          <w:rFonts w:hint="eastAsia" w:ascii="宋体" w:hAnsi="宋体"/>
          <w:color w:val="auto"/>
          <w:szCs w:val="21"/>
          <w:highlight w:val="none"/>
          <w:lang w:eastAsia="zh-CN"/>
        </w:rPr>
        <w:t>（如供应商和制造商不同，请分别填写）</w:t>
      </w:r>
      <w:r>
        <w:rPr>
          <w:rFonts w:hint="eastAsia" w:ascii="宋体" w:hAnsi="宋体"/>
          <w:color w:val="auto"/>
          <w:szCs w:val="21"/>
          <w:highlight w:val="none"/>
        </w:rPr>
        <w:t>：</w:t>
      </w:r>
    </w:p>
    <w:p w14:paraId="793D9158">
      <w:pPr>
        <w:adjustRightInd w:val="0"/>
        <w:snapToGrid w:val="0"/>
        <w:spacing w:before="0" w:beforeLines="0" w:line="400" w:lineRule="exact"/>
        <w:ind w:firstLine="840" w:firstLineChars="400"/>
        <w:rPr>
          <w:rFonts w:ascii="宋体" w:hAnsi="宋体"/>
          <w:color w:val="auto"/>
          <w:szCs w:val="21"/>
          <w:highlight w:val="none"/>
          <w:u w:val="single"/>
        </w:rPr>
      </w:pPr>
      <w:r>
        <w:rPr>
          <w:rFonts w:hint="eastAsia" w:ascii="宋体" w:hAnsi="宋体"/>
          <w:color w:val="auto"/>
          <w:szCs w:val="21"/>
          <w:highlight w:val="none"/>
          <w:u w:val="non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p>
    <w:p w14:paraId="4EFD1C0A">
      <w:pPr>
        <w:adjustRightInd w:val="0"/>
        <w:snapToGrid w:val="0"/>
        <w:spacing w:before="0" w:beforeLines="0" w:line="400" w:lineRule="exact"/>
        <w:ind w:firstLine="840" w:firstLineChars="400"/>
        <w:rPr>
          <w:rFonts w:hint="eastAsia" w:ascii="宋体" w:hAnsi="宋体"/>
          <w:color w:val="auto"/>
          <w:szCs w:val="21"/>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分包供应商</w:t>
      </w:r>
      <w:r>
        <w:rPr>
          <w:rFonts w:hint="eastAsia" w:ascii="宋体" w:hAnsi="宋体"/>
          <w:color w:val="auto"/>
          <w:szCs w:val="21"/>
          <w:highlight w:val="none"/>
          <w:lang w:val="en-US" w:eastAsia="zh-CN"/>
        </w:rPr>
        <w:t>/</w:t>
      </w:r>
      <w:r>
        <w:rPr>
          <w:rFonts w:hint="eastAsia" w:ascii="宋体" w:hAnsi="宋体"/>
          <w:color w:val="auto"/>
          <w:szCs w:val="21"/>
          <w:highlight w:val="none"/>
          <w:lang w:eastAsia="zh-CN"/>
        </w:rPr>
        <w:t>制造商</w:t>
      </w:r>
      <w:r>
        <w:rPr>
          <w:rFonts w:hint="eastAsia" w:ascii="宋体" w:hAnsi="宋体"/>
          <w:color w:val="auto"/>
          <w:szCs w:val="21"/>
        </w:rPr>
        <w:t>类型</w:t>
      </w:r>
      <w:r>
        <w:rPr>
          <w:rFonts w:hint="eastAsia" w:ascii="宋体" w:hAnsi="宋体"/>
          <w:color w:val="auto"/>
          <w:szCs w:val="21"/>
          <w:highlight w:val="none"/>
          <w:lang w:eastAsia="zh-CN"/>
        </w:rPr>
        <w:t>（如果供应商和制造商不同，只填写制造商类型）</w:t>
      </w:r>
      <w:r>
        <w:rPr>
          <w:rFonts w:hint="eastAsia" w:ascii="宋体" w:hAnsi="宋体"/>
          <w:color w:val="auto"/>
          <w:szCs w:val="21"/>
        </w:rPr>
        <w:t>：</w:t>
      </w:r>
    </w:p>
    <w:p w14:paraId="33FFFD46">
      <w:pPr>
        <w:adjustRightInd w:val="0"/>
        <w:snapToGrid w:val="0"/>
        <w:spacing w:beforeLines="0" w:line="400" w:lineRule="exact"/>
        <w:ind w:firstLine="840" w:firstLineChars="400"/>
        <w:rPr>
          <w:rFonts w:hint="eastAsia" w:ascii="宋体" w:hAnsi="宋体"/>
          <w:iCs/>
          <w:color w:val="auto"/>
          <w:szCs w:val="21"/>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rPr>
        <w:t xml:space="preserve">大型企业  </w:t>
      </w:r>
      <w:r>
        <w:rPr>
          <w:rFonts w:hint="eastAsia" w:ascii="宋体" w:hAnsi="宋体"/>
          <w:iCs/>
          <w:color w:val="auto"/>
          <w:szCs w:val="21"/>
        </w:rPr>
        <w:sym w:font="Wingdings" w:char="00A8"/>
      </w:r>
      <w:r>
        <w:rPr>
          <w:rFonts w:hint="eastAsia" w:ascii="宋体" w:hAnsi="宋体"/>
          <w:iCs/>
          <w:color w:val="auto"/>
          <w:szCs w:val="21"/>
        </w:rPr>
        <w:t xml:space="preserve">中型企业  </w:t>
      </w:r>
      <w:r>
        <w:rPr>
          <w:rFonts w:hint="eastAsia" w:ascii="宋体" w:hAnsi="宋体"/>
          <w:iCs/>
          <w:color w:val="auto"/>
          <w:szCs w:val="21"/>
        </w:rPr>
        <w:sym w:font="Wingdings" w:char="00A8"/>
      </w:r>
      <w:r>
        <w:rPr>
          <w:rFonts w:hint="eastAsia" w:ascii="宋体" w:hAnsi="宋体"/>
          <w:iCs/>
          <w:color w:val="auto"/>
          <w:szCs w:val="21"/>
        </w:rPr>
        <w:t>小微型企业</w:t>
      </w:r>
      <w:r>
        <w:rPr>
          <w:rFonts w:hint="eastAsia" w:ascii="宋体" w:hAnsi="宋体"/>
          <w:iCs/>
          <w:color w:val="auto"/>
          <w:szCs w:val="21"/>
          <w:lang w:val="en-US" w:eastAsia="zh-CN"/>
        </w:rPr>
        <w:t xml:space="preserve">  </w:t>
      </w:r>
    </w:p>
    <w:p w14:paraId="52DC9F1E">
      <w:pPr>
        <w:adjustRightInd w:val="0"/>
        <w:snapToGrid w:val="0"/>
        <w:spacing w:beforeLines="0" w:line="400" w:lineRule="exact"/>
        <w:ind w:firstLine="840" w:firstLineChars="400"/>
        <w:rPr>
          <w:rFonts w:hint="default" w:eastAsia="华文楷体"/>
          <w:color w:val="auto"/>
          <w:u w:val="none"/>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残疾人福利性单位</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监狱</w:t>
      </w:r>
      <w:r>
        <w:rPr>
          <w:rFonts w:hint="eastAsia" w:ascii="宋体" w:hAnsi="宋体"/>
          <w:iCs/>
          <w:color w:val="auto"/>
          <w:szCs w:val="21"/>
        </w:rPr>
        <w:t>企业</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其他</w:t>
      </w:r>
    </w:p>
    <w:p w14:paraId="5F657FCA">
      <w:pPr>
        <w:numPr>
          <w:ilvl w:val="-1"/>
          <w:numId w:val="0"/>
        </w:numPr>
        <w:adjustRightInd w:val="0"/>
        <w:snapToGrid w:val="0"/>
        <w:spacing w:before="0" w:beforeLines="0" w:line="400" w:lineRule="exact"/>
        <w:ind w:left="0" w:leftChars="0" w:firstLine="0" w:firstLineChars="0"/>
        <w:rPr>
          <w:rFonts w:hint="eastAsia" w:ascii="宋体" w:hAnsi="宋体" w:cs="宋体"/>
          <w:iCs/>
          <w:color w:val="auto"/>
          <w:szCs w:val="21"/>
          <w:highlight w:val="none"/>
        </w:rPr>
      </w:pPr>
      <w:r>
        <w:rPr>
          <w:rFonts w:hint="eastAsia" w:ascii="宋体" w:hAnsi="宋体"/>
          <w:color w:val="auto"/>
          <w:szCs w:val="21"/>
          <w:highlight w:val="none"/>
          <w:u w:val="none"/>
          <w:lang w:val="en-US" w:eastAsia="zh-CN"/>
        </w:rPr>
        <w:t xml:space="preserve">    </w:t>
      </w:r>
      <w:r>
        <w:rPr>
          <w:rFonts w:hint="eastAsia" w:ascii="宋体" w:hAnsi="宋体" w:cs="宋体"/>
          <w:color w:val="auto"/>
          <w:szCs w:val="21"/>
          <w:highlight w:val="none"/>
          <w:u w:val="none"/>
          <w:lang w:val="en-US" w:eastAsia="zh-CN"/>
        </w:rPr>
        <w:t>（</w:t>
      </w:r>
      <w:r>
        <w:rPr>
          <w:rFonts w:hint="default" w:ascii="宋体" w:hAnsi="宋体" w:cs="宋体"/>
          <w:color w:val="auto"/>
          <w:szCs w:val="21"/>
          <w:highlight w:val="none"/>
          <w:u w:val="none"/>
          <w:lang w:val="en" w:eastAsia="zh-CN"/>
        </w:rPr>
        <w:t>8</w:t>
      </w:r>
      <w:r>
        <w:rPr>
          <w:rFonts w:hint="eastAsia" w:ascii="宋体" w:hAnsi="宋体" w:cs="宋体"/>
          <w:color w:val="auto"/>
          <w:szCs w:val="21"/>
          <w:highlight w:val="none"/>
          <w:u w:val="none"/>
          <w:lang w:val="en-US" w:eastAsia="zh-CN"/>
        </w:rPr>
        <w:t>）中标（成交）供应商是否为外商投资企业：</w:t>
      </w:r>
      <w:r>
        <w:rPr>
          <w:rFonts w:hint="eastAsia" w:ascii="宋体" w:hAnsi="宋体" w:cs="宋体"/>
          <w:iCs/>
          <w:color w:val="auto"/>
          <w:szCs w:val="21"/>
          <w:highlight w:val="none"/>
        </w:rPr>
        <w:sym w:font="Wingdings" w:char="00A8"/>
      </w:r>
      <w:r>
        <w:rPr>
          <w:rFonts w:hint="eastAsia" w:ascii="宋体" w:hAnsi="宋体" w:cs="宋体"/>
          <w:iCs/>
          <w:color w:val="auto"/>
          <w:szCs w:val="21"/>
          <w:highlight w:val="none"/>
        </w:rPr>
        <w:t xml:space="preserve">是       </w:t>
      </w:r>
      <w:r>
        <w:rPr>
          <w:rFonts w:hint="eastAsia" w:ascii="宋体" w:hAnsi="宋体" w:cs="宋体"/>
          <w:iCs/>
          <w:color w:val="auto"/>
          <w:szCs w:val="21"/>
          <w:highlight w:val="none"/>
        </w:rPr>
        <w:sym w:font="Wingdings" w:char="00A8"/>
      </w:r>
      <w:r>
        <w:rPr>
          <w:rFonts w:hint="eastAsia" w:ascii="宋体" w:hAnsi="宋体" w:cs="宋体"/>
          <w:iCs/>
          <w:color w:val="auto"/>
          <w:szCs w:val="21"/>
          <w:highlight w:val="none"/>
        </w:rPr>
        <w:t>否</w:t>
      </w:r>
    </w:p>
    <w:p w14:paraId="14DA96BE">
      <w:pPr>
        <w:pStyle w:val="79"/>
        <w:tabs>
          <w:tab w:val="left" w:pos="1340"/>
        </w:tabs>
        <w:spacing w:beforeLines="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none"/>
          <w:lang w:val="en-US" w:eastAsia="zh-CN"/>
        </w:rPr>
        <w:t xml:space="preserve">     外商投资企业类型：</w:t>
      </w:r>
      <w:r>
        <w:rPr>
          <w:rFonts w:hint="eastAsia" w:ascii="宋体" w:hAnsi="宋体" w:eastAsia="宋体" w:cs="宋体"/>
          <w:iCs/>
          <w:color w:val="auto"/>
          <w:sz w:val="21"/>
          <w:szCs w:val="21"/>
          <w:highlight w:val="none"/>
        </w:rPr>
        <w:sym w:font="Wingdings" w:char="00A8"/>
      </w:r>
      <w:r>
        <w:rPr>
          <w:rFonts w:hint="eastAsia" w:ascii="宋体" w:hAnsi="宋体" w:eastAsia="宋体" w:cs="宋体"/>
          <w:color w:val="auto"/>
          <w:sz w:val="21"/>
          <w:szCs w:val="21"/>
          <w:highlight w:val="none"/>
          <w:u w:val="none"/>
          <w:lang w:val="en-US" w:eastAsia="zh-CN"/>
        </w:rPr>
        <w:t xml:space="preserve">全部由外国投资者投资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lang w:val="en-US" w:eastAsia="zh-CN"/>
        </w:rPr>
        <w:t>部分由外国投资者投资</w:t>
      </w:r>
    </w:p>
    <w:p w14:paraId="59F57D59">
      <w:pPr>
        <w:numPr>
          <w:ilvl w:val="-1"/>
          <w:numId w:val="0"/>
        </w:numPr>
        <w:adjustRightInd w:val="0"/>
        <w:snapToGrid w:val="0"/>
        <w:spacing w:before="0" w:beforeLines="0" w:line="400" w:lineRule="exact"/>
        <w:ind w:firstLine="420" w:firstLineChars="200"/>
        <w:rPr>
          <w:rFonts w:hint="eastAsia" w:ascii="宋体" w:hAnsi="宋体" w:eastAsia="宋体" w:cs="宋体"/>
          <w:b w:val="0"/>
          <w:bCs w:val="0"/>
          <w:color w:val="auto"/>
          <w:sz w:val="21"/>
          <w:szCs w:val="21"/>
          <w:u w:val="none"/>
          <w:lang w:val="en-US" w:eastAsia="zh-CN"/>
        </w:rPr>
      </w:pPr>
      <w:r>
        <w:rPr>
          <w:rFonts w:hint="eastAsia" w:ascii="宋体" w:hAnsi="宋体" w:eastAsia="宋体" w:cs="宋体"/>
          <w:b w:val="0"/>
          <w:bCs w:val="0"/>
          <w:color w:val="auto"/>
          <w:sz w:val="21"/>
          <w:szCs w:val="21"/>
          <w:u w:val="none"/>
          <w:lang w:val="en-US" w:eastAsia="zh-CN"/>
        </w:rPr>
        <w:t>（</w:t>
      </w:r>
      <w:r>
        <w:rPr>
          <w:rFonts w:hint="default" w:ascii="宋体" w:hAnsi="宋体" w:cs="宋体"/>
          <w:b w:val="0"/>
          <w:bCs w:val="0"/>
          <w:color w:val="auto"/>
          <w:sz w:val="21"/>
          <w:szCs w:val="21"/>
          <w:u w:val="none"/>
          <w:lang w:val="en" w:eastAsia="zh-CN"/>
        </w:rPr>
        <w:t>9</w:t>
      </w:r>
      <w:r>
        <w:rPr>
          <w:rFonts w:hint="eastAsia" w:ascii="宋体" w:hAnsi="宋体" w:eastAsia="宋体" w:cs="宋体"/>
          <w:b w:val="0"/>
          <w:bCs w:val="0"/>
          <w:color w:val="auto"/>
          <w:sz w:val="21"/>
          <w:szCs w:val="21"/>
          <w:u w:val="none"/>
          <w:lang w:val="en-US" w:eastAsia="zh-CN"/>
        </w:rPr>
        <w:t>）是否涉及进口产品：</w:t>
      </w:r>
    </w:p>
    <w:p w14:paraId="18F9F9DD">
      <w:pPr>
        <w:numPr>
          <w:ilvl w:val="-1"/>
          <w:numId w:val="0"/>
        </w:numPr>
        <w:adjustRightInd w:val="0"/>
        <w:snapToGrid w:val="0"/>
        <w:spacing w:before="0" w:beforeLines="0" w:line="400" w:lineRule="exact"/>
        <w:ind w:firstLine="840" w:firstLineChars="400"/>
        <w:rPr>
          <w:rFonts w:hint="eastAsia" w:ascii="宋体" w:hAnsi="宋体" w:eastAsia="宋体" w:cs="宋体"/>
          <w:color w:val="auto"/>
          <w:szCs w:val="21"/>
          <w:u w:val="single"/>
          <w:lang w:val="en-US" w:eastAsia="zh-CN"/>
        </w:rPr>
      </w:pPr>
      <w:r>
        <w:rPr>
          <w:rFonts w:hint="eastAsia" w:ascii="宋体" w:hAnsi="宋体" w:cs="宋体"/>
          <w:iCs w:val="0"/>
          <w:color w:val="auto"/>
          <w:szCs w:val="21"/>
          <w:lang w:val="en-US" w:eastAsia="zh-CN"/>
        </w:rPr>
        <w:t xml:space="preserve"> </w:t>
      </w:r>
      <w:r>
        <w:rPr>
          <w:rFonts w:hint="eastAsia" w:ascii="宋体" w:hAnsi="宋体" w:eastAsia="宋体" w:cs="宋体"/>
          <w:iCs w:val="0"/>
          <w:color w:val="auto"/>
          <w:szCs w:val="21"/>
        </w:rPr>
        <w:sym w:font="Wingdings" w:char="00A8"/>
      </w:r>
      <w:r>
        <w:rPr>
          <w:rFonts w:hint="eastAsia" w:ascii="宋体" w:hAnsi="宋体" w:eastAsia="宋体" w:cs="宋体"/>
          <w:iCs w:val="0"/>
          <w:color w:val="auto"/>
          <w:szCs w:val="21"/>
        </w:rPr>
        <w:t>是</w:t>
      </w:r>
      <w:r>
        <w:rPr>
          <w:rFonts w:hint="eastAsia" w:ascii="宋体" w:hAnsi="宋体" w:eastAsia="宋体" w:cs="宋体"/>
          <w:iCs w:val="0"/>
          <w:color w:val="auto"/>
          <w:szCs w:val="21"/>
          <w:lang w:eastAsia="zh-CN"/>
        </w:rPr>
        <w:t>，</w:t>
      </w:r>
      <w:r>
        <w:rPr>
          <w:rFonts w:hint="eastAsia" w:ascii="宋体" w:hAnsi="宋体" w:cs="宋体"/>
          <w:iCs w:val="0"/>
          <w:color w:val="auto"/>
          <w:szCs w:val="21"/>
          <w:lang w:eastAsia="zh-CN"/>
        </w:rPr>
        <w:t>《政府采购品目分类目录》底级品目名称</w:t>
      </w:r>
      <w:r>
        <w:rPr>
          <w:rFonts w:hint="eastAsia" w:ascii="宋体" w:hAnsi="宋体" w:eastAsia="宋体" w:cs="宋体"/>
          <w:color w:val="auto"/>
          <w:szCs w:val="21"/>
          <w:lang w:val="en-US" w:eastAsia="zh-CN"/>
        </w:rPr>
        <w:t>：</w:t>
      </w:r>
      <w:r>
        <w:rPr>
          <w:rFonts w:hint="eastAsia" w:ascii="宋体" w:hAnsi="宋体" w:eastAsia="宋体" w:cs="宋体"/>
          <w:color w:val="auto"/>
          <w:szCs w:val="21"/>
          <w:u w:val="single"/>
          <w:lang w:val="en-US" w:eastAsia="zh-CN"/>
        </w:rPr>
        <w:t xml:space="preserve">         </w:t>
      </w:r>
      <w:r>
        <w:rPr>
          <w:rFonts w:hint="eastAsia" w:ascii="宋体" w:hAnsi="宋体" w:eastAsia="宋体" w:cs="宋体"/>
          <w:color w:val="auto"/>
          <w:szCs w:val="21"/>
          <w:lang w:val="en-US" w:eastAsia="zh-CN"/>
        </w:rPr>
        <w:t xml:space="preserve"> </w:t>
      </w:r>
      <w:r>
        <w:rPr>
          <w:rFonts w:hint="eastAsia" w:ascii="宋体" w:hAnsi="宋体" w:cs="宋体"/>
          <w:color w:val="auto"/>
          <w:szCs w:val="21"/>
          <w:lang w:val="en-US" w:eastAsia="zh-CN"/>
        </w:rPr>
        <w:t>金额：</w:t>
      </w:r>
      <w:r>
        <w:rPr>
          <w:rFonts w:hint="eastAsia" w:ascii="宋体" w:hAnsi="宋体" w:eastAsia="宋体" w:cs="宋体"/>
          <w:color w:val="auto"/>
          <w:szCs w:val="21"/>
          <w:u w:val="single"/>
          <w:lang w:val="en-US" w:eastAsia="zh-CN"/>
        </w:rPr>
        <w:t xml:space="preserve">  </w:t>
      </w:r>
      <w:r>
        <w:rPr>
          <w:rFonts w:hint="eastAsia" w:ascii="宋体" w:hAnsi="宋体" w:cs="宋体"/>
          <w:color w:val="auto"/>
          <w:szCs w:val="21"/>
          <w:u w:val="single"/>
          <w:lang w:val="en-US" w:eastAsia="zh-CN"/>
        </w:rPr>
        <w:t xml:space="preserve">     </w:t>
      </w:r>
      <w:r>
        <w:rPr>
          <w:rFonts w:hint="eastAsia" w:ascii="宋体" w:hAnsi="宋体" w:eastAsia="宋体" w:cs="宋体"/>
          <w:color w:val="auto"/>
          <w:szCs w:val="21"/>
          <w:u w:val="single"/>
          <w:lang w:val="en-US" w:eastAsia="zh-CN"/>
        </w:rPr>
        <w:t xml:space="preserve"> </w:t>
      </w:r>
    </w:p>
    <w:p w14:paraId="13FE0C57">
      <w:pPr>
        <w:numPr>
          <w:ilvl w:val="-1"/>
          <w:numId w:val="0"/>
        </w:numPr>
        <w:adjustRightInd w:val="0"/>
        <w:snapToGrid w:val="0"/>
        <w:spacing w:before="0" w:beforeLines="0" w:line="400" w:lineRule="exact"/>
        <w:ind w:firstLine="840" w:firstLineChars="400"/>
        <w:rPr>
          <w:rFonts w:hint="eastAsia" w:ascii="宋体" w:hAnsi="宋体" w:eastAsia="宋体"/>
          <w:iCs w:val="0"/>
          <w:color w:val="auto"/>
          <w:szCs w:val="21"/>
        </w:rPr>
      </w:pPr>
      <w:r>
        <w:rPr>
          <w:rFonts w:hint="eastAsia" w:ascii="宋体" w:hAnsi="宋体" w:cs="宋体"/>
          <w:color w:val="auto"/>
          <w:szCs w:val="21"/>
          <w:lang w:val="en-US" w:eastAsia="zh-CN"/>
        </w:rPr>
        <w:t xml:space="preserve">        国别：</w:t>
      </w:r>
      <w:r>
        <w:rPr>
          <w:rFonts w:hint="eastAsia" w:ascii="宋体" w:hAnsi="宋体" w:eastAsia="宋体" w:cs="宋体"/>
          <w:color w:val="auto"/>
          <w:szCs w:val="21"/>
          <w:u w:val="single"/>
          <w:lang w:val="en-US" w:eastAsia="zh-CN"/>
        </w:rPr>
        <w:t xml:space="preserve">  </w:t>
      </w:r>
      <w:r>
        <w:rPr>
          <w:rFonts w:hint="eastAsia" w:ascii="宋体" w:hAnsi="宋体" w:cs="宋体"/>
          <w:color w:val="auto"/>
          <w:szCs w:val="21"/>
          <w:u w:val="single"/>
          <w:lang w:val="en-US" w:eastAsia="zh-CN"/>
        </w:rPr>
        <w:t xml:space="preserve">     </w:t>
      </w:r>
      <w:r>
        <w:rPr>
          <w:rFonts w:hint="eastAsia" w:ascii="宋体" w:hAnsi="宋体" w:eastAsia="宋体" w:cs="宋体"/>
          <w:color w:val="auto"/>
          <w:szCs w:val="21"/>
          <w:u w:val="single"/>
          <w:lang w:val="en-US" w:eastAsia="zh-CN"/>
        </w:rPr>
        <w:t xml:space="preserve"> </w:t>
      </w:r>
      <w:r>
        <w:rPr>
          <w:rFonts w:hint="eastAsia" w:ascii="宋体" w:hAnsi="宋体" w:cs="宋体"/>
          <w:color w:val="auto"/>
          <w:szCs w:val="21"/>
          <w:lang w:val="en-US" w:eastAsia="zh-CN"/>
        </w:rPr>
        <w:t xml:space="preserve"> </w:t>
      </w:r>
      <w:r>
        <w:rPr>
          <w:rFonts w:hint="eastAsia" w:ascii="宋体" w:hAnsi="宋体" w:eastAsia="宋体" w:cs="宋体"/>
          <w:color w:val="auto"/>
          <w:szCs w:val="21"/>
          <w:lang w:val="en-US" w:eastAsia="zh-CN"/>
        </w:rPr>
        <w:t>品牌：</w:t>
      </w:r>
      <w:r>
        <w:rPr>
          <w:rFonts w:hint="eastAsia" w:ascii="宋体" w:hAnsi="宋体" w:eastAsia="宋体" w:cs="宋体"/>
          <w:color w:val="auto"/>
          <w:szCs w:val="21"/>
          <w:u w:val="single"/>
          <w:lang w:val="en-US" w:eastAsia="zh-CN"/>
        </w:rPr>
        <w:t xml:space="preserve">        </w:t>
      </w:r>
      <w:r>
        <w:rPr>
          <w:rFonts w:hint="eastAsia" w:ascii="宋体" w:hAnsi="宋体" w:eastAsia="宋体" w:cs="宋体"/>
          <w:color w:val="auto"/>
          <w:szCs w:val="21"/>
          <w:u w:val="none"/>
          <w:lang w:val="en-US" w:eastAsia="zh-CN"/>
        </w:rPr>
        <w:t xml:space="preserve"> 规格型号：</w:t>
      </w:r>
      <w:r>
        <w:rPr>
          <w:rFonts w:hint="eastAsia" w:ascii="宋体" w:hAnsi="宋体" w:eastAsia="宋体" w:cs="宋体"/>
          <w:color w:val="auto"/>
          <w:szCs w:val="21"/>
          <w:u w:val="single"/>
          <w:lang w:val="en-US" w:eastAsia="zh-CN"/>
        </w:rPr>
        <w:t xml:space="preserve">        </w:t>
      </w:r>
      <w:r>
        <w:rPr>
          <w:rFonts w:hint="eastAsia" w:ascii="宋体" w:hAnsi="宋体" w:eastAsia="宋体"/>
          <w:iCs w:val="0"/>
          <w:color w:val="auto"/>
          <w:szCs w:val="21"/>
        </w:rPr>
        <w:t xml:space="preserve">      </w:t>
      </w:r>
    </w:p>
    <w:p w14:paraId="469E7A4C">
      <w:pPr>
        <w:adjustRightInd w:val="0"/>
        <w:snapToGrid w:val="0"/>
        <w:spacing w:before="0" w:beforeLines="0" w:line="400" w:lineRule="exact"/>
        <w:ind w:firstLine="840" w:firstLineChars="400"/>
        <w:rPr>
          <w:rFonts w:hint="eastAsia" w:ascii="宋体" w:hAnsi="宋体"/>
          <w:color w:val="auto"/>
          <w:szCs w:val="21"/>
          <w:u w:val="none"/>
          <w:lang w:val="en-US" w:eastAsia="zh-CN"/>
        </w:rPr>
      </w:pPr>
      <w:r>
        <w:rPr>
          <w:rFonts w:hint="eastAsia" w:ascii="宋体" w:hAnsi="宋体"/>
          <w:iCs w:val="0"/>
          <w:color w:val="auto"/>
          <w:szCs w:val="21"/>
          <w:lang w:val="en-US" w:eastAsia="zh-CN"/>
        </w:rPr>
        <w:t xml:space="preserve"> </w:t>
      </w:r>
      <w:r>
        <w:rPr>
          <w:rFonts w:hint="eastAsia" w:ascii="宋体" w:hAnsi="宋体"/>
          <w:iCs w:val="0"/>
          <w:color w:val="auto"/>
          <w:szCs w:val="21"/>
        </w:rPr>
        <w:sym w:font="Wingdings" w:char="00A8"/>
      </w:r>
      <w:r>
        <w:rPr>
          <w:rFonts w:hint="eastAsia" w:ascii="宋体" w:hAnsi="宋体" w:eastAsia="宋体"/>
          <w:iCs w:val="0"/>
          <w:color w:val="auto"/>
          <w:szCs w:val="21"/>
          <w:lang w:eastAsia="zh-CN"/>
        </w:rPr>
        <w:t>否</w:t>
      </w:r>
    </w:p>
    <w:p w14:paraId="077A93DD">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color w:val="auto"/>
          <w:sz w:val="21"/>
          <w:szCs w:val="21"/>
          <w:u w:val="none"/>
          <w:lang w:val="en-US" w:eastAsia="zh-CN"/>
        </w:rPr>
      </w:pPr>
      <w:r>
        <w:rPr>
          <w:rFonts w:hint="eastAsia" w:ascii="宋体" w:hAnsi="宋体"/>
          <w:b w:val="0"/>
          <w:bCs w:val="0"/>
          <w:color w:val="auto"/>
          <w:sz w:val="21"/>
          <w:szCs w:val="21"/>
          <w:u w:val="none"/>
          <w:lang w:val="en-US" w:eastAsia="zh-CN"/>
        </w:rPr>
        <w:t xml:space="preserve">    （1</w:t>
      </w:r>
      <w:r>
        <w:rPr>
          <w:rFonts w:hint="default" w:ascii="宋体" w:hAnsi="宋体"/>
          <w:b w:val="0"/>
          <w:bCs w:val="0"/>
          <w:color w:val="auto"/>
          <w:sz w:val="21"/>
          <w:szCs w:val="21"/>
          <w:u w:val="none"/>
          <w:lang w:val="en" w:eastAsia="zh-CN"/>
        </w:rPr>
        <w:t>0</w:t>
      </w:r>
      <w:r>
        <w:rPr>
          <w:rFonts w:hint="eastAsia" w:ascii="宋体" w:hAnsi="宋体"/>
          <w:b w:val="0"/>
          <w:bCs w:val="0"/>
          <w:color w:val="auto"/>
          <w:sz w:val="21"/>
          <w:szCs w:val="21"/>
          <w:u w:val="none"/>
          <w:lang w:val="en-US" w:eastAsia="zh-CN"/>
        </w:rPr>
        <w:t>）</w:t>
      </w:r>
      <w:r>
        <w:rPr>
          <w:rFonts w:hint="eastAsia" w:ascii="宋体" w:hAnsi="宋体" w:eastAsia="宋体"/>
          <w:b w:val="0"/>
          <w:bCs w:val="0"/>
          <w:color w:val="auto"/>
          <w:sz w:val="21"/>
          <w:szCs w:val="21"/>
          <w:u w:val="none"/>
          <w:lang w:val="en-US" w:eastAsia="zh-CN"/>
        </w:rPr>
        <w:t>是否涉及节能产品：</w:t>
      </w:r>
    </w:p>
    <w:p w14:paraId="68A44408">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lang w:val="en-US" w:eastAsia="zh-CN"/>
        </w:rPr>
      </w:pPr>
      <w:r>
        <w:rPr>
          <w:rFonts w:hint="eastAsia" w:ascii="宋体" w:hAnsi="宋体"/>
          <w:b w:val="0"/>
          <w:bCs w:val="0"/>
          <w:color w:val="auto"/>
          <w:sz w:val="21"/>
          <w:szCs w:val="21"/>
          <w:u w:val="none"/>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rPr>
        <w:t>是</w:t>
      </w:r>
      <w:r>
        <w:rPr>
          <w:rFonts w:hint="eastAsia" w:ascii="宋体" w:hAnsi="宋体" w:eastAsia="宋体"/>
          <w:iCs w:val="0"/>
          <w:color w:val="auto"/>
          <w:szCs w:val="21"/>
          <w:lang w:eastAsia="zh-CN"/>
        </w:rPr>
        <w:t>，</w:t>
      </w:r>
      <w:r>
        <w:rPr>
          <w:rFonts w:hint="eastAsia" w:ascii="宋体" w:hAnsi="宋体"/>
          <w:iCs w:val="0"/>
          <w:color w:val="auto"/>
          <w:szCs w:val="21"/>
          <w:lang w:eastAsia="zh-CN"/>
        </w:rPr>
        <w:t>《节能产品政府采购品目清单》的底级品目名称：</w:t>
      </w:r>
      <w:r>
        <w:rPr>
          <w:rFonts w:hint="eastAsia" w:ascii="宋体" w:hAnsi="宋体" w:eastAsia="宋体"/>
          <w:color w:val="auto"/>
          <w:szCs w:val="21"/>
          <w:u w:val="single"/>
          <w:lang w:val="en-US" w:eastAsia="zh-CN"/>
        </w:rPr>
        <w:t xml:space="preserve">      </w:t>
      </w:r>
      <w:r>
        <w:rPr>
          <w:rFonts w:hint="eastAsia" w:ascii="宋体" w:hAnsi="宋体"/>
          <w:color w:val="auto"/>
          <w:szCs w:val="21"/>
          <w:u w:val="single"/>
          <w:lang w:val="en-US" w:eastAsia="zh-CN"/>
        </w:rPr>
        <w:t xml:space="preserve">   </w:t>
      </w:r>
      <w:r>
        <w:rPr>
          <w:rFonts w:hint="eastAsia" w:ascii="宋体" w:hAnsi="宋体"/>
          <w:iCs/>
          <w:color w:val="auto"/>
          <w:szCs w:val="21"/>
          <w:lang w:val="en-US" w:eastAsia="zh-CN"/>
        </w:rPr>
        <w:t xml:space="preserve">     </w:t>
      </w:r>
    </w:p>
    <w:p w14:paraId="19A6329B">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强制采购</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优先采购</w:t>
      </w:r>
      <w:r>
        <w:rPr>
          <w:rFonts w:hint="eastAsia" w:ascii="宋体" w:hAnsi="宋体"/>
          <w:iCs/>
          <w:color w:val="auto"/>
          <w:szCs w:val="21"/>
          <w:lang w:val="en-US" w:eastAsia="zh-CN"/>
        </w:rPr>
        <w:t xml:space="preserve">    </w:t>
      </w:r>
    </w:p>
    <w:p w14:paraId="0D68DB8A">
      <w:pPr>
        <w:numPr>
          <w:ilvl w:val="-1"/>
          <w:numId w:val="0"/>
        </w:numPr>
        <w:tabs>
          <w:tab w:val="left" w:pos="740"/>
        </w:tabs>
        <w:adjustRightInd w:val="0"/>
        <w:snapToGrid w:val="0"/>
        <w:spacing w:before="0" w:beforeLines="0" w:line="400" w:lineRule="exact"/>
        <w:ind w:firstLine="0" w:firstLineChars="0"/>
        <w:rPr>
          <w:rFonts w:hint="eastAsia" w:ascii="宋体" w:hAnsi="宋体" w:eastAsia="宋体"/>
          <w:iCs w:val="0"/>
          <w:color w:val="auto"/>
          <w:szCs w:val="21"/>
        </w:rPr>
      </w:pPr>
      <w:r>
        <w:rPr>
          <w:rFonts w:hint="eastAsia" w:ascii="宋体" w:hAnsi="宋体"/>
          <w:iCs/>
          <w:color w:val="auto"/>
          <w:szCs w:val="21"/>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rPr>
        <w:t>否</w:t>
      </w:r>
    </w:p>
    <w:p w14:paraId="20627A4B">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color w:val="auto"/>
          <w:sz w:val="21"/>
          <w:szCs w:val="21"/>
          <w:u w:val="none"/>
          <w:lang w:val="en-US" w:eastAsia="zh-CN"/>
        </w:rPr>
      </w:pPr>
      <w:r>
        <w:rPr>
          <w:rFonts w:hint="eastAsia" w:ascii="宋体" w:hAnsi="宋体"/>
          <w:b w:val="0"/>
          <w:bCs w:val="0"/>
          <w:color w:val="auto"/>
          <w:sz w:val="21"/>
          <w:szCs w:val="21"/>
          <w:u w:val="none"/>
          <w:lang w:val="en-US" w:eastAsia="zh-CN"/>
        </w:rPr>
        <w:t xml:space="preserve">          </w:t>
      </w:r>
      <w:r>
        <w:rPr>
          <w:rFonts w:hint="eastAsia" w:ascii="宋体" w:hAnsi="宋体" w:eastAsia="宋体"/>
          <w:b w:val="0"/>
          <w:bCs w:val="0"/>
          <w:color w:val="auto"/>
          <w:sz w:val="21"/>
          <w:szCs w:val="21"/>
          <w:u w:val="none"/>
          <w:lang w:val="en-US" w:eastAsia="zh-CN"/>
        </w:rPr>
        <w:t>是否涉及</w:t>
      </w:r>
      <w:r>
        <w:rPr>
          <w:rFonts w:hint="eastAsia" w:ascii="宋体" w:hAnsi="宋体"/>
          <w:b w:val="0"/>
          <w:bCs w:val="0"/>
          <w:color w:val="auto"/>
          <w:sz w:val="21"/>
          <w:szCs w:val="21"/>
          <w:u w:val="none"/>
          <w:lang w:val="en-US" w:eastAsia="zh-CN"/>
        </w:rPr>
        <w:t>环境标志</w:t>
      </w:r>
      <w:r>
        <w:rPr>
          <w:rFonts w:hint="eastAsia" w:ascii="宋体" w:hAnsi="宋体" w:eastAsia="宋体"/>
          <w:b w:val="0"/>
          <w:bCs w:val="0"/>
          <w:color w:val="auto"/>
          <w:sz w:val="21"/>
          <w:szCs w:val="21"/>
          <w:u w:val="none"/>
          <w:lang w:val="en-US" w:eastAsia="zh-CN"/>
        </w:rPr>
        <w:t>产品：</w:t>
      </w:r>
    </w:p>
    <w:p w14:paraId="3B3A3A89">
      <w:pPr>
        <w:numPr>
          <w:ilvl w:val="-1"/>
          <w:numId w:val="0"/>
        </w:numPr>
        <w:tabs>
          <w:tab w:val="left" w:pos="740"/>
        </w:tabs>
        <w:adjustRightInd w:val="0"/>
        <w:snapToGrid w:val="0"/>
        <w:spacing w:before="0" w:beforeLines="0" w:line="400" w:lineRule="exact"/>
        <w:ind w:firstLine="0" w:firstLineChars="0"/>
        <w:rPr>
          <w:rFonts w:hint="eastAsia" w:ascii="宋体" w:hAnsi="宋体"/>
          <w:iCs w:val="0"/>
          <w:color w:val="auto"/>
          <w:szCs w:val="21"/>
          <w:lang w:eastAsia="zh-CN"/>
        </w:rPr>
      </w:pPr>
      <w:r>
        <w:rPr>
          <w:rFonts w:hint="eastAsia" w:ascii="宋体" w:hAnsi="宋体"/>
          <w:b w:val="0"/>
          <w:bCs w:val="0"/>
          <w:color w:val="auto"/>
          <w:sz w:val="21"/>
          <w:szCs w:val="21"/>
          <w:u w:val="none"/>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rPr>
        <w:t>是</w:t>
      </w:r>
      <w:r>
        <w:rPr>
          <w:rFonts w:hint="eastAsia" w:ascii="宋体" w:hAnsi="宋体" w:eastAsia="宋体"/>
          <w:iCs w:val="0"/>
          <w:color w:val="auto"/>
          <w:szCs w:val="21"/>
          <w:lang w:eastAsia="zh-CN"/>
        </w:rPr>
        <w:t>，</w:t>
      </w:r>
      <w:r>
        <w:rPr>
          <w:rFonts w:hint="eastAsia" w:ascii="宋体" w:hAnsi="宋体"/>
          <w:iCs w:val="0"/>
          <w:color w:val="auto"/>
          <w:szCs w:val="21"/>
          <w:lang w:eastAsia="zh-CN"/>
        </w:rPr>
        <w:t>《环境标志产品政府采购品目清单》的底级品目名称：</w:t>
      </w:r>
      <w:r>
        <w:rPr>
          <w:rFonts w:hint="eastAsia" w:ascii="宋体" w:hAnsi="宋体" w:eastAsia="宋体"/>
          <w:color w:val="auto"/>
          <w:szCs w:val="21"/>
          <w:u w:val="single"/>
          <w:lang w:val="en-US" w:eastAsia="zh-CN"/>
        </w:rPr>
        <w:t xml:space="preserve">      </w:t>
      </w:r>
      <w:r>
        <w:rPr>
          <w:rFonts w:hint="eastAsia" w:ascii="宋体" w:hAnsi="宋体"/>
          <w:color w:val="auto"/>
          <w:szCs w:val="21"/>
          <w:u w:val="single"/>
          <w:lang w:val="en-US" w:eastAsia="zh-CN"/>
        </w:rPr>
        <w:t xml:space="preserve">   </w:t>
      </w:r>
      <w:r>
        <w:rPr>
          <w:rFonts w:hint="eastAsia" w:ascii="宋体" w:hAnsi="宋体"/>
          <w:iCs/>
          <w:color w:val="auto"/>
          <w:szCs w:val="21"/>
          <w:lang w:val="en-US" w:eastAsia="zh-CN"/>
        </w:rPr>
        <w:t xml:space="preserve"> </w:t>
      </w:r>
    </w:p>
    <w:p w14:paraId="22AA7B58">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强制采购</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优先采购</w:t>
      </w:r>
      <w:r>
        <w:rPr>
          <w:rFonts w:hint="eastAsia" w:ascii="宋体" w:hAnsi="宋体"/>
          <w:iCs/>
          <w:color w:val="auto"/>
          <w:szCs w:val="21"/>
          <w:lang w:val="en-US" w:eastAsia="zh-CN"/>
        </w:rPr>
        <w:t xml:space="preserve">    </w:t>
      </w:r>
    </w:p>
    <w:p w14:paraId="0D5B7FD9">
      <w:pPr>
        <w:numPr>
          <w:ilvl w:val="-1"/>
          <w:numId w:val="0"/>
        </w:numPr>
        <w:tabs>
          <w:tab w:val="left" w:pos="740"/>
        </w:tabs>
        <w:adjustRightInd w:val="0"/>
        <w:snapToGrid w:val="0"/>
        <w:spacing w:before="0" w:beforeLines="0" w:line="400" w:lineRule="exact"/>
        <w:ind w:firstLine="0" w:firstLineChars="0"/>
        <w:rPr>
          <w:rFonts w:hint="eastAsia" w:ascii="宋体" w:hAnsi="宋体"/>
          <w:b w:val="0"/>
          <w:bCs w:val="0"/>
          <w:color w:val="auto"/>
          <w:sz w:val="21"/>
          <w:szCs w:val="21"/>
          <w:u w:val="none"/>
          <w:lang w:val="en-US" w:eastAsia="zh-CN"/>
        </w:rPr>
      </w:pPr>
      <w:r>
        <w:rPr>
          <w:rFonts w:hint="eastAsia" w:ascii="宋体" w:hAnsi="宋体"/>
          <w:iCs/>
          <w:color w:val="auto"/>
          <w:szCs w:val="21"/>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rPr>
        <w:t>否</w:t>
      </w:r>
    </w:p>
    <w:p w14:paraId="2229F333">
      <w:pPr>
        <w:pStyle w:val="79"/>
        <w:numPr>
          <w:ilvl w:val="-1"/>
          <w:numId w:val="0"/>
        </w:numPr>
        <w:adjustRightInd w:val="0"/>
        <w:snapToGrid w:val="0"/>
        <w:spacing w:before="0" w:beforeLines="0" w:line="400" w:lineRule="exact"/>
        <w:ind w:firstLine="0" w:firstLineChars="0"/>
        <w:rPr>
          <w:rFonts w:hint="eastAsia" w:ascii="宋体" w:hAnsi="宋体" w:eastAsia="宋体" w:cs="Times New Roman"/>
          <w:iCs w:val="0"/>
          <w:color w:val="auto"/>
          <w:kern w:val="2"/>
          <w:sz w:val="21"/>
          <w:szCs w:val="21"/>
          <w:u w:val="none"/>
          <w:lang w:val="en-US" w:eastAsia="zh-CN"/>
        </w:rPr>
      </w:pPr>
      <w:r>
        <w:rPr>
          <w:rFonts w:hint="eastAsia" w:ascii="宋体" w:hAnsi="宋体"/>
          <w:b w:val="0"/>
          <w:bCs w:val="0"/>
          <w:color w:val="auto"/>
          <w:sz w:val="21"/>
          <w:szCs w:val="21"/>
          <w:u w:val="none"/>
          <w:lang w:val="en-US" w:eastAsia="zh-CN"/>
        </w:rPr>
        <w:t xml:space="preserve">          </w:t>
      </w:r>
      <w:r>
        <w:rPr>
          <w:rFonts w:hint="eastAsia" w:ascii="宋体" w:hAnsi="宋体" w:eastAsia="宋体" w:cs="Times New Roman"/>
          <w:b w:val="0"/>
          <w:bCs w:val="0"/>
          <w:color w:val="auto"/>
          <w:kern w:val="2"/>
          <w:sz w:val="21"/>
          <w:szCs w:val="21"/>
          <w:u w:val="none"/>
          <w:lang w:val="en-US" w:eastAsia="zh-CN"/>
        </w:rPr>
        <w:t>是否涉及绿色产品：</w:t>
      </w:r>
      <w:r>
        <w:rPr>
          <w:rFonts w:hint="eastAsia" w:ascii="宋体" w:hAnsi="宋体" w:eastAsia="宋体" w:cs="Times New Roman"/>
          <w:iCs w:val="0"/>
          <w:color w:val="auto"/>
          <w:kern w:val="2"/>
          <w:sz w:val="21"/>
          <w:szCs w:val="21"/>
          <w:u w:val="none"/>
          <w:lang w:val="en-US" w:eastAsia="zh-CN"/>
        </w:rPr>
        <w:t xml:space="preserve"> </w:t>
      </w:r>
    </w:p>
    <w:p w14:paraId="0DB5B764">
      <w:pPr>
        <w:pStyle w:val="79"/>
        <w:spacing w:beforeLines="0"/>
        <w:ind w:firstLine="420" w:firstLineChars="0"/>
        <w:rPr>
          <w:rFonts w:hint="eastAsia" w:ascii="宋体" w:hAnsi="宋体" w:eastAsia="宋体"/>
          <w:color w:val="auto"/>
          <w:szCs w:val="21"/>
          <w:u w:val="single"/>
          <w:lang w:val="en-US" w:eastAsia="zh-CN"/>
        </w:rPr>
      </w:pPr>
      <w:r>
        <w:rPr>
          <w:rFonts w:hint="eastAsia" w:ascii="宋体" w:hAnsi="宋体" w:eastAsia="宋体" w:cs="Times New Roman"/>
          <w:iCs w:val="0"/>
          <w:color w:val="auto"/>
          <w:kern w:val="2"/>
          <w:sz w:val="21"/>
          <w:szCs w:val="21"/>
          <w:u w:val="none"/>
          <w:lang w:val="en-US" w:eastAsia="zh-CN"/>
        </w:rPr>
        <w:t xml:space="preserve">     </w:t>
      </w:r>
      <w:r>
        <w:rPr>
          <w:rFonts w:hint="eastAsia" w:ascii="宋体" w:hAnsi="宋体" w:eastAsia="宋体" w:cs="Times New Roman"/>
          <w:iCs w:val="0"/>
          <w:color w:val="auto"/>
          <w:kern w:val="2"/>
          <w:sz w:val="21"/>
          <w:szCs w:val="21"/>
          <w:u w:val="none"/>
        </w:rPr>
        <w:sym w:font="Wingdings" w:char="00A8"/>
      </w:r>
      <w:r>
        <w:rPr>
          <w:rFonts w:hint="eastAsia" w:ascii="宋体" w:hAnsi="宋体" w:eastAsia="宋体" w:cs="Times New Roman"/>
          <w:iCs w:val="0"/>
          <w:color w:val="auto"/>
          <w:kern w:val="2"/>
          <w:sz w:val="21"/>
          <w:szCs w:val="21"/>
          <w:u w:val="none"/>
        </w:rPr>
        <w:t>是</w:t>
      </w:r>
      <w:r>
        <w:rPr>
          <w:rFonts w:hint="eastAsia" w:ascii="宋体" w:hAnsi="宋体" w:eastAsia="宋体" w:cs="Times New Roman"/>
          <w:iCs w:val="0"/>
          <w:color w:val="auto"/>
          <w:kern w:val="2"/>
          <w:sz w:val="21"/>
          <w:szCs w:val="21"/>
          <w:u w:val="none"/>
          <w:lang w:eastAsia="zh-CN"/>
        </w:rPr>
        <w:t>，绿色产品政府采购相关政策确定的底级品目名称：</w:t>
      </w:r>
      <w:r>
        <w:rPr>
          <w:rFonts w:hint="eastAsia" w:ascii="宋体" w:hAnsi="宋体" w:eastAsia="宋体"/>
          <w:color w:val="auto"/>
          <w:szCs w:val="21"/>
          <w:u w:val="single"/>
          <w:lang w:val="en-US" w:eastAsia="zh-CN"/>
        </w:rPr>
        <w:t xml:space="preserve">         </w:t>
      </w:r>
    </w:p>
    <w:p w14:paraId="1773C522">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强制采购</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优先采购</w:t>
      </w:r>
      <w:r>
        <w:rPr>
          <w:rFonts w:hint="eastAsia" w:ascii="宋体" w:hAnsi="宋体"/>
          <w:iCs/>
          <w:color w:val="auto"/>
          <w:szCs w:val="21"/>
          <w:lang w:val="en-US" w:eastAsia="zh-CN"/>
        </w:rPr>
        <w:t xml:space="preserve">    </w:t>
      </w:r>
    </w:p>
    <w:p w14:paraId="05CC9DFC">
      <w:pPr>
        <w:pStyle w:val="79"/>
        <w:spacing w:beforeLines="0"/>
        <w:ind w:firstLine="420" w:firstLineChars="0"/>
        <w:rPr>
          <w:rFonts w:hint="eastAsia" w:ascii="宋体" w:hAnsi="宋体"/>
          <w:b w:val="0"/>
          <w:bCs w:val="0"/>
          <w:color w:val="auto"/>
          <w:sz w:val="21"/>
          <w:szCs w:val="21"/>
          <w:u w:val="none"/>
          <w:lang w:val="en-US" w:eastAsia="zh-CN"/>
        </w:rPr>
      </w:pPr>
      <w:r>
        <w:rPr>
          <w:rFonts w:hint="eastAsia" w:ascii="宋体" w:hAnsi="宋体" w:eastAsia="宋体" w:cs="Times New Roman"/>
          <w:iCs w:val="0"/>
          <w:color w:val="auto"/>
          <w:kern w:val="2"/>
          <w:sz w:val="21"/>
          <w:szCs w:val="21"/>
          <w:u w:val="none"/>
          <w:lang w:val="en-US" w:eastAsia="zh-CN"/>
        </w:rPr>
        <w:t xml:space="preserve">     </w:t>
      </w:r>
      <w:r>
        <w:rPr>
          <w:rFonts w:hint="eastAsia" w:ascii="宋体" w:hAnsi="宋体" w:eastAsia="宋体" w:cs="Times New Roman"/>
          <w:iCs w:val="0"/>
          <w:color w:val="auto"/>
          <w:kern w:val="2"/>
          <w:sz w:val="21"/>
          <w:szCs w:val="21"/>
          <w:u w:val="none"/>
        </w:rPr>
        <w:sym w:font="Wingdings" w:char="00A8"/>
      </w:r>
      <w:r>
        <w:rPr>
          <w:rFonts w:hint="eastAsia" w:ascii="宋体" w:hAnsi="宋体" w:eastAsia="宋体" w:cs="Times New Roman"/>
          <w:iCs w:val="0"/>
          <w:color w:val="auto"/>
          <w:kern w:val="2"/>
          <w:sz w:val="21"/>
          <w:szCs w:val="21"/>
          <w:u w:val="none"/>
        </w:rPr>
        <w:t>否</w:t>
      </w:r>
    </w:p>
    <w:p w14:paraId="1ECFEC75">
      <w:pPr>
        <w:numPr>
          <w:ilvl w:val="-1"/>
          <w:numId w:val="0"/>
        </w:numPr>
        <w:adjustRightInd w:val="0"/>
        <w:snapToGrid w:val="0"/>
        <w:spacing w:before="0" w:beforeLines="0" w:line="400" w:lineRule="exact"/>
        <w:ind w:firstLine="0" w:firstLineChars="0"/>
        <w:rPr>
          <w:rFonts w:hint="eastAsia" w:ascii="宋体" w:hAnsi="宋体" w:eastAsia="宋体"/>
          <w:color w:val="auto"/>
          <w:szCs w:val="21"/>
          <w:lang w:val="en-US" w:eastAsia="zh-CN"/>
        </w:rPr>
      </w:pPr>
      <w:r>
        <w:rPr>
          <w:rFonts w:hint="eastAsia" w:ascii="宋体" w:hAnsi="宋体"/>
          <w:color w:val="auto"/>
          <w:szCs w:val="21"/>
          <w:lang w:val="en-US" w:eastAsia="zh-CN"/>
        </w:rPr>
        <w:t xml:space="preserve">    （1</w:t>
      </w:r>
      <w:r>
        <w:rPr>
          <w:rFonts w:hint="default" w:ascii="宋体" w:hAnsi="宋体"/>
          <w:color w:val="auto"/>
          <w:szCs w:val="21"/>
          <w:lang w:val="en" w:eastAsia="zh-CN"/>
        </w:rPr>
        <w:t>1</w:t>
      </w:r>
      <w:r>
        <w:rPr>
          <w:rFonts w:hint="eastAsia" w:ascii="宋体" w:hAnsi="宋体"/>
          <w:color w:val="auto"/>
          <w:szCs w:val="21"/>
          <w:lang w:val="en-US" w:eastAsia="zh-CN"/>
        </w:rPr>
        <w:t>）</w:t>
      </w:r>
      <w:r>
        <w:rPr>
          <w:rFonts w:hint="eastAsia" w:ascii="宋体" w:hAnsi="宋体" w:eastAsia="宋体"/>
          <w:color w:val="auto"/>
          <w:szCs w:val="21"/>
          <w:lang w:val="en-US" w:eastAsia="zh-CN"/>
        </w:rPr>
        <w:t>涉及商品包装和快递包装的，是否参考</w:t>
      </w:r>
      <w:r>
        <w:rPr>
          <w:rFonts w:hint="eastAsia" w:ascii="宋体" w:hAnsi="宋体"/>
          <w:color w:val="auto"/>
          <w:szCs w:val="21"/>
        </w:rPr>
        <w:t>《商品包装政府采购需求标准（试行）》、《快递包装政府采购需求标准（试行）》</w:t>
      </w:r>
      <w:r>
        <w:rPr>
          <w:rFonts w:hint="eastAsia" w:ascii="宋体" w:hAnsi="宋体" w:eastAsia="宋体"/>
          <w:color w:val="auto"/>
          <w:szCs w:val="21"/>
          <w:lang w:eastAsia="zh-CN"/>
        </w:rPr>
        <w:t>明确产品及相关快递服务的具体包装要求：</w:t>
      </w:r>
    </w:p>
    <w:p w14:paraId="75FC0501">
      <w:pPr>
        <w:numPr>
          <w:ilvl w:val="-1"/>
          <w:numId w:val="0"/>
        </w:numPr>
        <w:adjustRightInd w:val="0"/>
        <w:snapToGrid w:val="0"/>
        <w:spacing w:before="0" w:beforeLines="0" w:line="400" w:lineRule="exact"/>
        <w:ind w:firstLine="840" w:firstLineChars="400"/>
        <w:rPr>
          <w:rFonts w:hint="eastAsia" w:ascii="宋体" w:hAnsi="宋体" w:eastAsia="宋体"/>
          <w:iCs w:val="0"/>
          <w:color w:val="auto"/>
          <w:szCs w:val="21"/>
          <w:lang w:val="en-US" w:eastAsia="zh-CN"/>
        </w:rPr>
      </w:pPr>
      <w:r>
        <w:rPr>
          <w:rFonts w:hint="eastAsia" w:ascii="宋体" w:hAnsi="宋体" w:eastAsia="宋体"/>
          <w:iCs w:val="0"/>
          <w:color w:val="auto"/>
          <w:szCs w:val="21"/>
        </w:rPr>
        <w:sym w:font="Wingdings" w:char="00A8"/>
      </w:r>
      <w:r>
        <w:rPr>
          <w:rFonts w:hint="eastAsia" w:ascii="宋体" w:hAnsi="宋体" w:eastAsia="宋体"/>
          <w:iCs w:val="0"/>
          <w:color w:val="auto"/>
          <w:szCs w:val="21"/>
        </w:rPr>
        <w:t xml:space="preserve">是       </w:t>
      </w:r>
      <w:r>
        <w:rPr>
          <w:rFonts w:hint="eastAsia" w:ascii="宋体" w:hAnsi="宋体" w:eastAsia="宋体"/>
          <w:iCs w:val="0"/>
          <w:color w:val="auto"/>
          <w:szCs w:val="21"/>
        </w:rPr>
        <w:sym w:font="Wingdings" w:char="00A8"/>
      </w:r>
      <w:r>
        <w:rPr>
          <w:rFonts w:hint="eastAsia" w:ascii="宋体" w:hAnsi="宋体" w:eastAsia="宋体"/>
          <w:iCs w:val="0"/>
          <w:color w:val="auto"/>
          <w:szCs w:val="21"/>
        </w:rPr>
        <w:t>否</w:t>
      </w:r>
      <w:r>
        <w:rPr>
          <w:rFonts w:hint="eastAsia" w:ascii="宋体" w:hAnsi="宋体" w:eastAsia="宋体"/>
          <w:iCs w:val="0"/>
          <w:color w:val="auto"/>
          <w:szCs w:val="21"/>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lang w:eastAsia="zh-CN"/>
        </w:rPr>
        <w:t>不涉及</w:t>
      </w:r>
    </w:p>
    <w:p w14:paraId="213BD64A">
      <w:pPr>
        <w:numPr>
          <w:ilvl w:val="0"/>
          <w:numId w:val="4"/>
        </w:numPr>
        <w:adjustRightInd w:val="0"/>
        <w:snapToGrid w:val="0"/>
        <w:spacing w:before="0" w:beforeLines="0" w:line="400" w:lineRule="exact"/>
        <w:ind w:firstLine="422" w:firstLineChars="200"/>
        <w:rPr>
          <w:rFonts w:ascii="宋体" w:hAnsi="宋体"/>
          <w:b/>
          <w:color w:val="auto"/>
          <w:szCs w:val="21"/>
          <w:highlight w:val="none"/>
        </w:rPr>
      </w:pPr>
      <w:r>
        <w:rPr>
          <w:rFonts w:hint="eastAsia" w:ascii="宋体" w:hAnsi="宋体"/>
          <w:b/>
          <w:color w:val="auto"/>
          <w:szCs w:val="21"/>
          <w:highlight w:val="none"/>
        </w:rPr>
        <w:t>合同金额</w:t>
      </w:r>
    </w:p>
    <w:p w14:paraId="0C8FEFA2">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（1）合同金额小写：</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p>
    <w:p w14:paraId="0F342785">
      <w:pPr>
        <w:adjustRightInd w:val="0"/>
        <w:snapToGrid w:val="0"/>
        <w:spacing w:before="0" w:beforeLines="0" w:line="400" w:lineRule="exact"/>
        <w:ind w:left="0" w:firstLine="0" w:firstLineChars="0"/>
        <w:rPr>
          <w:rFonts w:ascii="宋体" w:hAnsi="宋体"/>
          <w:color w:val="auto"/>
          <w:szCs w:val="21"/>
          <w:u w:val="single"/>
        </w:rPr>
      </w:pPr>
      <w:r>
        <w:rPr>
          <w:rFonts w:hint="eastAsia" w:ascii="宋体" w:hAnsi="宋体"/>
          <w:color w:val="auto"/>
          <w:szCs w:val="21"/>
          <w:lang w:val="en-US" w:eastAsia="zh-CN"/>
        </w:rPr>
        <w:t xml:space="preserve">                 </w:t>
      </w:r>
      <w:r>
        <w:rPr>
          <w:rFonts w:hint="eastAsia" w:ascii="宋体" w:hAnsi="宋体"/>
          <w:color w:val="auto"/>
          <w:szCs w:val="21"/>
        </w:rPr>
        <w:t>大写：</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p>
    <w:p w14:paraId="209D80A1">
      <w:pPr>
        <w:adjustRightInd w:val="0"/>
        <w:snapToGrid w:val="0"/>
        <w:spacing w:before="0" w:beforeLines="0" w:line="400" w:lineRule="exact"/>
        <w:ind w:firstLine="0" w:firstLineChars="0"/>
        <w:rPr>
          <w:rFonts w:ascii="宋体" w:hAnsi="宋体"/>
          <w:color w:val="auto"/>
          <w:szCs w:val="21"/>
        </w:rPr>
      </w:pPr>
      <w:r>
        <w:rPr>
          <w:rFonts w:hint="eastAsia" w:ascii="宋体" w:hAnsi="宋体"/>
          <w:color w:val="auto"/>
          <w:szCs w:val="21"/>
          <w:lang w:val="en-US" w:eastAsia="zh-CN"/>
        </w:rPr>
        <w:t xml:space="preserve">         </w:t>
      </w:r>
      <w:r>
        <w:rPr>
          <w:rFonts w:hint="eastAsia" w:ascii="宋体" w:hAnsi="宋体"/>
          <w:color w:val="auto"/>
          <w:szCs w:val="21"/>
        </w:rPr>
        <w:t>分包金额</w:t>
      </w:r>
      <w:r>
        <w:rPr>
          <w:rFonts w:hint="eastAsia" w:ascii="宋体" w:hAnsi="宋体"/>
          <w:color w:val="auto"/>
          <w:szCs w:val="21"/>
          <w:lang w:eastAsia="zh-CN"/>
        </w:rPr>
        <w:t>（如有）</w:t>
      </w:r>
      <w:r>
        <w:rPr>
          <w:rFonts w:hint="eastAsia" w:ascii="宋体" w:hAnsi="宋体"/>
          <w:color w:val="auto"/>
          <w:szCs w:val="21"/>
        </w:rPr>
        <w:t>小写：</w:t>
      </w:r>
      <w:r>
        <w:rPr>
          <w:rFonts w:hint="eastAsia" w:ascii="宋体" w:hAnsi="宋体"/>
          <w:color w:val="auto"/>
          <w:szCs w:val="21"/>
          <w:u w:val="single"/>
        </w:rPr>
        <w:t xml:space="preserve">                   </w:t>
      </w:r>
    </w:p>
    <w:p w14:paraId="4455BD5A">
      <w:pPr>
        <w:adjustRightInd w:val="0"/>
        <w:snapToGrid w:val="0"/>
        <w:spacing w:before="0" w:beforeLines="0" w:line="400" w:lineRule="exact"/>
        <w:ind w:firstLine="0" w:firstLineChars="0"/>
        <w:rPr>
          <w:rFonts w:hint="eastAsia" w:ascii="宋体" w:hAnsi="宋体"/>
          <w:color w:val="auto"/>
          <w:szCs w:val="21"/>
          <w:u w:val="single"/>
        </w:rPr>
      </w:pPr>
      <w:r>
        <w:rPr>
          <w:rFonts w:hint="eastAsia" w:ascii="宋体" w:hAnsi="宋体"/>
          <w:color w:val="auto"/>
          <w:szCs w:val="21"/>
          <w:lang w:val="en-US" w:eastAsia="zh-CN"/>
        </w:rPr>
        <w:t xml:space="preserve">                     </w:t>
      </w:r>
      <w:r>
        <w:rPr>
          <w:rFonts w:hint="eastAsia" w:ascii="宋体" w:hAnsi="宋体"/>
          <w:color w:val="auto"/>
          <w:szCs w:val="21"/>
        </w:rPr>
        <w:t>大写：</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p>
    <w:p w14:paraId="5B33CAB0">
      <w:pPr>
        <w:adjustRightInd w:val="0"/>
        <w:snapToGrid w:val="0"/>
        <w:spacing w:before="0" w:beforeLines="0" w:line="400" w:lineRule="exact"/>
        <w:ind w:firstLine="0" w:firstLineChars="0"/>
        <w:rPr>
          <w:rFonts w:hint="eastAsia" w:ascii="宋体" w:hAnsi="宋体"/>
          <w:color w:val="auto"/>
          <w:szCs w:val="21"/>
          <w:lang w:val="en-US" w:eastAsia="zh-CN"/>
        </w:rPr>
      </w:pPr>
      <w:r>
        <w:rPr>
          <w:rFonts w:hint="eastAsia" w:ascii="宋体" w:hAnsi="宋体"/>
          <w:color w:val="auto"/>
          <w:szCs w:val="21"/>
          <w:lang w:val="en-US" w:eastAsia="zh-CN"/>
        </w:rPr>
        <w:t xml:space="preserve">    （注：固定单价合同应填写单价和最高限价）</w:t>
      </w:r>
    </w:p>
    <w:p w14:paraId="2BC2CE31">
      <w:pPr>
        <w:numPr>
          <w:ilvl w:val="-1"/>
          <w:numId w:val="0"/>
        </w:numPr>
        <w:adjustRightInd w:val="0"/>
        <w:snapToGrid w:val="0"/>
        <w:spacing w:before="0" w:beforeLines="0" w:line="400" w:lineRule="exact"/>
        <w:ind w:firstLine="0" w:firstLineChars="0"/>
        <w:rPr>
          <w:rFonts w:hint="eastAsia" w:ascii="宋体" w:hAnsi="宋体"/>
          <w:color w:val="auto"/>
          <w:szCs w:val="21"/>
        </w:rPr>
      </w:pPr>
      <w:r>
        <w:rPr>
          <w:rFonts w:hint="eastAsia" w:ascii="宋体" w:hAnsi="宋体"/>
          <w:color w:val="auto"/>
          <w:szCs w:val="21"/>
          <w:lang w:val="en-US" w:eastAsia="zh-CN"/>
        </w:rPr>
        <w:t xml:space="preserve">    </w:t>
      </w:r>
      <w:r>
        <w:rPr>
          <w:rFonts w:hint="eastAsia" w:ascii="宋体" w:hAnsi="宋体"/>
          <w:color w:val="auto"/>
          <w:szCs w:val="21"/>
          <w:lang w:eastAsia="zh-CN"/>
        </w:rPr>
        <w:t>（</w:t>
      </w:r>
      <w:r>
        <w:rPr>
          <w:rFonts w:hint="eastAsia" w:ascii="宋体" w:hAnsi="宋体"/>
          <w:color w:val="auto"/>
          <w:szCs w:val="21"/>
          <w:lang w:val="en-US" w:eastAsia="zh-CN"/>
        </w:rPr>
        <w:t>2</w:t>
      </w:r>
      <w:r>
        <w:rPr>
          <w:rFonts w:hint="eastAsia" w:ascii="宋体" w:hAnsi="宋体"/>
          <w:color w:val="auto"/>
          <w:szCs w:val="21"/>
          <w:lang w:eastAsia="zh-CN"/>
        </w:rPr>
        <w:t>）</w:t>
      </w:r>
      <w:r>
        <w:rPr>
          <w:rFonts w:hint="eastAsia" w:ascii="宋体" w:hAnsi="宋体"/>
          <w:color w:val="auto"/>
          <w:szCs w:val="21"/>
        </w:rPr>
        <w:t>合同定价方式</w:t>
      </w:r>
      <w:r>
        <w:rPr>
          <w:rFonts w:hint="eastAsia" w:ascii="宋体" w:hAnsi="宋体"/>
          <w:color w:val="auto"/>
          <w:szCs w:val="21"/>
          <w:lang w:eastAsia="zh-CN"/>
        </w:rPr>
        <w:t>（采用组合定价方式的，可以勾选多项）</w:t>
      </w:r>
      <w:r>
        <w:rPr>
          <w:rFonts w:hint="eastAsia" w:ascii="宋体" w:hAnsi="宋体"/>
          <w:color w:val="auto"/>
          <w:szCs w:val="21"/>
        </w:rPr>
        <w:t>：</w:t>
      </w:r>
    </w:p>
    <w:p w14:paraId="20DB49B9">
      <w:pPr>
        <w:adjustRightInd w:val="0"/>
        <w:snapToGrid w:val="0"/>
        <w:spacing w:before="0" w:beforeLines="0" w:line="400" w:lineRule="exact"/>
        <w:ind w:firstLine="420" w:firstLineChars="200"/>
        <w:rPr>
          <w:rFonts w:hint="eastAsia" w:ascii="宋体" w:hAnsi="宋体" w:eastAsia="宋体"/>
          <w:color w:val="auto"/>
          <w:szCs w:val="21"/>
          <w:lang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rPr>
        <w:t xml:space="preserve">固定总价 </w:t>
      </w:r>
      <w:r>
        <w:rPr>
          <w:rFonts w:hint="eastAsia" w:ascii="宋体" w:hAnsi="宋体"/>
          <w:iCs/>
          <w:color w:val="auto"/>
          <w:szCs w:val="21"/>
        </w:rPr>
        <w:sym w:font="Wingdings" w:char="00A8"/>
      </w:r>
      <w:r>
        <w:rPr>
          <w:rFonts w:hint="eastAsia" w:ascii="宋体" w:hAnsi="宋体"/>
          <w:iCs/>
          <w:color w:val="auto"/>
          <w:szCs w:val="21"/>
        </w:rPr>
        <w:t>固定单价</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固定费率</w:t>
      </w:r>
      <w:r>
        <w:rPr>
          <w:rFonts w:hint="eastAsia" w:ascii="宋体" w:hAnsi="宋体"/>
          <w:iCs/>
          <w:color w:val="auto"/>
          <w:szCs w:val="21"/>
        </w:rPr>
        <w:t xml:space="preserve"> </w:t>
      </w:r>
      <w:r>
        <w:rPr>
          <w:rFonts w:hint="eastAsia" w:ascii="宋体" w:hAnsi="宋体"/>
          <w:iCs/>
          <w:color w:val="auto"/>
          <w:szCs w:val="21"/>
        </w:rPr>
        <w:sym w:font="Wingdings" w:char="00A8"/>
      </w:r>
      <w:r>
        <w:rPr>
          <w:rFonts w:hint="eastAsia" w:ascii="宋体" w:hAnsi="宋体"/>
          <w:iCs/>
          <w:color w:val="auto"/>
          <w:szCs w:val="21"/>
        </w:rPr>
        <w:t xml:space="preserve">成本补偿 </w:t>
      </w:r>
      <w:r>
        <w:rPr>
          <w:rFonts w:hint="eastAsia" w:ascii="宋体" w:hAnsi="宋体"/>
          <w:iCs/>
          <w:color w:val="auto"/>
          <w:szCs w:val="21"/>
        </w:rPr>
        <w:sym w:font="Wingdings" w:char="00A8"/>
      </w:r>
      <w:r>
        <w:rPr>
          <w:rFonts w:hint="eastAsia" w:ascii="宋体" w:hAnsi="宋体"/>
          <w:iCs/>
          <w:color w:val="auto"/>
          <w:szCs w:val="21"/>
        </w:rPr>
        <w:t>绩效激励</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其他</w:t>
      </w:r>
      <w:r>
        <w:rPr>
          <w:rFonts w:hint="eastAsia" w:ascii="宋体" w:hAnsi="宋体"/>
          <w:color w:val="auto"/>
          <w:szCs w:val="21"/>
          <w:u w:val="single"/>
        </w:rPr>
        <w:t xml:space="preserve">       </w:t>
      </w:r>
    </w:p>
    <w:p w14:paraId="09A163E6">
      <w:pPr>
        <w:pStyle w:val="791"/>
        <w:spacing w:beforeLines="0" w:line="400" w:lineRule="exact"/>
        <w:rPr>
          <w:color w:val="auto"/>
        </w:rPr>
      </w:pPr>
      <w:r>
        <w:rPr>
          <w:rFonts w:hint="eastAsia" w:ascii="宋体" w:hAnsi="宋体"/>
          <w:color w:val="auto"/>
        </w:rPr>
        <w:t>（</w:t>
      </w:r>
      <w:r>
        <w:rPr>
          <w:rFonts w:hint="eastAsia" w:ascii="宋体" w:hAnsi="宋体"/>
          <w:color w:val="auto"/>
          <w:lang w:val="en-US" w:eastAsia="zh-CN"/>
        </w:rPr>
        <w:t>3</w:t>
      </w:r>
      <w:r>
        <w:rPr>
          <w:rFonts w:hint="eastAsia" w:ascii="宋体" w:hAnsi="宋体"/>
          <w:color w:val="auto"/>
        </w:rPr>
        <w:t>）付款方式（按项目实际勾选填写）：</w:t>
      </w:r>
    </w:p>
    <w:p w14:paraId="70CA77BC">
      <w:pPr>
        <w:adjustRightInd w:val="0"/>
        <w:snapToGrid w:val="0"/>
        <w:spacing w:before="0" w:beforeLines="0" w:line="400" w:lineRule="exact"/>
        <w:ind w:firstLine="630" w:firstLineChars="300"/>
        <w:rPr>
          <w:rFonts w:ascii="宋体" w:hAnsi="宋体"/>
          <w:color w:val="auto"/>
          <w:szCs w:val="21"/>
          <w:u w:val="single"/>
        </w:rPr>
      </w:pPr>
      <w:r>
        <w:rPr>
          <w:rFonts w:hint="eastAsia" w:ascii="宋体" w:hAnsi="宋体"/>
          <w:color w:val="auto"/>
          <w:szCs w:val="21"/>
        </w:rPr>
        <w:sym w:font="Wingdings" w:char="00A8"/>
      </w:r>
      <w:r>
        <w:rPr>
          <w:rFonts w:hint="eastAsia" w:ascii="宋体" w:hAnsi="宋体"/>
          <w:color w:val="auto"/>
          <w:szCs w:val="21"/>
        </w:rPr>
        <w:t>全额付款：</w:t>
      </w:r>
      <w:r>
        <w:rPr>
          <w:rFonts w:hint="eastAsia" w:ascii="宋体" w:hAnsi="宋体"/>
          <w:color w:val="auto"/>
          <w:szCs w:val="21"/>
          <w:u w:val="single"/>
        </w:rPr>
        <w:t xml:space="preserve">     （应</w:t>
      </w:r>
      <w:r>
        <w:rPr>
          <w:rFonts w:hint="eastAsia" w:ascii="宋体" w:hAnsi="宋体"/>
          <w:color w:val="auto"/>
          <w:szCs w:val="21"/>
          <w:u w:val="single"/>
          <w:lang w:eastAsia="zh-CN"/>
        </w:rPr>
        <w:t>明确</w:t>
      </w:r>
      <w:r>
        <w:rPr>
          <w:rFonts w:hint="eastAsia" w:ascii="宋体" w:hAnsi="宋体"/>
          <w:color w:val="auto"/>
          <w:szCs w:val="21"/>
          <w:u w:val="single"/>
        </w:rPr>
        <w:t>一次性支付合同款项</w:t>
      </w:r>
      <w:r>
        <w:rPr>
          <w:rFonts w:hint="eastAsia" w:ascii="宋体" w:hAnsi="宋体"/>
          <w:color w:val="auto"/>
          <w:szCs w:val="21"/>
          <w:u w:val="single"/>
          <w:lang w:eastAsia="zh-CN"/>
        </w:rPr>
        <w:t>的条件</w:t>
      </w:r>
      <w:r>
        <w:rPr>
          <w:rFonts w:hint="eastAsia" w:ascii="宋体" w:hAnsi="宋体"/>
          <w:color w:val="auto"/>
          <w:szCs w:val="21"/>
          <w:u w:val="single"/>
        </w:rPr>
        <w:t xml:space="preserve">）                    </w:t>
      </w:r>
    </w:p>
    <w:p w14:paraId="2E586B14">
      <w:pPr>
        <w:snapToGrid w:val="0"/>
        <w:spacing w:beforeLines="0" w:line="400" w:lineRule="exact"/>
        <w:ind w:firstLine="630" w:firstLineChars="300"/>
        <w:rPr>
          <w:color w:val="auto"/>
        </w:rPr>
      </w:pPr>
      <w:r>
        <w:rPr>
          <w:rFonts w:hint="eastAsia" w:ascii="宋体" w:hAnsi="宋体"/>
          <w:color w:val="auto"/>
          <w:szCs w:val="21"/>
        </w:rPr>
        <w:sym w:font="Wingdings" w:char="00A8"/>
      </w:r>
      <w:r>
        <w:rPr>
          <w:rFonts w:hint="eastAsia" w:ascii="宋体" w:hAnsi="宋体"/>
          <w:color w:val="auto"/>
          <w:szCs w:val="21"/>
        </w:rPr>
        <w:t>分期付款：</w:t>
      </w:r>
      <w:r>
        <w:rPr>
          <w:rFonts w:hint="eastAsia" w:ascii="宋体" w:hAnsi="宋体"/>
          <w:color w:val="auto"/>
          <w:szCs w:val="21"/>
          <w:u w:val="single"/>
        </w:rPr>
        <w:t xml:space="preserve">  （应明确分期支付合同款项的各期比例和支付条件</w:t>
      </w:r>
      <w:r>
        <w:rPr>
          <w:rFonts w:hint="eastAsia" w:ascii="宋体" w:hAnsi="宋体"/>
          <w:color w:val="auto"/>
          <w:szCs w:val="21"/>
          <w:u w:val="single"/>
          <w:lang w:eastAsia="zh-CN"/>
        </w:rPr>
        <w:t>，各期支付条件应与分期履约验收情况挂钩</w:t>
      </w:r>
      <w:r>
        <w:rPr>
          <w:rFonts w:hint="eastAsia" w:ascii="宋体" w:hAnsi="宋体"/>
          <w:color w:val="auto"/>
          <w:szCs w:val="21"/>
          <w:u w:val="single"/>
        </w:rPr>
        <w:t xml:space="preserve">） </w:t>
      </w:r>
      <w:r>
        <w:rPr>
          <w:rFonts w:hint="eastAsia" w:ascii="宋体" w:hAnsi="宋体"/>
          <w:color w:val="auto"/>
          <w:szCs w:val="21"/>
          <w:u w:val="none"/>
          <w:lang w:eastAsia="zh-CN"/>
        </w:rPr>
        <w:t>，</w:t>
      </w:r>
      <w:r>
        <w:rPr>
          <w:rFonts w:hint="eastAsia" w:ascii="宋体" w:hAnsi="宋体"/>
          <w:color w:val="auto"/>
          <w:szCs w:val="21"/>
          <w:lang w:eastAsia="zh-CN"/>
        </w:rPr>
        <w:t>其中涉及预付款的</w:t>
      </w:r>
      <w:r>
        <w:rPr>
          <w:rFonts w:hint="eastAsia" w:ascii="宋体" w:hAnsi="宋体"/>
          <w:color w:val="auto"/>
          <w:szCs w:val="21"/>
        </w:rPr>
        <w:t>：</w:t>
      </w:r>
      <w:r>
        <w:rPr>
          <w:rFonts w:hint="eastAsia" w:ascii="宋体" w:hAnsi="宋体"/>
          <w:color w:val="auto"/>
          <w:szCs w:val="21"/>
          <w:u w:val="single"/>
        </w:rPr>
        <w:t xml:space="preserve"> （应明确预付款的支付比例和支付条件） </w:t>
      </w:r>
    </w:p>
    <w:p w14:paraId="2504BEA8">
      <w:pPr>
        <w:adjustRightInd w:val="0"/>
        <w:snapToGrid w:val="0"/>
        <w:spacing w:before="0" w:beforeLines="0" w:line="400" w:lineRule="exact"/>
        <w:ind w:firstLine="630" w:firstLineChars="300"/>
        <w:rPr>
          <w:rFonts w:ascii="宋体" w:hAnsi="宋体"/>
          <w:color w:val="auto"/>
          <w:szCs w:val="21"/>
          <w:u w:val="single"/>
        </w:rPr>
      </w:pPr>
      <w:r>
        <w:rPr>
          <w:rFonts w:hint="eastAsia" w:ascii="宋体" w:hAnsi="宋体"/>
          <w:color w:val="auto"/>
          <w:szCs w:val="21"/>
        </w:rPr>
        <w:sym w:font="Wingdings" w:char="00A8"/>
      </w:r>
      <w:r>
        <w:rPr>
          <w:rFonts w:hint="eastAsia" w:ascii="宋体" w:hAnsi="宋体"/>
          <w:color w:val="auto"/>
          <w:szCs w:val="21"/>
        </w:rPr>
        <w:t>成本补偿：</w:t>
      </w:r>
      <w:r>
        <w:rPr>
          <w:rFonts w:hint="eastAsia" w:ascii="宋体" w:hAnsi="宋体"/>
          <w:color w:val="auto"/>
          <w:szCs w:val="21"/>
          <w:u w:val="single"/>
        </w:rPr>
        <w:t xml:space="preserve">      （应明确按照成本补偿方式的支付方式和支付条件）   </w:t>
      </w:r>
    </w:p>
    <w:p w14:paraId="69A6AE88">
      <w:pPr>
        <w:adjustRightInd w:val="0"/>
        <w:snapToGrid w:val="0"/>
        <w:spacing w:before="0" w:beforeLines="0" w:line="400" w:lineRule="exact"/>
        <w:ind w:firstLine="630" w:firstLineChars="300"/>
        <w:rPr>
          <w:rFonts w:ascii="宋体" w:hAnsi="宋体"/>
          <w:color w:val="auto"/>
          <w:szCs w:val="21"/>
        </w:rPr>
      </w:pPr>
      <w:r>
        <w:rPr>
          <w:rFonts w:hint="eastAsia" w:ascii="宋体" w:hAnsi="宋体"/>
          <w:color w:val="auto"/>
          <w:szCs w:val="21"/>
        </w:rPr>
        <w:sym w:font="Wingdings" w:char="00A8"/>
      </w:r>
      <w:r>
        <w:rPr>
          <w:rFonts w:hint="eastAsia" w:ascii="宋体" w:hAnsi="宋体"/>
          <w:color w:val="auto"/>
          <w:szCs w:val="21"/>
        </w:rPr>
        <w:t>绩效激励：</w:t>
      </w:r>
      <w:r>
        <w:rPr>
          <w:rFonts w:hint="eastAsia" w:ascii="宋体" w:hAnsi="宋体"/>
          <w:color w:val="auto"/>
          <w:szCs w:val="21"/>
          <w:u w:val="single"/>
        </w:rPr>
        <w:t xml:space="preserve">      （应明确按照绩效激励方式的支付方式和支付条件）   </w:t>
      </w:r>
    </w:p>
    <w:p w14:paraId="2D2E0380">
      <w:pPr>
        <w:numPr>
          <w:ilvl w:val="0"/>
          <w:numId w:val="4"/>
        </w:numPr>
        <w:adjustRightInd w:val="0"/>
        <w:snapToGrid w:val="0"/>
        <w:spacing w:before="0" w:beforeLines="0" w:line="400" w:lineRule="exact"/>
        <w:ind w:firstLine="422" w:firstLineChars="200"/>
        <w:rPr>
          <w:rFonts w:ascii="宋体" w:hAnsi="宋体"/>
          <w:b/>
          <w:bCs w:val="0"/>
          <w:color w:val="auto"/>
          <w:szCs w:val="21"/>
          <w:u w:val="single"/>
        </w:rPr>
      </w:pPr>
      <w:r>
        <w:rPr>
          <w:rFonts w:hint="eastAsia" w:ascii="宋体" w:hAnsi="宋体"/>
          <w:b/>
          <w:bCs w:val="0"/>
          <w:color w:val="auto"/>
          <w:szCs w:val="21"/>
        </w:rPr>
        <w:t>合同履行</w:t>
      </w:r>
    </w:p>
    <w:p w14:paraId="42D0A5FD">
      <w:pPr>
        <w:adjustRightInd w:val="0"/>
        <w:snapToGrid w:val="0"/>
        <w:spacing w:before="0" w:beforeLines="0" w:line="400" w:lineRule="exact"/>
        <w:ind w:firstLine="420" w:firstLineChars="200"/>
        <w:rPr>
          <w:rFonts w:hint="eastAsia" w:ascii="宋体" w:hAnsi="宋体" w:cs="宋体"/>
          <w:color w:val="auto"/>
          <w:szCs w:val="21"/>
        </w:rPr>
      </w:pPr>
      <w:r>
        <w:rPr>
          <w:rFonts w:hint="eastAsia" w:ascii="宋体" w:hAnsi="宋体" w:cs="宋体"/>
          <w:color w:val="auto"/>
          <w:szCs w:val="21"/>
        </w:rPr>
        <w:t>（1）起始日期：</w:t>
      </w:r>
      <w:r>
        <w:rPr>
          <w:rFonts w:hint="eastAsia" w:ascii="宋体" w:hAnsi="宋体" w:cs="宋体"/>
          <w:color w:val="auto"/>
          <w:szCs w:val="21"/>
          <w:u w:val="single"/>
        </w:rPr>
        <w:t xml:space="preserve">    </w:t>
      </w:r>
      <w:r>
        <w:rPr>
          <w:rFonts w:hint="eastAsia" w:ascii="宋体" w:hAnsi="宋体" w:cs="宋体"/>
          <w:color w:val="auto"/>
          <w:szCs w:val="21"/>
        </w:rPr>
        <w:t>年</w:t>
      </w:r>
      <w:r>
        <w:rPr>
          <w:rFonts w:hint="eastAsia" w:ascii="宋体" w:hAnsi="宋体" w:cs="宋体"/>
          <w:color w:val="auto"/>
          <w:szCs w:val="21"/>
          <w:u w:val="single"/>
        </w:rPr>
        <w:t xml:space="preserve">   </w:t>
      </w:r>
      <w:r>
        <w:rPr>
          <w:rFonts w:hint="eastAsia" w:ascii="宋体" w:hAnsi="宋体" w:cs="宋体"/>
          <w:color w:val="auto"/>
          <w:szCs w:val="21"/>
        </w:rPr>
        <w:t>月</w:t>
      </w:r>
      <w:r>
        <w:rPr>
          <w:rFonts w:hint="eastAsia" w:ascii="宋体" w:hAnsi="宋体" w:cs="宋体"/>
          <w:color w:val="auto"/>
          <w:szCs w:val="21"/>
          <w:u w:val="single"/>
        </w:rPr>
        <w:t xml:space="preserve">   </w:t>
      </w:r>
      <w:r>
        <w:rPr>
          <w:rFonts w:hint="eastAsia" w:ascii="宋体" w:hAnsi="宋体" w:cs="宋体"/>
          <w:color w:val="auto"/>
          <w:szCs w:val="21"/>
        </w:rPr>
        <w:t>日，完成日期：</w:t>
      </w:r>
      <w:r>
        <w:rPr>
          <w:rFonts w:hint="eastAsia" w:ascii="宋体" w:hAnsi="宋体" w:cs="宋体"/>
          <w:color w:val="auto"/>
          <w:szCs w:val="21"/>
          <w:u w:val="single"/>
        </w:rPr>
        <w:t xml:space="preserve">    </w:t>
      </w:r>
      <w:r>
        <w:rPr>
          <w:rFonts w:hint="eastAsia" w:ascii="宋体" w:hAnsi="宋体" w:cs="宋体"/>
          <w:color w:val="auto"/>
          <w:szCs w:val="21"/>
        </w:rPr>
        <w:t>年</w:t>
      </w:r>
      <w:r>
        <w:rPr>
          <w:rFonts w:hint="eastAsia" w:ascii="宋体" w:hAnsi="宋体" w:cs="宋体"/>
          <w:color w:val="auto"/>
          <w:szCs w:val="21"/>
          <w:u w:val="single"/>
        </w:rPr>
        <w:t xml:space="preserve">   </w:t>
      </w:r>
      <w:r>
        <w:rPr>
          <w:rFonts w:hint="eastAsia" w:ascii="宋体" w:hAnsi="宋体" w:cs="宋体"/>
          <w:color w:val="auto"/>
          <w:szCs w:val="21"/>
        </w:rPr>
        <w:t>月</w:t>
      </w:r>
      <w:r>
        <w:rPr>
          <w:rFonts w:hint="eastAsia" w:ascii="宋体" w:hAnsi="宋体" w:cs="宋体"/>
          <w:color w:val="auto"/>
          <w:szCs w:val="21"/>
          <w:u w:val="single"/>
        </w:rPr>
        <w:t xml:space="preserve">   </w:t>
      </w:r>
      <w:r>
        <w:rPr>
          <w:rFonts w:hint="eastAsia" w:ascii="宋体" w:hAnsi="宋体" w:cs="宋体"/>
          <w:color w:val="auto"/>
          <w:szCs w:val="21"/>
        </w:rPr>
        <w:t>日。</w:t>
      </w:r>
    </w:p>
    <w:p w14:paraId="7A6EF537">
      <w:pPr>
        <w:adjustRightInd w:val="0"/>
        <w:snapToGrid w:val="0"/>
        <w:spacing w:before="0" w:beforeLines="0" w:line="400" w:lineRule="exact"/>
        <w:ind w:firstLine="420" w:firstLineChars="200"/>
        <w:rPr>
          <w:rFonts w:hint="eastAsia" w:ascii="宋体" w:hAnsi="宋体" w:cs="宋体"/>
          <w:color w:val="auto"/>
          <w:szCs w:val="21"/>
          <w:u w:val="single"/>
        </w:rPr>
      </w:pPr>
      <w:r>
        <w:rPr>
          <w:rFonts w:hint="eastAsia" w:ascii="宋体" w:hAnsi="宋体" w:cs="宋体"/>
          <w:color w:val="auto"/>
          <w:szCs w:val="21"/>
        </w:rPr>
        <w:t>（2）</w:t>
      </w:r>
      <w:r>
        <w:rPr>
          <w:rFonts w:hint="eastAsia" w:ascii="宋体" w:hAnsi="宋体" w:cs="宋体"/>
          <w:color w:val="auto"/>
          <w:szCs w:val="21"/>
          <w:lang w:eastAsia="zh-CN"/>
        </w:rPr>
        <w:t>履约</w:t>
      </w:r>
      <w:r>
        <w:rPr>
          <w:rFonts w:hint="eastAsia" w:ascii="宋体" w:hAnsi="宋体" w:cs="宋体"/>
          <w:color w:val="auto"/>
          <w:szCs w:val="21"/>
        </w:rPr>
        <w:t>地点</w:t>
      </w:r>
      <w:r>
        <w:rPr>
          <w:rFonts w:hint="eastAsia" w:ascii="宋体" w:hAnsi="宋体" w:cs="宋体"/>
          <w:b w:val="0"/>
          <w:bCs/>
          <w:color w:val="auto"/>
          <w:szCs w:val="21"/>
        </w:rPr>
        <w:t>：</w:t>
      </w:r>
      <w:r>
        <w:rPr>
          <w:rFonts w:hint="eastAsia" w:ascii="宋体" w:hAnsi="宋体" w:cs="宋体"/>
          <w:color w:val="auto"/>
          <w:szCs w:val="21"/>
          <w:u w:val="single"/>
        </w:rPr>
        <w:t xml:space="preserve">                             </w:t>
      </w:r>
    </w:p>
    <w:p w14:paraId="3343982C">
      <w:pPr>
        <w:adjustRightInd w:val="0"/>
        <w:snapToGrid w:val="0"/>
        <w:spacing w:before="0" w:beforeLines="0" w:line="400" w:lineRule="exact"/>
        <w:ind w:firstLine="420" w:firstLineChars="200"/>
        <w:rPr>
          <w:rFonts w:hint="eastAsia" w:ascii="宋体" w:hAnsi="宋体" w:eastAsia="宋体" w:cs="宋体"/>
          <w:color w:val="auto"/>
          <w:sz w:val="21"/>
          <w:szCs w:val="21"/>
          <w:lang w:eastAsia="zh-CN"/>
        </w:rPr>
      </w:pPr>
      <w:r>
        <w:rPr>
          <w:rFonts w:hint="eastAsia" w:ascii="宋体" w:hAnsi="宋体" w:cs="宋体"/>
          <w:bCs/>
          <w:color w:val="auto"/>
          <w:szCs w:val="21"/>
        </w:rPr>
        <w:t>（3）履约担保：</w:t>
      </w:r>
      <w:r>
        <w:rPr>
          <w:rFonts w:hint="eastAsia" w:ascii="宋体" w:hAnsi="宋体" w:eastAsia="宋体" w:cs="宋体"/>
          <w:color w:val="auto"/>
          <w:sz w:val="21"/>
          <w:lang w:val="en-US" w:eastAsia="zh-CN"/>
        </w:rPr>
        <w:t>是否收取履约保证金：</w:t>
      </w:r>
      <w:r>
        <w:rPr>
          <w:rFonts w:hint="eastAsia" w:ascii="宋体" w:hAnsi="宋体" w:eastAsia="宋体" w:cs="宋体"/>
          <w:color w:val="auto"/>
          <w:sz w:val="21"/>
          <w:szCs w:val="21"/>
        </w:rPr>
        <w:sym w:font="Wingdings" w:char="00A8"/>
      </w:r>
      <w:r>
        <w:rPr>
          <w:rFonts w:hint="eastAsia" w:ascii="宋体" w:hAnsi="宋体" w:eastAsia="宋体" w:cs="宋体"/>
          <w:color w:val="auto"/>
          <w:sz w:val="21"/>
          <w:szCs w:val="21"/>
          <w:lang w:eastAsia="zh-CN"/>
        </w:rPr>
        <w:t>是</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rPr>
        <w:sym w:font="Wingdings" w:char="00A8"/>
      </w:r>
      <w:r>
        <w:rPr>
          <w:rFonts w:hint="eastAsia" w:ascii="宋体" w:hAnsi="宋体" w:eastAsia="宋体" w:cs="宋体"/>
          <w:color w:val="auto"/>
          <w:sz w:val="21"/>
          <w:szCs w:val="21"/>
          <w:lang w:eastAsia="zh-CN"/>
        </w:rPr>
        <w:t>否</w:t>
      </w:r>
    </w:p>
    <w:p w14:paraId="1EFC7445">
      <w:pPr>
        <w:pStyle w:val="79"/>
        <w:spacing w:beforeLines="0"/>
        <w:rPr>
          <w:rFonts w:hint="eastAsia" w:ascii="宋体" w:hAnsi="宋体" w:eastAsia="宋体" w:cs="宋体"/>
          <w:color w:val="auto"/>
          <w:sz w:val="21"/>
          <w:lang w:val="en-US" w:eastAsia="zh-CN"/>
        </w:rPr>
      </w:pPr>
      <w:r>
        <w:rPr>
          <w:rFonts w:hint="eastAsia" w:ascii="宋体" w:hAnsi="宋体" w:cs="宋体"/>
          <w:bCs/>
          <w:color w:val="auto"/>
          <w:szCs w:val="21"/>
          <w:u w:val="none"/>
          <w:lang w:val="en-US" w:eastAsia="zh-CN"/>
        </w:rPr>
        <w:t xml:space="preserve">  </w:t>
      </w:r>
      <w:r>
        <w:rPr>
          <w:rFonts w:hint="eastAsia" w:ascii="宋体" w:hAnsi="宋体" w:eastAsia="宋体" w:cs="宋体"/>
          <w:color w:val="auto"/>
          <w:sz w:val="21"/>
          <w:lang w:val="en-US" w:eastAsia="zh-CN"/>
        </w:rPr>
        <w:t xml:space="preserve">  收取履约保证金形式：</w:t>
      </w:r>
      <w:r>
        <w:rPr>
          <w:rFonts w:hint="eastAsia" w:ascii="宋体" w:hAnsi="宋体" w:eastAsia="宋体" w:cs="宋体"/>
          <w:bCs/>
          <w:color w:val="auto"/>
          <w:sz w:val="21"/>
          <w:szCs w:val="21"/>
          <w:u w:val="single"/>
        </w:rPr>
        <w:t xml:space="preserve">                            </w:t>
      </w:r>
    </w:p>
    <w:p w14:paraId="7B1D5A90">
      <w:pPr>
        <w:pStyle w:val="79"/>
        <w:spacing w:beforeLines="0"/>
        <w:rPr>
          <w:rFonts w:hint="eastAsia" w:ascii="宋体" w:hAnsi="宋体" w:eastAsia="宋体" w:cs="宋体"/>
          <w:color w:val="auto"/>
          <w:sz w:val="21"/>
          <w:lang w:val="en-US" w:eastAsia="zh-CN"/>
        </w:rPr>
      </w:pPr>
      <w:r>
        <w:rPr>
          <w:rFonts w:hint="eastAsia" w:ascii="宋体" w:hAnsi="宋体" w:eastAsia="宋体" w:cs="宋体"/>
          <w:color w:val="auto"/>
          <w:sz w:val="21"/>
          <w:lang w:val="en-US" w:eastAsia="zh-CN"/>
        </w:rPr>
        <w:t xml:space="preserve">    收取履约保证金金额：</w:t>
      </w:r>
      <w:r>
        <w:rPr>
          <w:rFonts w:hint="eastAsia" w:ascii="宋体" w:hAnsi="宋体" w:eastAsia="宋体" w:cs="宋体"/>
          <w:bCs/>
          <w:color w:val="auto"/>
          <w:sz w:val="21"/>
          <w:szCs w:val="21"/>
          <w:u w:val="single"/>
        </w:rPr>
        <w:t xml:space="preserve">                            </w:t>
      </w:r>
    </w:p>
    <w:p w14:paraId="0B32AFB6">
      <w:pPr>
        <w:snapToGrid w:val="0"/>
        <w:spacing w:beforeLines="0" w:line="400" w:lineRule="exact"/>
        <w:ind w:firstLine="420" w:firstLineChars="200"/>
        <w:rPr>
          <w:rFonts w:hint="eastAsia" w:ascii="宋体" w:hAnsi="宋体" w:eastAsia="宋体" w:cs="宋体"/>
          <w:color w:val="auto"/>
          <w:sz w:val="21"/>
          <w:lang w:val="en-US" w:eastAsia="zh-CN"/>
        </w:rPr>
      </w:pPr>
      <w:r>
        <w:rPr>
          <w:rFonts w:hint="eastAsia" w:ascii="宋体" w:hAnsi="宋体" w:cs="宋体"/>
          <w:bCs/>
          <w:color w:val="auto"/>
          <w:szCs w:val="21"/>
          <w:u w:val="none"/>
          <w:lang w:val="en-US" w:eastAsia="zh-CN"/>
        </w:rPr>
        <w:t xml:space="preserve">    履约担保期限</w:t>
      </w:r>
      <w:r>
        <w:rPr>
          <w:rFonts w:hint="eastAsia" w:ascii="宋体" w:hAnsi="宋体" w:cs="宋体"/>
          <w:bCs/>
          <w:color w:val="auto"/>
          <w:szCs w:val="21"/>
          <w:u w:val="none"/>
          <w:lang w:eastAsia="zh-CN"/>
        </w:rPr>
        <w:t>：</w:t>
      </w:r>
      <w:r>
        <w:rPr>
          <w:rFonts w:hint="eastAsia" w:ascii="宋体" w:hAnsi="宋体" w:eastAsia="宋体" w:cs="宋体"/>
          <w:bCs/>
          <w:color w:val="auto"/>
          <w:sz w:val="21"/>
          <w:szCs w:val="21"/>
          <w:u w:val="single"/>
        </w:rPr>
        <w:t xml:space="preserve">      </w:t>
      </w:r>
      <w:r>
        <w:rPr>
          <w:rFonts w:hint="eastAsia" w:ascii="宋体" w:hAnsi="宋体" w:cs="宋体"/>
          <w:bCs/>
          <w:color w:val="auto"/>
          <w:sz w:val="21"/>
          <w:szCs w:val="21"/>
          <w:u w:val="single"/>
          <w:lang w:val="en-US" w:eastAsia="zh-CN"/>
        </w:rPr>
        <w:t xml:space="preserve">                     </w:t>
      </w:r>
      <w:r>
        <w:rPr>
          <w:rFonts w:hint="eastAsia" w:ascii="宋体" w:hAnsi="宋体" w:eastAsia="宋体" w:cs="宋体"/>
          <w:bCs/>
          <w:color w:val="auto"/>
          <w:sz w:val="21"/>
          <w:szCs w:val="21"/>
          <w:u w:val="single"/>
        </w:rPr>
        <w:t xml:space="preserve">       </w:t>
      </w:r>
    </w:p>
    <w:p w14:paraId="4C362B53">
      <w:pPr>
        <w:adjustRightInd w:val="0"/>
        <w:snapToGrid w:val="0"/>
        <w:spacing w:before="0" w:beforeLines="0" w:line="400" w:lineRule="exact"/>
        <w:ind w:firstLine="420" w:firstLineChars="200"/>
        <w:rPr>
          <w:rFonts w:hint="eastAsia" w:ascii="宋体" w:hAnsi="宋体" w:cs="宋体"/>
          <w:bCs/>
          <w:color w:val="auto"/>
          <w:szCs w:val="21"/>
        </w:rPr>
      </w:pPr>
      <w:r>
        <w:rPr>
          <w:rFonts w:hint="eastAsia" w:ascii="宋体" w:hAnsi="宋体" w:cs="宋体"/>
          <w:bCs/>
          <w:color w:val="auto"/>
          <w:szCs w:val="21"/>
        </w:rPr>
        <w:t>（4）分期履行要求：</w:t>
      </w:r>
      <w:r>
        <w:rPr>
          <w:rFonts w:hint="eastAsia" w:ascii="宋体" w:hAnsi="宋体" w:cs="宋体"/>
          <w:bCs/>
          <w:color w:val="auto"/>
          <w:szCs w:val="21"/>
          <w:u w:val="single"/>
        </w:rPr>
        <w:t xml:space="preserve">                                                   </w:t>
      </w:r>
      <w:r>
        <w:rPr>
          <w:rFonts w:hint="eastAsia" w:ascii="宋体" w:hAnsi="宋体" w:cs="宋体"/>
          <w:bCs/>
          <w:color w:val="auto"/>
          <w:szCs w:val="21"/>
          <w:u w:val="single"/>
          <w:lang w:val="en-US" w:eastAsia="zh-CN"/>
        </w:rPr>
        <w:t xml:space="preserve">    </w:t>
      </w:r>
      <w:r>
        <w:rPr>
          <w:rFonts w:hint="eastAsia" w:ascii="宋体" w:hAnsi="宋体" w:cs="宋体"/>
          <w:bCs/>
          <w:color w:val="auto"/>
          <w:szCs w:val="21"/>
          <w:u w:val="single"/>
        </w:rPr>
        <w:t xml:space="preserve"> </w:t>
      </w:r>
    </w:p>
    <w:p w14:paraId="6B22367D">
      <w:pPr>
        <w:adjustRightInd w:val="0"/>
        <w:snapToGrid w:val="0"/>
        <w:spacing w:before="0" w:beforeLines="0" w:line="400" w:lineRule="exact"/>
        <w:ind w:firstLine="420" w:firstLineChars="200"/>
        <w:rPr>
          <w:rFonts w:hint="eastAsia" w:ascii="宋体" w:hAnsi="宋体" w:cs="宋体"/>
          <w:color w:val="auto"/>
          <w:szCs w:val="21"/>
          <w:u w:val="single"/>
        </w:rPr>
      </w:pPr>
      <w:r>
        <w:rPr>
          <w:rFonts w:hint="eastAsia" w:ascii="宋体" w:hAnsi="宋体" w:cs="宋体"/>
          <w:bCs/>
          <w:color w:val="auto"/>
          <w:szCs w:val="21"/>
        </w:rPr>
        <w:t>（5）</w:t>
      </w:r>
      <w:r>
        <w:rPr>
          <w:rFonts w:hint="eastAsia" w:ascii="宋体" w:hAnsi="宋体" w:cs="宋体"/>
          <w:bCs/>
          <w:color w:val="auto"/>
          <w:szCs w:val="21"/>
          <w:lang w:eastAsia="zh-CN"/>
        </w:rPr>
        <w:t>风险处置措施和替代方案</w:t>
      </w:r>
      <w:r>
        <w:rPr>
          <w:rFonts w:hint="eastAsia" w:ascii="宋体" w:hAnsi="宋体" w:cs="宋体"/>
          <w:bCs/>
          <w:color w:val="auto"/>
          <w:szCs w:val="21"/>
        </w:rPr>
        <w:t>：</w:t>
      </w:r>
      <w:r>
        <w:rPr>
          <w:rFonts w:hint="eastAsia" w:ascii="宋体" w:hAnsi="宋体" w:cs="宋体"/>
          <w:color w:val="auto"/>
          <w:szCs w:val="21"/>
          <w:u w:val="single"/>
        </w:rPr>
        <w:t xml:space="preserve">                                                               </w:t>
      </w:r>
    </w:p>
    <w:p w14:paraId="7AA9CA30">
      <w:pPr>
        <w:numPr>
          <w:ilvl w:val="0"/>
          <w:numId w:val="4"/>
        </w:numPr>
        <w:adjustRightInd w:val="0"/>
        <w:snapToGrid w:val="0"/>
        <w:spacing w:before="0" w:beforeLines="0" w:line="400" w:lineRule="exact"/>
        <w:ind w:firstLine="422" w:firstLineChars="200"/>
        <w:rPr>
          <w:rFonts w:ascii="宋体" w:hAnsi="宋体"/>
          <w:b/>
          <w:color w:val="auto"/>
          <w:szCs w:val="21"/>
        </w:rPr>
      </w:pPr>
      <w:r>
        <w:rPr>
          <w:rFonts w:hint="eastAsia" w:ascii="宋体" w:hAnsi="宋体"/>
          <w:b/>
          <w:color w:val="auto"/>
          <w:szCs w:val="21"/>
        </w:rPr>
        <w:t>合同验收</w:t>
      </w:r>
    </w:p>
    <w:p w14:paraId="0AB5A5A7">
      <w:pPr>
        <w:numPr>
          <w:ilvl w:val="0"/>
          <w:numId w:val="6"/>
        </w:numPr>
        <w:adjustRightInd w:val="0"/>
        <w:snapToGrid w:val="0"/>
        <w:spacing w:before="0" w:beforeLines="0" w:line="400" w:lineRule="exact"/>
        <w:ind w:firstLine="420" w:firstLineChars="200"/>
        <w:rPr>
          <w:rFonts w:hint="eastAsia" w:ascii="宋体" w:hAnsi="宋体"/>
          <w:bCs/>
          <w:color w:val="auto"/>
          <w:szCs w:val="21"/>
        </w:rPr>
      </w:pPr>
      <w:r>
        <w:rPr>
          <w:rFonts w:hint="eastAsia" w:ascii="宋体" w:hAnsi="宋体"/>
          <w:bCs/>
          <w:color w:val="auto"/>
          <w:szCs w:val="21"/>
        </w:rPr>
        <w:t>验收组织方式：</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自行组织 </w:t>
      </w:r>
      <w:r>
        <w:rPr>
          <w:rFonts w:hint="eastAsia" w:ascii="宋体" w:hAnsi="宋体" w:eastAsia="宋体" w:cs="宋体"/>
          <w:color w:val="auto"/>
          <w:sz w:val="21"/>
          <w:szCs w:val="21"/>
        </w:rPr>
        <w:sym w:font="Wingdings" w:char="00A8"/>
      </w:r>
      <w:r>
        <w:rPr>
          <w:rFonts w:hint="eastAsia" w:ascii="宋体" w:hAnsi="宋体"/>
          <w:bCs/>
          <w:color w:val="auto"/>
          <w:szCs w:val="21"/>
        </w:rPr>
        <w:t>委托第三方组织</w:t>
      </w:r>
    </w:p>
    <w:p w14:paraId="3148EA94">
      <w:pPr>
        <w:numPr>
          <w:ilvl w:val="0"/>
          <w:numId w:val="0"/>
        </w:numPr>
        <w:adjustRightInd w:val="0"/>
        <w:snapToGrid w:val="0"/>
        <w:spacing w:before="0" w:beforeLines="0" w:line="400" w:lineRule="exact"/>
        <w:rPr>
          <w:rFonts w:ascii="宋体" w:hAnsi="宋体"/>
          <w:bCs/>
          <w:color w:val="auto"/>
          <w:szCs w:val="21"/>
        </w:rPr>
      </w:pPr>
      <w:r>
        <w:rPr>
          <w:rFonts w:hint="eastAsia" w:ascii="宋体" w:hAnsi="宋体"/>
          <w:bCs/>
          <w:color w:val="auto"/>
          <w:szCs w:val="21"/>
          <w:lang w:val="en-US" w:eastAsia="zh-CN"/>
        </w:rPr>
        <w:t xml:space="preserve">         </w:t>
      </w:r>
      <w:r>
        <w:rPr>
          <w:rFonts w:hint="eastAsia" w:ascii="宋体" w:hAnsi="宋体"/>
          <w:bCs/>
          <w:color w:val="auto"/>
          <w:szCs w:val="21"/>
        </w:rPr>
        <w:t>验收主体：</w:t>
      </w:r>
      <w:r>
        <w:rPr>
          <w:rFonts w:hint="eastAsia" w:ascii="宋体" w:hAnsi="宋体"/>
          <w:bCs/>
          <w:color w:val="auto"/>
          <w:szCs w:val="21"/>
          <w:u w:val="single"/>
        </w:rPr>
        <w:t xml:space="preserve">                  </w:t>
      </w:r>
    </w:p>
    <w:p w14:paraId="57246F4E">
      <w:pPr>
        <w:adjustRightInd w:val="0"/>
        <w:snapToGrid w:val="0"/>
        <w:spacing w:before="0" w:beforeLines="0" w:line="400" w:lineRule="exact"/>
        <w:ind w:firstLine="0" w:firstLineChars="0"/>
        <w:rPr>
          <w:rFonts w:ascii="宋体" w:hAnsi="宋体"/>
          <w:bCs/>
          <w:color w:val="auto"/>
          <w:szCs w:val="21"/>
        </w:rPr>
      </w:pPr>
      <w:r>
        <w:rPr>
          <w:rFonts w:hint="eastAsia" w:ascii="宋体" w:hAnsi="宋体"/>
          <w:bCs/>
          <w:color w:val="auto"/>
          <w:szCs w:val="21"/>
          <w:lang w:val="en-US" w:eastAsia="zh-CN"/>
        </w:rPr>
        <w:t xml:space="preserve">        </w:t>
      </w:r>
      <w:r>
        <w:rPr>
          <w:rFonts w:hint="eastAsia" w:ascii="宋体" w:hAnsi="宋体"/>
          <w:bCs/>
          <w:color w:val="auto"/>
          <w:szCs w:val="21"/>
        </w:rPr>
        <w:t>是否邀请本项目的其他供应商</w:t>
      </w:r>
      <w:r>
        <w:rPr>
          <w:rFonts w:hint="eastAsia" w:ascii="宋体" w:hAnsi="宋体"/>
          <w:bCs/>
          <w:color w:val="auto"/>
          <w:szCs w:val="21"/>
          <w:lang w:eastAsia="zh-CN"/>
        </w:rPr>
        <w:t>参加验收</w:t>
      </w:r>
      <w:r>
        <w:rPr>
          <w:rFonts w:hint="eastAsia" w:ascii="宋体" w:hAnsi="宋体"/>
          <w:bCs/>
          <w:color w:val="auto"/>
          <w:szCs w:val="21"/>
        </w:rPr>
        <w:t>：</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是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3A66F6A2">
      <w:pPr>
        <w:adjustRightInd w:val="0"/>
        <w:snapToGrid w:val="0"/>
        <w:spacing w:before="0" w:beforeLines="0" w:line="400" w:lineRule="exact"/>
        <w:ind w:firstLine="840" w:firstLineChars="400"/>
        <w:rPr>
          <w:rFonts w:ascii="宋体" w:hAnsi="宋体"/>
          <w:bCs/>
          <w:color w:val="auto"/>
          <w:szCs w:val="21"/>
        </w:rPr>
      </w:pPr>
      <w:r>
        <w:rPr>
          <w:rFonts w:hint="eastAsia" w:ascii="宋体" w:hAnsi="宋体"/>
          <w:bCs/>
          <w:color w:val="auto"/>
          <w:szCs w:val="21"/>
        </w:rPr>
        <w:t>是否邀请专家</w:t>
      </w:r>
      <w:r>
        <w:rPr>
          <w:rFonts w:hint="eastAsia" w:ascii="宋体" w:hAnsi="宋体"/>
          <w:bCs/>
          <w:color w:val="auto"/>
          <w:szCs w:val="21"/>
          <w:lang w:eastAsia="zh-CN"/>
        </w:rPr>
        <w:t>参加验收</w:t>
      </w:r>
      <w:r>
        <w:rPr>
          <w:rFonts w:hint="eastAsia" w:ascii="宋体" w:hAnsi="宋体"/>
          <w:bCs/>
          <w:color w:val="auto"/>
          <w:szCs w:val="21"/>
        </w:rPr>
        <w:t>：</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是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3E05E5A0">
      <w:pPr>
        <w:adjustRightInd w:val="0"/>
        <w:snapToGrid w:val="0"/>
        <w:spacing w:before="0" w:beforeLines="0" w:line="400" w:lineRule="exact"/>
        <w:ind w:firstLine="840" w:firstLineChars="400"/>
        <w:rPr>
          <w:rFonts w:ascii="宋体" w:hAnsi="宋体"/>
          <w:bCs/>
          <w:color w:val="auto"/>
          <w:szCs w:val="21"/>
        </w:rPr>
      </w:pPr>
      <w:r>
        <w:rPr>
          <w:rFonts w:hint="eastAsia" w:ascii="宋体" w:hAnsi="宋体"/>
          <w:bCs/>
          <w:color w:val="auto"/>
          <w:szCs w:val="21"/>
        </w:rPr>
        <w:t>是否邀请服务对象</w:t>
      </w:r>
      <w:r>
        <w:rPr>
          <w:rFonts w:hint="eastAsia" w:ascii="宋体" w:hAnsi="宋体"/>
          <w:bCs/>
          <w:color w:val="auto"/>
          <w:szCs w:val="21"/>
          <w:lang w:eastAsia="zh-CN"/>
        </w:rPr>
        <w:t>参加验收</w:t>
      </w:r>
      <w:r>
        <w:rPr>
          <w:rFonts w:hint="eastAsia" w:ascii="宋体" w:hAnsi="宋体"/>
          <w:bCs/>
          <w:color w:val="auto"/>
          <w:szCs w:val="21"/>
        </w:rPr>
        <w:t>：</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是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280FE4C9">
      <w:pPr>
        <w:adjustRightInd w:val="0"/>
        <w:snapToGrid w:val="0"/>
        <w:spacing w:before="0" w:beforeLines="0" w:line="400" w:lineRule="exact"/>
        <w:ind w:firstLine="840" w:firstLineChars="400"/>
        <w:rPr>
          <w:rFonts w:ascii="宋体" w:hAnsi="宋体"/>
          <w:bCs/>
          <w:color w:val="auto"/>
          <w:szCs w:val="21"/>
        </w:rPr>
      </w:pPr>
      <w:r>
        <w:rPr>
          <w:rFonts w:hint="eastAsia" w:ascii="宋体" w:hAnsi="宋体"/>
          <w:bCs/>
          <w:color w:val="auto"/>
          <w:szCs w:val="21"/>
        </w:rPr>
        <w:t>是否邀请第三方检测机构</w:t>
      </w:r>
      <w:r>
        <w:rPr>
          <w:rFonts w:hint="eastAsia" w:ascii="宋体" w:hAnsi="宋体"/>
          <w:bCs/>
          <w:color w:val="auto"/>
          <w:szCs w:val="21"/>
          <w:lang w:eastAsia="zh-CN"/>
        </w:rPr>
        <w:t>参加验收</w:t>
      </w:r>
      <w:r>
        <w:rPr>
          <w:rFonts w:hint="eastAsia" w:ascii="宋体" w:hAnsi="宋体"/>
          <w:bCs/>
          <w:color w:val="auto"/>
          <w:szCs w:val="21"/>
        </w:rPr>
        <w:t>：</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是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472DE866">
      <w:pPr>
        <w:adjustRightInd w:val="0"/>
        <w:snapToGrid w:val="0"/>
        <w:spacing w:before="0" w:beforeLines="0" w:line="400" w:lineRule="exact"/>
        <w:ind w:firstLine="840" w:firstLineChars="400"/>
        <w:rPr>
          <w:rFonts w:hint="eastAsia" w:ascii="宋体" w:hAnsi="宋体"/>
          <w:bCs/>
          <w:color w:val="auto"/>
          <w:szCs w:val="21"/>
        </w:rPr>
      </w:pPr>
      <w:r>
        <w:rPr>
          <w:rFonts w:hint="eastAsia" w:ascii="宋体" w:hAnsi="宋体"/>
          <w:bCs/>
          <w:color w:val="auto"/>
          <w:szCs w:val="21"/>
          <w:lang w:eastAsia="zh-CN"/>
        </w:rPr>
        <w:t>是否进行抽查检测：</w:t>
      </w:r>
      <w:r>
        <w:rPr>
          <w:rFonts w:hint="eastAsia" w:ascii="宋体" w:hAnsi="宋体" w:eastAsia="宋体" w:cs="宋体"/>
          <w:color w:val="auto"/>
          <w:sz w:val="21"/>
          <w:szCs w:val="21"/>
        </w:rPr>
        <w:sym w:font="Wingdings" w:char="00A8"/>
      </w:r>
      <w:r>
        <w:rPr>
          <w:rFonts w:hint="eastAsia" w:ascii="宋体" w:hAnsi="宋体"/>
          <w:bCs/>
          <w:color w:val="auto"/>
          <w:szCs w:val="21"/>
        </w:rPr>
        <w:t>是</w:t>
      </w:r>
      <w:r>
        <w:rPr>
          <w:rFonts w:hint="eastAsia" w:ascii="宋体" w:hAnsi="宋体"/>
          <w:bCs/>
          <w:color w:val="auto"/>
          <w:szCs w:val="21"/>
          <w:lang w:eastAsia="zh-CN"/>
        </w:rPr>
        <w:t>，抽查比例：</w:t>
      </w:r>
      <w:r>
        <w:rPr>
          <w:rFonts w:hint="eastAsia" w:ascii="宋体" w:hAnsi="宋体"/>
          <w:bCs/>
          <w:color w:val="auto"/>
          <w:szCs w:val="21"/>
          <w:u w:val="single"/>
        </w:rPr>
        <w:t xml:space="preserve">   </w:t>
      </w:r>
      <w:r>
        <w:rPr>
          <w:rFonts w:hint="eastAsia" w:ascii="宋体" w:hAnsi="宋体"/>
          <w:bCs/>
          <w:color w:val="auto"/>
          <w:szCs w:val="21"/>
          <w:u w:val="single"/>
          <w:lang w:val="en-US" w:eastAsia="zh-CN"/>
        </w:rPr>
        <w:t xml:space="preserve">     </w:t>
      </w:r>
      <w:r>
        <w:rPr>
          <w:rFonts w:hint="eastAsia" w:ascii="宋体" w:hAnsi="宋体"/>
          <w:bCs/>
          <w:color w:val="auto"/>
          <w:szCs w:val="21"/>
        </w:rPr>
        <w:t xml:space="preserve">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278B9B70">
      <w:pPr>
        <w:adjustRightInd w:val="0"/>
        <w:snapToGrid w:val="0"/>
        <w:spacing w:before="0" w:beforeLines="0" w:line="400" w:lineRule="exact"/>
        <w:ind w:firstLine="840" w:firstLineChars="400"/>
        <w:rPr>
          <w:rFonts w:hint="eastAsia" w:ascii="宋体" w:hAnsi="宋体" w:eastAsia="宋体"/>
          <w:bCs/>
          <w:color w:val="auto"/>
          <w:szCs w:val="21"/>
          <w:u w:val="single"/>
          <w:lang w:eastAsia="zh-CN"/>
        </w:rPr>
      </w:pPr>
      <w:r>
        <w:rPr>
          <w:rFonts w:hint="eastAsia" w:ascii="宋体" w:hAnsi="宋体" w:eastAsia="宋体"/>
          <w:bCs/>
          <w:color w:val="auto"/>
          <w:szCs w:val="21"/>
          <w:lang w:val="en-US" w:eastAsia="zh-CN"/>
        </w:rPr>
        <w:t>是否存在破坏性检测：</w:t>
      </w:r>
      <w:r>
        <w:rPr>
          <w:rFonts w:hint="eastAsia" w:ascii="宋体" w:hAnsi="宋体" w:eastAsia="宋体" w:cs="宋体"/>
          <w:color w:val="auto"/>
          <w:sz w:val="21"/>
          <w:szCs w:val="21"/>
        </w:rPr>
        <w:sym w:font="Wingdings" w:char="00A8"/>
      </w:r>
      <w:r>
        <w:rPr>
          <w:rFonts w:hint="eastAsia" w:ascii="宋体" w:hAnsi="宋体" w:eastAsia="宋体"/>
          <w:bCs/>
          <w:color w:val="auto"/>
          <w:szCs w:val="21"/>
        </w:rPr>
        <w:t>是</w:t>
      </w:r>
      <w:r>
        <w:rPr>
          <w:rFonts w:hint="eastAsia" w:ascii="宋体" w:hAnsi="宋体" w:eastAsia="宋体"/>
          <w:bCs/>
          <w:color w:val="auto"/>
          <w:szCs w:val="21"/>
          <w:lang w:eastAsia="zh-CN"/>
        </w:rPr>
        <w:t>，</w:t>
      </w:r>
      <w:r>
        <w:rPr>
          <w:rFonts w:hint="eastAsia" w:ascii="宋体" w:hAnsi="宋体" w:eastAsia="宋体"/>
          <w:bCs/>
          <w:color w:val="auto"/>
          <w:szCs w:val="21"/>
          <w:u w:val="single"/>
          <w:lang w:eastAsia="zh-CN"/>
        </w:rPr>
        <w:t>（应明确对被破坏的检测产品的处理方式）</w:t>
      </w:r>
    </w:p>
    <w:p w14:paraId="35D583BB">
      <w:pPr>
        <w:adjustRightInd w:val="0"/>
        <w:snapToGrid w:val="0"/>
        <w:spacing w:before="0" w:beforeLines="0" w:line="400" w:lineRule="exact"/>
        <w:ind w:firstLine="840" w:firstLineChars="400"/>
        <w:rPr>
          <w:rFonts w:hint="eastAsia" w:ascii="宋体" w:hAnsi="宋体" w:eastAsia="宋体"/>
          <w:bCs/>
          <w:color w:val="auto"/>
          <w:szCs w:val="21"/>
          <w:lang w:eastAsia="zh-CN"/>
        </w:rPr>
      </w:pPr>
      <w:r>
        <w:rPr>
          <w:rFonts w:hint="eastAsia" w:ascii="宋体" w:hAnsi="宋体" w:eastAsia="宋体"/>
          <w:bCs/>
          <w:color w:val="auto"/>
          <w:szCs w:val="21"/>
          <w:lang w:val="en-US" w:eastAsia="zh-CN"/>
        </w:rPr>
        <w:t xml:space="preserve">                    </w:t>
      </w:r>
      <w:r>
        <w:rPr>
          <w:rFonts w:hint="eastAsia" w:ascii="宋体" w:hAnsi="宋体" w:eastAsia="宋体" w:cs="宋体"/>
          <w:color w:val="auto"/>
          <w:sz w:val="21"/>
          <w:szCs w:val="21"/>
        </w:rPr>
        <w:sym w:font="Wingdings" w:char="00A8"/>
      </w:r>
      <w:r>
        <w:rPr>
          <w:rFonts w:hint="eastAsia" w:ascii="宋体" w:hAnsi="宋体" w:eastAsia="宋体"/>
          <w:bCs/>
          <w:color w:val="auto"/>
          <w:szCs w:val="21"/>
        </w:rPr>
        <w:t>否</w:t>
      </w:r>
    </w:p>
    <w:p w14:paraId="2C1A26ED">
      <w:pPr>
        <w:adjustRightInd w:val="0"/>
        <w:snapToGrid w:val="0"/>
        <w:spacing w:before="0" w:beforeLines="0" w:line="400" w:lineRule="exact"/>
        <w:ind w:firstLine="840" w:firstLineChars="400"/>
        <w:rPr>
          <w:rFonts w:hint="eastAsia" w:ascii="宋体" w:hAnsi="宋体"/>
          <w:bCs/>
          <w:color w:val="auto"/>
          <w:szCs w:val="21"/>
          <w:u w:val="single"/>
        </w:rPr>
      </w:pPr>
      <w:r>
        <w:rPr>
          <w:rFonts w:hint="eastAsia" w:ascii="宋体" w:hAnsi="宋体"/>
          <w:bCs/>
          <w:color w:val="auto"/>
          <w:szCs w:val="21"/>
        </w:rPr>
        <w:t>验收组织的其他事项：</w:t>
      </w:r>
      <w:r>
        <w:rPr>
          <w:rFonts w:hint="eastAsia" w:ascii="宋体" w:hAnsi="宋体"/>
          <w:bCs/>
          <w:color w:val="auto"/>
          <w:szCs w:val="21"/>
          <w:u w:val="single"/>
        </w:rPr>
        <w:t xml:space="preserve">                </w:t>
      </w:r>
    </w:p>
    <w:p w14:paraId="09799D6F">
      <w:pPr>
        <w:adjustRightInd w:val="0"/>
        <w:snapToGrid w:val="0"/>
        <w:spacing w:before="0" w:beforeLines="0" w:line="400" w:lineRule="exact"/>
        <w:ind w:firstLine="420" w:firstLineChars="200"/>
        <w:rPr>
          <w:rFonts w:hint="eastAsia" w:ascii="宋体" w:hAnsi="宋体"/>
          <w:bCs/>
          <w:color w:val="auto"/>
          <w:szCs w:val="21"/>
          <w:u w:val="single"/>
        </w:rPr>
      </w:pPr>
      <w:r>
        <w:rPr>
          <w:rFonts w:hint="eastAsia" w:ascii="宋体" w:hAnsi="宋体"/>
          <w:bCs/>
          <w:color w:val="auto"/>
          <w:szCs w:val="21"/>
        </w:rPr>
        <w:t>（2）履约验收时间：</w:t>
      </w:r>
      <w:r>
        <w:rPr>
          <w:rFonts w:hint="eastAsia" w:ascii="宋体" w:hAnsi="宋体"/>
          <w:bCs/>
          <w:color w:val="auto"/>
          <w:szCs w:val="21"/>
          <w:u w:val="single"/>
        </w:rPr>
        <w:t>（计划于何时验收/供应商提出验收申请之日起   日内组织验收）</w:t>
      </w:r>
      <w:r>
        <w:rPr>
          <w:rFonts w:hint="eastAsia" w:ascii="宋体" w:hAnsi="宋体"/>
          <w:bCs/>
          <w:color w:val="auto"/>
          <w:szCs w:val="21"/>
          <w:u w:val="single"/>
          <w:lang w:val="en-US" w:eastAsia="zh-CN"/>
        </w:rPr>
        <w:t xml:space="preserve"> </w:t>
      </w:r>
    </w:p>
    <w:p w14:paraId="0EE65273">
      <w:pPr>
        <w:adjustRightInd w:val="0"/>
        <w:snapToGrid w:val="0"/>
        <w:spacing w:before="0" w:beforeLines="0" w:line="400" w:lineRule="exact"/>
        <w:ind w:firstLine="420" w:firstLineChars="200"/>
        <w:rPr>
          <w:rFonts w:hint="eastAsia" w:ascii="宋体" w:hAnsi="宋体"/>
          <w:bCs/>
          <w:color w:val="auto"/>
          <w:szCs w:val="21"/>
        </w:rPr>
      </w:pPr>
      <w:r>
        <w:rPr>
          <w:rFonts w:hint="eastAsia" w:ascii="宋体" w:hAnsi="宋体"/>
          <w:bCs/>
          <w:color w:val="auto"/>
          <w:szCs w:val="21"/>
        </w:rPr>
        <w:t>（3）履约验收方式：</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一次性验收         </w:t>
      </w:r>
    </w:p>
    <w:p w14:paraId="2691ED01">
      <w:pPr>
        <w:adjustRightInd w:val="0"/>
        <w:snapToGrid w:val="0"/>
        <w:spacing w:before="0" w:beforeLines="0" w:line="400" w:lineRule="exact"/>
        <w:ind w:firstLine="0" w:firstLineChars="0"/>
        <w:rPr>
          <w:rFonts w:hint="eastAsia" w:ascii="宋体" w:hAnsi="宋体" w:eastAsia="宋体"/>
          <w:bCs/>
          <w:color w:val="auto"/>
          <w:szCs w:val="21"/>
          <w:lang w:val="en-US" w:eastAsia="zh-CN"/>
        </w:rPr>
      </w:pPr>
      <w:r>
        <w:rPr>
          <w:rFonts w:hint="eastAsia" w:ascii="宋体" w:hAnsi="宋体"/>
          <w:bCs/>
          <w:color w:val="auto"/>
          <w:szCs w:val="21"/>
          <w:lang w:val="en-US" w:eastAsia="zh-CN"/>
        </w:rPr>
        <w:t xml:space="preserve">                       </w:t>
      </w:r>
      <w:r>
        <w:rPr>
          <w:rFonts w:hint="eastAsia" w:ascii="宋体" w:hAnsi="宋体" w:eastAsia="宋体" w:cs="宋体"/>
          <w:color w:val="auto"/>
          <w:sz w:val="21"/>
          <w:szCs w:val="21"/>
        </w:rPr>
        <w:sym w:font="Wingdings" w:char="00A8"/>
      </w:r>
      <w:r>
        <w:rPr>
          <w:rFonts w:hint="eastAsia" w:ascii="宋体" w:hAnsi="宋体"/>
          <w:bCs/>
          <w:color w:val="auto"/>
          <w:szCs w:val="21"/>
        </w:rPr>
        <w:t>分期/分项验收</w:t>
      </w:r>
      <w:r>
        <w:rPr>
          <w:rFonts w:hint="eastAsia" w:ascii="宋体" w:hAnsi="宋体"/>
          <w:bCs/>
          <w:color w:val="auto"/>
          <w:szCs w:val="21"/>
          <w:lang w:eastAsia="zh-CN"/>
        </w:rPr>
        <w:t>：</w:t>
      </w:r>
      <w:r>
        <w:rPr>
          <w:rFonts w:hint="eastAsia" w:ascii="宋体" w:hAnsi="宋体"/>
          <w:bCs/>
          <w:color w:val="auto"/>
          <w:szCs w:val="21"/>
          <w:u w:val="single"/>
        </w:rPr>
        <w:t xml:space="preserve"> </w:t>
      </w:r>
      <w:r>
        <w:rPr>
          <w:rFonts w:hint="eastAsia" w:ascii="宋体" w:hAnsi="宋体"/>
          <w:bCs/>
          <w:color w:val="auto"/>
          <w:szCs w:val="21"/>
          <w:u w:val="single"/>
          <w:lang w:eastAsia="zh-CN"/>
        </w:rPr>
        <w:t>（应明确分期</w:t>
      </w:r>
      <w:r>
        <w:rPr>
          <w:rFonts w:hint="default" w:ascii="宋体" w:hAnsi="宋体"/>
          <w:bCs/>
          <w:color w:val="auto"/>
          <w:szCs w:val="21"/>
          <w:u w:val="single"/>
          <w:lang w:val="en" w:eastAsia="zh-CN"/>
        </w:rPr>
        <w:t>/</w:t>
      </w:r>
      <w:r>
        <w:rPr>
          <w:rFonts w:hint="eastAsia" w:ascii="宋体" w:hAnsi="宋体"/>
          <w:bCs/>
          <w:color w:val="auto"/>
          <w:szCs w:val="21"/>
          <w:u w:val="single"/>
          <w:lang w:val="en" w:eastAsia="zh-CN"/>
        </w:rPr>
        <w:t>分项验收的工作安排</w:t>
      </w:r>
      <w:r>
        <w:rPr>
          <w:rFonts w:hint="eastAsia" w:ascii="宋体" w:hAnsi="宋体"/>
          <w:bCs/>
          <w:color w:val="auto"/>
          <w:szCs w:val="21"/>
          <w:u w:val="single"/>
          <w:lang w:eastAsia="zh-CN"/>
        </w:rPr>
        <w:t>）</w:t>
      </w:r>
      <w:r>
        <w:rPr>
          <w:rFonts w:hint="eastAsia" w:ascii="宋体" w:hAnsi="宋体"/>
          <w:bCs/>
          <w:color w:val="auto"/>
          <w:szCs w:val="21"/>
          <w:u w:val="single"/>
        </w:rPr>
        <w:t xml:space="preserve"> </w:t>
      </w:r>
      <w:r>
        <w:rPr>
          <w:rFonts w:hint="eastAsia" w:ascii="宋体" w:hAnsi="宋体"/>
          <w:bCs/>
          <w:color w:val="auto"/>
          <w:szCs w:val="21"/>
          <w:u w:val="single"/>
          <w:lang w:val="en-US" w:eastAsia="zh-CN"/>
        </w:rPr>
        <w:t xml:space="preserve"> </w:t>
      </w:r>
    </w:p>
    <w:p w14:paraId="49F0C66E">
      <w:pPr>
        <w:adjustRightInd w:val="0"/>
        <w:snapToGrid w:val="0"/>
        <w:spacing w:before="0" w:beforeLines="0" w:line="400" w:lineRule="exact"/>
        <w:ind w:firstLine="420" w:firstLineChars="200"/>
        <w:rPr>
          <w:rFonts w:ascii="宋体" w:hAnsi="宋体"/>
          <w:bCs/>
          <w:color w:val="auto"/>
          <w:szCs w:val="21"/>
        </w:rPr>
      </w:pPr>
      <w:r>
        <w:rPr>
          <w:rFonts w:hint="eastAsia" w:ascii="宋体" w:hAnsi="宋体"/>
          <w:bCs/>
          <w:color w:val="auto"/>
          <w:szCs w:val="21"/>
        </w:rPr>
        <w:t>（4）履约验收程序：</w:t>
      </w:r>
      <w:r>
        <w:rPr>
          <w:rFonts w:hint="eastAsia" w:ascii="宋体" w:hAnsi="宋体"/>
          <w:bCs/>
          <w:color w:val="auto"/>
          <w:szCs w:val="21"/>
          <w:u w:val="single"/>
        </w:rPr>
        <w:t xml:space="preserve">                                         </w:t>
      </w:r>
    </w:p>
    <w:p w14:paraId="622BDF48">
      <w:pPr>
        <w:adjustRightInd w:val="0"/>
        <w:snapToGrid w:val="0"/>
        <w:spacing w:before="0" w:beforeLines="0" w:line="400" w:lineRule="exact"/>
        <w:ind w:firstLine="420" w:firstLineChars="200"/>
        <w:rPr>
          <w:rFonts w:ascii="宋体" w:hAnsi="宋体"/>
          <w:bCs/>
          <w:color w:val="auto"/>
          <w:szCs w:val="21"/>
          <w:u w:val="single"/>
        </w:rPr>
      </w:pPr>
      <w:r>
        <w:rPr>
          <w:rFonts w:hint="eastAsia" w:ascii="宋体" w:hAnsi="宋体"/>
          <w:bCs/>
          <w:color w:val="auto"/>
          <w:szCs w:val="21"/>
        </w:rPr>
        <w:t>（5）履约验收的内容：</w:t>
      </w:r>
      <w:r>
        <w:rPr>
          <w:rFonts w:hint="eastAsia" w:ascii="宋体" w:hAnsi="宋体"/>
          <w:bCs/>
          <w:color w:val="auto"/>
          <w:szCs w:val="21"/>
          <w:u w:val="single"/>
        </w:rPr>
        <w:t xml:space="preserve"> </w:t>
      </w:r>
      <w:r>
        <w:rPr>
          <w:rFonts w:hint="eastAsia" w:ascii="宋体" w:hAnsi="宋体"/>
          <w:bCs/>
          <w:color w:val="auto"/>
          <w:szCs w:val="21"/>
          <w:u w:val="single"/>
          <w:lang w:eastAsia="zh-CN"/>
        </w:rPr>
        <w:t>（应当包括每一项技术和商务要求的履约情况，特别是落实政府采购扶持中小企业，支持绿色发展和乡村振兴等政策情况）</w:t>
      </w:r>
      <w:r>
        <w:rPr>
          <w:rFonts w:hint="eastAsia" w:ascii="宋体" w:hAnsi="宋体"/>
          <w:bCs/>
          <w:color w:val="auto"/>
          <w:szCs w:val="21"/>
          <w:u w:val="single"/>
        </w:rPr>
        <w:t xml:space="preserve">                                      </w:t>
      </w:r>
    </w:p>
    <w:p w14:paraId="118C511C">
      <w:pPr>
        <w:adjustRightInd w:val="0"/>
        <w:snapToGrid w:val="0"/>
        <w:spacing w:before="0" w:beforeLines="0" w:line="400" w:lineRule="exact"/>
        <w:ind w:firstLine="420" w:firstLineChars="200"/>
        <w:rPr>
          <w:rFonts w:hint="eastAsia" w:ascii="宋体" w:hAnsi="宋体"/>
          <w:bCs/>
          <w:color w:val="auto"/>
          <w:szCs w:val="21"/>
          <w:u w:val="single"/>
        </w:rPr>
      </w:pPr>
      <w:r>
        <w:rPr>
          <w:rFonts w:hint="eastAsia" w:ascii="宋体" w:hAnsi="宋体"/>
          <w:bCs/>
          <w:color w:val="auto"/>
          <w:szCs w:val="21"/>
        </w:rPr>
        <w:t>（6）履约验收标准：</w:t>
      </w:r>
      <w:r>
        <w:rPr>
          <w:rFonts w:hint="eastAsia" w:ascii="宋体" w:hAnsi="宋体"/>
          <w:bCs/>
          <w:color w:val="auto"/>
          <w:szCs w:val="21"/>
          <w:u w:val="single"/>
        </w:rPr>
        <w:t xml:space="preserve">                                         </w:t>
      </w:r>
    </w:p>
    <w:p w14:paraId="39259735">
      <w:pPr>
        <w:pStyle w:val="79"/>
        <w:spacing w:beforeLines="0"/>
        <w:rPr>
          <w:rFonts w:hint="eastAsia" w:ascii="宋体" w:hAnsi="宋体" w:eastAsia="宋体" w:cs="宋体"/>
          <w:color w:val="auto"/>
          <w:sz w:val="21"/>
          <w:lang w:eastAsia="zh-CN"/>
        </w:rPr>
      </w:pPr>
      <w:r>
        <w:rPr>
          <w:rFonts w:hint="eastAsia" w:ascii="宋体" w:hAnsi="宋体" w:eastAsia="宋体" w:cs="宋体"/>
          <w:bCs/>
          <w:color w:val="auto"/>
          <w:sz w:val="21"/>
          <w:szCs w:val="21"/>
          <w:u w:val="none"/>
          <w:lang w:eastAsia="zh-CN"/>
        </w:rPr>
        <w:t>（</w:t>
      </w:r>
      <w:r>
        <w:rPr>
          <w:rFonts w:hint="eastAsia" w:ascii="宋体" w:hAnsi="宋体" w:eastAsia="宋体" w:cs="宋体"/>
          <w:bCs/>
          <w:color w:val="auto"/>
          <w:sz w:val="21"/>
          <w:szCs w:val="21"/>
          <w:u w:val="none"/>
          <w:lang w:val="en-US" w:eastAsia="zh-CN"/>
        </w:rPr>
        <w:t>7</w:t>
      </w:r>
      <w:r>
        <w:rPr>
          <w:rFonts w:hint="eastAsia" w:ascii="宋体" w:hAnsi="宋体" w:eastAsia="宋体" w:cs="宋体"/>
          <w:bCs/>
          <w:color w:val="auto"/>
          <w:sz w:val="21"/>
          <w:szCs w:val="21"/>
          <w:u w:val="none"/>
          <w:lang w:eastAsia="zh-CN"/>
        </w:rPr>
        <w:t>）是否以采购活动中供应商提供的样品作为参考：</w:t>
      </w:r>
      <w:r>
        <w:rPr>
          <w:rFonts w:hint="eastAsia" w:ascii="宋体" w:hAnsi="宋体" w:eastAsia="宋体" w:cs="宋体"/>
          <w:color w:val="auto"/>
          <w:sz w:val="21"/>
          <w:szCs w:val="21"/>
        </w:rPr>
        <w:sym w:font="Wingdings" w:char="00A8"/>
      </w:r>
      <w:r>
        <w:rPr>
          <w:rFonts w:hint="eastAsia" w:ascii="宋体" w:hAnsi="宋体" w:eastAsia="宋体" w:cs="宋体"/>
          <w:bCs/>
          <w:color w:val="auto"/>
          <w:sz w:val="21"/>
          <w:szCs w:val="21"/>
        </w:rPr>
        <w:t xml:space="preserve">是  </w:t>
      </w:r>
      <w:r>
        <w:rPr>
          <w:rFonts w:hint="eastAsia" w:ascii="宋体" w:hAnsi="宋体" w:eastAsia="宋体" w:cs="宋体"/>
          <w:color w:val="auto"/>
          <w:sz w:val="21"/>
          <w:szCs w:val="21"/>
        </w:rPr>
        <w:sym w:font="Wingdings" w:char="00A8"/>
      </w:r>
      <w:r>
        <w:rPr>
          <w:rFonts w:hint="eastAsia" w:ascii="宋体" w:hAnsi="宋体" w:eastAsia="宋体" w:cs="宋体"/>
          <w:bCs/>
          <w:color w:val="auto"/>
          <w:sz w:val="21"/>
          <w:szCs w:val="21"/>
        </w:rPr>
        <w:t>否</w:t>
      </w:r>
    </w:p>
    <w:p w14:paraId="19ACB6AE">
      <w:pPr>
        <w:adjustRightInd w:val="0"/>
        <w:snapToGrid w:val="0"/>
        <w:spacing w:before="0" w:beforeLines="0" w:line="400" w:lineRule="exact"/>
        <w:ind w:firstLine="420" w:firstLineChars="200"/>
        <w:rPr>
          <w:rFonts w:hint="eastAsia" w:ascii="宋体" w:hAnsi="宋体" w:cs="宋体"/>
          <w:bCs/>
          <w:color w:val="auto"/>
          <w:szCs w:val="21"/>
          <w:u w:val="single"/>
        </w:rPr>
      </w:pPr>
      <w:r>
        <w:rPr>
          <w:rFonts w:hint="eastAsia" w:ascii="宋体" w:hAnsi="宋体" w:cs="宋体"/>
          <w:bCs/>
          <w:color w:val="auto"/>
          <w:szCs w:val="21"/>
        </w:rPr>
        <w:t>（8）履约验收其他事项：</w:t>
      </w:r>
      <w:r>
        <w:rPr>
          <w:rFonts w:hint="eastAsia" w:ascii="宋体" w:hAnsi="宋体" w:cs="宋体"/>
          <w:bCs/>
          <w:color w:val="auto"/>
          <w:szCs w:val="21"/>
          <w:u w:val="single"/>
        </w:rPr>
        <w:t xml:space="preserve">      </w:t>
      </w:r>
      <w:r>
        <w:rPr>
          <w:rFonts w:hint="eastAsia" w:ascii="宋体" w:hAnsi="宋体" w:cs="宋体"/>
          <w:bCs/>
          <w:i w:val="0"/>
          <w:iCs w:val="0"/>
          <w:color w:val="auto"/>
          <w:szCs w:val="21"/>
          <w:u w:val="single"/>
        </w:rPr>
        <w:t>（产权过户登记等）</w:t>
      </w:r>
      <w:r>
        <w:rPr>
          <w:rFonts w:hint="eastAsia" w:ascii="宋体" w:hAnsi="宋体" w:cs="宋体"/>
          <w:bCs/>
          <w:color w:val="auto"/>
          <w:szCs w:val="21"/>
          <w:u w:val="single"/>
        </w:rPr>
        <w:t xml:space="preserve">          </w:t>
      </w:r>
    </w:p>
    <w:p w14:paraId="1D2AA955">
      <w:pPr>
        <w:numPr>
          <w:ilvl w:val="0"/>
          <w:numId w:val="4"/>
        </w:numPr>
        <w:adjustRightInd w:val="0"/>
        <w:snapToGrid w:val="0"/>
        <w:spacing w:before="0" w:beforeLines="0" w:line="400" w:lineRule="exact"/>
        <w:ind w:firstLine="422" w:firstLineChars="200"/>
        <w:rPr>
          <w:rFonts w:hint="eastAsia" w:ascii="宋体" w:hAnsi="宋体"/>
          <w:b/>
          <w:color w:val="auto"/>
          <w:szCs w:val="21"/>
        </w:rPr>
      </w:pPr>
      <w:r>
        <w:rPr>
          <w:rFonts w:hint="eastAsia" w:ascii="宋体" w:hAnsi="宋体"/>
          <w:b/>
          <w:color w:val="auto"/>
          <w:szCs w:val="21"/>
        </w:rPr>
        <w:t>组成合同的文件</w:t>
      </w:r>
    </w:p>
    <w:p w14:paraId="757826C9">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本协议书与下列文件一起构成合同文件，如下述文件之间有任何抵触、矛盾或歧义，应按以下顺序解释：</w:t>
      </w:r>
    </w:p>
    <w:p w14:paraId="2ABD0BC4">
      <w:pPr>
        <w:adjustRightInd w:val="0"/>
        <w:snapToGrid w:val="0"/>
        <w:spacing w:before="0" w:beforeLines="0" w:line="400" w:lineRule="exact"/>
        <w:ind w:firstLine="420" w:firstLineChars="200"/>
        <w:rPr>
          <w:rFonts w:hint="eastAsia" w:ascii="宋体" w:hAnsi="宋体"/>
          <w:color w:val="auto"/>
          <w:szCs w:val="21"/>
          <w:lang w:eastAsia="zh-CN"/>
        </w:rPr>
      </w:pPr>
      <w:r>
        <w:rPr>
          <w:rFonts w:hint="eastAsia" w:ascii="宋体" w:hAnsi="宋体"/>
          <w:color w:val="auto"/>
          <w:szCs w:val="21"/>
        </w:rPr>
        <w:t>（1）</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p>
    <w:p w14:paraId="3B106629">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2</w:t>
      </w:r>
      <w:r>
        <w:rPr>
          <w:rFonts w:hint="eastAsia" w:ascii="宋体" w:hAnsi="宋体"/>
          <w:color w:val="auto"/>
          <w:szCs w:val="21"/>
        </w:rPr>
        <w:t>）政府采购合同专用条款</w:t>
      </w:r>
    </w:p>
    <w:p w14:paraId="15A9D519">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3</w:t>
      </w:r>
      <w:r>
        <w:rPr>
          <w:rFonts w:hint="eastAsia" w:ascii="宋体" w:hAnsi="宋体"/>
          <w:color w:val="auto"/>
          <w:szCs w:val="21"/>
        </w:rPr>
        <w:t>）政府采购合同通用条款</w:t>
      </w:r>
    </w:p>
    <w:p w14:paraId="5408DF07">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4</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p>
    <w:p w14:paraId="7607BB02">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5</w:t>
      </w:r>
      <w:r>
        <w:rPr>
          <w:rFonts w:hint="eastAsia" w:ascii="宋体" w:hAnsi="宋体"/>
          <w:color w:val="auto"/>
          <w:szCs w:val="21"/>
        </w:rPr>
        <w:t>）投标（响应）文件</w:t>
      </w:r>
    </w:p>
    <w:p w14:paraId="1B36CC41">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（6）采购文件</w:t>
      </w:r>
    </w:p>
    <w:p w14:paraId="5BDD0938">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（7）有关技术文件，图纸</w:t>
      </w:r>
    </w:p>
    <w:p w14:paraId="1E146437">
      <w:pPr>
        <w:pStyle w:val="79"/>
        <w:spacing w:beforeLines="0"/>
        <w:rPr>
          <w:rFonts w:hint="eastAsia" w:ascii="宋体" w:hAnsi="宋体" w:eastAsia="宋体" w:cs="宋体"/>
          <w:color w:val="auto"/>
          <w:kern w:val="2"/>
          <w:sz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lang w:eastAsia="zh-CN"/>
        </w:rPr>
        <w:t>）</w:t>
      </w:r>
      <w:r>
        <w:rPr>
          <w:rFonts w:hint="eastAsia" w:ascii="宋体" w:hAnsi="宋体" w:eastAsia="宋体" w:cs="宋体"/>
          <w:bCs w:val="0"/>
          <w:color w:val="auto"/>
          <w:kern w:val="2"/>
          <w:sz w:val="21"/>
          <w:szCs w:val="21"/>
          <w:highlight w:val="none"/>
          <w:lang w:eastAsia="zh-CN"/>
        </w:rPr>
        <w:t>国家法律、行政法规和规章制度规定或合同约定的作为合同组成部分的其他文件</w:t>
      </w:r>
    </w:p>
    <w:p w14:paraId="7236D38B">
      <w:pPr>
        <w:numPr>
          <w:ilvl w:val="0"/>
          <w:numId w:val="4"/>
        </w:numPr>
        <w:adjustRightInd w:val="0"/>
        <w:snapToGrid w:val="0"/>
        <w:spacing w:before="0" w:beforeLines="0" w:line="400" w:lineRule="exact"/>
        <w:ind w:firstLine="422" w:firstLineChars="200"/>
        <w:rPr>
          <w:rFonts w:hint="eastAsia" w:ascii="宋体" w:hAnsi="宋体"/>
          <w:b/>
          <w:color w:val="auto"/>
          <w:szCs w:val="21"/>
        </w:rPr>
      </w:pPr>
      <w:r>
        <w:rPr>
          <w:rFonts w:hint="eastAsia" w:ascii="宋体" w:hAnsi="宋体"/>
          <w:b/>
          <w:color w:val="auto"/>
          <w:szCs w:val="21"/>
        </w:rPr>
        <w:t>合同生效</w:t>
      </w:r>
    </w:p>
    <w:p w14:paraId="790B1F69">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本合同自</w:t>
      </w:r>
      <w:r>
        <w:rPr>
          <w:rFonts w:hint="eastAsia" w:ascii="宋体" w:hAnsi="宋体"/>
          <w:color w:val="auto"/>
          <w:szCs w:val="21"/>
          <w:u w:val="single"/>
        </w:rPr>
        <w:t xml:space="preserve">                             </w:t>
      </w:r>
      <w:r>
        <w:rPr>
          <w:rFonts w:hint="eastAsia" w:ascii="宋体" w:hAnsi="宋体"/>
          <w:color w:val="auto"/>
          <w:szCs w:val="21"/>
        </w:rPr>
        <w:t>生效。</w:t>
      </w:r>
    </w:p>
    <w:p w14:paraId="39EB957A">
      <w:pPr>
        <w:numPr>
          <w:ilvl w:val="0"/>
          <w:numId w:val="4"/>
        </w:numPr>
        <w:adjustRightInd w:val="0"/>
        <w:snapToGrid w:val="0"/>
        <w:spacing w:before="0" w:beforeLines="0" w:line="400" w:lineRule="exact"/>
        <w:ind w:firstLine="422" w:firstLineChars="200"/>
        <w:rPr>
          <w:rFonts w:hint="eastAsia" w:ascii="宋体" w:hAnsi="宋体"/>
          <w:b/>
          <w:color w:val="auto"/>
          <w:szCs w:val="21"/>
        </w:rPr>
      </w:pPr>
      <w:r>
        <w:rPr>
          <w:rFonts w:hint="eastAsia" w:ascii="宋体" w:hAnsi="宋体"/>
          <w:b/>
          <w:color w:val="auto"/>
          <w:szCs w:val="21"/>
        </w:rPr>
        <w:t>合同份数</w:t>
      </w:r>
    </w:p>
    <w:p w14:paraId="61F0D81F">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本合同一式</w:t>
      </w:r>
      <w:r>
        <w:rPr>
          <w:rFonts w:hint="eastAsia" w:ascii="宋体" w:hAnsi="宋体"/>
          <w:color w:val="auto"/>
          <w:szCs w:val="21"/>
          <w:u w:val="single"/>
        </w:rPr>
        <w:t xml:space="preserve">    </w:t>
      </w:r>
      <w:r>
        <w:rPr>
          <w:rFonts w:hint="eastAsia" w:ascii="宋体" w:hAnsi="宋体"/>
          <w:color w:val="auto"/>
          <w:szCs w:val="21"/>
        </w:rPr>
        <w:t>份，</w:t>
      </w:r>
      <w:r>
        <w:rPr>
          <w:rFonts w:hint="eastAsia" w:ascii="宋体" w:hAnsi="宋体"/>
          <w:color w:val="auto"/>
          <w:szCs w:val="21"/>
          <w:lang w:eastAsia="zh-CN"/>
        </w:rPr>
        <w:t>甲方</w:t>
      </w:r>
      <w:r>
        <w:rPr>
          <w:rFonts w:hint="eastAsia" w:ascii="宋体" w:hAnsi="宋体"/>
          <w:color w:val="auto"/>
          <w:szCs w:val="21"/>
        </w:rPr>
        <w:t>执</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r>
        <w:rPr>
          <w:rFonts w:hint="eastAsia" w:ascii="宋体" w:hAnsi="宋体"/>
          <w:color w:val="auto"/>
          <w:szCs w:val="21"/>
        </w:rPr>
        <w:t>份，</w:t>
      </w:r>
      <w:r>
        <w:rPr>
          <w:rFonts w:hint="eastAsia" w:ascii="宋体" w:hAnsi="宋体"/>
          <w:color w:val="auto"/>
          <w:szCs w:val="21"/>
          <w:lang w:eastAsia="zh-CN"/>
        </w:rPr>
        <w:t>乙方</w:t>
      </w:r>
      <w:r>
        <w:rPr>
          <w:rFonts w:hint="eastAsia" w:ascii="宋体" w:hAnsi="宋体"/>
          <w:color w:val="auto"/>
          <w:szCs w:val="21"/>
        </w:rPr>
        <w:t>执</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r>
        <w:rPr>
          <w:rFonts w:hint="eastAsia" w:ascii="宋体" w:hAnsi="宋体"/>
          <w:color w:val="auto"/>
          <w:szCs w:val="21"/>
        </w:rPr>
        <w:t>份，均具有同等法律效力。</w:t>
      </w:r>
    </w:p>
    <w:p w14:paraId="370B7341">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合同订立时间：</w:t>
      </w:r>
      <w:r>
        <w:rPr>
          <w:rFonts w:hint="eastAsia" w:ascii="宋体" w:hAnsi="宋体"/>
          <w:color w:val="auto"/>
          <w:szCs w:val="21"/>
          <w:u w:val="single"/>
        </w:rPr>
        <w:t xml:space="preserve">         </w:t>
      </w:r>
      <w:r>
        <w:rPr>
          <w:rFonts w:hint="eastAsia" w:ascii="宋体" w:hAnsi="宋体"/>
          <w:color w:val="auto"/>
          <w:szCs w:val="21"/>
        </w:rPr>
        <w:t>年</w:t>
      </w:r>
      <w:r>
        <w:rPr>
          <w:rFonts w:hint="eastAsia" w:ascii="宋体" w:hAnsi="宋体"/>
          <w:color w:val="auto"/>
          <w:szCs w:val="21"/>
          <w:u w:val="single"/>
        </w:rPr>
        <w:t xml:space="preserve">      </w:t>
      </w:r>
      <w:r>
        <w:rPr>
          <w:rFonts w:hint="eastAsia" w:ascii="宋体" w:hAnsi="宋体"/>
          <w:color w:val="auto"/>
          <w:szCs w:val="21"/>
        </w:rPr>
        <w:t>月</w:t>
      </w:r>
      <w:r>
        <w:rPr>
          <w:rFonts w:hint="eastAsia" w:ascii="宋体" w:hAnsi="宋体"/>
          <w:color w:val="auto"/>
          <w:szCs w:val="21"/>
          <w:u w:val="single"/>
        </w:rPr>
        <w:t xml:space="preserve">      </w:t>
      </w:r>
      <w:r>
        <w:rPr>
          <w:rFonts w:hint="eastAsia" w:ascii="宋体" w:hAnsi="宋体"/>
          <w:color w:val="auto"/>
          <w:szCs w:val="21"/>
        </w:rPr>
        <w:t>日</w:t>
      </w:r>
    </w:p>
    <w:p w14:paraId="67218589">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合同订立地点：</w:t>
      </w:r>
      <w:r>
        <w:rPr>
          <w:rFonts w:hint="eastAsia" w:ascii="宋体" w:hAnsi="宋体"/>
          <w:color w:val="auto"/>
          <w:szCs w:val="21"/>
          <w:u w:val="single"/>
        </w:rPr>
        <w:t xml:space="preserve">                           </w:t>
      </w:r>
    </w:p>
    <w:p w14:paraId="47ACC368">
      <w:pPr>
        <w:adjustRightInd w:val="0"/>
        <w:snapToGrid w:val="0"/>
        <w:spacing w:before="0" w:beforeLines="0" w:line="400" w:lineRule="exact"/>
        <w:ind w:firstLine="420" w:firstLineChars="200"/>
        <w:rPr>
          <w:color w:val="auto"/>
        </w:rPr>
      </w:pPr>
      <w:r>
        <w:rPr>
          <w:rFonts w:hint="eastAsia" w:ascii="宋体" w:hAnsi="宋体"/>
          <w:color w:val="auto"/>
          <w:szCs w:val="21"/>
        </w:rPr>
        <w:t>附件：具体标</w:t>
      </w:r>
      <w:r>
        <w:rPr>
          <w:rFonts w:hint="eastAsia" w:ascii="宋体" w:hAnsi="宋体"/>
          <w:color w:val="auto"/>
          <w:szCs w:val="21"/>
          <w:lang w:eastAsia="zh-CN"/>
        </w:rPr>
        <w:t>的及其</w:t>
      </w:r>
      <w:r>
        <w:rPr>
          <w:rFonts w:hint="eastAsia" w:ascii="宋体" w:hAnsi="宋体"/>
          <w:color w:val="auto"/>
          <w:szCs w:val="21"/>
          <w:highlight w:val="none"/>
          <w:u w:val="none"/>
          <w:lang w:val="en-US" w:eastAsia="zh-CN"/>
        </w:rPr>
        <w:t>技术要求和商务要求</w:t>
      </w:r>
      <w:r>
        <w:rPr>
          <w:rFonts w:hint="eastAsia" w:ascii="宋体" w:hAnsi="宋体"/>
          <w:color w:val="auto"/>
          <w:szCs w:val="21"/>
        </w:rPr>
        <w:t>、联合协议、分包</w:t>
      </w:r>
      <w:r>
        <w:rPr>
          <w:rFonts w:hint="eastAsia" w:ascii="宋体" w:hAnsi="宋体"/>
          <w:color w:val="auto"/>
          <w:szCs w:val="21"/>
          <w:lang w:eastAsia="zh-CN"/>
        </w:rPr>
        <w:t>意向</w:t>
      </w:r>
      <w:r>
        <w:rPr>
          <w:rFonts w:hint="eastAsia" w:ascii="宋体" w:hAnsi="宋体"/>
          <w:color w:val="auto"/>
          <w:szCs w:val="21"/>
        </w:rPr>
        <w:t>协议等。</w:t>
      </w:r>
    </w:p>
    <w:p w14:paraId="7F3CD145">
      <w:pPr>
        <w:pStyle w:val="791"/>
        <w:spacing w:beforeLines="0" w:line="400" w:lineRule="exact"/>
        <w:rPr>
          <w:color w:val="auto"/>
        </w:rPr>
      </w:pPr>
    </w:p>
    <w:p w14:paraId="41A5A2B5">
      <w:pPr>
        <w:pStyle w:val="3"/>
        <w:spacing w:beforeLines="0" w:line="400" w:lineRule="exact"/>
        <w:rPr>
          <w:rFonts w:hint="eastAsia" w:ascii="宋体" w:hAnsi="宋体" w:cs="Times New Roman"/>
          <w:b w:val="0"/>
          <w:bCs w:val="0"/>
          <w:color w:val="auto"/>
          <w:sz w:val="21"/>
          <w:szCs w:val="21"/>
          <w:highlight w:val="none"/>
          <w:lang w:val="en-US" w:eastAsia="zh-CN"/>
        </w:rPr>
      </w:pPr>
      <w:r>
        <w:rPr>
          <w:rFonts w:hint="default"/>
          <w:color w:val="auto"/>
          <w:lang w:val="en"/>
        </w:rPr>
        <w:t xml:space="preserve">   </w:t>
      </w:r>
    </w:p>
    <w:p w14:paraId="0B28AB56">
      <w:pPr>
        <w:rPr>
          <w:rFonts w:hint="eastAsia"/>
          <w:color w:val="auto"/>
        </w:rPr>
      </w:pPr>
      <w:r>
        <w:rPr>
          <w:rFonts w:hint="eastAsia"/>
          <w:color w:val="auto"/>
        </w:rPr>
        <w:br w:type="page"/>
      </w:r>
    </w:p>
    <w:p w14:paraId="47FFBD12">
      <w:pPr>
        <w:pStyle w:val="791"/>
        <w:rPr>
          <w:rFonts w:hint="eastAsia"/>
          <w:color w:val="auto"/>
        </w:rPr>
      </w:pPr>
    </w:p>
    <w:tbl>
      <w:tblPr>
        <w:tblStyle w:val="62"/>
        <w:tblW w:w="8398"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891"/>
        <w:gridCol w:w="2412"/>
        <w:gridCol w:w="1979"/>
        <w:gridCol w:w="2116"/>
      </w:tblGrid>
      <w:tr w14:paraId="4E5CD9C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4303" w:type="dxa"/>
            <w:gridSpan w:val="2"/>
            <w:tcBorders>
              <w:bottom w:val="single" w:color="auto" w:sz="2" w:space="0"/>
              <w:right w:val="single" w:color="auto" w:sz="2" w:space="0"/>
            </w:tcBorders>
            <w:vAlign w:val="center"/>
          </w:tcPr>
          <w:p w14:paraId="19DC93C7">
            <w:pPr>
              <w:adjustRightInd w:val="0"/>
              <w:snapToGrid w:val="0"/>
              <w:spacing w:line="300" w:lineRule="exact"/>
              <w:jc w:val="center"/>
              <w:rPr>
                <w:color w:val="auto"/>
              </w:rPr>
            </w:pPr>
            <w:r>
              <w:rPr>
                <w:color w:val="auto"/>
                <w:szCs w:val="21"/>
              </w:rPr>
              <w:t>甲方</w:t>
            </w:r>
            <w:r>
              <w:rPr>
                <w:rFonts w:hint="eastAsia"/>
                <w:color w:val="auto"/>
                <w:szCs w:val="21"/>
              </w:rPr>
              <w:t>（采购人</w:t>
            </w:r>
            <w:r>
              <w:rPr>
                <w:rFonts w:hint="eastAsia" w:ascii="宋体" w:hAnsi="宋体"/>
                <w:color w:val="auto"/>
                <w:szCs w:val="21"/>
                <w:lang w:eastAsia="zh-CN"/>
              </w:rPr>
              <w:t>、受采购人委托签订合同的单位</w:t>
            </w:r>
            <w:r>
              <w:rPr>
                <w:rFonts w:hint="eastAsia" w:ascii="宋体" w:hAnsi="宋体"/>
                <w:color w:val="auto"/>
                <w:szCs w:val="21"/>
              </w:rPr>
              <w:t>或</w:t>
            </w:r>
            <w:r>
              <w:rPr>
                <w:rFonts w:hint="eastAsia"/>
                <w:color w:val="auto"/>
                <w:szCs w:val="21"/>
              </w:rPr>
              <w:t>采购文件约定的合同甲方）</w:t>
            </w:r>
          </w:p>
        </w:tc>
        <w:tc>
          <w:tcPr>
            <w:tcW w:w="4095" w:type="dxa"/>
            <w:gridSpan w:val="2"/>
            <w:tcBorders>
              <w:left w:val="single" w:color="auto" w:sz="2" w:space="0"/>
              <w:bottom w:val="single" w:color="auto" w:sz="2" w:space="0"/>
            </w:tcBorders>
            <w:vAlign w:val="center"/>
          </w:tcPr>
          <w:p w14:paraId="032F9DB3">
            <w:pPr>
              <w:adjustRightInd w:val="0"/>
              <w:snapToGrid w:val="0"/>
              <w:spacing w:line="300" w:lineRule="exact"/>
              <w:jc w:val="center"/>
              <w:rPr>
                <w:color w:val="auto"/>
              </w:rPr>
            </w:pPr>
            <w:r>
              <w:rPr>
                <w:color w:val="auto"/>
                <w:szCs w:val="21"/>
              </w:rPr>
              <w:t>乙方</w:t>
            </w:r>
            <w:r>
              <w:rPr>
                <w:rFonts w:hint="eastAsia"/>
                <w:color w:val="auto"/>
                <w:szCs w:val="21"/>
              </w:rPr>
              <w:t>（供应商）</w:t>
            </w:r>
          </w:p>
        </w:tc>
      </w:tr>
      <w:tr w14:paraId="36B0159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891" w:type="dxa"/>
            <w:tcBorders>
              <w:top w:val="single" w:color="auto" w:sz="2" w:space="0"/>
              <w:bottom w:val="single" w:color="auto" w:sz="2" w:space="0"/>
              <w:right w:val="single" w:color="auto" w:sz="2" w:space="0"/>
            </w:tcBorders>
            <w:vAlign w:val="center"/>
          </w:tcPr>
          <w:p w14:paraId="385AC57E">
            <w:pPr>
              <w:adjustRightInd w:val="0"/>
              <w:snapToGrid w:val="0"/>
              <w:spacing w:line="300" w:lineRule="exact"/>
              <w:jc w:val="center"/>
              <w:rPr>
                <w:color w:val="auto"/>
                <w:szCs w:val="21"/>
              </w:rPr>
            </w:pPr>
            <w:r>
              <w:rPr>
                <w:color w:val="auto"/>
                <w:szCs w:val="21"/>
              </w:rPr>
              <w:t>单位名称</w:t>
            </w:r>
            <w:r>
              <w:rPr>
                <w:rFonts w:hint="eastAsia"/>
                <w:color w:val="auto"/>
                <w:szCs w:val="21"/>
              </w:rPr>
              <w:t>（公章</w:t>
            </w:r>
            <w:r>
              <w:rPr>
                <w:rFonts w:hint="eastAsia"/>
                <w:color w:val="auto"/>
                <w:szCs w:val="21"/>
                <w:lang w:eastAsia="zh-CN"/>
              </w:rPr>
              <w:t>或合同章</w:t>
            </w:r>
            <w:r>
              <w:rPr>
                <w:rFonts w:hint="eastAsia"/>
                <w:color w:val="auto"/>
                <w:szCs w:val="21"/>
              </w:rPr>
              <w:t>）</w:t>
            </w:r>
          </w:p>
        </w:tc>
        <w:tc>
          <w:tcPr>
            <w:tcW w:w="2412" w:type="dxa"/>
            <w:tcBorders>
              <w:top w:val="single" w:color="auto" w:sz="2" w:space="0"/>
              <w:left w:val="single" w:color="auto" w:sz="2" w:space="0"/>
              <w:bottom w:val="single" w:color="auto" w:sz="2" w:space="0"/>
              <w:right w:val="single" w:color="auto" w:sz="2" w:space="0"/>
            </w:tcBorders>
            <w:vAlign w:val="center"/>
          </w:tcPr>
          <w:p w14:paraId="667CBED0">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644EA3E5">
            <w:pPr>
              <w:adjustRightInd w:val="0"/>
              <w:snapToGrid w:val="0"/>
              <w:spacing w:line="300" w:lineRule="exact"/>
              <w:jc w:val="center"/>
              <w:rPr>
                <w:color w:val="auto"/>
                <w:szCs w:val="21"/>
              </w:rPr>
            </w:pPr>
            <w:r>
              <w:rPr>
                <w:color w:val="auto"/>
                <w:szCs w:val="21"/>
              </w:rPr>
              <w:t>单位名称</w:t>
            </w:r>
            <w:r>
              <w:rPr>
                <w:rFonts w:hint="eastAsia"/>
                <w:color w:val="auto"/>
                <w:szCs w:val="21"/>
              </w:rPr>
              <w:t>（公章</w:t>
            </w:r>
            <w:r>
              <w:rPr>
                <w:rFonts w:hint="eastAsia"/>
                <w:color w:val="auto"/>
                <w:szCs w:val="21"/>
                <w:lang w:eastAsia="zh-CN"/>
              </w:rPr>
              <w:t>或合同章</w:t>
            </w:r>
            <w:r>
              <w:rPr>
                <w:rFonts w:hint="eastAsia"/>
                <w:color w:val="auto"/>
                <w:szCs w:val="21"/>
              </w:rPr>
              <w:t>）</w:t>
            </w:r>
          </w:p>
        </w:tc>
        <w:tc>
          <w:tcPr>
            <w:tcW w:w="2116" w:type="dxa"/>
            <w:tcBorders>
              <w:top w:val="single" w:color="auto" w:sz="2" w:space="0"/>
              <w:left w:val="single" w:color="auto" w:sz="2" w:space="0"/>
              <w:bottom w:val="single" w:color="auto" w:sz="2" w:space="0"/>
            </w:tcBorders>
            <w:vAlign w:val="center"/>
          </w:tcPr>
          <w:p w14:paraId="1B6E654F">
            <w:pPr>
              <w:adjustRightInd w:val="0"/>
              <w:snapToGrid w:val="0"/>
              <w:spacing w:line="300" w:lineRule="exact"/>
              <w:jc w:val="center"/>
              <w:rPr>
                <w:color w:val="auto"/>
                <w:spacing w:val="20"/>
                <w:szCs w:val="21"/>
              </w:rPr>
            </w:pPr>
          </w:p>
        </w:tc>
      </w:tr>
      <w:tr w14:paraId="5DB91F2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891" w:type="dxa"/>
            <w:vMerge w:val="restart"/>
            <w:tcBorders>
              <w:top w:val="single" w:color="auto" w:sz="2" w:space="0"/>
              <w:right w:val="single" w:color="auto" w:sz="2" w:space="0"/>
            </w:tcBorders>
            <w:vAlign w:val="center"/>
          </w:tcPr>
          <w:p w14:paraId="6AE51F66">
            <w:pPr>
              <w:adjustRightInd w:val="0"/>
              <w:snapToGrid w:val="0"/>
              <w:spacing w:line="300" w:lineRule="exact"/>
              <w:jc w:val="center"/>
              <w:rPr>
                <w:color w:val="auto"/>
                <w:szCs w:val="21"/>
              </w:rPr>
            </w:pPr>
            <w:r>
              <w:rPr>
                <w:color w:val="auto"/>
                <w:szCs w:val="21"/>
              </w:rPr>
              <w:t>法定代表人</w:t>
            </w:r>
          </w:p>
          <w:p w14:paraId="103E2E52">
            <w:pPr>
              <w:adjustRightInd w:val="0"/>
              <w:snapToGrid w:val="0"/>
              <w:spacing w:line="300" w:lineRule="exact"/>
              <w:ind w:firstLine="100" w:firstLineChars="48"/>
              <w:jc w:val="center"/>
              <w:rPr>
                <w:color w:val="auto"/>
                <w:szCs w:val="21"/>
              </w:rPr>
            </w:pPr>
            <w:r>
              <w:rPr>
                <w:rFonts w:hint="eastAsia"/>
                <w:color w:val="auto"/>
                <w:szCs w:val="21"/>
              </w:rPr>
              <w:t>或其</w:t>
            </w:r>
            <w:r>
              <w:rPr>
                <w:color w:val="auto"/>
                <w:szCs w:val="21"/>
              </w:rPr>
              <w:t>委托代理人</w:t>
            </w:r>
            <w:r>
              <w:rPr>
                <w:rFonts w:hint="eastAsia"/>
                <w:color w:val="auto"/>
                <w:szCs w:val="21"/>
              </w:rPr>
              <w:t>（签章）</w:t>
            </w:r>
          </w:p>
        </w:tc>
        <w:tc>
          <w:tcPr>
            <w:tcW w:w="2412" w:type="dxa"/>
            <w:vMerge w:val="restart"/>
            <w:tcBorders>
              <w:top w:val="single" w:color="auto" w:sz="2" w:space="0"/>
              <w:left w:val="single" w:color="auto" w:sz="2" w:space="0"/>
              <w:right w:val="single" w:color="auto" w:sz="2" w:space="0"/>
            </w:tcBorders>
            <w:vAlign w:val="center"/>
          </w:tcPr>
          <w:p w14:paraId="459FB9B1">
            <w:pPr>
              <w:adjustRightInd w:val="0"/>
              <w:snapToGrid w:val="0"/>
              <w:spacing w:line="300" w:lineRule="exact"/>
              <w:jc w:val="center"/>
              <w:rPr>
                <w:color w:val="auto"/>
                <w:szCs w:val="21"/>
              </w:rPr>
            </w:pPr>
          </w:p>
        </w:tc>
        <w:tc>
          <w:tcPr>
            <w:tcW w:w="1979" w:type="dxa"/>
            <w:tcBorders>
              <w:top w:val="single" w:color="auto" w:sz="2" w:space="0"/>
              <w:left w:val="single" w:color="auto" w:sz="2" w:space="0"/>
              <w:right w:val="single" w:color="auto" w:sz="2" w:space="0"/>
            </w:tcBorders>
            <w:vAlign w:val="center"/>
          </w:tcPr>
          <w:p w14:paraId="628C744E">
            <w:pPr>
              <w:adjustRightInd w:val="0"/>
              <w:snapToGrid w:val="0"/>
              <w:spacing w:line="300" w:lineRule="exact"/>
              <w:jc w:val="center"/>
              <w:rPr>
                <w:color w:val="auto"/>
                <w:szCs w:val="21"/>
              </w:rPr>
            </w:pPr>
            <w:r>
              <w:rPr>
                <w:color w:val="auto"/>
                <w:szCs w:val="21"/>
              </w:rPr>
              <w:t>法定代表人</w:t>
            </w:r>
          </w:p>
          <w:p w14:paraId="6A0826CC">
            <w:pPr>
              <w:adjustRightInd w:val="0"/>
              <w:snapToGrid w:val="0"/>
              <w:spacing w:line="300" w:lineRule="exact"/>
              <w:jc w:val="center"/>
              <w:rPr>
                <w:color w:val="auto"/>
                <w:szCs w:val="21"/>
              </w:rPr>
            </w:pPr>
            <w:r>
              <w:rPr>
                <w:rFonts w:hint="eastAsia"/>
                <w:color w:val="auto"/>
                <w:szCs w:val="21"/>
              </w:rPr>
              <w:t>或其</w:t>
            </w:r>
            <w:r>
              <w:rPr>
                <w:color w:val="auto"/>
                <w:szCs w:val="21"/>
              </w:rPr>
              <w:t>委托代理人</w:t>
            </w:r>
            <w:r>
              <w:rPr>
                <w:rFonts w:hint="eastAsia"/>
                <w:color w:val="auto"/>
                <w:szCs w:val="21"/>
              </w:rPr>
              <w:t>（签章）</w:t>
            </w:r>
          </w:p>
        </w:tc>
        <w:tc>
          <w:tcPr>
            <w:tcW w:w="2116" w:type="dxa"/>
            <w:tcBorders>
              <w:top w:val="single" w:color="auto" w:sz="2" w:space="0"/>
              <w:left w:val="single" w:color="auto" w:sz="2" w:space="0"/>
              <w:bottom w:val="single" w:color="auto" w:sz="2" w:space="0"/>
            </w:tcBorders>
            <w:vAlign w:val="center"/>
          </w:tcPr>
          <w:p w14:paraId="11A005B5">
            <w:pPr>
              <w:adjustRightInd w:val="0"/>
              <w:snapToGrid w:val="0"/>
              <w:spacing w:line="300" w:lineRule="exact"/>
              <w:jc w:val="center"/>
              <w:rPr>
                <w:color w:val="auto"/>
                <w:szCs w:val="21"/>
              </w:rPr>
            </w:pPr>
          </w:p>
        </w:tc>
      </w:tr>
      <w:tr w14:paraId="4214D5C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vMerge w:val="continue"/>
            <w:tcBorders>
              <w:bottom w:val="single" w:color="auto" w:sz="2" w:space="0"/>
              <w:right w:val="single" w:color="auto" w:sz="2" w:space="0"/>
            </w:tcBorders>
            <w:vAlign w:val="center"/>
          </w:tcPr>
          <w:p w14:paraId="0C3C28E2">
            <w:pPr>
              <w:adjustRightInd w:val="0"/>
              <w:snapToGrid w:val="0"/>
              <w:spacing w:line="300" w:lineRule="exact"/>
              <w:jc w:val="center"/>
              <w:rPr>
                <w:color w:val="auto"/>
                <w:szCs w:val="21"/>
              </w:rPr>
            </w:pPr>
          </w:p>
        </w:tc>
        <w:tc>
          <w:tcPr>
            <w:tcW w:w="2412" w:type="dxa"/>
            <w:vMerge w:val="continue"/>
            <w:tcBorders>
              <w:left w:val="single" w:color="auto" w:sz="2" w:space="0"/>
              <w:bottom w:val="single" w:color="auto" w:sz="2" w:space="0"/>
              <w:right w:val="single" w:color="auto" w:sz="2" w:space="0"/>
            </w:tcBorders>
            <w:vAlign w:val="center"/>
          </w:tcPr>
          <w:p w14:paraId="003F3779">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420BF1E1">
            <w:pPr>
              <w:adjustRightInd w:val="0"/>
              <w:snapToGrid w:val="0"/>
              <w:spacing w:line="300" w:lineRule="exact"/>
              <w:jc w:val="center"/>
              <w:rPr>
                <w:rFonts w:hint="eastAsia" w:eastAsia="宋体"/>
                <w:color w:val="auto"/>
                <w:szCs w:val="21"/>
                <w:lang w:eastAsia="zh-CN"/>
              </w:rPr>
            </w:pPr>
            <w:r>
              <w:rPr>
                <w:rFonts w:hint="eastAsia"/>
                <w:color w:val="auto"/>
                <w:szCs w:val="21"/>
                <w:lang w:eastAsia="zh-CN"/>
              </w:rPr>
              <w:t>拥有者性别</w:t>
            </w:r>
          </w:p>
        </w:tc>
        <w:tc>
          <w:tcPr>
            <w:tcW w:w="2116" w:type="dxa"/>
            <w:tcBorders>
              <w:top w:val="single" w:color="auto" w:sz="2" w:space="0"/>
              <w:left w:val="single" w:color="auto" w:sz="2" w:space="0"/>
              <w:bottom w:val="single" w:color="auto" w:sz="2" w:space="0"/>
            </w:tcBorders>
            <w:vAlign w:val="center"/>
          </w:tcPr>
          <w:p w14:paraId="335B9F06">
            <w:pPr>
              <w:adjustRightInd w:val="0"/>
              <w:snapToGrid w:val="0"/>
              <w:spacing w:line="300" w:lineRule="exact"/>
              <w:jc w:val="center"/>
              <w:rPr>
                <w:color w:val="auto"/>
                <w:spacing w:val="20"/>
                <w:szCs w:val="21"/>
              </w:rPr>
            </w:pPr>
          </w:p>
        </w:tc>
      </w:tr>
      <w:tr w14:paraId="51DC238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4578433C">
            <w:pPr>
              <w:adjustRightInd w:val="0"/>
              <w:snapToGrid w:val="0"/>
              <w:spacing w:line="300" w:lineRule="exact"/>
              <w:jc w:val="center"/>
              <w:rPr>
                <w:rFonts w:hint="eastAsia" w:eastAsia="宋体"/>
                <w:color w:val="auto"/>
                <w:szCs w:val="21"/>
                <w:lang w:eastAsia="zh-CN"/>
              </w:rPr>
            </w:pPr>
            <w:r>
              <w:rPr>
                <w:rFonts w:hint="eastAsia"/>
                <w:color w:val="auto"/>
                <w:szCs w:val="21"/>
                <w:lang w:eastAsia="zh-CN"/>
              </w:rPr>
              <w:t>住</w:t>
            </w:r>
            <w:r>
              <w:rPr>
                <w:rFonts w:hint="eastAsia"/>
                <w:color w:val="auto"/>
                <w:szCs w:val="21"/>
                <w:lang w:val="en-US" w:eastAsia="zh-CN"/>
              </w:rPr>
              <w:t xml:space="preserve">  </w:t>
            </w:r>
            <w:r>
              <w:rPr>
                <w:rFonts w:hint="eastAsia"/>
                <w:color w:val="auto"/>
                <w:szCs w:val="21"/>
                <w:lang w:eastAsia="zh-CN"/>
              </w:rPr>
              <w:t>所</w:t>
            </w:r>
          </w:p>
        </w:tc>
        <w:tc>
          <w:tcPr>
            <w:tcW w:w="2412" w:type="dxa"/>
            <w:tcBorders>
              <w:top w:val="single" w:color="auto" w:sz="2" w:space="0"/>
              <w:left w:val="single" w:color="auto" w:sz="2" w:space="0"/>
              <w:bottom w:val="single" w:color="auto" w:sz="2" w:space="0"/>
              <w:right w:val="single" w:color="auto" w:sz="2" w:space="0"/>
            </w:tcBorders>
            <w:vAlign w:val="center"/>
          </w:tcPr>
          <w:p w14:paraId="15A54F9F">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02897F64">
            <w:pPr>
              <w:adjustRightInd w:val="0"/>
              <w:snapToGrid w:val="0"/>
              <w:spacing w:line="300" w:lineRule="exact"/>
              <w:jc w:val="center"/>
              <w:rPr>
                <w:rFonts w:hint="eastAsia" w:eastAsia="宋体"/>
                <w:color w:val="auto"/>
                <w:szCs w:val="21"/>
                <w:lang w:eastAsia="zh-CN"/>
              </w:rPr>
            </w:pPr>
            <w:r>
              <w:rPr>
                <w:rFonts w:hint="eastAsia"/>
                <w:color w:val="auto"/>
                <w:szCs w:val="21"/>
                <w:lang w:eastAsia="zh-CN"/>
              </w:rPr>
              <w:t>住</w:t>
            </w:r>
            <w:r>
              <w:rPr>
                <w:rFonts w:hint="eastAsia"/>
                <w:color w:val="auto"/>
                <w:szCs w:val="21"/>
                <w:lang w:val="en-US" w:eastAsia="zh-CN"/>
              </w:rPr>
              <w:t xml:space="preserve">  </w:t>
            </w:r>
            <w:r>
              <w:rPr>
                <w:rFonts w:hint="eastAsia"/>
                <w:color w:val="auto"/>
                <w:szCs w:val="21"/>
                <w:lang w:eastAsia="zh-CN"/>
              </w:rPr>
              <w:t>所</w:t>
            </w:r>
          </w:p>
        </w:tc>
        <w:tc>
          <w:tcPr>
            <w:tcW w:w="2116" w:type="dxa"/>
            <w:tcBorders>
              <w:top w:val="single" w:color="auto" w:sz="2" w:space="0"/>
              <w:left w:val="single" w:color="auto" w:sz="2" w:space="0"/>
              <w:bottom w:val="single" w:color="auto" w:sz="2" w:space="0"/>
            </w:tcBorders>
            <w:vAlign w:val="center"/>
          </w:tcPr>
          <w:p w14:paraId="4C6F9AD4">
            <w:pPr>
              <w:adjustRightInd w:val="0"/>
              <w:snapToGrid w:val="0"/>
              <w:spacing w:line="300" w:lineRule="exact"/>
              <w:jc w:val="center"/>
              <w:rPr>
                <w:color w:val="auto"/>
                <w:spacing w:val="20"/>
                <w:szCs w:val="21"/>
              </w:rPr>
            </w:pPr>
          </w:p>
        </w:tc>
      </w:tr>
      <w:tr w14:paraId="1933A52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7432B789">
            <w:pPr>
              <w:adjustRightInd w:val="0"/>
              <w:snapToGrid w:val="0"/>
              <w:spacing w:line="300" w:lineRule="exact"/>
              <w:jc w:val="center"/>
              <w:rPr>
                <w:color w:val="auto"/>
                <w:szCs w:val="21"/>
              </w:rPr>
            </w:pPr>
            <w:r>
              <w:rPr>
                <w:color w:val="auto"/>
                <w:szCs w:val="21"/>
              </w:rPr>
              <w:t>联 系 人</w:t>
            </w:r>
          </w:p>
        </w:tc>
        <w:tc>
          <w:tcPr>
            <w:tcW w:w="2412" w:type="dxa"/>
            <w:tcBorders>
              <w:top w:val="single" w:color="auto" w:sz="2" w:space="0"/>
              <w:left w:val="single" w:color="auto" w:sz="2" w:space="0"/>
              <w:bottom w:val="single" w:color="auto" w:sz="2" w:space="0"/>
              <w:right w:val="single" w:color="auto" w:sz="2" w:space="0"/>
            </w:tcBorders>
            <w:vAlign w:val="center"/>
          </w:tcPr>
          <w:p w14:paraId="5D7FC77A">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4B11BD70">
            <w:pPr>
              <w:adjustRightInd w:val="0"/>
              <w:snapToGrid w:val="0"/>
              <w:spacing w:line="300" w:lineRule="exact"/>
              <w:jc w:val="center"/>
              <w:rPr>
                <w:color w:val="auto"/>
                <w:szCs w:val="21"/>
              </w:rPr>
            </w:pPr>
            <w:r>
              <w:rPr>
                <w:color w:val="auto"/>
                <w:szCs w:val="21"/>
              </w:rPr>
              <w:t>联 系 人</w:t>
            </w:r>
          </w:p>
        </w:tc>
        <w:tc>
          <w:tcPr>
            <w:tcW w:w="2116" w:type="dxa"/>
            <w:tcBorders>
              <w:top w:val="single" w:color="auto" w:sz="2" w:space="0"/>
              <w:left w:val="single" w:color="auto" w:sz="2" w:space="0"/>
              <w:bottom w:val="single" w:color="auto" w:sz="2" w:space="0"/>
            </w:tcBorders>
            <w:vAlign w:val="center"/>
          </w:tcPr>
          <w:p w14:paraId="6A12E586">
            <w:pPr>
              <w:adjustRightInd w:val="0"/>
              <w:snapToGrid w:val="0"/>
              <w:spacing w:line="300" w:lineRule="exact"/>
              <w:jc w:val="center"/>
              <w:rPr>
                <w:color w:val="auto"/>
                <w:spacing w:val="20"/>
                <w:szCs w:val="21"/>
              </w:rPr>
            </w:pPr>
          </w:p>
        </w:tc>
      </w:tr>
      <w:tr w14:paraId="4563CB3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62112EF">
            <w:pPr>
              <w:adjustRightInd w:val="0"/>
              <w:snapToGrid w:val="0"/>
              <w:spacing w:line="300" w:lineRule="exact"/>
              <w:jc w:val="center"/>
              <w:rPr>
                <w:color w:val="auto"/>
                <w:szCs w:val="21"/>
              </w:rPr>
            </w:pPr>
            <w:r>
              <w:rPr>
                <w:color w:val="auto"/>
                <w:szCs w:val="21"/>
              </w:rPr>
              <w:t>联系电话</w:t>
            </w:r>
          </w:p>
        </w:tc>
        <w:tc>
          <w:tcPr>
            <w:tcW w:w="2412" w:type="dxa"/>
            <w:tcBorders>
              <w:top w:val="single" w:color="auto" w:sz="2" w:space="0"/>
              <w:left w:val="single" w:color="auto" w:sz="2" w:space="0"/>
              <w:bottom w:val="single" w:color="auto" w:sz="2" w:space="0"/>
              <w:right w:val="single" w:color="auto" w:sz="2" w:space="0"/>
            </w:tcBorders>
            <w:vAlign w:val="center"/>
          </w:tcPr>
          <w:p w14:paraId="5A342648">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419EF5B4">
            <w:pPr>
              <w:adjustRightInd w:val="0"/>
              <w:snapToGrid w:val="0"/>
              <w:spacing w:line="300" w:lineRule="exact"/>
              <w:jc w:val="center"/>
              <w:rPr>
                <w:color w:val="auto"/>
                <w:szCs w:val="21"/>
              </w:rPr>
            </w:pPr>
            <w:r>
              <w:rPr>
                <w:color w:val="auto"/>
                <w:szCs w:val="21"/>
              </w:rPr>
              <w:t>联系电话</w:t>
            </w:r>
          </w:p>
        </w:tc>
        <w:tc>
          <w:tcPr>
            <w:tcW w:w="2116" w:type="dxa"/>
            <w:tcBorders>
              <w:top w:val="single" w:color="auto" w:sz="2" w:space="0"/>
              <w:left w:val="single" w:color="auto" w:sz="2" w:space="0"/>
              <w:bottom w:val="single" w:color="auto" w:sz="2" w:space="0"/>
            </w:tcBorders>
            <w:vAlign w:val="center"/>
          </w:tcPr>
          <w:p w14:paraId="303E77CA">
            <w:pPr>
              <w:adjustRightInd w:val="0"/>
              <w:snapToGrid w:val="0"/>
              <w:spacing w:line="300" w:lineRule="exact"/>
              <w:jc w:val="center"/>
              <w:rPr>
                <w:color w:val="auto"/>
                <w:spacing w:val="20"/>
                <w:szCs w:val="21"/>
              </w:rPr>
            </w:pPr>
          </w:p>
        </w:tc>
      </w:tr>
      <w:tr w14:paraId="74E1A29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68164312">
            <w:pPr>
              <w:adjustRightInd w:val="0"/>
              <w:snapToGrid w:val="0"/>
              <w:spacing w:line="300" w:lineRule="exact"/>
              <w:jc w:val="center"/>
              <w:rPr>
                <w:rFonts w:hint="eastAsia" w:eastAsia="宋体"/>
                <w:color w:val="auto"/>
                <w:szCs w:val="21"/>
                <w:lang w:eastAsia="zh-CN"/>
              </w:rPr>
            </w:pPr>
            <w:r>
              <w:rPr>
                <w:rFonts w:hint="eastAsia"/>
                <w:color w:val="auto"/>
                <w:szCs w:val="21"/>
                <w:lang w:eastAsia="zh-CN"/>
              </w:rPr>
              <w:t>通信地址</w:t>
            </w:r>
          </w:p>
        </w:tc>
        <w:tc>
          <w:tcPr>
            <w:tcW w:w="2412" w:type="dxa"/>
            <w:tcBorders>
              <w:top w:val="single" w:color="auto" w:sz="2" w:space="0"/>
              <w:left w:val="single" w:color="auto" w:sz="2" w:space="0"/>
              <w:bottom w:val="single" w:color="auto" w:sz="2" w:space="0"/>
              <w:right w:val="single" w:color="auto" w:sz="2" w:space="0"/>
            </w:tcBorders>
            <w:vAlign w:val="center"/>
          </w:tcPr>
          <w:p w14:paraId="553462E0">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7C925914">
            <w:pPr>
              <w:adjustRightInd w:val="0"/>
              <w:snapToGrid w:val="0"/>
              <w:spacing w:line="300" w:lineRule="exact"/>
              <w:jc w:val="center"/>
              <w:rPr>
                <w:color w:val="auto"/>
                <w:szCs w:val="21"/>
              </w:rPr>
            </w:pPr>
            <w:r>
              <w:rPr>
                <w:rFonts w:hint="eastAsia"/>
                <w:color w:val="auto"/>
                <w:szCs w:val="21"/>
                <w:lang w:eastAsia="zh-CN"/>
              </w:rPr>
              <w:t>通信地址</w:t>
            </w:r>
          </w:p>
        </w:tc>
        <w:tc>
          <w:tcPr>
            <w:tcW w:w="2116" w:type="dxa"/>
            <w:tcBorders>
              <w:top w:val="single" w:color="auto" w:sz="2" w:space="0"/>
              <w:left w:val="single" w:color="auto" w:sz="2" w:space="0"/>
              <w:bottom w:val="single" w:color="auto" w:sz="2" w:space="0"/>
            </w:tcBorders>
            <w:vAlign w:val="center"/>
          </w:tcPr>
          <w:p w14:paraId="7D33A703">
            <w:pPr>
              <w:adjustRightInd w:val="0"/>
              <w:snapToGrid w:val="0"/>
              <w:spacing w:line="300" w:lineRule="exact"/>
              <w:jc w:val="center"/>
              <w:rPr>
                <w:color w:val="auto"/>
                <w:spacing w:val="20"/>
                <w:szCs w:val="21"/>
              </w:rPr>
            </w:pPr>
          </w:p>
        </w:tc>
      </w:tr>
      <w:tr w14:paraId="4375BEB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789DC638">
            <w:pPr>
              <w:adjustRightInd w:val="0"/>
              <w:snapToGrid w:val="0"/>
              <w:spacing w:line="300" w:lineRule="exact"/>
              <w:jc w:val="center"/>
              <w:rPr>
                <w:color w:val="auto"/>
                <w:szCs w:val="21"/>
              </w:rPr>
            </w:pPr>
            <w:r>
              <w:rPr>
                <w:color w:val="auto"/>
                <w:szCs w:val="21"/>
              </w:rPr>
              <w:t>邮政编码</w:t>
            </w:r>
          </w:p>
        </w:tc>
        <w:tc>
          <w:tcPr>
            <w:tcW w:w="2412" w:type="dxa"/>
            <w:tcBorders>
              <w:top w:val="single" w:color="auto" w:sz="2" w:space="0"/>
              <w:left w:val="single" w:color="auto" w:sz="2" w:space="0"/>
              <w:bottom w:val="single" w:color="auto" w:sz="2" w:space="0"/>
              <w:right w:val="single" w:color="auto" w:sz="2" w:space="0"/>
            </w:tcBorders>
            <w:vAlign w:val="center"/>
          </w:tcPr>
          <w:p w14:paraId="1DA9A2B0">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5871DF2A">
            <w:pPr>
              <w:adjustRightInd w:val="0"/>
              <w:snapToGrid w:val="0"/>
              <w:spacing w:line="300" w:lineRule="exact"/>
              <w:jc w:val="center"/>
              <w:rPr>
                <w:color w:val="auto"/>
                <w:szCs w:val="21"/>
              </w:rPr>
            </w:pPr>
            <w:r>
              <w:rPr>
                <w:color w:val="auto"/>
                <w:szCs w:val="21"/>
              </w:rPr>
              <w:t>邮政编码</w:t>
            </w:r>
          </w:p>
        </w:tc>
        <w:tc>
          <w:tcPr>
            <w:tcW w:w="2116" w:type="dxa"/>
            <w:tcBorders>
              <w:top w:val="single" w:color="auto" w:sz="2" w:space="0"/>
              <w:left w:val="single" w:color="auto" w:sz="2" w:space="0"/>
              <w:bottom w:val="single" w:color="auto" w:sz="2" w:space="0"/>
            </w:tcBorders>
            <w:vAlign w:val="center"/>
          </w:tcPr>
          <w:p w14:paraId="4A193AA3">
            <w:pPr>
              <w:adjustRightInd w:val="0"/>
              <w:snapToGrid w:val="0"/>
              <w:spacing w:line="300" w:lineRule="exact"/>
              <w:jc w:val="center"/>
              <w:rPr>
                <w:color w:val="auto"/>
                <w:spacing w:val="20"/>
                <w:szCs w:val="21"/>
              </w:rPr>
            </w:pPr>
          </w:p>
        </w:tc>
      </w:tr>
      <w:tr w14:paraId="1EF0BC0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29F69D43">
            <w:pPr>
              <w:adjustRightInd w:val="0"/>
              <w:snapToGrid w:val="0"/>
              <w:spacing w:line="300" w:lineRule="exact"/>
              <w:jc w:val="center"/>
              <w:rPr>
                <w:color w:val="auto"/>
                <w:szCs w:val="21"/>
              </w:rPr>
            </w:pPr>
            <w:r>
              <w:rPr>
                <w:rFonts w:hint="eastAsia"/>
                <w:color w:val="auto"/>
                <w:szCs w:val="21"/>
              </w:rPr>
              <w:t>电子邮箱</w:t>
            </w:r>
          </w:p>
        </w:tc>
        <w:tc>
          <w:tcPr>
            <w:tcW w:w="2412" w:type="dxa"/>
            <w:tcBorders>
              <w:top w:val="single" w:color="auto" w:sz="2" w:space="0"/>
              <w:left w:val="single" w:color="auto" w:sz="2" w:space="0"/>
              <w:bottom w:val="single" w:color="auto" w:sz="2" w:space="0"/>
              <w:right w:val="single" w:color="auto" w:sz="2" w:space="0"/>
            </w:tcBorders>
            <w:vAlign w:val="center"/>
          </w:tcPr>
          <w:p w14:paraId="7B5B2B99">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603A6655">
            <w:pPr>
              <w:adjustRightInd w:val="0"/>
              <w:snapToGrid w:val="0"/>
              <w:spacing w:line="300" w:lineRule="exact"/>
              <w:jc w:val="center"/>
              <w:rPr>
                <w:color w:val="auto"/>
                <w:szCs w:val="21"/>
              </w:rPr>
            </w:pPr>
            <w:r>
              <w:rPr>
                <w:rFonts w:hint="eastAsia"/>
                <w:color w:val="auto"/>
                <w:szCs w:val="21"/>
              </w:rPr>
              <w:t>电子邮箱</w:t>
            </w:r>
          </w:p>
        </w:tc>
        <w:tc>
          <w:tcPr>
            <w:tcW w:w="2116" w:type="dxa"/>
            <w:tcBorders>
              <w:top w:val="single" w:color="auto" w:sz="2" w:space="0"/>
              <w:left w:val="single" w:color="auto" w:sz="2" w:space="0"/>
              <w:bottom w:val="single" w:color="auto" w:sz="2" w:space="0"/>
            </w:tcBorders>
            <w:vAlign w:val="center"/>
          </w:tcPr>
          <w:p w14:paraId="1A9B87FB">
            <w:pPr>
              <w:adjustRightInd w:val="0"/>
              <w:snapToGrid w:val="0"/>
              <w:spacing w:line="300" w:lineRule="exact"/>
              <w:jc w:val="center"/>
              <w:rPr>
                <w:color w:val="auto"/>
                <w:spacing w:val="20"/>
                <w:szCs w:val="21"/>
              </w:rPr>
            </w:pPr>
          </w:p>
        </w:tc>
      </w:tr>
      <w:tr w14:paraId="687BA88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64CDEE93">
            <w:pPr>
              <w:adjustRightInd w:val="0"/>
              <w:snapToGrid w:val="0"/>
              <w:spacing w:line="300" w:lineRule="exact"/>
              <w:jc w:val="center"/>
              <w:rPr>
                <w:color w:val="auto"/>
                <w:szCs w:val="21"/>
              </w:rPr>
            </w:pPr>
            <w:r>
              <w:rPr>
                <w:rFonts w:hint="eastAsia"/>
                <w:color w:val="auto"/>
                <w:szCs w:val="21"/>
              </w:rPr>
              <w:t>统一社会信用代码</w:t>
            </w:r>
          </w:p>
        </w:tc>
        <w:tc>
          <w:tcPr>
            <w:tcW w:w="2412" w:type="dxa"/>
            <w:tcBorders>
              <w:top w:val="single" w:color="auto" w:sz="2" w:space="0"/>
              <w:left w:val="single" w:color="auto" w:sz="2" w:space="0"/>
              <w:bottom w:val="single" w:color="auto" w:sz="2" w:space="0"/>
              <w:right w:val="single" w:color="auto" w:sz="2" w:space="0"/>
            </w:tcBorders>
            <w:vAlign w:val="center"/>
          </w:tcPr>
          <w:p w14:paraId="013796B4">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594DED81">
            <w:pPr>
              <w:adjustRightInd w:val="0"/>
              <w:snapToGrid w:val="0"/>
              <w:spacing w:line="300" w:lineRule="exact"/>
              <w:jc w:val="center"/>
              <w:rPr>
                <w:color w:val="auto"/>
                <w:szCs w:val="21"/>
              </w:rPr>
            </w:pPr>
            <w:r>
              <w:rPr>
                <w:rFonts w:hint="eastAsia"/>
                <w:color w:val="auto"/>
                <w:szCs w:val="21"/>
              </w:rPr>
              <w:t>统一社会信用代码</w:t>
            </w:r>
          </w:p>
        </w:tc>
        <w:tc>
          <w:tcPr>
            <w:tcW w:w="2116" w:type="dxa"/>
            <w:tcBorders>
              <w:top w:val="single" w:color="auto" w:sz="2" w:space="0"/>
              <w:left w:val="single" w:color="auto" w:sz="2" w:space="0"/>
              <w:bottom w:val="single" w:color="auto" w:sz="2" w:space="0"/>
            </w:tcBorders>
            <w:vAlign w:val="center"/>
          </w:tcPr>
          <w:p w14:paraId="31498594">
            <w:pPr>
              <w:adjustRightInd w:val="0"/>
              <w:snapToGrid w:val="0"/>
              <w:spacing w:line="300" w:lineRule="exact"/>
              <w:jc w:val="center"/>
              <w:rPr>
                <w:color w:val="auto"/>
                <w:spacing w:val="20"/>
                <w:szCs w:val="21"/>
              </w:rPr>
            </w:pPr>
          </w:p>
        </w:tc>
      </w:tr>
      <w:tr w14:paraId="3B04B88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461E6AC5">
            <w:pPr>
              <w:adjustRightInd w:val="0"/>
              <w:snapToGrid w:val="0"/>
              <w:spacing w:line="300" w:lineRule="exact"/>
              <w:jc w:val="center"/>
              <w:rPr>
                <w:color w:val="auto"/>
                <w:szCs w:val="21"/>
              </w:rPr>
            </w:pPr>
          </w:p>
        </w:tc>
        <w:tc>
          <w:tcPr>
            <w:tcW w:w="2412" w:type="dxa"/>
            <w:tcBorders>
              <w:top w:val="single" w:color="auto" w:sz="2" w:space="0"/>
              <w:left w:val="single" w:color="auto" w:sz="2" w:space="0"/>
              <w:bottom w:val="single" w:color="auto" w:sz="2" w:space="0"/>
              <w:right w:val="single" w:color="auto" w:sz="2" w:space="0"/>
            </w:tcBorders>
            <w:vAlign w:val="center"/>
          </w:tcPr>
          <w:p w14:paraId="696B9511">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6461D54F">
            <w:pPr>
              <w:adjustRightInd w:val="0"/>
              <w:snapToGrid w:val="0"/>
              <w:spacing w:line="300" w:lineRule="exact"/>
              <w:jc w:val="center"/>
              <w:rPr>
                <w:color w:val="auto"/>
                <w:szCs w:val="21"/>
              </w:rPr>
            </w:pPr>
            <w:r>
              <w:rPr>
                <w:color w:val="auto"/>
                <w:szCs w:val="21"/>
              </w:rPr>
              <w:t>开户名称</w:t>
            </w:r>
          </w:p>
        </w:tc>
        <w:tc>
          <w:tcPr>
            <w:tcW w:w="2116" w:type="dxa"/>
            <w:tcBorders>
              <w:top w:val="single" w:color="auto" w:sz="2" w:space="0"/>
              <w:left w:val="single" w:color="auto" w:sz="2" w:space="0"/>
              <w:bottom w:val="single" w:color="auto" w:sz="2" w:space="0"/>
            </w:tcBorders>
            <w:vAlign w:val="center"/>
          </w:tcPr>
          <w:p w14:paraId="69D7344F">
            <w:pPr>
              <w:adjustRightInd w:val="0"/>
              <w:snapToGrid w:val="0"/>
              <w:spacing w:line="300" w:lineRule="exact"/>
              <w:jc w:val="center"/>
              <w:rPr>
                <w:color w:val="auto"/>
                <w:spacing w:val="20"/>
                <w:szCs w:val="21"/>
              </w:rPr>
            </w:pPr>
          </w:p>
        </w:tc>
      </w:tr>
      <w:tr w14:paraId="24C6C47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359A8F0F">
            <w:pPr>
              <w:adjustRightInd w:val="0"/>
              <w:snapToGrid w:val="0"/>
              <w:spacing w:line="300" w:lineRule="exact"/>
              <w:jc w:val="center"/>
              <w:rPr>
                <w:color w:val="auto"/>
                <w:szCs w:val="21"/>
              </w:rPr>
            </w:pPr>
          </w:p>
        </w:tc>
        <w:tc>
          <w:tcPr>
            <w:tcW w:w="2412" w:type="dxa"/>
            <w:tcBorders>
              <w:top w:val="single" w:color="auto" w:sz="2" w:space="0"/>
              <w:left w:val="single" w:color="auto" w:sz="2" w:space="0"/>
              <w:bottom w:val="single" w:color="auto" w:sz="2" w:space="0"/>
              <w:right w:val="single" w:color="auto" w:sz="2" w:space="0"/>
            </w:tcBorders>
            <w:vAlign w:val="center"/>
          </w:tcPr>
          <w:p w14:paraId="065C8D69">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0839E7EE">
            <w:pPr>
              <w:adjustRightInd w:val="0"/>
              <w:snapToGrid w:val="0"/>
              <w:spacing w:line="300" w:lineRule="exact"/>
              <w:jc w:val="center"/>
              <w:rPr>
                <w:color w:val="auto"/>
                <w:szCs w:val="21"/>
              </w:rPr>
            </w:pPr>
            <w:r>
              <w:rPr>
                <w:color w:val="auto"/>
                <w:szCs w:val="21"/>
              </w:rPr>
              <w:t>开户银行</w:t>
            </w:r>
          </w:p>
        </w:tc>
        <w:tc>
          <w:tcPr>
            <w:tcW w:w="2116" w:type="dxa"/>
            <w:tcBorders>
              <w:top w:val="single" w:color="auto" w:sz="2" w:space="0"/>
              <w:left w:val="single" w:color="auto" w:sz="2" w:space="0"/>
              <w:bottom w:val="single" w:color="auto" w:sz="2" w:space="0"/>
            </w:tcBorders>
            <w:vAlign w:val="center"/>
          </w:tcPr>
          <w:p w14:paraId="31221961">
            <w:pPr>
              <w:adjustRightInd w:val="0"/>
              <w:snapToGrid w:val="0"/>
              <w:spacing w:line="300" w:lineRule="exact"/>
              <w:jc w:val="center"/>
              <w:rPr>
                <w:color w:val="auto"/>
                <w:spacing w:val="20"/>
                <w:szCs w:val="21"/>
              </w:rPr>
            </w:pPr>
          </w:p>
        </w:tc>
      </w:tr>
      <w:tr w14:paraId="398C357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2D42EE1B">
            <w:pPr>
              <w:adjustRightInd w:val="0"/>
              <w:snapToGrid w:val="0"/>
              <w:spacing w:line="300" w:lineRule="exact"/>
              <w:jc w:val="center"/>
              <w:rPr>
                <w:color w:val="auto"/>
                <w:szCs w:val="21"/>
              </w:rPr>
            </w:pPr>
          </w:p>
        </w:tc>
        <w:tc>
          <w:tcPr>
            <w:tcW w:w="2412" w:type="dxa"/>
            <w:tcBorders>
              <w:top w:val="single" w:color="auto" w:sz="2" w:space="0"/>
              <w:left w:val="single" w:color="auto" w:sz="2" w:space="0"/>
              <w:bottom w:val="single" w:color="auto" w:sz="2" w:space="0"/>
              <w:right w:val="single" w:color="auto" w:sz="2" w:space="0"/>
            </w:tcBorders>
            <w:vAlign w:val="center"/>
          </w:tcPr>
          <w:p w14:paraId="6FF6AE32">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09CC2422">
            <w:pPr>
              <w:adjustRightInd w:val="0"/>
              <w:snapToGrid w:val="0"/>
              <w:spacing w:line="300" w:lineRule="exact"/>
              <w:jc w:val="center"/>
              <w:rPr>
                <w:color w:val="auto"/>
                <w:szCs w:val="21"/>
              </w:rPr>
            </w:pPr>
            <w:r>
              <w:rPr>
                <w:color w:val="auto"/>
                <w:szCs w:val="21"/>
              </w:rPr>
              <w:t>银行账号</w:t>
            </w:r>
          </w:p>
        </w:tc>
        <w:tc>
          <w:tcPr>
            <w:tcW w:w="2116" w:type="dxa"/>
            <w:tcBorders>
              <w:top w:val="single" w:color="auto" w:sz="2" w:space="0"/>
              <w:left w:val="single" w:color="auto" w:sz="2" w:space="0"/>
              <w:bottom w:val="single" w:color="auto" w:sz="2" w:space="0"/>
            </w:tcBorders>
            <w:vAlign w:val="center"/>
          </w:tcPr>
          <w:p w14:paraId="2836D504">
            <w:pPr>
              <w:adjustRightInd w:val="0"/>
              <w:snapToGrid w:val="0"/>
              <w:spacing w:line="300" w:lineRule="exact"/>
              <w:jc w:val="center"/>
              <w:rPr>
                <w:color w:val="auto"/>
                <w:spacing w:val="20"/>
                <w:szCs w:val="21"/>
              </w:rPr>
            </w:pPr>
          </w:p>
        </w:tc>
      </w:tr>
      <w:tr w14:paraId="4C7B87F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8398" w:type="dxa"/>
            <w:gridSpan w:val="4"/>
            <w:tcBorders>
              <w:top w:val="single" w:color="auto" w:sz="2" w:space="0"/>
            </w:tcBorders>
            <w:vAlign w:val="center"/>
          </w:tcPr>
          <w:p w14:paraId="47B70C13">
            <w:pPr>
              <w:pStyle w:val="24"/>
              <w:adjustRightInd w:val="0"/>
              <w:snapToGrid w:val="0"/>
              <w:spacing w:before="156" w:beforeLines="50" w:after="0" w:line="360" w:lineRule="auto"/>
              <w:ind w:left="0" w:leftChars="0"/>
              <w:jc w:val="left"/>
              <w:rPr>
                <w:color w:val="auto"/>
                <w:spacing w:val="20"/>
                <w:szCs w:val="21"/>
              </w:rPr>
            </w:pPr>
            <w:r>
              <w:rPr>
                <w:rFonts w:hint="eastAsia" w:ascii="宋体" w:hAnsi="宋体"/>
                <w:color w:val="auto"/>
                <w:szCs w:val="21"/>
              </w:rPr>
              <w:t>注：涉及联合体或其他合同主体的信息应按上表格式加列。</w:t>
            </w:r>
          </w:p>
        </w:tc>
      </w:tr>
    </w:tbl>
    <w:p w14:paraId="41BE7F0F">
      <w:pPr>
        <w:pStyle w:val="3"/>
        <w:adjustRightInd w:val="0"/>
        <w:snapToGrid w:val="0"/>
        <w:spacing w:before="156" w:beforeLines="50"/>
        <w:jc w:val="center"/>
        <w:rPr>
          <w:rFonts w:ascii="黑体" w:hAnsi="黑体" w:eastAsia="黑体"/>
          <w:color w:val="auto"/>
          <w:sz w:val="28"/>
          <w:szCs w:val="28"/>
        </w:rPr>
      </w:pPr>
      <w:r>
        <w:rPr>
          <w:rFonts w:ascii="宋体" w:hAnsi="宋体"/>
          <w:color w:val="auto"/>
          <w:sz w:val="21"/>
          <w:szCs w:val="21"/>
          <w:u w:val="single"/>
        </w:rPr>
        <w:br w:type="page"/>
      </w:r>
      <w:bookmarkStart w:id="404" w:name="_Toc27624"/>
      <w:r>
        <w:rPr>
          <w:rFonts w:hint="eastAsia" w:ascii="黑体" w:hAnsi="黑体" w:eastAsia="黑体"/>
          <w:b w:val="0"/>
          <w:bCs w:val="0"/>
          <w:color w:val="auto"/>
          <w:sz w:val="28"/>
          <w:szCs w:val="28"/>
        </w:rPr>
        <w:t>第二节 政府采购合同通用条款</w:t>
      </w:r>
      <w:bookmarkEnd w:id="404"/>
    </w:p>
    <w:p w14:paraId="0B370171">
      <w:pPr>
        <w:tabs>
          <w:tab w:val="left" w:pos="8820"/>
          <w:tab w:val="left" w:pos="9345"/>
          <w:tab w:val="left" w:pos="9765"/>
        </w:tabs>
        <w:adjustRightInd w:val="0"/>
        <w:snapToGrid w:val="0"/>
        <w:spacing w:before="0" w:line="400" w:lineRule="exact"/>
        <w:jc w:val="left"/>
        <w:rPr>
          <w:rFonts w:ascii="宋体" w:hAnsi="宋体"/>
          <w:b/>
          <w:bCs/>
          <w:color w:val="auto"/>
          <w:sz w:val="24"/>
        </w:rPr>
      </w:pPr>
      <w:r>
        <w:rPr>
          <w:rFonts w:hint="eastAsia" w:ascii="宋体" w:hAnsi="宋体"/>
          <w:b/>
          <w:color w:val="auto"/>
          <w:sz w:val="24"/>
        </w:rPr>
        <w:t>1.</w:t>
      </w:r>
      <w:r>
        <w:rPr>
          <w:rFonts w:hint="eastAsia" w:ascii="宋体" w:hAnsi="宋体"/>
          <w:b/>
          <w:color w:val="auto"/>
          <w:sz w:val="24"/>
          <w:lang w:val="en-US" w:eastAsia="zh-CN"/>
        </w:rPr>
        <w:t xml:space="preserve"> </w:t>
      </w:r>
      <w:r>
        <w:rPr>
          <w:rFonts w:hint="eastAsia" w:ascii="宋体" w:hAnsi="宋体"/>
          <w:b/>
          <w:bCs/>
          <w:color w:val="auto"/>
          <w:sz w:val="24"/>
        </w:rPr>
        <w:t>定义</w:t>
      </w:r>
    </w:p>
    <w:p w14:paraId="0B840E5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1.1合同当事人</w:t>
      </w:r>
    </w:p>
    <w:p w14:paraId="3574788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600787E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2CB095F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auto"/>
          <w:szCs w:val="21"/>
        </w:rPr>
        <w:t>依法参与合同缔结或履行，享有权利、承担义务的合同当事人</w:t>
      </w:r>
      <w:r>
        <w:rPr>
          <w:rFonts w:hint="eastAsia" w:ascii="宋体" w:hAnsi="宋体"/>
          <w:color w:val="auto"/>
          <w:szCs w:val="21"/>
          <w:highlight w:val="none"/>
        </w:rPr>
        <w:t>。</w:t>
      </w:r>
    </w:p>
    <w:p w14:paraId="16DD6818">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6E8EEFD5">
      <w:pP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auto"/>
          <w:szCs w:val="21"/>
        </w:rPr>
        <w:t>合同当事人意思表示达成一致的任何协议，包括签署的</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r>
        <w:rPr>
          <w:rFonts w:hint="eastAsia" w:ascii="宋体" w:hAnsi="宋体"/>
          <w:color w:val="auto"/>
          <w:szCs w:val="21"/>
        </w:rPr>
        <w:t>政府采购合同专用条款</w:t>
      </w:r>
      <w:r>
        <w:rPr>
          <w:rFonts w:hint="eastAsia" w:ascii="宋体" w:hAnsi="宋体"/>
          <w:color w:val="auto"/>
          <w:szCs w:val="21"/>
          <w:lang w:eastAsia="zh-CN"/>
        </w:rPr>
        <w:t>，</w:t>
      </w:r>
      <w:r>
        <w:rPr>
          <w:rFonts w:hint="eastAsia" w:ascii="宋体" w:hAnsi="宋体"/>
          <w:color w:val="auto"/>
          <w:szCs w:val="21"/>
        </w:rPr>
        <w:t>政府采购合同通用条款</w:t>
      </w:r>
      <w:r>
        <w:rPr>
          <w:rFonts w:hint="eastAsia" w:ascii="宋体" w:hAnsi="宋体"/>
          <w:color w:val="auto"/>
          <w:szCs w:val="21"/>
          <w:lang w:eastAsia="zh-CN"/>
        </w:rPr>
        <w:t>，</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r>
        <w:rPr>
          <w:rFonts w:hint="eastAsia" w:ascii="宋体" w:hAnsi="宋体"/>
          <w:color w:val="auto"/>
          <w:szCs w:val="21"/>
          <w:lang w:eastAsia="zh-CN"/>
        </w:rPr>
        <w:t>，</w:t>
      </w:r>
      <w:r>
        <w:rPr>
          <w:rFonts w:hint="eastAsia" w:ascii="宋体" w:hAnsi="宋体"/>
          <w:color w:val="auto"/>
          <w:szCs w:val="21"/>
        </w:rPr>
        <w:t>投标（响应）文件</w:t>
      </w:r>
      <w:r>
        <w:rPr>
          <w:rFonts w:hint="eastAsia" w:ascii="宋体" w:hAnsi="宋体"/>
          <w:color w:val="auto"/>
          <w:szCs w:val="21"/>
          <w:lang w:eastAsia="zh-CN"/>
        </w:rPr>
        <w:t>，</w:t>
      </w:r>
      <w:r>
        <w:rPr>
          <w:rFonts w:hint="eastAsia" w:ascii="宋体" w:hAnsi="宋体"/>
          <w:color w:val="auto"/>
          <w:szCs w:val="21"/>
        </w:rPr>
        <w:t>采购文件</w:t>
      </w:r>
      <w:r>
        <w:rPr>
          <w:rFonts w:hint="eastAsia" w:ascii="宋体" w:hAnsi="宋体"/>
          <w:color w:val="auto"/>
          <w:szCs w:val="21"/>
          <w:lang w:eastAsia="zh-CN"/>
        </w:rPr>
        <w:t>，</w:t>
      </w:r>
      <w:r>
        <w:rPr>
          <w:rFonts w:hint="eastAsia" w:ascii="宋体" w:hAnsi="宋体"/>
          <w:color w:val="auto"/>
          <w:szCs w:val="21"/>
        </w:rPr>
        <w:t>有关技术文件</w:t>
      </w:r>
      <w:r>
        <w:rPr>
          <w:rFonts w:hint="eastAsia" w:ascii="宋体" w:hAnsi="宋体"/>
          <w:color w:val="auto"/>
          <w:szCs w:val="21"/>
          <w:lang w:eastAsia="zh-CN"/>
        </w:rPr>
        <w:t>和</w:t>
      </w:r>
      <w:r>
        <w:rPr>
          <w:rFonts w:hint="eastAsia" w:ascii="宋体" w:hAnsi="宋体"/>
          <w:color w:val="auto"/>
          <w:szCs w:val="21"/>
        </w:rPr>
        <w:t>图纸</w:t>
      </w:r>
      <w:r>
        <w:rPr>
          <w:rFonts w:hint="eastAsia" w:ascii="宋体" w:hAnsi="宋体"/>
          <w:color w:val="auto"/>
          <w:szCs w:val="21"/>
          <w:lang w:eastAsia="zh-CN"/>
        </w:rPr>
        <w:t>，以及</w:t>
      </w:r>
      <w:r>
        <w:rPr>
          <w:rFonts w:hint="eastAsia" w:ascii="宋体" w:hAnsi="宋体" w:eastAsia="宋体" w:cs="宋体"/>
          <w:bCs w:val="0"/>
          <w:color w:val="auto"/>
          <w:kern w:val="2"/>
          <w:sz w:val="21"/>
          <w:szCs w:val="21"/>
          <w:highlight w:val="none"/>
          <w:lang w:eastAsia="zh-CN"/>
        </w:rPr>
        <w:t>国家法律、行政法规和规章制度规定或合同约定的作为合同组成部分的其他文件</w:t>
      </w:r>
      <w:r>
        <w:rPr>
          <w:rFonts w:hint="eastAsia" w:ascii="宋体" w:hAnsi="宋体"/>
          <w:color w:val="auto"/>
          <w:szCs w:val="21"/>
          <w:highlight w:val="none"/>
        </w:rPr>
        <w:t>。</w:t>
      </w:r>
    </w:p>
    <w:p w14:paraId="6495E749">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1A489D51">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）“货物”系指乙方根据本合同规定须向甲方提供的各种形态和种类的物品，包括原材料、设备、产品（包括软件）及相关的其备品备件、工具、手册及</w:t>
      </w:r>
      <w:r>
        <w:rPr>
          <w:rFonts w:hint="default" w:ascii="宋体" w:hAnsi="宋体"/>
          <w:color w:val="auto"/>
          <w:szCs w:val="21"/>
          <w:highlight w:val="none"/>
          <w:lang w:val="en"/>
        </w:rPr>
        <w:t>其他</w:t>
      </w:r>
      <w:r>
        <w:rPr>
          <w:rFonts w:hint="eastAsia" w:ascii="宋体" w:hAnsi="宋体"/>
          <w:color w:val="auto"/>
          <w:szCs w:val="21"/>
          <w:highlight w:val="none"/>
        </w:rPr>
        <w:t>技术资料和材料</w:t>
      </w:r>
      <w:r>
        <w:rPr>
          <w:rFonts w:hint="eastAsia" w:ascii="宋体" w:hAnsi="宋体"/>
          <w:color w:val="auto"/>
          <w:szCs w:val="21"/>
          <w:highlight w:val="none"/>
          <w:lang w:eastAsia="zh-CN"/>
        </w:rPr>
        <w:t>等</w:t>
      </w:r>
      <w:r>
        <w:rPr>
          <w:rFonts w:hint="eastAsia" w:ascii="宋体" w:hAnsi="宋体"/>
          <w:color w:val="auto"/>
          <w:szCs w:val="21"/>
          <w:highlight w:val="none"/>
        </w:rPr>
        <w:t>。</w:t>
      </w:r>
    </w:p>
    <w:p w14:paraId="6CA95277">
      <w:pPr>
        <w:adjustRightInd w:val="0"/>
        <w:snapToGrid w:val="0"/>
        <w:spacing w:before="0" w:line="400" w:lineRule="exact"/>
        <w:ind w:firstLine="420" w:firstLineChars="200"/>
        <w:jc w:val="left"/>
        <w:rPr>
          <w:rFonts w:hint="eastAsia" w:ascii="宋体" w:hAnsi="宋体" w:eastAsia="宋体"/>
          <w:color w:val="auto"/>
          <w:szCs w:val="21"/>
          <w:highlight w:val="yellow"/>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w:t>
      </w:r>
      <w:r>
        <w:rPr>
          <w:rFonts w:hint="eastAsia" w:ascii="宋体" w:hAnsi="宋体"/>
          <w:color w:val="auto"/>
          <w:szCs w:val="21"/>
          <w:highlight w:val="none"/>
          <w:lang w:val="en-US" w:eastAsia="zh-CN"/>
        </w:rPr>
        <w:t>相关</w:t>
      </w:r>
      <w:r>
        <w:rPr>
          <w:rFonts w:hint="eastAsia" w:ascii="宋体" w:hAnsi="宋体"/>
          <w:color w:val="auto"/>
          <w:szCs w:val="21"/>
          <w:highlight w:val="none"/>
        </w:rPr>
        <w:t>服务”系指根据合同规定，乙方应提供的</w:t>
      </w:r>
      <w:r>
        <w:rPr>
          <w:rFonts w:hint="eastAsia" w:ascii="宋体" w:hAnsi="宋体"/>
          <w:color w:val="auto"/>
          <w:szCs w:val="21"/>
          <w:highlight w:val="none"/>
          <w:lang w:val="en-US" w:eastAsia="zh-CN"/>
        </w:rPr>
        <w:t>与货物有关的</w:t>
      </w:r>
      <w:r>
        <w:rPr>
          <w:rFonts w:hint="eastAsia" w:ascii="宋体" w:hAnsi="宋体"/>
          <w:color w:val="auto"/>
          <w:szCs w:val="21"/>
          <w:highlight w:val="none"/>
        </w:rPr>
        <w:t>技术、管理和</w:t>
      </w:r>
      <w:r>
        <w:rPr>
          <w:rFonts w:hint="default" w:ascii="宋体" w:hAnsi="宋体"/>
          <w:color w:val="auto"/>
          <w:szCs w:val="21"/>
          <w:highlight w:val="none"/>
          <w:lang w:val="en"/>
        </w:rPr>
        <w:t>其他</w:t>
      </w:r>
      <w:r>
        <w:rPr>
          <w:rFonts w:hint="eastAsia" w:ascii="宋体" w:hAnsi="宋体"/>
          <w:color w:val="auto"/>
          <w:szCs w:val="21"/>
          <w:highlight w:val="none"/>
        </w:rPr>
        <w:t>服务，包括但不限于：管理和质量保证、运输、保险、检验、现场准备、安装、集成、调试、培训、维修、</w:t>
      </w:r>
      <w:r>
        <w:rPr>
          <w:rFonts w:hint="eastAsia" w:ascii="宋体" w:hAnsi="宋体"/>
          <w:color w:val="auto"/>
          <w:szCs w:val="21"/>
          <w:highlight w:val="none"/>
          <w:lang w:eastAsia="zh-CN"/>
        </w:rPr>
        <w:t>废弃处置、</w:t>
      </w:r>
      <w:r>
        <w:rPr>
          <w:rFonts w:hint="eastAsia" w:ascii="宋体" w:hAnsi="宋体"/>
          <w:color w:val="auto"/>
          <w:szCs w:val="21"/>
          <w:highlight w:val="none"/>
        </w:rPr>
        <w:t>技术支持等以及合同中规定乙方应承担的</w:t>
      </w:r>
      <w:r>
        <w:rPr>
          <w:rFonts w:hint="default" w:ascii="宋体" w:hAnsi="宋体"/>
          <w:color w:val="auto"/>
          <w:szCs w:val="21"/>
          <w:highlight w:val="none"/>
          <w:lang w:val="en"/>
        </w:rPr>
        <w:t>其他</w:t>
      </w:r>
      <w:r>
        <w:rPr>
          <w:rFonts w:hint="eastAsia" w:ascii="宋体" w:hAnsi="宋体"/>
          <w:color w:val="auto"/>
          <w:szCs w:val="21"/>
          <w:highlight w:val="none"/>
        </w:rPr>
        <w:t>义务。</w:t>
      </w:r>
    </w:p>
    <w:p w14:paraId="1458B5C4">
      <w:pPr>
        <w:adjustRightInd w:val="0"/>
        <w:snapToGrid w:val="0"/>
        <w:spacing w:before="0" w:line="400" w:lineRule="exact"/>
        <w:ind w:firstLine="420" w:firstLineChars="200"/>
        <w:jc w:val="left"/>
        <w:rPr>
          <w:rFonts w:hint="eastAsia" w:ascii="宋体" w:hAnsi="宋体" w:eastAsia="宋体"/>
          <w:color w:val="auto"/>
          <w:szCs w:val="21"/>
          <w:highlight w:val="yellow"/>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5</w:t>
      </w:r>
      <w:r>
        <w:rPr>
          <w:rFonts w:hint="eastAsia" w:ascii="宋体" w:hAnsi="宋体"/>
          <w:color w:val="auto"/>
          <w:szCs w:val="21"/>
          <w:highlight w:val="none"/>
        </w:rPr>
        <w:t>）“分包”系指中标</w:t>
      </w:r>
      <w:r>
        <w:rPr>
          <w:rFonts w:hint="eastAsia" w:ascii="宋体" w:hAnsi="宋体"/>
          <w:color w:val="auto"/>
          <w:szCs w:val="21"/>
          <w:highlight w:val="none"/>
          <w:lang w:eastAsia="zh-CN"/>
        </w:rPr>
        <w:t>（</w:t>
      </w:r>
      <w:r>
        <w:rPr>
          <w:rFonts w:hint="eastAsia" w:ascii="宋体" w:hAnsi="宋体"/>
          <w:color w:val="auto"/>
          <w:szCs w:val="21"/>
          <w:highlight w:val="none"/>
        </w:rPr>
        <w:t>成交</w:t>
      </w:r>
      <w:r>
        <w:rPr>
          <w:rFonts w:hint="eastAsia" w:ascii="宋体" w:hAnsi="宋体"/>
          <w:color w:val="auto"/>
          <w:szCs w:val="21"/>
          <w:highlight w:val="none"/>
          <w:lang w:eastAsia="zh-CN"/>
        </w:rPr>
        <w:t>）</w:t>
      </w:r>
      <w:r>
        <w:rPr>
          <w:rFonts w:hint="eastAsia" w:ascii="宋体" w:hAnsi="宋体"/>
          <w:color w:val="auto"/>
          <w:szCs w:val="21"/>
          <w:highlight w:val="none"/>
        </w:rPr>
        <w:t>供应商按采购文件、投标（响应）文件的规定，根据分包意向协议，将中标</w:t>
      </w:r>
      <w:r>
        <w:rPr>
          <w:rFonts w:hint="eastAsia" w:ascii="宋体" w:hAnsi="宋体"/>
          <w:color w:val="auto"/>
          <w:szCs w:val="21"/>
          <w:highlight w:val="none"/>
          <w:lang w:eastAsia="zh-CN"/>
        </w:rPr>
        <w:t>（</w:t>
      </w:r>
      <w:r>
        <w:rPr>
          <w:rFonts w:hint="eastAsia" w:ascii="宋体" w:hAnsi="宋体"/>
          <w:color w:val="auto"/>
          <w:szCs w:val="21"/>
          <w:highlight w:val="none"/>
        </w:rPr>
        <w:t>成交</w:t>
      </w:r>
      <w:r>
        <w:rPr>
          <w:rFonts w:hint="eastAsia" w:ascii="宋体" w:hAnsi="宋体"/>
          <w:color w:val="auto"/>
          <w:szCs w:val="21"/>
          <w:highlight w:val="none"/>
          <w:lang w:eastAsia="zh-CN"/>
        </w:rPr>
        <w:t>）</w:t>
      </w:r>
      <w:r>
        <w:rPr>
          <w:rFonts w:hint="eastAsia" w:ascii="宋体" w:hAnsi="宋体"/>
          <w:color w:val="auto"/>
          <w:szCs w:val="21"/>
          <w:highlight w:val="none"/>
        </w:rPr>
        <w:t>项目中的部分履约内容，分给具有相应资质条件的供应商履行合同的行为。</w:t>
      </w:r>
    </w:p>
    <w:p w14:paraId="6157983B">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rPr>
        <w:t>“联合体”系指</w:t>
      </w:r>
      <w:r>
        <w:rPr>
          <w:rFonts w:hint="eastAsia" w:ascii="宋体" w:hAnsi="宋体"/>
          <w:color w:val="auto"/>
          <w:szCs w:val="21"/>
          <w:lang w:eastAsia="zh-CN"/>
        </w:rPr>
        <w:t>由</w:t>
      </w:r>
      <w:r>
        <w:rPr>
          <w:rFonts w:hint="eastAsia" w:ascii="宋体" w:hAnsi="宋体"/>
          <w:color w:val="auto"/>
          <w:szCs w:val="21"/>
        </w:rPr>
        <w:t>两个以上的自然人、法人或者</w:t>
      </w:r>
      <w:r>
        <w:rPr>
          <w:rFonts w:hint="eastAsia" w:ascii="宋体" w:hAnsi="宋体"/>
          <w:color w:val="auto"/>
          <w:szCs w:val="21"/>
          <w:lang w:val="en-US" w:eastAsia="zh-CN"/>
        </w:rPr>
        <w:t>非法人</w:t>
      </w:r>
      <w:r>
        <w:rPr>
          <w:rFonts w:hint="eastAsia" w:ascii="宋体" w:hAnsi="宋体"/>
          <w:color w:val="auto"/>
          <w:szCs w:val="21"/>
        </w:rPr>
        <w:t>组织组成，</w:t>
      </w:r>
      <w:r>
        <w:rPr>
          <w:rFonts w:hint="eastAsia" w:ascii="宋体" w:hAnsi="宋体"/>
          <w:color w:val="auto"/>
          <w:szCs w:val="21"/>
          <w:lang w:eastAsia="zh-CN"/>
        </w:rPr>
        <w:t>以一个供应商的身份共同参加政府采购的主体</w:t>
      </w:r>
      <w:r>
        <w:rPr>
          <w:rFonts w:hint="eastAsia" w:ascii="宋体" w:hAnsi="宋体"/>
          <w:color w:val="auto"/>
          <w:szCs w:val="21"/>
          <w:highlight w:val="none"/>
          <w:lang w:eastAsia="zh-CN"/>
        </w:rPr>
        <w:t>。</w:t>
      </w:r>
      <w:r>
        <w:rPr>
          <w:rFonts w:hint="eastAsia" w:ascii="宋体" w:hAnsi="宋体"/>
          <w:color w:val="auto"/>
          <w:szCs w:val="21"/>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auto"/>
          <w:szCs w:val="21"/>
          <w:highlight w:val="none"/>
          <w:lang w:eastAsia="zh-CN"/>
        </w:rPr>
        <w:t>甲方</w:t>
      </w:r>
      <w:r>
        <w:rPr>
          <w:rFonts w:hint="eastAsia" w:ascii="宋体" w:hAnsi="宋体"/>
          <w:color w:val="auto"/>
          <w:szCs w:val="21"/>
          <w:highlight w:val="none"/>
        </w:rPr>
        <w:t>承担连带责任。联合体具体要求见【</w:t>
      </w:r>
      <w:r>
        <w:rPr>
          <w:rFonts w:hint="eastAsia" w:ascii="宋体" w:hAnsi="宋体"/>
          <w:b/>
          <w:bCs/>
          <w:color w:val="auto"/>
          <w:szCs w:val="21"/>
          <w:highlight w:val="none"/>
        </w:rPr>
        <w:t>政府采购合同专用条款</w:t>
      </w:r>
      <w:r>
        <w:rPr>
          <w:rFonts w:hint="eastAsia" w:ascii="宋体" w:hAnsi="宋体"/>
          <w:color w:val="auto"/>
          <w:szCs w:val="21"/>
          <w:highlight w:val="none"/>
        </w:rPr>
        <w:t>】。</w:t>
      </w:r>
    </w:p>
    <w:p w14:paraId="4004DAED">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7</w:t>
      </w:r>
      <w:r>
        <w:rPr>
          <w:rFonts w:hint="eastAsia" w:ascii="宋体" w:hAnsi="宋体"/>
          <w:color w:val="auto"/>
          <w:szCs w:val="21"/>
          <w:highlight w:val="none"/>
        </w:rPr>
        <w:t>）其他术语解释，见【</w:t>
      </w:r>
      <w:r>
        <w:rPr>
          <w:rFonts w:hint="eastAsia" w:ascii="宋体" w:hAnsi="宋体"/>
          <w:b/>
          <w:bCs/>
          <w:color w:val="auto"/>
          <w:szCs w:val="21"/>
          <w:highlight w:val="none"/>
        </w:rPr>
        <w:t>政府采购合同专用条款</w:t>
      </w:r>
      <w:r>
        <w:rPr>
          <w:rFonts w:hint="eastAsia" w:ascii="宋体" w:hAnsi="宋体"/>
          <w:color w:val="auto"/>
          <w:szCs w:val="21"/>
          <w:highlight w:val="none"/>
        </w:rPr>
        <w:t>】。</w:t>
      </w:r>
    </w:p>
    <w:p w14:paraId="0127E571">
      <w:pPr>
        <w:numPr>
          <w:ilvl w:val="0"/>
          <w:numId w:val="7"/>
        </w:num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color w:val="auto"/>
          <w:sz w:val="24"/>
          <w:highlight w:val="none"/>
        </w:rPr>
        <w:t>合同标的及金额</w:t>
      </w:r>
    </w:p>
    <w:p w14:paraId="034B5991">
      <w:pPr>
        <w:autoSpaceDE w:val="0"/>
        <w:autoSpaceDN w:val="0"/>
        <w:adjustRightInd w:val="0"/>
        <w:snapToGrid w:val="0"/>
        <w:spacing w:before="0" w:line="400" w:lineRule="exact"/>
        <w:ind w:firstLine="420" w:firstLineChars="200"/>
        <w:jc w:val="left"/>
        <w:rPr>
          <w:rFonts w:ascii="宋体" w:hAnsi="宋体"/>
          <w:b/>
          <w:bCs/>
          <w:i/>
          <w:iCs/>
          <w:color w:val="auto"/>
          <w:szCs w:val="21"/>
          <w:highlight w:val="none"/>
        </w:rPr>
      </w:pPr>
      <w:r>
        <w:rPr>
          <w:rFonts w:hint="eastAsia" w:ascii="宋体" w:hAnsi="宋体"/>
          <w:color w:val="auto"/>
          <w:szCs w:val="21"/>
          <w:highlight w:val="none"/>
          <w:lang w:eastAsia="zh-CN"/>
        </w:rPr>
        <w:t>2</w:t>
      </w:r>
      <w:r>
        <w:rPr>
          <w:rFonts w:hint="eastAsia" w:ascii="宋体" w:hAnsi="宋体"/>
          <w:color w:val="auto"/>
          <w:szCs w:val="21"/>
          <w:highlight w:val="none"/>
        </w:rPr>
        <w:t>.1 合同标的及金额应与中标（成交）结果一致。乙方为履行本合同而发生的所有费用均应包含在合同</w:t>
      </w:r>
      <w:r>
        <w:rPr>
          <w:rFonts w:hint="eastAsia" w:ascii="宋体" w:hAnsi="宋体"/>
          <w:color w:val="auto"/>
          <w:szCs w:val="21"/>
          <w:highlight w:val="none"/>
          <w:lang w:eastAsia="zh-CN"/>
        </w:rPr>
        <w:t>价款</w:t>
      </w:r>
      <w:r>
        <w:rPr>
          <w:rFonts w:hint="eastAsia" w:ascii="宋体" w:hAnsi="宋体"/>
          <w:color w:val="auto"/>
          <w:szCs w:val="21"/>
          <w:highlight w:val="none"/>
        </w:rPr>
        <w:t>中，甲方不再另行支付</w:t>
      </w:r>
      <w:r>
        <w:rPr>
          <w:rFonts w:hint="default" w:ascii="宋体" w:hAnsi="宋体"/>
          <w:color w:val="auto"/>
          <w:szCs w:val="21"/>
          <w:highlight w:val="none"/>
          <w:lang w:val="en"/>
        </w:rPr>
        <w:t>其他</w:t>
      </w:r>
      <w:r>
        <w:rPr>
          <w:rFonts w:hint="eastAsia" w:ascii="宋体" w:hAnsi="宋体"/>
          <w:color w:val="auto"/>
          <w:szCs w:val="21"/>
          <w:highlight w:val="none"/>
        </w:rPr>
        <w:t>任何费用。</w:t>
      </w:r>
    </w:p>
    <w:p w14:paraId="31AA8962">
      <w:pPr>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eastAsia="zh-CN"/>
        </w:rPr>
        <w:t>3</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履行合同的时间、地点和方式</w:t>
      </w:r>
    </w:p>
    <w:p w14:paraId="6F7D7BB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color w:val="auto"/>
          <w:szCs w:val="21"/>
        </w:rPr>
        <w:t>乙方应当在约定的时间、地点</w:t>
      </w:r>
      <w:r>
        <w:rPr>
          <w:rFonts w:hint="eastAsia" w:ascii="宋体" w:hAnsi="宋体" w:cs="宋体"/>
          <w:color w:val="auto"/>
          <w:szCs w:val="21"/>
          <w:lang w:eastAsia="zh-CN"/>
        </w:rPr>
        <w:t>，按照约定</w:t>
      </w:r>
      <w:r>
        <w:rPr>
          <w:rFonts w:hint="eastAsia" w:ascii="宋体" w:hAnsi="宋体" w:eastAsia="宋体" w:cs="宋体"/>
          <w:color w:val="auto"/>
          <w:szCs w:val="21"/>
        </w:rPr>
        <w:t>方式履行合同。</w:t>
      </w:r>
    </w:p>
    <w:p w14:paraId="6341D15A">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4</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甲方的权利和义务</w:t>
      </w:r>
    </w:p>
    <w:p w14:paraId="006FFB1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.1</w:t>
      </w:r>
      <w:r>
        <w:rPr>
          <w:rFonts w:ascii="宋体" w:hAnsi="宋体"/>
          <w:color w:val="auto"/>
          <w:szCs w:val="21"/>
          <w:highlight w:val="none"/>
        </w:rPr>
        <w:t xml:space="preserve"> 签署合同后，甲方</w:t>
      </w:r>
      <w:r>
        <w:rPr>
          <w:rFonts w:hint="eastAsia" w:ascii="宋体" w:hAnsi="宋体"/>
          <w:color w:val="auto"/>
          <w:szCs w:val="21"/>
          <w:highlight w:val="none"/>
          <w:lang w:eastAsia="zh-CN"/>
        </w:rPr>
        <w:t>应</w:t>
      </w:r>
      <w:r>
        <w:rPr>
          <w:rFonts w:ascii="宋体" w:hAnsi="宋体"/>
          <w:color w:val="auto"/>
          <w:szCs w:val="21"/>
          <w:highlight w:val="none"/>
        </w:rPr>
        <w:t>确定</w:t>
      </w:r>
      <w:r>
        <w:rPr>
          <w:rFonts w:hint="eastAsia" w:ascii="宋体" w:hAnsi="宋体"/>
          <w:color w:val="auto"/>
          <w:szCs w:val="21"/>
          <w:highlight w:val="none"/>
          <w:lang w:val="en-US" w:eastAsia="zh-CN"/>
        </w:rPr>
        <w:t>项目负责人（或项目联系人）</w:t>
      </w:r>
      <w:r>
        <w:rPr>
          <w:rFonts w:ascii="宋体" w:hAnsi="宋体"/>
          <w:color w:val="auto"/>
          <w:szCs w:val="21"/>
          <w:highlight w:val="none"/>
        </w:rPr>
        <w:t>，负责与本合同有关的事务。</w:t>
      </w:r>
      <w:r>
        <w:rPr>
          <w:rFonts w:hint="eastAsia" w:ascii="宋体" w:hAnsi="宋体"/>
          <w:color w:val="auto"/>
          <w:szCs w:val="21"/>
          <w:highlight w:val="none"/>
        </w:rPr>
        <w:t>甲方有权对乙方的履约行为进行检查，并</w:t>
      </w:r>
      <w:r>
        <w:rPr>
          <w:rFonts w:ascii="宋体" w:hAnsi="宋体"/>
          <w:color w:val="auto"/>
          <w:szCs w:val="21"/>
          <w:highlight w:val="none"/>
        </w:rPr>
        <w:t>及时确认乙方提交的事项</w:t>
      </w:r>
      <w:r>
        <w:rPr>
          <w:rFonts w:hint="eastAsia" w:ascii="宋体" w:hAnsi="宋体"/>
          <w:color w:val="auto"/>
          <w:szCs w:val="21"/>
          <w:highlight w:val="none"/>
        </w:rPr>
        <w:t>。甲方应当</w:t>
      </w:r>
      <w:r>
        <w:rPr>
          <w:rFonts w:ascii="宋体" w:hAnsi="宋体"/>
          <w:color w:val="auto"/>
          <w:szCs w:val="21"/>
          <w:highlight w:val="none"/>
        </w:rPr>
        <w:t>配合乙方完成</w:t>
      </w:r>
      <w:r>
        <w:rPr>
          <w:rFonts w:hint="eastAsia" w:ascii="宋体" w:hAnsi="宋体"/>
          <w:color w:val="auto"/>
          <w:szCs w:val="21"/>
          <w:highlight w:val="none"/>
        </w:rPr>
        <w:t>相关项目</w:t>
      </w:r>
      <w:r>
        <w:rPr>
          <w:rFonts w:ascii="宋体" w:hAnsi="宋体"/>
          <w:color w:val="auto"/>
          <w:szCs w:val="21"/>
          <w:highlight w:val="none"/>
        </w:rPr>
        <w:t>实施工作。</w:t>
      </w:r>
    </w:p>
    <w:p w14:paraId="7C3F150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 xml:space="preserve">.2 </w:t>
      </w:r>
      <w:r>
        <w:rPr>
          <w:rFonts w:ascii="宋体" w:hAnsi="宋体"/>
          <w:color w:val="auto"/>
          <w:szCs w:val="21"/>
          <w:highlight w:val="none"/>
        </w:rPr>
        <w:t>甲方有权要求乙方按时提交各阶段有关</w:t>
      </w:r>
      <w:r>
        <w:rPr>
          <w:rFonts w:hint="eastAsia" w:ascii="宋体" w:hAnsi="宋体"/>
          <w:color w:val="auto"/>
          <w:szCs w:val="21"/>
          <w:highlight w:val="none"/>
        </w:rPr>
        <w:t>安排计划</w:t>
      </w:r>
      <w:r>
        <w:rPr>
          <w:rFonts w:ascii="宋体" w:hAnsi="宋体"/>
          <w:color w:val="auto"/>
          <w:szCs w:val="21"/>
          <w:highlight w:val="none"/>
        </w:rPr>
        <w:t>，并有权</w:t>
      </w:r>
      <w:r>
        <w:rPr>
          <w:rFonts w:hint="eastAsia" w:ascii="宋体" w:hAnsi="宋体"/>
          <w:color w:val="auto"/>
          <w:szCs w:val="21"/>
          <w:highlight w:val="none"/>
        </w:rPr>
        <w:t>定期核对乙方提供货物数量、规格、质量等内容。甲方</w:t>
      </w:r>
      <w:r>
        <w:rPr>
          <w:rFonts w:ascii="宋体" w:hAnsi="宋体"/>
          <w:color w:val="auto"/>
          <w:szCs w:val="21"/>
          <w:highlight w:val="none"/>
        </w:rPr>
        <w:t>有权督促乙方工作并要求乙方</w:t>
      </w:r>
      <w:r>
        <w:rPr>
          <w:rFonts w:hint="eastAsia" w:ascii="宋体" w:hAnsi="宋体"/>
          <w:color w:val="auto"/>
          <w:szCs w:val="21"/>
          <w:highlight w:val="none"/>
        </w:rPr>
        <w:t>更</w:t>
      </w:r>
      <w:r>
        <w:rPr>
          <w:rFonts w:ascii="宋体" w:hAnsi="宋体"/>
          <w:color w:val="auto"/>
          <w:szCs w:val="21"/>
          <w:highlight w:val="none"/>
        </w:rPr>
        <w:t>换不符合要求的</w:t>
      </w:r>
      <w:r>
        <w:rPr>
          <w:rFonts w:hint="eastAsia" w:ascii="宋体" w:hAnsi="宋体"/>
          <w:color w:val="auto"/>
          <w:szCs w:val="21"/>
          <w:highlight w:val="none"/>
        </w:rPr>
        <w:t>货物</w:t>
      </w:r>
      <w:r>
        <w:rPr>
          <w:rFonts w:ascii="宋体" w:hAnsi="宋体"/>
          <w:color w:val="auto"/>
          <w:szCs w:val="21"/>
          <w:highlight w:val="none"/>
        </w:rPr>
        <w:t>。</w:t>
      </w:r>
    </w:p>
    <w:p w14:paraId="2E075AAA">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 xml:space="preserve"> </w:t>
      </w:r>
      <w:r>
        <w:rPr>
          <w:rFonts w:ascii="宋体" w:hAnsi="宋体"/>
          <w:color w:val="auto"/>
          <w:szCs w:val="21"/>
          <w:highlight w:val="none"/>
        </w:rPr>
        <w:t>甲方</w:t>
      </w:r>
      <w:r>
        <w:rPr>
          <w:rFonts w:hint="eastAsia" w:ascii="宋体" w:hAnsi="宋体"/>
          <w:color w:val="auto"/>
          <w:szCs w:val="21"/>
          <w:highlight w:val="none"/>
        </w:rPr>
        <w:t>有权要求乙方对缺陷部分予以修复，并按合同约定享有货物保修及其他合同约定的权利。</w:t>
      </w:r>
    </w:p>
    <w:p w14:paraId="57542829">
      <w:pPr>
        <w:snapToGrid w:val="0"/>
        <w:spacing w:line="400" w:lineRule="exact"/>
        <w:ind w:firstLine="420" w:firstLineChars="200"/>
        <w:rPr>
          <w:rFonts w:hint="eastAsia" w:eastAsia="华文楷体"/>
          <w:color w:val="auto"/>
          <w:lang w:val="en-US" w:eastAsia="zh-CN"/>
        </w:rPr>
      </w:pPr>
      <w:r>
        <w:rPr>
          <w:rFonts w:hint="default" w:ascii="宋体" w:hAnsi="宋体"/>
          <w:color w:val="auto"/>
          <w:szCs w:val="21"/>
          <w:highlight w:val="none"/>
          <w:lang w:val="en-US" w:eastAsia="zh-CN"/>
        </w:rPr>
        <w:t>4.4 甲方应当按照合同约定及时对交付的货物进行验收</w:t>
      </w:r>
      <w:r>
        <w:rPr>
          <w:rFonts w:hint="eastAsia" w:ascii="宋体" w:hAnsi="宋体"/>
          <w:color w:val="auto"/>
          <w:szCs w:val="21"/>
          <w:highlight w:val="none"/>
          <w:lang w:val="en-US" w:eastAsia="zh-CN"/>
        </w:rPr>
        <w:t>，</w:t>
      </w:r>
      <w:r>
        <w:rPr>
          <w:rFonts w:hint="eastAsia" w:ascii="宋体" w:hAnsi="宋体" w:cs="宋体"/>
          <w:b w:val="0"/>
          <w:bCs w:val="0"/>
          <w:color w:val="auto"/>
          <w:szCs w:val="21"/>
          <w:highlight w:val="none"/>
          <w:lang w:eastAsia="zh-CN"/>
        </w:rPr>
        <w:t>未</w:t>
      </w:r>
      <w:r>
        <w:rPr>
          <w:rFonts w:hint="eastAsia" w:ascii="宋体" w:hAnsi="宋体"/>
          <w:color w:val="auto"/>
          <w:szCs w:val="21"/>
          <w:highlight w:val="none"/>
          <w:lang w:val="en-US" w:eastAsia="zh-CN"/>
        </w:rPr>
        <w:t>在</w:t>
      </w:r>
      <w:r>
        <w:rPr>
          <w:rFonts w:hint="eastAsia" w:ascii="宋体" w:hAnsi="宋体" w:eastAsia="宋体" w:cs="宋体"/>
          <w:b/>
          <w:bCs/>
          <w:color w:val="auto"/>
          <w:szCs w:val="21"/>
          <w:highlight w:val="none"/>
        </w:rPr>
        <w:t>【政府采购合同专用条款】</w:t>
      </w:r>
      <w:r>
        <w:rPr>
          <w:rFonts w:hint="eastAsia" w:ascii="宋体" w:hAnsi="宋体" w:cs="宋体"/>
          <w:b w:val="0"/>
          <w:bCs w:val="0"/>
          <w:color w:val="auto"/>
          <w:szCs w:val="21"/>
          <w:highlight w:val="none"/>
          <w:lang w:eastAsia="zh-CN"/>
        </w:rPr>
        <w:t>约定的期限内对乙方履约提出任何异议或者向乙方作出任何说明的，</w:t>
      </w:r>
      <w:r>
        <w:rPr>
          <w:rFonts w:hint="eastAsia" w:ascii="宋体" w:hAnsi="宋体"/>
          <w:color w:val="auto"/>
          <w:szCs w:val="21"/>
          <w:highlight w:val="none"/>
          <w:lang w:val="en-US" w:eastAsia="zh-CN"/>
        </w:rPr>
        <w:t>视为验收通过。</w:t>
      </w:r>
    </w:p>
    <w:p w14:paraId="75B53957">
      <w:pPr>
        <w:autoSpaceDE w:val="0"/>
        <w:autoSpaceDN w:val="0"/>
        <w:adjustRightInd w:val="0"/>
        <w:snapToGrid w:val="0"/>
        <w:spacing w:line="400" w:lineRule="exact"/>
        <w:ind w:firstLine="420" w:firstLineChars="200"/>
        <w:jc w:val="left"/>
        <w:rPr>
          <w:rFonts w:hint="eastAsia" w:ascii="宋体" w:hAnsi="宋体"/>
          <w:color w:val="auto"/>
          <w:szCs w:val="21"/>
          <w:highlight w:val="none"/>
        </w:rPr>
      </w:pPr>
      <w:r>
        <w:rPr>
          <w:rFonts w:hint="default" w:ascii="宋体" w:hAnsi="宋体"/>
          <w:color w:val="auto"/>
          <w:szCs w:val="21"/>
          <w:highlight w:val="none"/>
          <w:lang w:eastAsia="zh-CN"/>
        </w:rPr>
        <w:t>4</w:t>
      </w:r>
      <w:r>
        <w:rPr>
          <w:rFonts w:hint="eastAsia" w:ascii="宋体" w:hAnsi="宋体"/>
          <w:color w:val="auto"/>
          <w:szCs w:val="21"/>
          <w:highlight w:val="none"/>
        </w:rPr>
        <w:t>.</w:t>
      </w:r>
      <w:r>
        <w:rPr>
          <w:rFonts w:hint="default" w:ascii="宋体" w:hAnsi="宋体"/>
          <w:color w:val="auto"/>
          <w:szCs w:val="21"/>
          <w:highlight w:val="none"/>
          <w:lang w:val="en-US" w:eastAsia="zh-CN"/>
        </w:rPr>
        <w:t>5</w:t>
      </w:r>
      <w:r>
        <w:rPr>
          <w:rFonts w:ascii="宋体" w:hAnsi="宋体"/>
          <w:color w:val="auto"/>
          <w:szCs w:val="21"/>
          <w:highlight w:val="none"/>
        </w:rPr>
        <w:t xml:space="preserve"> </w:t>
      </w:r>
      <w:r>
        <w:rPr>
          <w:rFonts w:hint="eastAsia" w:ascii="宋体" w:hAnsi="宋体"/>
          <w:color w:val="auto"/>
          <w:szCs w:val="21"/>
          <w:highlight w:val="none"/>
        </w:rPr>
        <w:t>甲方应当根据合同约定</w:t>
      </w:r>
      <w:r>
        <w:rPr>
          <w:rFonts w:hint="eastAsia" w:ascii="宋体" w:hAnsi="宋体"/>
          <w:color w:val="auto"/>
          <w:szCs w:val="21"/>
          <w:highlight w:val="none"/>
          <w:lang w:eastAsia="zh-CN"/>
        </w:rPr>
        <w:t>及</w:t>
      </w:r>
      <w:r>
        <w:rPr>
          <w:rFonts w:hint="eastAsia" w:ascii="宋体" w:hAnsi="宋体"/>
          <w:color w:val="auto"/>
          <w:szCs w:val="21"/>
          <w:highlight w:val="none"/>
        </w:rPr>
        <w:t>时向乙方支付</w:t>
      </w:r>
      <w:r>
        <w:rPr>
          <w:rFonts w:hint="eastAsia" w:ascii="宋体" w:hAnsi="宋体"/>
          <w:color w:val="auto"/>
          <w:szCs w:val="21"/>
          <w:highlight w:val="none"/>
          <w:lang w:eastAsia="zh-CN"/>
        </w:rPr>
        <w:t>合同价款</w:t>
      </w:r>
      <w:r>
        <w:rPr>
          <w:rFonts w:hint="default" w:ascii="宋体" w:hAnsi="宋体"/>
          <w:color w:val="auto"/>
          <w:szCs w:val="21"/>
          <w:highlight w:val="none"/>
          <w:lang w:eastAsia="zh-CN"/>
        </w:rPr>
        <w:t>，不得以内部人员变更、履行内部付款流程等为由，拒绝或迟延支付。</w:t>
      </w:r>
    </w:p>
    <w:p w14:paraId="444424C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ascii="宋体" w:hAnsi="宋体"/>
          <w:color w:val="auto"/>
          <w:szCs w:val="21"/>
          <w:highlight w:val="none"/>
        </w:rPr>
        <w:t xml:space="preserve"> </w:t>
      </w:r>
      <w:r>
        <w:rPr>
          <w:rFonts w:hint="eastAsia" w:ascii="宋体" w:hAnsi="宋体"/>
          <w:color w:val="auto"/>
          <w:szCs w:val="21"/>
          <w:highlight w:val="none"/>
        </w:rPr>
        <w:t>国家法律法规规定</w:t>
      </w:r>
      <w:r>
        <w:rPr>
          <w:rFonts w:hint="eastAsia" w:ascii="宋体" w:hAnsi="宋体"/>
          <w:color w:val="auto"/>
          <w:szCs w:val="21"/>
          <w:highlight w:val="none"/>
          <w:lang w:eastAsia="zh-CN"/>
        </w:rPr>
        <w:t>及</w:t>
      </w:r>
      <w:r>
        <w:rPr>
          <w:rFonts w:hint="eastAsia" w:ascii="宋体" w:hAnsi="宋体" w:eastAsia="宋体" w:cs="宋体"/>
          <w:b/>
          <w:bCs/>
          <w:color w:val="auto"/>
          <w:szCs w:val="21"/>
          <w:highlight w:val="none"/>
        </w:rPr>
        <w:t>【政府采购合同专用条款】</w:t>
      </w:r>
      <w:r>
        <w:rPr>
          <w:rFonts w:hint="eastAsia" w:ascii="宋体" w:hAnsi="宋体"/>
          <w:color w:val="auto"/>
          <w:szCs w:val="21"/>
          <w:highlight w:val="none"/>
          <w:lang w:eastAsia="zh-CN"/>
        </w:rPr>
        <w:t>约定应</w:t>
      </w:r>
      <w:r>
        <w:rPr>
          <w:rFonts w:hint="eastAsia" w:ascii="宋体" w:hAnsi="宋体"/>
          <w:color w:val="auto"/>
          <w:szCs w:val="21"/>
          <w:highlight w:val="none"/>
        </w:rPr>
        <w:t>由甲方承担的其他义务和责任。</w:t>
      </w:r>
    </w:p>
    <w:p w14:paraId="57E08A4A">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5</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乙方的权利和义务</w:t>
      </w:r>
    </w:p>
    <w:p w14:paraId="74AA942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 xml:space="preserve">.1 </w:t>
      </w:r>
      <w:r>
        <w:rPr>
          <w:rFonts w:ascii="宋体" w:hAnsi="宋体"/>
          <w:color w:val="auto"/>
          <w:szCs w:val="21"/>
          <w:highlight w:val="none"/>
        </w:rPr>
        <w:t>签署合同后，乙方</w:t>
      </w:r>
      <w:r>
        <w:rPr>
          <w:rFonts w:hint="eastAsia" w:ascii="宋体" w:hAnsi="宋体"/>
          <w:color w:val="auto"/>
          <w:szCs w:val="21"/>
          <w:highlight w:val="none"/>
          <w:lang w:eastAsia="zh-CN"/>
        </w:rPr>
        <w:t>应</w:t>
      </w:r>
      <w:r>
        <w:rPr>
          <w:rFonts w:ascii="宋体" w:hAnsi="宋体"/>
          <w:color w:val="auto"/>
          <w:szCs w:val="21"/>
          <w:highlight w:val="none"/>
        </w:rPr>
        <w:t>确定</w:t>
      </w:r>
      <w:r>
        <w:rPr>
          <w:rFonts w:hint="eastAsia" w:ascii="宋体" w:hAnsi="宋体"/>
          <w:color w:val="auto"/>
          <w:szCs w:val="21"/>
          <w:highlight w:val="none"/>
          <w:lang w:val="en-US" w:eastAsia="zh-CN"/>
        </w:rPr>
        <w:t>项目负责人（或项目联系人）</w:t>
      </w:r>
      <w:r>
        <w:rPr>
          <w:rFonts w:ascii="宋体" w:hAnsi="宋体"/>
          <w:color w:val="auto"/>
          <w:szCs w:val="21"/>
          <w:highlight w:val="none"/>
        </w:rPr>
        <w:t>，负责与本合同有关的事务。</w:t>
      </w:r>
    </w:p>
    <w:p w14:paraId="5707075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2 乙方应按照合同要求</w:t>
      </w:r>
      <w:r>
        <w:rPr>
          <w:rFonts w:hint="eastAsia" w:ascii="宋体" w:hAnsi="宋体"/>
          <w:color w:val="auto"/>
          <w:szCs w:val="21"/>
          <w:highlight w:val="none"/>
        </w:rPr>
        <w:t>履约</w:t>
      </w:r>
      <w:r>
        <w:rPr>
          <w:rFonts w:ascii="宋体" w:hAnsi="宋体"/>
          <w:color w:val="auto"/>
          <w:szCs w:val="21"/>
          <w:highlight w:val="none"/>
        </w:rPr>
        <w:t>，充分合理安排，确保</w:t>
      </w:r>
      <w:r>
        <w:rPr>
          <w:rFonts w:hint="eastAsia" w:ascii="宋体" w:hAnsi="宋体"/>
          <w:color w:val="auto"/>
          <w:szCs w:val="21"/>
          <w:highlight w:val="none"/>
        </w:rPr>
        <w:t>提供的货物</w:t>
      </w:r>
      <w:r>
        <w:rPr>
          <w:rFonts w:hint="eastAsia" w:ascii="宋体" w:hAnsi="宋体"/>
          <w:color w:val="auto"/>
          <w:szCs w:val="21"/>
          <w:highlight w:val="none"/>
          <w:lang w:eastAsia="zh-CN"/>
        </w:rPr>
        <w:t>及相关</w:t>
      </w:r>
      <w:r>
        <w:rPr>
          <w:rFonts w:hint="eastAsia" w:ascii="宋体" w:hAnsi="宋体"/>
          <w:color w:val="auto"/>
          <w:szCs w:val="21"/>
          <w:highlight w:val="none"/>
        </w:rPr>
        <w:t>服务符合合同</w:t>
      </w:r>
      <w:r>
        <w:rPr>
          <w:rFonts w:hint="eastAsia" w:ascii="宋体" w:hAnsi="宋体"/>
          <w:color w:val="auto"/>
          <w:szCs w:val="21"/>
          <w:highlight w:val="none"/>
          <w:lang w:eastAsia="zh-CN"/>
        </w:rPr>
        <w:t>有关</w:t>
      </w:r>
      <w:r>
        <w:rPr>
          <w:rFonts w:ascii="宋体" w:hAnsi="宋体"/>
          <w:color w:val="auto"/>
          <w:szCs w:val="21"/>
          <w:highlight w:val="none"/>
        </w:rPr>
        <w:t>要求</w:t>
      </w:r>
      <w:r>
        <w:rPr>
          <w:rFonts w:hint="eastAsia" w:ascii="宋体" w:hAnsi="宋体"/>
          <w:color w:val="auto"/>
          <w:szCs w:val="21"/>
          <w:highlight w:val="none"/>
        </w:rPr>
        <w:t>。接受项目行业管理部门及政府有关部门的指导，配合甲方的履约检查</w:t>
      </w:r>
      <w:r>
        <w:rPr>
          <w:rFonts w:hint="eastAsia" w:ascii="宋体" w:hAnsi="宋体"/>
          <w:color w:val="auto"/>
          <w:szCs w:val="21"/>
          <w:highlight w:val="none"/>
          <w:lang w:eastAsia="zh-CN"/>
        </w:rPr>
        <w:t>及验收</w:t>
      </w:r>
      <w:r>
        <w:rPr>
          <w:rFonts w:hint="eastAsia" w:ascii="宋体" w:hAnsi="宋体"/>
          <w:color w:val="auto"/>
          <w:szCs w:val="21"/>
          <w:highlight w:val="none"/>
        </w:rPr>
        <w:t>，并</w:t>
      </w:r>
      <w:r>
        <w:rPr>
          <w:rFonts w:ascii="宋体" w:hAnsi="宋体"/>
          <w:color w:val="auto"/>
          <w:szCs w:val="21"/>
          <w:highlight w:val="none"/>
        </w:rPr>
        <w:t>负责项目实施过程中的所有协调工作。</w:t>
      </w:r>
    </w:p>
    <w:p w14:paraId="34912AD8">
      <w:pPr>
        <w:pStyle w:val="23"/>
        <w:spacing w:after="0" w:line="400" w:lineRule="exact"/>
        <w:ind w:firstLine="422" w:firstLineChars="176"/>
        <w:rPr>
          <w:rFonts w:ascii="宋体" w:hAnsi="宋体" w:cs="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乙方有权</w:t>
      </w:r>
      <w:r>
        <w:rPr>
          <w:rFonts w:hint="eastAsia" w:ascii="宋体" w:hAnsi="宋体" w:cs="宋体"/>
          <w:color w:val="auto"/>
          <w:szCs w:val="21"/>
          <w:highlight w:val="none"/>
        </w:rPr>
        <w:t>根据合同约定向甲方收取</w:t>
      </w:r>
      <w:r>
        <w:rPr>
          <w:rFonts w:hint="eastAsia" w:ascii="宋体" w:hAnsi="宋体" w:cs="宋体"/>
          <w:color w:val="auto"/>
          <w:szCs w:val="21"/>
          <w:highlight w:val="none"/>
          <w:lang w:eastAsia="zh-CN"/>
        </w:rPr>
        <w:t>合同价款</w:t>
      </w:r>
      <w:r>
        <w:rPr>
          <w:rFonts w:hint="eastAsia" w:ascii="宋体" w:hAnsi="宋体" w:cs="宋体"/>
          <w:color w:val="auto"/>
          <w:szCs w:val="21"/>
          <w:highlight w:val="none"/>
        </w:rPr>
        <w:t>。</w:t>
      </w:r>
    </w:p>
    <w:p w14:paraId="2D6852FF">
      <w:pPr>
        <w:pStyle w:val="23"/>
        <w:spacing w:after="0" w:line="400" w:lineRule="exact"/>
        <w:ind w:firstLine="422" w:firstLineChars="176"/>
        <w:rPr>
          <w:rFonts w:ascii="宋体" w:hAnsi="宋体" w:cs="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4</w:t>
      </w:r>
      <w:r>
        <w:rPr>
          <w:rFonts w:hint="eastAsia" w:ascii="宋体" w:hAnsi="宋体" w:cs="宋体"/>
          <w:color w:val="auto"/>
          <w:szCs w:val="21"/>
          <w:highlight w:val="none"/>
        </w:rPr>
        <w:t>国家法律法规规定</w:t>
      </w:r>
      <w:r>
        <w:rPr>
          <w:rFonts w:hint="eastAsia" w:ascii="宋体" w:hAnsi="宋体"/>
          <w:color w:val="auto"/>
          <w:szCs w:val="21"/>
          <w:highlight w:val="none"/>
          <w:lang w:eastAsia="zh-CN"/>
        </w:rPr>
        <w:t>及</w:t>
      </w:r>
      <w:r>
        <w:rPr>
          <w:rFonts w:hint="eastAsia" w:ascii="宋体" w:hAnsi="宋体" w:eastAsia="宋体" w:cs="宋体"/>
          <w:b/>
          <w:bCs/>
          <w:color w:val="auto"/>
          <w:szCs w:val="21"/>
          <w:highlight w:val="none"/>
        </w:rPr>
        <w:t>【政府采购合同专用条款】</w:t>
      </w:r>
      <w:r>
        <w:rPr>
          <w:rFonts w:hint="eastAsia" w:ascii="宋体" w:hAnsi="宋体" w:cs="宋体"/>
          <w:b w:val="0"/>
          <w:bCs w:val="0"/>
          <w:color w:val="auto"/>
          <w:szCs w:val="21"/>
          <w:highlight w:val="none"/>
          <w:lang w:eastAsia="zh-CN"/>
        </w:rPr>
        <w:t>约定应</w:t>
      </w:r>
      <w:r>
        <w:rPr>
          <w:rFonts w:hint="eastAsia" w:ascii="宋体" w:hAnsi="宋体" w:cs="宋体"/>
          <w:color w:val="auto"/>
          <w:szCs w:val="21"/>
          <w:highlight w:val="none"/>
        </w:rPr>
        <w:t>由乙方承担的其他义务和责任。</w:t>
      </w:r>
    </w:p>
    <w:p w14:paraId="3C5182BE">
      <w:pPr>
        <w:numPr>
          <w:ilvl w:val="0"/>
          <w:numId w:val="8"/>
        </w:num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rPr>
        <w:t>合同履</w:t>
      </w:r>
      <w:r>
        <w:rPr>
          <w:rFonts w:hint="eastAsia" w:ascii="宋体" w:hAnsi="宋体"/>
          <w:b/>
          <w:bCs/>
          <w:color w:val="auto"/>
          <w:sz w:val="24"/>
          <w:highlight w:val="none"/>
          <w:lang w:val="en-US" w:eastAsia="zh-CN"/>
        </w:rPr>
        <w:t>行</w:t>
      </w:r>
    </w:p>
    <w:p w14:paraId="43FB891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6</w:t>
      </w:r>
      <w:r>
        <w:rPr>
          <w:rFonts w:hint="eastAsia" w:ascii="宋体" w:hAnsi="宋体"/>
          <w:color w:val="auto"/>
          <w:szCs w:val="21"/>
          <w:highlight w:val="none"/>
        </w:rPr>
        <w:t>.1 甲乙双方应当按照</w:t>
      </w:r>
      <w:r>
        <w:rPr>
          <w:rFonts w:hint="eastAsia" w:ascii="宋体" w:hAnsi="宋体" w:eastAsia="宋体" w:cs="宋体"/>
          <w:b/>
          <w:bCs/>
          <w:color w:val="auto"/>
          <w:szCs w:val="21"/>
          <w:highlight w:val="none"/>
        </w:rPr>
        <w:t>【政府采购合同专用条款】</w:t>
      </w:r>
      <w:r>
        <w:rPr>
          <w:rFonts w:hint="eastAsia" w:ascii="宋体" w:hAnsi="宋体"/>
          <w:color w:val="auto"/>
          <w:szCs w:val="21"/>
          <w:highlight w:val="none"/>
        </w:rPr>
        <w:t>约定顺序履行合同义务；如果没有先后顺序的，应当同时履行。</w:t>
      </w:r>
    </w:p>
    <w:p w14:paraId="20C3C19E">
      <w:pPr>
        <w:autoSpaceDE w:val="0"/>
        <w:autoSpaceDN w:val="0"/>
        <w:adjustRightInd w:val="0"/>
        <w:snapToGrid w:val="0"/>
        <w:spacing w:before="0" w:line="400" w:lineRule="exact"/>
        <w:ind w:firstLine="420" w:firstLineChars="200"/>
        <w:jc w:val="left"/>
        <w:rPr>
          <w:color w:val="auto"/>
        </w:rPr>
      </w:pPr>
      <w:r>
        <w:rPr>
          <w:rFonts w:hint="eastAsia" w:ascii="宋体" w:hAnsi="宋体"/>
          <w:color w:val="auto"/>
          <w:szCs w:val="21"/>
          <w:highlight w:val="none"/>
          <w:lang w:eastAsia="zh-CN"/>
        </w:rPr>
        <w:t>6</w:t>
      </w:r>
      <w:r>
        <w:rPr>
          <w:rFonts w:hint="eastAsia" w:ascii="宋体" w:hAnsi="宋体"/>
          <w:color w:val="auto"/>
          <w:szCs w:val="21"/>
          <w:highlight w:val="none"/>
        </w:rPr>
        <w:t>.2 甲乙双方按照合同约定顺序履行合同义务时，应当先履行一方未履行的，后履行一方有权拒绝其履行请求。先履行一方履行不符合约定的，后履行一方有权拒绝其相应的履行请求。</w:t>
      </w:r>
    </w:p>
    <w:p w14:paraId="37E74FBE">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7</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货物包装、运输</w:t>
      </w:r>
      <w:r>
        <w:rPr>
          <w:rFonts w:hint="eastAsia" w:ascii="宋体" w:hAnsi="宋体"/>
          <w:b/>
          <w:bCs/>
          <w:color w:val="auto"/>
          <w:sz w:val="24"/>
          <w:highlight w:val="none"/>
          <w:lang w:eastAsia="zh-CN"/>
        </w:rPr>
        <w:t>、</w:t>
      </w:r>
      <w:r>
        <w:rPr>
          <w:rFonts w:hint="eastAsia" w:ascii="宋体" w:hAnsi="宋体"/>
          <w:b/>
          <w:bCs/>
          <w:color w:val="auto"/>
          <w:sz w:val="24"/>
          <w:highlight w:val="none"/>
        </w:rPr>
        <w:t>保险</w:t>
      </w:r>
      <w:r>
        <w:rPr>
          <w:rFonts w:hint="eastAsia" w:ascii="宋体" w:hAnsi="宋体"/>
          <w:b/>
          <w:bCs/>
          <w:color w:val="auto"/>
          <w:sz w:val="24"/>
          <w:highlight w:val="none"/>
          <w:lang w:eastAsia="zh-CN"/>
        </w:rPr>
        <w:t>和交付</w:t>
      </w:r>
      <w:r>
        <w:rPr>
          <w:rFonts w:hint="eastAsia" w:ascii="宋体" w:hAnsi="宋体"/>
          <w:b/>
          <w:bCs/>
          <w:color w:val="auto"/>
          <w:sz w:val="24"/>
          <w:highlight w:val="none"/>
        </w:rPr>
        <w:t>要求</w:t>
      </w:r>
    </w:p>
    <w:p w14:paraId="3CAB878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.1 本合同</w:t>
      </w:r>
      <w:r>
        <w:rPr>
          <w:rFonts w:hint="eastAsia" w:ascii="宋体" w:hAnsi="宋体"/>
          <w:bCs/>
          <w:color w:val="auto"/>
          <w:szCs w:val="21"/>
          <w:highlight w:val="none"/>
        </w:rPr>
        <w:t>涉及商品包装</w:t>
      </w:r>
      <w:r>
        <w:rPr>
          <w:rFonts w:hint="eastAsia" w:ascii="宋体" w:hAnsi="宋体"/>
          <w:bCs/>
          <w:color w:val="auto"/>
          <w:szCs w:val="21"/>
          <w:highlight w:val="none"/>
          <w:lang w:eastAsia="zh-CN"/>
        </w:rPr>
        <w:t>、</w:t>
      </w:r>
      <w:r>
        <w:rPr>
          <w:rFonts w:hint="eastAsia" w:ascii="宋体" w:hAnsi="宋体"/>
          <w:bCs/>
          <w:color w:val="auto"/>
          <w:szCs w:val="21"/>
          <w:highlight w:val="none"/>
        </w:rPr>
        <w:t>快递包装的，</w:t>
      </w:r>
      <w:r>
        <w:rPr>
          <w:rFonts w:hint="eastAsia" w:ascii="宋体" w:hAnsi="宋体"/>
          <w:color w:val="auto"/>
          <w:szCs w:val="21"/>
          <w:highlight w:val="none"/>
        </w:rPr>
        <w:t>除</w:t>
      </w:r>
      <w:r>
        <w:rPr>
          <w:rFonts w:hint="eastAsia" w:ascii="宋体" w:hAnsi="宋体"/>
          <w:b/>
          <w:color w:val="auto"/>
          <w:szCs w:val="21"/>
          <w:highlight w:val="none"/>
        </w:rPr>
        <w:t>【政府采购合同专用条款】</w:t>
      </w:r>
      <w:r>
        <w:rPr>
          <w:rFonts w:hint="eastAsia" w:ascii="宋体" w:hAnsi="宋体"/>
          <w:bCs/>
          <w:color w:val="auto"/>
          <w:szCs w:val="21"/>
          <w:highlight w:val="none"/>
        </w:rPr>
        <w:t>另有</w:t>
      </w:r>
      <w:r>
        <w:rPr>
          <w:rFonts w:hint="eastAsia" w:ascii="宋体" w:hAnsi="宋体"/>
          <w:bCs/>
          <w:color w:val="auto"/>
          <w:szCs w:val="21"/>
          <w:highlight w:val="none"/>
          <w:lang w:eastAsia="zh-CN"/>
        </w:rPr>
        <w:t>约</w:t>
      </w:r>
      <w:r>
        <w:rPr>
          <w:rFonts w:hint="eastAsia" w:ascii="宋体" w:hAnsi="宋体"/>
          <w:bCs/>
          <w:color w:val="auto"/>
          <w:szCs w:val="21"/>
          <w:highlight w:val="none"/>
        </w:rPr>
        <w:t>定</w:t>
      </w:r>
      <w:r>
        <w:rPr>
          <w:rFonts w:hint="eastAsia" w:ascii="宋体" w:hAnsi="宋体"/>
          <w:bCs/>
          <w:color w:val="auto"/>
          <w:szCs w:val="21"/>
          <w:highlight w:val="none"/>
          <w:lang w:eastAsia="zh-CN"/>
        </w:rPr>
        <w:t>外</w:t>
      </w:r>
      <w:r>
        <w:rPr>
          <w:rFonts w:hint="eastAsia" w:ascii="宋体" w:hAnsi="宋体"/>
          <w:bCs/>
          <w:color w:val="auto"/>
          <w:szCs w:val="21"/>
          <w:highlight w:val="none"/>
        </w:rPr>
        <w:t>，</w:t>
      </w:r>
      <w:r>
        <w:rPr>
          <w:rFonts w:hint="eastAsia" w:ascii="宋体" w:hAnsi="宋体"/>
          <w:color w:val="auto"/>
          <w:szCs w:val="21"/>
          <w:highlight w:val="none"/>
        </w:rPr>
        <w:t>包装应适应远距离运输、防潮、防震、防锈和防野蛮装卸等要求，确保货物安全无损地运抵</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约定的</w:t>
      </w:r>
      <w:r>
        <w:rPr>
          <w:rFonts w:hint="eastAsia" w:ascii="宋体" w:hAnsi="宋体"/>
          <w:color w:val="auto"/>
          <w:szCs w:val="21"/>
          <w:highlight w:val="none"/>
        </w:rPr>
        <w:t>指定现场。</w:t>
      </w:r>
    </w:p>
    <w:p w14:paraId="65DF4C1B">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.2 除</w:t>
      </w:r>
      <w:r>
        <w:rPr>
          <w:rFonts w:hint="eastAsia" w:ascii="宋体" w:hAnsi="宋体"/>
          <w:b/>
          <w:color w:val="auto"/>
          <w:szCs w:val="21"/>
          <w:highlight w:val="none"/>
        </w:rPr>
        <w:t>【政府采购合同专用条款】</w:t>
      </w:r>
      <w:r>
        <w:rPr>
          <w:rFonts w:hint="eastAsia" w:ascii="宋体" w:hAnsi="宋体"/>
          <w:bCs/>
          <w:color w:val="auto"/>
          <w:szCs w:val="21"/>
          <w:highlight w:val="none"/>
        </w:rPr>
        <w:t>另有</w:t>
      </w:r>
      <w:r>
        <w:rPr>
          <w:rFonts w:hint="eastAsia" w:ascii="宋体" w:hAnsi="宋体"/>
          <w:bCs/>
          <w:color w:val="auto"/>
          <w:szCs w:val="21"/>
          <w:highlight w:val="none"/>
          <w:lang w:eastAsia="zh-CN"/>
        </w:rPr>
        <w:t>约</w:t>
      </w:r>
      <w:r>
        <w:rPr>
          <w:rFonts w:hint="eastAsia" w:ascii="宋体" w:hAnsi="宋体"/>
          <w:bCs/>
          <w:color w:val="auto"/>
          <w:szCs w:val="21"/>
          <w:highlight w:val="none"/>
        </w:rPr>
        <w:t>定</w:t>
      </w:r>
      <w:r>
        <w:rPr>
          <w:rFonts w:hint="eastAsia" w:ascii="宋体" w:hAnsi="宋体"/>
          <w:bCs/>
          <w:color w:val="auto"/>
          <w:szCs w:val="21"/>
          <w:highlight w:val="none"/>
          <w:lang w:eastAsia="zh-CN"/>
        </w:rPr>
        <w:t>外</w:t>
      </w:r>
      <w:r>
        <w:rPr>
          <w:rFonts w:hint="eastAsia" w:ascii="宋体" w:hAnsi="宋体"/>
          <w:bCs/>
          <w:color w:val="auto"/>
          <w:szCs w:val="21"/>
          <w:highlight w:val="none"/>
        </w:rPr>
        <w:t>，</w:t>
      </w:r>
      <w:r>
        <w:rPr>
          <w:rFonts w:hint="eastAsia" w:ascii="宋体" w:hAnsi="宋体"/>
          <w:color w:val="auto"/>
          <w:szCs w:val="21"/>
          <w:highlight w:val="none"/>
        </w:rPr>
        <w:t>乙方负责办理将货物运抵本合同规定的交货地点</w:t>
      </w:r>
      <w:r>
        <w:rPr>
          <w:rFonts w:hint="eastAsia" w:ascii="宋体" w:hAnsi="宋体"/>
          <w:color w:val="auto"/>
          <w:szCs w:val="21"/>
          <w:highlight w:val="none"/>
          <w:lang w:eastAsia="zh-CN"/>
        </w:rPr>
        <w:t>，并装卸、交付至甲方</w:t>
      </w:r>
      <w:r>
        <w:rPr>
          <w:rFonts w:hint="eastAsia" w:ascii="宋体" w:hAnsi="宋体"/>
          <w:color w:val="auto"/>
          <w:szCs w:val="21"/>
          <w:highlight w:val="none"/>
        </w:rPr>
        <w:t>的一切运输事项，相关费用应</w:t>
      </w:r>
      <w:r>
        <w:rPr>
          <w:rFonts w:hint="eastAsia" w:ascii="宋体" w:hAnsi="宋体"/>
          <w:color w:val="auto"/>
          <w:szCs w:val="21"/>
          <w:highlight w:val="none"/>
          <w:lang w:eastAsia="zh-CN"/>
        </w:rPr>
        <w:t>包含</w:t>
      </w:r>
      <w:r>
        <w:rPr>
          <w:rFonts w:hint="eastAsia" w:ascii="宋体" w:hAnsi="宋体"/>
          <w:color w:val="auto"/>
          <w:szCs w:val="21"/>
          <w:highlight w:val="none"/>
        </w:rPr>
        <w:t>在合同</w:t>
      </w:r>
      <w:r>
        <w:rPr>
          <w:rFonts w:hint="eastAsia" w:ascii="宋体" w:hAnsi="宋体"/>
          <w:color w:val="auto"/>
          <w:szCs w:val="21"/>
          <w:highlight w:val="none"/>
          <w:lang w:eastAsia="zh-CN"/>
        </w:rPr>
        <w:t>价款</w:t>
      </w:r>
      <w:r>
        <w:rPr>
          <w:rFonts w:hint="eastAsia" w:ascii="宋体" w:hAnsi="宋体"/>
          <w:color w:val="auto"/>
          <w:szCs w:val="21"/>
          <w:highlight w:val="none"/>
        </w:rPr>
        <w:t>中。</w:t>
      </w:r>
    </w:p>
    <w:p w14:paraId="6EDA72C1">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.3 货物保险要求按</w:t>
      </w:r>
      <w:r>
        <w:rPr>
          <w:rFonts w:hint="eastAsia" w:ascii="宋体" w:hAnsi="宋体"/>
          <w:b/>
          <w:color w:val="auto"/>
          <w:szCs w:val="21"/>
          <w:highlight w:val="none"/>
        </w:rPr>
        <w:t>【政府采购合同专用条款】</w:t>
      </w:r>
      <w:r>
        <w:rPr>
          <w:rFonts w:hint="eastAsia" w:ascii="宋体" w:hAnsi="宋体"/>
          <w:bCs/>
          <w:color w:val="auto"/>
          <w:szCs w:val="21"/>
          <w:highlight w:val="none"/>
        </w:rPr>
        <w:t>规定执行</w:t>
      </w:r>
      <w:r>
        <w:rPr>
          <w:rFonts w:hint="eastAsia" w:ascii="宋体" w:hAnsi="宋体"/>
          <w:color w:val="auto"/>
          <w:szCs w:val="21"/>
          <w:highlight w:val="none"/>
        </w:rPr>
        <w:t>。</w:t>
      </w:r>
    </w:p>
    <w:p w14:paraId="7A23DD49">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 xml:space="preserve">.4 </w:t>
      </w:r>
      <w:r>
        <w:rPr>
          <w:rFonts w:hint="eastAsia" w:ascii="宋体" w:hAnsi="宋体"/>
          <w:color w:val="auto"/>
          <w:szCs w:val="21"/>
          <w:highlight w:val="none"/>
          <w:lang w:val="en-US" w:eastAsia="zh-CN"/>
        </w:rPr>
        <w:t>除采购活动</w:t>
      </w:r>
      <w:r>
        <w:rPr>
          <w:rFonts w:hint="eastAsia" w:ascii="宋体" w:hAnsi="宋体"/>
          <w:color w:val="auto"/>
          <w:szCs w:val="21"/>
          <w:highlight w:val="none"/>
        </w:rPr>
        <w:t>对商品包装</w:t>
      </w:r>
      <w:r>
        <w:rPr>
          <w:rFonts w:hint="eastAsia" w:ascii="宋体" w:hAnsi="宋体"/>
          <w:color w:val="auto"/>
          <w:szCs w:val="21"/>
          <w:highlight w:val="none"/>
          <w:lang w:eastAsia="zh-CN"/>
        </w:rPr>
        <w:t>、</w:t>
      </w:r>
      <w:r>
        <w:rPr>
          <w:rFonts w:hint="eastAsia" w:ascii="宋体" w:hAnsi="宋体"/>
          <w:color w:val="auto"/>
          <w:szCs w:val="21"/>
          <w:highlight w:val="none"/>
        </w:rPr>
        <w:t>快递包装</w:t>
      </w:r>
      <w:r>
        <w:rPr>
          <w:rFonts w:hint="eastAsia" w:ascii="宋体" w:hAnsi="宋体"/>
          <w:color w:val="auto"/>
          <w:szCs w:val="21"/>
          <w:highlight w:val="none"/>
          <w:lang w:val="en-US" w:eastAsia="zh-CN"/>
        </w:rPr>
        <w:t>达成具体约定外</w:t>
      </w:r>
      <w:r>
        <w:rPr>
          <w:rFonts w:hint="eastAsia" w:ascii="宋体" w:hAnsi="宋体"/>
          <w:color w:val="auto"/>
          <w:szCs w:val="21"/>
          <w:highlight w:val="none"/>
        </w:rPr>
        <w:t>，乙方提供产品及相关快递服务</w:t>
      </w:r>
      <w:r>
        <w:rPr>
          <w:rFonts w:hint="eastAsia" w:ascii="宋体" w:hAnsi="宋体"/>
          <w:color w:val="auto"/>
          <w:szCs w:val="21"/>
          <w:highlight w:val="none"/>
          <w:lang w:val="en-US" w:eastAsia="zh-CN"/>
        </w:rPr>
        <w:t>涉及到</w:t>
      </w:r>
      <w:r>
        <w:rPr>
          <w:rFonts w:hint="eastAsia" w:ascii="宋体" w:hAnsi="宋体"/>
          <w:color w:val="auto"/>
          <w:szCs w:val="21"/>
          <w:highlight w:val="none"/>
        </w:rPr>
        <w:t>具体包装要求</w:t>
      </w:r>
      <w:r>
        <w:rPr>
          <w:rFonts w:hint="eastAsia" w:ascii="宋体" w:hAnsi="宋体"/>
          <w:color w:val="auto"/>
          <w:szCs w:val="21"/>
          <w:highlight w:val="none"/>
          <w:lang w:val="en-US" w:eastAsia="zh-CN"/>
        </w:rPr>
        <w:t>的，</w:t>
      </w:r>
      <w:r>
        <w:rPr>
          <w:rFonts w:hint="eastAsia" w:ascii="宋体" w:hAnsi="宋体"/>
          <w:color w:val="auto"/>
          <w:szCs w:val="21"/>
          <w:highlight w:val="none"/>
        </w:rPr>
        <w:t>应</w:t>
      </w:r>
      <w:r>
        <w:rPr>
          <w:rFonts w:hint="eastAsia" w:ascii="宋体" w:hAnsi="宋体"/>
          <w:color w:val="auto"/>
          <w:szCs w:val="21"/>
          <w:highlight w:val="none"/>
          <w:lang w:val="en-US" w:eastAsia="zh-CN"/>
        </w:rPr>
        <w:t>不低于</w:t>
      </w:r>
      <w:r>
        <w:rPr>
          <w:rFonts w:hint="eastAsia" w:ascii="宋体" w:hAnsi="宋体"/>
          <w:color w:val="auto"/>
          <w:szCs w:val="21"/>
          <w:highlight w:val="none"/>
        </w:rPr>
        <w:t>《商品包装政府采购需求标准（试行）</w:t>
      </w:r>
      <w:r>
        <w:rPr>
          <w:rFonts w:hint="eastAsia" w:ascii="宋体" w:hAnsi="宋体"/>
          <w:color w:val="auto"/>
          <w:szCs w:val="21"/>
          <w:highlight w:val="none"/>
          <w:lang w:eastAsia="zh-CN"/>
        </w:rPr>
        <w:t>》《</w:t>
      </w:r>
      <w:r>
        <w:rPr>
          <w:rFonts w:hint="eastAsia" w:ascii="宋体" w:hAnsi="宋体"/>
          <w:color w:val="auto"/>
          <w:szCs w:val="21"/>
          <w:highlight w:val="none"/>
        </w:rPr>
        <w:t>快递包装政府采购需求标准（试行）》</w:t>
      </w:r>
      <w:r>
        <w:rPr>
          <w:rFonts w:hint="eastAsia" w:ascii="宋体" w:hAnsi="宋体"/>
          <w:color w:val="auto"/>
          <w:szCs w:val="21"/>
          <w:highlight w:val="none"/>
          <w:lang w:val="en-US" w:eastAsia="zh-CN"/>
        </w:rPr>
        <w:t>标准</w:t>
      </w:r>
      <w:r>
        <w:rPr>
          <w:rFonts w:hint="eastAsia" w:ascii="宋体" w:hAnsi="宋体"/>
          <w:color w:val="auto"/>
          <w:szCs w:val="21"/>
          <w:highlight w:val="none"/>
        </w:rPr>
        <w:t>，并作为履约验收的内容，必要时甲方可以要求乙方在履约验收环节出具检测报告。</w:t>
      </w:r>
    </w:p>
    <w:p w14:paraId="66B9D9F5">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7.5 </w:t>
      </w:r>
      <w:r>
        <w:rPr>
          <w:rFonts w:hint="eastAsia" w:ascii="宋体" w:hAnsi="宋体" w:eastAsia="宋体" w:cs="宋体"/>
          <w:color w:val="auto"/>
          <w:szCs w:val="21"/>
        </w:rPr>
        <w:t>乙方在运输到达之前</w:t>
      </w:r>
      <w:r>
        <w:rPr>
          <w:rFonts w:hint="eastAsia" w:ascii="宋体" w:hAnsi="宋体" w:cs="宋体"/>
          <w:color w:val="auto"/>
          <w:szCs w:val="21"/>
          <w:lang w:eastAsia="zh-CN"/>
        </w:rPr>
        <w:t>应</w:t>
      </w:r>
      <w:r>
        <w:rPr>
          <w:rFonts w:hint="eastAsia" w:ascii="宋体" w:hAnsi="宋体" w:eastAsia="宋体" w:cs="宋体"/>
          <w:color w:val="auto"/>
          <w:szCs w:val="21"/>
        </w:rPr>
        <w:t>提前通知</w:t>
      </w:r>
      <w:r>
        <w:rPr>
          <w:rFonts w:hint="eastAsia" w:ascii="宋体" w:hAnsi="宋体" w:cs="宋体"/>
          <w:color w:val="auto"/>
          <w:szCs w:val="21"/>
          <w:lang w:eastAsia="zh-CN"/>
        </w:rPr>
        <w:t>甲方</w:t>
      </w:r>
      <w:r>
        <w:rPr>
          <w:rFonts w:hint="eastAsia" w:ascii="宋体" w:hAnsi="宋体" w:eastAsia="宋体" w:cs="宋体"/>
          <w:color w:val="auto"/>
          <w:szCs w:val="21"/>
        </w:rPr>
        <w:t>，并提示货物运输装卸的注意事项</w:t>
      </w:r>
      <w:r>
        <w:rPr>
          <w:rFonts w:hint="eastAsia" w:ascii="宋体" w:hAnsi="宋体" w:cs="宋体"/>
          <w:color w:val="auto"/>
          <w:szCs w:val="21"/>
          <w:lang w:eastAsia="zh-CN"/>
        </w:rPr>
        <w:t>，甲方配合乙方做好货物的接收工作。</w:t>
      </w:r>
    </w:p>
    <w:p w14:paraId="0A22A304">
      <w:pPr>
        <w:pStyle w:val="79"/>
        <w:rPr>
          <w:rFonts w:hint="default" w:eastAsia="华文楷体"/>
          <w:color w:val="auto"/>
          <w:sz w:val="21"/>
          <w:lang w:val="en-US" w:eastAsia="zh-CN"/>
        </w:rPr>
      </w:pPr>
      <w:r>
        <w:rPr>
          <w:rFonts w:hint="eastAsia" w:ascii="宋体" w:hAnsi="宋体" w:eastAsia="宋体" w:cs="Times New Roman"/>
          <w:color w:val="auto"/>
          <w:kern w:val="2"/>
          <w:sz w:val="21"/>
          <w:szCs w:val="21"/>
          <w:highlight w:val="none"/>
          <w:lang w:val="en-US" w:eastAsia="zh-CN"/>
        </w:rPr>
        <w:t xml:space="preserve">7.6 </w:t>
      </w:r>
      <w:r>
        <w:rPr>
          <w:rFonts w:hint="eastAsia" w:ascii="宋体" w:hAnsi="宋体" w:eastAsia="宋体" w:cs="Times New Roman"/>
          <w:color w:val="auto"/>
          <w:kern w:val="2"/>
          <w:sz w:val="21"/>
          <w:szCs w:val="21"/>
          <w:highlight w:val="none"/>
        </w:rPr>
        <w:t>如因包装</w:t>
      </w:r>
      <w:r>
        <w:rPr>
          <w:rFonts w:hint="eastAsia" w:ascii="宋体" w:hAnsi="宋体" w:eastAsia="宋体" w:cs="Times New Roman"/>
          <w:color w:val="auto"/>
          <w:kern w:val="2"/>
          <w:sz w:val="21"/>
          <w:szCs w:val="21"/>
          <w:highlight w:val="none"/>
          <w:lang w:eastAsia="zh-CN"/>
        </w:rPr>
        <w:t>、运输</w:t>
      </w:r>
      <w:r>
        <w:rPr>
          <w:rFonts w:hint="eastAsia" w:ascii="宋体" w:hAnsi="宋体" w:eastAsia="宋体" w:cs="Times New Roman"/>
          <w:color w:val="auto"/>
          <w:kern w:val="2"/>
          <w:sz w:val="21"/>
          <w:szCs w:val="21"/>
          <w:highlight w:val="none"/>
        </w:rPr>
        <w:t>问题导致货物</w:t>
      </w:r>
      <w:r>
        <w:rPr>
          <w:rFonts w:hint="eastAsia" w:ascii="宋体" w:hAnsi="宋体" w:eastAsia="宋体" w:cs="Times New Roman"/>
          <w:color w:val="auto"/>
          <w:kern w:val="2"/>
          <w:sz w:val="21"/>
          <w:szCs w:val="21"/>
          <w:highlight w:val="none"/>
          <w:lang w:eastAsia="zh-CN"/>
        </w:rPr>
        <w:t>损毁、丢失</w:t>
      </w:r>
      <w:r>
        <w:rPr>
          <w:rFonts w:hint="eastAsia" w:ascii="宋体" w:hAnsi="宋体" w:eastAsia="宋体" w:cs="Times New Roman"/>
          <w:color w:val="auto"/>
          <w:kern w:val="2"/>
          <w:sz w:val="21"/>
          <w:szCs w:val="21"/>
          <w:highlight w:val="none"/>
        </w:rPr>
        <w:t>或者品质下降，</w:t>
      </w:r>
      <w:r>
        <w:rPr>
          <w:rFonts w:hint="eastAsia" w:ascii="宋体" w:hAnsi="宋体" w:eastAsia="宋体" w:cs="Times New Roman"/>
          <w:color w:val="auto"/>
          <w:kern w:val="2"/>
          <w:sz w:val="21"/>
          <w:szCs w:val="21"/>
          <w:highlight w:val="none"/>
          <w:lang w:eastAsia="zh-CN"/>
        </w:rPr>
        <w:t>甲方</w:t>
      </w:r>
      <w:r>
        <w:rPr>
          <w:rFonts w:hint="eastAsia" w:ascii="宋体" w:hAnsi="宋体" w:eastAsia="宋体" w:cs="Times New Roman"/>
          <w:color w:val="auto"/>
          <w:kern w:val="2"/>
          <w:sz w:val="21"/>
          <w:szCs w:val="21"/>
          <w:highlight w:val="none"/>
        </w:rPr>
        <w:t>有权要求降价、换货、拒收部分或整批货物，由此</w:t>
      </w:r>
      <w:r>
        <w:rPr>
          <w:rFonts w:hint="eastAsia" w:ascii="宋体" w:hAnsi="宋体" w:eastAsia="宋体" w:cs="Times New Roman"/>
          <w:color w:val="auto"/>
          <w:kern w:val="2"/>
          <w:sz w:val="21"/>
          <w:szCs w:val="21"/>
          <w:highlight w:val="none"/>
          <w:lang w:eastAsia="zh-CN"/>
        </w:rPr>
        <w:t>产生</w:t>
      </w:r>
      <w:r>
        <w:rPr>
          <w:rFonts w:hint="eastAsia" w:ascii="宋体" w:hAnsi="宋体" w:eastAsia="宋体" w:cs="Times New Roman"/>
          <w:color w:val="auto"/>
          <w:kern w:val="2"/>
          <w:sz w:val="21"/>
          <w:szCs w:val="21"/>
          <w:highlight w:val="none"/>
        </w:rPr>
        <w:t>的费用和损失，均由</w:t>
      </w:r>
      <w:r>
        <w:rPr>
          <w:rFonts w:hint="eastAsia" w:ascii="宋体" w:hAnsi="宋体" w:eastAsia="宋体" w:cs="Times New Roman"/>
          <w:color w:val="auto"/>
          <w:kern w:val="2"/>
          <w:sz w:val="21"/>
          <w:szCs w:val="21"/>
          <w:highlight w:val="none"/>
          <w:lang w:eastAsia="zh-CN"/>
        </w:rPr>
        <w:t>乙方</w:t>
      </w:r>
      <w:r>
        <w:rPr>
          <w:rFonts w:hint="eastAsia" w:ascii="宋体" w:hAnsi="宋体" w:eastAsia="宋体" w:cs="Times New Roman"/>
          <w:color w:val="auto"/>
          <w:kern w:val="2"/>
          <w:sz w:val="21"/>
          <w:szCs w:val="21"/>
          <w:highlight w:val="none"/>
        </w:rPr>
        <w:t>承担。</w:t>
      </w:r>
    </w:p>
    <w:p w14:paraId="685BEECD">
      <w:pPr>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eastAsia="zh-CN"/>
        </w:rPr>
        <w:t>8</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质量标准和保证</w:t>
      </w:r>
    </w:p>
    <w:p w14:paraId="20E3676D">
      <w:pPr>
        <w:pStyle w:val="32"/>
        <w:adjustRightInd w:val="0"/>
        <w:snapToGrid w:val="0"/>
        <w:spacing w:before="0" w:line="400" w:lineRule="exact"/>
        <w:ind w:firstLine="4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213C076D">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auto"/>
          <w:szCs w:val="21"/>
          <w:lang w:eastAsia="zh-CN"/>
        </w:rPr>
        <w:t>约</w:t>
      </w:r>
      <w:r>
        <w:rPr>
          <w:rFonts w:hint="eastAsia" w:ascii="宋体" w:hAnsi="宋体" w:eastAsia="宋体" w:cs="宋体"/>
          <w:color w:val="auto"/>
          <w:szCs w:val="21"/>
        </w:rPr>
        <w:t>定的品牌、规格型号、技术性能、配置、质量、数量等要求。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5460FAC9">
      <w:pPr>
        <w:pStyle w:val="32"/>
        <w:adjustRightInd w:val="0"/>
        <w:snapToGrid w:val="0"/>
        <w:spacing w:before="0" w:line="400" w:lineRule="exact"/>
        <w:ind w:firstLine="420" w:firstLineChars="200"/>
        <w:jc w:val="left"/>
        <w:rPr>
          <w:rFonts w:hAnsi="宋体"/>
          <w:color w:val="auto"/>
          <w:highlight w:val="none"/>
        </w:rPr>
      </w:pPr>
      <w:r>
        <w:rPr>
          <w:rFonts w:hint="eastAsia" w:hAnsi="宋体"/>
          <w:color w:val="auto"/>
          <w:highlight w:val="none"/>
        </w:rPr>
        <w:t>（2）采用中华人民共和国法定计量单位。</w:t>
      </w:r>
    </w:p>
    <w:p w14:paraId="1DDF403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6AB21CE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684CB44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5B81162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color w:val="auto"/>
          <w:szCs w:val="21"/>
        </w:rPr>
        <w:t>在其使用寿命期内具</w:t>
      </w:r>
      <w:r>
        <w:rPr>
          <w:rFonts w:hint="eastAsia" w:ascii="宋体" w:hAnsi="宋体" w:cs="宋体"/>
          <w:color w:val="auto"/>
          <w:szCs w:val="21"/>
          <w:lang w:eastAsia="zh-CN"/>
        </w:rPr>
        <w:t>备合同约定</w:t>
      </w:r>
      <w:r>
        <w:rPr>
          <w:rFonts w:hint="eastAsia" w:ascii="宋体" w:hAnsi="宋体" w:eastAsia="宋体" w:cs="宋体"/>
          <w:color w:val="auto"/>
          <w:szCs w:val="21"/>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12729D7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6CEED90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060E651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auto"/>
          <w:szCs w:val="21"/>
          <w:highlight w:val="none"/>
          <w:lang w:val="en-US" w:eastAsia="zh-CN"/>
        </w:rPr>
        <w:t>5</w:t>
      </w:r>
      <w:r>
        <w:rPr>
          <w:rFonts w:hint="eastAsia" w:ascii="宋体" w:hAnsi="宋体"/>
          <w:color w:val="auto"/>
          <w:szCs w:val="21"/>
          <w:highlight w:val="none"/>
        </w:rPr>
        <w:t>.1条规定以书面形式</w:t>
      </w:r>
      <w:r>
        <w:rPr>
          <w:rFonts w:hint="eastAsia" w:ascii="宋体" w:hAnsi="宋体"/>
          <w:color w:val="auto"/>
          <w:szCs w:val="21"/>
          <w:highlight w:val="none"/>
          <w:lang w:eastAsia="zh-CN"/>
        </w:rPr>
        <w:t>追究</w:t>
      </w:r>
      <w:r>
        <w:rPr>
          <w:rFonts w:hint="eastAsia" w:ascii="宋体" w:hAnsi="宋体"/>
          <w:color w:val="auto"/>
          <w:szCs w:val="21"/>
          <w:highlight w:val="none"/>
        </w:rPr>
        <w:t>乙方</w:t>
      </w:r>
      <w:r>
        <w:rPr>
          <w:rFonts w:hint="eastAsia" w:ascii="宋体" w:hAnsi="宋体"/>
          <w:color w:val="auto"/>
          <w:szCs w:val="21"/>
          <w:highlight w:val="none"/>
          <w:lang w:eastAsia="zh-CN"/>
        </w:rPr>
        <w:t>的违约责任</w:t>
      </w:r>
      <w:r>
        <w:rPr>
          <w:rFonts w:hint="eastAsia" w:ascii="宋体" w:hAnsi="宋体"/>
          <w:color w:val="auto"/>
          <w:szCs w:val="21"/>
          <w:highlight w:val="none"/>
        </w:rPr>
        <w:t>。</w:t>
      </w:r>
    </w:p>
    <w:p w14:paraId="1169060D">
      <w:pP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1B1E8DA1">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权利瑕疵担保</w:t>
      </w:r>
    </w:p>
    <w:p w14:paraId="22BFAC6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.1 乙方保证对其出售的货物享有合法的权利。</w:t>
      </w:r>
    </w:p>
    <w:p w14:paraId="0294AD4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 xml:space="preserve">.2 </w:t>
      </w:r>
      <w:r>
        <w:rPr>
          <w:rFonts w:hint="eastAsia" w:ascii="宋体" w:hAnsi="宋体" w:eastAsia="宋体" w:cs="宋体"/>
          <w:color w:val="auto"/>
          <w:szCs w:val="15"/>
        </w:rPr>
        <w:t>乙方保证在交付的货物上不存在抵押权等担保物权。</w:t>
      </w:r>
    </w:p>
    <w:p w14:paraId="0FBD7B7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.3 如甲方使用</w:t>
      </w:r>
      <w:r>
        <w:rPr>
          <w:rFonts w:hint="eastAsia" w:ascii="宋体" w:hAnsi="宋体"/>
          <w:color w:val="auto"/>
          <w:szCs w:val="21"/>
          <w:highlight w:val="none"/>
          <w:lang w:val="en-US" w:eastAsia="zh-CN"/>
        </w:rPr>
        <w:t>上述</w:t>
      </w:r>
      <w:r>
        <w:rPr>
          <w:rFonts w:hint="eastAsia" w:ascii="宋体" w:hAnsi="宋体"/>
          <w:color w:val="auto"/>
          <w:szCs w:val="21"/>
          <w:highlight w:val="none"/>
        </w:rPr>
        <w:t>货物构成</w:t>
      </w:r>
      <w:r>
        <w:rPr>
          <w:rFonts w:hint="eastAsia" w:ascii="宋体" w:hAnsi="宋体"/>
          <w:color w:val="auto"/>
          <w:szCs w:val="21"/>
          <w:highlight w:val="none"/>
          <w:lang w:val="en-US" w:eastAsia="zh-CN"/>
        </w:rPr>
        <w:t>对第三人</w:t>
      </w:r>
      <w:r>
        <w:rPr>
          <w:rFonts w:hint="eastAsia" w:ascii="宋体" w:hAnsi="宋体"/>
          <w:color w:val="auto"/>
          <w:szCs w:val="21"/>
          <w:highlight w:val="none"/>
        </w:rPr>
        <w:t>侵权的，则由乙方承担全部责任。</w:t>
      </w:r>
    </w:p>
    <w:p w14:paraId="38DEB362">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0</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知识产权保护</w:t>
      </w:r>
    </w:p>
    <w:p w14:paraId="66A70B5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0</w:t>
      </w:r>
      <w:r>
        <w:rPr>
          <w:rFonts w:hint="eastAsia" w:ascii="宋体" w:hAnsi="宋体"/>
          <w:color w:val="auto"/>
          <w:szCs w:val="21"/>
          <w:highlight w:val="none"/>
        </w:rPr>
        <w:t>.1 乙方对其所销售的货物应当享有知识产权或经权利人合法授权，保证没有侵犯任何第三人的知识产权等权利。</w:t>
      </w:r>
      <w:bookmarkStart w:id="405" w:name="_Hlk163047038"/>
      <w:r>
        <w:rPr>
          <w:rFonts w:hint="eastAsia" w:ascii="宋体" w:hAnsi="宋体" w:eastAsia="宋体" w:cs="宋体"/>
          <w:color w:val="auto"/>
          <w:szCs w:val="15"/>
        </w:rPr>
        <w:t>因违反前述约定对第三人构成侵权的，应当由乙方向第三人承担法律责任；甲方依法向第三人赔偿后，有权向乙方追偿。甲方有其他损失的，乙方应当赔偿</w:t>
      </w:r>
      <w:bookmarkEnd w:id="405"/>
      <w:r>
        <w:rPr>
          <w:rFonts w:hint="eastAsia" w:ascii="宋体" w:hAnsi="宋体"/>
          <w:color w:val="auto"/>
          <w:szCs w:val="21"/>
          <w:highlight w:val="none"/>
        </w:rPr>
        <w:t>。</w:t>
      </w:r>
    </w:p>
    <w:p w14:paraId="6CAAB363">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p>
    <w:p w14:paraId="53E991CD">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15"/>
        </w:rPr>
      </w:pPr>
      <w:r>
        <w:rPr>
          <w:rFonts w:hint="eastAsia" w:ascii="宋体" w:hAnsi="宋体" w:cs="宋体"/>
          <w:color w:val="auto"/>
          <w:szCs w:val="15"/>
          <w:lang w:val="en-US" w:eastAsia="zh-CN"/>
        </w:rPr>
        <w:t xml:space="preserve">11.1 </w:t>
      </w:r>
      <w:r>
        <w:rPr>
          <w:rFonts w:hint="eastAsia" w:ascii="宋体" w:hAnsi="宋体" w:eastAsia="宋体" w:cs="宋体"/>
          <w:color w:val="auto"/>
          <w:szCs w:val="15"/>
        </w:rPr>
        <w:t>甲、乙双方</w:t>
      </w:r>
      <w:r>
        <w:rPr>
          <w:rFonts w:hint="eastAsia" w:ascii="宋体" w:hAnsi="宋体" w:cs="宋体"/>
          <w:color w:val="auto"/>
          <w:szCs w:val="15"/>
          <w:lang w:eastAsia="zh-CN"/>
        </w:rPr>
        <w:t>对</w:t>
      </w:r>
      <w:r>
        <w:rPr>
          <w:rFonts w:hint="eastAsia" w:ascii="宋体" w:hAnsi="宋体" w:eastAsia="宋体" w:cs="宋体"/>
          <w:color w:val="auto"/>
          <w:szCs w:val="15"/>
        </w:rPr>
        <w:t>采购和合同履行过程中所获悉的</w:t>
      </w:r>
      <w:r>
        <w:rPr>
          <w:rFonts w:hint="eastAsia" w:ascii="宋体" w:hAnsi="宋体" w:cs="宋体"/>
          <w:color w:val="auto"/>
          <w:szCs w:val="15"/>
          <w:lang w:eastAsia="zh-CN"/>
        </w:rPr>
        <w:t>国家秘密、工作秘密、</w:t>
      </w:r>
      <w:r>
        <w:rPr>
          <w:rFonts w:hint="eastAsia" w:ascii="宋体" w:hAnsi="宋体" w:eastAsia="宋体" w:cs="宋体"/>
          <w:color w:val="auto"/>
          <w:szCs w:val="15"/>
        </w:rPr>
        <w:t>商业秘密或者其他应当保密的信息，均有保密义务</w:t>
      </w:r>
      <w:r>
        <w:rPr>
          <w:rFonts w:hint="eastAsia" w:ascii="宋体" w:hAnsi="宋体" w:cs="宋体"/>
          <w:color w:val="auto"/>
          <w:szCs w:val="15"/>
          <w:lang w:eastAsia="zh-CN"/>
        </w:rPr>
        <w:t>且不受合同有效期所限，直至该信息成为公开信息</w:t>
      </w:r>
      <w:r>
        <w:rPr>
          <w:rFonts w:hint="eastAsia" w:ascii="宋体" w:hAnsi="宋体" w:eastAsia="宋体" w:cs="宋体"/>
          <w:color w:val="auto"/>
          <w:szCs w:val="15"/>
        </w:rPr>
        <w:t>。泄露、不正当地使用</w:t>
      </w:r>
      <w:r>
        <w:rPr>
          <w:rFonts w:hint="eastAsia" w:ascii="宋体" w:hAnsi="宋体" w:cs="宋体"/>
          <w:color w:val="auto"/>
          <w:szCs w:val="15"/>
          <w:lang w:eastAsia="zh-CN"/>
        </w:rPr>
        <w:t>国家秘密、工作秘密、</w:t>
      </w:r>
      <w:r>
        <w:rPr>
          <w:rFonts w:hint="eastAsia" w:ascii="宋体" w:hAnsi="宋体" w:eastAsia="宋体" w:cs="宋体"/>
          <w:color w:val="auto"/>
          <w:szCs w:val="15"/>
        </w:rPr>
        <w:t>商业秘密或者</w:t>
      </w:r>
      <w:r>
        <w:rPr>
          <w:rFonts w:hint="eastAsia" w:ascii="宋体" w:hAnsi="宋体" w:cs="宋体"/>
          <w:color w:val="auto"/>
          <w:szCs w:val="15"/>
          <w:lang w:eastAsia="zh-CN"/>
        </w:rPr>
        <w:t>其他应当保密的</w:t>
      </w:r>
      <w:r>
        <w:rPr>
          <w:rFonts w:hint="eastAsia" w:ascii="宋体" w:hAnsi="宋体" w:eastAsia="宋体" w:cs="宋体"/>
          <w:color w:val="auto"/>
          <w:szCs w:val="15"/>
        </w:rPr>
        <w:t>信息，应当承担</w:t>
      </w:r>
      <w:r>
        <w:rPr>
          <w:rFonts w:hint="eastAsia" w:ascii="宋体" w:hAnsi="宋体" w:cs="宋体"/>
          <w:color w:val="auto"/>
          <w:szCs w:val="15"/>
          <w:lang w:eastAsia="zh-CN"/>
        </w:rPr>
        <w:t>相应</w:t>
      </w:r>
      <w:r>
        <w:rPr>
          <w:rFonts w:hint="eastAsia" w:ascii="宋体" w:hAnsi="宋体" w:eastAsia="宋体" w:cs="宋体"/>
          <w:color w:val="auto"/>
          <w:szCs w:val="15"/>
        </w:rPr>
        <w:t>责任。其他应当保密的信息由双方在</w:t>
      </w:r>
      <w:r>
        <w:rPr>
          <w:rFonts w:hint="eastAsia" w:ascii="宋体" w:hAnsi="宋体" w:eastAsia="宋体" w:cs="宋体"/>
          <w:b/>
          <w:bCs/>
          <w:color w:val="auto"/>
          <w:szCs w:val="15"/>
        </w:rPr>
        <w:t>【政府采购合同专用条款】</w:t>
      </w:r>
      <w:r>
        <w:rPr>
          <w:rFonts w:hint="eastAsia" w:ascii="宋体" w:hAnsi="宋体" w:eastAsia="宋体" w:cs="宋体"/>
          <w:color w:val="auto"/>
          <w:szCs w:val="15"/>
        </w:rPr>
        <w:t>中约定。</w:t>
      </w:r>
    </w:p>
    <w:p w14:paraId="02C812B1">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p>
    <w:p w14:paraId="4DCAFF35">
      <w:pPr>
        <w:autoSpaceDE/>
        <w:autoSpaceDN/>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5D33A28C">
      <w:pPr>
        <w:pStyle w:val="3"/>
        <w:spacing w:line="400" w:lineRule="exact"/>
        <w:ind w:firstLine="420" w:firstLineChars="200"/>
        <w:rPr>
          <w:rFonts w:hint="eastAsia" w:eastAsia="宋体"/>
          <w:color w:val="auto"/>
          <w:highlight w:val="none"/>
          <w:lang w:eastAsia="zh-CN"/>
        </w:rPr>
      </w:pPr>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p>
    <w:p w14:paraId="3525D5BC">
      <w:pPr>
        <w:pStyle w:val="23"/>
        <w:spacing w:after="0" w:line="400" w:lineRule="exact"/>
        <w:rPr>
          <w:rFonts w:ascii="宋体" w:hAnsi="宋体"/>
          <w:b/>
          <w:bCs/>
          <w:color w:val="auto"/>
          <w:sz w:val="24"/>
          <w:szCs w:val="24"/>
          <w:highlight w:val="none"/>
        </w:rPr>
      </w:pPr>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p>
    <w:p w14:paraId="27653D05">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color w:val="auto"/>
          <w:szCs w:val="15"/>
        </w:rPr>
        <w:t>乙方应当以支票、汇票、本票或者金融机构、担保机构出具的保函等非现金形式提交。</w:t>
      </w:r>
    </w:p>
    <w:p w14:paraId="02037B79">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color w:val="auto"/>
          <w:szCs w:val="15"/>
          <w:highlight w:val="none"/>
        </w:rPr>
        <w:t>【政府采购合同专用条款】</w:t>
      </w:r>
      <w:r>
        <w:rPr>
          <w:rFonts w:hint="eastAsia" w:ascii="宋体" w:hAnsi="宋体" w:cs="宋体"/>
          <w:b w:val="0"/>
          <w:bCs w:val="0"/>
          <w:color w:val="auto"/>
          <w:szCs w:val="15"/>
          <w:highlight w:val="none"/>
          <w:lang w:eastAsia="zh-CN"/>
        </w:rPr>
        <w:t>约定</w:t>
      </w:r>
      <w:r>
        <w:rPr>
          <w:rFonts w:hint="eastAsia" w:ascii="宋体" w:hAnsi="宋体" w:cs="宋体"/>
          <w:b w:val="0"/>
          <w:bCs w:val="0"/>
          <w:color w:val="auto"/>
          <w:szCs w:val="15"/>
          <w:lang w:eastAsia="zh-CN"/>
        </w:rPr>
        <w:t>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202DEB78">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40E78E73">
      <w:p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p>
    <w:p w14:paraId="2D6E250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2161802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7D0C6D4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0AC22B9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color w:val="auto"/>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44BFD6AA">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color w:val="auto"/>
          <w:szCs w:val="15"/>
          <w:lang w:eastAsia="zh-CN"/>
        </w:rPr>
        <w:t>；</w:t>
      </w:r>
    </w:p>
    <w:p w14:paraId="0D52ADD3">
      <w:pPr>
        <w:pStyle w:val="79"/>
        <w:rPr>
          <w:rFonts w:hint="eastAsia" w:ascii="宋体" w:hAnsi="宋体" w:eastAsia="宋体" w:cs="宋体"/>
          <w:color w:val="auto"/>
          <w:sz w:val="21"/>
          <w:szCs w:val="21"/>
        </w:rPr>
      </w:pPr>
      <w:r>
        <w:rPr>
          <w:rFonts w:hint="eastAsia" w:ascii="宋体" w:hAnsi="宋体" w:eastAsia="宋体" w:cs="宋体"/>
          <w:color w:val="auto"/>
          <w:sz w:val="21"/>
          <w:szCs w:val="21"/>
        </w:rPr>
        <w:t>（5）依照法律、行政法规的规定或者按照</w:t>
      </w:r>
      <w:r>
        <w:rPr>
          <w:rFonts w:hint="eastAsia" w:ascii="宋体" w:hAnsi="宋体" w:eastAsia="宋体" w:cs="宋体"/>
          <w:b/>
          <w:bCs/>
          <w:color w:val="auto"/>
          <w:sz w:val="21"/>
          <w:szCs w:val="21"/>
        </w:rPr>
        <w:t>【政府采购合同专用条款】</w:t>
      </w:r>
      <w:r>
        <w:rPr>
          <w:rFonts w:hint="eastAsia" w:ascii="宋体" w:hAnsi="宋体" w:eastAsia="宋体" w:cs="宋体"/>
          <w:color w:val="auto"/>
          <w:sz w:val="21"/>
          <w:szCs w:val="21"/>
        </w:rPr>
        <w:t>约定，货物在有效使用年限届满后应予回收的，乙方负有自行或者委托第三人对货物予以回收的义务；</w:t>
      </w:r>
    </w:p>
    <w:p w14:paraId="52F8758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5197537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061D18FE">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p>
    <w:p w14:paraId="2AC4B6D5">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0BDE6709">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13A71DB6">
      <w:pP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2938615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237AC665">
      <w:pP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48BA8B4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6A71D89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066AA1B1">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71376D78">
      <w:pPr>
        <w:numPr>
          <w:ilvl w:val="0"/>
          <w:numId w:val="9"/>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p>
    <w:p w14:paraId="5171A9CD">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0AA2975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64DF8032">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551D2AE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5CE2C148">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24F2DC33">
      <w:pPr>
        <w:pStyle w:val="79"/>
        <w:jc w:val="both"/>
        <w:rPr>
          <w:color w:val="auto"/>
          <w:sz w:val="21"/>
        </w:rPr>
      </w:pPr>
      <w:r>
        <w:rPr>
          <w:rFonts w:hint="eastAsia" w:ascii="宋体" w:hAnsi="宋体" w:eastAsia="宋体" w:cs="宋体"/>
          <w:color w:val="auto"/>
          <w:sz w:val="21"/>
        </w:rPr>
        <w:t>（3）乙方分立、合并或者变更住所的，应当及时以书面形式告知甲方。乙方没有</w:t>
      </w:r>
      <w:r>
        <w:rPr>
          <w:rFonts w:hint="eastAsia" w:ascii="宋体" w:hAnsi="宋体" w:eastAsia="宋体" w:cs="宋体"/>
          <w:color w:val="auto"/>
          <w:sz w:val="21"/>
          <w:lang w:eastAsia="zh-CN"/>
        </w:rPr>
        <w:t>及时告知</w:t>
      </w:r>
      <w:r>
        <w:rPr>
          <w:rFonts w:hint="eastAsia" w:ascii="宋体" w:hAnsi="宋体" w:eastAsia="宋体" w:cs="宋体"/>
          <w:color w:val="auto"/>
          <w:sz w:val="21"/>
        </w:rPr>
        <w:t>甲方，致使</w:t>
      </w:r>
      <w:r>
        <w:rPr>
          <w:rFonts w:hint="eastAsia" w:ascii="宋体" w:hAnsi="宋体" w:eastAsia="宋体" w:cs="宋体"/>
          <w:color w:val="auto"/>
          <w:sz w:val="21"/>
          <w:lang w:eastAsia="zh-CN"/>
        </w:rPr>
        <w:t>合同</w:t>
      </w:r>
      <w:r>
        <w:rPr>
          <w:rFonts w:hint="eastAsia" w:ascii="宋体" w:hAnsi="宋体" w:eastAsia="宋体" w:cs="宋体"/>
          <w:color w:val="auto"/>
          <w:sz w:val="21"/>
        </w:rPr>
        <w:t>履行发生困难的，甲方可以中止合同履行并要求乙方承担由此给甲方造成的损失。</w:t>
      </w:r>
    </w:p>
    <w:p w14:paraId="6F8F1567">
      <w:pPr>
        <w:snapToGrid w:val="0"/>
        <w:spacing w:line="400" w:lineRule="exact"/>
        <w:ind w:firstLine="420" w:firstLineChars="200"/>
        <w:jc w:val="left"/>
        <w:rPr>
          <w:color w:val="auto"/>
          <w:sz w:val="21"/>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36B4E612">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2788FD7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644E1DE8">
      <w:pPr>
        <w:snapToGrid w:val="0"/>
        <w:spacing w:line="400" w:lineRule="exact"/>
        <w:ind w:firstLine="420" w:firstLineChars="200"/>
        <w:rPr>
          <w:rFonts w:hint="eastAsia" w:ascii="宋体" w:hAnsi="宋体" w:eastAsia="宋体" w:cs="宋体"/>
          <w:color w:val="auto"/>
          <w:szCs w:val="21"/>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color w:val="auto"/>
          <w:szCs w:val="21"/>
        </w:rPr>
        <w:t>并追究乙方的违约责</w:t>
      </w:r>
      <w:r>
        <w:rPr>
          <w:rFonts w:hint="eastAsia" w:ascii="宋体" w:hAnsi="宋体" w:cs="宋体"/>
          <w:color w:val="auto"/>
          <w:szCs w:val="21"/>
          <w:lang w:val="en-US" w:eastAsia="zh-CN"/>
        </w:rPr>
        <w:t>任</w:t>
      </w:r>
      <w:r>
        <w:rPr>
          <w:rFonts w:hint="eastAsia" w:ascii="宋体" w:hAnsi="宋体"/>
          <w:color w:val="auto"/>
          <w:szCs w:val="21"/>
          <w:highlight w:val="none"/>
        </w:rPr>
        <w:t>。</w:t>
      </w:r>
    </w:p>
    <w:p w14:paraId="6CD96E12">
      <w:pPr>
        <w:pStyle w:val="79"/>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74EDC63D">
      <w:pPr>
        <w:pStyle w:val="79"/>
        <w:jc w:val="both"/>
        <w:rPr>
          <w:color w:val="auto"/>
          <w:sz w:val="21"/>
        </w:rPr>
      </w:pPr>
      <w:r>
        <w:rPr>
          <w:rFonts w:hint="eastAsia" w:ascii="宋体" w:hAnsi="宋体" w:eastAsia="宋体" w:cs="宋体"/>
          <w:color w:val="auto"/>
          <w:sz w:val="21"/>
        </w:rPr>
        <w:t>政府采购合同继续履行将损害国家利益和社会公共利益的，双方当事人</w:t>
      </w:r>
      <w:r>
        <w:rPr>
          <w:rFonts w:hint="eastAsia" w:ascii="宋体" w:hAnsi="宋体" w:eastAsia="宋体" w:cs="宋体"/>
          <w:color w:val="auto"/>
          <w:sz w:val="21"/>
          <w:highlight w:val="none"/>
          <w:lang w:val="en-US" w:eastAsia="zh-CN"/>
        </w:rPr>
        <w:t>应当变更、</w:t>
      </w:r>
      <w:r>
        <w:rPr>
          <w:rFonts w:hint="eastAsia" w:ascii="宋体" w:hAnsi="宋体" w:eastAsia="宋体" w:cs="宋体"/>
          <w:color w:val="auto"/>
          <w:sz w:val="21"/>
        </w:rPr>
        <w:t>中止</w:t>
      </w:r>
      <w:r>
        <w:rPr>
          <w:rFonts w:hint="eastAsia" w:ascii="宋体" w:hAnsi="宋体" w:eastAsia="宋体" w:cs="宋体"/>
          <w:color w:val="auto"/>
          <w:sz w:val="21"/>
          <w:lang w:eastAsia="zh-CN"/>
        </w:rPr>
        <w:t>或者终止</w:t>
      </w:r>
      <w:r>
        <w:rPr>
          <w:rFonts w:hint="eastAsia" w:ascii="宋体" w:hAnsi="宋体" w:eastAsia="宋体" w:cs="宋体"/>
          <w:color w:val="auto"/>
          <w:sz w:val="21"/>
        </w:rPr>
        <w:t>合同。有过错的一方应当承担赔偿责任，双方都有过错的，各自承担相应的责任。</w:t>
      </w:r>
    </w:p>
    <w:p w14:paraId="3BEB5843">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p>
    <w:p w14:paraId="66CE99B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588ACC8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2B3E6567">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p>
    <w:p w14:paraId="2FEB2DC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6D16EAD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278C6E0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75555C79">
      <w:p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p>
    <w:p w14:paraId="42EBD03B">
      <w:pPr>
        <w:pStyle w:val="79"/>
        <w:jc w:val="both"/>
        <w:rPr>
          <w:rFonts w:hint="eastAsia" w:ascii="宋体" w:hAnsi="宋体" w:eastAsia="宋体" w:cs="宋体"/>
          <w:color w:val="auto"/>
          <w:sz w:val="21"/>
        </w:rPr>
      </w:pPr>
      <w:r>
        <w:rPr>
          <w:rFonts w:hint="eastAsia" w:ascii="宋体" w:hAnsi="宋体" w:eastAsia="宋体" w:cs="宋体"/>
          <w:color w:val="auto"/>
          <w:sz w:val="21"/>
          <w:lang w:val="en-US" w:eastAsia="zh-CN"/>
        </w:rPr>
        <w:t>19</w:t>
      </w:r>
      <w:r>
        <w:rPr>
          <w:rFonts w:hint="eastAsia" w:ascii="宋体" w:hAnsi="宋体" w:eastAsia="宋体" w:cs="宋体"/>
          <w:color w:val="auto"/>
          <w:sz w:val="21"/>
        </w:rPr>
        <w:t>.1 因本合同及合同有关事项发生的争议，由</w:t>
      </w:r>
      <w:r>
        <w:rPr>
          <w:rFonts w:hint="eastAsia" w:ascii="宋体" w:hAnsi="宋体" w:eastAsia="宋体" w:cs="宋体"/>
          <w:color w:val="auto"/>
          <w:sz w:val="21"/>
          <w:lang w:eastAsia="zh-CN"/>
        </w:rPr>
        <w:t>甲乙双</w:t>
      </w:r>
      <w:r>
        <w:rPr>
          <w:rFonts w:hint="eastAsia" w:ascii="宋体" w:hAnsi="宋体" w:eastAsia="宋体" w:cs="宋体"/>
          <w:color w:val="auto"/>
          <w:sz w:val="21"/>
        </w:rPr>
        <w:t>方友好协商解决。协商不成时，可以</w:t>
      </w:r>
      <w:r>
        <w:rPr>
          <w:rFonts w:hint="eastAsia" w:ascii="宋体" w:hAnsi="宋体" w:eastAsia="宋体" w:cs="宋体"/>
          <w:color w:val="auto"/>
          <w:sz w:val="21"/>
          <w:lang w:eastAsia="zh-CN"/>
        </w:rPr>
        <w:t>向有关组织申请</w:t>
      </w:r>
      <w:r>
        <w:rPr>
          <w:rFonts w:hint="eastAsia" w:ascii="宋体" w:hAnsi="宋体" w:eastAsia="宋体" w:cs="宋体"/>
          <w:color w:val="auto"/>
          <w:sz w:val="21"/>
        </w:rPr>
        <w:t>调解。合同一方或</w:t>
      </w:r>
      <w:r>
        <w:rPr>
          <w:rFonts w:hint="eastAsia" w:ascii="宋体" w:hAnsi="宋体" w:eastAsia="宋体" w:cs="宋体"/>
          <w:color w:val="auto"/>
          <w:sz w:val="21"/>
          <w:lang w:eastAsia="zh-CN"/>
        </w:rPr>
        <w:t>双</w:t>
      </w:r>
      <w:r>
        <w:rPr>
          <w:rFonts w:hint="eastAsia" w:ascii="宋体" w:hAnsi="宋体" w:eastAsia="宋体" w:cs="宋体"/>
          <w:color w:val="auto"/>
          <w:sz w:val="21"/>
        </w:rPr>
        <w:t>方不愿调解或调解不成的，可以通过仲裁或诉讼的方式解决争议。</w:t>
      </w:r>
    </w:p>
    <w:p w14:paraId="68E2D3C2">
      <w:pPr>
        <w:pStyle w:val="79"/>
        <w:jc w:val="both"/>
        <w:rPr>
          <w:rFonts w:hint="eastAsia" w:ascii="宋体" w:hAnsi="宋体" w:eastAsia="宋体" w:cs="宋体"/>
          <w:color w:val="auto"/>
          <w:sz w:val="21"/>
        </w:rPr>
      </w:pPr>
      <w:r>
        <w:rPr>
          <w:rFonts w:hint="eastAsia" w:ascii="宋体" w:hAnsi="宋体" w:eastAsia="宋体" w:cs="宋体"/>
          <w:color w:val="auto"/>
          <w:sz w:val="21"/>
          <w:lang w:val="en-US" w:eastAsia="zh-CN"/>
        </w:rPr>
        <w:t>19</w:t>
      </w:r>
      <w:r>
        <w:rPr>
          <w:rFonts w:hint="eastAsia" w:ascii="宋体" w:hAnsi="宋体" w:eastAsia="宋体" w:cs="宋体"/>
          <w:color w:val="auto"/>
          <w:sz w:val="21"/>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rPr>
        <w:t>中进一步约定选择与争议有实际联系的地点的人民法院管辖，但管辖法院的约定不得违反级别管辖和专属管辖的规定。</w:t>
      </w:r>
    </w:p>
    <w:p w14:paraId="4B37A8BD">
      <w:pPr>
        <w:pStyle w:val="79"/>
        <w:jc w:val="both"/>
        <w:rPr>
          <w:rFonts w:hint="eastAsia" w:ascii="宋体" w:hAnsi="宋体" w:eastAsia="宋体" w:cs="宋体"/>
          <w:color w:val="auto"/>
          <w:sz w:val="21"/>
        </w:rPr>
      </w:pPr>
      <w:r>
        <w:rPr>
          <w:rFonts w:hint="eastAsia" w:ascii="宋体" w:hAnsi="宋体" w:eastAsia="宋体" w:cs="宋体"/>
          <w:color w:val="auto"/>
          <w:sz w:val="21"/>
          <w:lang w:val="en-US" w:eastAsia="zh-CN"/>
        </w:rPr>
        <w:t>19</w:t>
      </w:r>
      <w:r>
        <w:rPr>
          <w:rFonts w:hint="eastAsia" w:ascii="宋体" w:hAnsi="宋体" w:eastAsia="宋体" w:cs="宋体"/>
          <w:color w:val="auto"/>
          <w:sz w:val="21"/>
        </w:rPr>
        <w:t>.3 如</w:t>
      </w:r>
      <w:r>
        <w:rPr>
          <w:rFonts w:hint="eastAsia" w:ascii="宋体" w:hAnsi="宋体" w:eastAsia="宋体" w:cs="宋体"/>
          <w:color w:val="auto"/>
          <w:sz w:val="21"/>
          <w:lang w:eastAsia="zh-CN"/>
        </w:rPr>
        <w:t>甲乙双方</w:t>
      </w:r>
      <w:r>
        <w:rPr>
          <w:rFonts w:hint="eastAsia" w:ascii="宋体" w:hAnsi="宋体" w:eastAsia="宋体" w:cs="宋体"/>
          <w:color w:val="auto"/>
          <w:sz w:val="21"/>
        </w:rPr>
        <w:t>有争议的事项不影响合同其他部分的履行，在争议解决期间，合同其他部分应</w:t>
      </w:r>
      <w:r>
        <w:rPr>
          <w:rFonts w:hint="eastAsia" w:ascii="宋体" w:hAnsi="宋体" w:eastAsia="宋体" w:cs="宋体"/>
          <w:color w:val="auto"/>
          <w:sz w:val="21"/>
          <w:lang w:eastAsia="zh-CN"/>
        </w:rPr>
        <w:t>当</w:t>
      </w:r>
      <w:r>
        <w:rPr>
          <w:rFonts w:hint="eastAsia" w:ascii="宋体" w:hAnsi="宋体" w:eastAsia="宋体" w:cs="宋体"/>
          <w:color w:val="auto"/>
          <w:sz w:val="21"/>
        </w:rPr>
        <w:t>继续履行。</w:t>
      </w:r>
    </w:p>
    <w:p w14:paraId="455E4847">
      <w:pPr>
        <w:autoSpaceDE w:val="0"/>
        <w:autoSpaceDN w:val="0"/>
        <w:adjustRightInd w:val="0"/>
        <w:snapToGrid w:val="0"/>
        <w:spacing w:before="0" w:line="400" w:lineRule="exact"/>
        <w:jc w:val="left"/>
        <w:rPr>
          <w:rFonts w:ascii="宋体" w:hAnsi="宋体"/>
          <w:color w:val="auto"/>
          <w:sz w:val="24"/>
          <w:highlight w:val="none"/>
        </w:rPr>
      </w:pPr>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p>
    <w:p w14:paraId="051718A8">
      <w:pP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color w:val="auto"/>
          <w:lang w:val="en-GB"/>
        </w:rPr>
        <w:t>本合同应当按照规定执行政府采购政策。</w:t>
      </w:r>
    </w:p>
    <w:p w14:paraId="334E361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color w:val="auto"/>
          <w:sz w:val="21"/>
          <w:lang w:eastAsia="zh-CN"/>
        </w:rPr>
        <w:t>甲乙双方</w:t>
      </w:r>
      <w:r>
        <w:rPr>
          <w:rFonts w:hint="eastAsia" w:ascii="宋体" w:hAnsi="宋体" w:eastAsia="宋体" w:cs="宋体"/>
          <w:color w:val="auto"/>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70AF4F15">
      <w:pPr>
        <w:pStyle w:val="23"/>
        <w:spacing w:after="0" w:line="400" w:lineRule="exact"/>
        <w:ind w:firstLine="480" w:firstLineChars="200"/>
        <w:rPr>
          <w:color w:val="auto"/>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 xml:space="preserve"> 对于</w:t>
      </w:r>
      <w:r>
        <w:rPr>
          <w:rFonts w:hint="eastAsia" w:ascii="宋体" w:hAnsi="宋体"/>
          <w:color w:val="auto"/>
          <w:szCs w:val="21"/>
          <w:highlight w:val="none"/>
          <w:lang w:eastAsia="zh-CN"/>
        </w:rPr>
        <w:t>为落实中小企业支持政策，</w:t>
      </w:r>
      <w:r>
        <w:rPr>
          <w:rFonts w:hint="eastAsia" w:ascii="宋体" w:hAnsi="宋体"/>
          <w:color w:val="auto"/>
          <w:szCs w:val="21"/>
          <w:highlight w:val="none"/>
        </w:rPr>
        <w:t>通过采购项目</w:t>
      </w:r>
      <w:r>
        <w:rPr>
          <w:rFonts w:hint="eastAsia" w:ascii="宋体" w:hAnsi="宋体"/>
          <w:color w:val="auto"/>
          <w:szCs w:val="21"/>
          <w:highlight w:val="none"/>
          <w:lang w:eastAsia="zh-CN"/>
        </w:rPr>
        <w:t>整体</w:t>
      </w:r>
      <w:r>
        <w:rPr>
          <w:rFonts w:hint="eastAsia" w:ascii="宋体" w:hAnsi="宋体"/>
          <w:color w:val="auto"/>
          <w:szCs w:val="21"/>
          <w:highlight w:val="none"/>
        </w:rPr>
        <w:t>预留、</w:t>
      </w:r>
      <w:r>
        <w:rPr>
          <w:rFonts w:hint="eastAsia" w:ascii="宋体" w:hAnsi="宋体"/>
          <w:color w:val="auto"/>
          <w:szCs w:val="21"/>
          <w:highlight w:val="none"/>
          <w:lang w:eastAsia="zh-CN"/>
        </w:rPr>
        <w:t>设置</w:t>
      </w:r>
      <w:r>
        <w:rPr>
          <w:rFonts w:hint="eastAsia" w:ascii="宋体" w:hAnsi="宋体"/>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7FFAD536">
      <w:pPr>
        <w:autoSpaceDE w:val="0"/>
        <w:autoSpaceDN w:val="0"/>
        <w:adjustRightInd w:val="0"/>
        <w:snapToGrid w:val="0"/>
        <w:spacing w:before="0" w:line="400" w:lineRule="exact"/>
        <w:jc w:val="left"/>
        <w:rPr>
          <w:rFonts w:hint="eastAsia" w:ascii="宋体" w:hAnsi="宋体"/>
          <w:b/>
          <w:color w:val="auto"/>
          <w:sz w:val="24"/>
          <w:highlight w:val="none"/>
        </w:rPr>
      </w:pPr>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p>
    <w:p w14:paraId="5825C209">
      <w:pPr>
        <w:pStyle w:val="79"/>
        <w:jc w:val="both"/>
        <w:rPr>
          <w:rFonts w:hint="eastAsia" w:ascii="宋体" w:hAnsi="宋体" w:eastAsia="宋体" w:cs="宋体"/>
          <w:color w:val="auto"/>
          <w:sz w:val="21"/>
        </w:rPr>
      </w:pPr>
      <w:r>
        <w:rPr>
          <w:rFonts w:hint="eastAsia" w:ascii="宋体" w:hAnsi="宋体" w:eastAsia="宋体" w:cs="宋体"/>
          <w:color w:val="auto"/>
          <w:sz w:val="21"/>
        </w:rPr>
        <w:t>2</w:t>
      </w:r>
      <w:r>
        <w:rPr>
          <w:rFonts w:hint="eastAsia" w:ascii="宋体" w:hAnsi="宋体" w:eastAsia="宋体" w:cs="宋体"/>
          <w:color w:val="auto"/>
          <w:sz w:val="21"/>
          <w:lang w:val="en-US" w:eastAsia="zh-CN"/>
        </w:rPr>
        <w:t>1</w:t>
      </w:r>
      <w:r>
        <w:rPr>
          <w:rFonts w:hint="eastAsia" w:ascii="宋体" w:hAnsi="宋体" w:eastAsia="宋体" w:cs="宋体"/>
          <w:color w:val="auto"/>
          <w:sz w:val="21"/>
        </w:rPr>
        <w:t>.1 本合同的订立、生效、解释、履行及与本合同有关的争议解决，均适用法律、行政法规。</w:t>
      </w:r>
    </w:p>
    <w:p w14:paraId="0E2C5902">
      <w:pPr>
        <w:pStyle w:val="79"/>
        <w:jc w:val="both"/>
        <w:rPr>
          <w:rFonts w:hint="eastAsia" w:ascii="宋体" w:hAnsi="宋体" w:eastAsia="宋体" w:cs="宋体"/>
          <w:color w:val="auto"/>
          <w:sz w:val="21"/>
        </w:rPr>
      </w:pPr>
      <w:r>
        <w:rPr>
          <w:rFonts w:hint="eastAsia" w:ascii="宋体" w:hAnsi="宋体" w:eastAsia="宋体" w:cs="宋体"/>
          <w:color w:val="auto"/>
          <w:sz w:val="21"/>
        </w:rPr>
        <w:t>2</w:t>
      </w:r>
      <w:r>
        <w:rPr>
          <w:rFonts w:hint="eastAsia" w:ascii="宋体" w:hAnsi="宋体" w:eastAsia="宋体" w:cs="宋体"/>
          <w:color w:val="auto"/>
          <w:sz w:val="21"/>
          <w:lang w:val="en-US" w:eastAsia="zh-CN"/>
        </w:rPr>
        <w:t>1</w:t>
      </w:r>
      <w:r>
        <w:rPr>
          <w:rFonts w:hint="eastAsia" w:ascii="宋体" w:hAnsi="宋体" w:eastAsia="宋体" w:cs="宋体"/>
          <w:color w:val="auto"/>
          <w:sz w:val="21"/>
        </w:rPr>
        <w:t>.2 本合同条款与法律、行政法规的强制性规定不一致的，双方当事人应按照法律、行政法规的强制性规定修改本合同的相关条款。</w:t>
      </w:r>
    </w:p>
    <w:p w14:paraId="3562EE93">
      <w:pPr>
        <w:numPr>
          <w:ilvl w:val="-1"/>
          <w:numId w:val="0"/>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p>
    <w:p w14:paraId="3A3FC1A5">
      <w:pPr>
        <w:pStyle w:val="79"/>
        <w:jc w:val="both"/>
        <w:rPr>
          <w:rFonts w:hint="eastAsia" w:ascii="宋体" w:hAnsi="宋体" w:eastAsia="宋体" w:cs="宋体"/>
          <w:color w:val="auto"/>
          <w:sz w:val="21"/>
        </w:rPr>
      </w:pPr>
      <w:r>
        <w:rPr>
          <w:rFonts w:hint="eastAsia" w:ascii="宋体" w:hAnsi="宋体" w:eastAsia="宋体" w:cs="宋体"/>
          <w:color w:val="auto"/>
          <w:sz w:val="21"/>
        </w:rPr>
        <w:t>2</w:t>
      </w:r>
      <w:r>
        <w:rPr>
          <w:rFonts w:hint="eastAsia" w:ascii="宋体" w:hAnsi="宋体" w:eastAsia="宋体" w:cs="宋体"/>
          <w:color w:val="auto"/>
          <w:sz w:val="21"/>
          <w:lang w:val="en-US" w:eastAsia="zh-CN"/>
        </w:rPr>
        <w:t>2</w:t>
      </w:r>
      <w:r>
        <w:rPr>
          <w:rFonts w:hint="eastAsia" w:ascii="宋体" w:hAnsi="宋体" w:eastAsia="宋体" w:cs="宋体"/>
          <w:color w:val="auto"/>
          <w:sz w:val="21"/>
        </w:rPr>
        <w:t>.1</w:t>
      </w:r>
      <w:r>
        <w:rPr>
          <w:rFonts w:hint="eastAsia" w:ascii="宋体" w:hAnsi="宋体" w:eastAsia="宋体" w:cs="宋体"/>
          <w:color w:val="auto"/>
          <w:sz w:val="21"/>
          <w:lang w:val="en-US" w:eastAsia="zh-CN"/>
        </w:rPr>
        <w:t xml:space="preserve"> </w:t>
      </w:r>
      <w:r>
        <w:rPr>
          <w:rFonts w:hint="eastAsia" w:ascii="宋体" w:hAnsi="宋体" w:eastAsia="宋体" w:cs="宋体"/>
          <w:color w:val="auto"/>
          <w:sz w:val="21"/>
        </w:rPr>
        <w:t>本合同任何一方向对方发出的通知、信件、数据电文等，应当发送至本合同第一部分《政府采购合同协议书》所约定的通讯地址、联系人、联系电话或电子邮箱。</w:t>
      </w:r>
    </w:p>
    <w:p w14:paraId="2339036D">
      <w:pPr>
        <w:pStyle w:val="79"/>
        <w:ind w:firstLine="0" w:firstLineChars="0"/>
        <w:jc w:val="both"/>
        <w:rPr>
          <w:color w:val="auto"/>
          <w:sz w:val="21"/>
        </w:rPr>
      </w:pPr>
      <w:r>
        <w:rPr>
          <w:rFonts w:hint="eastAsia" w:ascii="宋体" w:hAnsi="宋体" w:eastAsia="宋体" w:cs="宋体"/>
          <w:color w:val="auto"/>
          <w:sz w:val="21"/>
          <w:lang w:val="en-US" w:eastAsia="zh-CN"/>
        </w:rPr>
        <w:t xml:space="preserve">    </w:t>
      </w:r>
      <w:r>
        <w:rPr>
          <w:rFonts w:hint="eastAsia" w:ascii="宋体" w:hAnsi="宋体" w:eastAsia="宋体" w:cs="宋体"/>
          <w:color w:val="auto"/>
          <w:sz w:val="21"/>
        </w:rPr>
        <w:t>2</w:t>
      </w:r>
      <w:r>
        <w:rPr>
          <w:rFonts w:hint="eastAsia" w:ascii="宋体" w:hAnsi="宋体" w:eastAsia="宋体" w:cs="宋体"/>
          <w:color w:val="auto"/>
          <w:sz w:val="21"/>
          <w:lang w:val="en-US" w:eastAsia="zh-CN"/>
        </w:rPr>
        <w:t>2</w:t>
      </w:r>
      <w:r>
        <w:rPr>
          <w:rFonts w:hint="eastAsia" w:ascii="宋体" w:hAnsi="宋体" w:eastAsia="宋体" w:cs="宋体"/>
          <w:color w:val="auto"/>
          <w:sz w:val="21"/>
        </w:rPr>
        <w:t>.2</w:t>
      </w:r>
      <w:r>
        <w:rPr>
          <w:rFonts w:hint="eastAsia" w:ascii="宋体" w:hAnsi="宋体" w:eastAsia="宋体" w:cs="宋体"/>
          <w:color w:val="auto"/>
          <w:sz w:val="21"/>
          <w:lang w:val="en-US" w:eastAsia="zh-CN"/>
        </w:rPr>
        <w:t xml:space="preserve"> </w:t>
      </w:r>
      <w:r>
        <w:rPr>
          <w:rFonts w:hint="eastAsia" w:ascii="宋体" w:hAnsi="宋体" w:eastAsia="宋体" w:cs="宋体"/>
          <w:color w:val="auto"/>
          <w:sz w:val="21"/>
        </w:rPr>
        <w:t>一方当事人变更名称、</w:t>
      </w:r>
      <w:r>
        <w:rPr>
          <w:rFonts w:hint="eastAsia" w:ascii="宋体" w:hAnsi="宋体" w:eastAsia="宋体" w:cs="宋体"/>
          <w:color w:val="auto"/>
          <w:sz w:val="21"/>
          <w:lang w:eastAsia="zh-CN"/>
        </w:rPr>
        <w:t>住所</w:t>
      </w:r>
      <w:r>
        <w:rPr>
          <w:rFonts w:hint="eastAsia" w:ascii="宋体" w:hAnsi="宋体" w:eastAsia="宋体" w:cs="宋体"/>
          <w:color w:val="auto"/>
          <w:sz w:val="21"/>
        </w:rPr>
        <w:t>、联系人、联系电话或电子邮箱</w:t>
      </w:r>
      <w:r>
        <w:rPr>
          <w:rFonts w:hint="eastAsia" w:ascii="宋体" w:hAnsi="宋体" w:eastAsia="宋体" w:cs="宋体"/>
          <w:color w:val="auto"/>
          <w:sz w:val="21"/>
          <w:lang w:eastAsia="zh-CN"/>
        </w:rPr>
        <w:t>等信息</w:t>
      </w:r>
      <w:r>
        <w:rPr>
          <w:rFonts w:hint="eastAsia" w:ascii="宋体" w:hAnsi="宋体" w:eastAsia="宋体" w:cs="宋体"/>
          <w:color w:val="auto"/>
          <w:sz w:val="21"/>
        </w:rPr>
        <w:t>的，应当在变更后3日内及时书面通知对方，对方实际收到变更通知前的送达仍为有效送达。</w:t>
      </w:r>
    </w:p>
    <w:p w14:paraId="70621869">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4FDAEAF6">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5416981F">
      <w:pPr>
        <w:numPr>
          <w:ilvl w:val="0"/>
          <w:numId w:val="10"/>
        </w:num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合同未尽事项</w:t>
      </w:r>
    </w:p>
    <w:p w14:paraId="5E25040D">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3D251366">
      <w:pPr>
        <w:adjustRightInd w:val="0"/>
        <w:snapToGrid w:val="0"/>
        <w:spacing w:line="400" w:lineRule="exact"/>
        <w:ind w:firstLine="0" w:firstLineChars="0"/>
        <w:jc w:val="left"/>
        <w:rPr>
          <w:rFonts w:ascii="黑体" w:hAnsi="华文中宋" w:eastAsia="黑体"/>
          <w:color w:val="auto"/>
          <w:sz w:val="28"/>
          <w:szCs w:val="28"/>
        </w:rPr>
      </w:pPr>
      <w:r>
        <w:rPr>
          <w:rFonts w:hint="eastAsia" w:ascii="宋体" w:hAnsi="宋体"/>
          <w:bCs/>
          <w:color w:val="auto"/>
          <w:szCs w:val="21"/>
          <w:highlight w:val="none"/>
          <w:lang w:val="en-US" w:eastAsia="zh-CN"/>
        </w:rPr>
        <w:t xml:space="preserve">    23.2 合同附件与合同正文具有同等的法律效力。</w:t>
      </w:r>
      <w:bookmarkStart w:id="406" w:name="_Toc20313"/>
    </w:p>
    <w:p w14:paraId="121F8EEB">
      <w:pPr>
        <w:adjustRightInd w:val="0"/>
        <w:snapToGrid w:val="0"/>
        <w:jc w:val="center"/>
        <w:rPr>
          <w:rFonts w:hint="eastAsia" w:ascii="黑体" w:hAnsi="华文中宋" w:eastAsia="黑体"/>
          <w:b w:val="0"/>
          <w:bCs w:val="0"/>
          <w:color w:val="auto"/>
          <w:sz w:val="28"/>
          <w:szCs w:val="28"/>
        </w:rPr>
      </w:pPr>
      <w:r>
        <w:rPr>
          <w:rFonts w:hint="eastAsia" w:ascii="黑体" w:hAnsi="华文中宋" w:eastAsia="黑体"/>
          <w:b w:val="0"/>
          <w:bCs w:val="0"/>
          <w:color w:val="auto"/>
          <w:sz w:val="28"/>
          <w:szCs w:val="28"/>
        </w:rPr>
        <w:br w:type="page"/>
      </w:r>
    </w:p>
    <w:p w14:paraId="611D1BAA">
      <w:pPr>
        <w:pStyle w:val="3"/>
        <w:adjustRightInd w:val="0"/>
        <w:snapToGrid w:val="0"/>
        <w:jc w:val="center"/>
        <w:rPr>
          <w:rFonts w:ascii="黑体" w:hAnsi="华文中宋" w:eastAsia="黑体"/>
          <w:b w:val="0"/>
          <w:bCs w:val="0"/>
          <w:color w:val="auto"/>
          <w:sz w:val="28"/>
          <w:szCs w:val="28"/>
        </w:rPr>
      </w:pPr>
      <w:r>
        <w:rPr>
          <w:rFonts w:hint="eastAsia" w:ascii="黑体" w:hAnsi="华文中宋" w:eastAsia="黑体"/>
          <w:b w:val="0"/>
          <w:bCs w:val="0"/>
          <w:color w:val="auto"/>
          <w:sz w:val="28"/>
          <w:szCs w:val="28"/>
        </w:rPr>
        <w:t>第三节 政府采购合同专用条款</w:t>
      </w:r>
      <w:bookmarkEnd w:id="406"/>
    </w:p>
    <w:tbl>
      <w:tblPr>
        <w:tblStyle w:val="62"/>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6718BDC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2FC3668">
            <w:pPr>
              <w:adjustRightInd w:val="0"/>
              <w:snapToGrid w:val="0"/>
              <w:jc w:val="center"/>
              <w:rPr>
                <w:rFonts w:ascii="宋体" w:hAnsi="宋体"/>
                <w:color w:val="auto"/>
                <w:szCs w:val="21"/>
              </w:rPr>
            </w:pPr>
            <w:r>
              <w:rPr>
                <w:rFonts w:hint="eastAsia" w:ascii="宋体" w:hAnsi="宋体"/>
                <w:color w:val="auto"/>
                <w:szCs w:val="21"/>
              </w:rPr>
              <w:t>第二节</w:t>
            </w:r>
          </w:p>
          <w:p w14:paraId="25A0D6DE">
            <w:pPr>
              <w:adjustRightInd w:val="0"/>
              <w:snapToGrid w:val="0"/>
              <w:jc w:val="center"/>
              <w:rPr>
                <w:rFonts w:ascii="宋体" w:hAnsi="宋体"/>
                <w:color w:val="auto"/>
                <w:szCs w:val="21"/>
              </w:rPr>
            </w:pPr>
            <w:r>
              <w:rPr>
                <w:rFonts w:hint="eastAsia" w:ascii="宋体" w:hAnsi="宋体"/>
                <w:color w:val="auto"/>
                <w:szCs w:val="21"/>
              </w:rPr>
              <w:t>第1.2（</w:t>
            </w:r>
            <w:r>
              <w:rPr>
                <w:rFonts w:hint="eastAsia" w:ascii="宋体" w:hAnsi="宋体"/>
                <w:color w:val="auto"/>
                <w:szCs w:val="21"/>
                <w:lang w:val="en-US" w:eastAsia="zh-CN"/>
              </w:rPr>
              <w:t>6</w:t>
            </w:r>
            <w:r>
              <w:rPr>
                <w:rFonts w:hint="eastAsia" w:ascii="宋体" w:hAnsi="宋体"/>
                <w:color w:val="auto"/>
                <w:szCs w:val="21"/>
              </w:rPr>
              <w:t>）项</w:t>
            </w:r>
          </w:p>
        </w:tc>
        <w:tc>
          <w:tcPr>
            <w:tcW w:w="1742" w:type="dxa"/>
            <w:vAlign w:val="center"/>
          </w:tcPr>
          <w:p w14:paraId="5C4DF629">
            <w:pPr>
              <w:adjustRightInd w:val="0"/>
              <w:snapToGrid w:val="0"/>
              <w:jc w:val="left"/>
              <w:rPr>
                <w:rFonts w:ascii="宋体" w:hAnsi="宋体"/>
                <w:color w:val="auto"/>
                <w:szCs w:val="21"/>
              </w:rPr>
            </w:pPr>
            <w:r>
              <w:rPr>
                <w:rFonts w:hint="eastAsia" w:ascii="宋体" w:hAnsi="宋体"/>
                <w:color w:val="auto"/>
                <w:szCs w:val="21"/>
                <w:lang w:eastAsia="zh-CN"/>
              </w:rPr>
              <w:t>联合体具体要求</w:t>
            </w:r>
          </w:p>
        </w:tc>
        <w:tc>
          <w:tcPr>
            <w:tcW w:w="5170" w:type="dxa"/>
            <w:vAlign w:val="center"/>
          </w:tcPr>
          <w:p w14:paraId="12922BB4">
            <w:pPr>
              <w:adjustRightInd w:val="0"/>
              <w:snapToGrid w:val="0"/>
              <w:jc w:val="left"/>
              <w:rPr>
                <w:rFonts w:hint="default" w:ascii="宋体" w:hAnsi="宋体" w:eastAsia="宋体"/>
                <w:color w:val="auto"/>
                <w:szCs w:val="21"/>
                <w:lang w:val="en-US" w:eastAsia="zh-CN"/>
              </w:rPr>
            </w:pPr>
            <w:r>
              <w:rPr>
                <w:rFonts w:hint="eastAsia" w:ascii="宋体" w:hAnsi="宋体"/>
                <w:color w:val="auto"/>
                <w:szCs w:val="21"/>
                <w:lang w:val="en-US" w:eastAsia="zh-CN"/>
              </w:rPr>
              <w:t>/</w:t>
            </w:r>
          </w:p>
        </w:tc>
      </w:tr>
      <w:tr w14:paraId="71D6C7E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0E7B94CB">
            <w:pPr>
              <w:adjustRightInd w:val="0"/>
              <w:snapToGrid w:val="0"/>
              <w:jc w:val="center"/>
              <w:rPr>
                <w:rFonts w:ascii="宋体" w:hAnsi="宋体"/>
                <w:color w:val="auto"/>
                <w:szCs w:val="21"/>
              </w:rPr>
            </w:pPr>
            <w:r>
              <w:rPr>
                <w:rFonts w:hint="eastAsia" w:ascii="宋体" w:hAnsi="宋体"/>
                <w:color w:val="auto"/>
                <w:szCs w:val="21"/>
              </w:rPr>
              <w:t>第二节</w:t>
            </w:r>
          </w:p>
          <w:p w14:paraId="314E287A">
            <w:pPr>
              <w:adjustRightInd w:val="0"/>
              <w:snapToGrid w:val="0"/>
              <w:jc w:val="center"/>
              <w:rPr>
                <w:rFonts w:hint="eastAsia" w:ascii="宋体" w:hAnsi="宋体" w:eastAsia="宋体" w:cs="Times New Roman"/>
                <w:color w:val="auto"/>
                <w:kern w:val="2"/>
                <w:sz w:val="21"/>
                <w:szCs w:val="21"/>
                <w:lang w:val="en-US" w:eastAsia="zh-CN" w:bidi="ar-SA"/>
              </w:rPr>
            </w:pPr>
            <w:r>
              <w:rPr>
                <w:rFonts w:hint="eastAsia" w:ascii="宋体" w:hAnsi="宋体"/>
                <w:color w:val="auto"/>
                <w:szCs w:val="21"/>
              </w:rPr>
              <w:t>第1.2（</w:t>
            </w:r>
            <w:r>
              <w:rPr>
                <w:rFonts w:hint="eastAsia" w:ascii="宋体" w:hAnsi="宋体"/>
                <w:color w:val="auto"/>
                <w:szCs w:val="21"/>
                <w:lang w:val="en-US" w:eastAsia="zh-CN"/>
              </w:rPr>
              <w:t>7</w:t>
            </w:r>
            <w:r>
              <w:rPr>
                <w:rFonts w:hint="eastAsia" w:ascii="宋体" w:hAnsi="宋体"/>
                <w:color w:val="auto"/>
                <w:szCs w:val="21"/>
              </w:rPr>
              <w:t>）项</w:t>
            </w:r>
          </w:p>
        </w:tc>
        <w:tc>
          <w:tcPr>
            <w:tcW w:w="1742" w:type="dxa"/>
            <w:vAlign w:val="center"/>
          </w:tcPr>
          <w:p w14:paraId="39A63B9D">
            <w:pPr>
              <w:adjustRightInd w:val="0"/>
              <w:snapToGrid w:val="0"/>
              <w:jc w:val="left"/>
              <w:rPr>
                <w:rFonts w:hint="eastAsia" w:ascii="宋体" w:hAnsi="宋体" w:eastAsia="宋体" w:cs="Times New Roman"/>
                <w:color w:val="auto"/>
                <w:kern w:val="2"/>
                <w:sz w:val="21"/>
                <w:szCs w:val="21"/>
                <w:lang w:val="en-US" w:eastAsia="zh-CN" w:bidi="ar-SA"/>
              </w:rPr>
            </w:pPr>
            <w:r>
              <w:rPr>
                <w:rFonts w:hint="eastAsia" w:ascii="宋体" w:hAnsi="宋体"/>
                <w:color w:val="auto"/>
                <w:szCs w:val="21"/>
              </w:rPr>
              <w:t>其他术语解释</w:t>
            </w:r>
          </w:p>
        </w:tc>
        <w:tc>
          <w:tcPr>
            <w:tcW w:w="5170" w:type="dxa"/>
            <w:vAlign w:val="center"/>
          </w:tcPr>
          <w:p w14:paraId="439BB860">
            <w:pPr>
              <w:adjustRightInd w:val="0"/>
              <w:snapToGrid w:val="0"/>
              <w:jc w:val="left"/>
              <w:rPr>
                <w:rFonts w:hint="default" w:ascii="宋体" w:hAnsi="宋体" w:eastAsia="宋体" w:cs="Times New Roman"/>
                <w:color w:val="auto"/>
                <w:kern w:val="2"/>
                <w:sz w:val="21"/>
                <w:szCs w:val="21"/>
                <w:lang w:val="en-US" w:eastAsia="zh-CN" w:bidi="ar-SA"/>
              </w:rPr>
            </w:pPr>
            <w:r>
              <w:rPr>
                <w:rFonts w:hint="eastAsia" w:ascii="宋体" w:hAnsi="宋体" w:cs="Times New Roman"/>
                <w:color w:val="auto"/>
                <w:kern w:val="2"/>
                <w:sz w:val="21"/>
                <w:szCs w:val="21"/>
                <w:lang w:val="en-US" w:eastAsia="zh-CN" w:bidi="ar-SA"/>
              </w:rPr>
              <w:t>/</w:t>
            </w:r>
          </w:p>
        </w:tc>
      </w:tr>
      <w:tr w14:paraId="0CD1F52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45E0B13">
            <w:pPr>
              <w:adjustRightInd w:val="0"/>
              <w:snapToGrid w:val="0"/>
              <w:jc w:val="center"/>
              <w:rPr>
                <w:rFonts w:ascii="宋体" w:hAnsi="宋体"/>
                <w:color w:val="auto"/>
                <w:szCs w:val="21"/>
              </w:rPr>
            </w:pPr>
            <w:r>
              <w:rPr>
                <w:rFonts w:hint="eastAsia" w:ascii="宋体" w:hAnsi="宋体"/>
                <w:color w:val="auto"/>
                <w:szCs w:val="21"/>
              </w:rPr>
              <w:t>第二节</w:t>
            </w:r>
          </w:p>
          <w:p w14:paraId="56CE6155">
            <w:pPr>
              <w:adjustRightInd w:val="0"/>
              <w:snapToGrid w:val="0"/>
              <w:jc w:val="center"/>
              <w:rPr>
                <w:rFonts w:hint="default" w:ascii="宋体" w:hAnsi="宋体" w:eastAsia="宋体"/>
                <w:color w:val="auto"/>
                <w:szCs w:val="21"/>
                <w:lang w:val="en-US" w:eastAsia="zh-CN"/>
              </w:rPr>
            </w:pPr>
            <w:r>
              <w:rPr>
                <w:rFonts w:hint="eastAsia" w:ascii="宋体" w:hAnsi="宋体"/>
                <w:color w:val="auto"/>
                <w:szCs w:val="21"/>
                <w:lang w:eastAsia="zh-CN"/>
              </w:rPr>
              <w:t>第</w:t>
            </w:r>
            <w:r>
              <w:rPr>
                <w:rFonts w:hint="eastAsia" w:ascii="宋体" w:hAnsi="宋体"/>
                <w:color w:val="auto"/>
                <w:szCs w:val="21"/>
                <w:lang w:val="en-US" w:eastAsia="zh-CN"/>
              </w:rPr>
              <w:t>4.4款</w:t>
            </w:r>
          </w:p>
        </w:tc>
        <w:tc>
          <w:tcPr>
            <w:tcW w:w="1742" w:type="dxa"/>
            <w:vAlign w:val="center"/>
          </w:tcPr>
          <w:p w14:paraId="2C4062D9">
            <w:pPr>
              <w:adjustRightInd w:val="0"/>
              <w:snapToGrid w:val="0"/>
              <w:jc w:val="left"/>
              <w:rPr>
                <w:rFonts w:hint="eastAsia" w:ascii="宋体" w:hAnsi="宋体" w:eastAsia="宋体"/>
                <w:color w:val="auto"/>
                <w:szCs w:val="21"/>
                <w:lang w:eastAsia="zh-CN"/>
              </w:rPr>
            </w:pPr>
            <w:r>
              <w:rPr>
                <w:rFonts w:hint="eastAsia" w:ascii="宋体" w:hAnsi="宋体"/>
                <w:color w:val="auto"/>
                <w:szCs w:val="21"/>
                <w:lang w:eastAsia="zh-CN"/>
              </w:rPr>
              <w:t>履约验收中甲方提出异议或作出说明的期限</w:t>
            </w:r>
          </w:p>
        </w:tc>
        <w:tc>
          <w:tcPr>
            <w:tcW w:w="5170" w:type="dxa"/>
            <w:vAlign w:val="center"/>
          </w:tcPr>
          <w:p w14:paraId="1F4B7144">
            <w:pPr>
              <w:adjustRightInd w:val="0"/>
              <w:snapToGrid w:val="0"/>
              <w:jc w:val="left"/>
              <w:rPr>
                <w:rFonts w:hint="default" w:ascii="宋体" w:hAnsi="宋体" w:eastAsia="宋体" w:cs="Times New Roman"/>
                <w:color w:val="auto"/>
                <w:kern w:val="2"/>
                <w:sz w:val="21"/>
                <w:szCs w:val="21"/>
                <w:lang w:val="en-US" w:eastAsia="zh-CN" w:bidi="ar-SA"/>
              </w:rPr>
            </w:pPr>
            <w:r>
              <w:rPr>
                <w:rFonts w:hint="eastAsia" w:ascii="宋体" w:hAnsi="宋体" w:cs="Times New Roman"/>
                <w:color w:val="auto"/>
                <w:kern w:val="2"/>
                <w:sz w:val="21"/>
                <w:szCs w:val="21"/>
                <w:lang w:val="en-US" w:eastAsia="zh-CN" w:bidi="ar-SA"/>
              </w:rPr>
              <w:t>乙方所有</w:t>
            </w:r>
            <w:r>
              <w:rPr>
                <w:rFonts w:hint="eastAsia" w:ascii="宋体" w:hAnsi="宋体" w:eastAsia="宋体" w:cs="Times New Roman"/>
                <w:color w:val="auto"/>
                <w:sz w:val="21"/>
                <w:szCs w:val="21"/>
              </w:rPr>
              <w:t>到货安装完毕，采购人确认具备使用条件</w:t>
            </w:r>
            <w:r>
              <w:rPr>
                <w:rFonts w:hint="eastAsia" w:ascii="宋体" w:hAnsi="宋体" w:cs="Times New Roman"/>
                <w:color w:val="auto"/>
                <w:sz w:val="21"/>
                <w:szCs w:val="21"/>
                <w:lang w:val="en-US" w:eastAsia="zh-CN"/>
              </w:rPr>
              <w:t>后60日历天内。</w:t>
            </w:r>
          </w:p>
        </w:tc>
      </w:tr>
      <w:tr w14:paraId="6B519AD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2C6791A">
            <w:pPr>
              <w:adjustRightInd w:val="0"/>
              <w:snapToGrid w:val="0"/>
              <w:jc w:val="center"/>
              <w:rPr>
                <w:rFonts w:ascii="宋体" w:hAnsi="宋体"/>
                <w:color w:val="auto"/>
                <w:szCs w:val="21"/>
              </w:rPr>
            </w:pPr>
            <w:r>
              <w:rPr>
                <w:rFonts w:hint="eastAsia" w:ascii="宋体" w:hAnsi="宋体"/>
                <w:color w:val="auto"/>
                <w:szCs w:val="21"/>
              </w:rPr>
              <w:t>第二节</w:t>
            </w:r>
          </w:p>
          <w:p w14:paraId="159123AF">
            <w:pPr>
              <w:adjustRightInd w:val="0"/>
              <w:snapToGrid w:val="0"/>
              <w:jc w:val="center"/>
              <w:rPr>
                <w:rFonts w:hint="eastAsia" w:ascii="宋体" w:hAnsi="宋体"/>
                <w:color w:val="auto"/>
                <w:szCs w:val="21"/>
              </w:rPr>
            </w:pPr>
            <w:r>
              <w:rPr>
                <w:rFonts w:hint="eastAsia" w:ascii="宋体" w:hAnsi="宋体"/>
                <w:color w:val="auto"/>
                <w:szCs w:val="21"/>
                <w:lang w:eastAsia="zh-CN"/>
              </w:rPr>
              <w:t>第</w:t>
            </w:r>
            <w:r>
              <w:rPr>
                <w:rFonts w:hint="eastAsia" w:ascii="宋体" w:hAnsi="宋体"/>
                <w:color w:val="auto"/>
                <w:szCs w:val="21"/>
                <w:lang w:val="en-US" w:eastAsia="zh-CN"/>
              </w:rPr>
              <w:t>4.6款</w:t>
            </w:r>
          </w:p>
        </w:tc>
        <w:tc>
          <w:tcPr>
            <w:tcW w:w="1742" w:type="dxa"/>
            <w:vAlign w:val="center"/>
          </w:tcPr>
          <w:p w14:paraId="18175C88">
            <w:pPr>
              <w:adjustRightInd w:val="0"/>
              <w:snapToGrid w:val="0"/>
              <w:jc w:val="left"/>
              <w:rPr>
                <w:rFonts w:hint="eastAsia" w:ascii="宋体" w:hAnsi="宋体" w:eastAsia="宋体"/>
                <w:color w:val="auto"/>
                <w:szCs w:val="21"/>
                <w:lang w:eastAsia="zh-CN"/>
              </w:rPr>
            </w:pPr>
            <w:r>
              <w:rPr>
                <w:rFonts w:hint="eastAsia" w:ascii="宋体" w:hAnsi="宋体"/>
                <w:color w:val="auto"/>
                <w:szCs w:val="21"/>
                <w:lang w:eastAsia="zh-CN"/>
              </w:rPr>
              <w:t>约定甲方承担的其他义务和责任</w:t>
            </w:r>
          </w:p>
        </w:tc>
        <w:tc>
          <w:tcPr>
            <w:tcW w:w="5170" w:type="dxa"/>
            <w:vAlign w:val="center"/>
          </w:tcPr>
          <w:p w14:paraId="08B59EA8">
            <w:pPr>
              <w:adjustRightInd w:val="0"/>
              <w:snapToGrid w:val="0"/>
              <w:jc w:val="left"/>
              <w:rPr>
                <w:rFonts w:ascii="宋体" w:hAnsi="宋体" w:eastAsia="宋体" w:cs="Times New Roman"/>
                <w:color w:val="auto"/>
                <w:kern w:val="2"/>
                <w:sz w:val="21"/>
                <w:szCs w:val="21"/>
                <w:lang w:val="en-US" w:eastAsia="zh-CN" w:bidi="ar-SA"/>
              </w:rPr>
            </w:pPr>
            <w:r>
              <w:rPr>
                <w:rFonts w:hint="eastAsia" w:ascii="宋体" w:hAnsi="宋体" w:cs="Times New Roman"/>
                <w:color w:val="auto"/>
                <w:kern w:val="2"/>
                <w:sz w:val="21"/>
                <w:szCs w:val="21"/>
                <w:lang w:val="en-US" w:eastAsia="zh-CN" w:bidi="ar-SA"/>
              </w:rPr>
              <w:t>/</w:t>
            </w:r>
          </w:p>
        </w:tc>
      </w:tr>
      <w:tr w14:paraId="557465D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CD1FE2C">
            <w:pPr>
              <w:adjustRightInd w:val="0"/>
              <w:snapToGrid w:val="0"/>
              <w:jc w:val="center"/>
              <w:rPr>
                <w:rFonts w:hint="eastAsia" w:ascii="宋体" w:hAnsi="宋体"/>
                <w:color w:val="auto"/>
                <w:szCs w:val="21"/>
                <w:lang w:eastAsia="zh-CN"/>
              </w:rPr>
            </w:pPr>
            <w:r>
              <w:rPr>
                <w:rFonts w:hint="eastAsia" w:ascii="宋体" w:hAnsi="宋体"/>
                <w:color w:val="auto"/>
                <w:szCs w:val="21"/>
                <w:lang w:eastAsia="zh-CN"/>
              </w:rPr>
              <w:t>第二节</w:t>
            </w:r>
          </w:p>
          <w:p w14:paraId="72CAA2CA">
            <w:pPr>
              <w:snapToGrid w:val="0"/>
              <w:jc w:val="center"/>
              <w:rPr>
                <w:rFonts w:hint="default"/>
                <w:color w:val="auto"/>
                <w:lang w:val="en-US" w:eastAsia="zh-CN"/>
              </w:rPr>
            </w:pPr>
            <w:r>
              <w:rPr>
                <w:rFonts w:hint="eastAsia" w:ascii="宋体" w:hAnsi="宋体"/>
                <w:color w:val="auto"/>
                <w:szCs w:val="21"/>
                <w:lang w:eastAsia="zh-CN"/>
              </w:rPr>
              <w:t>第</w:t>
            </w:r>
            <w:r>
              <w:rPr>
                <w:rFonts w:hint="eastAsia" w:ascii="宋体" w:hAnsi="宋体"/>
                <w:color w:val="auto"/>
                <w:szCs w:val="21"/>
                <w:lang w:val="en-US" w:eastAsia="zh-CN"/>
              </w:rPr>
              <w:t>5.4款</w:t>
            </w:r>
          </w:p>
        </w:tc>
        <w:tc>
          <w:tcPr>
            <w:tcW w:w="1742" w:type="dxa"/>
            <w:vAlign w:val="center"/>
          </w:tcPr>
          <w:p w14:paraId="7DCF420A">
            <w:pPr>
              <w:adjustRightInd w:val="0"/>
              <w:snapToGrid w:val="0"/>
              <w:jc w:val="left"/>
              <w:rPr>
                <w:rFonts w:hint="eastAsia" w:ascii="宋体" w:hAnsi="宋体"/>
                <w:color w:val="auto"/>
                <w:szCs w:val="21"/>
                <w:lang w:eastAsia="zh-CN"/>
              </w:rPr>
            </w:pPr>
            <w:r>
              <w:rPr>
                <w:rFonts w:hint="eastAsia" w:ascii="宋体" w:hAnsi="宋体"/>
                <w:color w:val="auto"/>
                <w:szCs w:val="21"/>
                <w:lang w:eastAsia="zh-CN"/>
              </w:rPr>
              <w:t>约定乙方承担的其他义务和责任</w:t>
            </w:r>
          </w:p>
        </w:tc>
        <w:tc>
          <w:tcPr>
            <w:tcW w:w="5170" w:type="dxa"/>
            <w:vAlign w:val="center"/>
          </w:tcPr>
          <w:p w14:paraId="6A6D0E8B">
            <w:pPr>
              <w:snapToGrid w:val="0"/>
              <w:spacing w:line="240" w:lineRule="auto"/>
              <w:jc w:val="left"/>
              <w:rPr>
                <w:rFonts w:hint="eastAsia" w:ascii="宋体" w:hAnsi="宋体" w:eastAsia="宋体" w:cs="Times New Roman"/>
                <w:color w:val="auto"/>
                <w:sz w:val="21"/>
                <w:szCs w:val="21"/>
              </w:rPr>
            </w:pPr>
            <w:r>
              <w:rPr>
                <w:rFonts w:hint="eastAsia" w:ascii="宋体" w:hAnsi="宋体" w:eastAsia="宋体" w:cs="Times New Roman"/>
                <w:color w:val="auto"/>
                <w:sz w:val="21"/>
                <w:szCs w:val="21"/>
              </w:rPr>
              <w:t>（1）所供货物在现场进行到货验收时乙方必须派人员参加并与甲方一起开箱检验，按供货清单验收，若有缺少或损坏，乙方应立即补足或更换全新同规格产品，并承担相关费用直至使甲方满意为止。</w:t>
            </w:r>
          </w:p>
          <w:p w14:paraId="74D3DC4F">
            <w:pPr>
              <w:snapToGrid w:val="0"/>
              <w:spacing w:line="240" w:lineRule="auto"/>
              <w:jc w:val="left"/>
              <w:rPr>
                <w:rFonts w:hint="eastAsia" w:ascii="宋体" w:hAnsi="宋体" w:eastAsia="宋体" w:cs="Times New Roman"/>
                <w:color w:val="auto"/>
                <w:sz w:val="21"/>
                <w:szCs w:val="21"/>
              </w:rPr>
            </w:pPr>
            <w:r>
              <w:rPr>
                <w:rFonts w:hint="eastAsia" w:ascii="宋体" w:hAnsi="宋体" w:eastAsia="宋体" w:cs="Times New Roman"/>
                <w:color w:val="auto"/>
                <w:sz w:val="21"/>
                <w:szCs w:val="21"/>
              </w:rPr>
              <w:t>（2）若因乙方产品质量或安装不当导致验收不合格，应及时处理直至验收合格，期间产生的一切费用由乙方承担；若二次验收不合格，甲方有权退货。甲方在此期间保留对乙方的索赔权利。</w:t>
            </w:r>
          </w:p>
          <w:p w14:paraId="7EB7BF87">
            <w:pPr>
              <w:snapToGrid w:val="0"/>
              <w:spacing w:line="240" w:lineRule="auto"/>
              <w:jc w:val="left"/>
              <w:rPr>
                <w:rFonts w:hint="eastAsia" w:ascii="宋体" w:hAnsi="宋体" w:eastAsia="宋体" w:cs="Times New Roman"/>
                <w:color w:val="auto"/>
                <w:sz w:val="21"/>
                <w:szCs w:val="21"/>
              </w:rPr>
            </w:pPr>
            <w:r>
              <w:rPr>
                <w:rFonts w:hint="eastAsia" w:ascii="宋体" w:hAnsi="宋体" w:eastAsia="宋体" w:cs="Times New Roman"/>
                <w:color w:val="auto"/>
                <w:sz w:val="21"/>
                <w:szCs w:val="21"/>
              </w:rPr>
              <w:t>（3）乙方在货物到货、安装和验收期间应采取严格的安全措施，承担由于自身原因所造成的事故责任及其发生的一切费用。</w:t>
            </w:r>
          </w:p>
          <w:p w14:paraId="6A3B8F8F">
            <w:pPr>
              <w:snapToGrid w:val="0"/>
              <w:spacing w:line="240" w:lineRule="auto"/>
              <w:jc w:val="left"/>
              <w:rPr>
                <w:rFonts w:hint="eastAsia" w:ascii="宋体" w:hAnsi="宋体" w:eastAsia="宋体" w:cs="Times New Roman"/>
                <w:color w:val="auto"/>
                <w:sz w:val="21"/>
                <w:szCs w:val="21"/>
              </w:rPr>
            </w:pPr>
            <w:r>
              <w:rPr>
                <w:rFonts w:hint="eastAsia" w:ascii="宋体" w:hAnsi="宋体" w:eastAsia="宋体" w:cs="Times New Roman"/>
                <w:color w:val="auto"/>
                <w:sz w:val="21"/>
                <w:szCs w:val="21"/>
              </w:rPr>
              <w:t>（4）在保修期内，乙方应提供免费维保服务，在正常工作条件下，因产品制造质量不良而产生损坏或不能正常工作，乙方应提供免费维修直至更换。费用由乙方承担（包括返厂维修）。</w:t>
            </w:r>
          </w:p>
          <w:p w14:paraId="09FF41FC">
            <w:pPr>
              <w:snapToGrid w:val="0"/>
              <w:spacing w:line="240" w:lineRule="auto"/>
              <w:jc w:val="left"/>
              <w:rPr>
                <w:rFonts w:hint="eastAsia" w:ascii="宋体" w:hAnsi="宋体" w:eastAsia="宋体" w:cs="Times New Roman"/>
                <w:color w:val="auto"/>
                <w:sz w:val="21"/>
                <w:szCs w:val="21"/>
              </w:rPr>
            </w:pPr>
            <w:r>
              <w:rPr>
                <w:rFonts w:hint="eastAsia" w:ascii="宋体" w:hAnsi="宋体" w:eastAsia="宋体" w:cs="Times New Roman"/>
                <w:color w:val="auto"/>
                <w:sz w:val="21"/>
                <w:szCs w:val="21"/>
              </w:rPr>
              <w:t>（5）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0931CA4">
            <w:pPr>
              <w:snapToGrid w:val="0"/>
              <w:spacing w:line="240" w:lineRule="auto"/>
              <w:jc w:val="left"/>
              <w:rPr>
                <w:rFonts w:hint="eastAsia" w:ascii="宋体" w:hAnsi="宋体" w:eastAsia="宋体" w:cs="Times New Roman"/>
                <w:color w:val="auto"/>
                <w:sz w:val="21"/>
                <w:szCs w:val="21"/>
              </w:rPr>
            </w:pPr>
            <w:r>
              <w:rPr>
                <w:rFonts w:hint="eastAsia" w:ascii="宋体" w:hAnsi="宋体" w:eastAsia="宋体" w:cs="Times New Roman"/>
                <w:color w:val="auto"/>
                <w:sz w:val="21"/>
                <w:szCs w:val="21"/>
              </w:rPr>
              <w:t>（6）以下所列为本次采购的基本要求，乙方须按有关标准及规范完成本次采购设备制造与供货、运输（含保险、装卸车）、安装、调试与技术培训、检验、检测、通过有关部门验收、质保期内服务、维修等各项工作，并保证其使用的安全性与可靠性。具体配置说明、技术参数及产品样本等由乙方在投标文件中提供。</w:t>
            </w:r>
          </w:p>
          <w:p w14:paraId="29A444C7">
            <w:pPr>
              <w:adjustRightInd w:val="0"/>
              <w:snapToGrid w:val="0"/>
              <w:jc w:val="left"/>
              <w:rPr>
                <w:rFonts w:ascii="宋体" w:hAnsi="宋体" w:eastAsia="宋体" w:cs="Times New Roman"/>
                <w:color w:val="auto"/>
                <w:kern w:val="2"/>
                <w:sz w:val="21"/>
                <w:szCs w:val="21"/>
                <w:lang w:val="en-US" w:eastAsia="zh-CN" w:bidi="ar-SA"/>
              </w:rPr>
            </w:pPr>
            <w:r>
              <w:rPr>
                <w:rFonts w:hint="eastAsia" w:ascii="宋体" w:hAnsi="宋体" w:eastAsia="宋体" w:cs="Times New Roman"/>
                <w:color w:val="auto"/>
                <w:sz w:val="21"/>
                <w:szCs w:val="21"/>
              </w:rPr>
              <w:t>（7）乙方应保证提供的货物为合法生产企业的产品，符合国家有关法律、法规、规定和标准。按国家规定应通过有关部门鉴定（批准）的产品，应保证已按国家规定通过了鉴定（批准），并附鉴定文件（批准证书）的复印件。实行产品许可证制度的产品还须提供生产许可证复印件。乙方的投标产品必须具备相当于或高于招标文件中甲方所要求的相应的技术指标，并能提供更好的性能，具有更高的可靠性和耐用性。</w:t>
            </w:r>
          </w:p>
        </w:tc>
      </w:tr>
      <w:tr w14:paraId="25532FD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D77F6B4">
            <w:pPr>
              <w:adjustRightInd w:val="0"/>
              <w:snapToGrid w:val="0"/>
              <w:jc w:val="center"/>
              <w:rPr>
                <w:rFonts w:hint="eastAsia" w:ascii="宋体" w:hAnsi="宋体"/>
                <w:color w:val="auto"/>
                <w:szCs w:val="21"/>
                <w:lang w:eastAsia="zh-CN"/>
              </w:rPr>
            </w:pPr>
            <w:r>
              <w:rPr>
                <w:rFonts w:hint="eastAsia" w:ascii="宋体" w:hAnsi="宋体"/>
                <w:color w:val="auto"/>
                <w:szCs w:val="21"/>
                <w:lang w:eastAsia="zh-CN"/>
              </w:rPr>
              <w:t>第二节</w:t>
            </w:r>
          </w:p>
          <w:p w14:paraId="4C9861D9">
            <w:pPr>
              <w:snapToGrid w:val="0"/>
              <w:jc w:val="center"/>
              <w:rPr>
                <w:rFonts w:hint="eastAsia" w:ascii="宋体" w:hAnsi="宋体"/>
                <w:color w:val="auto"/>
                <w:szCs w:val="21"/>
                <w:lang w:eastAsia="zh-CN"/>
              </w:rPr>
            </w:pPr>
            <w:r>
              <w:rPr>
                <w:rFonts w:hint="eastAsia" w:ascii="宋体" w:hAnsi="宋体"/>
                <w:color w:val="auto"/>
                <w:szCs w:val="21"/>
                <w:lang w:eastAsia="zh-CN"/>
              </w:rPr>
              <w:t>第</w:t>
            </w:r>
            <w:r>
              <w:rPr>
                <w:rFonts w:hint="eastAsia" w:ascii="宋体" w:hAnsi="宋体"/>
                <w:color w:val="auto"/>
                <w:szCs w:val="21"/>
                <w:lang w:val="en-US" w:eastAsia="zh-CN"/>
              </w:rPr>
              <w:t>6.1款</w:t>
            </w:r>
          </w:p>
        </w:tc>
        <w:tc>
          <w:tcPr>
            <w:tcW w:w="1742" w:type="dxa"/>
            <w:vAlign w:val="center"/>
          </w:tcPr>
          <w:p w14:paraId="4E0FD8E0">
            <w:pPr>
              <w:adjustRightInd w:val="0"/>
              <w:snapToGrid w:val="0"/>
              <w:jc w:val="left"/>
              <w:rPr>
                <w:rFonts w:hint="eastAsia" w:ascii="宋体" w:hAnsi="宋体"/>
                <w:color w:val="auto"/>
                <w:szCs w:val="21"/>
                <w:lang w:eastAsia="zh-CN"/>
              </w:rPr>
            </w:pPr>
            <w:r>
              <w:rPr>
                <w:rFonts w:hint="eastAsia" w:ascii="宋体" w:hAnsi="宋体"/>
                <w:color w:val="auto"/>
                <w:szCs w:val="21"/>
                <w:lang w:eastAsia="zh-CN"/>
              </w:rPr>
              <w:t>履行合同义务的顺序</w:t>
            </w:r>
          </w:p>
        </w:tc>
        <w:tc>
          <w:tcPr>
            <w:tcW w:w="5170" w:type="dxa"/>
            <w:vAlign w:val="center"/>
          </w:tcPr>
          <w:p w14:paraId="50D33E68">
            <w:pPr>
              <w:adjustRightInd w:val="0"/>
              <w:snapToGrid w:val="0"/>
              <w:jc w:val="left"/>
              <w:rPr>
                <w:rFonts w:hint="default" w:ascii="宋体" w:hAnsi="宋体" w:eastAsia="宋体" w:cs="Times New Roman"/>
                <w:color w:val="auto"/>
                <w:kern w:val="2"/>
                <w:sz w:val="21"/>
                <w:szCs w:val="21"/>
                <w:lang w:val="en-US" w:eastAsia="zh-CN" w:bidi="ar-SA"/>
              </w:rPr>
            </w:pPr>
            <w:r>
              <w:rPr>
                <w:rFonts w:hint="eastAsia" w:ascii="宋体" w:hAnsi="宋体" w:cs="Times New Roman"/>
                <w:color w:val="auto"/>
                <w:kern w:val="2"/>
                <w:sz w:val="21"/>
                <w:szCs w:val="21"/>
                <w:lang w:val="en-US" w:eastAsia="zh-CN" w:bidi="ar-SA"/>
              </w:rPr>
              <w:t>/</w:t>
            </w:r>
          </w:p>
        </w:tc>
      </w:tr>
      <w:tr w14:paraId="1AAA04A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3E8CEC84">
            <w:pPr>
              <w:adjustRightInd w:val="0"/>
              <w:snapToGrid w:val="0"/>
              <w:jc w:val="center"/>
              <w:rPr>
                <w:rFonts w:ascii="宋体" w:hAnsi="宋体"/>
                <w:color w:val="auto"/>
                <w:szCs w:val="21"/>
              </w:rPr>
            </w:pPr>
            <w:r>
              <w:rPr>
                <w:rFonts w:hint="eastAsia" w:ascii="宋体" w:hAnsi="宋体"/>
                <w:color w:val="auto"/>
                <w:szCs w:val="21"/>
              </w:rPr>
              <w:t>第二节</w:t>
            </w:r>
          </w:p>
          <w:p w14:paraId="37C595CF">
            <w:pPr>
              <w:adjustRightInd w:val="0"/>
              <w:snapToGrid w:val="0"/>
              <w:jc w:val="center"/>
              <w:rPr>
                <w:rFonts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7</w:t>
            </w:r>
            <w:r>
              <w:rPr>
                <w:rFonts w:hint="eastAsia" w:ascii="宋体" w:hAnsi="宋体"/>
                <w:color w:val="auto"/>
                <w:szCs w:val="21"/>
              </w:rPr>
              <w:t>.1</w:t>
            </w:r>
            <w:r>
              <w:rPr>
                <w:rFonts w:hint="eastAsia" w:ascii="宋体" w:hAnsi="宋体"/>
                <w:color w:val="auto"/>
                <w:szCs w:val="21"/>
                <w:lang w:val="en-US" w:eastAsia="zh-CN"/>
              </w:rPr>
              <w:t>款</w:t>
            </w:r>
          </w:p>
        </w:tc>
        <w:tc>
          <w:tcPr>
            <w:tcW w:w="1742" w:type="dxa"/>
            <w:vAlign w:val="center"/>
          </w:tcPr>
          <w:p w14:paraId="4D60AEA6">
            <w:pPr>
              <w:adjustRightInd w:val="0"/>
              <w:snapToGrid w:val="0"/>
              <w:jc w:val="left"/>
              <w:rPr>
                <w:rFonts w:ascii="宋体" w:hAnsi="宋体"/>
                <w:color w:val="auto"/>
                <w:szCs w:val="21"/>
              </w:rPr>
            </w:pPr>
            <w:r>
              <w:rPr>
                <w:rFonts w:hint="eastAsia" w:ascii="宋体" w:hAnsi="宋体"/>
                <w:color w:val="auto"/>
                <w:szCs w:val="21"/>
              </w:rPr>
              <w:t>包装</w:t>
            </w:r>
            <w:r>
              <w:rPr>
                <w:rFonts w:hint="eastAsia" w:ascii="宋体" w:hAnsi="宋体"/>
                <w:color w:val="auto"/>
                <w:szCs w:val="21"/>
                <w:lang w:eastAsia="zh-CN"/>
              </w:rPr>
              <w:t>特殊要求</w:t>
            </w:r>
          </w:p>
        </w:tc>
        <w:tc>
          <w:tcPr>
            <w:tcW w:w="5170" w:type="dxa"/>
            <w:vAlign w:val="center"/>
          </w:tcPr>
          <w:p w14:paraId="70B408D7">
            <w:pPr>
              <w:rPr>
                <w:rFonts w:hint="eastAsia" w:eastAsia="宋体"/>
                <w:color w:val="auto"/>
                <w:lang w:val="en-US" w:eastAsia="zh-CN"/>
              </w:rPr>
            </w:pPr>
            <w:r>
              <w:rPr>
                <w:rFonts w:hint="eastAsia"/>
                <w:color w:val="auto"/>
                <w:lang w:val="en-US" w:eastAsia="zh-CN"/>
              </w:rPr>
              <w:t>/</w:t>
            </w:r>
          </w:p>
        </w:tc>
      </w:tr>
      <w:tr w14:paraId="322A4EE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1D383848">
            <w:pPr>
              <w:adjustRightInd w:val="0"/>
              <w:snapToGrid w:val="0"/>
              <w:jc w:val="center"/>
              <w:rPr>
                <w:rFonts w:hint="eastAsia" w:ascii="宋体" w:hAnsi="宋体"/>
                <w:color w:val="auto"/>
                <w:szCs w:val="21"/>
              </w:rPr>
            </w:pPr>
          </w:p>
        </w:tc>
        <w:tc>
          <w:tcPr>
            <w:tcW w:w="1742" w:type="dxa"/>
            <w:vAlign w:val="center"/>
          </w:tcPr>
          <w:p w14:paraId="48035EB0">
            <w:pPr>
              <w:adjustRightInd w:val="0"/>
              <w:snapToGrid w:val="0"/>
              <w:jc w:val="left"/>
              <w:rPr>
                <w:rFonts w:hint="eastAsia" w:ascii="宋体" w:hAnsi="宋体" w:eastAsia="宋体"/>
                <w:color w:val="auto"/>
                <w:szCs w:val="21"/>
                <w:lang w:eastAsia="zh-CN"/>
              </w:rPr>
            </w:pPr>
            <w:r>
              <w:rPr>
                <w:rFonts w:hint="eastAsia" w:ascii="宋体" w:hAnsi="宋体"/>
                <w:color w:val="auto"/>
                <w:szCs w:val="21"/>
                <w:lang w:eastAsia="zh-CN"/>
              </w:rPr>
              <w:t>指定现场</w:t>
            </w:r>
          </w:p>
        </w:tc>
        <w:tc>
          <w:tcPr>
            <w:tcW w:w="5170" w:type="dxa"/>
            <w:vAlign w:val="center"/>
          </w:tcPr>
          <w:p w14:paraId="7CDD3D98">
            <w:pPr>
              <w:rPr>
                <w:rFonts w:hint="default" w:eastAsia="宋体"/>
                <w:color w:val="auto"/>
                <w:lang w:val="en-US" w:eastAsia="zh-CN"/>
              </w:rPr>
            </w:pPr>
            <w:r>
              <w:rPr>
                <w:rFonts w:hint="eastAsia" w:cs="宋体" w:asciiTheme="minorEastAsia" w:hAnsiTheme="minorEastAsia" w:eastAsiaTheme="minorEastAsia"/>
                <w:color w:val="auto"/>
                <w:sz w:val="24"/>
              </w:rPr>
              <w:t>甲方指定地点</w:t>
            </w:r>
          </w:p>
        </w:tc>
      </w:tr>
      <w:tr w14:paraId="73ACB93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46C2351D">
            <w:pPr>
              <w:adjustRightInd w:val="0"/>
              <w:snapToGrid w:val="0"/>
              <w:jc w:val="center"/>
              <w:rPr>
                <w:rFonts w:ascii="宋体" w:hAnsi="宋体"/>
                <w:color w:val="auto"/>
                <w:szCs w:val="21"/>
              </w:rPr>
            </w:pPr>
            <w:r>
              <w:rPr>
                <w:rFonts w:hint="eastAsia" w:ascii="宋体" w:hAnsi="宋体"/>
                <w:color w:val="auto"/>
                <w:szCs w:val="21"/>
              </w:rPr>
              <w:t>第二节</w:t>
            </w:r>
          </w:p>
          <w:p w14:paraId="46099E81">
            <w:pPr>
              <w:adjustRightInd w:val="0"/>
              <w:snapToGrid w:val="0"/>
              <w:jc w:val="center"/>
              <w:rPr>
                <w:rFonts w:hint="eastAsia"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7</w:t>
            </w:r>
            <w:r>
              <w:rPr>
                <w:rFonts w:hint="eastAsia" w:ascii="宋体" w:hAnsi="宋体"/>
                <w:color w:val="auto"/>
                <w:szCs w:val="21"/>
              </w:rPr>
              <w:t>.2</w:t>
            </w:r>
            <w:r>
              <w:rPr>
                <w:rFonts w:hint="eastAsia" w:ascii="宋体" w:hAnsi="宋体"/>
                <w:color w:val="auto"/>
                <w:szCs w:val="21"/>
                <w:lang w:val="en-US" w:eastAsia="zh-CN"/>
              </w:rPr>
              <w:t>款</w:t>
            </w:r>
          </w:p>
        </w:tc>
        <w:tc>
          <w:tcPr>
            <w:tcW w:w="1742" w:type="dxa"/>
            <w:vAlign w:val="center"/>
          </w:tcPr>
          <w:p w14:paraId="1E63D164">
            <w:pPr>
              <w:adjustRightInd w:val="0"/>
              <w:snapToGrid w:val="0"/>
              <w:jc w:val="left"/>
              <w:rPr>
                <w:rFonts w:hint="eastAsia" w:ascii="宋体" w:hAnsi="宋体" w:eastAsia="宋体"/>
                <w:color w:val="auto"/>
                <w:szCs w:val="21"/>
                <w:lang w:eastAsia="zh-CN"/>
              </w:rPr>
            </w:pPr>
            <w:r>
              <w:rPr>
                <w:rFonts w:hint="eastAsia" w:ascii="宋体" w:hAnsi="宋体"/>
                <w:color w:val="auto"/>
                <w:szCs w:val="21"/>
                <w:lang w:eastAsia="zh-CN"/>
              </w:rPr>
              <w:t>运输特殊要求</w:t>
            </w:r>
          </w:p>
        </w:tc>
        <w:tc>
          <w:tcPr>
            <w:tcW w:w="5170" w:type="dxa"/>
            <w:vAlign w:val="center"/>
          </w:tcPr>
          <w:p w14:paraId="411811A8">
            <w:pPr>
              <w:rPr>
                <w:rFonts w:hint="eastAsia" w:eastAsia="宋体"/>
                <w:color w:val="auto"/>
                <w:lang w:val="en-US" w:eastAsia="zh-CN"/>
              </w:rPr>
            </w:pPr>
            <w:r>
              <w:rPr>
                <w:rFonts w:hint="eastAsia"/>
                <w:color w:val="auto"/>
                <w:lang w:val="en-US" w:eastAsia="zh-CN"/>
              </w:rPr>
              <w:t>/</w:t>
            </w:r>
          </w:p>
        </w:tc>
      </w:tr>
      <w:tr w14:paraId="1D0FA7B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4BFDF61F">
            <w:pPr>
              <w:adjustRightInd w:val="0"/>
              <w:snapToGrid w:val="0"/>
              <w:jc w:val="center"/>
              <w:rPr>
                <w:rFonts w:ascii="宋体" w:hAnsi="宋体"/>
                <w:color w:val="auto"/>
                <w:szCs w:val="21"/>
              </w:rPr>
            </w:pPr>
            <w:r>
              <w:rPr>
                <w:rFonts w:hint="eastAsia" w:ascii="宋体" w:hAnsi="宋体"/>
                <w:color w:val="auto"/>
                <w:szCs w:val="21"/>
              </w:rPr>
              <w:t>第二节</w:t>
            </w:r>
          </w:p>
          <w:p w14:paraId="07FC7F99">
            <w:pPr>
              <w:adjustRightInd w:val="0"/>
              <w:snapToGrid w:val="0"/>
              <w:jc w:val="center"/>
              <w:rPr>
                <w:rFonts w:hint="eastAsia"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7</w:t>
            </w:r>
            <w:r>
              <w:rPr>
                <w:rFonts w:hint="eastAsia" w:ascii="宋体" w:hAnsi="宋体"/>
                <w:color w:val="auto"/>
                <w:szCs w:val="21"/>
              </w:rPr>
              <w:t>.3</w:t>
            </w:r>
            <w:r>
              <w:rPr>
                <w:rFonts w:hint="eastAsia" w:ascii="宋体" w:hAnsi="宋体"/>
                <w:color w:val="auto"/>
                <w:szCs w:val="21"/>
                <w:lang w:val="en-US" w:eastAsia="zh-CN"/>
              </w:rPr>
              <w:t>款</w:t>
            </w:r>
          </w:p>
        </w:tc>
        <w:tc>
          <w:tcPr>
            <w:tcW w:w="1742" w:type="dxa"/>
            <w:vAlign w:val="center"/>
          </w:tcPr>
          <w:p w14:paraId="6046EDB8">
            <w:pPr>
              <w:adjustRightInd w:val="0"/>
              <w:snapToGrid w:val="0"/>
              <w:jc w:val="left"/>
              <w:rPr>
                <w:rFonts w:hint="eastAsia" w:ascii="宋体" w:hAnsi="宋体" w:eastAsia="宋体"/>
                <w:color w:val="auto"/>
                <w:szCs w:val="21"/>
                <w:lang w:eastAsia="zh-CN"/>
              </w:rPr>
            </w:pPr>
            <w:r>
              <w:rPr>
                <w:rFonts w:hint="eastAsia" w:ascii="宋体" w:hAnsi="宋体"/>
                <w:color w:val="auto"/>
                <w:szCs w:val="21"/>
                <w:lang w:eastAsia="zh-CN"/>
              </w:rPr>
              <w:t>保险要求</w:t>
            </w:r>
          </w:p>
        </w:tc>
        <w:tc>
          <w:tcPr>
            <w:tcW w:w="5170" w:type="dxa"/>
            <w:vAlign w:val="center"/>
          </w:tcPr>
          <w:p w14:paraId="6F85B565">
            <w:pPr>
              <w:rPr>
                <w:rFonts w:hint="eastAsia" w:eastAsia="宋体"/>
                <w:color w:val="auto"/>
                <w:lang w:val="en-US" w:eastAsia="zh-CN"/>
              </w:rPr>
            </w:pPr>
            <w:r>
              <w:rPr>
                <w:rFonts w:hint="eastAsia"/>
                <w:color w:val="auto"/>
                <w:lang w:val="en-US" w:eastAsia="zh-CN"/>
              </w:rPr>
              <w:t>/</w:t>
            </w:r>
          </w:p>
        </w:tc>
      </w:tr>
      <w:tr w14:paraId="2B0CB71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EA6974C">
            <w:pPr>
              <w:adjustRightInd w:val="0"/>
              <w:snapToGrid w:val="0"/>
              <w:jc w:val="center"/>
              <w:rPr>
                <w:rFonts w:ascii="宋体" w:hAnsi="宋体"/>
                <w:color w:val="auto"/>
                <w:szCs w:val="21"/>
              </w:rPr>
            </w:pPr>
            <w:r>
              <w:rPr>
                <w:rFonts w:hint="eastAsia" w:ascii="宋体" w:hAnsi="宋体"/>
                <w:color w:val="auto"/>
                <w:szCs w:val="21"/>
              </w:rPr>
              <w:t>第二节</w:t>
            </w:r>
          </w:p>
          <w:p w14:paraId="39DE6487">
            <w:pPr>
              <w:adjustRightInd w:val="0"/>
              <w:snapToGrid w:val="0"/>
              <w:jc w:val="center"/>
              <w:rPr>
                <w:rFonts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8</w:t>
            </w:r>
            <w:r>
              <w:rPr>
                <w:rFonts w:hint="eastAsia" w:ascii="宋体" w:hAnsi="宋体"/>
                <w:color w:val="auto"/>
                <w:szCs w:val="21"/>
              </w:rPr>
              <w:t>.2（1）项</w:t>
            </w:r>
          </w:p>
        </w:tc>
        <w:tc>
          <w:tcPr>
            <w:tcW w:w="1742" w:type="dxa"/>
            <w:vAlign w:val="center"/>
          </w:tcPr>
          <w:p w14:paraId="01DE7AE4">
            <w:pPr>
              <w:adjustRightInd w:val="0"/>
              <w:snapToGrid w:val="0"/>
              <w:jc w:val="left"/>
              <w:rPr>
                <w:rFonts w:ascii="宋体" w:hAnsi="宋体"/>
                <w:color w:val="auto"/>
                <w:szCs w:val="21"/>
              </w:rPr>
            </w:pPr>
            <w:r>
              <w:rPr>
                <w:rFonts w:hint="eastAsia" w:ascii="宋体" w:hAnsi="宋体"/>
                <w:color w:val="auto"/>
                <w:szCs w:val="21"/>
              </w:rPr>
              <w:t>质量保证期</w:t>
            </w:r>
          </w:p>
        </w:tc>
        <w:tc>
          <w:tcPr>
            <w:tcW w:w="5170" w:type="dxa"/>
            <w:vAlign w:val="center"/>
          </w:tcPr>
          <w:p w14:paraId="65B1395C">
            <w:pPr>
              <w:spacing w:line="240" w:lineRule="auto"/>
              <w:ind w:firstLine="0" w:firstLineChars="0"/>
              <w:rPr>
                <w:rFonts w:hint="eastAsia" w:ascii="Times New Roman" w:hAnsi="Times New Roman" w:eastAsia="宋体" w:cs="Times New Roman"/>
                <w:bCs w:val="0"/>
                <w:color w:val="auto"/>
                <w:sz w:val="21"/>
              </w:rPr>
            </w:pPr>
            <w:r>
              <w:rPr>
                <w:rFonts w:hint="eastAsia" w:ascii="Times New Roman" w:hAnsi="Times New Roman" w:eastAsia="宋体" w:cs="Times New Roman"/>
                <w:bCs w:val="0"/>
                <w:color w:val="auto"/>
                <w:sz w:val="21"/>
              </w:rPr>
              <w:t>产品验收合格之日起3年，在质保期内提供免费售后现场技术服务。在质保期内，供应商应对货物出现的质量及安全问题负责处理解决并承担一切费用。</w:t>
            </w:r>
          </w:p>
          <w:p w14:paraId="4CDF5CB5">
            <w:pPr>
              <w:autoSpaceDE w:val="0"/>
              <w:autoSpaceDN w:val="0"/>
              <w:adjustRightInd w:val="0"/>
              <w:snapToGrid w:val="0"/>
              <w:ind w:firstLine="0" w:firstLineChars="0"/>
              <w:jc w:val="left"/>
              <w:rPr>
                <w:rFonts w:ascii="宋体" w:hAnsi="宋体"/>
                <w:color w:val="auto"/>
                <w:szCs w:val="21"/>
              </w:rPr>
            </w:pPr>
          </w:p>
        </w:tc>
      </w:tr>
      <w:tr w14:paraId="3D40536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3781FBC">
            <w:pPr>
              <w:adjustRightInd w:val="0"/>
              <w:snapToGrid w:val="0"/>
              <w:jc w:val="center"/>
              <w:rPr>
                <w:rFonts w:ascii="宋体" w:hAnsi="宋体"/>
                <w:color w:val="auto"/>
                <w:szCs w:val="21"/>
              </w:rPr>
            </w:pPr>
            <w:r>
              <w:rPr>
                <w:rFonts w:hint="eastAsia" w:ascii="宋体" w:hAnsi="宋体"/>
                <w:color w:val="auto"/>
                <w:szCs w:val="21"/>
              </w:rPr>
              <w:t>第二节</w:t>
            </w:r>
          </w:p>
          <w:p w14:paraId="104072F2">
            <w:pPr>
              <w:adjustRightInd w:val="0"/>
              <w:snapToGrid w:val="0"/>
              <w:jc w:val="center"/>
              <w:rPr>
                <w:rFonts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8</w:t>
            </w:r>
            <w:r>
              <w:rPr>
                <w:rFonts w:hint="eastAsia" w:ascii="宋体" w:hAnsi="宋体"/>
                <w:color w:val="auto"/>
                <w:szCs w:val="21"/>
              </w:rPr>
              <w:t>.2（3）项</w:t>
            </w:r>
          </w:p>
        </w:tc>
        <w:tc>
          <w:tcPr>
            <w:tcW w:w="1742" w:type="dxa"/>
            <w:vAlign w:val="center"/>
          </w:tcPr>
          <w:p w14:paraId="1274BAE6">
            <w:pPr>
              <w:adjustRightInd w:val="0"/>
              <w:snapToGrid w:val="0"/>
              <w:jc w:val="left"/>
              <w:rPr>
                <w:rFonts w:hint="eastAsia" w:ascii="宋体" w:hAnsi="宋体"/>
                <w:color w:val="auto"/>
                <w:szCs w:val="21"/>
                <w:lang w:eastAsia="zh-CN"/>
              </w:rPr>
            </w:pPr>
            <w:r>
              <w:rPr>
                <w:rFonts w:hint="eastAsia" w:ascii="宋体" w:hAnsi="宋体"/>
                <w:color w:val="auto"/>
                <w:szCs w:val="21"/>
                <w:lang w:eastAsia="zh-CN"/>
              </w:rPr>
              <w:t>货物质量缺陷</w:t>
            </w:r>
          </w:p>
          <w:p w14:paraId="4CB9250F">
            <w:pPr>
              <w:adjustRightInd w:val="0"/>
              <w:snapToGrid w:val="0"/>
              <w:jc w:val="left"/>
              <w:rPr>
                <w:rFonts w:ascii="宋体" w:hAnsi="宋体"/>
                <w:color w:val="auto"/>
                <w:szCs w:val="21"/>
              </w:rPr>
            </w:pPr>
            <w:r>
              <w:rPr>
                <w:rFonts w:hint="eastAsia" w:ascii="宋体" w:hAnsi="宋体"/>
                <w:color w:val="auto"/>
                <w:szCs w:val="21"/>
              </w:rPr>
              <w:t>响应时间</w:t>
            </w:r>
          </w:p>
        </w:tc>
        <w:tc>
          <w:tcPr>
            <w:tcW w:w="5170" w:type="dxa"/>
            <w:vAlign w:val="center"/>
          </w:tcPr>
          <w:p w14:paraId="225960D3">
            <w:pPr>
              <w:adjustRightInd w:val="0"/>
              <w:snapToGrid w:val="0"/>
              <w:jc w:val="left"/>
              <w:rPr>
                <w:rFonts w:ascii="宋体" w:hAnsi="宋体"/>
                <w:color w:val="auto"/>
                <w:szCs w:val="21"/>
              </w:rPr>
            </w:pPr>
            <w:r>
              <w:rPr>
                <w:rFonts w:hint="eastAsia" w:ascii="Times New Roman" w:hAnsi="Times New Roman" w:eastAsia="宋体" w:cs="Times New Roman"/>
                <w:bCs w:val="0"/>
                <w:color w:val="auto"/>
                <w:sz w:val="21"/>
              </w:rPr>
              <w:t>质保期内出现问题，1小时内响应，2小时内到达现场，1小时内解决问题，对于现场解决不了的故障，供应商应提供采购人同型号、同规格的备用设备使用，直至故障设备修复；</w:t>
            </w:r>
          </w:p>
        </w:tc>
      </w:tr>
      <w:tr w14:paraId="142E677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6D765DE">
            <w:pPr>
              <w:snapToGrid w:val="0"/>
              <w:jc w:val="center"/>
              <w:rPr>
                <w:rFonts w:hint="eastAsia" w:ascii="宋体" w:hAnsi="宋体" w:cs="宋体"/>
                <w:color w:val="auto"/>
                <w:szCs w:val="21"/>
                <w:lang w:val="en-US" w:eastAsia="zh-CN"/>
              </w:rPr>
            </w:pPr>
            <w:r>
              <w:rPr>
                <w:rFonts w:hint="eastAsia" w:ascii="宋体" w:hAnsi="宋体" w:cs="宋体"/>
                <w:color w:val="auto"/>
                <w:szCs w:val="21"/>
                <w:lang w:val="en-US" w:eastAsia="zh-CN"/>
              </w:rPr>
              <w:t>第二节</w:t>
            </w:r>
          </w:p>
          <w:p w14:paraId="793E3A4A">
            <w:pPr>
              <w:pStyle w:val="79"/>
              <w:ind w:firstLine="0" w:firstLineChars="0"/>
              <w:jc w:val="center"/>
              <w:rPr>
                <w:rFonts w:hint="default"/>
                <w:color w:val="auto"/>
                <w:lang w:val="en-US" w:eastAsia="zh-CN"/>
              </w:rPr>
            </w:pPr>
            <w:r>
              <w:rPr>
                <w:rFonts w:hint="eastAsia" w:ascii="宋体" w:hAnsi="宋体" w:eastAsia="宋体" w:cs="宋体"/>
                <w:color w:val="auto"/>
                <w:szCs w:val="21"/>
                <w:lang w:val="en-US" w:eastAsia="zh-CN"/>
              </w:rPr>
              <w:t>第11.1款</w:t>
            </w:r>
          </w:p>
        </w:tc>
        <w:tc>
          <w:tcPr>
            <w:tcW w:w="1742" w:type="dxa"/>
            <w:vAlign w:val="center"/>
          </w:tcPr>
          <w:p w14:paraId="55A73457">
            <w:pPr>
              <w:adjustRightInd w:val="0"/>
              <w:snapToGrid w:val="0"/>
              <w:jc w:val="both"/>
              <w:rPr>
                <w:rFonts w:hint="default" w:ascii="宋体" w:hAnsi="宋体" w:eastAsia="宋体"/>
                <w:color w:val="auto"/>
                <w:szCs w:val="21"/>
                <w:lang w:val="en-US" w:eastAsia="zh-CN"/>
              </w:rPr>
            </w:pPr>
            <w:r>
              <w:rPr>
                <w:rFonts w:hint="eastAsia" w:ascii="宋体" w:hAnsi="宋体"/>
                <w:color w:val="auto"/>
                <w:szCs w:val="21"/>
                <w:lang w:val="en-US" w:eastAsia="zh-CN"/>
              </w:rPr>
              <w:t>其他应当保密的信息</w:t>
            </w:r>
          </w:p>
        </w:tc>
        <w:tc>
          <w:tcPr>
            <w:tcW w:w="5170" w:type="dxa"/>
            <w:vAlign w:val="center"/>
          </w:tcPr>
          <w:p w14:paraId="7B33CB98">
            <w:pPr>
              <w:snapToGrid w:val="0"/>
              <w:spacing w:line="240" w:lineRule="auto"/>
              <w:ind w:firstLine="0" w:firstLineChars="0"/>
              <w:jc w:val="left"/>
              <w:rPr>
                <w:rFonts w:hint="eastAsia" w:ascii="Times New Roman" w:hAnsi="Times New Roman" w:cs="Times New Roman"/>
                <w:color w:val="auto"/>
                <w:sz w:val="21"/>
              </w:rPr>
            </w:pPr>
            <w:r>
              <w:rPr>
                <w:rFonts w:hint="eastAsia" w:ascii="Times New Roman" w:hAnsi="Times New Roman" w:cs="Times New Roman"/>
                <w:color w:val="auto"/>
                <w:sz w:val="21"/>
              </w:rPr>
              <w:t>乙方有权依据合同约定和项目需要，向甲方了解有关情况，调阅有关资料等，甲方应予积极配合；</w:t>
            </w:r>
          </w:p>
          <w:p w14:paraId="0D167544">
            <w:pPr>
              <w:snapToGrid w:val="0"/>
              <w:spacing w:line="240" w:lineRule="auto"/>
              <w:ind w:firstLine="0" w:firstLineChars="0"/>
              <w:jc w:val="left"/>
              <w:rPr>
                <w:rFonts w:hint="eastAsia" w:ascii="Times New Roman" w:hAnsi="Times New Roman" w:cs="Times New Roman"/>
                <w:color w:val="auto"/>
                <w:sz w:val="21"/>
              </w:rPr>
            </w:pPr>
            <w:r>
              <w:rPr>
                <w:rFonts w:hint="eastAsia" w:ascii="Times New Roman" w:hAnsi="Times New Roman" w:cs="Times New Roman"/>
                <w:color w:val="auto"/>
                <w:sz w:val="21"/>
              </w:rPr>
              <w:t>乙方有义务妥善保管和保护由甲方提供的前款信息和资料等；</w:t>
            </w:r>
          </w:p>
          <w:p w14:paraId="319D6CAC">
            <w:pPr>
              <w:adjustRightInd/>
              <w:snapToGrid w:val="0"/>
              <w:jc w:val="left"/>
              <w:rPr>
                <w:rFonts w:ascii="宋体" w:hAnsi="宋体"/>
                <w:color w:val="auto"/>
                <w:szCs w:val="21"/>
              </w:rPr>
            </w:pPr>
            <w:r>
              <w:rPr>
                <w:rFonts w:hint="eastAsia" w:ascii="Times New Roman" w:hAnsi="Times New Roman" w:cs="Times New Roman"/>
                <w:color w:val="auto"/>
                <w:sz w:val="21"/>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tc>
      </w:tr>
      <w:tr w14:paraId="30D7B2D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33771C4F">
            <w:pPr>
              <w:adjustRightInd w:val="0"/>
              <w:snapToGrid w:val="0"/>
              <w:jc w:val="center"/>
              <w:rPr>
                <w:rFonts w:ascii="宋体" w:hAnsi="宋体"/>
                <w:color w:val="auto"/>
                <w:szCs w:val="21"/>
              </w:rPr>
            </w:pPr>
            <w:r>
              <w:rPr>
                <w:rFonts w:hint="eastAsia" w:ascii="宋体" w:hAnsi="宋体"/>
                <w:color w:val="auto"/>
                <w:szCs w:val="21"/>
              </w:rPr>
              <w:t>第二节</w:t>
            </w:r>
          </w:p>
          <w:p w14:paraId="04DBC514">
            <w:pPr>
              <w:adjustRightInd w:val="0"/>
              <w:snapToGrid w:val="0"/>
              <w:jc w:val="center"/>
              <w:rPr>
                <w:rFonts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2</w:t>
            </w:r>
            <w:r>
              <w:rPr>
                <w:rFonts w:hint="eastAsia" w:ascii="宋体" w:hAnsi="宋体"/>
                <w:color w:val="auto"/>
                <w:szCs w:val="21"/>
              </w:rPr>
              <w:t>.2款</w:t>
            </w:r>
          </w:p>
        </w:tc>
        <w:tc>
          <w:tcPr>
            <w:tcW w:w="1742" w:type="dxa"/>
            <w:vAlign w:val="center"/>
          </w:tcPr>
          <w:p w14:paraId="2F97ABED">
            <w:pPr>
              <w:adjustRightInd w:val="0"/>
              <w:snapToGrid w:val="0"/>
              <w:jc w:val="left"/>
              <w:rPr>
                <w:rFonts w:hint="eastAsia" w:ascii="宋体" w:hAnsi="宋体" w:eastAsia="宋体"/>
                <w:color w:val="auto"/>
                <w:szCs w:val="21"/>
                <w:lang w:eastAsia="zh-CN"/>
              </w:rPr>
            </w:pPr>
            <w:r>
              <w:rPr>
                <w:rFonts w:hint="eastAsia" w:ascii="宋体" w:hAnsi="宋体"/>
                <w:color w:val="auto"/>
                <w:szCs w:val="21"/>
              </w:rPr>
              <w:t>合同价款支付</w:t>
            </w:r>
            <w:r>
              <w:rPr>
                <w:rFonts w:hint="eastAsia" w:ascii="宋体" w:hAnsi="宋体"/>
                <w:color w:val="auto"/>
                <w:szCs w:val="21"/>
                <w:lang w:eastAsia="zh-CN"/>
              </w:rPr>
              <w:t>时间</w:t>
            </w:r>
          </w:p>
        </w:tc>
        <w:tc>
          <w:tcPr>
            <w:tcW w:w="5170" w:type="dxa"/>
            <w:shd w:val="clear" w:color="auto" w:fill="auto"/>
            <w:vAlign w:val="center"/>
          </w:tcPr>
          <w:p w14:paraId="636E421A">
            <w:pPr>
              <w:adjustRightInd/>
              <w:snapToGrid w:val="0"/>
              <w:spacing w:line="240" w:lineRule="auto"/>
              <w:jc w:val="left"/>
              <w:rPr>
                <w:rFonts w:hint="eastAsia" w:ascii="Times New Roman" w:hAnsi="Times New Roman" w:eastAsia="宋体" w:cs="Times New Roman"/>
                <w:color w:val="auto"/>
                <w:sz w:val="21"/>
              </w:rPr>
            </w:pPr>
            <w:r>
              <w:rPr>
                <w:rFonts w:hint="eastAsia" w:ascii="Times New Roman" w:hAnsi="Times New Roman" w:eastAsia="宋体" w:cs="Times New Roman"/>
                <w:color w:val="auto"/>
                <w:sz w:val="21"/>
              </w:rPr>
              <w:t>资金支付的方式、时间和条件：</w:t>
            </w:r>
          </w:p>
          <w:p w14:paraId="68020A9D">
            <w:pPr>
              <w:adjustRightInd/>
              <w:snapToGrid w:val="0"/>
              <w:spacing w:line="240" w:lineRule="auto"/>
              <w:jc w:val="left"/>
              <w:rPr>
                <w:rFonts w:hint="eastAsia" w:ascii="Times New Roman" w:hAnsi="Times New Roman" w:eastAsia="宋体" w:cs="Times New Roman"/>
                <w:color w:val="auto"/>
                <w:sz w:val="21"/>
              </w:rPr>
            </w:pPr>
            <w:r>
              <w:rPr>
                <w:rFonts w:hint="eastAsia" w:ascii="Times New Roman" w:hAnsi="Times New Roman" w:eastAsia="宋体" w:cs="Times New Roman"/>
                <w:color w:val="auto"/>
                <w:sz w:val="21"/>
              </w:rPr>
              <w:t>（1）合同生效且甲方完成财政资金审批手续后【7】个工作日内，且甲方收到乙方提供的等额合法正规发票，甲方向乙方支付合同总额的【40%】作为预付款；</w:t>
            </w:r>
          </w:p>
          <w:p w14:paraId="785EED77">
            <w:pPr>
              <w:adjustRightInd/>
              <w:snapToGrid w:val="0"/>
              <w:spacing w:line="240" w:lineRule="auto"/>
              <w:jc w:val="left"/>
              <w:rPr>
                <w:rFonts w:hint="eastAsia" w:ascii="Times New Roman" w:hAnsi="Times New Roman" w:eastAsia="宋体" w:cs="Times New Roman"/>
                <w:color w:val="auto"/>
                <w:sz w:val="21"/>
              </w:rPr>
            </w:pPr>
            <w:r>
              <w:rPr>
                <w:rFonts w:hint="eastAsia" w:ascii="Times New Roman" w:hAnsi="Times New Roman" w:eastAsia="宋体" w:cs="Times New Roman"/>
                <w:color w:val="auto"/>
                <w:sz w:val="21"/>
              </w:rPr>
              <w:t>（2）到货安装完毕，采购人确认具备使用条件，且采购人完成财政资金审批手续，中标人提供发票后【7】个工作日内，支付合同总价款的【30%】；</w:t>
            </w:r>
          </w:p>
          <w:p w14:paraId="76D7CBB8">
            <w:pPr>
              <w:adjustRightInd/>
              <w:snapToGrid w:val="0"/>
              <w:spacing w:line="240" w:lineRule="auto"/>
              <w:jc w:val="left"/>
              <w:rPr>
                <w:rFonts w:hint="eastAsia" w:ascii="Times New Roman" w:hAnsi="Times New Roman" w:eastAsia="宋体" w:cs="Times New Roman"/>
                <w:color w:val="auto"/>
                <w:sz w:val="21"/>
              </w:rPr>
            </w:pPr>
            <w:r>
              <w:rPr>
                <w:rFonts w:hint="eastAsia" w:ascii="Times New Roman" w:hAnsi="Times New Roman" w:eastAsia="宋体" w:cs="Times New Roman"/>
                <w:color w:val="auto"/>
                <w:sz w:val="21"/>
              </w:rPr>
              <w:t>（3）项目验收通过后，且甲方完成财政资金审批手续，乙方提供发票后【7】个工作日内，支付至实际合同总价款的【100%】。</w:t>
            </w:r>
          </w:p>
          <w:p w14:paraId="4A624BB3">
            <w:pPr>
              <w:adjustRightInd/>
              <w:snapToGrid w:val="0"/>
              <w:spacing w:line="240" w:lineRule="auto"/>
              <w:jc w:val="left"/>
              <w:rPr>
                <w:rFonts w:cs="宋体" w:asciiTheme="minorEastAsia" w:hAnsiTheme="minorEastAsia" w:eastAsiaTheme="minorEastAsia"/>
                <w:color w:val="auto"/>
                <w:kern w:val="2"/>
                <w:sz w:val="24"/>
                <w:szCs w:val="24"/>
                <w:lang w:val="en-US" w:eastAsia="zh-CN" w:bidi="ar-SA"/>
              </w:rPr>
            </w:pPr>
            <w:r>
              <w:rPr>
                <w:rFonts w:hint="eastAsia" w:ascii="Times New Roman" w:hAnsi="Times New Roman" w:eastAsia="宋体" w:cs="Times New Roman"/>
                <w:color w:val="auto"/>
                <w:sz w:val="21"/>
              </w:rPr>
              <w:t>注：以上付款时间是指采购人（甲方）完成向财政部门申报支付手续的时间，财政部门审查及实际支付可能造成的时间延误不视为采购人（甲方）违约。</w:t>
            </w:r>
          </w:p>
        </w:tc>
      </w:tr>
      <w:tr w14:paraId="6738258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5CCF9795">
            <w:pPr>
              <w:adjustRightInd w:val="0"/>
              <w:snapToGrid w:val="0"/>
              <w:jc w:val="center"/>
              <w:rPr>
                <w:rFonts w:hint="eastAsia" w:ascii="宋体" w:hAnsi="宋体"/>
                <w:color w:val="auto"/>
                <w:szCs w:val="21"/>
              </w:rPr>
            </w:pPr>
            <w:r>
              <w:rPr>
                <w:rFonts w:hint="eastAsia" w:ascii="宋体" w:hAnsi="宋体"/>
                <w:color w:val="auto"/>
                <w:szCs w:val="21"/>
              </w:rPr>
              <w:t>第二节</w:t>
            </w:r>
          </w:p>
          <w:p w14:paraId="05724A5D">
            <w:pPr>
              <w:adjustRightInd w:val="0"/>
              <w:snapToGrid w:val="0"/>
              <w:jc w:val="center"/>
              <w:rPr>
                <w:rFonts w:hint="eastAsia"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13.2</w:t>
            </w:r>
            <w:r>
              <w:rPr>
                <w:rFonts w:hint="eastAsia" w:ascii="宋体" w:hAnsi="宋体"/>
                <w:color w:val="auto"/>
                <w:szCs w:val="21"/>
              </w:rPr>
              <w:t>款</w:t>
            </w:r>
          </w:p>
        </w:tc>
        <w:tc>
          <w:tcPr>
            <w:tcW w:w="1742" w:type="dxa"/>
            <w:vAlign w:val="center"/>
          </w:tcPr>
          <w:p w14:paraId="5A1665BC">
            <w:pPr>
              <w:adjustRightInd w:val="0"/>
              <w:snapToGrid w:val="0"/>
              <w:jc w:val="left"/>
              <w:rPr>
                <w:rFonts w:hint="default" w:ascii="宋体" w:hAnsi="宋体" w:eastAsia="宋体"/>
                <w:color w:val="auto"/>
                <w:szCs w:val="21"/>
                <w:lang w:val="en-US" w:eastAsia="zh-CN"/>
              </w:rPr>
            </w:pPr>
            <w:r>
              <w:rPr>
                <w:rFonts w:hint="eastAsia" w:ascii="宋体" w:hAnsi="宋体"/>
                <w:color w:val="auto"/>
                <w:szCs w:val="21"/>
                <w:lang w:val="en-US" w:eastAsia="zh-CN"/>
              </w:rPr>
              <w:t>履约保证金不予退还的情形</w:t>
            </w:r>
          </w:p>
        </w:tc>
        <w:tc>
          <w:tcPr>
            <w:tcW w:w="5170" w:type="dxa"/>
            <w:vAlign w:val="center"/>
          </w:tcPr>
          <w:p w14:paraId="1987AD41">
            <w:pPr>
              <w:adjustRightInd w:val="0"/>
              <w:snapToGrid w:val="0"/>
              <w:jc w:val="left"/>
              <w:rPr>
                <w:rFonts w:ascii="宋体" w:hAnsi="宋体"/>
                <w:color w:val="auto"/>
                <w:szCs w:val="21"/>
              </w:rPr>
            </w:pPr>
            <w:r>
              <w:rPr>
                <w:rFonts w:hint="eastAsia" w:ascii="宋体" w:hAnsi="宋体" w:eastAsia="宋体" w:cs="Times New Roman"/>
                <w:color w:val="auto"/>
                <w:sz w:val="21"/>
                <w:szCs w:val="21"/>
              </w:rPr>
              <w:t>乙方不履行合同，履约保证金不予退还；如果乙方未能按合同约定全面履行义务，那么甲方有权从履约保证金中取得补偿或赔偿，同时不影响甲方要求乙方承担合同约定的超过履约保证金的违约责任的权利。</w:t>
            </w:r>
          </w:p>
        </w:tc>
      </w:tr>
      <w:tr w14:paraId="7877205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EF62EBE">
            <w:pPr>
              <w:adjustRightInd w:val="0"/>
              <w:snapToGrid w:val="0"/>
              <w:jc w:val="center"/>
              <w:rPr>
                <w:rFonts w:hint="eastAsia" w:ascii="宋体" w:hAnsi="宋体"/>
                <w:color w:val="auto"/>
                <w:szCs w:val="21"/>
              </w:rPr>
            </w:pPr>
            <w:r>
              <w:rPr>
                <w:rFonts w:hint="eastAsia" w:ascii="宋体" w:hAnsi="宋体"/>
                <w:color w:val="auto"/>
                <w:szCs w:val="21"/>
              </w:rPr>
              <w:t>第二节</w:t>
            </w:r>
          </w:p>
          <w:p w14:paraId="525A03AA">
            <w:pPr>
              <w:adjustRightInd w:val="0"/>
              <w:snapToGrid w:val="0"/>
              <w:jc w:val="center"/>
              <w:rPr>
                <w:rFonts w:hint="eastAsia"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13.3</w:t>
            </w:r>
            <w:r>
              <w:rPr>
                <w:rFonts w:hint="eastAsia" w:ascii="宋体" w:hAnsi="宋体"/>
                <w:color w:val="auto"/>
                <w:szCs w:val="21"/>
              </w:rPr>
              <w:t>款</w:t>
            </w:r>
          </w:p>
        </w:tc>
        <w:tc>
          <w:tcPr>
            <w:tcW w:w="1742" w:type="dxa"/>
            <w:vAlign w:val="center"/>
          </w:tcPr>
          <w:p w14:paraId="0539A25A">
            <w:pPr>
              <w:adjustRightInd w:val="0"/>
              <w:snapToGrid w:val="0"/>
              <w:jc w:val="left"/>
              <w:rPr>
                <w:rFonts w:ascii="宋体" w:hAnsi="宋体"/>
                <w:color w:val="auto"/>
                <w:szCs w:val="21"/>
              </w:rPr>
            </w:pPr>
            <w:r>
              <w:rPr>
                <w:rFonts w:hint="eastAsia" w:ascii="宋体" w:hAnsi="宋体"/>
                <w:color w:val="auto"/>
                <w:szCs w:val="21"/>
              </w:rPr>
              <w:t>履约保证金退还时间及</w:t>
            </w:r>
            <w:r>
              <w:rPr>
                <w:rFonts w:hint="eastAsia" w:ascii="宋体" w:hAnsi="宋体"/>
                <w:color w:val="auto"/>
                <w:szCs w:val="21"/>
                <w:lang w:eastAsia="zh-CN"/>
              </w:rPr>
              <w:t>逾期退还的</w:t>
            </w:r>
            <w:r>
              <w:rPr>
                <w:rFonts w:hint="eastAsia" w:ascii="宋体" w:hAnsi="宋体"/>
                <w:color w:val="auto"/>
                <w:szCs w:val="21"/>
              </w:rPr>
              <w:t>违约金</w:t>
            </w:r>
          </w:p>
        </w:tc>
        <w:tc>
          <w:tcPr>
            <w:tcW w:w="5170" w:type="dxa"/>
            <w:vAlign w:val="center"/>
          </w:tcPr>
          <w:p w14:paraId="49F30777">
            <w:pPr>
              <w:adjustRightInd w:val="0"/>
              <w:snapToGrid w:val="0"/>
              <w:jc w:val="left"/>
              <w:rPr>
                <w:rFonts w:ascii="宋体" w:hAnsi="宋体"/>
                <w:color w:val="auto"/>
                <w:szCs w:val="21"/>
              </w:rPr>
            </w:pPr>
            <w:r>
              <w:rPr>
                <w:rFonts w:hint="eastAsia" w:ascii="宋体" w:hAnsi="宋体" w:cs="Times New Roman"/>
                <w:color w:val="auto"/>
                <w:kern w:val="2"/>
                <w:sz w:val="21"/>
                <w:szCs w:val="21"/>
              </w:rPr>
              <w:t>甲方在项目验收结束后及时退还履约保证金。甲方在项目通过验收之日起</w:t>
            </w:r>
            <w:r>
              <w:rPr>
                <w:rFonts w:hint="eastAsia" w:ascii="宋体" w:hAnsi="宋体" w:cs="Times New Roman"/>
                <w:color w:val="auto"/>
                <w:kern w:val="2"/>
                <w:sz w:val="21"/>
                <w:szCs w:val="21"/>
                <w:u w:val="none"/>
              </w:rPr>
              <w:t xml:space="preserve"> </w:t>
            </w:r>
            <w:r>
              <w:rPr>
                <w:rFonts w:hint="eastAsia" w:ascii="宋体" w:hAnsi="宋体" w:cs="Times New Roman"/>
                <w:color w:val="auto"/>
                <w:kern w:val="2"/>
                <w:sz w:val="21"/>
                <w:szCs w:val="21"/>
                <w:u w:val="none"/>
                <w:lang w:eastAsia="zh-CN"/>
              </w:rPr>
              <w:t>2</w:t>
            </w:r>
            <w:r>
              <w:rPr>
                <w:rFonts w:hint="eastAsia" w:ascii="宋体" w:hAnsi="宋体" w:cs="Times New Roman"/>
                <w:color w:val="auto"/>
                <w:kern w:val="2"/>
                <w:sz w:val="21"/>
                <w:szCs w:val="21"/>
                <w:u w:val="none"/>
                <w:lang w:val="en-US" w:eastAsia="zh-CN"/>
              </w:rPr>
              <w:t>0</w:t>
            </w:r>
            <w:r>
              <w:rPr>
                <w:rFonts w:hint="eastAsia" w:ascii="宋体" w:hAnsi="宋体" w:cs="Times New Roman"/>
                <w:color w:val="auto"/>
                <w:kern w:val="2"/>
                <w:sz w:val="21"/>
                <w:szCs w:val="21"/>
                <w:u w:val="none"/>
              </w:rPr>
              <w:t xml:space="preserve"> </w:t>
            </w:r>
            <w:r>
              <w:rPr>
                <w:rFonts w:hint="eastAsia" w:ascii="宋体" w:hAnsi="宋体" w:cs="Times New Roman"/>
                <w:color w:val="auto"/>
                <w:kern w:val="2"/>
                <w:sz w:val="21"/>
                <w:szCs w:val="21"/>
              </w:rPr>
              <w:t>个工作日内将履约保证金无息退还乙方，逾期退还的，乙方可要求甲方支付违约金，违约金按每迟延退还一日的应退还而未退还金额的</w:t>
            </w:r>
            <w:r>
              <w:rPr>
                <w:rFonts w:hint="eastAsia" w:ascii="宋体" w:hAnsi="宋体" w:cs="Times New Roman"/>
                <w:color w:val="auto"/>
                <w:kern w:val="2"/>
                <w:sz w:val="21"/>
                <w:szCs w:val="21"/>
                <w:u w:val="none"/>
              </w:rPr>
              <w:t xml:space="preserve">  </w:t>
            </w:r>
            <w:r>
              <w:rPr>
                <w:rFonts w:hint="eastAsia" w:ascii="宋体" w:hAnsi="宋体" w:cs="Times New Roman"/>
                <w:color w:val="auto"/>
                <w:kern w:val="2"/>
                <w:sz w:val="21"/>
                <w:szCs w:val="21"/>
                <w:u w:val="none"/>
                <w:lang w:eastAsia="zh-CN"/>
              </w:rPr>
              <w:t>0</w:t>
            </w:r>
            <w:r>
              <w:rPr>
                <w:rFonts w:hint="eastAsia" w:ascii="宋体" w:hAnsi="宋体" w:cs="Times New Roman"/>
                <w:color w:val="auto"/>
                <w:kern w:val="2"/>
                <w:sz w:val="21"/>
                <w:szCs w:val="21"/>
                <w:u w:val="none"/>
                <w:lang w:val="en-US" w:eastAsia="zh-CN"/>
              </w:rPr>
              <w:t>.05</w:t>
            </w:r>
            <w:r>
              <w:rPr>
                <w:rFonts w:hint="eastAsia" w:ascii="宋体" w:hAnsi="宋体" w:cs="Times New Roman"/>
                <w:color w:val="auto"/>
                <w:kern w:val="2"/>
                <w:sz w:val="21"/>
                <w:szCs w:val="21"/>
                <w:u w:val="none"/>
              </w:rPr>
              <w:t xml:space="preserve"> </w:t>
            </w:r>
            <w:r>
              <w:rPr>
                <w:rFonts w:hint="eastAsia" w:ascii="宋体" w:hAnsi="宋体" w:cs="Times New Roman"/>
                <w:color w:val="auto"/>
                <w:kern w:val="2"/>
                <w:sz w:val="21"/>
                <w:szCs w:val="21"/>
              </w:rPr>
              <w:t>%计算，最高限额为本合同履约保证金的</w:t>
            </w:r>
            <w:r>
              <w:rPr>
                <w:rFonts w:hint="eastAsia" w:ascii="宋体" w:hAnsi="宋体" w:cs="Times New Roman"/>
                <w:color w:val="auto"/>
                <w:kern w:val="2"/>
                <w:sz w:val="21"/>
                <w:szCs w:val="21"/>
                <w:u w:val="none"/>
              </w:rPr>
              <w:t xml:space="preserve"> 20</w:t>
            </w:r>
            <w:r>
              <w:rPr>
                <w:rFonts w:hint="eastAsia" w:ascii="宋体" w:hAnsi="宋体" w:cs="Times New Roman"/>
                <w:color w:val="auto"/>
                <w:kern w:val="2"/>
                <w:sz w:val="21"/>
                <w:szCs w:val="21"/>
              </w:rPr>
              <w:t xml:space="preserve"> %。</w:t>
            </w:r>
          </w:p>
        </w:tc>
      </w:tr>
      <w:tr w14:paraId="48673AD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7BFFF1E5">
            <w:pPr>
              <w:adjustRightInd w:val="0"/>
              <w:snapToGrid w:val="0"/>
              <w:jc w:val="center"/>
              <w:rPr>
                <w:rFonts w:ascii="宋体" w:hAnsi="宋体"/>
                <w:color w:val="auto"/>
                <w:szCs w:val="21"/>
              </w:rPr>
            </w:pPr>
            <w:r>
              <w:rPr>
                <w:rFonts w:hint="eastAsia" w:ascii="宋体" w:hAnsi="宋体"/>
                <w:color w:val="auto"/>
                <w:szCs w:val="21"/>
              </w:rPr>
              <w:t>第二节</w:t>
            </w:r>
          </w:p>
          <w:p w14:paraId="0735220A">
            <w:pPr>
              <w:adjustRightInd w:val="0"/>
              <w:snapToGrid w:val="0"/>
              <w:jc w:val="center"/>
              <w:rPr>
                <w:rFonts w:hint="eastAsia"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4</w:t>
            </w:r>
            <w:r>
              <w:rPr>
                <w:rFonts w:hint="eastAsia" w:ascii="宋体" w:hAnsi="宋体"/>
                <w:color w:val="auto"/>
                <w:szCs w:val="21"/>
              </w:rPr>
              <w:t>.1（</w:t>
            </w:r>
            <w:r>
              <w:rPr>
                <w:rFonts w:hint="eastAsia" w:ascii="宋体" w:hAnsi="宋体"/>
                <w:color w:val="auto"/>
                <w:szCs w:val="21"/>
                <w:lang w:val="en-US" w:eastAsia="zh-CN"/>
              </w:rPr>
              <w:t>3</w:t>
            </w:r>
            <w:r>
              <w:rPr>
                <w:rFonts w:hint="eastAsia" w:ascii="宋体" w:hAnsi="宋体"/>
                <w:color w:val="auto"/>
                <w:szCs w:val="21"/>
              </w:rPr>
              <w:t>）项</w:t>
            </w:r>
          </w:p>
        </w:tc>
        <w:tc>
          <w:tcPr>
            <w:tcW w:w="1742" w:type="dxa"/>
            <w:vAlign w:val="center"/>
          </w:tcPr>
          <w:p w14:paraId="0D653C14">
            <w:pPr>
              <w:adjustRightInd w:val="0"/>
              <w:snapToGrid w:val="0"/>
              <w:jc w:val="left"/>
              <w:rPr>
                <w:rFonts w:hint="eastAsia" w:ascii="宋体" w:hAnsi="宋体"/>
                <w:color w:val="auto"/>
                <w:szCs w:val="21"/>
                <w:lang w:val="en-US" w:eastAsia="zh-CN"/>
              </w:rPr>
            </w:pPr>
            <w:r>
              <w:rPr>
                <w:rFonts w:hint="eastAsia" w:ascii="宋体" w:hAnsi="宋体"/>
                <w:color w:val="auto"/>
                <w:szCs w:val="21"/>
                <w:lang w:val="en-US" w:eastAsia="zh-CN"/>
              </w:rPr>
              <w:t>运行监督、维修期限</w:t>
            </w:r>
          </w:p>
        </w:tc>
        <w:tc>
          <w:tcPr>
            <w:tcW w:w="5170" w:type="dxa"/>
            <w:vAlign w:val="center"/>
          </w:tcPr>
          <w:p w14:paraId="59764EC8">
            <w:pPr>
              <w:adjustRightInd w:val="0"/>
              <w:snapToGrid w:val="0"/>
              <w:jc w:val="left"/>
              <w:rPr>
                <w:rFonts w:hint="eastAsia" w:ascii="宋体" w:hAnsi="宋体" w:eastAsia="宋体"/>
                <w:color w:val="auto"/>
                <w:szCs w:val="21"/>
                <w:lang w:eastAsia="zh-CN"/>
              </w:rPr>
            </w:pPr>
            <w:r>
              <w:rPr>
                <w:rFonts w:hint="eastAsia" w:ascii="宋体" w:hAnsi="宋体"/>
                <w:color w:val="auto"/>
                <w:szCs w:val="21"/>
                <w:lang w:val="en-US" w:eastAsia="zh-CN"/>
              </w:rPr>
              <w:t>/</w:t>
            </w:r>
          </w:p>
        </w:tc>
      </w:tr>
      <w:tr w14:paraId="3495B9E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5EA87B55">
            <w:pPr>
              <w:adjustRightInd w:val="0"/>
              <w:snapToGrid w:val="0"/>
              <w:jc w:val="center"/>
              <w:rPr>
                <w:rFonts w:ascii="宋体" w:hAnsi="宋体"/>
                <w:color w:val="auto"/>
                <w:szCs w:val="21"/>
              </w:rPr>
            </w:pPr>
            <w:r>
              <w:rPr>
                <w:rFonts w:hint="eastAsia" w:ascii="宋体" w:hAnsi="宋体"/>
                <w:color w:val="auto"/>
                <w:szCs w:val="21"/>
              </w:rPr>
              <w:t>第二节</w:t>
            </w:r>
          </w:p>
          <w:p w14:paraId="6005FF9B">
            <w:pPr>
              <w:adjustRightInd w:val="0"/>
              <w:snapToGrid w:val="0"/>
              <w:jc w:val="center"/>
              <w:rPr>
                <w:rFonts w:hint="eastAsia"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4</w:t>
            </w:r>
            <w:r>
              <w:rPr>
                <w:rFonts w:hint="eastAsia" w:ascii="宋体" w:hAnsi="宋体"/>
                <w:color w:val="auto"/>
                <w:szCs w:val="21"/>
              </w:rPr>
              <w:t>.1（</w:t>
            </w:r>
            <w:r>
              <w:rPr>
                <w:rFonts w:hint="eastAsia" w:ascii="宋体" w:hAnsi="宋体"/>
                <w:color w:val="auto"/>
                <w:szCs w:val="21"/>
                <w:lang w:val="en-US" w:eastAsia="zh-CN"/>
              </w:rPr>
              <w:t>5</w:t>
            </w:r>
            <w:r>
              <w:rPr>
                <w:rFonts w:hint="eastAsia" w:ascii="宋体" w:hAnsi="宋体"/>
                <w:color w:val="auto"/>
                <w:szCs w:val="21"/>
              </w:rPr>
              <w:t>）项</w:t>
            </w:r>
          </w:p>
        </w:tc>
        <w:tc>
          <w:tcPr>
            <w:tcW w:w="1742" w:type="dxa"/>
            <w:vAlign w:val="center"/>
          </w:tcPr>
          <w:p w14:paraId="72EA158E">
            <w:pPr>
              <w:adjustRightInd w:val="0"/>
              <w:snapToGrid w:val="0"/>
              <w:jc w:val="left"/>
              <w:rPr>
                <w:rFonts w:hint="default" w:ascii="宋体" w:hAnsi="宋体" w:eastAsia="宋体"/>
                <w:color w:val="auto"/>
                <w:szCs w:val="21"/>
                <w:lang w:val="en-US" w:eastAsia="zh-CN"/>
              </w:rPr>
            </w:pPr>
            <w:r>
              <w:rPr>
                <w:rFonts w:hint="eastAsia" w:ascii="宋体" w:hAnsi="宋体"/>
                <w:color w:val="auto"/>
                <w:szCs w:val="21"/>
                <w:lang w:val="en-US" w:eastAsia="zh-CN"/>
              </w:rPr>
              <w:t>货物回收的约定</w:t>
            </w:r>
          </w:p>
        </w:tc>
        <w:tc>
          <w:tcPr>
            <w:tcW w:w="5170" w:type="dxa"/>
            <w:vAlign w:val="center"/>
          </w:tcPr>
          <w:p w14:paraId="6C03ADFC">
            <w:pPr>
              <w:adjustRightInd w:val="0"/>
              <w:snapToGrid w:val="0"/>
              <w:jc w:val="left"/>
              <w:rPr>
                <w:rFonts w:hint="eastAsia" w:ascii="宋体" w:hAnsi="宋体" w:eastAsia="宋体"/>
                <w:color w:val="auto"/>
                <w:szCs w:val="21"/>
                <w:lang w:val="en-US" w:eastAsia="zh-CN"/>
              </w:rPr>
            </w:pPr>
            <w:r>
              <w:rPr>
                <w:rFonts w:hint="eastAsia" w:ascii="宋体" w:hAnsi="宋体"/>
                <w:color w:val="auto"/>
                <w:szCs w:val="21"/>
                <w:lang w:val="en-US" w:eastAsia="zh-CN"/>
              </w:rPr>
              <w:t>/</w:t>
            </w:r>
          </w:p>
        </w:tc>
      </w:tr>
      <w:tr w14:paraId="5D9524F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1314F93">
            <w:pPr>
              <w:adjustRightInd w:val="0"/>
              <w:snapToGrid w:val="0"/>
              <w:jc w:val="center"/>
              <w:rPr>
                <w:rFonts w:ascii="宋体" w:hAnsi="宋体"/>
                <w:color w:val="auto"/>
                <w:szCs w:val="21"/>
              </w:rPr>
            </w:pPr>
            <w:r>
              <w:rPr>
                <w:rFonts w:hint="eastAsia" w:ascii="宋体" w:hAnsi="宋体"/>
                <w:color w:val="auto"/>
                <w:szCs w:val="21"/>
              </w:rPr>
              <w:t>第二节</w:t>
            </w:r>
          </w:p>
          <w:p w14:paraId="4DB8D3CD">
            <w:pPr>
              <w:adjustRightInd w:val="0"/>
              <w:snapToGrid w:val="0"/>
              <w:jc w:val="center"/>
              <w:rPr>
                <w:rFonts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4</w:t>
            </w:r>
            <w:r>
              <w:rPr>
                <w:rFonts w:hint="eastAsia" w:ascii="宋体" w:hAnsi="宋体"/>
                <w:color w:val="auto"/>
                <w:szCs w:val="21"/>
              </w:rPr>
              <w:t>.1（</w:t>
            </w:r>
            <w:r>
              <w:rPr>
                <w:rFonts w:hint="eastAsia" w:ascii="宋体" w:hAnsi="宋体"/>
                <w:color w:val="auto"/>
                <w:szCs w:val="21"/>
                <w:lang w:val="en-US" w:eastAsia="zh-CN"/>
              </w:rPr>
              <w:t>6</w:t>
            </w:r>
            <w:r>
              <w:rPr>
                <w:rFonts w:hint="eastAsia" w:ascii="宋体" w:hAnsi="宋体"/>
                <w:color w:val="auto"/>
                <w:szCs w:val="21"/>
              </w:rPr>
              <w:t>）项</w:t>
            </w:r>
          </w:p>
        </w:tc>
        <w:tc>
          <w:tcPr>
            <w:tcW w:w="1742" w:type="dxa"/>
            <w:vAlign w:val="center"/>
          </w:tcPr>
          <w:p w14:paraId="4CE640F7">
            <w:pPr>
              <w:adjustRightInd w:val="0"/>
              <w:snapToGrid w:val="0"/>
              <w:jc w:val="left"/>
              <w:rPr>
                <w:rFonts w:ascii="宋体" w:hAnsi="宋体"/>
                <w:color w:val="auto"/>
                <w:szCs w:val="21"/>
              </w:rPr>
            </w:pPr>
            <w:r>
              <w:rPr>
                <w:rFonts w:hint="eastAsia" w:ascii="宋体" w:hAnsi="宋体"/>
                <w:color w:val="auto"/>
                <w:szCs w:val="21"/>
              </w:rPr>
              <w:t>乙方提供的其他服务</w:t>
            </w:r>
          </w:p>
        </w:tc>
        <w:tc>
          <w:tcPr>
            <w:tcW w:w="5170" w:type="dxa"/>
            <w:vAlign w:val="center"/>
          </w:tcPr>
          <w:p w14:paraId="3D8DDE88">
            <w:pPr>
              <w:adjustRightInd w:val="0"/>
              <w:snapToGrid w:val="0"/>
              <w:jc w:val="left"/>
              <w:rPr>
                <w:rFonts w:hint="default" w:ascii="宋体" w:hAnsi="宋体" w:eastAsia="宋体"/>
                <w:color w:val="auto"/>
                <w:szCs w:val="21"/>
                <w:lang w:val="en-US" w:eastAsia="zh-CN"/>
              </w:rPr>
            </w:pPr>
            <w:r>
              <w:rPr>
                <w:rFonts w:hint="eastAsia" w:ascii="宋体" w:hAnsi="宋体"/>
                <w:color w:val="auto"/>
                <w:szCs w:val="21"/>
                <w:lang w:val="en-US" w:eastAsia="zh-CN"/>
              </w:rPr>
              <w:t>根据乙方承诺。</w:t>
            </w:r>
          </w:p>
        </w:tc>
      </w:tr>
      <w:tr w14:paraId="3A94FDA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DCBD5AE">
            <w:pPr>
              <w:adjustRightInd w:val="0"/>
              <w:snapToGrid w:val="0"/>
              <w:jc w:val="center"/>
              <w:rPr>
                <w:rFonts w:ascii="宋体" w:hAnsi="宋体"/>
                <w:color w:val="auto"/>
                <w:szCs w:val="21"/>
              </w:rPr>
            </w:pPr>
            <w:r>
              <w:rPr>
                <w:rFonts w:hint="eastAsia" w:ascii="宋体" w:hAnsi="宋体"/>
                <w:color w:val="auto"/>
                <w:szCs w:val="21"/>
              </w:rPr>
              <w:t>第二节</w:t>
            </w:r>
          </w:p>
          <w:p w14:paraId="3AFA712D">
            <w:pPr>
              <w:adjustRightInd w:val="0"/>
              <w:snapToGrid w:val="0"/>
              <w:jc w:val="center"/>
              <w:rPr>
                <w:rFonts w:hint="default" w:ascii="宋体" w:hAnsi="宋体" w:eastAsia="宋体"/>
                <w:color w:val="auto"/>
                <w:szCs w:val="21"/>
                <w:lang w:val="en-US" w:eastAsia="zh-CN"/>
              </w:rPr>
            </w:pPr>
            <w:r>
              <w:rPr>
                <w:rFonts w:hint="eastAsia" w:ascii="宋体" w:hAnsi="宋体"/>
                <w:color w:val="auto"/>
                <w:szCs w:val="21"/>
              </w:rPr>
              <w:t>第1</w:t>
            </w:r>
            <w:r>
              <w:rPr>
                <w:rFonts w:hint="eastAsia" w:ascii="宋体" w:hAnsi="宋体"/>
                <w:color w:val="auto"/>
                <w:szCs w:val="21"/>
                <w:lang w:val="en-US" w:eastAsia="zh-CN"/>
              </w:rPr>
              <w:t>5</w:t>
            </w:r>
            <w:r>
              <w:rPr>
                <w:rFonts w:hint="eastAsia" w:ascii="宋体" w:hAnsi="宋体"/>
                <w:color w:val="auto"/>
                <w:szCs w:val="21"/>
              </w:rPr>
              <w:t>.</w:t>
            </w:r>
            <w:r>
              <w:rPr>
                <w:rFonts w:hint="eastAsia" w:ascii="宋体" w:hAnsi="宋体"/>
                <w:color w:val="auto"/>
                <w:szCs w:val="21"/>
                <w:lang w:val="en-US" w:eastAsia="zh-CN"/>
              </w:rPr>
              <w:t>1款</w:t>
            </w:r>
          </w:p>
        </w:tc>
        <w:tc>
          <w:tcPr>
            <w:tcW w:w="1742" w:type="dxa"/>
            <w:vAlign w:val="center"/>
          </w:tcPr>
          <w:p w14:paraId="5DF9D667">
            <w:pPr>
              <w:adjustRightInd w:val="0"/>
              <w:snapToGrid w:val="0"/>
              <w:jc w:val="left"/>
              <w:rPr>
                <w:rFonts w:hint="eastAsia" w:ascii="宋体" w:hAnsi="宋体"/>
                <w:color w:val="auto"/>
                <w:szCs w:val="21"/>
              </w:rPr>
            </w:pPr>
            <w:r>
              <w:rPr>
                <w:rFonts w:hint="eastAsia" w:ascii="宋体" w:hAnsi="宋体"/>
                <w:color w:val="auto"/>
                <w:szCs w:val="21"/>
                <w:highlight w:val="none"/>
                <w:lang w:eastAsia="zh-CN"/>
              </w:rPr>
              <w:t>修理、重作、更换相关具体规定</w:t>
            </w:r>
          </w:p>
        </w:tc>
        <w:tc>
          <w:tcPr>
            <w:tcW w:w="5170" w:type="dxa"/>
            <w:vAlign w:val="center"/>
          </w:tcPr>
          <w:p w14:paraId="68279553">
            <w:pPr>
              <w:adjustRightInd w:val="0"/>
              <w:snapToGrid w:val="0"/>
              <w:jc w:val="left"/>
              <w:rPr>
                <w:rFonts w:hint="eastAsia" w:ascii="宋体" w:hAnsi="宋体" w:eastAsia="宋体"/>
                <w:color w:val="auto"/>
                <w:szCs w:val="21"/>
                <w:lang w:val="en-US" w:eastAsia="zh-CN"/>
              </w:rPr>
            </w:pPr>
            <w:r>
              <w:rPr>
                <w:rFonts w:hint="eastAsia" w:ascii="宋体" w:hAnsi="宋体"/>
                <w:color w:val="auto"/>
                <w:szCs w:val="21"/>
                <w:lang w:val="en-US" w:eastAsia="zh-CN"/>
              </w:rPr>
              <w:t>/</w:t>
            </w:r>
          </w:p>
        </w:tc>
      </w:tr>
      <w:tr w14:paraId="3A5E634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CA8FE67">
            <w:pPr>
              <w:adjustRightInd w:val="0"/>
              <w:snapToGrid w:val="0"/>
              <w:jc w:val="center"/>
              <w:rPr>
                <w:rFonts w:ascii="宋体" w:hAnsi="宋体"/>
                <w:color w:val="auto"/>
                <w:szCs w:val="21"/>
              </w:rPr>
            </w:pPr>
            <w:r>
              <w:rPr>
                <w:rFonts w:hint="eastAsia" w:ascii="宋体" w:hAnsi="宋体"/>
                <w:color w:val="auto"/>
                <w:szCs w:val="21"/>
              </w:rPr>
              <w:t>第二节</w:t>
            </w:r>
          </w:p>
          <w:p w14:paraId="3A5CAD46">
            <w:pPr>
              <w:adjustRightInd w:val="0"/>
              <w:snapToGrid w:val="0"/>
              <w:jc w:val="center"/>
              <w:rPr>
                <w:rFonts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5</w:t>
            </w:r>
            <w:r>
              <w:rPr>
                <w:rFonts w:hint="eastAsia" w:ascii="宋体" w:hAnsi="宋体"/>
                <w:color w:val="auto"/>
                <w:szCs w:val="21"/>
              </w:rPr>
              <w:t>.2（2）项</w:t>
            </w:r>
          </w:p>
        </w:tc>
        <w:tc>
          <w:tcPr>
            <w:tcW w:w="1742" w:type="dxa"/>
            <w:vAlign w:val="center"/>
          </w:tcPr>
          <w:p w14:paraId="34B41B85">
            <w:pPr>
              <w:adjustRightInd w:val="0"/>
              <w:snapToGrid w:val="0"/>
              <w:jc w:val="left"/>
              <w:rPr>
                <w:rFonts w:ascii="宋体" w:hAnsi="宋体"/>
                <w:color w:val="auto"/>
                <w:szCs w:val="21"/>
              </w:rPr>
            </w:pPr>
            <w:r>
              <w:rPr>
                <w:rFonts w:hint="eastAsia" w:ascii="宋体" w:hAnsi="宋体"/>
                <w:color w:val="auto"/>
                <w:szCs w:val="21"/>
              </w:rPr>
              <w:t>迟延交货赔偿费</w:t>
            </w:r>
          </w:p>
        </w:tc>
        <w:tc>
          <w:tcPr>
            <w:tcW w:w="5170" w:type="dxa"/>
            <w:vAlign w:val="center"/>
          </w:tcPr>
          <w:p w14:paraId="12443C09">
            <w:pPr>
              <w:adjustRightInd w:val="0"/>
              <w:snapToGrid w:val="0"/>
              <w:jc w:val="left"/>
              <w:rPr>
                <w:rFonts w:ascii="宋体" w:hAnsi="宋体"/>
                <w:color w:val="auto"/>
                <w:szCs w:val="21"/>
                <w:u w:val="single"/>
              </w:rPr>
            </w:pPr>
            <w:r>
              <w:rPr>
                <w:rFonts w:hint="eastAsia" w:ascii="宋体" w:hAnsi="宋体"/>
                <w:color w:val="auto"/>
                <w:szCs w:val="21"/>
                <w:u w:val="single"/>
                <w:lang w:val="en-US" w:eastAsia="zh-CN"/>
              </w:rPr>
              <w:t>每迟延交货1天，</w:t>
            </w:r>
            <w:r>
              <w:rPr>
                <w:rFonts w:hint="eastAsia" w:ascii="宋体" w:hAnsi="宋体"/>
                <w:color w:val="auto"/>
                <w:szCs w:val="21"/>
                <w:u w:val="single"/>
              </w:rPr>
              <w:t>扣减合同价</w:t>
            </w:r>
            <w:r>
              <w:rPr>
                <w:rFonts w:hint="eastAsia" w:ascii="宋体" w:hAnsi="宋体"/>
                <w:color w:val="auto"/>
                <w:szCs w:val="21"/>
                <w:u w:val="single"/>
                <w:lang w:val="en-US" w:eastAsia="zh-CN"/>
              </w:rPr>
              <w:t>0.2</w:t>
            </w:r>
            <w:r>
              <w:rPr>
                <w:rFonts w:hint="eastAsia" w:ascii="宋体" w:hAnsi="宋体"/>
                <w:color w:val="auto"/>
                <w:szCs w:val="21"/>
                <w:u w:val="single"/>
              </w:rPr>
              <w:t>%</w:t>
            </w:r>
            <w:r>
              <w:rPr>
                <w:rFonts w:hint="eastAsia" w:ascii="宋体" w:hAnsi="宋体"/>
                <w:color w:val="auto"/>
                <w:szCs w:val="21"/>
                <w:u w:val="single"/>
                <w:lang w:eastAsia="zh-CN"/>
              </w:rPr>
              <w:t>。</w:t>
            </w:r>
          </w:p>
        </w:tc>
      </w:tr>
      <w:tr w14:paraId="724016E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70ACFA1">
            <w:pPr>
              <w:adjustRightInd w:val="0"/>
              <w:snapToGrid w:val="0"/>
              <w:jc w:val="center"/>
              <w:rPr>
                <w:rFonts w:ascii="宋体" w:hAnsi="宋体"/>
                <w:color w:val="auto"/>
                <w:szCs w:val="21"/>
              </w:rPr>
            </w:pPr>
            <w:r>
              <w:rPr>
                <w:rFonts w:hint="eastAsia" w:ascii="宋体" w:hAnsi="宋体"/>
                <w:color w:val="auto"/>
                <w:szCs w:val="21"/>
              </w:rPr>
              <w:t>第二节</w:t>
            </w:r>
          </w:p>
          <w:p w14:paraId="33B7FC6D">
            <w:pPr>
              <w:adjustRightInd w:val="0"/>
              <w:snapToGrid w:val="0"/>
              <w:jc w:val="center"/>
              <w:rPr>
                <w:rFonts w:hint="eastAsia"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5</w:t>
            </w:r>
            <w:r>
              <w:rPr>
                <w:rFonts w:hint="eastAsia" w:ascii="宋体" w:hAnsi="宋体"/>
                <w:color w:val="auto"/>
                <w:szCs w:val="21"/>
              </w:rPr>
              <w:t>.</w:t>
            </w:r>
            <w:r>
              <w:rPr>
                <w:rFonts w:hint="eastAsia" w:ascii="宋体" w:hAnsi="宋体"/>
                <w:color w:val="auto"/>
                <w:szCs w:val="21"/>
                <w:lang w:val="en-US" w:eastAsia="zh-CN"/>
              </w:rPr>
              <w:t>3款</w:t>
            </w:r>
          </w:p>
        </w:tc>
        <w:tc>
          <w:tcPr>
            <w:tcW w:w="1742" w:type="dxa"/>
            <w:vAlign w:val="center"/>
          </w:tcPr>
          <w:p w14:paraId="0DE2564F">
            <w:pPr>
              <w:adjustRightInd w:val="0"/>
              <w:snapToGrid w:val="0"/>
              <w:jc w:val="left"/>
              <w:rPr>
                <w:rFonts w:hint="eastAsia" w:ascii="宋体" w:hAnsi="宋体"/>
                <w:color w:val="auto"/>
                <w:szCs w:val="21"/>
              </w:rPr>
            </w:pPr>
            <w:r>
              <w:rPr>
                <w:rFonts w:hint="eastAsia" w:ascii="宋体" w:hAnsi="宋体"/>
                <w:color w:val="auto"/>
                <w:szCs w:val="21"/>
              </w:rPr>
              <w:t>逾期付款利息</w:t>
            </w:r>
          </w:p>
        </w:tc>
        <w:tc>
          <w:tcPr>
            <w:tcW w:w="5170" w:type="dxa"/>
            <w:vAlign w:val="center"/>
          </w:tcPr>
          <w:p w14:paraId="39D8E271">
            <w:pPr>
              <w:adjustRightInd w:val="0"/>
              <w:snapToGrid w:val="0"/>
              <w:jc w:val="left"/>
              <w:rPr>
                <w:rFonts w:hint="eastAsia" w:ascii="宋体" w:hAnsi="宋体" w:eastAsia="宋体"/>
                <w:color w:val="auto"/>
                <w:szCs w:val="21"/>
                <w:u w:val="single"/>
                <w:lang w:val="en-US" w:eastAsia="zh-CN"/>
              </w:rPr>
            </w:pPr>
            <w:r>
              <w:rPr>
                <w:rFonts w:hint="eastAsia" w:ascii="宋体" w:hAnsi="宋体"/>
                <w:color w:val="auto"/>
                <w:szCs w:val="21"/>
                <w:u w:val="single"/>
                <w:lang w:val="en-US" w:eastAsia="zh-CN"/>
              </w:rPr>
              <w:t>/</w:t>
            </w:r>
          </w:p>
        </w:tc>
      </w:tr>
      <w:tr w14:paraId="25EDEF3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2358B71D">
            <w:pPr>
              <w:adjustRightInd w:val="0"/>
              <w:snapToGrid w:val="0"/>
              <w:jc w:val="center"/>
              <w:rPr>
                <w:rFonts w:ascii="宋体" w:hAnsi="宋体"/>
                <w:color w:val="auto"/>
                <w:szCs w:val="21"/>
              </w:rPr>
            </w:pPr>
            <w:r>
              <w:rPr>
                <w:rFonts w:hint="eastAsia" w:ascii="宋体" w:hAnsi="宋体"/>
                <w:color w:val="auto"/>
                <w:szCs w:val="21"/>
              </w:rPr>
              <w:t>第二节</w:t>
            </w:r>
          </w:p>
          <w:p w14:paraId="71E8267B">
            <w:pPr>
              <w:adjustRightInd w:val="0"/>
              <w:snapToGrid w:val="0"/>
              <w:jc w:val="center"/>
              <w:rPr>
                <w:rFonts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5</w:t>
            </w:r>
            <w:r>
              <w:rPr>
                <w:rFonts w:hint="eastAsia" w:ascii="宋体" w:hAnsi="宋体"/>
                <w:color w:val="auto"/>
                <w:szCs w:val="21"/>
              </w:rPr>
              <w:t>.4</w:t>
            </w:r>
            <w:r>
              <w:rPr>
                <w:rFonts w:hint="eastAsia" w:ascii="宋体" w:hAnsi="宋体"/>
                <w:color w:val="auto"/>
                <w:szCs w:val="21"/>
                <w:lang w:val="en-US" w:eastAsia="zh-CN"/>
              </w:rPr>
              <w:t>款</w:t>
            </w:r>
          </w:p>
        </w:tc>
        <w:tc>
          <w:tcPr>
            <w:tcW w:w="1742" w:type="dxa"/>
            <w:tcBorders>
              <w:left w:val="single" w:color="auto" w:sz="2" w:space="0"/>
              <w:bottom w:val="single" w:color="auto" w:sz="2" w:space="0"/>
              <w:right w:val="single" w:color="auto" w:sz="2" w:space="0"/>
            </w:tcBorders>
            <w:vAlign w:val="center"/>
          </w:tcPr>
          <w:p w14:paraId="5A432838">
            <w:pPr>
              <w:adjustRightInd w:val="0"/>
              <w:snapToGrid w:val="0"/>
              <w:jc w:val="left"/>
              <w:rPr>
                <w:rFonts w:ascii="宋体" w:hAnsi="宋体"/>
                <w:color w:val="auto"/>
                <w:szCs w:val="21"/>
                <w:highlight w:val="none"/>
              </w:rPr>
            </w:pPr>
            <w:r>
              <w:rPr>
                <w:rFonts w:hint="eastAsia" w:ascii="宋体" w:hAnsi="宋体"/>
                <w:color w:val="auto"/>
                <w:szCs w:val="21"/>
                <w:highlight w:val="none"/>
              </w:rPr>
              <w:t>其他违约责任</w:t>
            </w:r>
          </w:p>
        </w:tc>
        <w:tc>
          <w:tcPr>
            <w:tcW w:w="5170" w:type="dxa"/>
            <w:tcBorders>
              <w:left w:val="single" w:color="auto" w:sz="2" w:space="0"/>
              <w:bottom w:val="single" w:color="auto" w:sz="2" w:space="0"/>
            </w:tcBorders>
            <w:vAlign w:val="center"/>
          </w:tcPr>
          <w:p w14:paraId="65040814">
            <w:pPr>
              <w:adjustRightInd w:val="0"/>
              <w:snapToGrid w:val="0"/>
              <w:jc w:val="left"/>
              <w:rPr>
                <w:rFonts w:hint="eastAsia" w:ascii="宋体" w:hAnsi="宋体" w:eastAsia="宋体"/>
                <w:color w:val="auto"/>
                <w:szCs w:val="21"/>
                <w:highlight w:val="none"/>
                <w:u w:val="single"/>
                <w:lang w:eastAsia="zh-CN"/>
              </w:rPr>
            </w:pPr>
            <w:r>
              <w:rPr>
                <w:rFonts w:hint="eastAsia" w:ascii="宋体" w:hAnsi="宋体"/>
                <w:color w:val="auto"/>
                <w:szCs w:val="21"/>
                <w:highlight w:val="none"/>
                <w:u w:val="single"/>
              </w:rPr>
              <w:t>“拟派人员未经采购人书面同意不得更换，并设定违约金条款</w:t>
            </w:r>
            <w:r>
              <w:rPr>
                <w:rFonts w:hint="eastAsia" w:ascii="宋体" w:hAnsi="宋体"/>
                <w:color w:val="auto"/>
                <w:szCs w:val="21"/>
                <w:highlight w:val="none"/>
                <w:u w:val="single"/>
                <w:lang w:eastAsia="zh-CN"/>
              </w:rPr>
              <w:t>，</w:t>
            </w:r>
            <w:r>
              <w:rPr>
                <w:rFonts w:hint="eastAsia" w:ascii="宋体" w:hAnsi="宋体"/>
                <w:color w:val="auto"/>
                <w:szCs w:val="21"/>
                <w:highlight w:val="none"/>
                <w:u w:val="single"/>
              </w:rPr>
              <w:t>如</w:t>
            </w:r>
            <w:r>
              <w:rPr>
                <w:rFonts w:hint="eastAsia" w:ascii="宋体" w:hAnsi="宋体"/>
                <w:color w:val="auto"/>
                <w:szCs w:val="21"/>
                <w:highlight w:val="none"/>
                <w:u w:val="single"/>
                <w:lang w:val="en-US" w:eastAsia="zh-CN"/>
              </w:rPr>
              <w:t>确需更换的，在征得采购人书面同意后每</w:t>
            </w:r>
            <w:r>
              <w:rPr>
                <w:rFonts w:hint="eastAsia" w:ascii="宋体" w:hAnsi="宋体"/>
                <w:color w:val="auto"/>
                <w:szCs w:val="21"/>
                <w:highlight w:val="none"/>
                <w:u w:val="single"/>
              </w:rPr>
              <w:t>更换一人扣减合同价</w:t>
            </w:r>
            <w:r>
              <w:rPr>
                <w:rFonts w:hint="eastAsia" w:ascii="宋体" w:hAnsi="宋体"/>
                <w:color w:val="auto"/>
                <w:szCs w:val="21"/>
                <w:highlight w:val="none"/>
                <w:u w:val="single"/>
                <w:lang w:val="en-US" w:eastAsia="zh-CN"/>
              </w:rPr>
              <w:t>3</w:t>
            </w:r>
            <w:r>
              <w:rPr>
                <w:rFonts w:hint="eastAsia" w:ascii="宋体" w:hAnsi="宋体"/>
                <w:color w:val="auto"/>
                <w:szCs w:val="21"/>
                <w:highlight w:val="none"/>
                <w:u w:val="single"/>
              </w:rPr>
              <w:t>%</w:t>
            </w:r>
            <w:r>
              <w:rPr>
                <w:rFonts w:hint="eastAsia" w:ascii="宋体" w:hAnsi="宋体"/>
                <w:color w:val="auto"/>
                <w:szCs w:val="21"/>
                <w:highlight w:val="none"/>
                <w:u w:val="single"/>
                <w:lang w:eastAsia="zh-CN"/>
              </w:rPr>
              <w:t>。</w:t>
            </w:r>
          </w:p>
        </w:tc>
      </w:tr>
      <w:tr w14:paraId="00384B2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77340708">
            <w:pPr>
              <w:adjustRightInd w:val="0"/>
              <w:snapToGrid w:val="0"/>
              <w:jc w:val="center"/>
              <w:rPr>
                <w:rFonts w:ascii="宋体" w:hAnsi="宋体"/>
                <w:color w:val="auto"/>
                <w:szCs w:val="21"/>
              </w:rPr>
            </w:pPr>
            <w:r>
              <w:rPr>
                <w:rFonts w:hint="eastAsia" w:ascii="宋体" w:hAnsi="宋体"/>
                <w:color w:val="auto"/>
                <w:szCs w:val="21"/>
              </w:rPr>
              <w:t>第二节</w:t>
            </w:r>
          </w:p>
          <w:p w14:paraId="76618BBB">
            <w:pPr>
              <w:adjustRightInd w:val="0"/>
              <w:snapToGrid w:val="0"/>
              <w:jc w:val="center"/>
              <w:rPr>
                <w:rFonts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19</w:t>
            </w:r>
            <w:r>
              <w:rPr>
                <w:rFonts w:hint="eastAsia" w:ascii="宋体" w:hAnsi="宋体"/>
                <w:color w:val="auto"/>
                <w:szCs w:val="21"/>
              </w:rPr>
              <w:t>.2</w:t>
            </w:r>
            <w:r>
              <w:rPr>
                <w:rFonts w:hint="eastAsia" w:ascii="宋体" w:hAnsi="宋体"/>
                <w:color w:val="auto"/>
                <w:szCs w:val="21"/>
                <w:lang w:val="en-US" w:eastAsia="zh-CN"/>
              </w:rPr>
              <w:t>款</w:t>
            </w:r>
          </w:p>
        </w:tc>
        <w:tc>
          <w:tcPr>
            <w:tcW w:w="1742" w:type="dxa"/>
            <w:tcBorders>
              <w:top w:val="single" w:color="auto" w:sz="2" w:space="0"/>
              <w:left w:val="single" w:color="auto" w:sz="2" w:space="0"/>
              <w:right w:val="single" w:color="auto" w:sz="2" w:space="0"/>
            </w:tcBorders>
            <w:vAlign w:val="center"/>
          </w:tcPr>
          <w:p w14:paraId="4198C85F">
            <w:pPr>
              <w:adjustRightInd w:val="0"/>
              <w:snapToGrid w:val="0"/>
              <w:jc w:val="left"/>
              <w:rPr>
                <w:rFonts w:ascii="宋体" w:hAnsi="宋体"/>
                <w:color w:val="auto"/>
                <w:szCs w:val="21"/>
              </w:rPr>
            </w:pPr>
            <w:r>
              <w:rPr>
                <w:rFonts w:hint="eastAsia" w:ascii="宋体" w:hAnsi="宋体"/>
                <w:color w:val="auto"/>
                <w:szCs w:val="21"/>
                <w:lang w:val="en-US" w:eastAsia="zh-CN"/>
              </w:rPr>
              <w:t>解决争议的方法</w:t>
            </w:r>
          </w:p>
        </w:tc>
        <w:tc>
          <w:tcPr>
            <w:tcW w:w="5170" w:type="dxa"/>
            <w:tcBorders>
              <w:top w:val="single" w:color="auto" w:sz="2" w:space="0"/>
              <w:left w:val="single" w:color="auto" w:sz="2" w:space="0"/>
            </w:tcBorders>
            <w:vAlign w:val="center"/>
          </w:tcPr>
          <w:p w14:paraId="47AA3520">
            <w:pPr>
              <w:autoSpaceDE w:val="0"/>
              <w:autoSpaceDN w:val="0"/>
              <w:adjustRightInd w:val="0"/>
              <w:snapToGrid w:val="0"/>
              <w:spacing w:line="400" w:lineRule="exact"/>
              <w:jc w:val="left"/>
              <w:rPr>
                <w:rFonts w:hint="eastAsia" w:ascii="宋体" w:hAnsi="宋体" w:eastAsia="宋体" w:cs="宋体"/>
                <w:b w:val="0"/>
                <w:bCs w:val="0"/>
                <w:iCs/>
                <w:color w:val="auto"/>
                <w:szCs w:val="21"/>
              </w:rPr>
            </w:pPr>
            <w:r>
              <w:rPr>
                <w:rFonts w:hint="eastAsia" w:ascii="宋体" w:hAnsi="宋体" w:eastAsia="宋体" w:cs="宋体"/>
                <w:b w:val="0"/>
                <w:bCs w:val="0"/>
                <w:iCs/>
                <w:color w:val="auto"/>
                <w:szCs w:val="21"/>
              </w:rPr>
              <w:t>因本合同及合同有关事项发生的争议，按下列第</w:t>
            </w:r>
            <w:r>
              <w:rPr>
                <w:rFonts w:hint="eastAsia" w:ascii="宋体" w:hAnsi="宋体" w:eastAsia="宋体" w:cs="宋体"/>
                <w:b w:val="0"/>
                <w:bCs w:val="0"/>
                <w:iCs/>
                <w:color w:val="auto"/>
                <w:szCs w:val="21"/>
                <w:u w:val="single"/>
              </w:rPr>
              <w:t xml:space="preserve"> </w:t>
            </w:r>
            <w:r>
              <w:rPr>
                <w:rFonts w:hint="eastAsia" w:ascii="宋体" w:hAnsi="宋体" w:cs="宋体"/>
                <w:b w:val="0"/>
                <w:bCs w:val="0"/>
                <w:iCs/>
                <w:color w:val="auto"/>
                <w:szCs w:val="21"/>
                <w:u w:val="single"/>
                <w:lang w:val="en-US" w:eastAsia="zh-CN"/>
              </w:rPr>
              <w:t>2</w:t>
            </w:r>
            <w:r>
              <w:rPr>
                <w:rFonts w:hint="eastAsia" w:ascii="宋体" w:hAnsi="宋体" w:eastAsia="宋体" w:cs="宋体"/>
                <w:b w:val="0"/>
                <w:bCs w:val="0"/>
                <w:iCs/>
                <w:color w:val="auto"/>
                <w:szCs w:val="21"/>
                <w:u w:val="single"/>
              </w:rPr>
              <w:t xml:space="preserve">  </w:t>
            </w:r>
            <w:r>
              <w:rPr>
                <w:rFonts w:hint="eastAsia" w:ascii="宋体" w:hAnsi="宋体" w:eastAsia="宋体" w:cs="宋体"/>
                <w:b w:val="0"/>
                <w:bCs w:val="0"/>
                <w:iCs/>
                <w:color w:val="auto"/>
                <w:szCs w:val="21"/>
              </w:rPr>
              <w:t>种方式解决：</w:t>
            </w:r>
          </w:p>
          <w:p w14:paraId="0BD85EA6">
            <w:pPr>
              <w:autoSpaceDE w:val="0"/>
              <w:autoSpaceDN w:val="0"/>
              <w:adjustRightInd w:val="0"/>
              <w:snapToGrid w:val="0"/>
              <w:spacing w:line="400" w:lineRule="exact"/>
              <w:jc w:val="left"/>
              <w:rPr>
                <w:rFonts w:hint="eastAsia" w:ascii="宋体" w:hAnsi="宋体" w:eastAsia="宋体" w:cs="宋体"/>
                <w:b w:val="0"/>
                <w:bCs w:val="0"/>
                <w:iCs/>
                <w:color w:val="auto"/>
                <w:szCs w:val="21"/>
              </w:rPr>
            </w:pPr>
            <w:r>
              <w:rPr>
                <w:rFonts w:hint="eastAsia" w:ascii="宋体" w:hAnsi="宋体" w:eastAsia="宋体" w:cs="宋体"/>
                <w:b w:val="0"/>
                <w:bCs w:val="0"/>
                <w:iCs/>
                <w:color w:val="auto"/>
                <w:szCs w:val="21"/>
              </w:rPr>
              <w:t>（1）向</w:t>
            </w:r>
            <w:r>
              <w:rPr>
                <w:rFonts w:hint="eastAsia" w:ascii="宋体" w:hAnsi="宋体" w:eastAsia="宋体" w:cs="宋体"/>
                <w:b w:val="0"/>
                <w:bCs w:val="0"/>
                <w:iCs/>
                <w:color w:val="auto"/>
                <w:szCs w:val="21"/>
                <w:u w:val="single"/>
              </w:rPr>
              <w:t xml:space="preserve">   </w:t>
            </w:r>
            <w:r>
              <w:rPr>
                <w:rFonts w:hint="eastAsia" w:ascii="宋体" w:hAnsi="宋体" w:cs="宋体"/>
                <w:b w:val="0"/>
                <w:bCs w:val="0"/>
                <w:iCs/>
                <w:color w:val="auto"/>
                <w:szCs w:val="21"/>
                <w:u w:val="single"/>
                <w:lang w:val="en-US" w:eastAsia="zh-CN"/>
              </w:rPr>
              <w:t>/</w:t>
            </w:r>
            <w:r>
              <w:rPr>
                <w:rFonts w:hint="eastAsia" w:ascii="宋体" w:hAnsi="宋体" w:eastAsia="宋体" w:cs="宋体"/>
                <w:b w:val="0"/>
                <w:bCs w:val="0"/>
                <w:iCs/>
                <w:color w:val="auto"/>
                <w:szCs w:val="21"/>
                <w:u w:val="single"/>
              </w:rPr>
              <w:t xml:space="preserve">  </w:t>
            </w:r>
            <w:r>
              <w:rPr>
                <w:rFonts w:hint="eastAsia" w:ascii="宋体" w:hAnsi="宋体" w:eastAsia="宋体" w:cs="宋体"/>
                <w:b w:val="0"/>
                <w:bCs w:val="0"/>
                <w:iCs/>
                <w:color w:val="auto"/>
                <w:szCs w:val="21"/>
              </w:rPr>
              <w:t>仲裁委员会申请仲裁，仲裁地点为</w:t>
            </w:r>
            <w:r>
              <w:rPr>
                <w:rFonts w:hint="eastAsia" w:ascii="宋体" w:hAnsi="宋体" w:eastAsia="宋体" w:cs="宋体"/>
                <w:b w:val="0"/>
                <w:bCs w:val="0"/>
                <w:iCs/>
                <w:color w:val="auto"/>
                <w:szCs w:val="21"/>
                <w:u w:val="single"/>
              </w:rPr>
              <w:t xml:space="preserve">  </w:t>
            </w:r>
            <w:r>
              <w:rPr>
                <w:rFonts w:hint="eastAsia" w:ascii="宋体" w:hAnsi="宋体" w:cs="宋体"/>
                <w:b w:val="0"/>
                <w:bCs w:val="0"/>
                <w:iCs/>
                <w:color w:val="auto"/>
                <w:szCs w:val="21"/>
                <w:u w:val="single"/>
                <w:lang w:val="en-US" w:eastAsia="zh-CN"/>
              </w:rPr>
              <w:t>/</w:t>
            </w:r>
            <w:r>
              <w:rPr>
                <w:rFonts w:hint="eastAsia" w:ascii="宋体" w:hAnsi="宋体" w:eastAsia="宋体" w:cs="宋体"/>
                <w:b w:val="0"/>
                <w:bCs w:val="0"/>
                <w:iCs/>
                <w:color w:val="auto"/>
                <w:szCs w:val="21"/>
                <w:u w:val="single"/>
              </w:rPr>
              <w:t xml:space="preserve">   </w:t>
            </w:r>
            <w:r>
              <w:rPr>
                <w:rFonts w:hint="eastAsia" w:ascii="宋体" w:hAnsi="宋体" w:eastAsia="宋体" w:cs="宋体"/>
                <w:b w:val="0"/>
                <w:bCs w:val="0"/>
                <w:iCs/>
                <w:color w:val="auto"/>
                <w:szCs w:val="21"/>
              </w:rPr>
              <w:t>；</w:t>
            </w:r>
          </w:p>
          <w:p w14:paraId="7A571D5D">
            <w:pPr>
              <w:adjustRightInd w:val="0"/>
              <w:snapToGrid w:val="0"/>
              <w:ind w:firstLine="0" w:firstLineChars="0"/>
              <w:jc w:val="left"/>
              <w:rPr>
                <w:rFonts w:ascii="宋体" w:hAnsi="宋体"/>
                <w:color w:val="auto"/>
                <w:szCs w:val="21"/>
                <w:u w:val="single"/>
              </w:rPr>
            </w:pPr>
            <w:r>
              <w:rPr>
                <w:rFonts w:hint="eastAsia" w:ascii="宋体" w:hAnsi="宋体" w:eastAsia="宋体" w:cs="宋体"/>
                <w:b w:val="0"/>
                <w:bCs w:val="0"/>
                <w:iCs/>
                <w:color w:val="auto"/>
                <w:szCs w:val="21"/>
              </w:rPr>
              <w:t>（2）向</w:t>
            </w:r>
            <w:r>
              <w:rPr>
                <w:rFonts w:hint="eastAsia" w:ascii="宋体" w:hAnsi="宋体" w:eastAsia="宋体" w:cs="宋体"/>
                <w:b w:val="0"/>
                <w:bCs w:val="0"/>
                <w:iCs/>
                <w:color w:val="auto"/>
                <w:szCs w:val="21"/>
                <w:u w:val="single"/>
              </w:rPr>
              <w:t xml:space="preserve"> </w:t>
            </w:r>
            <w:r>
              <w:rPr>
                <w:rFonts w:hint="eastAsia" w:ascii="宋体" w:hAnsi="宋体" w:eastAsia="宋体" w:cs="宋体"/>
                <w:b w:val="0"/>
                <w:bCs w:val="0"/>
                <w:iCs/>
                <w:color w:val="auto"/>
                <w:szCs w:val="21"/>
                <w:u w:val="none"/>
              </w:rPr>
              <w:t xml:space="preserve"> </w:t>
            </w:r>
            <w:r>
              <w:rPr>
                <w:rFonts w:hint="eastAsia" w:ascii="宋体" w:hAnsi="宋体" w:eastAsia="宋体" w:cs="宋体"/>
                <w:iCs/>
                <w:color w:val="auto"/>
                <w:sz w:val="21"/>
                <w:szCs w:val="21"/>
              </w:rPr>
              <w:t>杭州市或项目所在地人民法院起诉</w:t>
            </w:r>
            <w:r>
              <w:rPr>
                <w:rFonts w:hint="eastAsia" w:ascii="宋体" w:hAnsi="宋体" w:eastAsia="宋体" w:cs="宋体"/>
                <w:b w:val="0"/>
                <w:bCs w:val="0"/>
                <w:iCs/>
                <w:color w:val="auto"/>
                <w:szCs w:val="21"/>
                <w:u w:val="none"/>
              </w:rPr>
              <w:t xml:space="preserve">  </w:t>
            </w:r>
            <w:r>
              <w:rPr>
                <w:rFonts w:hint="eastAsia" w:ascii="宋体" w:hAnsi="宋体" w:eastAsia="宋体" w:cs="宋体"/>
                <w:b w:val="0"/>
                <w:bCs w:val="0"/>
                <w:iCs/>
                <w:color w:val="auto"/>
                <w:szCs w:val="21"/>
              </w:rPr>
              <w:t>人民法院起诉。</w:t>
            </w:r>
          </w:p>
        </w:tc>
      </w:tr>
      <w:tr w14:paraId="68C4BCF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1EFE4745">
            <w:pPr>
              <w:adjustRightInd w:val="0"/>
              <w:snapToGrid w:val="0"/>
              <w:jc w:val="center"/>
              <w:rPr>
                <w:rFonts w:ascii="宋体" w:hAnsi="宋体"/>
                <w:color w:val="auto"/>
                <w:szCs w:val="21"/>
              </w:rPr>
            </w:pPr>
            <w:r>
              <w:rPr>
                <w:rFonts w:hint="eastAsia" w:ascii="宋体" w:hAnsi="宋体"/>
                <w:color w:val="auto"/>
                <w:szCs w:val="21"/>
              </w:rPr>
              <w:t>第二节</w:t>
            </w:r>
          </w:p>
          <w:p w14:paraId="7282D09C">
            <w:pPr>
              <w:adjustRightInd w:val="0"/>
              <w:snapToGrid w:val="0"/>
              <w:jc w:val="center"/>
              <w:rPr>
                <w:rFonts w:ascii="宋体" w:hAnsi="宋体"/>
                <w:color w:val="auto"/>
                <w:szCs w:val="21"/>
              </w:rPr>
            </w:pPr>
            <w:r>
              <w:rPr>
                <w:rFonts w:hint="eastAsia" w:ascii="宋体" w:hAnsi="宋体"/>
                <w:color w:val="auto"/>
                <w:szCs w:val="21"/>
              </w:rPr>
              <w:t>第2</w:t>
            </w:r>
            <w:r>
              <w:rPr>
                <w:rFonts w:hint="eastAsia" w:ascii="宋体" w:hAnsi="宋体"/>
                <w:color w:val="auto"/>
                <w:szCs w:val="21"/>
                <w:lang w:val="en-US" w:eastAsia="zh-CN"/>
              </w:rPr>
              <w:t>3.1</w:t>
            </w:r>
            <w:r>
              <w:rPr>
                <w:rFonts w:hint="eastAsia" w:ascii="宋体" w:hAnsi="宋体"/>
                <w:color w:val="auto"/>
                <w:szCs w:val="21"/>
                <w:lang w:eastAsia="zh-CN"/>
              </w:rPr>
              <w:t>款</w:t>
            </w:r>
          </w:p>
        </w:tc>
        <w:tc>
          <w:tcPr>
            <w:tcW w:w="1742" w:type="dxa"/>
            <w:vAlign w:val="center"/>
          </w:tcPr>
          <w:p w14:paraId="15991127">
            <w:pPr>
              <w:adjustRightInd w:val="0"/>
              <w:snapToGrid w:val="0"/>
              <w:jc w:val="left"/>
              <w:rPr>
                <w:rFonts w:ascii="宋体" w:hAnsi="宋体"/>
                <w:color w:val="auto"/>
                <w:szCs w:val="21"/>
              </w:rPr>
            </w:pPr>
            <w:r>
              <w:rPr>
                <w:rFonts w:hint="eastAsia" w:ascii="宋体" w:hAnsi="宋体"/>
                <w:bCs/>
                <w:color w:val="auto"/>
                <w:szCs w:val="21"/>
                <w:highlight w:val="none"/>
                <w:lang w:eastAsia="zh-CN"/>
              </w:rPr>
              <w:t>其他专用条款</w:t>
            </w:r>
          </w:p>
        </w:tc>
        <w:tc>
          <w:tcPr>
            <w:tcW w:w="5170" w:type="dxa"/>
            <w:vAlign w:val="center"/>
          </w:tcPr>
          <w:p w14:paraId="54FF30EF">
            <w:pPr>
              <w:adjustRightInd w:val="0"/>
              <w:snapToGrid w:val="0"/>
              <w:jc w:val="left"/>
              <w:rPr>
                <w:rFonts w:hint="default" w:ascii="宋体" w:hAnsi="宋体" w:eastAsia="宋体"/>
                <w:color w:val="auto"/>
                <w:szCs w:val="21"/>
                <w:lang w:val="en-US" w:eastAsia="zh-CN"/>
              </w:rPr>
            </w:pPr>
            <w:r>
              <w:rPr>
                <w:rFonts w:hint="eastAsia" w:ascii="宋体" w:hAnsi="宋体"/>
                <w:color w:val="auto"/>
                <w:szCs w:val="21"/>
                <w:lang w:val="en-US" w:eastAsia="zh-CN"/>
              </w:rPr>
              <w:t>/</w:t>
            </w:r>
          </w:p>
        </w:tc>
      </w:tr>
    </w:tbl>
    <w:p w14:paraId="5962437A">
      <w:pPr>
        <w:rPr>
          <w:color w:val="auto"/>
        </w:rPr>
      </w:pPr>
    </w:p>
    <w:p w14:paraId="068CC2FB">
      <w:pPr>
        <w:rPr>
          <w:color w:val="auto"/>
        </w:rPr>
      </w:pPr>
    </w:p>
    <w:p w14:paraId="155EC548">
      <w:pPr>
        <w:pStyle w:val="80"/>
        <w:rPr>
          <w:rFonts w:ascii="宋体" w:hAnsi="宋体" w:cs="宋体"/>
          <w:b/>
          <w:color w:val="auto"/>
          <w:sz w:val="28"/>
          <w:szCs w:val="28"/>
        </w:rPr>
      </w:pPr>
    </w:p>
    <w:p w14:paraId="37BFE929">
      <w:pPr>
        <w:spacing w:line="480" w:lineRule="auto"/>
        <w:jc w:val="center"/>
        <w:rPr>
          <w:rFonts w:ascii="宋体" w:hAnsi="宋体" w:cs="宋体"/>
          <w:b/>
          <w:color w:val="auto"/>
          <w:sz w:val="24"/>
        </w:rPr>
      </w:pPr>
    </w:p>
    <w:p w14:paraId="0DCBED06">
      <w:pPr>
        <w:spacing w:line="480" w:lineRule="auto"/>
        <w:jc w:val="center"/>
        <w:rPr>
          <w:rFonts w:ascii="宋体" w:hAnsi="宋体" w:cs="宋体"/>
          <w:b/>
          <w:color w:val="auto"/>
          <w:sz w:val="24"/>
        </w:rPr>
      </w:pPr>
    </w:p>
    <w:p w14:paraId="49577A59">
      <w:pPr>
        <w:spacing w:line="360" w:lineRule="auto"/>
        <w:ind w:left="-420" w:leftChars="-200" w:right="-420" w:rightChars="-200"/>
        <w:rPr>
          <w:rFonts w:ascii="宋体" w:hAnsi="宋体" w:cs="宋体"/>
          <w:color w:val="auto"/>
          <w:sz w:val="24"/>
        </w:rPr>
      </w:pPr>
    </w:p>
    <w:p w14:paraId="75AD95C5">
      <w:pPr>
        <w:pStyle w:val="3"/>
        <w:rPr>
          <w:color w:val="auto"/>
        </w:rPr>
      </w:pPr>
    </w:p>
    <w:p w14:paraId="1C344CDB">
      <w:pPr>
        <w:rPr>
          <w:color w:val="auto"/>
        </w:rPr>
      </w:pPr>
    </w:p>
    <w:p w14:paraId="0ECE8147">
      <w:pPr>
        <w:spacing w:line="360" w:lineRule="auto"/>
        <w:ind w:left="720" w:firstLine="723" w:firstLineChars="200"/>
        <w:outlineLvl w:val="0"/>
        <w:rPr>
          <w:rFonts w:hint="eastAsia" w:ascii="宋体" w:hAnsi="宋体" w:cs="宋体"/>
          <w:b/>
          <w:color w:val="auto"/>
          <w:sz w:val="36"/>
          <w:szCs w:val="20"/>
        </w:rPr>
      </w:pPr>
    </w:p>
    <w:p w14:paraId="5C1C413C">
      <w:pPr>
        <w:spacing w:line="360" w:lineRule="auto"/>
        <w:ind w:left="720" w:firstLine="723" w:firstLineChars="200"/>
        <w:outlineLvl w:val="0"/>
        <w:rPr>
          <w:rFonts w:hint="eastAsia" w:ascii="宋体" w:hAnsi="宋体" w:cs="宋体"/>
          <w:b/>
          <w:color w:val="auto"/>
          <w:sz w:val="36"/>
          <w:szCs w:val="20"/>
        </w:rPr>
      </w:pPr>
    </w:p>
    <w:p w14:paraId="70DFC7DD">
      <w:pPr>
        <w:spacing w:line="360" w:lineRule="auto"/>
        <w:ind w:left="720" w:firstLine="723" w:firstLineChars="200"/>
        <w:outlineLvl w:val="0"/>
        <w:rPr>
          <w:rFonts w:hint="eastAsia" w:ascii="宋体" w:hAnsi="宋体" w:cs="宋体"/>
          <w:b/>
          <w:color w:val="auto"/>
          <w:sz w:val="36"/>
          <w:szCs w:val="20"/>
        </w:rPr>
      </w:pPr>
    </w:p>
    <w:p w14:paraId="55BD675D">
      <w:pPr>
        <w:spacing w:line="360" w:lineRule="auto"/>
        <w:ind w:left="720" w:firstLine="723" w:firstLineChars="200"/>
        <w:outlineLvl w:val="0"/>
        <w:rPr>
          <w:rFonts w:hint="eastAsia" w:ascii="宋体" w:hAnsi="宋体" w:cs="宋体"/>
          <w:b/>
          <w:color w:val="auto"/>
          <w:sz w:val="36"/>
          <w:szCs w:val="20"/>
        </w:rPr>
      </w:pPr>
    </w:p>
    <w:p w14:paraId="672E3AEB">
      <w:pPr>
        <w:spacing w:line="360" w:lineRule="auto"/>
        <w:ind w:left="720" w:firstLine="723" w:firstLineChars="200"/>
        <w:outlineLvl w:val="0"/>
        <w:rPr>
          <w:rFonts w:ascii="宋体" w:hAnsi="宋体" w:cs="宋体"/>
          <w:b/>
          <w:color w:val="auto"/>
          <w:sz w:val="36"/>
          <w:szCs w:val="20"/>
        </w:rPr>
      </w:pPr>
      <w:r>
        <w:rPr>
          <w:rFonts w:hint="eastAsia" w:ascii="宋体" w:hAnsi="宋体" w:cs="宋体"/>
          <w:b/>
          <w:color w:val="auto"/>
          <w:sz w:val="36"/>
          <w:szCs w:val="20"/>
        </w:rPr>
        <w:t>第六部分</w:t>
      </w:r>
      <w:bookmarkEnd w:id="400"/>
      <w:r>
        <w:rPr>
          <w:rFonts w:hint="eastAsia" w:ascii="宋体" w:hAnsi="宋体" w:cs="宋体"/>
          <w:b/>
          <w:color w:val="auto"/>
          <w:sz w:val="36"/>
          <w:szCs w:val="20"/>
        </w:rPr>
        <w:t xml:space="preserve"> </w:t>
      </w:r>
      <w:bookmarkEnd w:id="401"/>
      <w:r>
        <w:rPr>
          <w:rFonts w:hint="eastAsia" w:ascii="宋体" w:hAnsi="宋体" w:cs="宋体"/>
          <w:b/>
          <w:color w:val="auto"/>
          <w:sz w:val="36"/>
          <w:szCs w:val="20"/>
        </w:rPr>
        <w:t>应提交的有关格式范例</w:t>
      </w:r>
    </w:p>
    <w:p w14:paraId="47DEEC6C">
      <w:pPr>
        <w:spacing w:line="360" w:lineRule="auto"/>
        <w:jc w:val="center"/>
        <w:outlineLvl w:val="0"/>
        <w:rPr>
          <w:rFonts w:ascii="宋体" w:hAnsi="宋体" w:cs="宋体"/>
          <w:b/>
          <w:color w:val="auto"/>
          <w:kern w:val="0"/>
          <w:sz w:val="36"/>
          <w:szCs w:val="36"/>
        </w:rPr>
      </w:pPr>
    </w:p>
    <w:p w14:paraId="4D2C240B">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资格文件部分</w:t>
      </w:r>
    </w:p>
    <w:p w14:paraId="353B121B">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目录</w:t>
      </w:r>
    </w:p>
    <w:p w14:paraId="34D39A07">
      <w:pPr>
        <w:spacing w:line="360" w:lineRule="auto"/>
        <w:jc w:val="center"/>
        <w:outlineLvl w:val="0"/>
        <w:rPr>
          <w:rFonts w:ascii="宋体" w:hAnsi="宋体" w:cs="宋体"/>
          <w:b/>
          <w:color w:val="auto"/>
          <w:kern w:val="0"/>
          <w:sz w:val="36"/>
          <w:szCs w:val="36"/>
        </w:rPr>
      </w:pPr>
    </w:p>
    <w:p w14:paraId="1308DC55">
      <w:pPr>
        <w:snapToGrid w:val="0"/>
        <w:spacing w:line="360" w:lineRule="auto"/>
        <w:rPr>
          <w:rFonts w:ascii="宋体" w:hAnsi="宋体" w:cs="宋体"/>
          <w:color w:val="auto"/>
          <w:sz w:val="24"/>
        </w:rPr>
      </w:pPr>
      <w:r>
        <w:rPr>
          <w:rFonts w:hint="eastAsia" w:ascii="宋体" w:hAnsi="宋体" w:cs="宋体"/>
          <w:color w:val="auto"/>
          <w:sz w:val="24"/>
        </w:rPr>
        <w:t>（1）符合参加政府采购活动应当具备的一般条件的承诺函……………（页码）</w:t>
      </w:r>
    </w:p>
    <w:p w14:paraId="1C82DB94">
      <w:pPr>
        <w:snapToGrid w:val="0"/>
        <w:spacing w:line="360" w:lineRule="auto"/>
        <w:rPr>
          <w:rFonts w:ascii="宋体" w:hAnsi="宋体" w:cs="宋体"/>
          <w:color w:val="auto"/>
          <w:sz w:val="24"/>
        </w:rPr>
      </w:pPr>
      <w:r>
        <w:rPr>
          <w:rFonts w:hint="eastAsia" w:ascii="宋体" w:hAnsi="宋体" w:cs="宋体"/>
          <w:snapToGrid w:val="0"/>
          <w:color w:val="auto"/>
          <w:kern w:val="28"/>
          <w:sz w:val="24"/>
          <w:szCs w:val="20"/>
        </w:rPr>
        <w:t>（2）联合协议</w:t>
      </w:r>
      <w:r>
        <w:rPr>
          <w:rFonts w:hint="eastAsia" w:ascii="宋体" w:hAnsi="宋体" w:cs="宋体"/>
          <w:color w:val="auto"/>
          <w:sz w:val="24"/>
        </w:rPr>
        <w:t>………………………………………………………………（页码）</w:t>
      </w:r>
    </w:p>
    <w:p w14:paraId="76E50113">
      <w:pPr>
        <w:snapToGrid w:val="0"/>
        <w:spacing w:line="360" w:lineRule="auto"/>
        <w:rPr>
          <w:rFonts w:ascii="宋体" w:hAnsi="宋体" w:cs="宋体"/>
          <w:color w:val="auto"/>
          <w:sz w:val="24"/>
        </w:rPr>
      </w:pPr>
      <w:r>
        <w:rPr>
          <w:rFonts w:hint="eastAsia" w:ascii="宋体" w:hAnsi="宋体" w:cs="宋体"/>
          <w:color w:val="auto"/>
          <w:sz w:val="24"/>
        </w:rPr>
        <w:t>（</w:t>
      </w:r>
      <w:r>
        <w:rPr>
          <w:rFonts w:ascii="宋体" w:hAnsi="宋体" w:cs="宋体"/>
          <w:color w:val="auto"/>
          <w:sz w:val="24"/>
        </w:rPr>
        <w:t>3</w:t>
      </w:r>
      <w:r>
        <w:rPr>
          <w:rFonts w:hint="eastAsia" w:ascii="宋体" w:hAnsi="宋体" w:cs="宋体"/>
          <w:color w:val="auto"/>
          <w:sz w:val="24"/>
        </w:rPr>
        <w:t>）落实政府采购政策需满足的资格要求………………………………（页码）</w:t>
      </w:r>
    </w:p>
    <w:p w14:paraId="6BD7F9C0">
      <w:pPr>
        <w:snapToGrid w:val="0"/>
        <w:spacing w:line="360" w:lineRule="auto"/>
        <w:rPr>
          <w:rFonts w:ascii="宋体" w:hAnsi="宋体" w:cs="宋体"/>
          <w:color w:val="auto"/>
          <w:sz w:val="24"/>
        </w:rPr>
      </w:pPr>
      <w:r>
        <w:rPr>
          <w:rFonts w:hint="eastAsia" w:ascii="宋体" w:hAnsi="宋体" w:cs="宋体"/>
          <w:color w:val="auto"/>
          <w:sz w:val="24"/>
        </w:rPr>
        <w:t>（</w:t>
      </w:r>
      <w:r>
        <w:rPr>
          <w:rFonts w:ascii="宋体" w:hAnsi="宋体" w:cs="宋体"/>
          <w:color w:val="auto"/>
          <w:sz w:val="24"/>
        </w:rPr>
        <w:t>4</w:t>
      </w:r>
      <w:r>
        <w:rPr>
          <w:rFonts w:hint="eastAsia" w:ascii="宋体" w:hAnsi="宋体" w:cs="宋体"/>
          <w:color w:val="auto"/>
          <w:sz w:val="24"/>
        </w:rPr>
        <w:t>）本项目的特定资格要求………………………………………………（页码）</w:t>
      </w:r>
    </w:p>
    <w:p w14:paraId="061A36E5">
      <w:pPr>
        <w:snapToGrid w:val="0"/>
        <w:spacing w:line="360" w:lineRule="auto"/>
        <w:ind w:firstLine="480" w:firstLineChars="200"/>
        <w:rPr>
          <w:rFonts w:ascii="宋体" w:hAnsi="宋体" w:cs="宋体"/>
          <w:color w:val="auto"/>
          <w:sz w:val="24"/>
        </w:rPr>
      </w:pPr>
    </w:p>
    <w:p w14:paraId="623C2625">
      <w:pPr>
        <w:spacing w:line="360" w:lineRule="auto"/>
        <w:ind w:firstLine="480" w:firstLineChars="200"/>
        <w:rPr>
          <w:rFonts w:ascii="宋体" w:hAnsi="宋体" w:cs="宋体"/>
          <w:color w:val="auto"/>
          <w:sz w:val="24"/>
        </w:rPr>
      </w:pPr>
    </w:p>
    <w:p w14:paraId="2060BC48">
      <w:pPr>
        <w:snapToGrid w:val="0"/>
        <w:spacing w:line="360" w:lineRule="auto"/>
        <w:ind w:right="480"/>
        <w:jc w:val="center"/>
        <w:rPr>
          <w:rFonts w:ascii="宋体" w:hAnsi="宋体" w:cs="宋体"/>
          <w:b/>
          <w:color w:val="auto"/>
          <w:kern w:val="0"/>
          <w:sz w:val="32"/>
          <w:szCs w:val="32"/>
        </w:rPr>
      </w:pPr>
      <w:r>
        <w:rPr>
          <w:rFonts w:hint="eastAsia" w:ascii="宋体" w:hAnsi="宋体" w:cs="宋体"/>
          <w:color w:val="auto"/>
          <w:kern w:val="0"/>
          <w:sz w:val="24"/>
        </w:rPr>
        <w:br w:type="page"/>
      </w:r>
      <w:r>
        <w:rPr>
          <w:rFonts w:hint="eastAsia" w:ascii="宋体" w:hAnsi="宋体" w:cs="宋体"/>
          <w:b/>
          <w:color w:val="auto"/>
          <w:kern w:val="0"/>
          <w:sz w:val="32"/>
          <w:szCs w:val="32"/>
        </w:rPr>
        <w:t xml:space="preserve">  一、 符合参加政府采购活动应当具备的一般条件的承诺函</w:t>
      </w:r>
    </w:p>
    <w:p w14:paraId="5BDE012A">
      <w:pPr>
        <w:snapToGrid w:val="0"/>
        <w:spacing w:line="360" w:lineRule="auto"/>
        <w:rPr>
          <w:rFonts w:ascii="宋体" w:hAnsi="宋体" w:cs="宋体"/>
          <w:color w:val="auto"/>
          <w:sz w:val="24"/>
        </w:rPr>
      </w:pPr>
      <w:r>
        <w:rPr>
          <w:rFonts w:hint="eastAsia" w:ascii="宋体" w:hAnsi="宋体" w:cs="宋体"/>
          <w:color w:val="auto"/>
          <w:sz w:val="24"/>
        </w:rPr>
        <w:t>（采购人）、（采购代理机构）：</w:t>
      </w:r>
    </w:p>
    <w:p w14:paraId="24E9FEFB">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我方参与（项目名称）【招标编号：（采购编号）】政府采购活动，郑重承诺：</w:t>
      </w:r>
    </w:p>
    <w:p w14:paraId="7639480D">
      <w:pPr>
        <w:snapToGrid w:val="0"/>
        <w:spacing w:line="360" w:lineRule="auto"/>
        <w:ind w:firstLine="360" w:firstLineChars="150"/>
        <w:rPr>
          <w:rFonts w:ascii="宋体" w:hAnsi="宋体" w:cs="宋体"/>
          <w:color w:val="auto"/>
          <w:sz w:val="24"/>
        </w:rPr>
      </w:pPr>
      <w:r>
        <w:rPr>
          <w:rFonts w:hint="eastAsia" w:ascii="宋体" w:hAnsi="宋体" w:cs="宋体"/>
          <w:color w:val="auto"/>
          <w:sz w:val="24"/>
        </w:rPr>
        <w:t>（一）具备《中华人民共和国政府采购法》第二十二条第一款规定的条件：</w:t>
      </w:r>
    </w:p>
    <w:p w14:paraId="2A9D235E">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1、具有独立承担民事责任的能力；</w:t>
      </w:r>
    </w:p>
    <w:p w14:paraId="5EA6EFF4">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 xml:space="preserve">2、具有良好的商业信誉和健全的财务会计制度； </w:t>
      </w:r>
    </w:p>
    <w:p w14:paraId="5923779B">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3、具有履行合同所必需的设备和专业技术能力；</w:t>
      </w:r>
    </w:p>
    <w:p w14:paraId="553E0033">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4、有依法缴纳税收和社会保障资金的良好记录；</w:t>
      </w:r>
    </w:p>
    <w:p w14:paraId="2D221EEE">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5、参加政府采购活动前三年内，在经营活动中没有重大违法记录；</w:t>
      </w:r>
    </w:p>
    <w:p w14:paraId="6A44860A">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6、具有法律、行政法规规定的其他条件。</w:t>
      </w:r>
    </w:p>
    <w:p w14:paraId="23B8A238">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（二）未被信用中国（www.creditchina.gov.cn)、中国政府采购网（www.ccgp.gov.cn）列入失信被执行人、重大税收违法案件当事人名单、政府采购严重违法失信行为记录名单。</w:t>
      </w:r>
    </w:p>
    <w:p w14:paraId="335462B9">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（三）不存在以下情况：</w:t>
      </w:r>
    </w:p>
    <w:p w14:paraId="5C0BE755">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1、单位负责人为同一人或者存在直接控股、管理关系的不同供应商参加同一合同项下的政府采购活动的；</w:t>
      </w:r>
    </w:p>
    <w:p w14:paraId="4E88908E">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2、为采购项目提供整体设计、规范编制或者项目管理、监理、检测等服务后再参加该采购项目的其他采购活动的。</w:t>
      </w:r>
    </w:p>
    <w:p w14:paraId="398441E7">
      <w:pPr>
        <w:snapToGrid w:val="0"/>
        <w:spacing w:line="360" w:lineRule="auto"/>
        <w:ind w:firstLine="5520" w:firstLineChars="2300"/>
        <w:rPr>
          <w:rFonts w:ascii="宋体" w:hAnsi="宋体" w:cs="宋体"/>
          <w:color w:val="auto"/>
          <w:kern w:val="0"/>
          <w:sz w:val="24"/>
        </w:rPr>
      </w:pPr>
      <w:r>
        <w:rPr>
          <w:rFonts w:hint="eastAsia" w:ascii="宋体" w:hAnsi="宋体" w:cs="宋体"/>
          <w:color w:val="auto"/>
          <w:kern w:val="0"/>
          <w:sz w:val="24"/>
          <w:lang w:val="zh-CN"/>
        </w:rPr>
        <w:t>投标人名称(电子签名)：</w:t>
      </w:r>
    </w:p>
    <w:p w14:paraId="682BEB02">
      <w:pPr>
        <w:snapToGrid w:val="0"/>
        <w:spacing w:line="360" w:lineRule="auto"/>
        <w:rPr>
          <w:rFonts w:ascii="宋体" w:hAnsi="宋体" w:cs="宋体"/>
          <w:color w:val="auto"/>
          <w:kern w:val="0"/>
          <w:sz w:val="24"/>
        </w:rPr>
      </w:pPr>
      <w:r>
        <w:rPr>
          <w:rFonts w:hint="eastAsia" w:ascii="宋体" w:hAnsi="宋体" w:cs="宋体"/>
          <w:color w:val="auto"/>
          <w:kern w:val="0"/>
          <w:sz w:val="24"/>
          <w:lang w:val="zh-CN"/>
        </w:rPr>
        <w:t xml:space="preserve">                        </w:t>
      </w:r>
      <w:r>
        <w:rPr>
          <w:rFonts w:hint="eastAsia" w:ascii="宋体" w:hAnsi="宋体" w:cs="宋体"/>
          <w:color w:val="auto"/>
          <w:kern w:val="0"/>
          <w:sz w:val="24"/>
        </w:rPr>
        <w:t xml:space="preserve">                      </w:t>
      </w:r>
      <w:r>
        <w:rPr>
          <w:rFonts w:hint="eastAsia" w:ascii="宋体" w:hAnsi="宋体" w:cs="宋体"/>
          <w:color w:val="auto"/>
          <w:kern w:val="0"/>
          <w:sz w:val="24"/>
          <w:lang w:val="zh-CN"/>
        </w:rPr>
        <w:t>日期</w:t>
      </w:r>
      <w:r>
        <w:rPr>
          <w:rFonts w:hint="eastAsia" w:ascii="宋体" w:hAnsi="宋体" w:cs="宋体"/>
          <w:color w:val="auto"/>
          <w:kern w:val="0"/>
          <w:sz w:val="24"/>
        </w:rPr>
        <w:t xml:space="preserve">：  年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w:t>
      </w:r>
    </w:p>
    <w:p w14:paraId="53213818">
      <w:pPr>
        <w:snapToGrid w:val="0"/>
        <w:spacing w:line="360" w:lineRule="auto"/>
        <w:ind w:right="480"/>
        <w:jc w:val="center"/>
        <w:rPr>
          <w:rFonts w:ascii="宋体" w:hAnsi="宋体" w:cs="宋体"/>
          <w:b/>
          <w:color w:val="auto"/>
          <w:kern w:val="0"/>
          <w:sz w:val="32"/>
          <w:szCs w:val="32"/>
        </w:rPr>
      </w:pPr>
    </w:p>
    <w:p w14:paraId="2BE614AC">
      <w:pPr>
        <w:snapToGrid w:val="0"/>
        <w:spacing w:line="360" w:lineRule="auto"/>
        <w:ind w:right="480"/>
        <w:jc w:val="center"/>
        <w:rPr>
          <w:rFonts w:ascii="宋体" w:hAnsi="宋体" w:cs="宋体"/>
          <w:b/>
          <w:color w:val="auto"/>
          <w:kern w:val="0"/>
          <w:sz w:val="32"/>
          <w:szCs w:val="32"/>
        </w:rPr>
      </w:pPr>
    </w:p>
    <w:p w14:paraId="186C9AB7">
      <w:pPr>
        <w:snapToGrid w:val="0"/>
        <w:spacing w:line="360" w:lineRule="auto"/>
        <w:ind w:right="480"/>
        <w:jc w:val="center"/>
        <w:rPr>
          <w:rFonts w:ascii="宋体" w:hAnsi="宋体" w:cs="宋体"/>
          <w:b/>
          <w:color w:val="auto"/>
          <w:kern w:val="0"/>
          <w:sz w:val="32"/>
          <w:szCs w:val="32"/>
        </w:rPr>
      </w:pPr>
    </w:p>
    <w:p w14:paraId="1E762CC0">
      <w:pPr>
        <w:rPr>
          <w:rFonts w:ascii="宋体" w:hAnsi="宋体" w:cs="宋体"/>
          <w:color w:val="auto"/>
        </w:rPr>
      </w:pPr>
    </w:p>
    <w:p w14:paraId="30EC1A28">
      <w:pPr>
        <w:snapToGrid w:val="0"/>
        <w:spacing w:line="360" w:lineRule="auto"/>
        <w:ind w:right="480"/>
        <w:jc w:val="center"/>
        <w:rPr>
          <w:rFonts w:ascii="宋体" w:hAnsi="宋体" w:cs="宋体"/>
          <w:b/>
          <w:color w:val="auto"/>
          <w:kern w:val="0"/>
          <w:sz w:val="32"/>
          <w:szCs w:val="32"/>
        </w:rPr>
      </w:pPr>
    </w:p>
    <w:p w14:paraId="58D82D66">
      <w:pPr>
        <w:snapToGrid w:val="0"/>
        <w:spacing w:line="360" w:lineRule="auto"/>
        <w:ind w:right="480"/>
        <w:jc w:val="center"/>
        <w:rPr>
          <w:rFonts w:ascii="宋体" w:hAnsi="宋体" w:cs="宋体"/>
          <w:b/>
          <w:color w:val="auto"/>
          <w:kern w:val="0"/>
          <w:sz w:val="32"/>
          <w:szCs w:val="32"/>
        </w:rPr>
      </w:pPr>
    </w:p>
    <w:p w14:paraId="3DEBFE86">
      <w:pPr>
        <w:widowControl/>
        <w:spacing w:line="360" w:lineRule="auto"/>
        <w:ind w:firstLine="643" w:firstLineChars="200"/>
        <w:jc w:val="center"/>
        <w:rPr>
          <w:rFonts w:ascii="宋体" w:hAnsi="宋体" w:cs="宋体"/>
          <w:b/>
          <w:color w:val="auto"/>
          <w:kern w:val="0"/>
          <w:sz w:val="32"/>
          <w:szCs w:val="32"/>
        </w:rPr>
      </w:pPr>
      <w:r>
        <w:rPr>
          <w:rFonts w:hint="eastAsia" w:ascii="宋体" w:hAnsi="宋体" w:cs="宋体"/>
          <w:b/>
          <w:color w:val="auto"/>
          <w:kern w:val="0"/>
          <w:sz w:val="32"/>
          <w:szCs w:val="32"/>
        </w:rPr>
        <w:t>二、联合协议（如果有）</w:t>
      </w:r>
    </w:p>
    <w:p w14:paraId="2674569D">
      <w:pPr>
        <w:widowControl/>
        <w:spacing w:line="360" w:lineRule="auto"/>
        <w:ind w:firstLine="482" w:firstLineChars="200"/>
        <w:jc w:val="left"/>
        <w:rPr>
          <w:rFonts w:ascii="宋体" w:hAnsi="宋体" w:cs="宋体"/>
          <w:b/>
          <w:color w:val="auto"/>
          <w:sz w:val="24"/>
        </w:rPr>
      </w:pPr>
      <w:r>
        <w:rPr>
          <w:rFonts w:hint="eastAsia" w:ascii="宋体" w:hAnsi="宋体" w:cs="宋体"/>
          <w:b/>
          <w:color w:val="auto"/>
          <w:sz w:val="24"/>
        </w:rPr>
        <w:t>[以联合体形式投标的，提供联合协议（附件5）；本项目不接受联合体投标或者投标人不以联合体形式投标的，则不需要提供]</w:t>
      </w:r>
    </w:p>
    <w:p w14:paraId="72C06DAA">
      <w:pPr>
        <w:snapToGrid w:val="0"/>
        <w:spacing w:line="360" w:lineRule="auto"/>
        <w:ind w:right="480"/>
        <w:jc w:val="center"/>
        <w:rPr>
          <w:rFonts w:ascii="宋体" w:hAnsi="宋体" w:cs="宋体"/>
          <w:b/>
          <w:color w:val="auto"/>
          <w:kern w:val="0"/>
          <w:sz w:val="32"/>
          <w:szCs w:val="32"/>
        </w:rPr>
      </w:pPr>
    </w:p>
    <w:p w14:paraId="50F2988C">
      <w:pPr>
        <w:snapToGrid w:val="0"/>
        <w:spacing w:line="360" w:lineRule="auto"/>
        <w:ind w:right="480"/>
        <w:jc w:val="center"/>
        <w:rPr>
          <w:rFonts w:ascii="宋体" w:hAnsi="宋体" w:cs="宋体"/>
          <w:b/>
          <w:color w:val="auto"/>
          <w:kern w:val="0"/>
          <w:sz w:val="32"/>
          <w:szCs w:val="32"/>
        </w:rPr>
      </w:pPr>
    </w:p>
    <w:p w14:paraId="0F34CE2B">
      <w:pPr>
        <w:snapToGrid w:val="0"/>
        <w:spacing w:line="360" w:lineRule="auto"/>
        <w:ind w:right="480"/>
        <w:jc w:val="center"/>
        <w:rPr>
          <w:rFonts w:ascii="宋体" w:hAnsi="宋体" w:cs="宋体"/>
          <w:b/>
          <w:color w:val="auto"/>
          <w:kern w:val="0"/>
          <w:sz w:val="32"/>
          <w:szCs w:val="32"/>
        </w:rPr>
      </w:pPr>
      <w:r>
        <w:rPr>
          <w:rFonts w:hint="eastAsia" w:ascii="宋体" w:hAnsi="宋体" w:cs="宋体"/>
          <w:b/>
          <w:color w:val="auto"/>
          <w:kern w:val="0"/>
          <w:sz w:val="32"/>
          <w:szCs w:val="32"/>
        </w:rPr>
        <w:t>三、落实政府采购政策需满足的资格要求</w:t>
      </w:r>
    </w:p>
    <w:p w14:paraId="5C7607C6">
      <w:pPr>
        <w:spacing w:line="360" w:lineRule="auto"/>
        <w:rPr>
          <w:rFonts w:ascii="宋体" w:hAnsi="宋体" w:cs="宋体"/>
          <w:color w:val="auto"/>
          <w:sz w:val="24"/>
        </w:rPr>
      </w:pPr>
      <w:r>
        <w:rPr>
          <w:rFonts w:hint="eastAsia" w:ascii="宋体" w:hAnsi="宋体" w:cs="宋体"/>
          <w:color w:val="auto"/>
          <w:sz w:val="24"/>
        </w:rPr>
        <w:t>（根据招标公告落实政府采购政策需满足的资格要求选择提供相应的材料；未要求的，无需提供）</w:t>
      </w:r>
    </w:p>
    <w:p w14:paraId="0507AACE">
      <w:pPr>
        <w:snapToGrid w:val="0"/>
        <w:spacing w:before="50" w:after="50" w:line="360" w:lineRule="auto"/>
        <w:ind w:firstLine="472" w:firstLineChars="196"/>
        <w:jc w:val="left"/>
        <w:rPr>
          <w:rFonts w:ascii="宋体" w:hAnsi="宋体" w:cs="宋体"/>
          <w:color w:val="auto"/>
          <w:sz w:val="24"/>
        </w:rPr>
      </w:pPr>
      <w:r>
        <w:rPr>
          <w:rFonts w:hint="eastAsia" w:ascii="宋体" w:hAnsi="宋体" w:cs="宋体"/>
          <w:b/>
          <w:color w:val="auto"/>
          <w:sz w:val="24"/>
        </w:rPr>
        <w:t>A</w:t>
      </w:r>
      <w:r>
        <w:rPr>
          <w:rFonts w:hint="eastAsia" w:ascii="宋体" w:hAnsi="宋体" w:cs="宋体"/>
          <w:color w:val="auto"/>
          <w:sz w:val="24"/>
        </w:rPr>
        <w:t>.专门面向中小企业，货物全部由符合政策要求的中小企业（或小微企业）制造的，提供相应的中小企业声明函（附件</w:t>
      </w:r>
      <w:r>
        <w:rPr>
          <w:rFonts w:ascii="宋体" w:hAnsi="宋体" w:cs="宋体"/>
          <w:color w:val="auto"/>
          <w:sz w:val="24"/>
        </w:rPr>
        <w:t>7</w:t>
      </w:r>
      <w:r>
        <w:rPr>
          <w:rFonts w:hint="eastAsia" w:ascii="宋体" w:hAnsi="宋体" w:cs="宋体"/>
          <w:color w:val="auto"/>
          <w:sz w:val="24"/>
        </w:rPr>
        <w:t xml:space="preserve">）。 </w:t>
      </w:r>
    </w:p>
    <w:p w14:paraId="1888540A">
      <w:pPr>
        <w:widowControl/>
        <w:spacing w:line="360" w:lineRule="auto"/>
        <w:ind w:firstLine="480"/>
        <w:jc w:val="left"/>
        <w:rPr>
          <w:rFonts w:ascii="宋体" w:hAnsi="宋体" w:cs="宋体"/>
          <w:color w:val="auto"/>
          <w:sz w:val="24"/>
        </w:rPr>
      </w:pPr>
    </w:p>
    <w:p w14:paraId="77F812C7">
      <w:pPr>
        <w:widowControl/>
        <w:spacing w:line="360" w:lineRule="auto"/>
        <w:ind w:firstLine="472" w:firstLineChars="196"/>
        <w:jc w:val="left"/>
        <w:rPr>
          <w:rFonts w:ascii="宋体" w:hAnsi="宋体" w:cs="宋体"/>
          <w:color w:val="auto"/>
          <w:sz w:val="24"/>
        </w:rPr>
      </w:pPr>
      <w:r>
        <w:rPr>
          <w:rFonts w:hint="eastAsia" w:ascii="宋体" w:hAnsi="宋体" w:cs="宋体"/>
          <w:b/>
          <w:color w:val="auto"/>
          <w:sz w:val="24"/>
        </w:rPr>
        <w:t>B.</w:t>
      </w:r>
      <w:r>
        <w:rPr>
          <w:rFonts w:hint="eastAsia" w:ascii="宋体" w:hAnsi="宋体" w:cs="宋体"/>
          <w:color w:val="auto"/>
          <w:sz w:val="24"/>
        </w:rPr>
        <w:t>要求以联合体形式参加的，提供联合协议（附件</w:t>
      </w:r>
      <w:r>
        <w:rPr>
          <w:rFonts w:ascii="宋体" w:hAnsi="宋体" w:cs="宋体"/>
          <w:color w:val="auto"/>
          <w:sz w:val="24"/>
        </w:rPr>
        <w:t>5</w:t>
      </w:r>
      <w:r>
        <w:rPr>
          <w:rFonts w:hint="eastAsia" w:ascii="宋体" w:hAnsi="宋体" w:cs="宋体"/>
          <w:color w:val="auto"/>
          <w:sz w:val="24"/>
        </w:rPr>
        <w:t>）和中小企业声明函（附件</w:t>
      </w:r>
      <w:r>
        <w:rPr>
          <w:rFonts w:ascii="宋体" w:hAnsi="宋体" w:cs="宋体"/>
          <w:color w:val="auto"/>
          <w:sz w:val="24"/>
        </w:rPr>
        <w:t>7</w:t>
      </w:r>
      <w:r>
        <w:rPr>
          <w:rFonts w:hint="eastAsia" w:ascii="宋体" w:hAnsi="宋体" w:cs="宋体"/>
          <w:color w:val="auto"/>
          <w:sz w:val="24"/>
        </w:rPr>
        <w:t>），联合协议中中小企业合同金额应当达到招标公告载明的比例；如果供应商本身提供所有标的均由中小企业制造的，</w:t>
      </w:r>
      <w:r>
        <w:rPr>
          <w:rFonts w:hint="eastAsia" w:ascii="宋体" w:hAnsi="宋体" w:cs="宋体"/>
          <w:color w:val="auto"/>
          <w:spacing w:val="8"/>
          <w:kern w:val="0"/>
          <w:sz w:val="24"/>
        </w:rPr>
        <w:t>并相应达到了前述比例要求，</w:t>
      </w:r>
      <w:r>
        <w:rPr>
          <w:rFonts w:hint="eastAsia" w:ascii="宋体" w:hAnsi="宋体" w:cs="宋体"/>
          <w:color w:val="auto"/>
          <w:sz w:val="24"/>
        </w:rPr>
        <w:t>视同符合了资格条件，无需再与其他中小企业组成联合体参加政府采购活动，无需提供联合协议。</w:t>
      </w:r>
    </w:p>
    <w:p w14:paraId="26046D1C">
      <w:pPr>
        <w:snapToGrid w:val="0"/>
        <w:spacing w:before="50" w:after="50" w:line="360" w:lineRule="auto"/>
        <w:jc w:val="center"/>
        <w:rPr>
          <w:rFonts w:ascii="宋体" w:hAnsi="宋体" w:cs="宋体"/>
          <w:color w:val="auto"/>
          <w:sz w:val="24"/>
        </w:rPr>
      </w:pPr>
      <w:r>
        <w:rPr>
          <w:rFonts w:hint="eastAsia" w:ascii="宋体" w:hAnsi="宋体" w:cs="宋体"/>
          <w:b/>
          <w:color w:val="auto"/>
          <w:sz w:val="24"/>
        </w:rPr>
        <w:t xml:space="preserve">    </w:t>
      </w:r>
    </w:p>
    <w:p w14:paraId="0557E6FE">
      <w:pPr>
        <w:spacing w:line="360" w:lineRule="auto"/>
        <w:ind w:firstLine="482" w:firstLineChars="200"/>
        <w:rPr>
          <w:rFonts w:ascii="宋体" w:hAnsi="宋体" w:cs="宋体"/>
          <w:color w:val="auto"/>
          <w:sz w:val="24"/>
        </w:rPr>
      </w:pPr>
      <w:r>
        <w:rPr>
          <w:rFonts w:hint="eastAsia" w:ascii="宋体" w:hAnsi="宋体" w:cs="宋体"/>
          <w:b/>
          <w:color w:val="auto"/>
          <w:sz w:val="24"/>
        </w:rPr>
        <w:t>C、</w:t>
      </w:r>
      <w:r>
        <w:rPr>
          <w:rFonts w:hint="eastAsia" w:ascii="宋体" w:hAnsi="宋体" w:cs="宋体"/>
          <w:color w:val="auto"/>
          <w:sz w:val="24"/>
        </w:rPr>
        <w:t>要求合同分包的，提供分包意向协议（附件6）和中小企业声明函（附件</w:t>
      </w:r>
      <w:r>
        <w:rPr>
          <w:rFonts w:ascii="宋体" w:hAnsi="宋体" w:cs="宋体"/>
          <w:color w:val="auto"/>
          <w:sz w:val="24"/>
        </w:rPr>
        <w:t>7</w:t>
      </w:r>
      <w:r>
        <w:rPr>
          <w:rFonts w:hint="eastAsia" w:ascii="宋体" w:hAnsi="宋体" w:cs="宋体"/>
          <w:color w:val="auto"/>
          <w:sz w:val="24"/>
        </w:rPr>
        <w:t>），分包意向协议中中小企业合同金额应当达到招标公告载明的比例；如果供应商本身提供所有标的均由中小企业制造的，</w:t>
      </w:r>
      <w:r>
        <w:rPr>
          <w:rFonts w:hint="eastAsia" w:ascii="宋体" w:hAnsi="宋体" w:cs="宋体"/>
          <w:color w:val="auto"/>
          <w:spacing w:val="8"/>
          <w:kern w:val="0"/>
          <w:sz w:val="24"/>
        </w:rPr>
        <w:t>并相应达到了前述比例要求，</w:t>
      </w:r>
      <w:r>
        <w:rPr>
          <w:rFonts w:hint="eastAsia" w:ascii="宋体" w:hAnsi="宋体" w:cs="宋体"/>
          <w:color w:val="auto"/>
          <w:sz w:val="24"/>
        </w:rPr>
        <w:t>视同符合了资格条件，无需再向中小企业分包，无需提供分包意向协议。</w:t>
      </w:r>
    </w:p>
    <w:p w14:paraId="3FB866ED">
      <w:pPr>
        <w:widowControl/>
        <w:spacing w:line="360" w:lineRule="auto"/>
        <w:ind w:left="150"/>
        <w:jc w:val="center"/>
        <w:rPr>
          <w:rFonts w:ascii="宋体" w:hAnsi="宋体" w:cs="宋体"/>
          <w:b/>
          <w:color w:val="auto"/>
          <w:kern w:val="0"/>
          <w:sz w:val="32"/>
          <w:szCs w:val="32"/>
        </w:rPr>
      </w:pPr>
    </w:p>
    <w:p w14:paraId="63EB3F91">
      <w:pPr>
        <w:widowControl/>
        <w:spacing w:line="360" w:lineRule="auto"/>
        <w:ind w:left="150"/>
        <w:jc w:val="center"/>
        <w:rPr>
          <w:rFonts w:ascii="宋体" w:hAnsi="宋体" w:cs="宋体"/>
          <w:b/>
          <w:color w:val="auto"/>
          <w:kern w:val="0"/>
          <w:sz w:val="32"/>
          <w:szCs w:val="32"/>
        </w:rPr>
      </w:pPr>
      <w:r>
        <w:rPr>
          <w:rFonts w:hint="eastAsia" w:ascii="宋体" w:hAnsi="宋体" w:cs="宋体"/>
          <w:b/>
          <w:color w:val="auto"/>
          <w:kern w:val="0"/>
          <w:sz w:val="32"/>
          <w:szCs w:val="32"/>
        </w:rPr>
        <w:t>四、本项目的特定资格要求</w:t>
      </w:r>
    </w:p>
    <w:p w14:paraId="7655B7CD">
      <w:pPr>
        <w:spacing w:line="360" w:lineRule="auto"/>
        <w:jc w:val="center"/>
        <w:rPr>
          <w:rFonts w:ascii="宋体" w:hAnsi="宋体" w:cs="宋体"/>
          <w:color w:val="auto"/>
          <w:sz w:val="24"/>
        </w:rPr>
      </w:pPr>
      <w:r>
        <w:rPr>
          <w:rFonts w:hint="eastAsia" w:ascii="宋体" w:hAnsi="宋体" w:cs="宋体"/>
          <w:color w:val="auto"/>
          <w:sz w:val="24"/>
        </w:rPr>
        <w:t>（根据招标公告本项目的特定资格要求提供相应的材料；未要求的，无需提供）</w:t>
      </w:r>
    </w:p>
    <w:p w14:paraId="4D761D1E">
      <w:pPr>
        <w:rPr>
          <w:rFonts w:ascii="宋体" w:hAnsi="宋体" w:cs="宋体"/>
          <w:color w:val="auto"/>
        </w:rPr>
      </w:pPr>
    </w:p>
    <w:p w14:paraId="0E595F05">
      <w:pPr>
        <w:widowControl/>
        <w:adjustRightInd/>
        <w:jc w:val="left"/>
        <w:rPr>
          <w:rFonts w:ascii="宋体" w:hAnsi="宋体" w:cs="宋体"/>
          <w:b/>
          <w:color w:val="auto"/>
          <w:kern w:val="0"/>
          <w:sz w:val="32"/>
          <w:szCs w:val="32"/>
        </w:rPr>
      </w:pPr>
      <w:r>
        <w:rPr>
          <w:rFonts w:ascii="宋体" w:hAnsi="宋体" w:cs="宋体"/>
          <w:b/>
          <w:color w:val="auto"/>
          <w:kern w:val="0"/>
          <w:sz w:val="32"/>
          <w:szCs w:val="32"/>
        </w:rPr>
        <w:br w:type="page"/>
      </w:r>
    </w:p>
    <w:p w14:paraId="53AECE96">
      <w:pPr>
        <w:spacing w:line="360" w:lineRule="auto"/>
        <w:ind w:right="420" w:firstLine="3614" w:firstLineChars="1000"/>
        <w:rPr>
          <w:rFonts w:ascii="宋体" w:hAnsi="宋体" w:cs="宋体"/>
          <w:b/>
          <w:color w:val="auto"/>
          <w:kern w:val="0"/>
          <w:sz w:val="36"/>
          <w:szCs w:val="36"/>
        </w:rPr>
      </w:pPr>
      <w:r>
        <w:rPr>
          <w:rFonts w:hint="eastAsia" w:ascii="宋体" w:hAnsi="宋体" w:cs="宋体"/>
          <w:b/>
          <w:color w:val="auto"/>
          <w:kern w:val="0"/>
          <w:sz w:val="36"/>
          <w:szCs w:val="36"/>
        </w:rPr>
        <w:t>商务技术文件部分</w:t>
      </w:r>
    </w:p>
    <w:p w14:paraId="31A73697">
      <w:pPr>
        <w:spacing w:line="360" w:lineRule="auto"/>
        <w:jc w:val="center"/>
        <w:outlineLvl w:val="0"/>
        <w:rPr>
          <w:rFonts w:ascii="宋体" w:hAnsi="宋体" w:cs="宋体"/>
          <w:b/>
          <w:color w:val="auto"/>
          <w:kern w:val="0"/>
          <w:sz w:val="28"/>
          <w:szCs w:val="28"/>
        </w:rPr>
      </w:pPr>
      <w:r>
        <w:rPr>
          <w:rFonts w:hint="eastAsia" w:ascii="宋体" w:hAnsi="宋体" w:cs="宋体"/>
          <w:b/>
          <w:color w:val="auto"/>
          <w:kern w:val="0"/>
          <w:sz w:val="28"/>
          <w:szCs w:val="28"/>
        </w:rPr>
        <w:t>目录</w:t>
      </w:r>
    </w:p>
    <w:p w14:paraId="13D64B90">
      <w:pPr>
        <w:snapToGrid w:val="0"/>
        <w:spacing w:line="360" w:lineRule="auto"/>
        <w:ind w:left="479" w:leftChars="228"/>
        <w:rPr>
          <w:rFonts w:hint="eastAsia" w:ascii="宋体" w:hAnsi="宋体" w:cs="宋体"/>
          <w:color w:val="auto"/>
        </w:rPr>
      </w:pPr>
      <w:r>
        <w:rPr>
          <w:rFonts w:hint="eastAsia" w:ascii="宋体" w:hAnsi="宋体" w:cs="宋体"/>
          <w:color w:val="auto"/>
          <w:sz w:val="24"/>
        </w:rPr>
        <w:t>（1）投标函</w:t>
      </w:r>
      <w:r>
        <w:rPr>
          <w:rFonts w:hint="eastAsia" w:ascii="宋体" w:hAnsi="宋体" w:cs="宋体"/>
          <w:color w:val="auto"/>
        </w:rPr>
        <w:t>…………………………………………………………………（页码）</w:t>
      </w:r>
    </w:p>
    <w:p w14:paraId="1708BC6B">
      <w:pPr>
        <w:snapToGrid w:val="0"/>
        <w:spacing w:line="360" w:lineRule="auto"/>
        <w:ind w:left="479" w:leftChars="228"/>
        <w:rPr>
          <w:rFonts w:ascii="宋体" w:hAnsi="宋体" w:cs="宋体"/>
          <w:color w:val="auto"/>
        </w:rPr>
      </w:pPr>
      <w:r>
        <w:rPr>
          <w:rFonts w:hint="eastAsia" w:ascii="宋体" w:hAnsi="宋体" w:cs="宋体"/>
          <w:color w:val="auto"/>
          <w:sz w:val="24"/>
        </w:rPr>
        <w:t>（2）授权委托书或法定代表人（单位负责人、自然人本人）身份证明</w:t>
      </w:r>
      <w:r>
        <w:rPr>
          <w:rFonts w:hint="eastAsia" w:ascii="宋体" w:hAnsi="宋体" w:cs="宋体"/>
          <w:color w:val="auto"/>
        </w:rPr>
        <w:t>……（页码）</w:t>
      </w:r>
    </w:p>
    <w:p w14:paraId="6FC9AE9E">
      <w:pPr>
        <w:snapToGrid w:val="0"/>
        <w:spacing w:line="360" w:lineRule="auto"/>
        <w:ind w:left="479" w:leftChars="228"/>
        <w:rPr>
          <w:rFonts w:ascii="宋体" w:hAnsi="宋体" w:cs="宋体"/>
          <w:color w:val="auto"/>
        </w:rPr>
      </w:pPr>
      <w:r>
        <w:rPr>
          <w:rFonts w:hint="eastAsia" w:ascii="宋体" w:hAnsi="宋体" w:cs="宋体"/>
          <w:color w:val="auto"/>
          <w:sz w:val="24"/>
        </w:rPr>
        <w:t>（</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color w:val="auto"/>
        </w:rPr>
        <w:t>…………………………………………………………（页码）</w:t>
      </w:r>
    </w:p>
    <w:p w14:paraId="0294F09A">
      <w:pPr>
        <w:snapToGrid w:val="0"/>
        <w:spacing w:line="360" w:lineRule="auto"/>
        <w:ind w:firstLine="480" w:firstLineChars="200"/>
        <w:rPr>
          <w:rFonts w:ascii="宋体" w:hAnsi="宋体" w:cs="宋体"/>
          <w:color w:val="auto"/>
        </w:rPr>
      </w:pPr>
      <w:r>
        <w:rPr>
          <w:rFonts w:hint="eastAsia" w:ascii="宋体" w:hAnsi="宋体" w:cs="宋体"/>
          <w:color w:val="auto"/>
          <w:sz w:val="24"/>
        </w:rPr>
        <w:t>（</w:t>
      </w:r>
      <w:r>
        <w:rPr>
          <w:rFonts w:ascii="宋体" w:hAnsi="宋体" w:cs="宋体"/>
          <w:color w:val="auto"/>
          <w:sz w:val="24"/>
        </w:rPr>
        <w:t>4</w:t>
      </w:r>
      <w:r>
        <w:rPr>
          <w:rFonts w:hint="eastAsia" w:ascii="宋体" w:hAnsi="宋体" w:cs="宋体"/>
          <w:color w:val="auto"/>
          <w:sz w:val="24"/>
        </w:rPr>
        <w:t>）符合性审查资料</w:t>
      </w:r>
      <w:r>
        <w:rPr>
          <w:rFonts w:hint="eastAsia" w:ascii="宋体" w:hAnsi="宋体" w:cs="宋体"/>
          <w:color w:val="auto"/>
        </w:rPr>
        <w:t>………………………………………………………（页码）</w:t>
      </w:r>
    </w:p>
    <w:p w14:paraId="2ABCF1F6">
      <w:pPr>
        <w:snapToGrid w:val="0"/>
        <w:spacing w:line="360" w:lineRule="auto"/>
        <w:ind w:left="479" w:leftChars="228"/>
        <w:rPr>
          <w:rFonts w:hint="eastAsia" w:ascii="宋体" w:hAnsi="宋体" w:cs="宋体"/>
          <w:color w:val="auto"/>
        </w:rPr>
      </w:pPr>
      <w:r>
        <w:rPr>
          <w:rFonts w:hint="eastAsia" w:ascii="宋体" w:hAnsi="宋体" w:cs="宋体"/>
          <w:color w:val="auto"/>
          <w:sz w:val="24"/>
        </w:rPr>
        <w:t>（</w:t>
      </w:r>
      <w:r>
        <w:rPr>
          <w:rFonts w:ascii="宋体" w:hAnsi="宋体" w:cs="宋体"/>
          <w:color w:val="auto"/>
          <w:sz w:val="24"/>
        </w:rPr>
        <w:t>5</w:t>
      </w:r>
      <w:r>
        <w:rPr>
          <w:rFonts w:hint="eastAsia" w:ascii="宋体" w:hAnsi="宋体" w:cs="宋体"/>
          <w:color w:val="auto"/>
          <w:sz w:val="24"/>
        </w:rPr>
        <w:t>）评标标准相应的商务技术资料</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…（页码）</w:t>
      </w:r>
    </w:p>
    <w:p w14:paraId="60F43325">
      <w:pPr>
        <w:snapToGrid w:val="0"/>
        <w:spacing w:line="360" w:lineRule="auto"/>
        <w:ind w:left="479" w:leftChars="228"/>
        <w:rPr>
          <w:rFonts w:hint="eastAsia" w:ascii="宋体" w:hAnsi="宋体" w:cs="宋体"/>
          <w:color w:val="auto"/>
        </w:rPr>
      </w:pPr>
      <w:r>
        <w:rPr>
          <w:rFonts w:hint="eastAsia" w:ascii="宋体" w:hAnsi="宋体" w:cs="宋体"/>
          <w:color w:val="auto"/>
          <w:sz w:val="24"/>
        </w:rPr>
        <w:t>（</w:t>
      </w:r>
      <w:r>
        <w:rPr>
          <w:rFonts w:ascii="宋体" w:hAnsi="宋体" w:cs="宋体"/>
          <w:color w:val="auto"/>
          <w:sz w:val="24"/>
        </w:rPr>
        <w:t>6</w:t>
      </w:r>
      <w:r>
        <w:rPr>
          <w:rFonts w:hint="eastAsia" w:ascii="宋体" w:hAnsi="宋体" w:cs="宋体"/>
          <w:color w:val="auto"/>
          <w:sz w:val="24"/>
        </w:rPr>
        <w:t>）投标标的清单</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………（页码）</w:t>
      </w:r>
    </w:p>
    <w:p w14:paraId="454C8B28">
      <w:pPr>
        <w:snapToGrid w:val="0"/>
        <w:spacing w:line="360" w:lineRule="auto"/>
        <w:ind w:left="479" w:leftChars="228"/>
        <w:rPr>
          <w:rFonts w:ascii="宋体" w:hAnsi="宋体" w:cs="宋体"/>
          <w:color w:val="auto"/>
        </w:rPr>
      </w:pPr>
      <w:r>
        <w:rPr>
          <w:rFonts w:hint="eastAsia" w:ascii="宋体" w:hAnsi="宋体" w:cs="宋体"/>
          <w:color w:val="auto"/>
          <w:sz w:val="24"/>
        </w:rPr>
        <w:t>（</w:t>
      </w:r>
      <w:r>
        <w:rPr>
          <w:rFonts w:ascii="宋体" w:hAnsi="宋体" w:cs="宋体"/>
          <w:color w:val="auto"/>
          <w:sz w:val="24"/>
        </w:rPr>
        <w:t>7</w:t>
      </w:r>
      <w:r>
        <w:rPr>
          <w:rFonts w:hint="eastAsia" w:ascii="宋体" w:hAnsi="宋体" w:cs="宋体"/>
          <w:color w:val="auto"/>
          <w:sz w:val="24"/>
        </w:rPr>
        <w:t>）商务技术偏离表</w:t>
      </w:r>
      <w:r>
        <w:rPr>
          <w:rFonts w:hint="eastAsia" w:ascii="宋体" w:hAnsi="宋体" w:cs="宋体"/>
          <w:color w:val="auto"/>
        </w:rPr>
        <w:t>………………………………………………………（页码）</w:t>
      </w:r>
    </w:p>
    <w:p w14:paraId="1600CB7D">
      <w:pPr>
        <w:snapToGrid w:val="0"/>
        <w:spacing w:line="360" w:lineRule="auto"/>
        <w:ind w:left="479" w:leftChars="228"/>
        <w:jc w:val="left"/>
        <w:rPr>
          <w:rFonts w:ascii="宋体" w:hAnsi="宋体" w:cs="宋体"/>
          <w:b/>
          <w:color w:val="auto"/>
          <w:kern w:val="0"/>
          <w:sz w:val="32"/>
          <w:szCs w:val="32"/>
          <w:lang w:val="zh-CN"/>
        </w:rPr>
      </w:pP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r>
        <w:rPr>
          <w:rFonts w:hint="eastAsia" w:ascii="宋体" w:hAnsi="宋体" w:cs="宋体"/>
          <w:color w:val="auto"/>
        </w:rPr>
        <w:t>…………………………………（页码）</w:t>
      </w:r>
    </w:p>
    <w:p w14:paraId="00D7DE83">
      <w:pPr>
        <w:snapToGrid w:val="0"/>
        <w:spacing w:line="360" w:lineRule="auto"/>
        <w:jc w:val="center"/>
        <w:rPr>
          <w:rFonts w:ascii="宋体" w:hAnsi="宋体" w:cs="宋体"/>
          <w:b/>
          <w:color w:val="auto"/>
          <w:kern w:val="0"/>
          <w:sz w:val="32"/>
          <w:szCs w:val="32"/>
          <w:lang w:val="zh-CN"/>
        </w:rPr>
      </w:pPr>
    </w:p>
    <w:p w14:paraId="7CE6278C">
      <w:pPr>
        <w:snapToGrid w:val="0"/>
        <w:spacing w:line="360" w:lineRule="auto"/>
        <w:jc w:val="center"/>
        <w:rPr>
          <w:rFonts w:ascii="宋体" w:hAnsi="宋体" w:cs="宋体"/>
          <w:b/>
          <w:color w:val="auto"/>
          <w:kern w:val="0"/>
          <w:sz w:val="32"/>
          <w:szCs w:val="32"/>
          <w:lang w:val="zh-CN"/>
        </w:rPr>
      </w:pPr>
    </w:p>
    <w:p w14:paraId="4CF80E75">
      <w:pPr>
        <w:snapToGrid w:val="0"/>
        <w:spacing w:line="360" w:lineRule="auto"/>
        <w:jc w:val="center"/>
        <w:rPr>
          <w:rFonts w:ascii="宋体" w:hAnsi="宋体" w:cs="宋体"/>
          <w:b/>
          <w:color w:val="auto"/>
          <w:kern w:val="0"/>
          <w:sz w:val="32"/>
          <w:szCs w:val="32"/>
          <w:lang w:val="zh-CN"/>
        </w:rPr>
      </w:pPr>
    </w:p>
    <w:p w14:paraId="6653E822">
      <w:pPr>
        <w:snapToGrid w:val="0"/>
        <w:spacing w:line="360" w:lineRule="auto"/>
        <w:jc w:val="center"/>
        <w:rPr>
          <w:rFonts w:ascii="宋体" w:hAnsi="宋体" w:cs="宋体"/>
          <w:b/>
          <w:color w:val="auto"/>
          <w:kern w:val="0"/>
          <w:sz w:val="32"/>
          <w:szCs w:val="32"/>
          <w:lang w:val="zh-CN"/>
        </w:rPr>
      </w:pPr>
    </w:p>
    <w:p w14:paraId="037BFCCA">
      <w:pPr>
        <w:snapToGrid w:val="0"/>
        <w:spacing w:line="360" w:lineRule="auto"/>
        <w:jc w:val="center"/>
        <w:outlineLvl w:val="0"/>
        <w:rPr>
          <w:rFonts w:ascii="宋体" w:hAnsi="宋体" w:cs="宋体"/>
          <w:b/>
          <w:color w:val="auto"/>
          <w:kern w:val="0"/>
          <w:sz w:val="32"/>
          <w:szCs w:val="32"/>
        </w:rPr>
      </w:pPr>
    </w:p>
    <w:p w14:paraId="1AC818BC">
      <w:pPr>
        <w:snapToGrid w:val="0"/>
        <w:spacing w:line="360" w:lineRule="auto"/>
        <w:jc w:val="center"/>
        <w:outlineLvl w:val="0"/>
        <w:rPr>
          <w:rFonts w:ascii="宋体" w:hAnsi="宋体" w:cs="宋体"/>
          <w:b/>
          <w:color w:val="auto"/>
          <w:kern w:val="0"/>
          <w:sz w:val="32"/>
          <w:szCs w:val="32"/>
        </w:rPr>
      </w:pPr>
    </w:p>
    <w:p w14:paraId="6DCAC87B">
      <w:pPr>
        <w:rPr>
          <w:rFonts w:ascii="宋体" w:hAnsi="宋体" w:cs="宋体"/>
          <w:color w:val="auto"/>
        </w:rPr>
      </w:pPr>
    </w:p>
    <w:p w14:paraId="366313D8">
      <w:pPr>
        <w:snapToGrid w:val="0"/>
        <w:spacing w:line="360" w:lineRule="auto"/>
        <w:jc w:val="center"/>
        <w:outlineLvl w:val="0"/>
        <w:rPr>
          <w:rFonts w:ascii="宋体" w:hAnsi="宋体" w:cs="宋体"/>
          <w:b/>
          <w:color w:val="auto"/>
          <w:kern w:val="0"/>
          <w:sz w:val="32"/>
          <w:szCs w:val="32"/>
        </w:rPr>
      </w:pPr>
    </w:p>
    <w:p w14:paraId="2716436C">
      <w:pPr>
        <w:snapToGrid w:val="0"/>
        <w:spacing w:line="360" w:lineRule="auto"/>
        <w:jc w:val="center"/>
        <w:outlineLvl w:val="0"/>
        <w:rPr>
          <w:rFonts w:ascii="宋体" w:hAnsi="宋体" w:cs="宋体"/>
          <w:b/>
          <w:color w:val="auto"/>
          <w:kern w:val="0"/>
          <w:sz w:val="32"/>
          <w:szCs w:val="32"/>
        </w:rPr>
      </w:pPr>
    </w:p>
    <w:p w14:paraId="7CF92D27">
      <w:pPr>
        <w:pStyle w:val="3"/>
        <w:rPr>
          <w:color w:val="auto"/>
          <w:lang w:val="en-US"/>
        </w:rPr>
      </w:pPr>
    </w:p>
    <w:p w14:paraId="3F9F5E87">
      <w:pPr>
        <w:rPr>
          <w:color w:val="auto"/>
        </w:rPr>
      </w:pPr>
    </w:p>
    <w:p w14:paraId="7B4498AD">
      <w:pPr>
        <w:snapToGrid w:val="0"/>
        <w:spacing w:line="360" w:lineRule="auto"/>
        <w:ind w:firstLine="3855" w:firstLineChars="1200"/>
        <w:outlineLvl w:val="0"/>
        <w:rPr>
          <w:rFonts w:ascii="宋体" w:hAnsi="宋体" w:cs="宋体"/>
          <w:b/>
          <w:color w:val="auto"/>
          <w:kern w:val="0"/>
          <w:sz w:val="32"/>
          <w:szCs w:val="32"/>
        </w:rPr>
      </w:pPr>
    </w:p>
    <w:p w14:paraId="2EB4C0A0">
      <w:pPr>
        <w:snapToGrid w:val="0"/>
        <w:spacing w:line="360" w:lineRule="auto"/>
        <w:ind w:firstLine="3855" w:firstLineChars="1200"/>
        <w:outlineLvl w:val="0"/>
        <w:rPr>
          <w:rFonts w:ascii="宋体" w:hAnsi="宋体" w:cs="宋体"/>
          <w:b/>
          <w:color w:val="auto"/>
          <w:kern w:val="0"/>
          <w:sz w:val="32"/>
          <w:szCs w:val="32"/>
        </w:rPr>
      </w:pPr>
    </w:p>
    <w:p w14:paraId="67B1EA8C">
      <w:pPr>
        <w:snapToGrid w:val="0"/>
        <w:spacing w:line="360" w:lineRule="auto"/>
        <w:ind w:firstLine="3855" w:firstLineChars="1200"/>
        <w:outlineLvl w:val="0"/>
        <w:rPr>
          <w:rFonts w:ascii="宋体" w:hAnsi="宋体" w:cs="宋体"/>
          <w:b/>
          <w:color w:val="auto"/>
          <w:kern w:val="0"/>
          <w:sz w:val="32"/>
          <w:szCs w:val="32"/>
        </w:rPr>
      </w:pPr>
    </w:p>
    <w:p w14:paraId="5633581F">
      <w:pPr>
        <w:widowControl/>
        <w:adjustRightInd/>
        <w:jc w:val="left"/>
        <w:rPr>
          <w:rFonts w:ascii="宋体" w:hAnsi="宋体" w:cs="宋体"/>
          <w:b/>
          <w:color w:val="auto"/>
          <w:kern w:val="0"/>
          <w:sz w:val="32"/>
          <w:szCs w:val="32"/>
        </w:rPr>
      </w:pPr>
      <w:r>
        <w:rPr>
          <w:rFonts w:ascii="宋体" w:hAnsi="宋体" w:cs="宋体"/>
          <w:b/>
          <w:color w:val="auto"/>
          <w:kern w:val="0"/>
          <w:sz w:val="32"/>
          <w:szCs w:val="32"/>
        </w:rPr>
        <w:br w:type="page"/>
      </w:r>
    </w:p>
    <w:p w14:paraId="02FBBC9A">
      <w:pPr>
        <w:snapToGrid w:val="0"/>
        <w:spacing w:line="360" w:lineRule="auto"/>
        <w:ind w:firstLine="3855" w:firstLineChars="1200"/>
        <w:outlineLvl w:val="0"/>
        <w:rPr>
          <w:rFonts w:ascii="宋体" w:hAnsi="宋体" w:cs="宋体"/>
          <w:b/>
          <w:color w:val="auto"/>
          <w:sz w:val="32"/>
          <w:szCs w:val="32"/>
        </w:rPr>
      </w:pPr>
      <w:r>
        <w:rPr>
          <w:rFonts w:hint="eastAsia" w:ascii="宋体" w:hAnsi="宋体" w:cs="宋体"/>
          <w:b/>
          <w:color w:val="auto"/>
          <w:kern w:val="0"/>
          <w:sz w:val="32"/>
          <w:szCs w:val="32"/>
        </w:rPr>
        <w:t>一、投标</w:t>
      </w:r>
      <w:r>
        <w:rPr>
          <w:rFonts w:hint="eastAsia" w:ascii="宋体" w:hAnsi="宋体" w:cs="宋体"/>
          <w:b/>
          <w:color w:val="auto"/>
          <w:sz w:val="32"/>
          <w:szCs w:val="32"/>
        </w:rPr>
        <w:t>函</w:t>
      </w:r>
    </w:p>
    <w:p w14:paraId="0F5103D3">
      <w:pPr>
        <w:snapToGrid w:val="0"/>
        <w:spacing w:line="360" w:lineRule="auto"/>
        <w:rPr>
          <w:rFonts w:ascii="宋体" w:hAnsi="宋体" w:cs="宋体"/>
          <w:color w:val="auto"/>
          <w:sz w:val="24"/>
        </w:rPr>
      </w:pPr>
      <w:r>
        <w:rPr>
          <w:rFonts w:hint="eastAsia" w:ascii="宋体" w:hAnsi="宋体" w:cs="宋体"/>
          <w:color w:val="auto"/>
          <w:sz w:val="24"/>
        </w:rPr>
        <w:t>（采购人）、（采购代理机构）：</w:t>
      </w:r>
    </w:p>
    <w:p w14:paraId="46625F9E">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我方参加你方组织的（项目名称）【招标编号：（采购编号）】招标的有关活动，并对此项目进行投标。为此：</w:t>
      </w:r>
    </w:p>
    <w:p w14:paraId="3D829E36">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1、我方承诺投标有效期从提交投标文件的截止之日起</w:t>
      </w:r>
      <w:r>
        <w:rPr>
          <w:rFonts w:hint="eastAsia" w:ascii="宋体" w:hAnsi="宋体" w:cs="宋体"/>
          <w:color w:val="auto"/>
          <w:sz w:val="24"/>
          <w:u w:val="single"/>
        </w:rPr>
        <w:t xml:space="preserve">     </w:t>
      </w:r>
      <w:r>
        <w:rPr>
          <w:rFonts w:hint="eastAsia" w:ascii="宋体" w:hAnsi="宋体" w:cs="宋体"/>
          <w:color w:val="auto"/>
          <w:sz w:val="24"/>
        </w:rPr>
        <w:t>天（不少于90天）</w:t>
      </w:r>
      <w:r>
        <w:rPr>
          <w:rFonts w:hint="eastAsia" w:ascii="宋体" w:hAnsi="宋体" w:cs="宋体"/>
          <w:color w:val="auto"/>
        </w:rPr>
        <w:t>，</w:t>
      </w:r>
      <w:r>
        <w:rPr>
          <w:rFonts w:hint="eastAsia" w:ascii="宋体" w:hAnsi="宋体" w:cs="宋体"/>
          <w:color w:val="auto"/>
          <w:sz w:val="24"/>
        </w:rPr>
        <w:t>本投标文件在投标有效期满之前均具有约束力。</w:t>
      </w:r>
    </w:p>
    <w:p w14:paraId="35686C69">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2、我方的投标文件包括以下内容：</w:t>
      </w:r>
    </w:p>
    <w:p w14:paraId="550D1AC6">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2.1资格文件：</w:t>
      </w:r>
    </w:p>
    <w:p w14:paraId="7681DC87">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2.1.1承诺函；</w:t>
      </w:r>
    </w:p>
    <w:p w14:paraId="5E8313F3">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2.1.2</w:t>
      </w:r>
      <w:r>
        <w:rPr>
          <w:rFonts w:hint="eastAsia" w:ascii="宋体" w:hAnsi="宋体" w:cs="宋体"/>
          <w:snapToGrid w:val="0"/>
          <w:color w:val="auto"/>
          <w:kern w:val="28"/>
          <w:sz w:val="24"/>
          <w:szCs w:val="20"/>
        </w:rPr>
        <w:t>联合协议（如果有)；</w:t>
      </w:r>
    </w:p>
    <w:p w14:paraId="3BDCDA93">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.1.3</w:t>
      </w:r>
      <w:r>
        <w:rPr>
          <w:rFonts w:hint="eastAsia" w:ascii="宋体" w:hAnsi="宋体" w:cs="宋体"/>
          <w:color w:val="auto"/>
          <w:sz w:val="24"/>
        </w:rPr>
        <w:t>落实政府采购政策需满足的资格要求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679EBB48">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w:t>
      </w: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76191AA6">
      <w:pPr>
        <w:snapToGrid w:val="0"/>
        <w:spacing w:line="360" w:lineRule="auto"/>
        <w:ind w:left="210" w:leftChars="1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7122C03F">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2.2.1投标函；</w:t>
      </w:r>
      <w:r>
        <w:rPr>
          <w:rFonts w:hint="eastAsia" w:ascii="宋体" w:hAnsi="宋体" w:cs="宋体"/>
          <w:color w:val="auto"/>
          <w:sz w:val="24"/>
          <w:lang w:val="zh-CN"/>
        </w:rPr>
        <w:t xml:space="preserve"> </w:t>
      </w:r>
    </w:p>
    <w:p w14:paraId="462D58B2">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2.2.2授权委托书或法定代表人（单位负责人）身份证明；</w:t>
      </w:r>
    </w:p>
    <w:p w14:paraId="3A53884E">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088672CF">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4</w:t>
      </w:r>
      <w:r>
        <w:rPr>
          <w:rFonts w:hint="eastAsia" w:ascii="宋体" w:hAnsi="宋体" w:cs="宋体"/>
          <w:color w:val="auto"/>
          <w:sz w:val="24"/>
        </w:rPr>
        <w:t>符合性审查资料；</w:t>
      </w:r>
    </w:p>
    <w:p w14:paraId="0EAFE26C">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5</w:t>
      </w:r>
      <w:r>
        <w:rPr>
          <w:rFonts w:hint="eastAsia" w:ascii="宋体" w:hAnsi="宋体" w:cs="宋体"/>
          <w:color w:val="auto"/>
          <w:sz w:val="24"/>
        </w:rPr>
        <w:t>评标标准相应的商务技术资料；</w:t>
      </w:r>
    </w:p>
    <w:p w14:paraId="05C75BEF">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6</w:t>
      </w:r>
      <w:r>
        <w:rPr>
          <w:rFonts w:hint="eastAsia" w:ascii="宋体" w:hAnsi="宋体" w:cs="宋体"/>
          <w:color w:val="auto"/>
          <w:sz w:val="24"/>
        </w:rPr>
        <w:t>投标标的清单；</w:t>
      </w:r>
    </w:p>
    <w:p w14:paraId="64CAD235">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7</w:t>
      </w:r>
      <w:r>
        <w:rPr>
          <w:rFonts w:hint="eastAsia" w:ascii="宋体" w:hAnsi="宋体" w:cs="宋体"/>
          <w:color w:val="auto"/>
          <w:sz w:val="24"/>
        </w:rPr>
        <w:t>商务技术偏离表；</w:t>
      </w:r>
    </w:p>
    <w:p w14:paraId="2D4B7BDA">
      <w:pPr>
        <w:snapToGrid w:val="0"/>
        <w:spacing w:line="360" w:lineRule="auto"/>
        <w:ind w:left="420" w:leftChars="2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p>
    <w:p w14:paraId="0F06181D">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3报价文件</w:t>
      </w:r>
    </w:p>
    <w:p w14:paraId="1DB1586E">
      <w:pPr>
        <w:snapToGrid w:val="0"/>
        <w:spacing w:line="360" w:lineRule="auto"/>
        <w:ind w:left="420" w:leftChars="200" w:firstLine="480" w:firstLineChars="200"/>
        <w:rPr>
          <w:rFonts w:hint="eastAsia" w:ascii="宋体" w:hAnsi="宋体" w:cs="宋体"/>
          <w:color w:val="auto"/>
          <w:sz w:val="24"/>
        </w:rPr>
      </w:pPr>
      <w:r>
        <w:rPr>
          <w:rFonts w:hint="eastAsia" w:ascii="宋体" w:hAnsi="宋体" w:cs="宋体"/>
          <w:color w:val="auto"/>
          <w:sz w:val="24"/>
        </w:rPr>
        <w:t>2.3.1开标一览表（报价表）；</w:t>
      </w:r>
    </w:p>
    <w:p w14:paraId="701FC51D">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w:t>
      </w:r>
      <w:r>
        <w:rPr>
          <w:rFonts w:hint="eastAsia" w:ascii="宋体" w:hAnsi="宋体" w:cs="宋体"/>
          <w:color w:val="auto"/>
          <w:sz w:val="24"/>
          <w:lang w:val="en-US" w:eastAsia="zh-CN"/>
        </w:rPr>
        <w:t>3</w:t>
      </w:r>
      <w:r>
        <w:rPr>
          <w:rFonts w:hint="eastAsia" w:ascii="宋体" w:hAnsi="宋体" w:cs="宋体"/>
          <w:color w:val="auto"/>
          <w:sz w:val="24"/>
        </w:rPr>
        <w:t>中小企业声明函（如果有）。</w:t>
      </w:r>
    </w:p>
    <w:p w14:paraId="0A07B266">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3、我方承诺除商务技术偏离表列出的偏离外，我方响应招标文件的全部要求。对投标文件中材料的真实性、合法性负责。</w:t>
      </w:r>
    </w:p>
    <w:p w14:paraId="207599A9">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4、如我方中标，我方承诺：</w:t>
      </w:r>
    </w:p>
    <w:p w14:paraId="3FF52625">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4.1在收到中标通知书后，在中标通知书规定的期限内与你方签订合同； </w:t>
      </w:r>
    </w:p>
    <w:p w14:paraId="6CC585E1">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4.2在签订合同时不向你方提出附加条件； </w:t>
      </w:r>
    </w:p>
    <w:p w14:paraId="728D4FD8">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4.3按照招标文件要求提交履约保证金； </w:t>
      </w:r>
    </w:p>
    <w:p w14:paraId="1831A9D0">
      <w:pPr>
        <w:snapToGrid w:val="0"/>
        <w:spacing w:line="360" w:lineRule="auto"/>
        <w:ind w:left="210" w:leftChars="100" w:firstLine="480" w:firstLineChars="200"/>
        <w:rPr>
          <w:rFonts w:hint="eastAsia" w:ascii="宋体" w:hAnsi="宋体" w:cs="宋体"/>
          <w:color w:val="auto"/>
          <w:sz w:val="24"/>
        </w:rPr>
      </w:pPr>
      <w:r>
        <w:rPr>
          <w:rFonts w:hint="eastAsia" w:ascii="宋体" w:hAnsi="宋体" w:cs="宋体"/>
          <w:color w:val="auto"/>
          <w:sz w:val="24"/>
        </w:rPr>
        <w:t xml:space="preserve">4.4在合同约定的期限内完成合同规定的全部义务。 </w:t>
      </w:r>
    </w:p>
    <w:p w14:paraId="74F8517F">
      <w:pPr>
        <w:widowControl w:val="0"/>
        <w:numPr>
          <w:ilvl w:val="0"/>
          <w:numId w:val="0"/>
        </w:numPr>
        <w:jc w:val="both"/>
        <w:rPr>
          <w:rFonts w:hint="eastAsia" w:ascii="微软雅黑" w:hAnsi="微软雅黑" w:eastAsia="微软雅黑" w:cs="微软雅黑"/>
          <w:i w:val="0"/>
          <w:caps w:val="0"/>
          <w:color w:val="auto"/>
          <w:spacing w:val="0"/>
          <w:sz w:val="21"/>
          <w:szCs w:val="21"/>
          <w:shd w:val="clear" w:color="auto" w:fill="FFFFFF"/>
          <w:lang w:val="en-US" w:eastAsia="zh-CN"/>
        </w:rPr>
      </w:pPr>
      <w:r>
        <w:rPr>
          <w:rFonts w:hint="eastAsia"/>
          <w:color w:val="auto"/>
          <w:lang w:val="en-US" w:eastAsia="zh-CN"/>
        </w:rPr>
        <w:t>5.</w:t>
      </w:r>
      <w:r>
        <w:rPr>
          <w:rFonts w:hint="eastAsia" w:ascii="微软雅黑" w:hAnsi="微软雅黑" w:eastAsia="微软雅黑" w:cs="微软雅黑"/>
          <w:i w:val="0"/>
          <w:caps w:val="0"/>
          <w:color w:val="auto"/>
          <w:spacing w:val="0"/>
          <w:sz w:val="21"/>
          <w:szCs w:val="21"/>
          <w:shd w:val="clear" w:color="auto" w:fill="FFFFFF"/>
          <w:lang w:val="en-US" w:eastAsia="zh-CN"/>
        </w:rPr>
        <w:t>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14:paraId="06A15A5A">
      <w:pPr>
        <w:pStyle w:val="79"/>
        <w:rPr>
          <w:rFonts w:hint="eastAsia" w:eastAsia="华文楷体"/>
          <w:color w:val="auto"/>
          <w:lang w:val="en-US" w:eastAsia="zh-CN"/>
        </w:rPr>
      </w:pPr>
    </w:p>
    <w:p w14:paraId="28743C2C">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5、其他补充说明:</w:t>
      </w:r>
      <w:r>
        <w:rPr>
          <w:rFonts w:hint="eastAsia" w:ascii="宋体" w:hAnsi="宋体" w:cs="宋体"/>
          <w:color w:val="auto"/>
          <w:sz w:val="24"/>
          <w:u w:val="single"/>
        </w:rPr>
        <w:t xml:space="preserve">                                        </w:t>
      </w:r>
      <w:r>
        <w:rPr>
          <w:rFonts w:hint="eastAsia" w:ascii="宋体" w:hAnsi="宋体" w:cs="宋体"/>
          <w:color w:val="auto"/>
          <w:sz w:val="24"/>
        </w:rPr>
        <w:t>。</w:t>
      </w:r>
    </w:p>
    <w:p w14:paraId="23661943">
      <w:pPr>
        <w:spacing w:line="360" w:lineRule="auto"/>
        <w:ind w:firstLine="3600" w:firstLineChars="1500"/>
        <w:rPr>
          <w:rFonts w:ascii="宋体" w:hAnsi="宋体" w:cs="宋体"/>
          <w:color w:val="auto"/>
          <w:sz w:val="24"/>
        </w:rPr>
      </w:pPr>
      <w:r>
        <w:rPr>
          <w:rFonts w:hint="eastAsia" w:ascii="宋体" w:hAnsi="宋体" w:cs="宋体"/>
          <w:color w:val="auto"/>
          <w:sz w:val="24"/>
        </w:rPr>
        <w:t xml:space="preserve">投标人名称（电子签名）：                          </w:t>
      </w:r>
    </w:p>
    <w:p w14:paraId="204CF3F2">
      <w:pPr>
        <w:spacing w:line="360" w:lineRule="auto"/>
        <w:jc w:val="center"/>
        <w:rPr>
          <w:rFonts w:ascii="宋体" w:hAnsi="宋体" w:cs="宋体"/>
          <w:color w:val="auto"/>
          <w:sz w:val="24"/>
        </w:rPr>
      </w:pPr>
      <w:r>
        <w:rPr>
          <w:rFonts w:hint="eastAsia" w:ascii="宋体" w:hAnsi="宋体" w:cs="宋体"/>
          <w:color w:val="auto"/>
          <w:sz w:val="24"/>
        </w:rPr>
        <w:t xml:space="preserve">     日期：  年   月   日</w:t>
      </w:r>
    </w:p>
    <w:p w14:paraId="159C18C9">
      <w:pPr>
        <w:snapToGrid w:val="0"/>
        <w:spacing w:line="360" w:lineRule="auto"/>
        <w:ind w:left="420" w:leftChars="200" w:firstLine="4200" w:firstLineChars="1750"/>
        <w:rPr>
          <w:rFonts w:ascii="宋体" w:hAnsi="宋体" w:cs="宋体"/>
          <w:color w:val="auto"/>
          <w:kern w:val="0"/>
          <w:sz w:val="24"/>
          <w:u w:val="single"/>
        </w:rPr>
      </w:pPr>
    </w:p>
    <w:p w14:paraId="26F7681D">
      <w:pPr>
        <w:jc w:val="center"/>
        <w:rPr>
          <w:rFonts w:ascii="宋体" w:hAnsi="宋体" w:cs="宋体"/>
          <w:b/>
          <w:color w:val="auto"/>
          <w:kern w:val="0"/>
          <w:sz w:val="32"/>
          <w:szCs w:val="32"/>
        </w:rPr>
      </w:pPr>
      <w:r>
        <w:rPr>
          <w:rFonts w:hint="eastAsia" w:ascii="宋体" w:hAnsi="宋体" w:cs="宋体"/>
          <w:color w:val="auto"/>
          <w:sz w:val="24"/>
        </w:rPr>
        <w:t>注：按本格式和要求提供。</w:t>
      </w:r>
    </w:p>
    <w:p w14:paraId="49843634">
      <w:pPr>
        <w:jc w:val="center"/>
        <w:rPr>
          <w:rFonts w:ascii="宋体" w:hAnsi="宋体" w:cs="宋体"/>
          <w:b/>
          <w:color w:val="auto"/>
          <w:kern w:val="0"/>
          <w:sz w:val="32"/>
          <w:szCs w:val="32"/>
        </w:rPr>
      </w:pPr>
    </w:p>
    <w:p w14:paraId="6E68483E">
      <w:pPr>
        <w:jc w:val="center"/>
        <w:rPr>
          <w:rFonts w:ascii="宋体" w:hAnsi="宋体" w:cs="宋体"/>
          <w:b/>
          <w:color w:val="auto"/>
          <w:kern w:val="0"/>
          <w:sz w:val="32"/>
          <w:szCs w:val="32"/>
        </w:rPr>
      </w:pPr>
    </w:p>
    <w:p w14:paraId="10233C2D">
      <w:pPr>
        <w:jc w:val="center"/>
        <w:rPr>
          <w:rFonts w:ascii="宋体" w:hAnsi="宋体" w:cs="宋体"/>
          <w:b/>
          <w:color w:val="auto"/>
          <w:kern w:val="0"/>
          <w:sz w:val="32"/>
          <w:szCs w:val="32"/>
        </w:rPr>
      </w:pPr>
    </w:p>
    <w:p w14:paraId="70B9CE54">
      <w:pPr>
        <w:jc w:val="center"/>
        <w:rPr>
          <w:rFonts w:ascii="宋体" w:hAnsi="宋体" w:cs="宋体"/>
          <w:b/>
          <w:color w:val="auto"/>
          <w:kern w:val="0"/>
          <w:sz w:val="32"/>
          <w:szCs w:val="32"/>
        </w:rPr>
      </w:pPr>
    </w:p>
    <w:p w14:paraId="2BCBBAC0">
      <w:pPr>
        <w:jc w:val="center"/>
        <w:rPr>
          <w:rFonts w:ascii="宋体" w:hAnsi="宋体" w:cs="宋体"/>
          <w:b/>
          <w:color w:val="auto"/>
          <w:kern w:val="0"/>
          <w:sz w:val="32"/>
          <w:szCs w:val="32"/>
        </w:rPr>
      </w:pPr>
    </w:p>
    <w:p w14:paraId="1C724481">
      <w:pPr>
        <w:jc w:val="center"/>
        <w:rPr>
          <w:rFonts w:ascii="宋体" w:hAnsi="宋体" w:cs="宋体"/>
          <w:b/>
          <w:color w:val="auto"/>
          <w:kern w:val="0"/>
          <w:sz w:val="32"/>
          <w:szCs w:val="32"/>
        </w:rPr>
      </w:pPr>
    </w:p>
    <w:p w14:paraId="3EB6282A">
      <w:pPr>
        <w:jc w:val="center"/>
        <w:rPr>
          <w:rFonts w:ascii="宋体" w:hAnsi="宋体" w:cs="宋体"/>
          <w:b/>
          <w:color w:val="auto"/>
          <w:kern w:val="0"/>
          <w:sz w:val="32"/>
          <w:szCs w:val="32"/>
        </w:rPr>
      </w:pPr>
    </w:p>
    <w:p w14:paraId="2F7B0703">
      <w:pPr>
        <w:jc w:val="center"/>
        <w:rPr>
          <w:rFonts w:ascii="宋体" w:hAnsi="宋体" w:cs="宋体"/>
          <w:b/>
          <w:color w:val="auto"/>
          <w:kern w:val="0"/>
          <w:sz w:val="32"/>
          <w:szCs w:val="32"/>
        </w:rPr>
      </w:pPr>
    </w:p>
    <w:p w14:paraId="6D36F189">
      <w:pPr>
        <w:jc w:val="center"/>
        <w:rPr>
          <w:rFonts w:ascii="宋体" w:hAnsi="宋体" w:cs="宋体"/>
          <w:b/>
          <w:color w:val="auto"/>
          <w:kern w:val="0"/>
          <w:sz w:val="32"/>
          <w:szCs w:val="32"/>
        </w:rPr>
      </w:pPr>
    </w:p>
    <w:p w14:paraId="3D9064FA">
      <w:pPr>
        <w:jc w:val="center"/>
        <w:rPr>
          <w:rFonts w:ascii="宋体" w:hAnsi="宋体" w:cs="宋体"/>
          <w:b/>
          <w:color w:val="auto"/>
          <w:kern w:val="0"/>
          <w:sz w:val="32"/>
          <w:szCs w:val="32"/>
        </w:rPr>
      </w:pPr>
    </w:p>
    <w:p w14:paraId="67DC4F12">
      <w:pPr>
        <w:widowControl/>
        <w:adjustRightInd/>
        <w:jc w:val="left"/>
        <w:rPr>
          <w:rFonts w:ascii="宋体" w:hAnsi="宋体" w:cs="宋体"/>
          <w:b/>
          <w:color w:val="auto"/>
          <w:kern w:val="0"/>
          <w:sz w:val="32"/>
          <w:szCs w:val="32"/>
        </w:rPr>
      </w:pPr>
      <w:r>
        <w:rPr>
          <w:rFonts w:ascii="宋体" w:hAnsi="宋体" w:cs="宋体"/>
          <w:b/>
          <w:color w:val="auto"/>
          <w:kern w:val="0"/>
          <w:sz w:val="32"/>
          <w:szCs w:val="32"/>
        </w:rPr>
        <w:br w:type="page"/>
      </w:r>
    </w:p>
    <w:p w14:paraId="704908A2">
      <w:pPr>
        <w:jc w:val="center"/>
        <w:rPr>
          <w:rFonts w:ascii="宋体" w:hAnsi="宋体" w:cs="宋体"/>
          <w:b/>
          <w:color w:val="auto"/>
          <w:kern w:val="0"/>
          <w:sz w:val="32"/>
          <w:szCs w:val="32"/>
          <w:lang w:val="zh-CN"/>
        </w:rPr>
      </w:pPr>
      <w:r>
        <w:rPr>
          <w:rFonts w:hint="eastAsia" w:ascii="宋体" w:hAnsi="宋体" w:cs="宋体"/>
          <w:b/>
          <w:color w:val="auto"/>
          <w:kern w:val="0"/>
          <w:sz w:val="32"/>
          <w:szCs w:val="32"/>
          <w:lang w:val="zh-CN"/>
        </w:rPr>
        <w:t>二、授权委托书或法定代表人（单位负责人、自然人本人）身份证明</w:t>
      </w:r>
    </w:p>
    <w:p w14:paraId="5935ABDE">
      <w:pPr>
        <w:snapToGrid w:val="0"/>
        <w:spacing w:line="360" w:lineRule="auto"/>
        <w:rPr>
          <w:rFonts w:ascii="宋体" w:hAnsi="宋体" w:cs="宋体"/>
          <w:color w:val="auto"/>
          <w:sz w:val="24"/>
        </w:rPr>
      </w:pPr>
      <w:r>
        <w:rPr>
          <w:rFonts w:hint="eastAsia" w:ascii="宋体" w:hAnsi="宋体" w:cs="宋体"/>
          <w:color w:val="auto"/>
          <w:sz w:val="24"/>
        </w:rPr>
        <w:t xml:space="preserve">                                </w:t>
      </w:r>
    </w:p>
    <w:p w14:paraId="4DD291B2">
      <w:pPr>
        <w:snapToGrid w:val="0"/>
        <w:spacing w:line="360" w:lineRule="auto"/>
        <w:ind w:firstLine="2872" w:firstLineChars="894"/>
        <w:rPr>
          <w:rFonts w:ascii="宋体" w:hAnsi="宋体" w:cs="宋体"/>
          <w:color w:val="auto"/>
        </w:rPr>
      </w:pPr>
      <w:r>
        <w:rPr>
          <w:rFonts w:hint="eastAsia" w:ascii="宋体" w:hAnsi="宋体" w:cs="宋体"/>
          <w:b/>
          <w:color w:val="auto"/>
          <w:kern w:val="0"/>
          <w:sz w:val="32"/>
          <w:szCs w:val="32"/>
          <w:lang w:val="zh-CN"/>
        </w:rPr>
        <w:t>授权委托书（适用于非联合体投标）</w:t>
      </w:r>
      <w:r>
        <w:rPr>
          <w:rFonts w:hint="eastAsia" w:ascii="宋体" w:hAnsi="宋体" w:cs="宋体"/>
          <w:color w:val="auto"/>
        </w:rPr>
        <w:t xml:space="preserve">                               </w:t>
      </w:r>
    </w:p>
    <w:p w14:paraId="08E5544E">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01B88FD4">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u w:val="none"/>
          <w:lang w:val="en-US" w:eastAsia="zh-CN"/>
        </w:rPr>
        <w:t>，所在单位：</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rPr>
        <w:t>（项目名称）【招标编号：（采购编号）】</w:t>
      </w:r>
      <w:r>
        <w:rPr>
          <w:rFonts w:hint="eastAsia" w:ascii="宋体" w:hAnsi="宋体" w:cs="宋体"/>
          <w:color w:val="auto"/>
          <w:kern w:val="0"/>
          <w:sz w:val="24"/>
          <w:lang w:val="zh-CN"/>
        </w:rPr>
        <w:t>政府采购投标的一切事项，其法律后果由我方承担。</w:t>
      </w:r>
    </w:p>
    <w:p w14:paraId="69D9820D">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14:paraId="7DE21C5D">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14:paraId="44642CC1">
      <w:pPr>
        <w:snapToGrid w:val="0"/>
        <w:spacing w:line="360" w:lineRule="auto"/>
        <w:rPr>
          <w:rFonts w:ascii="宋体" w:hAnsi="宋体" w:cs="宋体"/>
          <w:color w:val="auto"/>
          <w:kern w:val="0"/>
          <w:sz w:val="24"/>
        </w:rPr>
      </w:pPr>
      <w:r>
        <w:rPr>
          <w:rFonts w:hint="eastAsia" w:ascii="宋体" w:hAnsi="宋体" w:cs="宋体"/>
          <w:color w:val="auto"/>
          <w:kern w:val="0"/>
          <w:sz w:val="24"/>
          <w:lang w:val="zh-CN"/>
        </w:rPr>
        <w:t xml:space="preserve">                                               投标人名称(电子签名)：</w:t>
      </w:r>
    </w:p>
    <w:p w14:paraId="57E34F52">
      <w:pPr>
        <w:snapToGrid w:val="0"/>
        <w:spacing w:line="360" w:lineRule="auto"/>
        <w:rPr>
          <w:rFonts w:ascii="宋体" w:hAnsi="宋体" w:cs="宋体"/>
          <w:color w:val="auto"/>
          <w:kern w:val="0"/>
          <w:sz w:val="24"/>
          <w:lang w:val="zh-CN"/>
        </w:rPr>
      </w:pPr>
      <w:r>
        <w:rPr>
          <w:rFonts w:hint="eastAsia" w:ascii="宋体" w:hAnsi="宋体" w:cs="宋体"/>
          <w:color w:val="auto"/>
          <w:kern w:val="0"/>
          <w:sz w:val="24"/>
          <w:lang w:val="zh-CN"/>
        </w:rPr>
        <w:t xml:space="preserve">                                               签发日期：  年  月   日</w:t>
      </w:r>
    </w:p>
    <w:p w14:paraId="7EDEEC13">
      <w:pPr>
        <w:snapToGrid w:val="0"/>
        <w:spacing w:line="360" w:lineRule="auto"/>
        <w:rPr>
          <w:rFonts w:ascii="宋体" w:hAnsi="宋体" w:cs="宋体"/>
          <w:color w:val="auto"/>
          <w:sz w:val="24"/>
        </w:rPr>
      </w:pPr>
    </w:p>
    <w:p w14:paraId="41987EC5">
      <w:pPr>
        <w:snapToGrid w:val="0"/>
        <w:spacing w:line="360" w:lineRule="auto"/>
        <w:rPr>
          <w:rFonts w:ascii="宋体" w:hAnsi="宋体" w:cs="宋体"/>
          <w:color w:val="auto"/>
          <w:sz w:val="24"/>
        </w:rPr>
      </w:pPr>
    </w:p>
    <w:p w14:paraId="5CDD8DA1">
      <w:pPr>
        <w:snapToGrid w:val="0"/>
        <w:spacing w:line="360" w:lineRule="auto"/>
        <w:rPr>
          <w:rFonts w:ascii="宋体" w:hAnsi="宋体" w:cs="宋体"/>
          <w:color w:val="auto"/>
          <w:sz w:val="24"/>
        </w:rPr>
      </w:pPr>
    </w:p>
    <w:p w14:paraId="4FDB47A5">
      <w:pPr>
        <w:jc w:val="center"/>
        <w:rPr>
          <w:rFonts w:ascii="宋体" w:hAnsi="宋体" w:cs="宋体"/>
          <w:b/>
          <w:color w:val="auto"/>
          <w:kern w:val="0"/>
          <w:sz w:val="32"/>
          <w:szCs w:val="32"/>
        </w:rPr>
      </w:pPr>
      <w:r>
        <w:rPr>
          <w:rFonts w:hint="eastAsia" w:ascii="宋体" w:hAnsi="宋体" w:cs="宋体"/>
          <w:b/>
          <w:color w:val="auto"/>
          <w:kern w:val="0"/>
          <w:sz w:val="32"/>
          <w:szCs w:val="32"/>
          <w:lang w:val="zh-CN"/>
        </w:rPr>
        <w:t xml:space="preserve">      </w:t>
      </w:r>
      <w:r>
        <w:rPr>
          <w:rFonts w:hint="eastAsia" w:ascii="宋体" w:hAnsi="宋体" w:cs="宋体"/>
          <w:b/>
          <w:color w:val="auto"/>
          <w:kern w:val="0"/>
          <w:sz w:val="32"/>
          <w:szCs w:val="32"/>
        </w:rPr>
        <w:t xml:space="preserve"> </w:t>
      </w:r>
      <w:r>
        <w:rPr>
          <w:rFonts w:hint="eastAsia" w:ascii="宋体" w:hAnsi="宋体" w:cs="宋体"/>
          <w:b/>
          <w:color w:val="auto"/>
          <w:kern w:val="0"/>
          <w:sz w:val="32"/>
          <w:szCs w:val="32"/>
          <w:lang w:val="zh-CN"/>
        </w:rPr>
        <w:t>授权委托书（适用于联合体投标）</w:t>
      </w:r>
    </w:p>
    <w:p w14:paraId="161948A3">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6C5E4977">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u w:val="none"/>
          <w:lang w:val="en-US" w:eastAsia="zh-CN"/>
        </w:rPr>
        <w:t>，所在单位：</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rPr>
        <w:t>（项目名称）【招标编号：（采购编号）】</w:t>
      </w:r>
      <w:r>
        <w:rPr>
          <w:rFonts w:hint="eastAsia" w:ascii="宋体" w:hAnsi="宋体" w:cs="宋体"/>
          <w:color w:val="auto"/>
          <w:kern w:val="0"/>
          <w:sz w:val="24"/>
          <w:lang w:val="zh-CN"/>
        </w:rPr>
        <w:t>政府采购投标的一切事项，其法律后果由我方承担。</w:t>
      </w:r>
    </w:p>
    <w:p w14:paraId="6F6DC9A8">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14:paraId="62930EC8">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14:paraId="4E4FE13B">
      <w:pPr>
        <w:jc w:val="center"/>
        <w:rPr>
          <w:rFonts w:ascii="宋体" w:hAnsi="宋体" w:cs="宋体"/>
          <w:b/>
          <w:color w:val="auto"/>
          <w:kern w:val="0"/>
          <w:sz w:val="32"/>
          <w:szCs w:val="32"/>
        </w:rPr>
      </w:pPr>
    </w:p>
    <w:p w14:paraId="7E37EE6A">
      <w:pPr>
        <w:rPr>
          <w:rFonts w:ascii="宋体" w:hAnsi="宋体" w:cs="宋体"/>
          <w:color w:val="auto"/>
        </w:rPr>
      </w:pPr>
    </w:p>
    <w:p w14:paraId="1516E826">
      <w:pPr>
        <w:snapToGrid w:val="0"/>
        <w:spacing w:line="360" w:lineRule="auto"/>
        <w:ind w:firstLine="0" w:firstLineChars="0"/>
        <w:jc w:val="right"/>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4568C01E">
      <w:pPr>
        <w:snapToGrid w:val="0"/>
        <w:spacing w:line="360" w:lineRule="auto"/>
        <w:ind w:firstLine="0" w:firstLineChars="0"/>
        <w:jc w:val="right"/>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7739CD41">
      <w:pPr>
        <w:snapToGrid w:val="0"/>
        <w:spacing w:line="360" w:lineRule="auto"/>
        <w:ind w:firstLine="5760" w:firstLineChars="2400"/>
        <w:rPr>
          <w:rFonts w:ascii="宋体" w:hAnsi="宋体" w:cs="宋体"/>
          <w:color w:val="auto"/>
        </w:rPr>
      </w:pPr>
      <w:r>
        <w:rPr>
          <w:rFonts w:hint="eastAsia" w:ascii="宋体" w:hAnsi="宋体" w:cs="宋体"/>
          <w:color w:val="auto"/>
          <w:kern w:val="0"/>
          <w:sz w:val="24"/>
          <w:lang w:val="zh-CN"/>
        </w:rPr>
        <w:t>……</w:t>
      </w:r>
    </w:p>
    <w:p w14:paraId="17DE1BA0">
      <w:pPr>
        <w:snapToGrid w:val="0"/>
        <w:spacing w:line="360" w:lineRule="auto"/>
        <w:rPr>
          <w:rFonts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6F900C63">
      <w:pPr>
        <w:autoSpaceDE w:val="0"/>
        <w:autoSpaceDN w:val="0"/>
        <w:spacing w:line="360" w:lineRule="auto"/>
        <w:jc w:val="center"/>
        <w:rPr>
          <w:rFonts w:ascii="宋体" w:hAnsi="宋体" w:cs="宋体"/>
          <w:b/>
          <w:color w:val="auto"/>
          <w:sz w:val="24"/>
        </w:rPr>
      </w:pPr>
      <w:r>
        <w:rPr>
          <w:rFonts w:hint="eastAsia" w:ascii="宋体" w:hAnsi="宋体" w:cs="宋体"/>
          <w:b/>
          <w:color w:val="auto"/>
          <w:kern w:val="0"/>
          <w:sz w:val="32"/>
          <w:szCs w:val="32"/>
          <w:lang w:val="zh-CN"/>
        </w:rPr>
        <w:t>法定代表人、单位负责人或自然人本人</w:t>
      </w:r>
      <w:r>
        <w:rPr>
          <w:rFonts w:hint="eastAsia" w:ascii="宋体" w:hAnsi="宋体" w:cs="宋体"/>
          <w:b/>
          <w:color w:val="auto"/>
          <w:sz w:val="30"/>
          <w:szCs w:val="30"/>
        </w:rPr>
        <w:t>的身份证明（适用于法定代表人、单位负责人或者自然人本人代表投标人参加投标）</w:t>
      </w:r>
    </w:p>
    <w:p w14:paraId="5DA64FE9">
      <w:pPr>
        <w:pStyle w:val="149"/>
        <w:spacing w:line="360" w:lineRule="auto"/>
        <w:rPr>
          <w:rFonts w:hAnsi="宋体" w:cs="宋体"/>
          <w:bCs/>
          <w:color w:val="auto"/>
          <w:sz w:val="24"/>
        </w:rPr>
      </w:pPr>
      <w:r>
        <w:rPr>
          <w:rFonts w:hint="eastAsia" w:hAnsi="宋体" w:cs="宋体"/>
          <w:bCs/>
          <w:color w:val="auto"/>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23AF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902AC2E">
            <w:pPr>
              <w:pStyle w:val="149"/>
              <w:adjustRightInd w:val="0"/>
              <w:spacing w:line="360" w:lineRule="auto"/>
              <w:rPr>
                <w:rFonts w:hAnsi="宋体" w:cs="宋体"/>
                <w:bCs/>
                <w:color w:val="auto"/>
                <w:sz w:val="24"/>
              </w:rPr>
            </w:pPr>
            <w:r>
              <w:rPr>
                <w:rFonts w:hint="eastAsia" w:hAnsi="宋体" w:cs="宋体"/>
                <w:bCs/>
                <w:color w:val="auto"/>
                <w:sz w:val="24"/>
              </w:rPr>
              <w:t>正面：                                 反面：</w:t>
            </w:r>
          </w:p>
          <w:p w14:paraId="2859CDDD">
            <w:pPr>
              <w:pStyle w:val="149"/>
              <w:adjustRightInd w:val="0"/>
              <w:spacing w:line="360" w:lineRule="auto"/>
              <w:rPr>
                <w:rFonts w:hAnsi="宋体" w:cs="宋体"/>
                <w:bCs/>
                <w:color w:val="auto"/>
                <w:sz w:val="24"/>
              </w:rPr>
            </w:pPr>
          </w:p>
        </w:tc>
      </w:tr>
    </w:tbl>
    <w:p w14:paraId="59E29D88">
      <w:pPr>
        <w:snapToGrid w:val="0"/>
        <w:spacing w:line="360" w:lineRule="auto"/>
        <w:ind w:firstLine="576"/>
        <w:jc w:val="center"/>
        <w:rPr>
          <w:rFonts w:ascii="宋体" w:hAnsi="宋体" w:cs="宋体"/>
          <w:color w:val="auto"/>
          <w:kern w:val="0"/>
          <w:sz w:val="24"/>
          <w:lang w:val="zh-CN"/>
        </w:rPr>
      </w:pPr>
      <w:r>
        <w:rPr>
          <w:rFonts w:hint="eastAsia" w:ascii="宋体" w:hAnsi="宋体" w:cs="宋体"/>
          <w:color w:val="auto"/>
          <w:kern w:val="0"/>
          <w:sz w:val="24"/>
          <w:lang w:val="zh-CN"/>
        </w:rPr>
        <w:t xml:space="preserve">                 </w:t>
      </w:r>
    </w:p>
    <w:p w14:paraId="2A5ED7A4">
      <w:pPr>
        <w:snapToGrid w:val="0"/>
        <w:spacing w:line="360" w:lineRule="auto"/>
        <w:ind w:firstLine="576"/>
        <w:jc w:val="center"/>
        <w:rPr>
          <w:rFonts w:ascii="宋体" w:hAnsi="宋体" w:cs="宋体"/>
          <w:color w:val="auto"/>
          <w:kern w:val="0"/>
          <w:sz w:val="24"/>
          <w:lang w:val="zh-CN"/>
        </w:rPr>
      </w:pPr>
      <w:r>
        <w:rPr>
          <w:rFonts w:hint="eastAsia" w:ascii="宋体" w:hAnsi="宋体" w:cs="宋体"/>
          <w:color w:val="auto"/>
          <w:kern w:val="0"/>
          <w:sz w:val="24"/>
          <w:lang w:val="zh-CN"/>
        </w:rPr>
        <w:t xml:space="preserve">                  投标人名称(电子签名)：                              </w:t>
      </w:r>
    </w:p>
    <w:p w14:paraId="70887784">
      <w:pPr>
        <w:jc w:val="center"/>
        <w:rPr>
          <w:rFonts w:ascii="宋体" w:hAnsi="宋体" w:cs="宋体"/>
          <w:b/>
          <w:color w:val="auto"/>
          <w:kern w:val="0"/>
          <w:sz w:val="32"/>
          <w:szCs w:val="32"/>
        </w:rPr>
      </w:pPr>
      <w:r>
        <w:rPr>
          <w:rFonts w:hint="eastAsia" w:ascii="宋体" w:hAnsi="宋体" w:cs="宋体"/>
          <w:color w:val="auto"/>
          <w:kern w:val="0"/>
          <w:sz w:val="24"/>
          <w:lang w:val="zh-CN"/>
        </w:rPr>
        <w:t xml:space="preserve">                   日期：  年  月  日</w:t>
      </w:r>
    </w:p>
    <w:p w14:paraId="485D65D3">
      <w:pPr>
        <w:jc w:val="center"/>
        <w:rPr>
          <w:rFonts w:ascii="宋体" w:hAnsi="宋体" w:cs="宋体"/>
          <w:b/>
          <w:color w:val="auto"/>
          <w:kern w:val="0"/>
          <w:sz w:val="32"/>
          <w:szCs w:val="32"/>
        </w:rPr>
      </w:pPr>
    </w:p>
    <w:p w14:paraId="6BA7BB6D">
      <w:pPr>
        <w:jc w:val="center"/>
        <w:rPr>
          <w:rFonts w:ascii="宋体" w:hAnsi="宋体" w:cs="宋体"/>
          <w:b/>
          <w:color w:val="auto"/>
          <w:kern w:val="0"/>
          <w:sz w:val="32"/>
          <w:szCs w:val="32"/>
        </w:rPr>
      </w:pPr>
    </w:p>
    <w:p w14:paraId="67BEB8F5">
      <w:pPr>
        <w:jc w:val="center"/>
        <w:rPr>
          <w:rFonts w:ascii="宋体" w:hAnsi="宋体" w:cs="宋体"/>
          <w:b/>
          <w:color w:val="auto"/>
          <w:kern w:val="0"/>
          <w:sz w:val="32"/>
          <w:szCs w:val="32"/>
        </w:rPr>
      </w:pPr>
    </w:p>
    <w:p w14:paraId="7D3989A4">
      <w:pPr>
        <w:jc w:val="center"/>
        <w:rPr>
          <w:rFonts w:ascii="宋体" w:hAnsi="宋体" w:cs="宋体"/>
          <w:b/>
          <w:color w:val="auto"/>
          <w:kern w:val="0"/>
          <w:sz w:val="32"/>
          <w:szCs w:val="32"/>
        </w:rPr>
      </w:pPr>
    </w:p>
    <w:p w14:paraId="3C01235D">
      <w:pPr>
        <w:jc w:val="center"/>
        <w:rPr>
          <w:rFonts w:ascii="宋体" w:hAnsi="宋体" w:cs="宋体"/>
          <w:b/>
          <w:color w:val="auto"/>
          <w:kern w:val="0"/>
          <w:sz w:val="32"/>
          <w:szCs w:val="32"/>
        </w:rPr>
      </w:pPr>
    </w:p>
    <w:p w14:paraId="1D0BA57D">
      <w:pPr>
        <w:jc w:val="center"/>
        <w:rPr>
          <w:rFonts w:ascii="宋体" w:hAnsi="宋体" w:cs="宋体"/>
          <w:b/>
          <w:color w:val="auto"/>
          <w:kern w:val="0"/>
          <w:sz w:val="32"/>
          <w:szCs w:val="32"/>
        </w:rPr>
      </w:pPr>
    </w:p>
    <w:p w14:paraId="2296118D">
      <w:pPr>
        <w:jc w:val="center"/>
        <w:rPr>
          <w:rFonts w:ascii="宋体" w:hAnsi="宋体" w:cs="宋体"/>
          <w:b/>
          <w:color w:val="auto"/>
          <w:kern w:val="0"/>
          <w:sz w:val="32"/>
          <w:szCs w:val="32"/>
        </w:rPr>
      </w:pPr>
    </w:p>
    <w:p w14:paraId="03E2765B">
      <w:pPr>
        <w:jc w:val="center"/>
        <w:rPr>
          <w:rFonts w:ascii="宋体" w:hAnsi="宋体" w:cs="宋体"/>
          <w:b/>
          <w:color w:val="auto"/>
          <w:kern w:val="0"/>
          <w:sz w:val="32"/>
          <w:szCs w:val="32"/>
        </w:rPr>
      </w:pPr>
    </w:p>
    <w:p w14:paraId="069CFE73">
      <w:pPr>
        <w:snapToGrid w:val="0"/>
        <w:spacing w:line="360" w:lineRule="auto"/>
        <w:ind w:right="480"/>
        <w:rPr>
          <w:rFonts w:ascii="宋体" w:hAnsi="宋体" w:cs="宋体"/>
          <w:b/>
          <w:color w:val="auto"/>
          <w:kern w:val="0"/>
          <w:sz w:val="32"/>
          <w:szCs w:val="32"/>
        </w:rPr>
        <w:sectPr>
          <w:headerReference r:id="rId11" w:type="first"/>
          <w:footerReference r:id="rId13" w:type="first"/>
          <w:headerReference r:id="rId10" w:type="default"/>
          <w:footerReference r:id="rId12" w:type="default"/>
          <w:pgSz w:w="11906" w:h="16838"/>
          <w:pgMar w:top="1440" w:right="1803" w:bottom="1440" w:left="1803" w:header="851" w:footer="992" w:gutter="0"/>
          <w:cols w:space="0" w:num="1"/>
          <w:rtlGutter w:val="0"/>
          <w:docGrid w:type="lines" w:linePitch="319" w:charSpace="0"/>
        </w:sectPr>
      </w:pPr>
    </w:p>
    <w:p w14:paraId="24EC7E78">
      <w:pPr>
        <w:snapToGrid w:val="0"/>
        <w:spacing w:line="360" w:lineRule="auto"/>
        <w:jc w:val="center"/>
        <w:rPr>
          <w:rFonts w:ascii="宋体" w:hAnsi="宋体" w:cs="宋体"/>
          <w:b/>
          <w:color w:val="auto"/>
          <w:kern w:val="0"/>
          <w:sz w:val="32"/>
          <w:szCs w:val="32"/>
        </w:rPr>
      </w:pPr>
      <w:r>
        <w:rPr>
          <w:rFonts w:hint="eastAsia" w:ascii="宋体" w:hAnsi="宋体" w:cs="宋体"/>
          <w:b/>
          <w:color w:val="auto"/>
          <w:kern w:val="0"/>
          <w:sz w:val="32"/>
          <w:szCs w:val="32"/>
        </w:rPr>
        <w:t>三、分包意向协议（如果有）</w:t>
      </w:r>
    </w:p>
    <w:p w14:paraId="56FD7F4D">
      <w:pPr>
        <w:widowControl/>
        <w:spacing w:line="360" w:lineRule="auto"/>
        <w:ind w:firstLine="120" w:firstLineChars="50"/>
        <w:jc w:val="left"/>
        <w:rPr>
          <w:rFonts w:ascii="宋体" w:hAnsi="宋体" w:cs="宋体"/>
          <w:color w:val="auto"/>
          <w:sz w:val="24"/>
        </w:rPr>
      </w:pPr>
      <w:bookmarkStart w:id="407" w:name="_Hlk101169080"/>
      <w:r>
        <w:rPr>
          <w:rFonts w:hint="eastAsia" w:ascii="宋体" w:hAnsi="宋体" w:cs="宋体"/>
          <w:color w:val="auto"/>
          <w:sz w:val="24"/>
        </w:rPr>
        <w:t>[</w:t>
      </w:r>
      <w:r>
        <w:rPr>
          <w:rFonts w:hint="eastAsia" w:ascii="宋体" w:hAnsi="宋体" w:cs="宋体"/>
          <w:b/>
          <w:color w:val="auto"/>
          <w:sz w:val="24"/>
        </w:rPr>
        <w:t>中标后以分包方式履行合同的，提供分包意向协议(附件6</w:t>
      </w:r>
      <w:r>
        <w:rPr>
          <w:rFonts w:ascii="宋体" w:hAnsi="宋体" w:cs="宋体"/>
          <w:b/>
          <w:color w:val="auto"/>
          <w:sz w:val="24"/>
        </w:rPr>
        <w:t>)</w:t>
      </w:r>
      <w:r>
        <w:rPr>
          <w:rFonts w:hint="eastAsia" w:ascii="宋体" w:hAnsi="宋体" w:cs="宋体"/>
          <w:b/>
          <w:color w:val="auto"/>
          <w:sz w:val="24"/>
        </w:rPr>
        <w:t>；采购人不同意分包或者投标人中标后不以分包方式履行合同的，则不需要提供。</w:t>
      </w:r>
      <w:r>
        <w:rPr>
          <w:rFonts w:hint="eastAsia" w:ascii="宋体" w:hAnsi="宋体" w:cs="宋体"/>
          <w:color w:val="auto"/>
          <w:sz w:val="24"/>
        </w:rPr>
        <w:t>]</w:t>
      </w:r>
    </w:p>
    <w:bookmarkEnd w:id="407"/>
    <w:p w14:paraId="28016295">
      <w:pPr>
        <w:snapToGrid w:val="0"/>
        <w:spacing w:line="360" w:lineRule="auto"/>
        <w:rPr>
          <w:rFonts w:ascii="宋体" w:hAnsi="宋体" w:cs="宋体"/>
          <w:color w:val="auto"/>
          <w:kern w:val="0"/>
          <w:sz w:val="24"/>
        </w:rPr>
      </w:pPr>
    </w:p>
    <w:p w14:paraId="2877257A">
      <w:pPr>
        <w:pStyle w:val="3"/>
        <w:rPr>
          <w:color w:val="auto"/>
          <w:lang w:val="en-US"/>
        </w:rPr>
      </w:pPr>
    </w:p>
    <w:p w14:paraId="1FC65EB7">
      <w:pPr>
        <w:jc w:val="center"/>
        <w:rPr>
          <w:rFonts w:ascii="宋体" w:hAnsi="宋体" w:cs="宋体"/>
          <w:b/>
          <w:color w:val="auto"/>
          <w:kern w:val="0"/>
          <w:sz w:val="32"/>
          <w:szCs w:val="32"/>
        </w:rPr>
      </w:pPr>
    </w:p>
    <w:p w14:paraId="43F490DC">
      <w:pPr>
        <w:jc w:val="center"/>
        <w:rPr>
          <w:rFonts w:ascii="宋体" w:hAnsi="宋体" w:cs="宋体"/>
          <w:b/>
          <w:color w:val="auto"/>
          <w:kern w:val="0"/>
          <w:sz w:val="32"/>
          <w:szCs w:val="32"/>
        </w:rPr>
      </w:pPr>
      <w:r>
        <w:rPr>
          <w:rFonts w:hint="eastAsia" w:ascii="宋体" w:hAnsi="宋体" w:cs="宋体"/>
          <w:b/>
          <w:color w:val="auto"/>
          <w:kern w:val="0"/>
          <w:sz w:val="32"/>
          <w:szCs w:val="32"/>
        </w:rPr>
        <w:t>四、符合性审查资料</w:t>
      </w:r>
    </w:p>
    <w:p w14:paraId="4FB9CE09">
      <w:pPr>
        <w:jc w:val="center"/>
        <w:rPr>
          <w:rFonts w:ascii="宋体" w:hAnsi="宋体" w:cs="宋体"/>
          <w:b/>
          <w:color w:val="auto"/>
          <w:kern w:val="0"/>
          <w:sz w:val="32"/>
          <w:szCs w:val="32"/>
        </w:rPr>
      </w:pPr>
    </w:p>
    <w:tbl>
      <w:tblPr>
        <w:tblStyle w:val="62"/>
        <w:tblW w:w="9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38E23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14:paraId="64388189">
            <w:pPr>
              <w:snapToGrid w:val="0"/>
              <w:spacing w:line="240" w:lineRule="atLeast"/>
              <w:jc w:val="center"/>
              <w:rPr>
                <w:rFonts w:ascii="宋体" w:hAnsi="宋体" w:cs="宋体"/>
                <w:b/>
                <w:color w:val="auto"/>
                <w:sz w:val="24"/>
              </w:rPr>
            </w:pPr>
            <w:r>
              <w:rPr>
                <w:rFonts w:hint="eastAsia" w:ascii="宋体" w:hAnsi="宋体" w:cs="宋体"/>
                <w:b/>
                <w:color w:val="auto"/>
                <w:sz w:val="24"/>
              </w:rPr>
              <w:t>序号</w:t>
            </w:r>
          </w:p>
        </w:tc>
        <w:tc>
          <w:tcPr>
            <w:tcW w:w="4991" w:type="dxa"/>
            <w:vAlign w:val="center"/>
          </w:tcPr>
          <w:p w14:paraId="0E143FC8">
            <w:pPr>
              <w:snapToGrid w:val="0"/>
              <w:spacing w:line="240" w:lineRule="atLeast"/>
              <w:jc w:val="center"/>
              <w:rPr>
                <w:rFonts w:ascii="宋体" w:hAnsi="宋体" w:cs="宋体"/>
                <w:b/>
                <w:color w:val="auto"/>
                <w:sz w:val="24"/>
              </w:rPr>
            </w:pPr>
            <w:r>
              <w:rPr>
                <w:rFonts w:hint="eastAsia" w:ascii="宋体" w:hAnsi="宋体" w:cs="宋体"/>
                <w:b/>
                <w:color w:val="auto"/>
                <w:sz w:val="24"/>
              </w:rPr>
              <w:t>实质性要求</w:t>
            </w:r>
          </w:p>
        </w:tc>
        <w:tc>
          <w:tcPr>
            <w:tcW w:w="2551" w:type="dxa"/>
            <w:vAlign w:val="center"/>
          </w:tcPr>
          <w:p w14:paraId="63FE30C7">
            <w:pPr>
              <w:snapToGrid w:val="0"/>
              <w:spacing w:line="240" w:lineRule="atLeast"/>
              <w:jc w:val="center"/>
              <w:rPr>
                <w:rFonts w:ascii="宋体" w:hAnsi="宋体" w:cs="宋体"/>
                <w:b/>
                <w:color w:val="auto"/>
                <w:sz w:val="24"/>
              </w:rPr>
            </w:pPr>
            <w:r>
              <w:rPr>
                <w:rFonts w:hint="eastAsia" w:ascii="宋体" w:hAnsi="宋体" w:cs="宋体"/>
                <w:b/>
                <w:color w:val="auto"/>
                <w:sz w:val="24"/>
              </w:rPr>
              <w:t>需要提供的符合性审查资料</w:t>
            </w:r>
          </w:p>
        </w:tc>
        <w:tc>
          <w:tcPr>
            <w:tcW w:w="1418" w:type="dxa"/>
            <w:vAlign w:val="center"/>
          </w:tcPr>
          <w:p w14:paraId="68C3D86A">
            <w:pPr>
              <w:snapToGrid w:val="0"/>
              <w:spacing w:line="240" w:lineRule="atLeast"/>
              <w:jc w:val="center"/>
              <w:rPr>
                <w:rFonts w:ascii="宋体" w:hAnsi="宋体" w:cs="宋体"/>
                <w:b/>
                <w:color w:val="auto"/>
                <w:sz w:val="24"/>
              </w:rPr>
            </w:pPr>
            <w:r>
              <w:rPr>
                <w:rFonts w:hint="eastAsia" w:ascii="宋体" w:hAnsi="宋体" w:cs="宋体"/>
                <w:b/>
                <w:color w:val="auto"/>
                <w:sz w:val="24"/>
              </w:rPr>
              <w:t>投标文件中的</w:t>
            </w:r>
          </w:p>
          <w:p w14:paraId="52C18EA7">
            <w:pPr>
              <w:snapToGrid w:val="0"/>
              <w:spacing w:line="240" w:lineRule="atLeast"/>
              <w:jc w:val="center"/>
              <w:rPr>
                <w:rFonts w:ascii="宋体" w:hAnsi="宋体" w:cs="宋体"/>
                <w:b/>
                <w:color w:val="auto"/>
                <w:sz w:val="24"/>
              </w:rPr>
            </w:pPr>
            <w:r>
              <w:rPr>
                <w:rFonts w:hint="eastAsia" w:ascii="宋体" w:hAnsi="宋体" w:cs="宋体"/>
                <w:b/>
                <w:color w:val="auto"/>
                <w:sz w:val="24"/>
              </w:rPr>
              <w:t>页码位置</w:t>
            </w:r>
          </w:p>
        </w:tc>
      </w:tr>
      <w:tr w14:paraId="7A978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5C80DD79">
            <w:pPr>
              <w:jc w:val="center"/>
              <w:rPr>
                <w:rFonts w:ascii="宋体" w:hAnsi="宋体" w:cs="宋体"/>
                <w:color w:val="auto"/>
                <w:sz w:val="24"/>
              </w:rPr>
            </w:pPr>
            <w:r>
              <w:rPr>
                <w:rFonts w:hint="eastAsia" w:ascii="宋体" w:hAnsi="宋体" w:cs="宋体"/>
                <w:color w:val="auto"/>
                <w:sz w:val="24"/>
              </w:rPr>
              <w:t>1</w:t>
            </w:r>
          </w:p>
        </w:tc>
        <w:tc>
          <w:tcPr>
            <w:tcW w:w="4991" w:type="dxa"/>
          </w:tcPr>
          <w:p w14:paraId="0BCBC8C5">
            <w:pPr>
              <w:spacing w:line="360" w:lineRule="auto"/>
              <w:rPr>
                <w:rFonts w:ascii="宋体" w:hAnsi="宋体" w:cs="宋体"/>
                <w:color w:val="auto"/>
                <w:sz w:val="24"/>
              </w:rPr>
            </w:pPr>
            <w:r>
              <w:rPr>
                <w:rFonts w:hint="eastAsia" w:ascii="宋体" w:hAnsi="宋体" w:cs="宋体"/>
                <w:color w:val="auto"/>
                <w:sz w:val="24"/>
              </w:rPr>
              <w:t>投标文件按照招标文件要求签署、盖章。</w:t>
            </w:r>
          </w:p>
        </w:tc>
        <w:tc>
          <w:tcPr>
            <w:tcW w:w="2551" w:type="dxa"/>
            <w:vAlign w:val="center"/>
          </w:tcPr>
          <w:p w14:paraId="1A2BD675">
            <w:pPr>
              <w:rPr>
                <w:rFonts w:ascii="宋体" w:hAnsi="宋体" w:cs="宋体"/>
                <w:color w:val="auto"/>
                <w:sz w:val="24"/>
              </w:rPr>
            </w:pPr>
            <w:r>
              <w:rPr>
                <w:rFonts w:hint="eastAsia" w:ascii="宋体" w:hAnsi="宋体" w:cs="宋体"/>
                <w:color w:val="auto"/>
                <w:sz w:val="24"/>
              </w:rPr>
              <w:t>需要使用电子签名或者签字盖章的投标文件的组成部分</w:t>
            </w:r>
          </w:p>
        </w:tc>
        <w:tc>
          <w:tcPr>
            <w:tcW w:w="1418" w:type="dxa"/>
          </w:tcPr>
          <w:p w14:paraId="66C5779C">
            <w:pPr>
              <w:rPr>
                <w:rFonts w:ascii="宋体" w:hAnsi="宋体" w:cs="宋体"/>
                <w:color w:val="auto"/>
                <w:sz w:val="24"/>
              </w:rPr>
            </w:pPr>
          </w:p>
          <w:p w14:paraId="3228F342">
            <w:pPr>
              <w:rPr>
                <w:rFonts w:ascii="宋体" w:hAnsi="宋体" w:cs="宋体"/>
                <w:color w:val="auto"/>
                <w:sz w:val="24"/>
              </w:rPr>
            </w:pPr>
            <w:r>
              <w:rPr>
                <w:rFonts w:hint="eastAsia" w:ascii="宋体" w:hAnsi="宋体" w:cs="宋体"/>
                <w:color w:val="auto"/>
                <w:sz w:val="24"/>
              </w:rPr>
              <w:t>见投标文件</w:t>
            </w:r>
          </w:p>
          <w:p w14:paraId="27ADFCE9">
            <w:pPr>
              <w:rPr>
                <w:rFonts w:ascii="宋体" w:hAnsi="宋体" w:cs="宋体"/>
                <w:color w:val="auto"/>
              </w:rPr>
            </w:pPr>
            <w:r>
              <w:rPr>
                <w:rFonts w:hint="eastAsia" w:ascii="宋体" w:hAnsi="宋体" w:cs="宋体"/>
                <w:color w:val="auto"/>
                <w:sz w:val="24"/>
              </w:rPr>
              <w:t>第</w:t>
            </w:r>
            <w:r>
              <w:rPr>
                <w:rFonts w:hint="eastAsia" w:ascii="宋体" w:hAnsi="宋体" w:cs="宋体"/>
                <w:color w:val="auto"/>
                <w:sz w:val="24"/>
                <w:u w:val="single"/>
              </w:rPr>
              <w:t xml:space="preserve">  </w:t>
            </w:r>
            <w:r>
              <w:rPr>
                <w:rFonts w:hint="eastAsia" w:ascii="宋体" w:hAnsi="宋体" w:cs="宋体"/>
                <w:color w:val="auto"/>
                <w:sz w:val="24"/>
              </w:rPr>
              <w:t>页</w:t>
            </w:r>
          </w:p>
        </w:tc>
      </w:tr>
      <w:tr w14:paraId="7608FC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24036752">
            <w:pPr>
              <w:jc w:val="center"/>
              <w:rPr>
                <w:rFonts w:ascii="宋体" w:hAnsi="宋体" w:cs="宋体"/>
                <w:color w:val="auto"/>
                <w:sz w:val="24"/>
              </w:rPr>
            </w:pPr>
            <w:r>
              <w:rPr>
                <w:rFonts w:hint="eastAsia" w:ascii="宋体" w:hAnsi="宋体" w:cs="宋体"/>
                <w:color w:val="auto"/>
                <w:sz w:val="24"/>
              </w:rPr>
              <w:t>2</w:t>
            </w:r>
          </w:p>
        </w:tc>
        <w:tc>
          <w:tcPr>
            <w:tcW w:w="4991" w:type="dxa"/>
          </w:tcPr>
          <w:p w14:paraId="6881AD9C">
            <w:pPr>
              <w:spacing w:line="360" w:lineRule="auto"/>
              <w:rPr>
                <w:rFonts w:ascii="宋体" w:hAnsi="宋体" w:cs="宋体"/>
                <w:color w:val="auto"/>
                <w:sz w:val="24"/>
              </w:rPr>
            </w:pPr>
            <w:r>
              <w:rPr>
                <w:rFonts w:hint="eastAsia" w:ascii="宋体" w:hAnsi="宋体" w:cs="宋体"/>
                <w:color w:val="auto"/>
                <w:sz w:val="24"/>
              </w:rPr>
              <w:t>投标文件中承诺的投标有效期不少于招标文件中载明的投标有效期。</w:t>
            </w:r>
          </w:p>
        </w:tc>
        <w:tc>
          <w:tcPr>
            <w:tcW w:w="2551" w:type="dxa"/>
            <w:vAlign w:val="center"/>
          </w:tcPr>
          <w:p w14:paraId="6A04F379">
            <w:pPr>
              <w:rPr>
                <w:rFonts w:ascii="宋体" w:hAnsi="宋体" w:cs="宋体"/>
                <w:color w:val="auto"/>
                <w:sz w:val="24"/>
              </w:rPr>
            </w:pPr>
            <w:r>
              <w:rPr>
                <w:rFonts w:hint="eastAsia" w:ascii="宋体" w:hAnsi="宋体" w:cs="宋体"/>
                <w:color w:val="auto"/>
                <w:sz w:val="24"/>
              </w:rPr>
              <w:t>投标函</w:t>
            </w:r>
          </w:p>
        </w:tc>
        <w:tc>
          <w:tcPr>
            <w:tcW w:w="1418" w:type="dxa"/>
          </w:tcPr>
          <w:p w14:paraId="60FBA438">
            <w:pPr>
              <w:rPr>
                <w:rFonts w:ascii="宋体" w:hAnsi="宋体" w:cs="宋体"/>
                <w:color w:val="auto"/>
              </w:rPr>
            </w:pPr>
            <w:r>
              <w:rPr>
                <w:rFonts w:hint="eastAsia" w:ascii="宋体" w:hAnsi="宋体" w:cs="宋体"/>
                <w:color w:val="auto"/>
                <w:sz w:val="24"/>
              </w:rPr>
              <w:t>见投标文件第</w:t>
            </w:r>
            <w:r>
              <w:rPr>
                <w:rFonts w:hint="eastAsia" w:ascii="宋体" w:hAnsi="宋体" w:cs="宋体"/>
                <w:color w:val="auto"/>
                <w:sz w:val="24"/>
                <w:u w:val="single"/>
              </w:rPr>
              <w:t xml:space="preserve">  </w:t>
            </w:r>
            <w:r>
              <w:rPr>
                <w:rFonts w:hint="eastAsia" w:ascii="宋体" w:hAnsi="宋体" w:cs="宋体"/>
                <w:color w:val="auto"/>
                <w:sz w:val="24"/>
              </w:rPr>
              <w:t>页</w:t>
            </w:r>
          </w:p>
        </w:tc>
      </w:tr>
      <w:tr w14:paraId="3DBC99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5AB050D4">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15FB9CC0">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rPr>
              <w:t>投标</w:t>
            </w:r>
            <w:r>
              <w:rPr>
                <w:rFonts w:hint="eastAsia" w:ascii="宋体" w:hAnsi="宋体" w:cs="宋体"/>
                <w:b w:val="0"/>
                <w:bCs w:val="0"/>
                <w:snapToGrid w:val="0"/>
                <w:color w:val="auto"/>
                <w:sz w:val="24"/>
                <w:highlight w:val="none"/>
                <w:lang w:val="en-US" w:eastAsia="zh-CN"/>
              </w:rPr>
              <w:t>文件的组成应符合招标文件要求</w:t>
            </w:r>
          </w:p>
        </w:tc>
        <w:tc>
          <w:tcPr>
            <w:tcW w:w="2551" w:type="dxa"/>
            <w:vAlign w:val="center"/>
          </w:tcPr>
          <w:p w14:paraId="60ED5500">
            <w:pPr>
              <w:rPr>
                <w:rFonts w:ascii="宋体" w:hAnsi="宋体" w:cs="宋体"/>
                <w:color w:val="auto"/>
                <w:sz w:val="24"/>
                <w:highlight w:val="none"/>
              </w:rPr>
            </w:pPr>
            <w:r>
              <w:rPr>
                <w:rFonts w:hint="eastAsia" w:ascii="宋体" w:hAnsi="宋体" w:cs="宋体"/>
                <w:b w:val="0"/>
                <w:bCs w:val="0"/>
                <w:color w:val="auto"/>
                <w:sz w:val="24"/>
                <w:highlight w:val="none"/>
                <w:lang w:val="en-US" w:eastAsia="zh-CN"/>
              </w:rPr>
              <w:t>投标文件</w:t>
            </w:r>
          </w:p>
        </w:tc>
        <w:tc>
          <w:tcPr>
            <w:tcW w:w="1418" w:type="dxa"/>
            <w:vAlign w:val="top"/>
          </w:tcPr>
          <w:p w14:paraId="56BE4461">
            <w:pPr>
              <w:rPr>
                <w:rFonts w:ascii="宋体" w:hAnsi="宋体" w:cs="宋体"/>
                <w:color w:val="auto"/>
                <w:highlight w:val="none"/>
              </w:rPr>
            </w:pPr>
            <w:r>
              <w:rPr>
                <w:rFonts w:hint="eastAsia" w:ascii="宋体" w:hAnsi="宋体" w:cs="宋体"/>
                <w:b w:val="0"/>
                <w:bCs w:val="0"/>
                <w:color w:val="auto"/>
                <w:sz w:val="24"/>
                <w:highlight w:val="none"/>
                <w:lang w:val="en-US" w:eastAsia="zh-CN"/>
              </w:rPr>
              <w:t>/</w:t>
            </w:r>
          </w:p>
        </w:tc>
      </w:tr>
      <w:tr w14:paraId="50FB38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669C40A5">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0C31C292">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7F04154E">
            <w:pPr>
              <w:rPr>
                <w:rFonts w:hint="eastAsia" w:ascii="宋体" w:hAnsi="宋体" w:cs="宋体"/>
                <w:b w:val="0"/>
                <w:bCs w:val="0"/>
                <w:color w:val="auto"/>
                <w:sz w:val="24"/>
                <w:highlight w:val="none"/>
                <w:lang w:val="en-US" w:eastAsia="zh-CN"/>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5FE73C75">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1FC7B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58E057BF">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5</w:t>
            </w:r>
          </w:p>
        </w:tc>
        <w:tc>
          <w:tcPr>
            <w:tcW w:w="4991" w:type="dxa"/>
            <w:vAlign w:val="top"/>
          </w:tcPr>
          <w:p w14:paraId="7D5C5D55">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555DDC85">
            <w:pPr>
              <w:rPr>
                <w:rFonts w:hint="eastAsia" w:ascii="宋体" w:hAnsi="宋体" w:cs="宋体"/>
                <w:b w:val="0"/>
                <w:bCs w:val="0"/>
                <w:color w:val="auto"/>
                <w:sz w:val="24"/>
                <w:highlight w:val="none"/>
                <w:lang w:val="en-US" w:eastAsia="zh-CN"/>
              </w:rPr>
            </w:pPr>
          </w:p>
        </w:tc>
        <w:tc>
          <w:tcPr>
            <w:tcW w:w="1418" w:type="dxa"/>
            <w:vAlign w:val="top"/>
          </w:tcPr>
          <w:p w14:paraId="0560F78A">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2806E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5318D7C7">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66880328">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792DA5F7">
            <w:pPr>
              <w:rPr>
                <w:rFonts w:hint="eastAsia" w:ascii="宋体" w:hAnsi="宋体" w:cs="宋体"/>
                <w:b w:val="0"/>
                <w:bCs w:val="0"/>
                <w:color w:val="auto"/>
                <w:sz w:val="24"/>
                <w:highlight w:val="none"/>
                <w:lang w:val="en-US" w:eastAsia="zh-CN"/>
              </w:rPr>
            </w:pPr>
          </w:p>
        </w:tc>
        <w:tc>
          <w:tcPr>
            <w:tcW w:w="1418" w:type="dxa"/>
            <w:vAlign w:val="top"/>
          </w:tcPr>
          <w:p w14:paraId="5932771F">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4CCD7C4A">
      <w:pPr>
        <w:spacing w:line="360" w:lineRule="auto"/>
        <w:ind w:right="420"/>
        <w:rPr>
          <w:rFonts w:hint="eastAsia" w:ascii="宋体" w:hAnsi="宋体" w:cs="宋体"/>
          <w:color w:val="auto"/>
          <w:sz w:val="24"/>
        </w:rPr>
      </w:pPr>
      <w:r>
        <w:rPr>
          <w:rFonts w:hint="eastAsia" w:ascii="宋体" w:hAnsi="宋体" w:cs="宋体"/>
          <w:color w:val="auto"/>
          <w:sz w:val="24"/>
        </w:rPr>
        <w:t>注：</w:t>
      </w:r>
      <w:r>
        <w:rPr>
          <w:rFonts w:hint="eastAsia" w:ascii="宋体" w:hAnsi="宋体" w:cs="宋体"/>
          <w:color w:val="auto"/>
          <w:sz w:val="24"/>
          <w:lang w:val="en-US" w:eastAsia="zh-CN"/>
        </w:rPr>
        <w:t>1.</w:t>
      </w:r>
      <w:r>
        <w:rPr>
          <w:rFonts w:hint="eastAsia" w:ascii="宋体" w:hAnsi="宋体" w:cs="宋体"/>
          <w:color w:val="auto"/>
          <w:sz w:val="24"/>
        </w:rPr>
        <w:t>按本格式和要求提供。</w:t>
      </w:r>
    </w:p>
    <w:p w14:paraId="40E67408">
      <w:pPr>
        <w:jc w:val="center"/>
        <w:rPr>
          <w:rFonts w:ascii="宋体" w:hAnsi="宋体" w:cs="宋体"/>
          <w:b/>
          <w:color w:val="auto"/>
          <w:kern w:val="0"/>
          <w:sz w:val="32"/>
          <w:szCs w:val="32"/>
        </w:rPr>
      </w:pPr>
      <w:r>
        <w:rPr>
          <w:rFonts w:hint="eastAsia" w:ascii="宋体" w:hAnsi="宋体" w:cs="宋体"/>
          <w:b/>
          <w:bCs/>
          <w:color w:val="auto"/>
          <w:sz w:val="24"/>
          <w:highlight w:val="none"/>
        </w:rPr>
        <w:t>2、招标文件中实质性要求必须明确响应。</w:t>
      </w:r>
      <w:r>
        <w:rPr>
          <w:rFonts w:hint="eastAsia" w:ascii="宋体" w:hAnsi="宋体" w:cs="宋体"/>
          <w:b/>
          <w:color w:val="auto"/>
          <w:kern w:val="0"/>
          <w:sz w:val="32"/>
          <w:szCs w:val="32"/>
        </w:rPr>
        <w:t xml:space="preserve">            </w:t>
      </w:r>
    </w:p>
    <w:p w14:paraId="4F804C40">
      <w:pPr>
        <w:jc w:val="center"/>
        <w:rPr>
          <w:rFonts w:ascii="宋体" w:hAnsi="宋体" w:cs="宋体"/>
          <w:b/>
          <w:color w:val="auto"/>
          <w:kern w:val="0"/>
          <w:sz w:val="32"/>
          <w:szCs w:val="32"/>
        </w:rPr>
      </w:pPr>
    </w:p>
    <w:p w14:paraId="3AFAE8BC">
      <w:pPr>
        <w:widowControl/>
        <w:adjustRightInd/>
        <w:jc w:val="left"/>
        <w:rPr>
          <w:rFonts w:ascii="宋体" w:hAnsi="宋体" w:cs="宋体"/>
          <w:b/>
          <w:color w:val="auto"/>
          <w:kern w:val="0"/>
          <w:sz w:val="32"/>
          <w:szCs w:val="32"/>
        </w:rPr>
      </w:pPr>
      <w:r>
        <w:rPr>
          <w:rFonts w:ascii="宋体" w:hAnsi="宋体" w:cs="宋体"/>
          <w:b/>
          <w:color w:val="auto"/>
          <w:kern w:val="0"/>
          <w:sz w:val="32"/>
          <w:szCs w:val="32"/>
        </w:rPr>
        <w:br w:type="page"/>
      </w:r>
    </w:p>
    <w:p w14:paraId="3CE8EE04">
      <w:pPr>
        <w:jc w:val="center"/>
        <w:rPr>
          <w:rFonts w:ascii="宋体" w:hAnsi="宋体" w:cs="宋体"/>
          <w:color w:val="auto"/>
        </w:rPr>
      </w:pPr>
      <w:r>
        <w:rPr>
          <w:rFonts w:hint="eastAsia" w:ascii="宋体" w:hAnsi="宋体" w:cs="宋体"/>
          <w:b/>
          <w:color w:val="auto"/>
          <w:kern w:val="0"/>
          <w:sz w:val="32"/>
          <w:szCs w:val="32"/>
        </w:rPr>
        <w:t>五、评标标准相应的商务技术资料</w:t>
      </w:r>
    </w:p>
    <w:p w14:paraId="527F3CBB">
      <w:pPr>
        <w:snapToGrid w:val="0"/>
        <w:spacing w:line="360" w:lineRule="auto"/>
        <w:jc w:val="left"/>
        <w:rPr>
          <w:rFonts w:hint="eastAsia" w:ascii="宋体" w:hAnsi="宋体" w:cs="宋体"/>
          <w:b/>
          <w:color w:val="auto"/>
          <w:sz w:val="24"/>
        </w:rPr>
      </w:pPr>
      <w:r>
        <w:rPr>
          <w:rFonts w:hint="eastAsia" w:ascii="宋体" w:hAnsi="宋体" w:cs="宋体"/>
          <w:b/>
          <w:color w:val="auto"/>
          <w:sz w:val="24"/>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5EA6E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342D97A">
            <w:pPr>
              <w:snapToGrid w:val="0"/>
              <w:spacing w:line="360" w:lineRule="auto"/>
              <w:jc w:val="center"/>
              <w:rPr>
                <w:rFonts w:hint="eastAsia" w:cs="仿宋_GB2312" w:asciiTheme="minorEastAsia" w:hAnsiTheme="minorEastAsia" w:eastAsiaTheme="minorEastAsia"/>
                <w:b w:val="0"/>
                <w:bCs/>
                <w:color w:val="auto"/>
                <w:sz w:val="24"/>
                <w:lang w:val="en-US" w:eastAsia="zh-CN"/>
              </w:rPr>
            </w:pPr>
            <w:r>
              <w:rPr>
                <w:rFonts w:hint="eastAsia" w:cs="仿宋_GB2312" w:asciiTheme="minorEastAsia" w:hAnsiTheme="minorEastAsia" w:eastAsiaTheme="minorEastAsia"/>
                <w:b w:val="0"/>
                <w:bCs/>
                <w:color w:val="auto"/>
                <w:sz w:val="24"/>
                <w:lang w:val="en-US" w:eastAsia="zh-CN"/>
              </w:rPr>
              <w:t>序号</w:t>
            </w:r>
          </w:p>
        </w:tc>
        <w:tc>
          <w:tcPr>
            <w:tcW w:w="5465" w:type="dxa"/>
          </w:tcPr>
          <w:p w14:paraId="7EE08303">
            <w:pPr>
              <w:snapToGrid w:val="0"/>
              <w:spacing w:line="360" w:lineRule="auto"/>
              <w:jc w:val="center"/>
              <w:rPr>
                <w:rFonts w:hint="eastAsia" w:ascii="宋体" w:hAnsi="宋体" w:cs="宋体"/>
                <w:b w:val="0"/>
                <w:bCs/>
                <w:color w:val="auto"/>
                <w:sz w:val="24"/>
                <w:vertAlign w:val="baseline"/>
              </w:rPr>
            </w:pPr>
            <w:r>
              <w:rPr>
                <w:rFonts w:hint="eastAsia" w:cs="仿宋_GB2312" w:asciiTheme="minorEastAsia" w:hAnsiTheme="minorEastAsia" w:eastAsiaTheme="minorEastAsia"/>
                <w:b w:val="0"/>
                <w:bCs/>
                <w:color w:val="auto"/>
                <w:sz w:val="24"/>
              </w:rPr>
              <w:t>投标文件中评标标准相应的商务技术资料目录*</w:t>
            </w:r>
          </w:p>
        </w:tc>
        <w:tc>
          <w:tcPr>
            <w:tcW w:w="3046" w:type="dxa"/>
          </w:tcPr>
          <w:p w14:paraId="53EBFABB">
            <w:pPr>
              <w:snapToGrid w:val="0"/>
              <w:spacing w:line="240" w:lineRule="atLeast"/>
              <w:jc w:val="center"/>
              <w:rPr>
                <w:rFonts w:hint="default" w:ascii="宋体" w:hAnsi="宋体" w:eastAsia="宋体" w:cs="宋体"/>
                <w:b w:val="0"/>
                <w:bCs/>
                <w:color w:val="auto"/>
                <w:sz w:val="24"/>
                <w:vertAlign w:val="baseline"/>
                <w:lang w:val="en-US" w:eastAsia="zh-CN"/>
              </w:rPr>
            </w:pPr>
            <w:r>
              <w:rPr>
                <w:rFonts w:hint="eastAsia" w:ascii="宋体" w:hAnsi="宋体" w:cs="宋体"/>
                <w:b w:val="0"/>
                <w:bCs/>
                <w:color w:val="auto"/>
                <w:sz w:val="24"/>
              </w:rPr>
              <w:t>投标文件中的页码位置</w:t>
            </w:r>
          </w:p>
        </w:tc>
      </w:tr>
      <w:tr w14:paraId="457AF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04FEA9E6">
            <w:pPr>
              <w:snapToGrid w:val="0"/>
              <w:spacing w:line="360" w:lineRule="auto"/>
              <w:jc w:val="center"/>
              <w:rPr>
                <w:rFonts w:hint="eastAsia" w:ascii="宋体" w:hAnsi="宋体" w:eastAsia="宋体" w:cs="宋体"/>
                <w:b w:val="0"/>
                <w:bCs/>
                <w:color w:val="auto"/>
                <w:sz w:val="24"/>
                <w:vertAlign w:val="baseline"/>
                <w:lang w:val="en-US" w:eastAsia="zh-CN"/>
              </w:rPr>
            </w:pPr>
            <w:r>
              <w:rPr>
                <w:rFonts w:hint="eastAsia" w:ascii="宋体" w:hAnsi="宋体" w:cs="宋体"/>
                <w:b w:val="0"/>
                <w:bCs/>
                <w:color w:val="auto"/>
                <w:sz w:val="24"/>
                <w:vertAlign w:val="baseline"/>
                <w:lang w:val="en-US" w:eastAsia="zh-CN"/>
              </w:rPr>
              <w:t>1</w:t>
            </w:r>
          </w:p>
        </w:tc>
        <w:tc>
          <w:tcPr>
            <w:tcW w:w="5465" w:type="dxa"/>
          </w:tcPr>
          <w:p w14:paraId="7007949B">
            <w:pPr>
              <w:snapToGrid w:val="0"/>
              <w:spacing w:line="360" w:lineRule="auto"/>
              <w:jc w:val="center"/>
              <w:rPr>
                <w:rFonts w:hint="eastAsia" w:ascii="宋体" w:hAnsi="宋体" w:eastAsia="宋体" w:cs="宋体"/>
                <w:b w:val="0"/>
                <w:bCs/>
                <w:color w:val="auto"/>
                <w:sz w:val="24"/>
                <w:vertAlign w:val="baseline"/>
                <w:lang w:val="en-US" w:eastAsia="zh-CN"/>
              </w:rPr>
            </w:pPr>
            <w:r>
              <w:rPr>
                <w:rFonts w:hint="eastAsia" w:ascii="宋体" w:hAnsi="宋体" w:cs="宋体"/>
                <w:b w:val="0"/>
                <w:bCs/>
                <w:color w:val="auto"/>
                <w:sz w:val="24"/>
                <w:vertAlign w:val="baseline"/>
                <w:lang w:val="en-US" w:eastAsia="zh-CN"/>
              </w:rPr>
              <w:t>XXX（预先填写）</w:t>
            </w:r>
          </w:p>
        </w:tc>
        <w:tc>
          <w:tcPr>
            <w:tcW w:w="3046" w:type="dxa"/>
          </w:tcPr>
          <w:p w14:paraId="653DA1B1">
            <w:pPr>
              <w:snapToGrid/>
              <w:spacing w:line="240" w:lineRule="auto"/>
              <w:jc w:val="center"/>
              <w:rPr>
                <w:rFonts w:hint="eastAsia" w:ascii="宋体" w:hAnsi="宋体" w:cs="宋体"/>
                <w:b w:val="0"/>
                <w:bCs/>
                <w:color w:val="auto"/>
                <w:sz w:val="24"/>
                <w:vertAlign w:val="baseline"/>
              </w:rPr>
            </w:pPr>
            <w:r>
              <w:rPr>
                <w:rFonts w:hint="eastAsia" w:ascii="宋体" w:hAnsi="宋体" w:cs="宋体"/>
                <w:b w:val="0"/>
                <w:bCs/>
                <w:color w:val="auto"/>
                <w:sz w:val="24"/>
              </w:rPr>
              <w:t>见投标文件第</w:t>
            </w:r>
            <w:r>
              <w:rPr>
                <w:rFonts w:hint="eastAsia" w:ascii="宋体" w:hAnsi="宋体" w:cs="宋体"/>
                <w:b w:val="0"/>
                <w:bCs/>
                <w:color w:val="auto"/>
                <w:sz w:val="24"/>
                <w:u w:val="single"/>
              </w:rPr>
              <w:t xml:space="preserve">  </w:t>
            </w:r>
            <w:r>
              <w:rPr>
                <w:rFonts w:hint="eastAsia" w:ascii="宋体" w:hAnsi="宋体" w:cs="宋体"/>
                <w:b w:val="0"/>
                <w:bCs/>
                <w:color w:val="auto"/>
                <w:sz w:val="24"/>
              </w:rPr>
              <w:t>页</w:t>
            </w:r>
          </w:p>
        </w:tc>
      </w:tr>
      <w:tr w14:paraId="722F7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0BB4F75">
            <w:pPr>
              <w:snapToGrid w:val="0"/>
              <w:spacing w:line="360" w:lineRule="auto"/>
              <w:jc w:val="center"/>
              <w:rPr>
                <w:rFonts w:hint="eastAsia" w:ascii="宋体" w:hAnsi="宋体" w:eastAsia="宋体" w:cs="宋体"/>
                <w:b w:val="0"/>
                <w:bCs/>
                <w:color w:val="auto"/>
                <w:sz w:val="24"/>
                <w:vertAlign w:val="baseline"/>
                <w:lang w:val="en-US" w:eastAsia="zh-CN"/>
              </w:rPr>
            </w:pPr>
            <w:r>
              <w:rPr>
                <w:rFonts w:hint="eastAsia" w:ascii="宋体" w:hAnsi="宋体" w:cs="宋体"/>
                <w:b w:val="0"/>
                <w:bCs/>
                <w:color w:val="auto"/>
                <w:sz w:val="24"/>
                <w:vertAlign w:val="baseline"/>
                <w:lang w:val="en-US" w:eastAsia="zh-CN"/>
              </w:rPr>
              <w:t>2</w:t>
            </w:r>
          </w:p>
        </w:tc>
        <w:tc>
          <w:tcPr>
            <w:tcW w:w="5465" w:type="dxa"/>
          </w:tcPr>
          <w:p w14:paraId="6FC858D8">
            <w:pPr>
              <w:snapToGrid w:val="0"/>
              <w:spacing w:line="360" w:lineRule="auto"/>
              <w:jc w:val="center"/>
              <w:rPr>
                <w:rFonts w:hint="eastAsia" w:ascii="宋体" w:hAnsi="宋体" w:eastAsia="宋体" w:cs="宋体"/>
                <w:b w:val="0"/>
                <w:bCs/>
                <w:color w:val="auto"/>
                <w:sz w:val="24"/>
                <w:vertAlign w:val="baseline"/>
                <w:lang w:val="en-US" w:eastAsia="zh-CN"/>
              </w:rPr>
            </w:pPr>
            <w:r>
              <w:rPr>
                <w:rFonts w:hint="eastAsia" w:ascii="宋体" w:hAnsi="宋体" w:cs="宋体"/>
                <w:b w:val="0"/>
                <w:bCs/>
                <w:color w:val="auto"/>
                <w:sz w:val="24"/>
                <w:vertAlign w:val="baseline"/>
                <w:lang w:val="en-US" w:eastAsia="zh-CN"/>
              </w:rPr>
              <w:t>XXX</w:t>
            </w:r>
          </w:p>
        </w:tc>
        <w:tc>
          <w:tcPr>
            <w:tcW w:w="3046" w:type="dxa"/>
          </w:tcPr>
          <w:p w14:paraId="0057576B">
            <w:pPr>
              <w:snapToGrid/>
              <w:spacing w:line="240" w:lineRule="auto"/>
              <w:jc w:val="center"/>
              <w:rPr>
                <w:rFonts w:hint="eastAsia" w:ascii="宋体" w:hAnsi="宋体" w:cs="宋体"/>
                <w:b w:val="0"/>
                <w:bCs/>
                <w:color w:val="auto"/>
                <w:sz w:val="24"/>
                <w:vertAlign w:val="baseline"/>
              </w:rPr>
            </w:pPr>
            <w:r>
              <w:rPr>
                <w:rFonts w:hint="eastAsia" w:ascii="宋体" w:hAnsi="宋体" w:cs="宋体"/>
                <w:b w:val="0"/>
                <w:bCs/>
                <w:color w:val="auto"/>
                <w:sz w:val="24"/>
              </w:rPr>
              <w:t>见投标文件第</w:t>
            </w:r>
            <w:r>
              <w:rPr>
                <w:rFonts w:hint="eastAsia" w:ascii="宋体" w:hAnsi="宋体" w:cs="宋体"/>
                <w:b w:val="0"/>
                <w:bCs/>
                <w:color w:val="auto"/>
                <w:sz w:val="24"/>
                <w:u w:val="single"/>
              </w:rPr>
              <w:t xml:space="preserve">  </w:t>
            </w:r>
            <w:r>
              <w:rPr>
                <w:rFonts w:hint="eastAsia" w:ascii="宋体" w:hAnsi="宋体" w:cs="宋体"/>
                <w:b w:val="0"/>
                <w:bCs/>
                <w:color w:val="auto"/>
                <w:sz w:val="24"/>
              </w:rPr>
              <w:t>页</w:t>
            </w:r>
          </w:p>
        </w:tc>
      </w:tr>
      <w:tr w14:paraId="23989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1641BECB">
            <w:pPr>
              <w:snapToGrid w:val="0"/>
              <w:spacing w:line="360" w:lineRule="auto"/>
              <w:jc w:val="center"/>
              <w:rPr>
                <w:rFonts w:hint="default" w:ascii="宋体" w:hAnsi="宋体" w:cs="宋体"/>
                <w:b w:val="0"/>
                <w:bCs/>
                <w:color w:val="auto"/>
                <w:sz w:val="24"/>
                <w:vertAlign w:val="baseline"/>
                <w:lang w:val="en-US" w:eastAsia="zh-CN"/>
              </w:rPr>
            </w:pPr>
            <w:r>
              <w:rPr>
                <w:rFonts w:hint="eastAsia" w:ascii="宋体" w:hAnsi="宋体" w:cs="宋体"/>
                <w:color w:val="auto"/>
                <w:kern w:val="0"/>
                <w:sz w:val="24"/>
              </w:rPr>
              <w:t>……</w:t>
            </w:r>
          </w:p>
        </w:tc>
        <w:tc>
          <w:tcPr>
            <w:tcW w:w="5465" w:type="dxa"/>
          </w:tcPr>
          <w:p w14:paraId="09865563">
            <w:pPr>
              <w:snapToGrid w:val="0"/>
              <w:spacing w:line="360" w:lineRule="auto"/>
              <w:jc w:val="center"/>
              <w:rPr>
                <w:rFonts w:hint="eastAsia" w:ascii="宋体" w:hAnsi="宋体" w:cs="宋体"/>
                <w:b w:val="0"/>
                <w:bCs/>
                <w:color w:val="auto"/>
                <w:sz w:val="24"/>
                <w:vertAlign w:val="baseline"/>
              </w:rPr>
            </w:pPr>
          </w:p>
        </w:tc>
        <w:tc>
          <w:tcPr>
            <w:tcW w:w="3046" w:type="dxa"/>
          </w:tcPr>
          <w:p w14:paraId="108F21D2">
            <w:pPr>
              <w:snapToGrid/>
              <w:spacing w:line="240" w:lineRule="auto"/>
              <w:jc w:val="center"/>
              <w:rPr>
                <w:rFonts w:hint="eastAsia" w:ascii="宋体" w:hAnsi="宋体" w:cs="宋体"/>
                <w:b w:val="0"/>
                <w:bCs/>
                <w:color w:val="auto"/>
                <w:sz w:val="24"/>
              </w:rPr>
            </w:pPr>
            <w:r>
              <w:rPr>
                <w:rFonts w:hint="eastAsia" w:ascii="宋体" w:hAnsi="宋体" w:cs="宋体"/>
                <w:b w:val="0"/>
                <w:bCs/>
                <w:color w:val="auto"/>
                <w:sz w:val="24"/>
              </w:rPr>
              <w:t>见投标文件第</w:t>
            </w:r>
            <w:r>
              <w:rPr>
                <w:rFonts w:hint="eastAsia" w:ascii="宋体" w:hAnsi="宋体" w:cs="宋体"/>
                <w:b w:val="0"/>
                <w:bCs/>
                <w:color w:val="auto"/>
                <w:sz w:val="24"/>
                <w:u w:val="single"/>
              </w:rPr>
              <w:t xml:space="preserve">  </w:t>
            </w:r>
            <w:r>
              <w:rPr>
                <w:rFonts w:hint="eastAsia" w:ascii="宋体" w:hAnsi="宋体" w:cs="宋体"/>
                <w:b w:val="0"/>
                <w:bCs/>
                <w:color w:val="auto"/>
                <w:sz w:val="24"/>
              </w:rPr>
              <w:t>页</w:t>
            </w:r>
          </w:p>
        </w:tc>
      </w:tr>
    </w:tbl>
    <w:p w14:paraId="6E8BB6AF">
      <w:pPr>
        <w:pStyle w:val="79"/>
        <w:rPr>
          <w:color w:val="auto"/>
        </w:rPr>
      </w:pPr>
    </w:p>
    <w:p w14:paraId="74E971C6">
      <w:pPr>
        <w:jc w:val="center"/>
        <w:rPr>
          <w:rFonts w:ascii="宋体" w:hAnsi="宋体" w:cs="宋体"/>
          <w:b/>
          <w:color w:val="auto"/>
          <w:kern w:val="0"/>
          <w:sz w:val="32"/>
          <w:szCs w:val="32"/>
        </w:rPr>
      </w:pPr>
    </w:p>
    <w:p w14:paraId="55935F5B">
      <w:pPr>
        <w:jc w:val="center"/>
        <w:rPr>
          <w:rFonts w:ascii="宋体" w:hAnsi="宋体" w:cs="宋体"/>
          <w:b/>
          <w:color w:val="auto"/>
          <w:kern w:val="0"/>
          <w:sz w:val="32"/>
          <w:szCs w:val="32"/>
        </w:rPr>
      </w:pPr>
    </w:p>
    <w:p w14:paraId="0C5E5EA0">
      <w:pPr>
        <w:jc w:val="center"/>
        <w:rPr>
          <w:rFonts w:ascii="宋体" w:hAnsi="宋体" w:cs="宋体"/>
          <w:b/>
          <w:color w:val="auto"/>
          <w:kern w:val="0"/>
          <w:sz w:val="32"/>
          <w:szCs w:val="32"/>
        </w:rPr>
      </w:pPr>
    </w:p>
    <w:p w14:paraId="52EBAE60">
      <w:pPr>
        <w:ind w:firstLine="2891" w:firstLineChars="900"/>
        <w:rPr>
          <w:rFonts w:ascii="宋体" w:hAnsi="宋体" w:cs="宋体"/>
          <w:b/>
          <w:color w:val="auto"/>
          <w:kern w:val="0"/>
          <w:sz w:val="32"/>
          <w:szCs w:val="32"/>
        </w:rPr>
      </w:pPr>
      <w:r>
        <w:rPr>
          <w:rFonts w:hint="eastAsia" w:ascii="宋体" w:hAnsi="宋体" w:cs="宋体"/>
          <w:b/>
          <w:color w:val="auto"/>
          <w:kern w:val="0"/>
          <w:sz w:val="32"/>
          <w:szCs w:val="32"/>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50D4B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EB71542">
            <w:pPr>
              <w:spacing w:line="360" w:lineRule="auto"/>
              <w:jc w:val="center"/>
              <w:rPr>
                <w:rFonts w:ascii="宋体" w:hAnsi="宋体" w:cs="宋体"/>
                <w:b/>
                <w:color w:val="auto"/>
                <w:sz w:val="24"/>
              </w:rPr>
            </w:pPr>
            <w:r>
              <w:rPr>
                <w:rFonts w:hint="eastAsia" w:ascii="宋体" w:hAnsi="宋体" w:cs="宋体"/>
                <w:b/>
                <w:color w:val="auto"/>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15C25160">
            <w:pPr>
              <w:spacing w:line="360" w:lineRule="auto"/>
              <w:jc w:val="center"/>
              <w:rPr>
                <w:rFonts w:ascii="宋体" w:hAnsi="宋体" w:cs="宋体"/>
                <w:b/>
                <w:color w:val="auto"/>
                <w:sz w:val="24"/>
              </w:rPr>
            </w:pPr>
            <w:r>
              <w:rPr>
                <w:rFonts w:hint="eastAsia" w:ascii="宋体" w:hAnsi="宋体" w:cs="宋体"/>
                <w:b/>
                <w:color w:val="auto"/>
                <w:sz w:val="24"/>
              </w:rPr>
              <w:t>名称</w:t>
            </w:r>
          </w:p>
        </w:tc>
        <w:tc>
          <w:tcPr>
            <w:tcW w:w="1114" w:type="dxa"/>
            <w:tcBorders>
              <w:top w:val="single" w:color="auto" w:sz="4" w:space="0"/>
              <w:left w:val="single" w:color="auto" w:sz="4" w:space="0"/>
              <w:bottom w:val="single" w:color="auto" w:sz="4" w:space="0"/>
              <w:right w:val="single" w:color="auto" w:sz="4" w:space="0"/>
            </w:tcBorders>
          </w:tcPr>
          <w:p w14:paraId="0EAB2200">
            <w:pPr>
              <w:spacing w:line="360" w:lineRule="auto"/>
              <w:jc w:val="center"/>
              <w:rPr>
                <w:rFonts w:ascii="宋体" w:hAnsi="宋体" w:cs="宋体"/>
                <w:b/>
                <w:color w:val="auto"/>
                <w:sz w:val="24"/>
              </w:rPr>
            </w:pPr>
          </w:p>
          <w:p w14:paraId="56678F78">
            <w:pPr>
              <w:spacing w:line="360" w:lineRule="auto"/>
              <w:jc w:val="center"/>
              <w:rPr>
                <w:rFonts w:ascii="宋体" w:hAnsi="宋体" w:cs="宋体"/>
                <w:b/>
                <w:color w:val="auto"/>
                <w:sz w:val="24"/>
              </w:rPr>
            </w:pPr>
            <w:r>
              <w:rPr>
                <w:rFonts w:hint="eastAsia" w:ascii="宋体" w:hAnsi="宋体" w:cs="宋体"/>
                <w:b/>
                <w:color w:val="auto"/>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70985271">
            <w:pPr>
              <w:spacing w:line="360" w:lineRule="auto"/>
              <w:jc w:val="center"/>
              <w:rPr>
                <w:rFonts w:ascii="宋体" w:hAnsi="宋体" w:cs="宋体"/>
                <w:b/>
                <w:color w:val="auto"/>
                <w:sz w:val="24"/>
              </w:rPr>
            </w:pPr>
            <w:r>
              <w:rPr>
                <w:rFonts w:hint="eastAsia" w:ascii="宋体" w:hAnsi="宋体" w:cs="宋体"/>
                <w:b/>
                <w:color w:val="auto"/>
                <w:sz w:val="24"/>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4861C2A0">
            <w:pPr>
              <w:spacing w:line="360" w:lineRule="auto"/>
              <w:jc w:val="center"/>
              <w:rPr>
                <w:rFonts w:ascii="宋体" w:hAnsi="宋体" w:cs="宋体"/>
                <w:b/>
                <w:color w:val="auto"/>
                <w:sz w:val="24"/>
              </w:rPr>
            </w:pPr>
            <w:r>
              <w:rPr>
                <w:rFonts w:hint="eastAsia" w:ascii="宋体" w:hAnsi="宋体" w:cs="宋体"/>
                <w:b/>
                <w:color w:val="auto"/>
                <w:sz w:val="24"/>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38E7D860">
            <w:pPr>
              <w:spacing w:line="360" w:lineRule="auto"/>
              <w:jc w:val="center"/>
              <w:rPr>
                <w:rFonts w:ascii="宋体" w:hAnsi="宋体" w:cs="宋体"/>
                <w:b/>
                <w:color w:val="auto"/>
                <w:sz w:val="24"/>
              </w:rPr>
            </w:pPr>
            <w:r>
              <w:rPr>
                <w:rFonts w:hint="eastAsia" w:ascii="宋体" w:hAnsi="宋体" w:cs="宋体"/>
                <w:b/>
                <w:color w:val="auto"/>
                <w:sz w:val="24"/>
              </w:rPr>
              <w:t>备注</w:t>
            </w:r>
          </w:p>
        </w:tc>
      </w:tr>
      <w:tr w14:paraId="2BE7B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1E6CB10">
            <w:pPr>
              <w:spacing w:line="360" w:lineRule="auto"/>
              <w:jc w:val="center"/>
              <w:rPr>
                <w:rFonts w:ascii="宋体" w:hAnsi="宋体" w:cs="宋体"/>
                <w:color w:val="auto"/>
                <w:sz w:val="24"/>
              </w:rPr>
            </w:pPr>
            <w:r>
              <w:rPr>
                <w:rFonts w:hint="eastAsia" w:ascii="宋体" w:hAnsi="宋体" w:cs="宋体"/>
                <w:color w:val="auto"/>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3FE295BD">
            <w:pPr>
              <w:snapToGrid w:val="0"/>
              <w:spacing w:line="360" w:lineRule="auto"/>
              <w:jc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285F997E">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5BBBB25A">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444848EE">
            <w:pPr>
              <w:spacing w:line="360" w:lineRule="auto"/>
              <w:jc w:val="center"/>
              <w:rPr>
                <w:rFonts w:ascii="宋体" w:hAnsi="宋体" w:cs="宋体"/>
                <w:color w:val="auto"/>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69BE5FC9">
            <w:pPr>
              <w:spacing w:line="360" w:lineRule="auto"/>
              <w:jc w:val="center"/>
              <w:rPr>
                <w:rFonts w:ascii="宋体" w:hAnsi="宋体" w:cs="宋体"/>
                <w:color w:val="auto"/>
                <w:sz w:val="24"/>
              </w:rPr>
            </w:pPr>
          </w:p>
        </w:tc>
      </w:tr>
      <w:tr w14:paraId="70272E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165786F">
            <w:pPr>
              <w:spacing w:line="360" w:lineRule="auto"/>
              <w:jc w:val="center"/>
              <w:rPr>
                <w:rFonts w:ascii="宋体" w:hAnsi="宋体" w:cs="宋体"/>
                <w:color w:val="auto"/>
                <w:sz w:val="24"/>
              </w:rPr>
            </w:pPr>
            <w:r>
              <w:rPr>
                <w:rFonts w:hint="eastAsia" w:ascii="宋体" w:hAnsi="宋体" w:cs="宋体"/>
                <w:color w:val="auto"/>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0FA88301">
            <w:pPr>
              <w:snapToGrid w:val="0"/>
              <w:spacing w:line="360" w:lineRule="auto"/>
              <w:jc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46C548AA">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36D7DD0A">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1083343B">
            <w:pPr>
              <w:spacing w:line="360" w:lineRule="auto"/>
              <w:jc w:val="center"/>
              <w:rPr>
                <w:rFonts w:ascii="宋体" w:hAnsi="宋体" w:cs="宋体"/>
                <w:color w:val="auto"/>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3BE751D9">
            <w:pPr>
              <w:spacing w:line="360" w:lineRule="auto"/>
              <w:jc w:val="center"/>
              <w:rPr>
                <w:rFonts w:ascii="宋体" w:hAnsi="宋体" w:cs="宋体"/>
                <w:color w:val="auto"/>
                <w:sz w:val="24"/>
              </w:rPr>
            </w:pPr>
          </w:p>
        </w:tc>
      </w:tr>
      <w:tr w14:paraId="080CB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48CE252">
            <w:pPr>
              <w:spacing w:line="360" w:lineRule="auto"/>
              <w:jc w:val="center"/>
              <w:rPr>
                <w:rFonts w:ascii="宋体" w:hAnsi="宋体" w:cs="宋体"/>
                <w:color w:val="auto"/>
                <w:sz w:val="24"/>
              </w:rPr>
            </w:pPr>
            <w:r>
              <w:rPr>
                <w:rFonts w:hint="eastAsia" w:ascii="宋体" w:hAnsi="宋体" w:cs="宋体"/>
                <w:color w:val="auto"/>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30C9C1A1">
            <w:pPr>
              <w:snapToGrid w:val="0"/>
              <w:spacing w:line="360" w:lineRule="auto"/>
              <w:jc w:val="center"/>
              <w:rPr>
                <w:rFonts w:ascii="宋体" w:hAnsi="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1B7807D8">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315C08BC">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1961CF3D">
            <w:pPr>
              <w:spacing w:line="360" w:lineRule="auto"/>
              <w:jc w:val="center"/>
              <w:rPr>
                <w:rFonts w:ascii="宋体" w:hAnsi="宋体" w:cs="宋体"/>
                <w:color w:val="auto"/>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5CE38B22">
            <w:pPr>
              <w:spacing w:line="360" w:lineRule="auto"/>
              <w:jc w:val="center"/>
              <w:rPr>
                <w:rFonts w:ascii="宋体" w:hAnsi="宋体" w:cs="宋体"/>
                <w:color w:val="auto"/>
                <w:sz w:val="24"/>
              </w:rPr>
            </w:pPr>
          </w:p>
        </w:tc>
      </w:tr>
    </w:tbl>
    <w:p w14:paraId="3A345448">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163A3448">
      <w:pPr>
        <w:jc w:val="center"/>
        <w:rPr>
          <w:rFonts w:ascii="宋体" w:hAnsi="宋体" w:cs="宋体"/>
          <w:b/>
          <w:color w:val="auto"/>
          <w:kern w:val="0"/>
          <w:sz w:val="32"/>
          <w:szCs w:val="32"/>
        </w:rPr>
      </w:pPr>
    </w:p>
    <w:p w14:paraId="2DBE71C5">
      <w:pPr>
        <w:jc w:val="center"/>
        <w:rPr>
          <w:rFonts w:ascii="宋体" w:hAnsi="宋体" w:cs="宋体"/>
          <w:b/>
          <w:color w:val="auto"/>
          <w:kern w:val="0"/>
          <w:sz w:val="32"/>
          <w:szCs w:val="32"/>
        </w:rPr>
      </w:pPr>
    </w:p>
    <w:p w14:paraId="258BBB92">
      <w:pPr>
        <w:jc w:val="center"/>
        <w:rPr>
          <w:rFonts w:hint="eastAsia" w:ascii="宋体" w:hAnsi="宋体" w:cs="宋体"/>
          <w:b/>
          <w:color w:val="auto"/>
          <w:kern w:val="0"/>
          <w:sz w:val="32"/>
          <w:szCs w:val="32"/>
        </w:rPr>
      </w:pPr>
    </w:p>
    <w:p w14:paraId="712D64B0">
      <w:pPr>
        <w:jc w:val="center"/>
        <w:rPr>
          <w:rFonts w:hint="eastAsia" w:ascii="宋体" w:hAnsi="宋体" w:cs="宋体"/>
          <w:b/>
          <w:color w:val="auto"/>
          <w:kern w:val="0"/>
          <w:sz w:val="32"/>
          <w:szCs w:val="32"/>
        </w:rPr>
      </w:pPr>
    </w:p>
    <w:p w14:paraId="3E5D823B">
      <w:pPr>
        <w:jc w:val="center"/>
        <w:rPr>
          <w:rFonts w:hint="eastAsia" w:ascii="宋体" w:hAnsi="宋体" w:cs="宋体"/>
          <w:b/>
          <w:color w:val="auto"/>
          <w:kern w:val="0"/>
          <w:sz w:val="32"/>
          <w:szCs w:val="32"/>
        </w:rPr>
      </w:pPr>
    </w:p>
    <w:p w14:paraId="1650434C">
      <w:pPr>
        <w:jc w:val="center"/>
        <w:rPr>
          <w:rFonts w:hint="eastAsia" w:ascii="宋体" w:hAnsi="宋体" w:cs="宋体"/>
          <w:b/>
          <w:color w:val="auto"/>
          <w:kern w:val="0"/>
          <w:sz w:val="32"/>
          <w:szCs w:val="32"/>
        </w:rPr>
      </w:pPr>
    </w:p>
    <w:p w14:paraId="25EFF08E">
      <w:pPr>
        <w:jc w:val="center"/>
        <w:rPr>
          <w:rFonts w:ascii="宋体" w:hAnsi="宋体" w:cs="宋体"/>
          <w:b/>
          <w:color w:val="auto"/>
          <w:kern w:val="0"/>
          <w:sz w:val="32"/>
          <w:szCs w:val="32"/>
        </w:rPr>
      </w:pPr>
      <w:r>
        <w:rPr>
          <w:rFonts w:hint="eastAsia" w:ascii="宋体" w:hAnsi="宋体" w:cs="宋体"/>
          <w:b/>
          <w:color w:val="auto"/>
          <w:kern w:val="0"/>
          <w:sz w:val="32"/>
          <w:szCs w:val="32"/>
        </w:rPr>
        <w:t>七、商务技术偏离表</w:t>
      </w:r>
    </w:p>
    <w:tbl>
      <w:tblPr>
        <w:tblStyle w:val="63"/>
        <w:tblW w:w="92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gridCol w:w="1088"/>
      </w:tblGrid>
      <w:tr w14:paraId="1C0346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BD24057">
            <w:pPr>
              <w:jc w:val="center"/>
              <w:rPr>
                <w:rFonts w:ascii="宋体" w:hAnsi="宋体" w:cs="宋体"/>
                <w:b/>
                <w:bCs/>
                <w:color w:val="auto"/>
                <w:sz w:val="24"/>
              </w:rPr>
            </w:pPr>
            <w:r>
              <w:rPr>
                <w:rFonts w:hint="eastAsia" w:ascii="宋体" w:hAnsi="宋体" w:cs="宋体"/>
                <w:b/>
                <w:bCs/>
                <w:color w:val="auto"/>
                <w:sz w:val="24"/>
              </w:rPr>
              <w:t>序号</w:t>
            </w:r>
          </w:p>
        </w:tc>
        <w:tc>
          <w:tcPr>
            <w:tcW w:w="3180" w:type="dxa"/>
          </w:tcPr>
          <w:p w14:paraId="241F88A8">
            <w:pPr>
              <w:jc w:val="center"/>
              <w:rPr>
                <w:rFonts w:ascii="宋体" w:hAnsi="宋体" w:cs="宋体"/>
                <w:b/>
                <w:bCs/>
                <w:color w:val="auto"/>
                <w:sz w:val="24"/>
              </w:rPr>
            </w:pPr>
            <w:r>
              <w:rPr>
                <w:rFonts w:hint="eastAsia" w:ascii="宋体" w:hAnsi="宋体" w:cs="宋体"/>
                <w:b/>
                <w:bCs/>
                <w:color w:val="auto"/>
                <w:sz w:val="24"/>
              </w:rPr>
              <w:t>招标文件章节及具体内容</w:t>
            </w:r>
          </w:p>
        </w:tc>
        <w:tc>
          <w:tcPr>
            <w:tcW w:w="3062" w:type="dxa"/>
          </w:tcPr>
          <w:p w14:paraId="239C9AFD">
            <w:pPr>
              <w:jc w:val="center"/>
              <w:rPr>
                <w:rFonts w:ascii="宋体" w:hAnsi="宋体" w:cs="宋体"/>
                <w:b/>
                <w:bCs/>
                <w:color w:val="auto"/>
                <w:sz w:val="24"/>
              </w:rPr>
            </w:pPr>
            <w:r>
              <w:rPr>
                <w:rFonts w:hint="eastAsia" w:ascii="宋体" w:hAnsi="宋体" w:cs="宋体"/>
                <w:b/>
                <w:bCs/>
                <w:color w:val="auto"/>
                <w:sz w:val="24"/>
              </w:rPr>
              <w:t>投标文件章节及具体内容</w:t>
            </w:r>
          </w:p>
        </w:tc>
        <w:tc>
          <w:tcPr>
            <w:tcW w:w="1102" w:type="dxa"/>
          </w:tcPr>
          <w:p w14:paraId="6A2E4141">
            <w:pPr>
              <w:jc w:val="center"/>
              <w:rPr>
                <w:rFonts w:ascii="宋体" w:hAnsi="宋体" w:cs="宋体"/>
                <w:b/>
                <w:bCs/>
                <w:color w:val="auto"/>
                <w:sz w:val="24"/>
              </w:rPr>
            </w:pPr>
            <w:r>
              <w:rPr>
                <w:rFonts w:hint="eastAsia" w:ascii="宋体" w:hAnsi="宋体" w:cs="宋体"/>
                <w:b/>
                <w:bCs/>
                <w:color w:val="auto"/>
                <w:sz w:val="24"/>
              </w:rPr>
              <w:t>偏离说明</w:t>
            </w:r>
          </w:p>
        </w:tc>
        <w:tc>
          <w:tcPr>
            <w:tcW w:w="1088" w:type="dxa"/>
          </w:tcPr>
          <w:p w14:paraId="08D6F4C9">
            <w:pPr>
              <w:jc w:val="center"/>
              <w:rPr>
                <w:rFonts w:hint="eastAsia" w:ascii="宋体" w:hAnsi="宋体" w:eastAsia="宋体" w:cs="宋体"/>
                <w:b/>
                <w:bCs/>
                <w:color w:val="auto"/>
                <w:sz w:val="24"/>
                <w:lang w:eastAsia="zh-CN"/>
              </w:rPr>
            </w:pPr>
          </w:p>
        </w:tc>
      </w:tr>
      <w:tr w14:paraId="70D42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E598485">
            <w:pPr>
              <w:jc w:val="center"/>
              <w:rPr>
                <w:rFonts w:ascii="宋体" w:hAnsi="宋体" w:cs="宋体"/>
                <w:color w:val="auto"/>
                <w:kern w:val="0"/>
                <w:sz w:val="24"/>
              </w:rPr>
            </w:pPr>
            <w:r>
              <w:rPr>
                <w:rFonts w:hint="eastAsia" w:ascii="宋体" w:hAnsi="宋体" w:cs="宋体"/>
                <w:color w:val="auto"/>
                <w:kern w:val="0"/>
                <w:sz w:val="24"/>
              </w:rPr>
              <w:t>1</w:t>
            </w:r>
          </w:p>
        </w:tc>
        <w:tc>
          <w:tcPr>
            <w:tcW w:w="3180" w:type="dxa"/>
          </w:tcPr>
          <w:p w14:paraId="081759E5">
            <w:pPr>
              <w:jc w:val="center"/>
              <w:rPr>
                <w:rFonts w:ascii="宋体" w:hAnsi="宋体" w:cs="宋体"/>
                <w:b/>
                <w:color w:val="auto"/>
                <w:kern w:val="0"/>
                <w:sz w:val="32"/>
                <w:szCs w:val="32"/>
              </w:rPr>
            </w:pPr>
          </w:p>
        </w:tc>
        <w:tc>
          <w:tcPr>
            <w:tcW w:w="3062" w:type="dxa"/>
          </w:tcPr>
          <w:p w14:paraId="79D97989">
            <w:pPr>
              <w:jc w:val="center"/>
              <w:rPr>
                <w:rFonts w:ascii="宋体" w:hAnsi="宋体" w:cs="宋体"/>
                <w:b/>
                <w:color w:val="auto"/>
                <w:kern w:val="0"/>
                <w:sz w:val="32"/>
                <w:szCs w:val="32"/>
              </w:rPr>
            </w:pPr>
          </w:p>
        </w:tc>
        <w:tc>
          <w:tcPr>
            <w:tcW w:w="1102" w:type="dxa"/>
          </w:tcPr>
          <w:p w14:paraId="4C36C987">
            <w:pPr>
              <w:jc w:val="center"/>
              <w:rPr>
                <w:rFonts w:ascii="宋体" w:hAnsi="宋体" w:cs="宋体"/>
                <w:b/>
                <w:color w:val="auto"/>
                <w:kern w:val="0"/>
                <w:sz w:val="32"/>
                <w:szCs w:val="32"/>
              </w:rPr>
            </w:pPr>
          </w:p>
        </w:tc>
        <w:tc>
          <w:tcPr>
            <w:tcW w:w="1088" w:type="dxa"/>
          </w:tcPr>
          <w:p w14:paraId="43FC2C65">
            <w:pPr>
              <w:jc w:val="center"/>
              <w:rPr>
                <w:rFonts w:ascii="宋体" w:hAnsi="宋体" w:cs="宋体"/>
                <w:b/>
                <w:color w:val="auto"/>
                <w:kern w:val="0"/>
                <w:sz w:val="32"/>
                <w:szCs w:val="32"/>
              </w:rPr>
            </w:pPr>
          </w:p>
        </w:tc>
      </w:tr>
      <w:tr w14:paraId="08FA6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493BA62">
            <w:pPr>
              <w:jc w:val="center"/>
              <w:rPr>
                <w:rFonts w:ascii="宋体" w:hAnsi="宋体" w:cs="宋体"/>
                <w:color w:val="auto"/>
                <w:kern w:val="0"/>
                <w:sz w:val="24"/>
              </w:rPr>
            </w:pPr>
            <w:r>
              <w:rPr>
                <w:rFonts w:hint="eastAsia" w:ascii="宋体" w:hAnsi="宋体" w:cs="宋体"/>
                <w:color w:val="auto"/>
                <w:kern w:val="0"/>
                <w:sz w:val="24"/>
              </w:rPr>
              <w:t>2</w:t>
            </w:r>
          </w:p>
        </w:tc>
        <w:tc>
          <w:tcPr>
            <w:tcW w:w="3180" w:type="dxa"/>
          </w:tcPr>
          <w:p w14:paraId="2F8CD057">
            <w:pPr>
              <w:jc w:val="center"/>
              <w:rPr>
                <w:rFonts w:ascii="宋体" w:hAnsi="宋体" w:cs="宋体"/>
                <w:b/>
                <w:color w:val="auto"/>
                <w:kern w:val="0"/>
                <w:sz w:val="32"/>
                <w:szCs w:val="32"/>
              </w:rPr>
            </w:pPr>
          </w:p>
        </w:tc>
        <w:tc>
          <w:tcPr>
            <w:tcW w:w="3062" w:type="dxa"/>
          </w:tcPr>
          <w:p w14:paraId="463E2882">
            <w:pPr>
              <w:jc w:val="center"/>
              <w:rPr>
                <w:rFonts w:ascii="宋体" w:hAnsi="宋体" w:cs="宋体"/>
                <w:b/>
                <w:color w:val="auto"/>
                <w:kern w:val="0"/>
                <w:sz w:val="32"/>
                <w:szCs w:val="32"/>
              </w:rPr>
            </w:pPr>
          </w:p>
        </w:tc>
        <w:tc>
          <w:tcPr>
            <w:tcW w:w="1102" w:type="dxa"/>
          </w:tcPr>
          <w:p w14:paraId="2446B344">
            <w:pPr>
              <w:jc w:val="center"/>
              <w:rPr>
                <w:rFonts w:ascii="宋体" w:hAnsi="宋体" w:cs="宋体"/>
                <w:b/>
                <w:color w:val="auto"/>
                <w:kern w:val="0"/>
                <w:sz w:val="32"/>
                <w:szCs w:val="32"/>
              </w:rPr>
            </w:pPr>
          </w:p>
        </w:tc>
        <w:tc>
          <w:tcPr>
            <w:tcW w:w="1088" w:type="dxa"/>
          </w:tcPr>
          <w:p w14:paraId="7FF1B4AB">
            <w:pPr>
              <w:jc w:val="center"/>
              <w:rPr>
                <w:rFonts w:ascii="宋体" w:hAnsi="宋体" w:cs="宋体"/>
                <w:b/>
                <w:color w:val="auto"/>
                <w:kern w:val="0"/>
                <w:sz w:val="32"/>
                <w:szCs w:val="32"/>
              </w:rPr>
            </w:pPr>
          </w:p>
        </w:tc>
      </w:tr>
      <w:tr w14:paraId="538CE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85AF77D">
            <w:pPr>
              <w:jc w:val="center"/>
              <w:rPr>
                <w:rFonts w:ascii="宋体" w:hAnsi="宋体" w:cs="宋体"/>
                <w:color w:val="auto"/>
                <w:kern w:val="0"/>
                <w:sz w:val="24"/>
              </w:rPr>
            </w:pPr>
            <w:r>
              <w:rPr>
                <w:rFonts w:hint="eastAsia" w:ascii="宋体" w:hAnsi="宋体" w:cs="宋体"/>
                <w:color w:val="auto"/>
                <w:kern w:val="0"/>
                <w:sz w:val="24"/>
              </w:rPr>
              <w:t>……</w:t>
            </w:r>
          </w:p>
        </w:tc>
        <w:tc>
          <w:tcPr>
            <w:tcW w:w="3180" w:type="dxa"/>
          </w:tcPr>
          <w:p w14:paraId="17A80F26">
            <w:pPr>
              <w:jc w:val="center"/>
              <w:rPr>
                <w:rFonts w:ascii="宋体" w:hAnsi="宋体" w:cs="宋体"/>
                <w:b/>
                <w:color w:val="auto"/>
                <w:kern w:val="0"/>
                <w:sz w:val="32"/>
                <w:szCs w:val="32"/>
              </w:rPr>
            </w:pPr>
          </w:p>
        </w:tc>
        <w:tc>
          <w:tcPr>
            <w:tcW w:w="3062" w:type="dxa"/>
          </w:tcPr>
          <w:p w14:paraId="22192063">
            <w:pPr>
              <w:jc w:val="center"/>
              <w:rPr>
                <w:rFonts w:ascii="宋体" w:hAnsi="宋体" w:cs="宋体"/>
                <w:b/>
                <w:color w:val="auto"/>
                <w:kern w:val="0"/>
                <w:sz w:val="32"/>
                <w:szCs w:val="32"/>
              </w:rPr>
            </w:pPr>
          </w:p>
        </w:tc>
        <w:tc>
          <w:tcPr>
            <w:tcW w:w="1102" w:type="dxa"/>
          </w:tcPr>
          <w:p w14:paraId="189DBD05">
            <w:pPr>
              <w:jc w:val="center"/>
              <w:rPr>
                <w:rFonts w:ascii="宋体" w:hAnsi="宋体" w:cs="宋体"/>
                <w:b/>
                <w:color w:val="auto"/>
                <w:kern w:val="0"/>
                <w:sz w:val="32"/>
                <w:szCs w:val="32"/>
              </w:rPr>
            </w:pPr>
          </w:p>
        </w:tc>
        <w:tc>
          <w:tcPr>
            <w:tcW w:w="1088" w:type="dxa"/>
          </w:tcPr>
          <w:p w14:paraId="721FFCC4">
            <w:pPr>
              <w:jc w:val="center"/>
              <w:rPr>
                <w:rFonts w:ascii="宋体" w:hAnsi="宋体" w:cs="宋体"/>
                <w:b/>
                <w:color w:val="auto"/>
                <w:kern w:val="0"/>
                <w:sz w:val="32"/>
                <w:szCs w:val="32"/>
              </w:rPr>
            </w:pPr>
          </w:p>
        </w:tc>
      </w:tr>
    </w:tbl>
    <w:p w14:paraId="1A601912">
      <w:pPr>
        <w:jc w:val="left"/>
        <w:rPr>
          <w:rFonts w:ascii="宋体" w:hAnsi="宋体" w:cs="宋体"/>
          <w:color w:val="auto"/>
          <w:kern w:val="0"/>
          <w:sz w:val="24"/>
        </w:rPr>
      </w:pPr>
      <w:r>
        <w:rPr>
          <w:rFonts w:hint="eastAsia" w:ascii="宋体" w:hAnsi="宋体" w:cs="宋体"/>
          <w:color w:val="auto"/>
          <w:kern w:val="0"/>
          <w:sz w:val="24"/>
        </w:rPr>
        <w:t>投标人保证：除商务技术偏离表列出的偏离外，投标人响应招标文件的全部要求</w:t>
      </w:r>
    </w:p>
    <w:p w14:paraId="5EC10C21">
      <w:pPr>
        <w:jc w:val="center"/>
        <w:rPr>
          <w:rFonts w:ascii="宋体" w:hAnsi="宋体" w:cs="宋体"/>
          <w:b/>
          <w:color w:val="auto"/>
          <w:kern w:val="0"/>
          <w:sz w:val="32"/>
          <w:szCs w:val="32"/>
        </w:rPr>
      </w:pPr>
    </w:p>
    <w:p w14:paraId="7107F950">
      <w:pPr>
        <w:spacing w:line="360" w:lineRule="auto"/>
        <w:ind w:right="420"/>
        <w:rPr>
          <w:rFonts w:hint="eastAsia" w:ascii="宋体" w:hAnsi="宋体" w:cs="宋体"/>
          <w:color w:val="auto"/>
          <w:sz w:val="24"/>
        </w:rPr>
      </w:pPr>
      <w:r>
        <w:rPr>
          <w:rFonts w:hint="eastAsia" w:ascii="宋体" w:hAnsi="宋体" w:cs="宋体"/>
          <w:color w:val="auto"/>
          <w:sz w:val="24"/>
        </w:rPr>
        <w:t>注：</w:t>
      </w:r>
      <w:r>
        <w:rPr>
          <w:rFonts w:hint="eastAsia" w:ascii="宋体" w:hAnsi="宋体" w:cs="宋体"/>
          <w:color w:val="auto"/>
          <w:sz w:val="24"/>
          <w:lang w:val="en-US" w:eastAsia="zh-CN"/>
        </w:rPr>
        <w:t>1.</w:t>
      </w:r>
      <w:r>
        <w:rPr>
          <w:rFonts w:hint="eastAsia" w:ascii="宋体" w:hAnsi="宋体" w:cs="宋体"/>
          <w:color w:val="auto"/>
          <w:sz w:val="24"/>
        </w:rPr>
        <w:t>按本格式和要求提供。</w:t>
      </w:r>
    </w:p>
    <w:p w14:paraId="060CF583">
      <w:pPr>
        <w:pStyle w:val="79"/>
        <w:rPr>
          <w:rFonts w:hint="eastAsia"/>
          <w:color w:val="auto"/>
          <w:lang w:val="en-US" w:eastAsia="zh-CN"/>
        </w:rPr>
      </w:pPr>
      <w:r>
        <w:rPr>
          <w:rFonts w:hint="eastAsia"/>
          <w:color w:val="auto"/>
          <w:lang w:val="en-US" w:eastAsia="zh-CN"/>
        </w:rPr>
        <w:t>2.本表格所反映的偏离情况与“符合性审查资料”、“评标标准相应的商务技术资料”不一致的，以“符合性审查资料”、“评标标准相应的商务技术资料”为准。</w:t>
      </w:r>
    </w:p>
    <w:p w14:paraId="3C96B598">
      <w:pPr>
        <w:pStyle w:val="79"/>
        <w:rPr>
          <w:rFonts w:hint="eastAsia" w:eastAsia="华文楷体"/>
          <w:color w:val="auto"/>
          <w:lang w:val="en-US" w:eastAsia="zh-CN"/>
        </w:rPr>
      </w:pPr>
      <w:r>
        <w:rPr>
          <w:rFonts w:hint="eastAsia"/>
          <w:color w:val="auto"/>
          <w:lang w:val="en-US" w:eastAsia="zh-CN"/>
        </w:rPr>
        <w:t>3.</w:t>
      </w:r>
      <w:r>
        <w:rPr>
          <w:rFonts w:hint="eastAsia" w:eastAsia="华文楷体"/>
          <w:color w:val="auto"/>
          <w:lang w:val="en-US" w:eastAsia="zh-CN"/>
        </w:rPr>
        <w:t>投标人须保证：除商务技术偏离表列出的偏离外，投标人响应招标文件的全部非实质性要求。</w:t>
      </w:r>
    </w:p>
    <w:p w14:paraId="2C5E03BA">
      <w:pPr>
        <w:pStyle w:val="79"/>
        <w:rPr>
          <w:rFonts w:hint="eastAsia" w:eastAsia="华文楷体"/>
          <w:color w:val="auto"/>
          <w:lang w:val="en-US" w:eastAsia="zh-CN"/>
        </w:rPr>
      </w:pPr>
    </w:p>
    <w:p w14:paraId="06383D05">
      <w:pPr>
        <w:ind w:firstLine="1911" w:firstLineChars="595"/>
        <w:rPr>
          <w:rFonts w:ascii="宋体" w:hAnsi="宋体" w:cs="宋体"/>
          <w:b/>
          <w:bCs/>
          <w:color w:val="auto"/>
          <w:sz w:val="32"/>
          <w:szCs w:val="32"/>
        </w:rPr>
      </w:pPr>
    </w:p>
    <w:p w14:paraId="5BE76D86">
      <w:pPr>
        <w:ind w:firstLine="1911" w:firstLineChars="595"/>
        <w:rPr>
          <w:rFonts w:ascii="宋体" w:hAnsi="宋体" w:cs="宋体"/>
          <w:b/>
          <w:bCs/>
          <w:color w:val="auto"/>
          <w:sz w:val="32"/>
          <w:szCs w:val="32"/>
        </w:rPr>
      </w:pPr>
    </w:p>
    <w:p w14:paraId="27634731">
      <w:pPr>
        <w:ind w:firstLine="1911" w:firstLineChars="595"/>
        <w:rPr>
          <w:rFonts w:ascii="宋体" w:hAnsi="宋体" w:cs="宋体"/>
          <w:b/>
          <w:bCs/>
          <w:color w:val="auto"/>
          <w:sz w:val="32"/>
          <w:szCs w:val="32"/>
        </w:rPr>
      </w:pPr>
    </w:p>
    <w:p w14:paraId="594E5E8C">
      <w:pPr>
        <w:ind w:firstLine="1911" w:firstLineChars="595"/>
        <w:rPr>
          <w:rFonts w:ascii="宋体" w:hAnsi="宋体" w:cs="宋体"/>
          <w:b/>
          <w:bCs/>
          <w:color w:val="auto"/>
          <w:sz w:val="32"/>
          <w:szCs w:val="32"/>
        </w:rPr>
      </w:pPr>
    </w:p>
    <w:p w14:paraId="2DD018AB">
      <w:pPr>
        <w:ind w:firstLine="1911" w:firstLineChars="595"/>
        <w:rPr>
          <w:rFonts w:ascii="宋体" w:hAnsi="宋体" w:cs="宋体"/>
          <w:b/>
          <w:bCs/>
          <w:color w:val="auto"/>
          <w:sz w:val="32"/>
          <w:szCs w:val="32"/>
        </w:rPr>
      </w:pPr>
    </w:p>
    <w:p w14:paraId="5F1C2816">
      <w:pPr>
        <w:widowControl/>
        <w:adjustRightInd/>
        <w:jc w:val="left"/>
        <w:rPr>
          <w:rFonts w:ascii="宋体" w:hAnsi="宋体" w:cs="宋体"/>
          <w:b/>
          <w:bCs/>
          <w:color w:val="auto"/>
          <w:sz w:val="32"/>
          <w:szCs w:val="32"/>
        </w:rPr>
      </w:pPr>
      <w:r>
        <w:rPr>
          <w:rFonts w:ascii="宋体" w:hAnsi="宋体" w:cs="宋体"/>
          <w:b/>
          <w:bCs/>
          <w:color w:val="auto"/>
          <w:sz w:val="32"/>
          <w:szCs w:val="32"/>
        </w:rPr>
        <w:br w:type="page"/>
      </w:r>
    </w:p>
    <w:p w14:paraId="51CB25CC">
      <w:pPr>
        <w:ind w:firstLine="1911" w:firstLineChars="595"/>
        <w:rPr>
          <w:rFonts w:ascii="宋体" w:hAnsi="宋体" w:cs="宋体"/>
          <w:b/>
          <w:color w:val="auto"/>
          <w:kern w:val="0"/>
          <w:sz w:val="32"/>
          <w:szCs w:val="32"/>
        </w:rPr>
      </w:pPr>
      <w:r>
        <w:rPr>
          <w:rFonts w:hint="eastAsia" w:ascii="宋体" w:hAnsi="宋体" w:cs="宋体"/>
          <w:b/>
          <w:bCs/>
          <w:color w:val="auto"/>
          <w:sz w:val="32"/>
          <w:szCs w:val="32"/>
        </w:rPr>
        <w:t>八</w:t>
      </w:r>
      <w:r>
        <w:rPr>
          <w:rFonts w:hint="eastAsia" w:ascii="宋体" w:hAnsi="宋体" w:cs="宋体"/>
          <w:b/>
          <w:color w:val="auto"/>
          <w:kern w:val="0"/>
          <w:sz w:val="32"/>
          <w:szCs w:val="32"/>
        </w:rPr>
        <w:t>、</w:t>
      </w:r>
      <w:r>
        <w:rPr>
          <w:rFonts w:hint="eastAsia" w:ascii="宋体" w:hAnsi="宋体" w:cs="宋体"/>
          <w:b/>
          <w:color w:val="auto"/>
          <w:kern w:val="0"/>
          <w:sz w:val="32"/>
          <w:szCs w:val="32"/>
          <w:lang w:val="zh-CN"/>
        </w:rPr>
        <w:t>政府采购供应商廉洁自律承诺书</w:t>
      </w:r>
    </w:p>
    <w:p w14:paraId="35390783">
      <w:pPr>
        <w:snapToGrid w:val="0"/>
        <w:spacing w:line="360" w:lineRule="auto"/>
        <w:rPr>
          <w:rFonts w:ascii="宋体" w:hAnsi="宋体" w:cs="宋体"/>
          <w:color w:val="auto"/>
          <w:sz w:val="24"/>
        </w:rPr>
      </w:pPr>
    </w:p>
    <w:p w14:paraId="7AC46E23">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31E1E961">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我单位响应你</w:t>
      </w:r>
      <w:r>
        <w:rPr>
          <w:rFonts w:hint="eastAsia" w:ascii="宋体" w:hAnsi="宋体" w:cs="宋体"/>
          <w:color w:val="auto"/>
          <w:sz w:val="24"/>
        </w:rPr>
        <w:t>单位</w:t>
      </w:r>
      <w:r>
        <w:rPr>
          <w:rFonts w:hint="eastAsia" w:ascii="宋体" w:hAnsi="宋体" w:cs="宋体"/>
          <w:color w:val="auto"/>
          <w:kern w:val="0"/>
          <w:sz w:val="24"/>
          <w:lang w:val="zh-CN"/>
        </w:rPr>
        <w:t>项目招标要求参加投标。在这次投标过程中和中标后，我们将严格遵守国家法律法规要求，并郑重承诺：</w:t>
      </w:r>
    </w:p>
    <w:p w14:paraId="474299A4">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一、不向项目有关人员及部门赠送礼金礼物、有价证券、回扣以及中介费、介绍费、咨询费等好处费； </w:t>
      </w:r>
    </w:p>
    <w:p w14:paraId="31CC3420">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二、不为项目有关人员及部门报销应由你方单位或个人支付的费用； </w:t>
      </w:r>
    </w:p>
    <w:p w14:paraId="48498E99">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三、不向项目有关人员及部门提供有可能影响公正的宴请和健身娱乐等活动； </w:t>
      </w:r>
    </w:p>
    <w:p w14:paraId="6D600FD6">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四、不为项目有关人员及部门出国（境）、旅游等提供方便；</w:t>
      </w:r>
    </w:p>
    <w:p w14:paraId="1EB9BC72">
      <w:pPr>
        <w:autoSpaceDE w:val="0"/>
        <w:autoSpaceDN w:val="0"/>
        <w:spacing w:line="360" w:lineRule="auto"/>
        <w:ind w:left="481" w:leftChars="229"/>
        <w:jc w:val="left"/>
        <w:rPr>
          <w:rFonts w:ascii="宋体" w:hAnsi="宋体" w:cs="宋体"/>
          <w:color w:val="auto"/>
          <w:kern w:val="0"/>
          <w:sz w:val="24"/>
          <w:lang w:val="zh-CN"/>
        </w:rPr>
      </w:pPr>
      <w:r>
        <w:rPr>
          <w:rFonts w:hint="eastAsia" w:ascii="宋体" w:hAnsi="宋体" w:cs="宋体"/>
          <w:color w:val="auto"/>
          <w:kern w:val="0"/>
          <w:sz w:val="24"/>
          <w:lang w:val="zh-CN"/>
        </w:rPr>
        <w:t>五、不为项目有关人员个人装修住房、婚丧嫁娶、配偶子女工作安排等提供</w:t>
      </w:r>
    </w:p>
    <w:p w14:paraId="2BCB63B9">
      <w:pPr>
        <w:autoSpaceDE w:val="0"/>
        <w:autoSpaceDN w:val="0"/>
        <w:spacing w:line="360" w:lineRule="auto"/>
        <w:jc w:val="left"/>
        <w:rPr>
          <w:rFonts w:ascii="宋体" w:hAnsi="宋体" w:cs="宋体"/>
          <w:color w:val="auto"/>
          <w:kern w:val="0"/>
          <w:sz w:val="24"/>
          <w:lang w:val="zh-CN"/>
        </w:rPr>
      </w:pPr>
      <w:r>
        <w:rPr>
          <w:rFonts w:hint="eastAsia" w:ascii="宋体" w:hAnsi="宋体" w:cs="宋体"/>
          <w:color w:val="auto"/>
          <w:kern w:val="0"/>
          <w:sz w:val="24"/>
          <w:lang w:val="zh-CN"/>
        </w:rPr>
        <w:t>好处；</w:t>
      </w:r>
    </w:p>
    <w:p w14:paraId="1B1F4046">
      <w:pPr>
        <w:autoSpaceDE w:val="0"/>
        <w:autoSpaceDN w:val="0"/>
        <w:spacing w:line="360" w:lineRule="auto"/>
        <w:ind w:left="481" w:leftChars="229"/>
        <w:jc w:val="left"/>
        <w:rPr>
          <w:rFonts w:ascii="宋体" w:hAnsi="宋体" w:cs="宋体"/>
          <w:color w:val="auto"/>
          <w:kern w:val="0"/>
          <w:sz w:val="24"/>
          <w:lang w:val="zh-CN"/>
        </w:rPr>
      </w:pPr>
      <w:r>
        <w:rPr>
          <w:rFonts w:hint="eastAsia" w:ascii="宋体" w:hAnsi="宋体" w:cs="宋体"/>
          <w:color w:val="auto"/>
          <w:kern w:val="0"/>
          <w:sz w:val="24"/>
          <w:lang w:val="zh-CN"/>
        </w:rPr>
        <w:t>六、严格遵守《</w:t>
      </w:r>
      <w:r>
        <w:rPr>
          <w:rFonts w:hint="eastAsia" w:ascii="宋体" w:hAnsi="宋体" w:cs="宋体"/>
          <w:color w:val="auto"/>
          <w:sz w:val="24"/>
          <w:lang w:val="zh-CN"/>
        </w:rPr>
        <w:t>中华人民共和国</w:t>
      </w:r>
      <w:r>
        <w:rPr>
          <w:rFonts w:hint="eastAsia" w:ascii="宋体" w:hAnsi="宋体" w:cs="宋体"/>
          <w:color w:val="auto"/>
          <w:kern w:val="0"/>
          <w:sz w:val="24"/>
          <w:lang w:val="zh-CN"/>
        </w:rPr>
        <w:t>政府采购法》《</w:t>
      </w:r>
      <w:r>
        <w:rPr>
          <w:rFonts w:hint="eastAsia" w:ascii="宋体" w:hAnsi="宋体" w:cs="宋体"/>
          <w:color w:val="auto"/>
          <w:sz w:val="24"/>
          <w:lang w:val="zh-CN"/>
        </w:rPr>
        <w:t>中华人民共和国</w:t>
      </w:r>
      <w:r>
        <w:rPr>
          <w:rFonts w:hint="eastAsia" w:ascii="宋体" w:hAnsi="宋体" w:cs="宋体"/>
          <w:color w:val="auto"/>
          <w:kern w:val="0"/>
          <w:sz w:val="24"/>
          <w:lang w:val="zh-CN"/>
        </w:rPr>
        <w:t>招标投标</w:t>
      </w:r>
    </w:p>
    <w:p w14:paraId="098E1452">
      <w:pPr>
        <w:autoSpaceDE w:val="0"/>
        <w:autoSpaceDN w:val="0"/>
        <w:spacing w:line="360" w:lineRule="auto"/>
        <w:jc w:val="left"/>
        <w:rPr>
          <w:rFonts w:ascii="宋体" w:hAnsi="宋体" w:cs="宋体"/>
          <w:color w:val="auto"/>
          <w:kern w:val="0"/>
          <w:sz w:val="24"/>
          <w:lang w:val="zh-CN"/>
        </w:rPr>
      </w:pPr>
      <w:r>
        <w:rPr>
          <w:rFonts w:hint="eastAsia" w:ascii="宋体" w:hAnsi="宋体" w:cs="宋体"/>
          <w:color w:val="auto"/>
          <w:kern w:val="0"/>
          <w:sz w:val="24"/>
          <w:lang w:val="zh-CN"/>
        </w:rPr>
        <w:t>法》</w:t>
      </w:r>
      <w:r>
        <w:rPr>
          <w:rFonts w:hint="eastAsia" w:ascii="宋体" w:hAnsi="宋体" w:cs="宋体"/>
          <w:color w:val="auto"/>
          <w:sz w:val="24"/>
          <w:lang w:val="zh-CN"/>
        </w:rPr>
        <w:t>《中华人民共和国民法典》</w:t>
      </w:r>
      <w:r>
        <w:rPr>
          <w:rFonts w:hint="eastAsia" w:ascii="宋体" w:hAnsi="宋体" w:cs="宋体"/>
          <w:color w:val="auto"/>
          <w:kern w:val="0"/>
          <w:sz w:val="24"/>
          <w:lang w:val="zh-CN"/>
        </w:rPr>
        <w:t xml:space="preserve">等法律法规，诚实守信，合法经营，坚决抵制各种违法违纪行为。 </w:t>
      </w:r>
    </w:p>
    <w:p w14:paraId="6A97ADE9">
      <w:pPr>
        <w:autoSpaceDE w:val="0"/>
        <w:autoSpaceDN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如违反上述承诺，你</w:t>
      </w:r>
      <w:r>
        <w:rPr>
          <w:rFonts w:hint="eastAsia" w:ascii="宋体" w:hAnsi="宋体" w:cs="宋体"/>
          <w:color w:val="auto"/>
          <w:sz w:val="24"/>
        </w:rPr>
        <w:t>单位</w:t>
      </w:r>
      <w:r>
        <w:rPr>
          <w:rFonts w:hint="eastAsia" w:ascii="宋体" w:hAnsi="宋体" w:cs="宋体"/>
          <w:color w:val="auto"/>
          <w:kern w:val="0"/>
          <w:sz w:val="24"/>
          <w:lang w:val="zh-CN"/>
        </w:rPr>
        <w:t>有权立即取消我单位投标、中标或在建项目的建设资格，有权拒绝我单位在一定时期内进入你</w:t>
      </w:r>
      <w:r>
        <w:rPr>
          <w:rFonts w:hint="eastAsia" w:ascii="宋体" w:hAnsi="宋体" w:cs="宋体"/>
          <w:color w:val="auto"/>
          <w:sz w:val="24"/>
        </w:rPr>
        <w:t>单位</w:t>
      </w:r>
      <w:r>
        <w:rPr>
          <w:rFonts w:hint="eastAsia" w:ascii="宋体" w:hAnsi="宋体" w:cs="宋体"/>
          <w:color w:val="auto"/>
          <w:kern w:val="0"/>
          <w:sz w:val="24"/>
          <w:lang w:val="zh-CN"/>
        </w:rPr>
        <w:t>进行项目建设或其他经营活动，并通报市财政局。由此引起的相应损失均由我单位承担。</w:t>
      </w:r>
    </w:p>
    <w:p w14:paraId="6242424C">
      <w:pPr>
        <w:autoSpaceDE w:val="0"/>
        <w:autoSpaceDN w:val="0"/>
        <w:spacing w:line="360" w:lineRule="auto"/>
        <w:ind w:left="2"/>
        <w:jc w:val="left"/>
        <w:rPr>
          <w:rFonts w:ascii="宋体" w:hAnsi="宋体" w:cs="宋体"/>
          <w:color w:val="auto"/>
          <w:kern w:val="0"/>
          <w:sz w:val="24"/>
          <w:lang w:val="zh-CN"/>
        </w:rPr>
      </w:pPr>
    </w:p>
    <w:p w14:paraId="5FBC6516">
      <w:pPr>
        <w:autoSpaceDE w:val="0"/>
        <w:autoSpaceDN w:val="0"/>
        <w:spacing w:line="360" w:lineRule="auto"/>
        <w:ind w:left="2"/>
        <w:jc w:val="left"/>
        <w:rPr>
          <w:rFonts w:ascii="宋体" w:hAnsi="宋体" w:cs="宋体"/>
          <w:color w:val="auto"/>
          <w:kern w:val="0"/>
          <w:sz w:val="24"/>
          <w:lang w:val="zh-CN"/>
        </w:rPr>
      </w:pPr>
    </w:p>
    <w:p w14:paraId="299B5871">
      <w:pPr>
        <w:autoSpaceDE w:val="0"/>
        <w:autoSpaceDN w:val="0"/>
        <w:spacing w:line="360" w:lineRule="auto"/>
        <w:ind w:left="2"/>
        <w:jc w:val="left"/>
        <w:rPr>
          <w:rFonts w:ascii="宋体" w:hAnsi="宋体" w:cs="宋体"/>
          <w:color w:val="auto"/>
          <w:kern w:val="0"/>
          <w:sz w:val="24"/>
          <w:lang w:val="zh-CN"/>
        </w:rPr>
      </w:pPr>
    </w:p>
    <w:p w14:paraId="006EA802">
      <w:pPr>
        <w:autoSpaceDE w:val="0"/>
        <w:autoSpaceDN w:val="0"/>
        <w:spacing w:line="360" w:lineRule="auto"/>
        <w:ind w:left="2" w:leftChars="1" w:right="1120" w:firstLine="4560" w:firstLineChars="1900"/>
        <w:jc w:val="left"/>
        <w:rPr>
          <w:rFonts w:ascii="宋体" w:hAnsi="宋体" w:cs="宋体"/>
          <w:color w:val="auto"/>
          <w:kern w:val="0"/>
          <w:sz w:val="24"/>
          <w:lang w:val="zh-CN"/>
        </w:rPr>
      </w:pPr>
      <w:r>
        <w:rPr>
          <w:rFonts w:hint="eastAsia" w:ascii="宋体" w:hAnsi="宋体" w:cs="宋体"/>
          <w:color w:val="auto"/>
          <w:kern w:val="0"/>
          <w:sz w:val="24"/>
          <w:lang w:val="zh-CN"/>
        </w:rPr>
        <w:t>投标人名称（</w:t>
      </w:r>
      <w:r>
        <w:rPr>
          <w:rFonts w:hint="eastAsia" w:ascii="宋体" w:hAnsi="宋体" w:cs="宋体"/>
          <w:color w:val="auto"/>
          <w:sz w:val="24"/>
        </w:rPr>
        <w:t>电子签名</w:t>
      </w:r>
      <w:r>
        <w:rPr>
          <w:rFonts w:hint="eastAsia" w:ascii="宋体" w:hAnsi="宋体" w:cs="宋体"/>
          <w:color w:val="auto"/>
          <w:kern w:val="0"/>
          <w:sz w:val="24"/>
          <w:lang w:val="zh-CN"/>
        </w:rPr>
        <w:t xml:space="preserve">）：                                                                                                                                                                                                               </w:t>
      </w:r>
    </w:p>
    <w:p w14:paraId="6C25B6AB">
      <w:pPr>
        <w:spacing w:line="360" w:lineRule="auto"/>
        <w:ind w:left="4620" w:leftChars="2200"/>
        <w:rPr>
          <w:rFonts w:ascii="宋体" w:hAnsi="宋体" w:cs="宋体"/>
          <w:color w:val="auto"/>
          <w:sz w:val="24"/>
        </w:rPr>
      </w:pPr>
      <w:r>
        <w:rPr>
          <w:rFonts w:hint="eastAsia" w:ascii="宋体" w:hAnsi="宋体" w:cs="宋体"/>
          <w:color w:val="auto"/>
          <w:kern w:val="0"/>
          <w:sz w:val="24"/>
          <w:lang w:val="zh-CN"/>
        </w:rPr>
        <w:t>日期</w:t>
      </w:r>
      <w:r>
        <w:rPr>
          <w:rFonts w:hint="eastAsia" w:ascii="宋体" w:hAnsi="宋体" w:cs="宋体"/>
          <w:color w:val="auto"/>
          <w:kern w:val="0"/>
          <w:sz w:val="24"/>
        </w:rPr>
        <w:t>：</w:t>
      </w:r>
      <w:r>
        <w:rPr>
          <w:rFonts w:hint="eastAsia" w:ascii="宋体" w:hAnsi="宋体" w:cs="宋体"/>
          <w:color w:val="auto"/>
          <w:kern w:val="0"/>
          <w:sz w:val="24"/>
          <w:lang w:val="zh-CN"/>
        </w:rPr>
        <w:t xml:space="preserve">   年   月   日</w:t>
      </w:r>
    </w:p>
    <w:p w14:paraId="71ABB62A">
      <w:pPr>
        <w:spacing w:line="360" w:lineRule="auto"/>
        <w:jc w:val="center"/>
        <w:rPr>
          <w:rFonts w:ascii="宋体" w:hAnsi="宋体" w:cs="宋体"/>
          <w:b/>
          <w:bCs/>
          <w:color w:val="auto"/>
          <w:sz w:val="24"/>
        </w:rPr>
      </w:pPr>
    </w:p>
    <w:p w14:paraId="6E9CE67E">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235017B2">
      <w:pPr>
        <w:spacing w:line="360" w:lineRule="auto"/>
        <w:jc w:val="center"/>
        <w:rPr>
          <w:rFonts w:ascii="宋体" w:hAnsi="宋体" w:cs="宋体"/>
          <w:b/>
          <w:bCs/>
          <w:color w:val="auto"/>
          <w:sz w:val="24"/>
        </w:rPr>
        <w:sectPr>
          <w:headerReference r:id="rId15" w:type="first"/>
          <w:footerReference r:id="rId17" w:type="first"/>
          <w:headerReference r:id="rId14" w:type="default"/>
          <w:footerReference r:id="rId16" w:type="default"/>
          <w:pgSz w:w="11906" w:h="16838"/>
          <w:pgMar w:top="1440" w:right="1803" w:bottom="1440" w:left="1803" w:header="851" w:footer="992" w:gutter="0"/>
          <w:cols w:space="0" w:num="1"/>
          <w:rtlGutter w:val="0"/>
          <w:docGrid w:type="lines" w:linePitch="319" w:charSpace="0"/>
        </w:sectPr>
      </w:pPr>
    </w:p>
    <w:p w14:paraId="25561A2B">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报价文件部分</w:t>
      </w:r>
    </w:p>
    <w:p w14:paraId="04FFC90F">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目录</w:t>
      </w:r>
    </w:p>
    <w:p w14:paraId="71A88F2C">
      <w:pPr>
        <w:spacing w:line="360" w:lineRule="auto"/>
        <w:jc w:val="center"/>
        <w:outlineLvl w:val="0"/>
        <w:rPr>
          <w:rFonts w:ascii="宋体" w:hAnsi="宋体" w:cs="宋体"/>
          <w:b/>
          <w:color w:val="auto"/>
          <w:kern w:val="0"/>
          <w:sz w:val="36"/>
          <w:szCs w:val="36"/>
        </w:rPr>
      </w:pPr>
    </w:p>
    <w:p w14:paraId="3E02BAD5">
      <w:pPr>
        <w:numPr>
          <w:ilvl w:val="0"/>
          <w:numId w:val="11"/>
        </w:numPr>
        <w:snapToGrid w:val="0"/>
        <w:spacing w:line="360" w:lineRule="auto"/>
        <w:rPr>
          <w:rFonts w:hint="eastAsia" w:ascii="宋体" w:hAnsi="宋体" w:cs="宋体"/>
          <w:color w:val="auto"/>
          <w:sz w:val="24"/>
        </w:rPr>
      </w:pPr>
      <w:r>
        <w:rPr>
          <w:rFonts w:hint="eastAsia" w:ascii="宋体" w:hAnsi="宋体" w:cs="宋体"/>
          <w:color w:val="auto"/>
          <w:sz w:val="24"/>
        </w:rPr>
        <w:t>开标一览表（报价表）…………………………………………………（页码）</w:t>
      </w:r>
    </w:p>
    <w:p w14:paraId="563CF986">
      <w:pPr>
        <w:snapToGrid w:val="0"/>
        <w:spacing w:line="360" w:lineRule="auto"/>
        <w:rPr>
          <w:color w:val="auto"/>
        </w:rPr>
      </w:pPr>
      <w:r>
        <w:rPr>
          <w:rFonts w:hint="eastAsia" w:ascii="宋体" w:hAnsi="宋体" w:cs="宋体"/>
          <w:color w:val="auto"/>
          <w:sz w:val="24"/>
        </w:rPr>
        <w:t>（</w:t>
      </w:r>
      <w:r>
        <w:rPr>
          <w:rFonts w:hint="eastAsia" w:ascii="宋体" w:hAnsi="宋体" w:cs="宋体"/>
          <w:color w:val="auto"/>
          <w:sz w:val="24"/>
          <w:szCs w:val="24"/>
          <w:lang w:val="en-US" w:eastAsia="zh-CN"/>
        </w:rPr>
        <w:t>2</w:t>
      </w:r>
      <w:r>
        <w:rPr>
          <w:rFonts w:hint="eastAsia" w:ascii="宋体" w:hAnsi="宋体" w:cs="宋体"/>
          <w:color w:val="auto"/>
          <w:sz w:val="24"/>
        </w:rPr>
        <w:t>）</w:t>
      </w:r>
      <w:r>
        <w:rPr>
          <w:rFonts w:hint="eastAsia" w:hAnsi="仿宋_GB2312" w:cs="仿宋_GB2312"/>
          <w:b w:val="0"/>
          <w:bCs/>
          <w:snapToGrid w:val="0"/>
          <w:color w:val="auto"/>
          <w:kern w:val="2"/>
          <w:sz w:val="24"/>
          <w:szCs w:val="24"/>
          <w:lang w:val="en-US" w:eastAsia="zh-CN" w:bidi="ar-SA"/>
        </w:rPr>
        <w:t>报价情况说明</w:t>
      </w:r>
      <w:r>
        <w:rPr>
          <w:rFonts w:hint="eastAsia" w:ascii="宋体" w:hAnsi="宋体" w:cs="宋体"/>
          <w:color w:val="auto"/>
          <w:sz w:val="24"/>
        </w:rPr>
        <w:t>…………………………………………………</w:t>
      </w:r>
      <w:r>
        <w:rPr>
          <w:rFonts w:hint="eastAsia" w:ascii="宋体" w:hAnsi="宋体" w:cs="宋体"/>
          <w:color w:val="auto"/>
          <w:sz w:val="24"/>
          <w:lang w:eastAsia="zh-CN"/>
        </w:rPr>
        <w:t>…………</w:t>
      </w:r>
      <w:r>
        <w:rPr>
          <w:rFonts w:hint="eastAsia" w:ascii="宋体" w:hAnsi="宋体" w:cs="宋体"/>
          <w:color w:val="auto"/>
          <w:sz w:val="24"/>
        </w:rPr>
        <w:t>（页码）</w:t>
      </w:r>
    </w:p>
    <w:p w14:paraId="0120399F">
      <w:pPr>
        <w:snapToGrid w:val="0"/>
        <w:spacing w:line="360" w:lineRule="auto"/>
        <w:rPr>
          <w:rFonts w:hint="eastAsia" w:ascii="宋体" w:hAnsi="宋体" w:cs="宋体"/>
          <w:color w:val="auto"/>
          <w:sz w:val="24"/>
        </w:rPr>
      </w:pPr>
      <w:r>
        <w:rPr>
          <w:rFonts w:hint="eastAsia" w:ascii="宋体" w:hAnsi="宋体" w:cs="宋体"/>
          <w:color w:val="auto"/>
          <w:sz w:val="24"/>
        </w:rPr>
        <w:t>（</w:t>
      </w:r>
      <w:r>
        <w:rPr>
          <w:rFonts w:hint="eastAsia" w:ascii="宋体" w:hAnsi="宋体" w:cs="宋体"/>
          <w:color w:val="auto"/>
          <w:sz w:val="24"/>
          <w:lang w:val="en-US" w:eastAsia="zh-CN"/>
        </w:rPr>
        <w:t>3</w:t>
      </w:r>
      <w:r>
        <w:rPr>
          <w:rFonts w:hint="eastAsia" w:ascii="宋体" w:hAnsi="宋体" w:cs="宋体"/>
          <w:color w:val="auto"/>
          <w:sz w:val="24"/>
        </w:rPr>
        <w:t>）中小企业声明函…………………………………………………………（页码）</w:t>
      </w:r>
    </w:p>
    <w:p w14:paraId="4E0F74CD">
      <w:pPr>
        <w:pStyle w:val="80"/>
        <w:rPr>
          <w:color w:val="auto"/>
        </w:rPr>
      </w:pPr>
    </w:p>
    <w:p w14:paraId="7DB0AA3A">
      <w:pPr>
        <w:snapToGrid w:val="0"/>
        <w:spacing w:line="360" w:lineRule="auto"/>
        <w:ind w:right="480"/>
        <w:jc w:val="center"/>
        <w:rPr>
          <w:rFonts w:ascii="宋体" w:hAnsi="宋体" w:cs="宋体"/>
          <w:b/>
          <w:color w:val="auto"/>
          <w:kern w:val="0"/>
          <w:sz w:val="32"/>
          <w:szCs w:val="32"/>
        </w:rPr>
      </w:pPr>
    </w:p>
    <w:p w14:paraId="38FEF3CA">
      <w:pPr>
        <w:snapToGrid w:val="0"/>
        <w:spacing w:line="360" w:lineRule="auto"/>
        <w:ind w:right="480"/>
        <w:jc w:val="center"/>
        <w:rPr>
          <w:rFonts w:ascii="宋体" w:hAnsi="宋体" w:cs="宋体"/>
          <w:b/>
          <w:color w:val="auto"/>
          <w:kern w:val="0"/>
          <w:sz w:val="32"/>
          <w:szCs w:val="32"/>
        </w:rPr>
      </w:pPr>
    </w:p>
    <w:p w14:paraId="41269D76">
      <w:pPr>
        <w:snapToGrid w:val="0"/>
        <w:spacing w:line="360" w:lineRule="auto"/>
        <w:ind w:right="480"/>
        <w:jc w:val="center"/>
        <w:rPr>
          <w:rFonts w:ascii="宋体" w:hAnsi="宋体" w:cs="宋体"/>
          <w:b/>
          <w:color w:val="auto"/>
          <w:kern w:val="0"/>
          <w:sz w:val="32"/>
          <w:szCs w:val="32"/>
        </w:rPr>
      </w:pPr>
    </w:p>
    <w:p w14:paraId="4B8FB8B8">
      <w:pPr>
        <w:snapToGrid w:val="0"/>
        <w:spacing w:line="360" w:lineRule="auto"/>
        <w:ind w:right="480"/>
        <w:jc w:val="center"/>
        <w:rPr>
          <w:rFonts w:ascii="宋体" w:hAnsi="宋体" w:cs="宋体"/>
          <w:b/>
          <w:color w:val="auto"/>
          <w:kern w:val="0"/>
          <w:sz w:val="32"/>
          <w:szCs w:val="32"/>
        </w:rPr>
      </w:pPr>
    </w:p>
    <w:p w14:paraId="1BF5B670">
      <w:pPr>
        <w:snapToGrid w:val="0"/>
        <w:spacing w:line="360" w:lineRule="auto"/>
        <w:ind w:right="480"/>
        <w:jc w:val="center"/>
        <w:rPr>
          <w:rFonts w:ascii="宋体" w:hAnsi="宋体" w:cs="宋体"/>
          <w:b/>
          <w:color w:val="auto"/>
          <w:kern w:val="0"/>
          <w:sz w:val="32"/>
          <w:szCs w:val="32"/>
        </w:rPr>
      </w:pPr>
    </w:p>
    <w:p w14:paraId="57385EDE">
      <w:pPr>
        <w:snapToGrid w:val="0"/>
        <w:spacing w:line="360" w:lineRule="auto"/>
        <w:ind w:right="480"/>
        <w:jc w:val="center"/>
        <w:rPr>
          <w:rFonts w:ascii="宋体" w:hAnsi="宋体" w:cs="宋体"/>
          <w:b/>
          <w:color w:val="auto"/>
          <w:kern w:val="0"/>
          <w:sz w:val="32"/>
          <w:szCs w:val="32"/>
        </w:rPr>
      </w:pPr>
    </w:p>
    <w:p w14:paraId="59224938">
      <w:pPr>
        <w:snapToGrid w:val="0"/>
        <w:spacing w:line="360" w:lineRule="auto"/>
        <w:ind w:right="480"/>
        <w:jc w:val="center"/>
        <w:rPr>
          <w:rFonts w:ascii="宋体" w:hAnsi="宋体" w:cs="宋体"/>
          <w:b/>
          <w:color w:val="auto"/>
          <w:kern w:val="0"/>
          <w:sz w:val="32"/>
          <w:szCs w:val="32"/>
        </w:rPr>
      </w:pPr>
    </w:p>
    <w:p w14:paraId="43465CCE">
      <w:pPr>
        <w:snapToGrid w:val="0"/>
        <w:spacing w:line="360" w:lineRule="auto"/>
        <w:ind w:right="480"/>
        <w:jc w:val="center"/>
        <w:rPr>
          <w:rFonts w:ascii="宋体" w:hAnsi="宋体" w:cs="宋体"/>
          <w:b/>
          <w:color w:val="auto"/>
          <w:kern w:val="0"/>
          <w:sz w:val="32"/>
          <w:szCs w:val="32"/>
        </w:rPr>
      </w:pPr>
    </w:p>
    <w:p w14:paraId="35B3107F">
      <w:pPr>
        <w:snapToGrid w:val="0"/>
        <w:spacing w:line="360" w:lineRule="auto"/>
        <w:ind w:right="480"/>
        <w:jc w:val="center"/>
        <w:rPr>
          <w:rFonts w:ascii="宋体" w:hAnsi="宋体" w:cs="宋体"/>
          <w:b/>
          <w:color w:val="auto"/>
          <w:kern w:val="0"/>
          <w:sz w:val="32"/>
          <w:szCs w:val="32"/>
        </w:rPr>
      </w:pPr>
    </w:p>
    <w:p w14:paraId="0661E614">
      <w:pPr>
        <w:snapToGrid w:val="0"/>
        <w:spacing w:line="360" w:lineRule="auto"/>
        <w:ind w:right="480"/>
        <w:jc w:val="center"/>
        <w:rPr>
          <w:rFonts w:ascii="宋体" w:hAnsi="宋体" w:cs="宋体"/>
          <w:b/>
          <w:color w:val="auto"/>
          <w:kern w:val="0"/>
          <w:sz w:val="32"/>
          <w:szCs w:val="32"/>
        </w:rPr>
      </w:pPr>
    </w:p>
    <w:p w14:paraId="7E617D7E">
      <w:pPr>
        <w:snapToGrid w:val="0"/>
        <w:spacing w:line="360" w:lineRule="auto"/>
        <w:ind w:right="480"/>
        <w:jc w:val="center"/>
        <w:rPr>
          <w:rFonts w:ascii="宋体" w:hAnsi="宋体" w:cs="宋体"/>
          <w:b/>
          <w:color w:val="auto"/>
          <w:kern w:val="0"/>
          <w:sz w:val="32"/>
          <w:szCs w:val="32"/>
        </w:rPr>
      </w:pPr>
    </w:p>
    <w:p w14:paraId="21BD167B">
      <w:pPr>
        <w:snapToGrid w:val="0"/>
        <w:spacing w:line="360" w:lineRule="auto"/>
        <w:ind w:right="480"/>
        <w:jc w:val="center"/>
        <w:rPr>
          <w:rFonts w:ascii="宋体" w:hAnsi="宋体" w:cs="宋体"/>
          <w:b/>
          <w:color w:val="auto"/>
          <w:kern w:val="0"/>
          <w:sz w:val="32"/>
          <w:szCs w:val="32"/>
        </w:rPr>
      </w:pPr>
    </w:p>
    <w:p w14:paraId="260CA4CE">
      <w:pPr>
        <w:snapToGrid w:val="0"/>
        <w:spacing w:line="360" w:lineRule="auto"/>
        <w:ind w:right="480"/>
        <w:jc w:val="center"/>
        <w:rPr>
          <w:rFonts w:ascii="宋体" w:hAnsi="宋体" w:cs="宋体"/>
          <w:b/>
          <w:color w:val="auto"/>
          <w:kern w:val="0"/>
          <w:sz w:val="32"/>
          <w:szCs w:val="32"/>
        </w:rPr>
      </w:pPr>
    </w:p>
    <w:p w14:paraId="60C33FF9">
      <w:pPr>
        <w:snapToGrid w:val="0"/>
        <w:spacing w:line="360" w:lineRule="auto"/>
        <w:ind w:right="480"/>
        <w:jc w:val="center"/>
        <w:rPr>
          <w:rFonts w:ascii="宋体" w:hAnsi="宋体" w:cs="宋体"/>
          <w:b/>
          <w:color w:val="auto"/>
          <w:kern w:val="0"/>
          <w:sz w:val="32"/>
          <w:szCs w:val="32"/>
        </w:rPr>
      </w:pPr>
    </w:p>
    <w:p w14:paraId="1B6DDB7F">
      <w:pPr>
        <w:snapToGrid w:val="0"/>
        <w:spacing w:line="360" w:lineRule="auto"/>
        <w:ind w:right="480"/>
        <w:jc w:val="center"/>
        <w:rPr>
          <w:rFonts w:ascii="宋体" w:hAnsi="宋体" w:cs="宋体"/>
          <w:b/>
          <w:color w:val="auto"/>
          <w:kern w:val="0"/>
          <w:sz w:val="32"/>
          <w:szCs w:val="32"/>
        </w:rPr>
      </w:pPr>
    </w:p>
    <w:p w14:paraId="44090E65">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sectPr>
          <w:headerReference r:id="rId19" w:type="first"/>
          <w:footerReference r:id="rId21" w:type="first"/>
          <w:headerReference r:id="rId18" w:type="default"/>
          <w:footerReference r:id="rId20" w:type="default"/>
          <w:pgSz w:w="11906" w:h="16838"/>
          <w:pgMar w:top="1440" w:right="1803" w:bottom="1440" w:left="1803" w:header="851" w:footer="992" w:gutter="0"/>
          <w:cols w:space="0" w:num="1"/>
          <w:rtlGutter w:val="0"/>
          <w:docGrid w:type="lines" w:linePitch="319" w:charSpace="0"/>
        </w:sectPr>
      </w:pPr>
    </w:p>
    <w:p w14:paraId="602B311C">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pPr>
      <w:r>
        <w:rPr>
          <w:rFonts w:hint="eastAsia" w:ascii="宋体" w:hAnsi="宋体" w:eastAsia="宋体" w:cs="宋体"/>
          <w:color w:val="auto"/>
          <w:kern w:val="2"/>
          <w:sz w:val="32"/>
          <w:szCs w:val="32"/>
        </w:rPr>
        <w:t>一、开标一览表（报价表）</w:t>
      </w:r>
    </w:p>
    <w:p w14:paraId="57CF6DB0">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2204DD80">
      <w:pPr>
        <w:snapToGrid w:val="0"/>
        <w:spacing w:line="360" w:lineRule="auto"/>
        <w:ind w:firstLine="482"/>
        <w:rPr>
          <w:rFonts w:ascii="宋体" w:hAnsi="宋体" w:cs="宋体"/>
          <w:color w:val="auto"/>
          <w:kern w:val="0"/>
          <w:sz w:val="24"/>
          <w:lang w:val="zh-CN"/>
        </w:rPr>
      </w:pPr>
      <w:r>
        <w:rPr>
          <w:rFonts w:hint="eastAsia" w:ascii="宋体" w:hAnsi="宋体" w:cs="宋体"/>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rPr>
        <w:t>（项目名称）</w:t>
      </w:r>
      <w:r>
        <w:rPr>
          <w:rFonts w:hint="eastAsia" w:ascii="宋体" w:hAnsi="宋体" w:cs="宋体"/>
          <w:color w:val="auto"/>
          <w:kern w:val="0"/>
          <w:sz w:val="24"/>
          <w:lang w:val="zh-CN"/>
        </w:rPr>
        <w:t>【招标编号：</w:t>
      </w:r>
      <w:r>
        <w:rPr>
          <w:rFonts w:hint="eastAsia" w:ascii="宋体" w:hAnsi="宋体" w:cs="宋体"/>
          <w:color w:val="auto"/>
          <w:sz w:val="24"/>
        </w:rPr>
        <w:t>（采购编号）】的实施</w:t>
      </w:r>
      <w:r>
        <w:rPr>
          <w:rFonts w:hint="eastAsia" w:ascii="宋体" w:hAnsi="宋体" w:cs="宋体"/>
          <w:color w:val="auto"/>
          <w:kern w:val="0"/>
          <w:sz w:val="24"/>
          <w:lang w:val="zh-CN"/>
        </w:rPr>
        <w:t>。</w:t>
      </w:r>
    </w:p>
    <w:p w14:paraId="31EC08D6">
      <w:pPr>
        <w:spacing w:line="360" w:lineRule="auto"/>
        <w:jc w:val="center"/>
        <w:rPr>
          <w:rFonts w:ascii="宋体" w:hAnsi="宋体" w:cs="宋体"/>
          <w:b/>
          <w:color w:val="auto"/>
          <w:kern w:val="0"/>
          <w:sz w:val="24"/>
          <w:lang w:val="zh-CN"/>
        </w:rPr>
      </w:pPr>
      <w:r>
        <w:rPr>
          <w:rFonts w:hint="eastAsia" w:ascii="宋体" w:hAnsi="宋体" w:cs="宋体"/>
          <w:b/>
          <w:color w:val="auto"/>
          <w:kern w:val="0"/>
          <w:sz w:val="24"/>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37260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159E2A61">
            <w:pPr>
              <w:spacing w:line="360" w:lineRule="auto"/>
              <w:jc w:val="center"/>
              <w:rPr>
                <w:rFonts w:ascii="宋体" w:hAnsi="宋体" w:cs="宋体"/>
                <w:b/>
                <w:color w:val="auto"/>
                <w:sz w:val="24"/>
              </w:rPr>
            </w:pPr>
            <w:r>
              <w:rPr>
                <w:rFonts w:hint="eastAsia" w:ascii="宋体" w:hAnsi="宋体" w:cs="宋体"/>
                <w:b/>
                <w:color w:val="auto"/>
                <w:sz w:val="24"/>
              </w:rPr>
              <w:t>序号</w:t>
            </w:r>
          </w:p>
        </w:tc>
        <w:tc>
          <w:tcPr>
            <w:tcW w:w="1417" w:type="dxa"/>
            <w:vAlign w:val="center"/>
          </w:tcPr>
          <w:p w14:paraId="6B09B569">
            <w:pPr>
              <w:spacing w:line="360" w:lineRule="auto"/>
              <w:jc w:val="center"/>
              <w:rPr>
                <w:rFonts w:ascii="宋体" w:hAnsi="宋体" w:cs="宋体"/>
                <w:b/>
                <w:color w:val="auto"/>
                <w:sz w:val="24"/>
              </w:rPr>
            </w:pPr>
            <w:r>
              <w:rPr>
                <w:rFonts w:hint="eastAsia" w:ascii="宋体" w:hAnsi="宋体" w:cs="宋体"/>
                <w:b/>
                <w:color w:val="auto"/>
                <w:sz w:val="24"/>
              </w:rPr>
              <w:t>名称</w:t>
            </w:r>
          </w:p>
        </w:tc>
        <w:tc>
          <w:tcPr>
            <w:tcW w:w="1843" w:type="dxa"/>
          </w:tcPr>
          <w:p w14:paraId="2BA350AB">
            <w:pPr>
              <w:spacing w:line="360" w:lineRule="auto"/>
              <w:jc w:val="center"/>
              <w:rPr>
                <w:rFonts w:ascii="宋体" w:hAnsi="宋体" w:cs="宋体"/>
                <w:b/>
                <w:color w:val="auto"/>
                <w:sz w:val="24"/>
              </w:rPr>
            </w:pPr>
          </w:p>
          <w:p w14:paraId="56DB8708">
            <w:pPr>
              <w:spacing w:line="360" w:lineRule="auto"/>
              <w:jc w:val="center"/>
              <w:rPr>
                <w:rFonts w:ascii="宋体" w:hAnsi="宋体" w:cs="宋体"/>
                <w:b/>
                <w:color w:val="auto"/>
                <w:sz w:val="24"/>
              </w:rPr>
            </w:pPr>
            <w:r>
              <w:rPr>
                <w:rFonts w:hint="eastAsia" w:ascii="宋体" w:hAnsi="宋体" w:cs="宋体"/>
                <w:b/>
                <w:color w:val="auto"/>
                <w:sz w:val="24"/>
              </w:rPr>
              <w:t>品牌（如果有）</w:t>
            </w:r>
          </w:p>
        </w:tc>
        <w:tc>
          <w:tcPr>
            <w:tcW w:w="3118" w:type="dxa"/>
            <w:vAlign w:val="center"/>
          </w:tcPr>
          <w:p w14:paraId="528EF7B0">
            <w:pPr>
              <w:spacing w:line="360" w:lineRule="auto"/>
              <w:jc w:val="center"/>
              <w:rPr>
                <w:rFonts w:ascii="宋体" w:hAnsi="宋体" w:cs="宋体"/>
                <w:b/>
                <w:color w:val="auto"/>
                <w:sz w:val="24"/>
              </w:rPr>
            </w:pPr>
            <w:r>
              <w:rPr>
                <w:rFonts w:hint="eastAsia" w:ascii="宋体" w:hAnsi="宋体" w:cs="宋体"/>
                <w:b/>
                <w:color w:val="auto"/>
                <w:sz w:val="24"/>
              </w:rPr>
              <w:t>规格型号</w:t>
            </w:r>
          </w:p>
        </w:tc>
        <w:tc>
          <w:tcPr>
            <w:tcW w:w="993" w:type="dxa"/>
            <w:vAlign w:val="center"/>
          </w:tcPr>
          <w:p w14:paraId="2AF06693">
            <w:pPr>
              <w:spacing w:line="360" w:lineRule="auto"/>
              <w:jc w:val="center"/>
              <w:rPr>
                <w:rFonts w:ascii="宋体" w:hAnsi="宋体" w:cs="宋体"/>
                <w:b/>
                <w:color w:val="auto"/>
                <w:sz w:val="24"/>
              </w:rPr>
            </w:pPr>
            <w:r>
              <w:rPr>
                <w:rFonts w:hint="eastAsia" w:ascii="宋体" w:hAnsi="宋体" w:cs="宋体"/>
                <w:b/>
                <w:color w:val="auto"/>
                <w:sz w:val="24"/>
              </w:rPr>
              <w:t>数量</w:t>
            </w:r>
          </w:p>
        </w:tc>
        <w:tc>
          <w:tcPr>
            <w:tcW w:w="1559" w:type="dxa"/>
            <w:vAlign w:val="center"/>
          </w:tcPr>
          <w:p w14:paraId="6A275A45">
            <w:pPr>
              <w:spacing w:line="360" w:lineRule="auto"/>
              <w:jc w:val="center"/>
              <w:rPr>
                <w:rFonts w:ascii="宋体" w:hAnsi="宋体" w:cs="宋体"/>
                <w:b/>
                <w:color w:val="auto"/>
                <w:sz w:val="24"/>
              </w:rPr>
            </w:pPr>
            <w:r>
              <w:rPr>
                <w:rFonts w:hint="eastAsia" w:ascii="宋体" w:hAnsi="宋体" w:cs="宋体"/>
                <w:b/>
                <w:color w:val="auto"/>
                <w:sz w:val="24"/>
              </w:rPr>
              <w:t>单价</w:t>
            </w:r>
          </w:p>
        </w:tc>
        <w:tc>
          <w:tcPr>
            <w:tcW w:w="1984" w:type="dxa"/>
            <w:vAlign w:val="center"/>
          </w:tcPr>
          <w:p w14:paraId="24A622BC">
            <w:pPr>
              <w:spacing w:line="360" w:lineRule="auto"/>
              <w:jc w:val="center"/>
              <w:rPr>
                <w:rFonts w:ascii="宋体" w:hAnsi="宋体" w:cs="宋体"/>
                <w:b/>
                <w:color w:val="auto"/>
                <w:sz w:val="24"/>
              </w:rPr>
            </w:pPr>
            <w:r>
              <w:rPr>
                <w:rFonts w:hint="eastAsia" w:ascii="宋体" w:hAnsi="宋体" w:cs="宋体"/>
                <w:b/>
                <w:color w:val="auto"/>
                <w:sz w:val="24"/>
              </w:rPr>
              <w:t>合计</w:t>
            </w:r>
          </w:p>
        </w:tc>
        <w:tc>
          <w:tcPr>
            <w:tcW w:w="3119" w:type="dxa"/>
            <w:vAlign w:val="center"/>
          </w:tcPr>
          <w:p w14:paraId="151971EE">
            <w:pPr>
              <w:spacing w:line="360" w:lineRule="auto"/>
              <w:jc w:val="center"/>
              <w:rPr>
                <w:rFonts w:ascii="宋体" w:hAnsi="宋体" w:cs="宋体"/>
                <w:b/>
                <w:color w:val="auto"/>
                <w:sz w:val="24"/>
              </w:rPr>
            </w:pPr>
          </w:p>
          <w:p w14:paraId="05761BBC">
            <w:pPr>
              <w:spacing w:line="360" w:lineRule="auto"/>
              <w:jc w:val="center"/>
              <w:rPr>
                <w:rFonts w:ascii="宋体" w:hAnsi="宋体" w:cs="宋体"/>
                <w:b/>
                <w:color w:val="auto"/>
                <w:sz w:val="24"/>
              </w:rPr>
            </w:pPr>
            <w:r>
              <w:rPr>
                <w:rFonts w:hint="eastAsia" w:ascii="宋体" w:hAnsi="宋体" w:cs="宋体"/>
                <w:b/>
                <w:color w:val="auto"/>
                <w:sz w:val="24"/>
              </w:rPr>
              <w:t>备注（如果有）</w:t>
            </w:r>
          </w:p>
          <w:p w14:paraId="2E8BB292">
            <w:pPr>
              <w:spacing w:line="360" w:lineRule="auto"/>
              <w:jc w:val="center"/>
              <w:rPr>
                <w:rFonts w:ascii="宋体" w:hAnsi="宋体" w:cs="宋体"/>
                <w:b/>
                <w:color w:val="auto"/>
                <w:sz w:val="24"/>
              </w:rPr>
            </w:pPr>
          </w:p>
        </w:tc>
      </w:tr>
      <w:tr w14:paraId="074C62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14539512">
            <w:pPr>
              <w:spacing w:line="360" w:lineRule="auto"/>
              <w:jc w:val="center"/>
              <w:rPr>
                <w:rFonts w:ascii="宋体" w:hAnsi="宋体" w:cs="宋体"/>
                <w:color w:val="auto"/>
                <w:sz w:val="24"/>
              </w:rPr>
            </w:pPr>
            <w:r>
              <w:rPr>
                <w:rFonts w:hint="eastAsia" w:ascii="宋体" w:hAnsi="宋体" w:cs="宋体"/>
                <w:color w:val="auto"/>
                <w:sz w:val="24"/>
              </w:rPr>
              <w:t>1</w:t>
            </w:r>
          </w:p>
        </w:tc>
        <w:tc>
          <w:tcPr>
            <w:tcW w:w="1417" w:type="dxa"/>
            <w:vAlign w:val="center"/>
          </w:tcPr>
          <w:p w14:paraId="71F9A350">
            <w:pPr>
              <w:snapToGrid w:val="0"/>
              <w:spacing w:line="360" w:lineRule="auto"/>
              <w:jc w:val="center"/>
              <w:rPr>
                <w:rFonts w:ascii="宋体" w:hAnsi="宋体" w:cs="宋体"/>
                <w:color w:val="auto"/>
                <w:sz w:val="24"/>
              </w:rPr>
            </w:pPr>
            <w:r>
              <w:rPr>
                <w:rFonts w:hint="eastAsia" w:ascii="宋体" w:hAnsi="宋体" w:cs="宋体"/>
                <w:color w:val="auto"/>
                <w:sz w:val="24"/>
              </w:rPr>
              <w:t>X</w:t>
            </w:r>
            <w:r>
              <w:rPr>
                <w:rFonts w:ascii="宋体" w:hAnsi="宋体" w:cs="宋体"/>
                <w:color w:val="auto"/>
                <w:sz w:val="24"/>
              </w:rPr>
              <w:t>X</w:t>
            </w:r>
          </w:p>
        </w:tc>
        <w:tc>
          <w:tcPr>
            <w:tcW w:w="1843" w:type="dxa"/>
            <w:vAlign w:val="center"/>
          </w:tcPr>
          <w:p w14:paraId="1927EB0F">
            <w:pPr>
              <w:snapToGrid w:val="0"/>
              <w:spacing w:line="360" w:lineRule="auto"/>
              <w:jc w:val="center"/>
              <w:rPr>
                <w:rFonts w:ascii="宋体" w:hAnsi="宋体" w:cs="宋体"/>
                <w:color w:val="auto"/>
                <w:sz w:val="24"/>
              </w:rPr>
            </w:pPr>
          </w:p>
        </w:tc>
        <w:tc>
          <w:tcPr>
            <w:tcW w:w="3118" w:type="dxa"/>
            <w:vAlign w:val="center"/>
          </w:tcPr>
          <w:p w14:paraId="77C4BC8B">
            <w:pPr>
              <w:snapToGrid w:val="0"/>
              <w:spacing w:line="360" w:lineRule="auto"/>
              <w:jc w:val="center"/>
              <w:rPr>
                <w:rFonts w:ascii="宋体" w:hAnsi="宋体" w:cs="宋体"/>
                <w:color w:val="auto"/>
                <w:sz w:val="24"/>
              </w:rPr>
            </w:pPr>
          </w:p>
        </w:tc>
        <w:tc>
          <w:tcPr>
            <w:tcW w:w="993" w:type="dxa"/>
            <w:vAlign w:val="center"/>
          </w:tcPr>
          <w:p w14:paraId="36E3F77E">
            <w:pPr>
              <w:snapToGrid w:val="0"/>
              <w:spacing w:line="360" w:lineRule="auto"/>
              <w:jc w:val="center"/>
              <w:rPr>
                <w:rFonts w:ascii="宋体" w:hAnsi="宋体" w:cs="宋体"/>
                <w:color w:val="auto"/>
                <w:sz w:val="24"/>
              </w:rPr>
            </w:pPr>
          </w:p>
        </w:tc>
        <w:tc>
          <w:tcPr>
            <w:tcW w:w="1559" w:type="dxa"/>
            <w:vAlign w:val="center"/>
          </w:tcPr>
          <w:p w14:paraId="30120E3F">
            <w:pPr>
              <w:spacing w:line="360" w:lineRule="auto"/>
              <w:jc w:val="center"/>
              <w:rPr>
                <w:rFonts w:ascii="宋体" w:hAnsi="宋体" w:cs="宋体"/>
                <w:color w:val="auto"/>
                <w:sz w:val="24"/>
              </w:rPr>
            </w:pPr>
          </w:p>
        </w:tc>
        <w:tc>
          <w:tcPr>
            <w:tcW w:w="1984" w:type="dxa"/>
            <w:vAlign w:val="center"/>
          </w:tcPr>
          <w:p w14:paraId="3DEECA14">
            <w:pPr>
              <w:spacing w:line="360" w:lineRule="auto"/>
              <w:jc w:val="center"/>
              <w:rPr>
                <w:rFonts w:ascii="宋体" w:hAnsi="宋体" w:cs="宋体"/>
                <w:color w:val="auto"/>
                <w:sz w:val="24"/>
              </w:rPr>
            </w:pPr>
          </w:p>
        </w:tc>
        <w:tc>
          <w:tcPr>
            <w:tcW w:w="3119" w:type="dxa"/>
            <w:vAlign w:val="center"/>
          </w:tcPr>
          <w:p w14:paraId="5F9F76E0">
            <w:pPr>
              <w:spacing w:line="360" w:lineRule="auto"/>
              <w:jc w:val="center"/>
              <w:rPr>
                <w:rFonts w:ascii="宋体" w:hAnsi="宋体" w:cs="宋体"/>
                <w:color w:val="auto"/>
                <w:sz w:val="24"/>
              </w:rPr>
            </w:pPr>
          </w:p>
        </w:tc>
      </w:tr>
      <w:tr w14:paraId="0B574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967A59A">
            <w:pPr>
              <w:spacing w:line="360" w:lineRule="auto"/>
              <w:jc w:val="center"/>
              <w:rPr>
                <w:rFonts w:ascii="宋体" w:hAnsi="宋体" w:cs="宋体"/>
                <w:color w:val="auto"/>
                <w:sz w:val="24"/>
              </w:rPr>
            </w:pPr>
            <w:r>
              <w:rPr>
                <w:rFonts w:hint="eastAsia" w:ascii="宋体" w:hAnsi="宋体" w:cs="宋体"/>
                <w:color w:val="auto"/>
                <w:sz w:val="24"/>
              </w:rPr>
              <w:t>2</w:t>
            </w:r>
          </w:p>
        </w:tc>
        <w:tc>
          <w:tcPr>
            <w:tcW w:w="1417" w:type="dxa"/>
            <w:vAlign w:val="center"/>
          </w:tcPr>
          <w:p w14:paraId="1C0BC7F6">
            <w:pPr>
              <w:snapToGrid w:val="0"/>
              <w:spacing w:line="360" w:lineRule="auto"/>
              <w:jc w:val="center"/>
              <w:rPr>
                <w:rFonts w:ascii="宋体" w:hAnsi="宋体" w:cs="宋体"/>
                <w:color w:val="auto"/>
                <w:sz w:val="24"/>
              </w:rPr>
            </w:pPr>
            <w:r>
              <w:rPr>
                <w:rFonts w:hint="eastAsia" w:ascii="宋体" w:hAnsi="宋体" w:cs="宋体"/>
                <w:color w:val="auto"/>
                <w:sz w:val="24"/>
              </w:rPr>
              <w:t>X</w:t>
            </w:r>
            <w:r>
              <w:rPr>
                <w:rFonts w:ascii="宋体" w:hAnsi="宋体" w:cs="宋体"/>
                <w:color w:val="auto"/>
                <w:sz w:val="24"/>
              </w:rPr>
              <w:t>X</w:t>
            </w:r>
          </w:p>
        </w:tc>
        <w:tc>
          <w:tcPr>
            <w:tcW w:w="1843" w:type="dxa"/>
            <w:vAlign w:val="center"/>
          </w:tcPr>
          <w:p w14:paraId="214EC17A">
            <w:pPr>
              <w:snapToGrid w:val="0"/>
              <w:spacing w:line="360" w:lineRule="auto"/>
              <w:jc w:val="center"/>
              <w:rPr>
                <w:rFonts w:ascii="宋体" w:hAnsi="宋体" w:cs="宋体"/>
                <w:color w:val="auto"/>
                <w:sz w:val="24"/>
              </w:rPr>
            </w:pPr>
          </w:p>
        </w:tc>
        <w:tc>
          <w:tcPr>
            <w:tcW w:w="3118" w:type="dxa"/>
            <w:vAlign w:val="center"/>
          </w:tcPr>
          <w:p w14:paraId="6728EE4F">
            <w:pPr>
              <w:snapToGrid w:val="0"/>
              <w:spacing w:line="360" w:lineRule="auto"/>
              <w:jc w:val="center"/>
              <w:rPr>
                <w:rFonts w:ascii="宋体" w:hAnsi="宋体" w:cs="宋体"/>
                <w:color w:val="auto"/>
                <w:sz w:val="24"/>
              </w:rPr>
            </w:pPr>
          </w:p>
        </w:tc>
        <w:tc>
          <w:tcPr>
            <w:tcW w:w="993" w:type="dxa"/>
            <w:vAlign w:val="center"/>
          </w:tcPr>
          <w:p w14:paraId="587965D7">
            <w:pPr>
              <w:snapToGrid w:val="0"/>
              <w:spacing w:line="360" w:lineRule="auto"/>
              <w:jc w:val="center"/>
              <w:rPr>
                <w:rFonts w:ascii="宋体" w:hAnsi="宋体" w:cs="宋体"/>
                <w:color w:val="auto"/>
                <w:sz w:val="24"/>
              </w:rPr>
            </w:pPr>
          </w:p>
        </w:tc>
        <w:tc>
          <w:tcPr>
            <w:tcW w:w="1559" w:type="dxa"/>
            <w:vAlign w:val="center"/>
          </w:tcPr>
          <w:p w14:paraId="78D2A60E">
            <w:pPr>
              <w:spacing w:line="360" w:lineRule="auto"/>
              <w:jc w:val="center"/>
              <w:rPr>
                <w:rFonts w:ascii="宋体" w:hAnsi="宋体" w:cs="宋体"/>
                <w:color w:val="auto"/>
                <w:sz w:val="24"/>
              </w:rPr>
            </w:pPr>
          </w:p>
        </w:tc>
        <w:tc>
          <w:tcPr>
            <w:tcW w:w="1984" w:type="dxa"/>
            <w:vAlign w:val="center"/>
          </w:tcPr>
          <w:p w14:paraId="7971283D">
            <w:pPr>
              <w:spacing w:line="360" w:lineRule="auto"/>
              <w:jc w:val="center"/>
              <w:rPr>
                <w:rFonts w:ascii="宋体" w:hAnsi="宋体" w:cs="宋体"/>
                <w:color w:val="auto"/>
                <w:sz w:val="24"/>
              </w:rPr>
            </w:pPr>
          </w:p>
        </w:tc>
        <w:tc>
          <w:tcPr>
            <w:tcW w:w="3119" w:type="dxa"/>
            <w:vAlign w:val="center"/>
          </w:tcPr>
          <w:p w14:paraId="37ACEA42">
            <w:pPr>
              <w:spacing w:line="360" w:lineRule="auto"/>
              <w:jc w:val="center"/>
              <w:rPr>
                <w:rFonts w:ascii="宋体" w:hAnsi="宋体" w:cs="宋体"/>
                <w:color w:val="auto"/>
                <w:sz w:val="24"/>
              </w:rPr>
            </w:pPr>
          </w:p>
        </w:tc>
      </w:tr>
      <w:tr w14:paraId="455CB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37AD4EFD">
            <w:pPr>
              <w:spacing w:line="360" w:lineRule="auto"/>
              <w:jc w:val="center"/>
              <w:rPr>
                <w:rFonts w:ascii="宋体" w:hAnsi="宋体" w:cs="宋体"/>
                <w:color w:val="auto"/>
                <w:sz w:val="24"/>
              </w:rPr>
            </w:pPr>
            <w:r>
              <w:rPr>
                <w:rFonts w:hint="eastAsia" w:ascii="宋体" w:hAnsi="宋体" w:cs="宋体"/>
                <w:color w:val="auto"/>
                <w:sz w:val="24"/>
              </w:rPr>
              <w:t>…</w:t>
            </w:r>
          </w:p>
        </w:tc>
        <w:tc>
          <w:tcPr>
            <w:tcW w:w="1417" w:type="dxa"/>
            <w:vAlign w:val="center"/>
          </w:tcPr>
          <w:p w14:paraId="31A395AA">
            <w:pPr>
              <w:snapToGrid w:val="0"/>
              <w:spacing w:line="360" w:lineRule="auto"/>
              <w:jc w:val="center"/>
              <w:rPr>
                <w:rFonts w:ascii="宋体" w:hAnsi="宋体" w:cs="宋体"/>
                <w:color w:val="auto"/>
                <w:sz w:val="24"/>
              </w:rPr>
            </w:pPr>
          </w:p>
        </w:tc>
        <w:tc>
          <w:tcPr>
            <w:tcW w:w="1843" w:type="dxa"/>
            <w:vAlign w:val="center"/>
          </w:tcPr>
          <w:p w14:paraId="18C31FF1">
            <w:pPr>
              <w:snapToGrid w:val="0"/>
              <w:spacing w:line="360" w:lineRule="auto"/>
              <w:jc w:val="center"/>
              <w:rPr>
                <w:rFonts w:ascii="宋体" w:hAnsi="宋体" w:cs="宋体"/>
                <w:color w:val="auto"/>
                <w:sz w:val="24"/>
              </w:rPr>
            </w:pPr>
          </w:p>
        </w:tc>
        <w:tc>
          <w:tcPr>
            <w:tcW w:w="3118" w:type="dxa"/>
            <w:vAlign w:val="center"/>
          </w:tcPr>
          <w:p w14:paraId="0AFCB43C">
            <w:pPr>
              <w:snapToGrid w:val="0"/>
              <w:spacing w:line="360" w:lineRule="auto"/>
              <w:jc w:val="center"/>
              <w:rPr>
                <w:rFonts w:ascii="宋体" w:hAnsi="宋体" w:cs="宋体"/>
                <w:color w:val="auto"/>
                <w:sz w:val="24"/>
              </w:rPr>
            </w:pPr>
          </w:p>
        </w:tc>
        <w:tc>
          <w:tcPr>
            <w:tcW w:w="993" w:type="dxa"/>
            <w:vAlign w:val="center"/>
          </w:tcPr>
          <w:p w14:paraId="5FF04224">
            <w:pPr>
              <w:snapToGrid w:val="0"/>
              <w:spacing w:line="360" w:lineRule="auto"/>
              <w:jc w:val="center"/>
              <w:rPr>
                <w:rFonts w:ascii="宋体" w:hAnsi="宋体" w:cs="宋体"/>
                <w:color w:val="auto"/>
                <w:sz w:val="24"/>
              </w:rPr>
            </w:pPr>
          </w:p>
        </w:tc>
        <w:tc>
          <w:tcPr>
            <w:tcW w:w="1559" w:type="dxa"/>
            <w:vAlign w:val="center"/>
          </w:tcPr>
          <w:p w14:paraId="657961A6">
            <w:pPr>
              <w:spacing w:line="360" w:lineRule="auto"/>
              <w:jc w:val="center"/>
              <w:rPr>
                <w:rFonts w:ascii="宋体" w:hAnsi="宋体" w:cs="宋体"/>
                <w:color w:val="auto"/>
                <w:sz w:val="24"/>
              </w:rPr>
            </w:pPr>
          </w:p>
        </w:tc>
        <w:tc>
          <w:tcPr>
            <w:tcW w:w="1984" w:type="dxa"/>
            <w:vAlign w:val="center"/>
          </w:tcPr>
          <w:p w14:paraId="761482BE">
            <w:pPr>
              <w:spacing w:line="360" w:lineRule="auto"/>
              <w:jc w:val="center"/>
              <w:rPr>
                <w:rFonts w:ascii="宋体" w:hAnsi="宋体" w:cs="宋体"/>
                <w:color w:val="auto"/>
                <w:sz w:val="24"/>
              </w:rPr>
            </w:pPr>
          </w:p>
        </w:tc>
        <w:tc>
          <w:tcPr>
            <w:tcW w:w="3119" w:type="dxa"/>
            <w:vAlign w:val="center"/>
          </w:tcPr>
          <w:p w14:paraId="7E600B6F">
            <w:pPr>
              <w:spacing w:line="360" w:lineRule="auto"/>
              <w:jc w:val="center"/>
              <w:rPr>
                <w:rFonts w:ascii="宋体" w:hAnsi="宋体" w:cs="宋体"/>
                <w:color w:val="auto"/>
                <w:sz w:val="24"/>
              </w:rPr>
            </w:pPr>
          </w:p>
        </w:tc>
      </w:tr>
      <w:tr w14:paraId="60E384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284C6389">
            <w:pPr>
              <w:spacing w:line="360" w:lineRule="auto"/>
              <w:jc w:val="center"/>
              <w:rPr>
                <w:rFonts w:ascii="宋体" w:hAnsi="宋体" w:cs="宋体"/>
                <w:color w:val="auto"/>
                <w:sz w:val="24"/>
              </w:rPr>
            </w:pPr>
          </w:p>
        </w:tc>
        <w:tc>
          <w:tcPr>
            <w:tcW w:w="1417" w:type="dxa"/>
            <w:vAlign w:val="center"/>
          </w:tcPr>
          <w:p w14:paraId="092B4E9B">
            <w:pPr>
              <w:snapToGrid w:val="0"/>
              <w:spacing w:line="360" w:lineRule="auto"/>
              <w:jc w:val="center"/>
              <w:rPr>
                <w:rFonts w:ascii="宋体" w:hAnsi="宋体" w:cs="宋体"/>
                <w:color w:val="auto"/>
                <w:sz w:val="24"/>
              </w:rPr>
            </w:pPr>
          </w:p>
        </w:tc>
        <w:tc>
          <w:tcPr>
            <w:tcW w:w="1843" w:type="dxa"/>
            <w:vAlign w:val="center"/>
          </w:tcPr>
          <w:p w14:paraId="4F7D8E68">
            <w:pPr>
              <w:snapToGrid w:val="0"/>
              <w:spacing w:line="360" w:lineRule="auto"/>
              <w:jc w:val="center"/>
              <w:rPr>
                <w:rFonts w:ascii="宋体" w:hAnsi="宋体" w:cs="宋体"/>
                <w:color w:val="auto"/>
                <w:sz w:val="24"/>
              </w:rPr>
            </w:pPr>
          </w:p>
        </w:tc>
        <w:tc>
          <w:tcPr>
            <w:tcW w:w="3118" w:type="dxa"/>
            <w:vAlign w:val="center"/>
          </w:tcPr>
          <w:p w14:paraId="7B3BC94E">
            <w:pPr>
              <w:snapToGrid w:val="0"/>
              <w:spacing w:line="360" w:lineRule="auto"/>
              <w:jc w:val="center"/>
              <w:rPr>
                <w:rFonts w:ascii="宋体" w:hAnsi="宋体" w:cs="宋体"/>
                <w:color w:val="auto"/>
                <w:sz w:val="24"/>
              </w:rPr>
            </w:pPr>
          </w:p>
        </w:tc>
        <w:tc>
          <w:tcPr>
            <w:tcW w:w="993" w:type="dxa"/>
            <w:vAlign w:val="center"/>
          </w:tcPr>
          <w:p w14:paraId="1244C979">
            <w:pPr>
              <w:snapToGrid w:val="0"/>
              <w:spacing w:line="360" w:lineRule="auto"/>
              <w:jc w:val="center"/>
              <w:rPr>
                <w:rFonts w:ascii="宋体" w:hAnsi="宋体" w:cs="宋体"/>
                <w:color w:val="auto"/>
                <w:sz w:val="24"/>
              </w:rPr>
            </w:pPr>
          </w:p>
        </w:tc>
        <w:tc>
          <w:tcPr>
            <w:tcW w:w="1559" w:type="dxa"/>
            <w:vAlign w:val="center"/>
          </w:tcPr>
          <w:p w14:paraId="58FAB5D9">
            <w:pPr>
              <w:spacing w:line="360" w:lineRule="auto"/>
              <w:jc w:val="center"/>
              <w:rPr>
                <w:rFonts w:ascii="宋体" w:hAnsi="宋体" w:cs="宋体"/>
                <w:color w:val="auto"/>
                <w:sz w:val="24"/>
              </w:rPr>
            </w:pPr>
          </w:p>
        </w:tc>
        <w:tc>
          <w:tcPr>
            <w:tcW w:w="1984" w:type="dxa"/>
            <w:vAlign w:val="center"/>
          </w:tcPr>
          <w:p w14:paraId="4739BB02">
            <w:pPr>
              <w:spacing w:line="360" w:lineRule="auto"/>
              <w:jc w:val="center"/>
              <w:rPr>
                <w:rFonts w:ascii="宋体" w:hAnsi="宋体" w:cs="宋体"/>
                <w:color w:val="auto"/>
                <w:sz w:val="24"/>
              </w:rPr>
            </w:pPr>
          </w:p>
        </w:tc>
        <w:tc>
          <w:tcPr>
            <w:tcW w:w="3119" w:type="dxa"/>
            <w:vAlign w:val="center"/>
          </w:tcPr>
          <w:p w14:paraId="446578FA">
            <w:pPr>
              <w:spacing w:line="360" w:lineRule="auto"/>
              <w:jc w:val="center"/>
              <w:rPr>
                <w:rFonts w:ascii="宋体" w:hAnsi="宋体" w:cs="宋体"/>
                <w:color w:val="auto"/>
                <w:sz w:val="24"/>
              </w:rPr>
            </w:pPr>
          </w:p>
        </w:tc>
      </w:tr>
      <w:tr w14:paraId="090A83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ACA5AE8">
            <w:pPr>
              <w:spacing w:line="360" w:lineRule="auto"/>
              <w:jc w:val="center"/>
              <w:rPr>
                <w:rFonts w:ascii="宋体" w:hAnsi="宋体" w:cs="宋体"/>
                <w:color w:val="auto"/>
                <w:sz w:val="24"/>
              </w:rPr>
            </w:pPr>
          </w:p>
        </w:tc>
        <w:tc>
          <w:tcPr>
            <w:tcW w:w="1417" w:type="dxa"/>
            <w:vAlign w:val="center"/>
          </w:tcPr>
          <w:p w14:paraId="6406E9E4">
            <w:pPr>
              <w:snapToGrid w:val="0"/>
              <w:spacing w:line="360" w:lineRule="auto"/>
              <w:jc w:val="center"/>
              <w:rPr>
                <w:rFonts w:ascii="宋体" w:hAnsi="宋体" w:cs="宋体"/>
                <w:color w:val="auto"/>
                <w:sz w:val="24"/>
              </w:rPr>
            </w:pPr>
          </w:p>
        </w:tc>
        <w:tc>
          <w:tcPr>
            <w:tcW w:w="1843" w:type="dxa"/>
            <w:vAlign w:val="center"/>
          </w:tcPr>
          <w:p w14:paraId="04EA6ED5">
            <w:pPr>
              <w:snapToGrid w:val="0"/>
              <w:spacing w:line="360" w:lineRule="auto"/>
              <w:jc w:val="center"/>
              <w:rPr>
                <w:rFonts w:ascii="宋体" w:hAnsi="宋体" w:cs="宋体"/>
                <w:color w:val="auto"/>
                <w:sz w:val="24"/>
              </w:rPr>
            </w:pPr>
          </w:p>
        </w:tc>
        <w:tc>
          <w:tcPr>
            <w:tcW w:w="3118" w:type="dxa"/>
            <w:vAlign w:val="center"/>
          </w:tcPr>
          <w:p w14:paraId="076C4DCB">
            <w:pPr>
              <w:snapToGrid w:val="0"/>
              <w:spacing w:line="360" w:lineRule="auto"/>
              <w:jc w:val="center"/>
              <w:rPr>
                <w:rFonts w:ascii="宋体" w:hAnsi="宋体" w:cs="宋体"/>
                <w:color w:val="auto"/>
                <w:sz w:val="24"/>
              </w:rPr>
            </w:pPr>
          </w:p>
        </w:tc>
        <w:tc>
          <w:tcPr>
            <w:tcW w:w="993" w:type="dxa"/>
            <w:vAlign w:val="center"/>
          </w:tcPr>
          <w:p w14:paraId="2EE2647A">
            <w:pPr>
              <w:snapToGrid w:val="0"/>
              <w:spacing w:line="360" w:lineRule="auto"/>
              <w:jc w:val="center"/>
              <w:rPr>
                <w:rFonts w:ascii="宋体" w:hAnsi="宋体" w:cs="宋体"/>
                <w:color w:val="auto"/>
                <w:sz w:val="24"/>
              </w:rPr>
            </w:pPr>
          </w:p>
        </w:tc>
        <w:tc>
          <w:tcPr>
            <w:tcW w:w="1559" w:type="dxa"/>
            <w:vAlign w:val="center"/>
          </w:tcPr>
          <w:p w14:paraId="486A5BF4">
            <w:pPr>
              <w:spacing w:line="360" w:lineRule="auto"/>
              <w:jc w:val="center"/>
              <w:rPr>
                <w:rFonts w:ascii="宋体" w:hAnsi="宋体" w:cs="宋体"/>
                <w:color w:val="auto"/>
                <w:sz w:val="24"/>
              </w:rPr>
            </w:pPr>
          </w:p>
        </w:tc>
        <w:tc>
          <w:tcPr>
            <w:tcW w:w="1984" w:type="dxa"/>
            <w:vAlign w:val="center"/>
          </w:tcPr>
          <w:p w14:paraId="436BE162">
            <w:pPr>
              <w:spacing w:line="360" w:lineRule="auto"/>
              <w:jc w:val="center"/>
              <w:rPr>
                <w:rFonts w:ascii="宋体" w:hAnsi="宋体" w:cs="宋体"/>
                <w:color w:val="auto"/>
                <w:sz w:val="24"/>
              </w:rPr>
            </w:pPr>
          </w:p>
        </w:tc>
        <w:tc>
          <w:tcPr>
            <w:tcW w:w="3119" w:type="dxa"/>
            <w:vAlign w:val="center"/>
          </w:tcPr>
          <w:p w14:paraId="27DFC3E3">
            <w:pPr>
              <w:spacing w:line="360" w:lineRule="auto"/>
              <w:jc w:val="center"/>
              <w:rPr>
                <w:rFonts w:ascii="宋体" w:hAnsi="宋体" w:cs="宋体"/>
                <w:color w:val="auto"/>
                <w:sz w:val="24"/>
              </w:rPr>
            </w:pPr>
          </w:p>
        </w:tc>
      </w:tr>
      <w:tr w14:paraId="1D4B1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0479F506">
            <w:pPr>
              <w:spacing w:line="360" w:lineRule="auto"/>
              <w:jc w:val="center"/>
              <w:rPr>
                <w:rFonts w:ascii="宋体" w:hAnsi="宋体" w:cs="宋体"/>
                <w:b/>
                <w:color w:val="auto"/>
                <w:sz w:val="24"/>
              </w:rPr>
            </w:pPr>
            <w:r>
              <w:rPr>
                <w:rFonts w:hint="eastAsia" w:ascii="宋体" w:hAnsi="宋体" w:cs="宋体"/>
                <w:b/>
                <w:color w:val="auto"/>
                <w:sz w:val="24"/>
              </w:rPr>
              <w:t>投标报价（小写）</w:t>
            </w:r>
          </w:p>
        </w:tc>
        <w:tc>
          <w:tcPr>
            <w:tcW w:w="7655" w:type="dxa"/>
            <w:gridSpan w:val="4"/>
            <w:vAlign w:val="center"/>
          </w:tcPr>
          <w:p w14:paraId="53E9662A">
            <w:pPr>
              <w:spacing w:line="360" w:lineRule="auto"/>
              <w:jc w:val="center"/>
              <w:rPr>
                <w:rFonts w:ascii="宋体" w:hAnsi="宋体" w:cs="宋体"/>
                <w:color w:val="auto"/>
                <w:sz w:val="24"/>
              </w:rPr>
            </w:pPr>
          </w:p>
        </w:tc>
      </w:tr>
      <w:tr w14:paraId="35D72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0A3353D1">
            <w:pPr>
              <w:spacing w:line="360" w:lineRule="auto"/>
              <w:jc w:val="center"/>
              <w:rPr>
                <w:rFonts w:ascii="宋体" w:hAnsi="宋体" w:cs="宋体"/>
                <w:b/>
                <w:color w:val="auto"/>
                <w:sz w:val="24"/>
              </w:rPr>
            </w:pPr>
            <w:r>
              <w:rPr>
                <w:rFonts w:hint="eastAsia" w:ascii="宋体" w:hAnsi="宋体" w:cs="宋体"/>
                <w:b/>
                <w:color w:val="auto"/>
                <w:sz w:val="24"/>
              </w:rPr>
              <w:t>投标报价（大写）</w:t>
            </w:r>
          </w:p>
        </w:tc>
        <w:tc>
          <w:tcPr>
            <w:tcW w:w="7655" w:type="dxa"/>
            <w:gridSpan w:val="4"/>
            <w:vAlign w:val="center"/>
          </w:tcPr>
          <w:p w14:paraId="1642C8ED">
            <w:pPr>
              <w:spacing w:line="360" w:lineRule="auto"/>
              <w:jc w:val="center"/>
              <w:rPr>
                <w:rFonts w:ascii="宋体" w:hAnsi="宋体" w:cs="宋体"/>
                <w:color w:val="auto"/>
                <w:sz w:val="24"/>
              </w:rPr>
            </w:pPr>
          </w:p>
        </w:tc>
      </w:tr>
    </w:tbl>
    <w:p w14:paraId="7262038E">
      <w:pPr>
        <w:snapToGrid w:val="0"/>
        <w:spacing w:line="360" w:lineRule="auto"/>
        <w:ind w:left="480"/>
        <w:rPr>
          <w:rFonts w:ascii="宋体" w:hAnsi="宋体" w:cs="宋体"/>
          <w:b/>
          <w:color w:val="auto"/>
          <w:kern w:val="0"/>
          <w:sz w:val="24"/>
          <w:lang w:val="zh-CN"/>
        </w:rPr>
      </w:pPr>
      <w:r>
        <w:rPr>
          <w:rFonts w:hint="eastAsia" w:ascii="宋体" w:hAnsi="宋体" w:cs="宋体"/>
          <w:b/>
          <w:color w:val="auto"/>
          <w:kern w:val="0"/>
          <w:sz w:val="24"/>
          <w:lang w:val="zh-CN"/>
        </w:rPr>
        <w:t>注：</w:t>
      </w:r>
    </w:p>
    <w:p w14:paraId="1023E0E7">
      <w:pPr>
        <w:spacing w:line="360" w:lineRule="auto"/>
        <w:ind w:left="-2" w:leftChars="-1" w:firstLine="480" w:firstLineChars="200"/>
        <w:rPr>
          <w:rFonts w:ascii="宋体" w:hAnsi="宋体" w:cs="宋体"/>
          <w:color w:val="auto"/>
          <w:kern w:val="0"/>
          <w:sz w:val="24"/>
          <w:lang w:val="zh-CN"/>
        </w:rPr>
      </w:pPr>
      <w:r>
        <w:rPr>
          <w:rFonts w:hint="eastAsia" w:ascii="宋体" w:hAnsi="宋体" w:cs="宋体"/>
          <w:color w:val="auto"/>
          <w:kern w:val="0"/>
          <w:sz w:val="24"/>
          <w:lang w:val="zh-CN"/>
        </w:rPr>
        <w:t>1、投标人需按本表格式填写</w:t>
      </w:r>
      <w:r>
        <w:rPr>
          <w:rFonts w:hint="eastAsia" w:ascii="宋体" w:hAnsi="宋体" w:cs="宋体"/>
          <w:b/>
          <w:color w:val="auto"/>
          <w:kern w:val="0"/>
          <w:sz w:val="24"/>
          <w:lang w:val="zh-CN"/>
        </w:rPr>
        <w:t>，</w:t>
      </w:r>
      <w:r>
        <w:rPr>
          <w:rFonts w:hint="eastAsia" w:ascii="宋体" w:hAnsi="宋体" w:cs="宋体"/>
          <w:b/>
          <w:color w:val="auto"/>
          <w:kern w:val="0"/>
          <w:sz w:val="24"/>
        </w:rPr>
        <w:t>否则视为</w:t>
      </w:r>
      <w:r>
        <w:rPr>
          <w:rFonts w:hint="eastAsia" w:ascii="宋体" w:hAnsi="宋体" w:cs="宋体"/>
          <w:b/>
          <w:color w:val="auto"/>
          <w:sz w:val="24"/>
        </w:rPr>
        <w:t>投标文件含有采购人不能接受的附加条件，投标无效</w:t>
      </w:r>
      <w:r>
        <w:rPr>
          <w:rFonts w:hint="eastAsia" w:ascii="宋体" w:hAnsi="宋体" w:cs="宋体"/>
          <w:color w:val="auto"/>
          <w:kern w:val="0"/>
          <w:sz w:val="24"/>
          <w:lang w:val="zh-CN"/>
        </w:rPr>
        <w:t>。</w:t>
      </w:r>
    </w:p>
    <w:p w14:paraId="1D354605">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lang w:val="zh-CN"/>
        </w:rPr>
        <w:t>2、有关本项目实施所涉及的一切费用均计入报价。</w:t>
      </w:r>
      <w:r>
        <w:rPr>
          <w:rFonts w:hint="eastAsia" w:ascii="宋体" w:hAnsi="宋体" w:cs="宋体"/>
          <w:color w:val="auto"/>
          <w:kern w:val="0"/>
          <w:sz w:val="24"/>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w:t>
      </w:r>
      <w:bookmarkStart w:id="418" w:name="_GoBack"/>
      <w:r>
        <w:rPr>
          <w:rFonts w:hint="eastAsia" w:ascii="宋体" w:hAnsi="宋体" w:eastAsia="宋体" w:cs="宋体"/>
          <w:color w:val="auto"/>
          <w:spacing w:val="0"/>
          <w:kern w:val="0"/>
          <w:sz w:val="24"/>
          <w:szCs w:val="24"/>
          <w:highlight w:val="none"/>
          <w:lang w:eastAsia="zh-CN"/>
        </w:rPr>
        <w:t>零</w:t>
      </w:r>
      <w:r>
        <w:rPr>
          <w:rFonts w:hint="eastAsia" w:ascii="宋体" w:hAnsi="宋体" w:eastAsia="宋体" w:cs="宋体"/>
          <w:color w:val="auto"/>
          <w:spacing w:val="0"/>
          <w:kern w:val="0"/>
          <w:sz w:val="24"/>
          <w:szCs w:val="24"/>
          <w:highlight w:val="none"/>
        </w:rPr>
        <w:t>，报价明细表中</w:t>
      </w:r>
      <w:bookmarkEnd w:id="418"/>
      <w:r>
        <w:rPr>
          <w:rFonts w:hint="eastAsia" w:ascii="宋体" w:hAnsi="宋体" w:cs="宋体"/>
          <w:color w:val="auto"/>
          <w:spacing w:val="0"/>
          <w:kern w:val="0"/>
          <w:sz w:val="24"/>
          <w:szCs w:val="24"/>
          <w:highlight w:val="none"/>
          <w:lang w:eastAsia="zh-CN"/>
        </w:rPr>
        <w:t>（删除）</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lang w:val="zh-CN"/>
        </w:rPr>
        <w:t>采购内容未包含在《开标一览表（报价表）》名称栏中，投标人不能作出合理解释的，</w:t>
      </w:r>
      <w:r>
        <w:rPr>
          <w:rFonts w:hint="eastAsia" w:ascii="宋体" w:hAnsi="宋体" w:cs="宋体"/>
          <w:b/>
          <w:color w:val="auto"/>
          <w:kern w:val="0"/>
          <w:sz w:val="24"/>
        </w:rPr>
        <w:t>视为</w:t>
      </w:r>
      <w:r>
        <w:rPr>
          <w:rFonts w:hint="eastAsia" w:ascii="宋体" w:hAnsi="宋体" w:cs="宋体"/>
          <w:b/>
          <w:color w:val="auto"/>
          <w:sz w:val="24"/>
        </w:rPr>
        <w:t>投标文件含有采购人不能接受的附加条件的，投标无效。</w:t>
      </w:r>
    </w:p>
    <w:p w14:paraId="097F0C3E">
      <w:pPr>
        <w:snapToGrid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3、特别提示：采购代理机构将对项目名称和项目编号，中标供应商名称、地址和中标金额，主要中标标的名称、品牌（如果有）、规格型号、数量、单价等予以公示。</w:t>
      </w:r>
    </w:p>
    <w:p w14:paraId="4FFFD37E">
      <w:pPr>
        <w:snapToGrid w:val="0"/>
        <w:spacing w:line="360" w:lineRule="auto"/>
        <w:ind w:firstLine="480" w:firstLineChars="200"/>
        <w:jc w:val="left"/>
        <w:rPr>
          <w:rFonts w:ascii="宋体" w:hAnsi="宋体" w:cs="宋体"/>
          <w:color w:val="auto"/>
          <w:kern w:val="0"/>
          <w:sz w:val="24"/>
          <w:lang w:val="zh-CN"/>
        </w:rPr>
      </w:pPr>
    </w:p>
    <w:p w14:paraId="0966D7EE">
      <w:pPr>
        <w:spacing w:line="360" w:lineRule="auto"/>
        <w:ind w:firstLine="482" w:firstLineChars="200"/>
        <w:rPr>
          <w:rFonts w:ascii="宋体" w:hAnsi="宋体" w:cs="宋体"/>
          <w:b/>
          <w:color w:val="auto"/>
          <w:kern w:val="0"/>
          <w:sz w:val="24"/>
        </w:rPr>
      </w:pPr>
    </w:p>
    <w:p w14:paraId="70C62418">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pPr>
    </w:p>
    <w:p w14:paraId="797FD8A5">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sectPr>
          <w:pgSz w:w="16838" w:h="11906" w:orient="landscape"/>
          <w:pgMar w:top="1803" w:right="1440" w:bottom="1803" w:left="1440" w:header="851" w:footer="992" w:gutter="0"/>
          <w:cols w:space="0" w:num="1"/>
          <w:rtlGutter w:val="0"/>
          <w:docGrid w:type="lines" w:linePitch="319" w:charSpace="0"/>
        </w:sectPr>
      </w:pPr>
    </w:p>
    <w:p w14:paraId="6FB25FE5">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lang w:val="en-US" w:eastAsia="zh-CN"/>
        </w:rPr>
      </w:pPr>
    </w:p>
    <w:p w14:paraId="40F62F11">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rPr>
      </w:pPr>
      <w:r>
        <w:rPr>
          <w:rFonts w:hint="eastAsia" w:ascii="宋体" w:hAnsi="宋体" w:eastAsia="宋体" w:cs="宋体"/>
          <w:color w:val="auto"/>
          <w:kern w:val="2"/>
          <w:sz w:val="32"/>
          <w:szCs w:val="32"/>
          <w:lang w:val="en-US" w:eastAsia="zh-CN"/>
        </w:rPr>
        <w:t>三</w:t>
      </w:r>
      <w:r>
        <w:rPr>
          <w:rFonts w:hint="eastAsia" w:ascii="宋体" w:hAnsi="宋体" w:eastAsia="宋体" w:cs="宋体"/>
          <w:color w:val="auto"/>
          <w:kern w:val="2"/>
          <w:sz w:val="32"/>
          <w:szCs w:val="32"/>
        </w:rPr>
        <w:t>、</w:t>
      </w:r>
      <w:r>
        <w:rPr>
          <w:rFonts w:hint="eastAsia" w:ascii="宋体" w:hAnsi="宋体" w:eastAsia="宋体" w:cs="宋体"/>
          <w:color w:val="auto"/>
          <w:sz w:val="32"/>
          <w:szCs w:val="32"/>
        </w:rPr>
        <w:t>中小企业声明函</w:t>
      </w:r>
      <w:bookmarkStart w:id="408" w:name="_Hlk101259491"/>
      <w:r>
        <w:rPr>
          <w:rFonts w:hint="eastAsia" w:ascii="宋体" w:hAnsi="宋体" w:eastAsia="宋体" w:cs="宋体"/>
          <w:color w:val="auto"/>
          <w:sz w:val="32"/>
          <w:szCs w:val="32"/>
        </w:rPr>
        <w:t>（如果有）</w:t>
      </w:r>
      <w:bookmarkEnd w:id="408"/>
    </w:p>
    <w:p w14:paraId="30AC855A">
      <w:pPr>
        <w:spacing w:line="360" w:lineRule="auto"/>
        <w:ind w:right="420" w:firstLine="2409" w:firstLineChars="1000"/>
        <w:rPr>
          <w:rFonts w:ascii="宋体" w:hAnsi="宋体" w:cs="宋体"/>
          <w:b/>
          <w:color w:val="auto"/>
          <w:kern w:val="0"/>
          <w:sz w:val="36"/>
          <w:szCs w:val="36"/>
        </w:rPr>
      </w:pPr>
      <w:r>
        <w:rPr>
          <w:rFonts w:hint="eastAsia" w:ascii="宋体" w:hAnsi="宋体" w:cs="宋体"/>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rPr>
        <w:t>7</w:t>
      </w:r>
      <w:r>
        <w:rPr>
          <w:rFonts w:hint="eastAsia" w:ascii="宋体" w:hAnsi="宋体" w:cs="宋体"/>
          <w:b/>
          <w:color w:val="auto"/>
          <w:sz w:val="24"/>
        </w:rPr>
        <w:t>）。]</w:t>
      </w:r>
    </w:p>
    <w:p w14:paraId="65F08E94">
      <w:pPr>
        <w:spacing w:line="360" w:lineRule="auto"/>
        <w:ind w:right="420" w:firstLine="3614" w:firstLineChars="1000"/>
        <w:rPr>
          <w:rFonts w:ascii="宋体" w:hAnsi="宋体" w:cs="宋体"/>
          <w:b/>
          <w:color w:val="auto"/>
          <w:kern w:val="0"/>
          <w:sz w:val="36"/>
          <w:szCs w:val="36"/>
        </w:rPr>
      </w:pPr>
    </w:p>
    <w:p w14:paraId="73C80EF7">
      <w:pPr>
        <w:spacing w:line="360" w:lineRule="auto"/>
        <w:ind w:right="420" w:firstLine="3614" w:firstLineChars="1000"/>
        <w:rPr>
          <w:rFonts w:ascii="宋体" w:hAnsi="宋体" w:cs="宋体"/>
          <w:b/>
          <w:color w:val="auto"/>
          <w:kern w:val="0"/>
          <w:sz w:val="36"/>
          <w:szCs w:val="36"/>
        </w:rPr>
      </w:pPr>
    </w:p>
    <w:p w14:paraId="67AE0B8B">
      <w:pPr>
        <w:spacing w:line="360" w:lineRule="auto"/>
        <w:ind w:right="420" w:firstLine="3614" w:firstLineChars="1000"/>
        <w:rPr>
          <w:rFonts w:ascii="宋体" w:hAnsi="宋体" w:cs="宋体"/>
          <w:b/>
          <w:color w:val="auto"/>
          <w:kern w:val="0"/>
          <w:sz w:val="36"/>
          <w:szCs w:val="36"/>
        </w:rPr>
      </w:pPr>
    </w:p>
    <w:p w14:paraId="03CD7F82">
      <w:pPr>
        <w:spacing w:line="360" w:lineRule="auto"/>
        <w:ind w:right="420" w:firstLine="3614" w:firstLineChars="1000"/>
        <w:rPr>
          <w:rFonts w:ascii="宋体" w:hAnsi="宋体" w:cs="宋体"/>
          <w:b/>
          <w:color w:val="auto"/>
          <w:kern w:val="0"/>
          <w:sz w:val="36"/>
          <w:szCs w:val="36"/>
        </w:rPr>
      </w:pPr>
    </w:p>
    <w:p w14:paraId="30F346F4">
      <w:pPr>
        <w:spacing w:line="360" w:lineRule="auto"/>
        <w:ind w:right="420" w:firstLine="3614" w:firstLineChars="1000"/>
        <w:rPr>
          <w:rFonts w:ascii="宋体" w:hAnsi="宋体" w:cs="宋体"/>
          <w:b/>
          <w:color w:val="auto"/>
          <w:kern w:val="0"/>
          <w:sz w:val="36"/>
          <w:szCs w:val="36"/>
        </w:rPr>
      </w:pPr>
    </w:p>
    <w:p w14:paraId="2567E453">
      <w:pPr>
        <w:spacing w:line="360" w:lineRule="auto"/>
        <w:ind w:right="420" w:firstLine="3614" w:firstLineChars="1000"/>
        <w:rPr>
          <w:rFonts w:ascii="宋体" w:hAnsi="宋体" w:cs="宋体"/>
          <w:b/>
          <w:color w:val="auto"/>
          <w:kern w:val="0"/>
          <w:sz w:val="36"/>
          <w:szCs w:val="36"/>
        </w:rPr>
      </w:pPr>
    </w:p>
    <w:p w14:paraId="1F726429">
      <w:pPr>
        <w:spacing w:line="360" w:lineRule="auto"/>
        <w:ind w:right="420" w:firstLine="3614" w:firstLineChars="1000"/>
        <w:rPr>
          <w:rFonts w:ascii="宋体" w:hAnsi="宋体" w:cs="宋体"/>
          <w:b/>
          <w:color w:val="auto"/>
          <w:kern w:val="0"/>
          <w:sz w:val="36"/>
          <w:szCs w:val="36"/>
        </w:rPr>
      </w:pPr>
    </w:p>
    <w:p w14:paraId="6F7CAE4A">
      <w:pPr>
        <w:spacing w:line="360" w:lineRule="auto"/>
        <w:ind w:right="420" w:firstLine="3614" w:firstLineChars="1000"/>
        <w:rPr>
          <w:rFonts w:ascii="宋体" w:hAnsi="宋体" w:cs="宋体"/>
          <w:b/>
          <w:color w:val="auto"/>
          <w:kern w:val="0"/>
          <w:sz w:val="36"/>
          <w:szCs w:val="36"/>
        </w:rPr>
      </w:pPr>
    </w:p>
    <w:p w14:paraId="257AEB9E">
      <w:pPr>
        <w:spacing w:line="360" w:lineRule="auto"/>
        <w:ind w:right="420" w:firstLine="3614" w:firstLineChars="1000"/>
        <w:rPr>
          <w:rFonts w:ascii="宋体" w:hAnsi="宋体" w:cs="宋体"/>
          <w:b/>
          <w:color w:val="auto"/>
          <w:kern w:val="0"/>
          <w:sz w:val="36"/>
          <w:szCs w:val="36"/>
        </w:rPr>
      </w:pPr>
    </w:p>
    <w:p w14:paraId="6F9654F6">
      <w:pPr>
        <w:spacing w:line="360" w:lineRule="auto"/>
        <w:ind w:right="420" w:firstLine="3614" w:firstLineChars="1000"/>
        <w:rPr>
          <w:rFonts w:ascii="宋体" w:hAnsi="宋体" w:cs="宋体"/>
          <w:b/>
          <w:color w:val="auto"/>
          <w:kern w:val="0"/>
          <w:sz w:val="36"/>
          <w:szCs w:val="36"/>
        </w:rPr>
      </w:pPr>
    </w:p>
    <w:p w14:paraId="1570D51D">
      <w:pPr>
        <w:spacing w:line="360" w:lineRule="auto"/>
        <w:ind w:right="420" w:firstLine="3614" w:firstLineChars="1000"/>
        <w:rPr>
          <w:rFonts w:ascii="宋体" w:hAnsi="宋体" w:cs="宋体"/>
          <w:b/>
          <w:color w:val="auto"/>
          <w:kern w:val="0"/>
          <w:sz w:val="36"/>
          <w:szCs w:val="36"/>
        </w:rPr>
      </w:pPr>
    </w:p>
    <w:p w14:paraId="4985A95B">
      <w:pPr>
        <w:spacing w:line="360" w:lineRule="auto"/>
        <w:ind w:right="420" w:firstLine="3614" w:firstLineChars="1000"/>
        <w:rPr>
          <w:rFonts w:ascii="宋体" w:hAnsi="宋体" w:cs="宋体"/>
          <w:b/>
          <w:color w:val="auto"/>
          <w:kern w:val="0"/>
          <w:sz w:val="36"/>
          <w:szCs w:val="36"/>
        </w:rPr>
      </w:pPr>
    </w:p>
    <w:p w14:paraId="020A15DA">
      <w:pPr>
        <w:spacing w:line="360" w:lineRule="auto"/>
        <w:ind w:right="420" w:firstLine="3614" w:firstLineChars="1000"/>
        <w:rPr>
          <w:rFonts w:ascii="宋体" w:hAnsi="宋体" w:cs="宋体"/>
          <w:b/>
          <w:color w:val="auto"/>
          <w:kern w:val="0"/>
          <w:sz w:val="36"/>
          <w:szCs w:val="36"/>
        </w:rPr>
      </w:pPr>
    </w:p>
    <w:p w14:paraId="4B777029">
      <w:pPr>
        <w:spacing w:line="360" w:lineRule="auto"/>
        <w:ind w:right="420" w:firstLine="3614" w:firstLineChars="1000"/>
        <w:rPr>
          <w:rFonts w:ascii="宋体" w:hAnsi="宋体" w:cs="宋体"/>
          <w:b/>
          <w:color w:val="auto"/>
          <w:kern w:val="0"/>
          <w:sz w:val="36"/>
          <w:szCs w:val="36"/>
        </w:rPr>
      </w:pPr>
    </w:p>
    <w:p w14:paraId="526F1131">
      <w:pPr>
        <w:spacing w:line="360" w:lineRule="auto"/>
        <w:ind w:right="420" w:firstLine="3614" w:firstLineChars="1000"/>
        <w:rPr>
          <w:rFonts w:ascii="宋体" w:hAnsi="宋体" w:cs="宋体"/>
          <w:b/>
          <w:color w:val="auto"/>
          <w:kern w:val="0"/>
          <w:sz w:val="36"/>
          <w:szCs w:val="36"/>
        </w:rPr>
      </w:pPr>
    </w:p>
    <w:p w14:paraId="08F3B236">
      <w:pPr>
        <w:pStyle w:val="2"/>
        <w:keepNext w:val="0"/>
        <w:keepLines w:val="0"/>
        <w:pageBreakBefore/>
        <w:widowControl/>
        <w:spacing w:before="100" w:beforeAutospacing="1" w:after="100" w:afterAutospacing="1" w:line="360" w:lineRule="auto"/>
        <w:ind w:left="1290" w:firstLine="3092" w:firstLineChars="700"/>
        <w:rPr>
          <w:rFonts w:ascii="宋体" w:hAnsi="宋体" w:cs="宋体"/>
          <w:color w:val="auto"/>
        </w:rPr>
      </w:pPr>
      <w:bookmarkStart w:id="409" w:name="_Toc465665161"/>
      <w:r>
        <w:rPr>
          <w:rFonts w:hint="eastAsia" w:ascii="宋体" w:hAnsi="宋体" w:cs="宋体"/>
          <w:color w:val="auto"/>
        </w:rPr>
        <w:t>附件</w:t>
      </w:r>
      <w:bookmarkEnd w:id="409"/>
    </w:p>
    <w:p w14:paraId="50D946A3">
      <w:pPr>
        <w:spacing w:line="360" w:lineRule="auto"/>
        <w:rPr>
          <w:rFonts w:ascii="宋体" w:hAnsi="宋体" w:cs="宋体"/>
          <w:b/>
          <w:color w:val="auto"/>
          <w:spacing w:val="6"/>
          <w:sz w:val="32"/>
          <w:szCs w:val="32"/>
        </w:rPr>
      </w:pPr>
      <w:r>
        <w:rPr>
          <w:rFonts w:hint="eastAsia" w:ascii="宋体" w:hAnsi="宋体" w:cs="宋体"/>
          <w:b/>
          <w:color w:val="auto"/>
          <w:spacing w:val="6"/>
          <w:sz w:val="32"/>
          <w:szCs w:val="32"/>
        </w:rPr>
        <w:t>附件1：</w:t>
      </w:r>
    </w:p>
    <w:p w14:paraId="79F1824C">
      <w:pPr>
        <w:spacing w:line="360" w:lineRule="auto"/>
        <w:jc w:val="center"/>
        <w:rPr>
          <w:rFonts w:ascii="宋体" w:hAnsi="宋体" w:cs="宋体"/>
          <w:b/>
          <w:color w:val="auto"/>
          <w:spacing w:val="6"/>
          <w:sz w:val="32"/>
          <w:szCs w:val="32"/>
        </w:rPr>
      </w:pPr>
      <w:bookmarkStart w:id="410" w:name="OLE_LINK14"/>
      <w:bookmarkStart w:id="411" w:name="OLE_LINK13"/>
      <w:r>
        <w:rPr>
          <w:rFonts w:hint="eastAsia" w:ascii="宋体" w:hAnsi="宋体" w:cs="宋体"/>
          <w:b/>
          <w:color w:val="auto"/>
          <w:spacing w:val="6"/>
          <w:sz w:val="32"/>
          <w:szCs w:val="32"/>
        </w:rPr>
        <w:t>残疾人福利性单位声明函</w:t>
      </w:r>
    </w:p>
    <w:bookmarkEnd w:id="410"/>
    <w:bookmarkEnd w:id="411"/>
    <w:p w14:paraId="0A50646C">
      <w:pPr>
        <w:spacing w:line="360" w:lineRule="auto"/>
        <w:rPr>
          <w:rFonts w:ascii="宋体" w:hAnsi="宋体" w:cs="宋体"/>
          <w:b/>
          <w:color w:val="auto"/>
          <w:spacing w:val="6"/>
          <w:sz w:val="30"/>
          <w:szCs w:val="30"/>
        </w:rPr>
      </w:pPr>
    </w:p>
    <w:p w14:paraId="05E6A7B9">
      <w:pPr>
        <w:spacing w:line="360" w:lineRule="auto"/>
        <w:ind w:firstLine="480" w:firstLineChars="200"/>
        <w:rPr>
          <w:rFonts w:ascii="宋体" w:hAnsi="宋体" w:cs="宋体"/>
          <w:color w:val="auto"/>
          <w:sz w:val="24"/>
        </w:rPr>
      </w:pPr>
      <w:r>
        <w:rPr>
          <w:rFonts w:hint="eastAsia" w:ascii="宋体" w:hAnsi="宋体" w:cs="宋体"/>
          <w:color w:val="auto"/>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u w:val="single"/>
        </w:rPr>
        <w:t>（采购人）</w:t>
      </w:r>
      <w:r>
        <w:rPr>
          <w:rFonts w:hint="eastAsia" w:ascii="宋体" w:hAnsi="宋体" w:cs="宋体"/>
          <w:color w:val="auto"/>
          <w:sz w:val="24"/>
        </w:rPr>
        <w:t>_单位的_</w:t>
      </w:r>
      <w:r>
        <w:rPr>
          <w:rFonts w:hint="eastAsia" w:ascii="宋体" w:hAnsi="宋体" w:cs="宋体"/>
          <w:color w:val="auto"/>
          <w:sz w:val="24"/>
          <w:u w:val="single"/>
        </w:rPr>
        <w:t>（项目名称）</w:t>
      </w:r>
      <w:r>
        <w:rPr>
          <w:rFonts w:hint="eastAsia" w:ascii="宋体" w:hAnsi="宋体" w:cs="宋体"/>
          <w:color w:val="auto"/>
          <w:sz w:val="24"/>
        </w:rPr>
        <w:t>__项目采购活动提供本单位制造的货物（由本单位承担工程/提供服务），或者提供其他残疾人福利性单位制造的货物（不包括使用非残疾人福利性单位注册商标的货物）。</w:t>
      </w:r>
    </w:p>
    <w:p w14:paraId="1068F596">
      <w:pPr>
        <w:spacing w:line="360" w:lineRule="auto"/>
        <w:ind w:firstLine="480" w:firstLineChars="200"/>
        <w:rPr>
          <w:rFonts w:ascii="宋体" w:hAnsi="宋体" w:cs="宋体"/>
          <w:color w:val="auto"/>
          <w:sz w:val="24"/>
        </w:rPr>
      </w:pPr>
      <w:r>
        <w:rPr>
          <w:rFonts w:hint="eastAsia" w:ascii="宋体" w:hAnsi="宋体" w:cs="宋体"/>
          <w:color w:val="auto"/>
          <w:sz w:val="24"/>
        </w:rPr>
        <w:t>本单位对上述声明的真实性负责。如有虚假，将依法承担相应责任。</w:t>
      </w:r>
    </w:p>
    <w:p w14:paraId="0D3414F0">
      <w:pPr>
        <w:spacing w:line="360" w:lineRule="auto"/>
        <w:ind w:firstLine="480" w:firstLineChars="200"/>
        <w:rPr>
          <w:rFonts w:ascii="宋体" w:hAnsi="宋体" w:cs="宋体"/>
          <w:color w:val="auto"/>
          <w:sz w:val="24"/>
        </w:rPr>
      </w:pPr>
    </w:p>
    <w:p w14:paraId="1EDDA900">
      <w:pPr>
        <w:spacing w:line="360" w:lineRule="auto"/>
        <w:ind w:firstLine="480" w:firstLineChars="200"/>
        <w:rPr>
          <w:rFonts w:ascii="宋体" w:hAnsi="宋体" w:cs="宋体"/>
          <w:color w:val="auto"/>
          <w:sz w:val="24"/>
        </w:rPr>
      </w:pPr>
    </w:p>
    <w:p w14:paraId="7991F836">
      <w:pPr>
        <w:tabs>
          <w:tab w:val="left" w:pos="4860"/>
        </w:tabs>
        <w:spacing w:line="360" w:lineRule="auto"/>
        <w:ind w:right="1560" w:firstLine="480" w:firstLineChars="200"/>
        <w:jc w:val="center"/>
        <w:rPr>
          <w:rFonts w:ascii="宋体" w:hAnsi="宋体" w:cs="宋体"/>
          <w:color w:val="auto"/>
          <w:sz w:val="24"/>
        </w:rPr>
      </w:pPr>
      <w:r>
        <w:rPr>
          <w:rFonts w:hint="eastAsia" w:ascii="宋体" w:hAnsi="宋体" w:cs="宋体"/>
          <w:color w:val="auto"/>
          <w:sz w:val="24"/>
        </w:rPr>
        <w:t xml:space="preserve">               </w:t>
      </w:r>
      <w:r>
        <w:rPr>
          <w:rFonts w:hint="eastAsia" w:ascii="宋体" w:hAnsi="宋体" w:cs="宋体"/>
          <w:color w:val="auto"/>
          <w:kern w:val="0"/>
          <w:sz w:val="24"/>
          <w:lang w:val="zh-CN"/>
        </w:rPr>
        <w:t>投标人名称（电子签名）</w:t>
      </w:r>
      <w:r>
        <w:rPr>
          <w:rFonts w:hint="eastAsia" w:ascii="宋体" w:hAnsi="宋体" w:cs="宋体"/>
          <w:color w:val="auto"/>
          <w:sz w:val="24"/>
        </w:rPr>
        <w:t>：</w:t>
      </w:r>
    </w:p>
    <w:p w14:paraId="2A31C0AB">
      <w:pPr>
        <w:tabs>
          <w:tab w:val="left" w:pos="4860"/>
        </w:tabs>
        <w:spacing w:line="360" w:lineRule="auto"/>
        <w:ind w:right="1560" w:firstLine="480" w:firstLineChars="200"/>
        <w:jc w:val="center"/>
        <w:rPr>
          <w:rFonts w:ascii="宋体" w:hAnsi="宋体" w:cs="宋体"/>
          <w:color w:val="auto"/>
          <w:sz w:val="24"/>
        </w:rPr>
      </w:pPr>
      <w:r>
        <w:rPr>
          <w:rFonts w:hint="eastAsia" w:ascii="宋体" w:hAnsi="宋体" w:cs="宋体"/>
          <w:color w:val="auto"/>
          <w:sz w:val="24"/>
        </w:rPr>
        <w:t xml:space="preserve">       日  期：</w:t>
      </w:r>
    </w:p>
    <w:p w14:paraId="6E347CA2">
      <w:pPr>
        <w:spacing w:line="360" w:lineRule="auto"/>
        <w:ind w:firstLine="480" w:firstLineChars="200"/>
        <w:rPr>
          <w:rFonts w:ascii="宋体" w:hAnsi="宋体" w:cs="宋体"/>
          <w:color w:val="auto"/>
          <w:sz w:val="24"/>
        </w:rPr>
      </w:pPr>
    </w:p>
    <w:p w14:paraId="651DCB70">
      <w:pPr>
        <w:spacing w:line="360" w:lineRule="auto"/>
        <w:ind w:firstLine="420" w:firstLineChars="200"/>
        <w:rPr>
          <w:rFonts w:ascii="宋体" w:hAnsi="宋体" w:cs="宋体"/>
          <w:color w:val="auto"/>
        </w:rPr>
      </w:pPr>
    </w:p>
    <w:p w14:paraId="176D0071">
      <w:pPr>
        <w:spacing w:line="360" w:lineRule="auto"/>
        <w:ind w:firstLine="420" w:firstLineChars="200"/>
        <w:rPr>
          <w:rFonts w:ascii="宋体" w:hAnsi="宋体" w:cs="宋体"/>
          <w:color w:val="auto"/>
        </w:rPr>
      </w:pPr>
    </w:p>
    <w:p w14:paraId="1D04D257">
      <w:pPr>
        <w:spacing w:line="360" w:lineRule="auto"/>
        <w:ind w:firstLine="420" w:firstLineChars="200"/>
        <w:rPr>
          <w:rFonts w:ascii="宋体" w:hAnsi="宋体" w:cs="宋体"/>
          <w:color w:val="auto"/>
        </w:rPr>
      </w:pPr>
    </w:p>
    <w:p w14:paraId="18D16D66">
      <w:pPr>
        <w:spacing w:line="360" w:lineRule="auto"/>
        <w:ind w:firstLine="420" w:firstLineChars="200"/>
        <w:rPr>
          <w:rFonts w:ascii="宋体" w:hAnsi="宋体" w:cs="宋体"/>
          <w:color w:val="auto"/>
        </w:rPr>
      </w:pPr>
    </w:p>
    <w:p w14:paraId="1EA028E7">
      <w:pPr>
        <w:spacing w:line="360" w:lineRule="auto"/>
        <w:rPr>
          <w:rFonts w:ascii="宋体" w:hAnsi="宋体" w:cs="宋体"/>
          <w:b/>
          <w:color w:val="auto"/>
          <w:sz w:val="24"/>
        </w:rPr>
      </w:pPr>
    </w:p>
    <w:p w14:paraId="77536FC2">
      <w:pPr>
        <w:spacing w:line="360" w:lineRule="auto"/>
        <w:rPr>
          <w:rFonts w:ascii="宋体" w:hAnsi="宋体" w:cs="宋体"/>
          <w:b/>
          <w:color w:val="auto"/>
          <w:sz w:val="24"/>
        </w:rPr>
      </w:pPr>
    </w:p>
    <w:p w14:paraId="266B2433">
      <w:pPr>
        <w:spacing w:line="360" w:lineRule="auto"/>
        <w:rPr>
          <w:rFonts w:ascii="宋体" w:hAnsi="宋体" w:cs="宋体"/>
          <w:b/>
          <w:color w:val="auto"/>
          <w:sz w:val="24"/>
        </w:rPr>
      </w:pPr>
    </w:p>
    <w:p w14:paraId="0A45A021">
      <w:pPr>
        <w:spacing w:line="360" w:lineRule="auto"/>
        <w:rPr>
          <w:rFonts w:ascii="宋体" w:hAnsi="宋体" w:cs="宋体"/>
          <w:b/>
          <w:color w:val="auto"/>
          <w:sz w:val="24"/>
        </w:rPr>
      </w:pPr>
    </w:p>
    <w:p w14:paraId="24DE250C">
      <w:pPr>
        <w:spacing w:line="360" w:lineRule="auto"/>
        <w:rPr>
          <w:rFonts w:ascii="宋体" w:hAnsi="宋体" w:cs="宋体"/>
          <w:b/>
          <w:color w:val="auto"/>
          <w:sz w:val="24"/>
        </w:rPr>
      </w:pPr>
    </w:p>
    <w:p w14:paraId="2ECD4F41">
      <w:pPr>
        <w:spacing w:line="360" w:lineRule="auto"/>
        <w:rPr>
          <w:rFonts w:ascii="宋体" w:hAnsi="宋体" w:cs="宋体"/>
          <w:b/>
          <w:color w:val="auto"/>
          <w:sz w:val="24"/>
        </w:rPr>
      </w:pPr>
    </w:p>
    <w:p w14:paraId="019C98E3">
      <w:pPr>
        <w:spacing w:line="360" w:lineRule="auto"/>
        <w:jc w:val="left"/>
        <w:rPr>
          <w:rFonts w:ascii="宋体" w:hAnsi="宋体" w:cs="宋体"/>
          <w:b/>
          <w:color w:val="auto"/>
          <w:spacing w:val="6"/>
          <w:sz w:val="32"/>
          <w:szCs w:val="32"/>
        </w:rPr>
      </w:pPr>
      <w:r>
        <w:rPr>
          <w:rFonts w:hint="eastAsia" w:ascii="宋体" w:hAnsi="宋体" w:cs="宋体"/>
          <w:b/>
          <w:color w:val="auto"/>
          <w:spacing w:val="6"/>
          <w:sz w:val="32"/>
          <w:szCs w:val="32"/>
        </w:rPr>
        <w:t>附件2：质疑函范本及制作说明</w:t>
      </w:r>
    </w:p>
    <w:p w14:paraId="2CF3C816">
      <w:pPr>
        <w:spacing w:line="360" w:lineRule="auto"/>
        <w:jc w:val="center"/>
        <w:rPr>
          <w:rFonts w:ascii="宋体" w:hAnsi="宋体" w:cs="宋体"/>
          <w:b/>
          <w:color w:val="auto"/>
          <w:spacing w:val="6"/>
          <w:sz w:val="32"/>
          <w:szCs w:val="32"/>
        </w:rPr>
      </w:pPr>
      <w:r>
        <w:rPr>
          <w:rFonts w:hint="eastAsia" w:ascii="宋体" w:hAnsi="宋体" w:cs="宋体"/>
          <w:b/>
          <w:color w:val="auto"/>
          <w:spacing w:val="6"/>
          <w:sz w:val="32"/>
          <w:szCs w:val="32"/>
        </w:rPr>
        <w:t>质疑函范本</w:t>
      </w:r>
    </w:p>
    <w:p w14:paraId="4C2C2083">
      <w:pPr>
        <w:snapToGrid w:val="0"/>
        <w:spacing w:before="240" w:beforeLines="100" w:line="360" w:lineRule="auto"/>
        <w:rPr>
          <w:rFonts w:ascii="宋体" w:hAnsi="宋体" w:cs="宋体"/>
          <w:bCs/>
          <w:color w:val="auto"/>
          <w:sz w:val="24"/>
        </w:rPr>
      </w:pPr>
      <w:r>
        <w:rPr>
          <w:rFonts w:hint="eastAsia" w:ascii="宋体" w:hAnsi="宋体" w:cs="宋体"/>
          <w:bCs/>
          <w:color w:val="auto"/>
          <w:sz w:val="24"/>
        </w:rPr>
        <w:t>一、质疑供应商基本信息</w:t>
      </w:r>
    </w:p>
    <w:p w14:paraId="68AD7807">
      <w:pPr>
        <w:snapToGrid w:val="0"/>
        <w:spacing w:line="360" w:lineRule="auto"/>
        <w:rPr>
          <w:rFonts w:ascii="宋体" w:hAnsi="宋体" w:cs="宋体"/>
          <w:color w:val="auto"/>
          <w:sz w:val="24"/>
          <w:u w:val="dotted"/>
        </w:rPr>
      </w:pPr>
      <w:r>
        <w:rPr>
          <w:rFonts w:hint="eastAsia" w:ascii="宋体" w:hAnsi="宋体" w:cs="宋体"/>
          <w:color w:val="auto"/>
          <w:sz w:val="24"/>
        </w:rPr>
        <w:t>质疑供应商：</w:t>
      </w:r>
      <w:r>
        <w:rPr>
          <w:rFonts w:hint="eastAsia" w:ascii="宋体" w:hAnsi="宋体" w:cs="宋体"/>
          <w:color w:val="auto"/>
          <w:sz w:val="24"/>
          <w:u w:val="dotted"/>
        </w:rPr>
        <w:t xml:space="preserve">                                        </w:t>
      </w:r>
    </w:p>
    <w:p w14:paraId="42D29695">
      <w:pPr>
        <w:snapToGrid w:val="0"/>
        <w:spacing w:line="360" w:lineRule="auto"/>
        <w:rPr>
          <w:rFonts w:ascii="宋体" w:hAnsi="宋体" w:cs="宋体"/>
          <w:color w:val="auto"/>
          <w:sz w:val="24"/>
        </w:rPr>
      </w:pPr>
      <w:r>
        <w:rPr>
          <w:rFonts w:hint="eastAsia" w:ascii="宋体" w:hAnsi="宋体" w:cs="宋体"/>
          <w:color w:val="auto"/>
          <w:sz w:val="24"/>
        </w:rPr>
        <w:t>地址：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p>
    <w:p w14:paraId="0A041C26">
      <w:pPr>
        <w:snapToGrid w:val="0"/>
        <w:spacing w:line="360" w:lineRule="auto"/>
        <w:rPr>
          <w:rFonts w:ascii="宋体" w:hAnsi="宋体" w:cs="宋体"/>
          <w:color w:val="auto"/>
          <w:sz w:val="24"/>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p>
    <w:p w14:paraId="0DA4F86A">
      <w:pPr>
        <w:snapToGrid w:val="0"/>
        <w:spacing w:line="360" w:lineRule="auto"/>
        <w:rPr>
          <w:rFonts w:ascii="宋体" w:hAnsi="宋体" w:cs="宋体"/>
          <w:color w:val="auto"/>
          <w:sz w:val="24"/>
          <w:u w:val="dotted"/>
        </w:rPr>
      </w:pPr>
      <w:r>
        <w:rPr>
          <w:rFonts w:hint="eastAsia" w:ascii="宋体" w:hAnsi="宋体" w:cs="宋体"/>
          <w:color w:val="auto"/>
          <w:sz w:val="24"/>
        </w:rPr>
        <w:t>授权代表：</w:t>
      </w:r>
      <w:r>
        <w:rPr>
          <w:rFonts w:hint="eastAsia" w:ascii="宋体" w:hAnsi="宋体" w:cs="宋体"/>
          <w:color w:val="auto"/>
          <w:sz w:val="24"/>
          <w:u w:val="dotted"/>
        </w:rPr>
        <w:t xml:space="preserve">                                          </w:t>
      </w:r>
    </w:p>
    <w:p w14:paraId="4674B2C9">
      <w:pPr>
        <w:snapToGrid w:val="0"/>
        <w:spacing w:line="360" w:lineRule="auto"/>
        <w:rPr>
          <w:rFonts w:ascii="宋体" w:hAnsi="宋体" w:cs="宋体"/>
          <w:color w:val="auto"/>
          <w:sz w:val="24"/>
        </w:rPr>
      </w:pP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2C35CB6B">
      <w:pPr>
        <w:snapToGrid w:val="0"/>
        <w:spacing w:line="360" w:lineRule="auto"/>
        <w:rPr>
          <w:rFonts w:ascii="宋体" w:hAnsi="宋体" w:cs="宋体"/>
          <w:color w:val="auto"/>
          <w:sz w:val="24"/>
        </w:rPr>
      </w:pPr>
      <w:r>
        <w:rPr>
          <w:rFonts w:hint="eastAsia" w:ascii="宋体" w:hAnsi="宋体" w:cs="宋体"/>
          <w:color w:val="auto"/>
          <w:sz w:val="24"/>
        </w:rPr>
        <w:t xml:space="preserve">地址： </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p>
    <w:p w14:paraId="4278C488">
      <w:pPr>
        <w:snapToGrid w:val="0"/>
        <w:spacing w:line="360" w:lineRule="auto"/>
        <w:rPr>
          <w:rFonts w:ascii="宋体" w:hAnsi="宋体" w:cs="宋体"/>
          <w:bCs/>
          <w:color w:val="auto"/>
          <w:sz w:val="24"/>
        </w:rPr>
      </w:pPr>
      <w:r>
        <w:rPr>
          <w:rFonts w:hint="eastAsia" w:ascii="宋体" w:hAnsi="宋体" w:cs="宋体"/>
          <w:bCs/>
          <w:color w:val="auto"/>
          <w:sz w:val="24"/>
        </w:rPr>
        <w:t>二、质疑项目基本情况</w:t>
      </w:r>
    </w:p>
    <w:p w14:paraId="24DD6E29">
      <w:pPr>
        <w:snapToGrid w:val="0"/>
        <w:spacing w:line="360" w:lineRule="auto"/>
        <w:rPr>
          <w:rFonts w:ascii="宋体" w:hAnsi="宋体" w:cs="宋体"/>
          <w:color w:val="auto"/>
          <w:sz w:val="24"/>
        </w:rPr>
      </w:pPr>
      <w:r>
        <w:rPr>
          <w:rFonts w:hint="eastAsia" w:ascii="宋体" w:hAnsi="宋体" w:cs="宋体"/>
          <w:color w:val="auto"/>
          <w:sz w:val="24"/>
        </w:rPr>
        <w:t>质疑项目的名称：</w:t>
      </w:r>
      <w:r>
        <w:rPr>
          <w:rFonts w:hint="eastAsia" w:ascii="宋体" w:hAnsi="宋体" w:cs="宋体"/>
          <w:color w:val="auto"/>
          <w:sz w:val="24"/>
          <w:u w:val="dotted"/>
        </w:rPr>
        <w:t xml:space="preserve">                                      </w:t>
      </w:r>
    </w:p>
    <w:p w14:paraId="1888704E">
      <w:pPr>
        <w:snapToGrid w:val="0"/>
        <w:spacing w:line="360" w:lineRule="auto"/>
        <w:rPr>
          <w:rFonts w:ascii="宋体" w:hAnsi="宋体" w:cs="宋体"/>
          <w:color w:val="auto"/>
          <w:sz w:val="24"/>
        </w:rPr>
      </w:pPr>
      <w:r>
        <w:rPr>
          <w:rFonts w:hint="eastAsia" w:ascii="宋体" w:hAnsi="宋体" w:cs="宋体"/>
          <w:color w:val="auto"/>
          <w:sz w:val="24"/>
        </w:rPr>
        <w:t>质疑项目的编号：</w:t>
      </w:r>
      <w:r>
        <w:rPr>
          <w:rFonts w:hint="eastAsia" w:ascii="宋体" w:hAnsi="宋体" w:cs="宋体"/>
          <w:color w:val="auto"/>
          <w:sz w:val="24"/>
          <w:u w:val="dotted"/>
        </w:rPr>
        <w:t xml:space="preserve">               </w:t>
      </w:r>
      <w:r>
        <w:rPr>
          <w:rFonts w:hint="eastAsia" w:ascii="宋体" w:hAnsi="宋体" w:cs="宋体"/>
          <w:color w:val="auto"/>
          <w:sz w:val="24"/>
        </w:rPr>
        <w:t>包号：</w:t>
      </w:r>
      <w:r>
        <w:rPr>
          <w:rFonts w:hint="eastAsia" w:ascii="宋体" w:hAnsi="宋体" w:cs="宋体"/>
          <w:color w:val="auto"/>
          <w:sz w:val="24"/>
          <w:u w:val="dotted"/>
        </w:rPr>
        <w:t xml:space="preserve">                 </w:t>
      </w:r>
    </w:p>
    <w:p w14:paraId="719B7E6B">
      <w:pPr>
        <w:snapToGrid w:val="0"/>
        <w:spacing w:line="360" w:lineRule="auto"/>
        <w:rPr>
          <w:rFonts w:ascii="宋体" w:hAnsi="宋体" w:cs="宋体"/>
          <w:color w:val="auto"/>
          <w:sz w:val="24"/>
          <w:u w:val="dotted"/>
        </w:rPr>
      </w:pPr>
      <w:r>
        <w:rPr>
          <w:rFonts w:hint="eastAsia" w:ascii="宋体" w:hAnsi="宋体" w:cs="宋体"/>
          <w:color w:val="auto"/>
          <w:sz w:val="24"/>
        </w:rPr>
        <w:t>采购人名称：</w:t>
      </w:r>
      <w:r>
        <w:rPr>
          <w:rFonts w:hint="eastAsia" w:ascii="宋体" w:hAnsi="宋体" w:cs="宋体"/>
          <w:color w:val="auto"/>
          <w:sz w:val="24"/>
          <w:u w:val="dotted"/>
        </w:rPr>
        <w:t xml:space="preserve">                                         </w:t>
      </w:r>
    </w:p>
    <w:p w14:paraId="23A6EA6F">
      <w:pPr>
        <w:snapToGrid w:val="0"/>
        <w:spacing w:line="360" w:lineRule="auto"/>
        <w:rPr>
          <w:rFonts w:ascii="宋体" w:hAnsi="宋体" w:cs="宋体"/>
          <w:color w:val="auto"/>
          <w:sz w:val="24"/>
        </w:rPr>
      </w:pPr>
      <w:r>
        <w:rPr>
          <w:rFonts w:hint="eastAsia" w:ascii="宋体" w:hAnsi="宋体" w:cs="宋体"/>
          <w:color w:val="auto"/>
          <w:sz w:val="24"/>
        </w:rPr>
        <w:t>采购文件获取日期：</w:t>
      </w:r>
      <w:r>
        <w:rPr>
          <w:rFonts w:hint="eastAsia" w:ascii="宋体" w:hAnsi="宋体" w:cs="宋体"/>
          <w:color w:val="auto"/>
          <w:sz w:val="24"/>
          <w:u w:val="dotted"/>
        </w:rPr>
        <w:t xml:space="preserve">                                           </w:t>
      </w:r>
    </w:p>
    <w:p w14:paraId="2A1C0484">
      <w:pPr>
        <w:snapToGrid w:val="0"/>
        <w:spacing w:line="360" w:lineRule="auto"/>
        <w:rPr>
          <w:rFonts w:ascii="宋体" w:hAnsi="宋体" w:cs="宋体"/>
          <w:bCs/>
          <w:color w:val="auto"/>
          <w:sz w:val="24"/>
        </w:rPr>
      </w:pPr>
      <w:r>
        <w:rPr>
          <w:rFonts w:hint="eastAsia" w:ascii="宋体" w:hAnsi="宋体" w:cs="宋体"/>
          <w:bCs/>
          <w:color w:val="auto"/>
          <w:sz w:val="24"/>
        </w:rPr>
        <w:t>三、质疑事项具体内容</w:t>
      </w:r>
    </w:p>
    <w:p w14:paraId="7CF477FB">
      <w:pPr>
        <w:snapToGrid w:val="0"/>
        <w:spacing w:line="360" w:lineRule="auto"/>
        <w:rPr>
          <w:rFonts w:ascii="宋体" w:hAnsi="宋体" w:cs="宋体"/>
          <w:color w:val="auto"/>
          <w:sz w:val="24"/>
          <w:u w:val="dotted"/>
        </w:rPr>
      </w:pPr>
      <w:r>
        <w:rPr>
          <w:rFonts w:hint="eastAsia" w:ascii="宋体" w:hAnsi="宋体" w:cs="宋体"/>
          <w:color w:val="auto"/>
          <w:sz w:val="24"/>
        </w:rPr>
        <w:t>质疑事项1：</w:t>
      </w:r>
      <w:r>
        <w:rPr>
          <w:rFonts w:hint="eastAsia" w:ascii="宋体" w:hAnsi="宋体" w:cs="宋体"/>
          <w:color w:val="auto"/>
          <w:sz w:val="24"/>
          <w:u w:val="dotted"/>
        </w:rPr>
        <w:t xml:space="preserve">                                         </w:t>
      </w:r>
    </w:p>
    <w:p w14:paraId="190E1F57">
      <w:pPr>
        <w:snapToGrid w:val="0"/>
        <w:spacing w:line="360" w:lineRule="auto"/>
        <w:rPr>
          <w:rFonts w:ascii="宋体" w:hAnsi="宋体" w:cs="宋体"/>
          <w:color w:val="auto"/>
          <w:sz w:val="24"/>
          <w:u w:val="dotted"/>
        </w:rPr>
      </w:pPr>
      <w:r>
        <w:rPr>
          <w:rFonts w:hint="eastAsia" w:ascii="宋体" w:hAnsi="宋体" w:cs="宋体"/>
          <w:color w:val="auto"/>
          <w:sz w:val="24"/>
        </w:rPr>
        <w:t>事实依据：</w:t>
      </w:r>
      <w:r>
        <w:rPr>
          <w:rFonts w:hint="eastAsia" w:ascii="宋体" w:hAnsi="宋体" w:cs="宋体"/>
          <w:color w:val="auto"/>
          <w:sz w:val="24"/>
          <w:u w:val="dotted"/>
        </w:rPr>
        <w:t xml:space="preserve">                                          </w:t>
      </w:r>
    </w:p>
    <w:p w14:paraId="093E2A7E">
      <w:pPr>
        <w:snapToGrid w:val="0"/>
        <w:spacing w:line="360" w:lineRule="auto"/>
        <w:rPr>
          <w:rFonts w:ascii="宋体" w:hAnsi="宋体" w:cs="宋体"/>
          <w:color w:val="auto"/>
          <w:sz w:val="24"/>
        </w:rPr>
      </w:pPr>
      <w:r>
        <w:rPr>
          <w:rFonts w:hint="eastAsia" w:ascii="宋体" w:hAnsi="宋体" w:cs="宋体"/>
          <w:color w:val="auto"/>
          <w:sz w:val="24"/>
          <w:u w:val="dotted"/>
        </w:rPr>
        <w:t xml:space="preserve">                                                       </w:t>
      </w:r>
    </w:p>
    <w:p w14:paraId="3C3BA39F">
      <w:pPr>
        <w:snapToGrid w:val="0"/>
        <w:spacing w:line="360" w:lineRule="auto"/>
        <w:rPr>
          <w:rFonts w:ascii="宋体" w:hAnsi="宋体" w:cs="宋体"/>
          <w:color w:val="auto"/>
          <w:sz w:val="24"/>
          <w:u w:val="dotted"/>
        </w:rPr>
      </w:pPr>
      <w:r>
        <w:rPr>
          <w:rFonts w:hint="eastAsia" w:ascii="宋体" w:hAnsi="宋体" w:cs="宋体"/>
          <w:color w:val="auto"/>
          <w:sz w:val="24"/>
        </w:rPr>
        <w:t>法律依据：</w:t>
      </w:r>
      <w:r>
        <w:rPr>
          <w:rFonts w:hint="eastAsia" w:ascii="宋体" w:hAnsi="宋体" w:cs="宋体"/>
          <w:color w:val="auto"/>
          <w:sz w:val="24"/>
          <w:u w:val="dotted"/>
        </w:rPr>
        <w:t xml:space="preserve">                                          </w:t>
      </w:r>
    </w:p>
    <w:p w14:paraId="47083062">
      <w:pPr>
        <w:snapToGrid w:val="0"/>
        <w:spacing w:line="360" w:lineRule="auto"/>
        <w:rPr>
          <w:rFonts w:ascii="宋体" w:hAnsi="宋体" w:cs="宋体"/>
          <w:color w:val="auto"/>
          <w:sz w:val="24"/>
          <w:u w:val="dotted"/>
        </w:rPr>
      </w:pPr>
      <w:r>
        <w:rPr>
          <w:rFonts w:hint="eastAsia" w:ascii="宋体" w:hAnsi="宋体" w:cs="宋体"/>
          <w:color w:val="auto"/>
          <w:sz w:val="24"/>
          <w:u w:val="dotted"/>
        </w:rPr>
        <w:t xml:space="preserve">                                                     </w:t>
      </w:r>
    </w:p>
    <w:p w14:paraId="3F1BF9A0">
      <w:pPr>
        <w:snapToGrid w:val="0"/>
        <w:spacing w:line="360" w:lineRule="auto"/>
        <w:rPr>
          <w:rFonts w:ascii="宋体" w:hAnsi="宋体" w:cs="宋体"/>
          <w:color w:val="auto"/>
          <w:sz w:val="24"/>
          <w:u w:val="dotted"/>
        </w:rPr>
      </w:pPr>
      <w:r>
        <w:rPr>
          <w:rFonts w:hint="eastAsia" w:ascii="宋体" w:hAnsi="宋体" w:cs="宋体"/>
          <w:color w:val="auto"/>
          <w:sz w:val="24"/>
        </w:rPr>
        <w:t>质疑事项2</w:t>
      </w:r>
    </w:p>
    <w:p w14:paraId="56CA3770">
      <w:pPr>
        <w:snapToGrid w:val="0"/>
        <w:spacing w:line="360" w:lineRule="auto"/>
        <w:rPr>
          <w:rFonts w:ascii="宋体" w:hAnsi="宋体" w:cs="宋体"/>
          <w:color w:val="auto"/>
          <w:sz w:val="24"/>
        </w:rPr>
      </w:pPr>
      <w:r>
        <w:rPr>
          <w:rFonts w:hint="eastAsia" w:ascii="宋体" w:hAnsi="宋体" w:cs="宋体"/>
          <w:color w:val="auto"/>
          <w:sz w:val="24"/>
        </w:rPr>
        <w:t>……</w:t>
      </w:r>
    </w:p>
    <w:p w14:paraId="06E3944D">
      <w:pPr>
        <w:snapToGrid w:val="0"/>
        <w:spacing w:line="360" w:lineRule="auto"/>
        <w:rPr>
          <w:rFonts w:ascii="宋体" w:hAnsi="宋体" w:cs="宋体"/>
          <w:bCs/>
          <w:color w:val="auto"/>
          <w:sz w:val="24"/>
        </w:rPr>
      </w:pPr>
      <w:r>
        <w:rPr>
          <w:rFonts w:hint="eastAsia" w:ascii="宋体" w:hAnsi="宋体" w:cs="宋体"/>
          <w:bCs/>
          <w:color w:val="auto"/>
          <w:sz w:val="24"/>
        </w:rPr>
        <w:t>四、与质疑事项相关的质疑请求</w:t>
      </w:r>
    </w:p>
    <w:p w14:paraId="439E9BB9">
      <w:pPr>
        <w:snapToGrid w:val="0"/>
        <w:spacing w:line="360" w:lineRule="auto"/>
        <w:rPr>
          <w:rFonts w:ascii="宋体" w:hAnsi="宋体" w:cs="宋体"/>
          <w:color w:val="auto"/>
          <w:sz w:val="24"/>
          <w:u w:val="dotted"/>
        </w:rPr>
      </w:pPr>
      <w:r>
        <w:rPr>
          <w:rFonts w:hint="eastAsia" w:ascii="宋体" w:hAnsi="宋体" w:cs="宋体"/>
          <w:color w:val="auto"/>
          <w:sz w:val="24"/>
        </w:rPr>
        <w:t>请求：</w:t>
      </w:r>
      <w:r>
        <w:rPr>
          <w:rFonts w:hint="eastAsia" w:ascii="宋体" w:hAnsi="宋体" w:cs="宋体"/>
          <w:color w:val="auto"/>
          <w:sz w:val="24"/>
          <w:u w:val="dotted"/>
        </w:rPr>
        <w:t xml:space="preserve">                                               </w:t>
      </w:r>
    </w:p>
    <w:p w14:paraId="70BB5F92">
      <w:pPr>
        <w:spacing w:line="360" w:lineRule="auto"/>
        <w:rPr>
          <w:rFonts w:ascii="宋体" w:hAnsi="宋体" w:cs="宋体"/>
          <w:color w:val="auto"/>
          <w:sz w:val="24"/>
        </w:rPr>
      </w:pPr>
      <w:r>
        <w:rPr>
          <w:rFonts w:hint="eastAsia" w:ascii="宋体" w:hAnsi="宋体" w:cs="宋体"/>
          <w:color w:val="auto"/>
          <w:sz w:val="24"/>
        </w:rPr>
        <w:t xml:space="preserve">签字(签章)：                   公章：                      </w:t>
      </w:r>
    </w:p>
    <w:p w14:paraId="5545D535">
      <w:pPr>
        <w:spacing w:line="360" w:lineRule="auto"/>
        <w:rPr>
          <w:rFonts w:ascii="宋体" w:hAnsi="宋体" w:cs="宋体"/>
          <w:color w:val="auto"/>
          <w:sz w:val="24"/>
        </w:rPr>
      </w:pPr>
      <w:r>
        <w:rPr>
          <w:rFonts w:hint="eastAsia" w:ascii="宋体" w:hAnsi="宋体" w:cs="宋体"/>
          <w:color w:val="auto"/>
          <w:sz w:val="24"/>
        </w:rPr>
        <w:t xml:space="preserve">日期：    </w:t>
      </w:r>
    </w:p>
    <w:p w14:paraId="187CB65A">
      <w:pPr>
        <w:spacing w:line="360" w:lineRule="auto"/>
        <w:jc w:val="center"/>
        <w:rPr>
          <w:rFonts w:ascii="宋体" w:hAnsi="宋体" w:cs="宋体"/>
          <w:b/>
          <w:bCs/>
          <w:color w:val="auto"/>
          <w:sz w:val="24"/>
        </w:rPr>
      </w:pPr>
    </w:p>
    <w:p w14:paraId="43872DC2">
      <w:pPr>
        <w:spacing w:line="360" w:lineRule="auto"/>
        <w:rPr>
          <w:rFonts w:ascii="宋体" w:hAnsi="宋体" w:cs="宋体"/>
          <w:b/>
          <w:color w:val="auto"/>
          <w:sz w:val="24"/>
        </w:rPr>
      </w:pPr>
    </w:p>
    <w:p w14:paraId="11FB7C33">
      <w:pPr>
        <w:spacing w:line="360" w:lineRule="auto"/>
        <w:rPr>
          <w:rFonts w:ascii="宋体" w:hAnsi="宋体" w:cs="宋体"/>
          <w:b/>
          <w:color w:val="auto"/>
          <w:sz w:val="24"/>
        </w:rPr>
      </w:pPr>
    </w:p>
    <w:p w14:paraId="3BEA1BB6">
      <w:pPr>
        <w:spacing w:line="360" w:lineRule="auto"/>
        <w:rPr>
          <w:rFonts w:ascii="宋体" w:hAnsi="宋体" w:cs="宋体"/>
          <w:b/>
          <w:color w:val="auto"/>
          <w:sz w:val="24"/>
        </w:rPr>
      </w:pPr>
    </w:p>
    <w:p w14:paraId="366BC1DA">
      <w:pPr>
        <w:spacing w:line="360" w:lineRule="auto"/>
        <w:rPr>
          <w:rFonts w:ascii="宋体" w:hAnsi="宋体" w:cs="宋体"/>
          <w:b/>
          <w:color w:val="auto"/>
          <w:sz w:val="24"/>
        </w:rPr>
      </w:pPr>
      <w:r>
        <w:rPr>
          <w:rFonts w:hint="eastAsia" w:ascii="宋体" w:hAnsi="宋体" w:cs="宋体"/>
          <w:b/>
          <w:color w:val="auto"/>
          <w:sz w:val="24"/>
        </w:rPr>
        <w:t>质疑函制作说明：</w:t>
      </w:r>
    </w:p>
    <w:p w14:paraId="4BEF5477">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1.供应商提出质疑时，应提交质疑函和必要的证明材料。</w:t>
      </w:r>
    </w:p>
    <w:p w14:paraId="1939090B">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2.质疑供应商若委托代理人进行质疑的，质疑函应按要求列明“授权代表”的有关内容，并在附件中提交由质疑</w:t>
      </w:r>
      <w:r>
        <w:rPr>
          <w:rFonts w:hint="eastAsia" w:ascii="宋体" w:hAnsi="宋体" w:cs="宋体"/>
          <w:color w:val="auto"/>
          <w:kern w:val="0"/>
          <w:sz w:val="24"/>
        </w:rPr>
        <w:t>供应商签署的授权委托书。授权委托书应载明代理人的姓名或者名称、代理事项、具体权限、期限和相关事项。</w:t>
      </w:r>
    </w:p>
    <w:p w14:paraId="7DC178C2">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3.质疑供应商若对项目的某一分包进行质疑，质疑函中应列明具体分包号。</w:t>
      </w:r>
    </w:p>
    <w:p w14:paraId="4B8983F9">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4.质疑函的质疑事项应具体、明确，并有必要的事实依据和法律依据。</w:t>
      </w:r>
    </w:p>
    <w:p w14:paraId="6F05EEAC">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5.质疑函的质疑请求应与质疑事项相关。</w:t>
      </w:r>
    </w:p>
    <w:p w14:paraId="621755D6">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6.质疑供应商为自然人的，质疑函应由本人签字；质疑供应商为法人或者其他组织的，质疑函应由法定代表人、主要负责人，或者其授权代表签字或者盖章，并加盖公章。</w:t>
      </w:r>
    </w:p>
    <w:p w14:paraId="4D70CD9A">
      <w:pPr>
        <w:widowControl/>
        <w:spacing w:line="360" w:lineRule="auto"/>
        <w:ind w:firstLine="600" w:firstLineChars="200"/>
        <w:jc w:val="left"/>
        <w:rPr>
          <w:rFonts w:ascii="宋体" w:hAnsi="宋体" w:cs="宋体"/>
          <w:color w:val="auto"/>
          <w:sz w:val="30"/>
          <w:szCs w:val="30"/>
        </w:rPr>
      </w:pPr>
    </w:p>
    <w:p w14:paraId="04FDDF48">
      <w:pPr>
        <w:spacing w:line="360" w:lineRule="auto"/>
        <w:jc w:val="center"/>
        <w:rPr>
          <w:rFonts w:ascii="宋体" w:hAnsi="宋体" w:cs="宋体"/>
          <w:b/>
          <w:color w:val="auto"/>
          <w:spacing w:val="6"/>
          <w:sz w:val="32"/>
          <w:szCs w:val="32"/>
        </w:rPr>
      </w:pPr>
    </w:p>
    <w:p w14:paraId="025ABA9F">
      <w:pPr>
        <w:spacing w:line="360" w:lineRule="auto"/>
        <w:jc w:val="center"/>
        <w:rPr>
          <w:rFonts w:ascii="宋体" w:hAnsi="宋体" w:cs="宋体"/>
          <w:b/>
          <w:color w:val="auto"/>
          <w:spacing w:val="6"/>
          <w:sz w:val="32"/>
          <w:szCs w:val="32"/>
        </w:rPr>
      </w:pPr>
    </w:p>
    <w:p w14:paraId="0D19D7E7">
      <w:pPr>
        <w:spacing w:line="360" w:lineRule="auto"/>
        <w:jc w:val="center"/>
        <w:rPr>
          <w:rFonts w:ascii="宋体" w:hAnsi="宋体" w:cs="宋体"/>
          <w:b/>
          <w:color w:val="auto"/>
          <w:spacing w:val="6"/>
          <w:sz w:val="32"/>
          <w:szCs w:val="32"/>
        </w:rPr>
      </w:pPr>
    </w:p>
    <w:p w14:paraId="79931B08">
      <w:pPr>
        <w:spacing w:line="360" w:lineRule="auto"/>
        <w:jc w:val="center"/>
        <w:rPr>
          <w:rFonts w:ascii="宋体" w:hAnsi="宋体" w:cs="宋体"/>
          <w:b/>
          <w:color w:val="auto"/>
          <w:spacing w:val="6"/>
          <w:sz w:val="32"/>
          <w:szCs w:val="32"/>
        </w:rPr>
      </w:pPr>
    </w:p>
    <w:p w14:paraId="6838EEC7">
      <w:pPr>
        <w:spacing w:line="360" w:lineRule="auto"/>
        <w:jc w:val="center"/>
        <w:rPr>
          <w:rFonts w:ascii="宋体" w:hAnsi="宋体" w:cs="宋体"/>
          <w:b/>
          <w:color w:val="auto"/>
          <w:spacing w:val="6"/>
          <w:sz w:val="32"/>
          <w:szCs w:val="32"/>
        </w:rPr>
      </w:pPr>
    </w:p>
    <w:p w14:paraId="20B8715C">
      <w:pPr>
        <w:spacing w:line="360" w:lineRule="auto"/>
        <w:jc w:val="center"/>
        <w:rPr>
          <w:rFonts w:ascii="宋体" w:hAnsi="宋体" w:cs="宋体"/>
          <w:b/>
          <w:color w:val="auto"/>
          <w:spacing w:val="6"/>
          <w:sz w:val="32"/>
          <w:szCs w:val="32"/>
        </w:rPr>
      </w:pPr>
    </w:p>
    <w:p w14:paraId="2479AC56">
      <w:pPr>
        <w:spacing w:line="360" w:lineRule="auto"/>
        <w:jc w:val="center"/>
        <w:rPr>
          <w:rFonts w:ascii="宋体" w:hAnsi="宋体" w:cs="宋体"/>
          <w:b/>
          <w:color w:val="auto"/>
          <w:spacing w:val="6"/>
          <w:sz w:val="32"/>
          <w:szCs w:val="32"/>
        </w:rPr>
      </w:pPr>
    </w:p>
    <w:p w14:paraId="020CE777">
      <w:pPr>
        <w:spacing w:line="360" w:lineRule="auto"/>
        <w:jc w:val="center"/>
        <w:rPr>
          <w:rFonts w:ascii="宋体" w:hAnsi="宋体" w:cs="宋体"/>
          <w:b/>
          <w:color w:val="auto"/>
          <w:spacing w:val="6"/>
          <w:sz w:val="32"/>
          <w:szCs w:val="32"/>
        </w:rPr>
      </w:pPr>
    </w:p>
    <w:p w14:paraId="2EEA4B95">
      <w:pPr>
        <w:spacing w:line="360" w:lineRule="auto"/>
        <w:jc w:val="center"/>
        <w:rPr>
          <w:rFonts w:ascii="宋体" w:hAnsi="宋体" w:cs="宋体"/>
          <w:b/>
          <w:color w:val="auto"/>
          <w:spacing w:val="6"/>
          <w:sz w:val="32"/>
          <w:szCs w:val="32"/>
        </w:rPr>
      </w:pPr>
    </w:p>
    <w:p w14:paraId="0F54C872">
      <w:pPr>
        <w:spacing w:line="240" w:lineRule="auto"/>
        <w:jc w:val="left"/>
        <w:rPr>
          <w:rFonts w:hint="eastAsia" w:ascii="宋体" w:hAnsi="宋体" w:cs="宋体"/>
          <w:b/>
          <w:color w:val="auto"/>
          <w:spacing w:val="6"/>
          <w:sz w:val="32"/>
          <w:szCs w:val="32"/>
        </w:rPr>
      </w:pPr>
      <w:r>
        <w:rPr>
          <w:rFonts w:hint="eastAsia" w:ascii="宋体" w:hAnsi="宋体" w:cs="宋体"/>
          <w:b/>
          <w:color w:val="auto"/>
          <w:spacing w:val="6"/>
          <w:sz w:val="32"/>
          <w:szCs w:val="32"/>
        </w:rPr>
        <w:br w:type="page"/>
      </w:r>
    </w:p>
    <w:p w14:paraId="46537A99">
      <w:pPr>
        <w:spacing w:line="360" w:lineRule="auto"/>
        <w:jc w:val="left"/>
        <w:rPr>
          <w:rFonts w:ascii="宋体" w:hAnsi="宋体" w:cs="宋体"/>
          <w:b/>
          <w:color w:val="auto"/>
          <w:spacing w:val="6"/>
          <w:sz w:val="32"/>
          <w:szCs w:val="32"/>
        </w:rPr>
      </w:pPr>
      <w:r>
        <w:rPr>
          <w:rFonts w:hint="eastAsia" w:ascii="宋体" w:hAnsi="宋体" w:cs="宋体"/>
          <w:b/>
          <w:color w:val="auto"/>
          <w:spacing w:val="6"/>
          <w:sz w:val="32"/>
          <w:szCs w:val="32"/>
        </w:rPr>
        <w:t>附件3：投诉书范本及制作说明</w:t>
      </w:r>
    </w:p>
    <w:p w14:paraId="26794EC2">
      <w:pPr>
        <w:spacing w:line="360" w:lineRule="auto"/>
        <w:jc w:val="center"/>
        <w:rPr>
          <w:rFonts w:ascii="宋体" w:hAnsi="宋体" w:cs="宋体"/>
          <w:b/>
          <w:color w:val="auto"/>
          <w:sz w:val="24"/>
        </w:rPr>
      </w:pPr>
    </w:p>
    <w:p w14:paraId="0F60CD3A">
      <w:pPr>
        <w:spacing w:line="360" w:lineRule="auto"/>
        <w:jc w:val="center"/>
        <w:rPr>
          <w:rFonts w:ascii="宋体" w:hAnsi="宋体" w:cs="宋体"/>
          <w:b/>
          <w:color w:val="auto"/>
          <w:spacing w:val="6"/>
          <w:sz w:val="32"/>
          <w:szCs w:val="32"/>
        </w:rPr>
      </w:pPr>
      <w:r>
        <w:rPr>
          <w:rFonts w:hint="eastAsia" w:ascii="宋体" w:hAnsi="宋体" w:cs="宋体"/>
          <w:b/>
          <w:color w:val="auto"/>
          <w:spacing w:val="6"/>
          <w:sz w:val="32"/>
          <w:szCs w:val="32"/>
        </w:rPr>
        <w:t>投诉书范本</w:t>
      </w:r>
    </w:p>
    <w:p w14:paraId="6656ED9A">
      <w:pPr>
        <w:spacing w:line="360" w:lineRule="auto"/>
        <w:rPr>
          <w:rFonts w:ascii="宋体" w:hAnsi="宋体" w:cs="宋体"/>
          <w:color w:val="auto"/>
          <w:sz w:val="24"/>
        </w:rPr>
      </w:pPr>
      <w:r>
        <w:rPr>
          <w:rFonts w:hint="eastAsia" w:ascii="宋体" w:hAnsi="宋体" w:cs="宋体"/>
          <w:color w:val="auto"/>
          <w:sz w:val="24"/>
        </w:rPr>
        <w:t>一、投诉相关主体基本情况</w:t>
      </w:r>
    </w:p>
    <w:p w14:paraId="0BB79F89">
      <w:pPr>
        <w:spacing w:line="360" w:lineRule="auto"/>
        <w:rPr>
          <w:rFonts w:ascii="宋体" w:hAnsi="宋体" w:cs="宋体"/>
          <w:color w:val="auto"/>
          <w:sz w:val="24"/>
          <w:u w:val="dotted"/>
        </w:rPr>
      </w:pPr>
      <w:r>
        <w:rPr>
          <w:rFonts w:hint="eastAsia" w:ascii="宋体" w:hAnsi="宋体" w:cs="宋体"/>
          <w:color w:val="auto"/>
          <w:sz w:val="24"/>
        </w:rPr>
        <w:t>投诉人：</w:t>
      </w:r>
      <w:r>
        <w:rPr>
          <w:rFonts w:hint="eastAsia" w:ascii="宋体" w:hAnsi="宋体" w:cs="宋体"/>
          <w:color w:val="auto"/>
          <w:sz w:val="24"/>
          <w:u w:val="dotted"/>
        </w:rPr>
        <w:t xml:space="preserve">                                               </w:t>
      </w:r>
    </w:p>
    <w:p w14:paraId="593354CF">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31413B10">
      <w:pPr>
        <w:tabs>
          <w:tab w:val="left" w:pos="6510"/>
        </w:tabs>
        <w:spacing w:line="360" w:lineRule="auto"/>
        <w:jc w:val="left"/>
        <w:rPr>
          <w:rFonts w:ascii="宋体" w:hAnsi="宋体" w:cs="宋体"/>
          <w:color w:val="auto"/>
          <w:sz w:val="24"/>
        </w:rPr>
      </w:pPr>
      <w:r>
        <w:rPr>
          <w:rFonts w:hint="eastAsia" w:ascii="宋体" w:hAnsi="宋体" w:cs="宋体"/>
          <w:color w:val="auto"/>
          <w:sz w:val="24"/>
        </w:rPr>
        <w:t>法定代表人/主要负责人：</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04B7F5C3">
      <w:pPr>
        <w:tabs>
          <w:tab w:val="left" w:pos="6510"/>
        </w:tabs>
        <w:spacing w:line="360" w:lineRule="auto"/>
        <w:rPr>
          <w:rFonts w:ascii="宋体" w:hAnsi="宋体" w:cs="宋体"/>
          <w:color w:val="auto"/>
          <w:sz w:val="24"/>
          <w:u w:val="dotted"/>
        </w:rPr>
      </w:pPr>
      <w:r>
        <w:rPr>
          <w:rFonts w:hint="eastAsia" w:ascii="宋体" w:hAnsi="宋体" w:cs="宋体"/>
          <w:color w:val="auto"/>
          <w:sz w:val="24"/>
        </w:rPr>
        <w:t>联系电话：</w:t>
      </w:r>
      <w:r>
        <w:rPr>
          <w:rFonts w:hint="eastAsia" w:ascii="宋体" w:hAnsi="宋体" w:cs="宋体"/>
          <w:color w:val="auto"/>
          <w:sz w:val="24"/>
          <w:u w:val="dotted"/>
        </w:rPr>
        <w:t xml:space="preserve">                                             </w:t>
      </w:r>
    </w:p>
    <w:p w14:paraId="34438508">
      <w:pPr>
        <w:spacing w:line="360" w:lineRule="auto"/>
        <w:rPr>
          <w:rFonts w:ascii="宋体" w:hAnsi="宋体" w:cs="宋体"/>
          <w:color w:val="auto"/>
          <w:sz w:val="24"/>
          <w:u w:val="dotted"/>
        </w:rPr>
      </w:pPr>
      <w:r>
        <w:rPr>
          <w:rFonts w:hint="eastAsia" w:ascii="宋体" w:hAnsi="宋体" w:cs="宋体"/>
          <w:color w:val="auto"/>
          <w:sz w:val="24"/>
        </w:rPr>
        <w:t>授权代表：</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p>
    <w:p w14:paraId="52544E47">
      <w:pPr>
        <w:spacing w:line="360" w:lineRule="auto"/>
        <w:rPr>
          <w:rFonts w:ascii="宋体" w:hAnsi="宋体" w:cs="宋体"/>
          <w:color w:val="auto"/>
          <w:sz w:val="24"/>
          <w:u w:val="dotted"/>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r>
        <w:rPr>
          <w:rFonts w:hint="eastAsia" w:ascii="宋体" w:hAnsi="宋体" w:cs="宋体"/>
          <w:color w:val="auto"/>
          <w:sz w:val="24"/>
          <w:u w:val="dotted"/>
        </w:rPr>
        <w:t xml:space="preserve">                   </w:t>
      </w:r>
    </w:p>
    <w:p w14:paraId="21736A89">
      <w:pPr>
        <w:spacing w:line="360" w:lineRule="auto"/>
        <w:rPr>
          <w:rFonts w:ascii="宋体" w:hAnsi="宋体" w:cs="宋体"/>
          <w:color w:val="auto"/>
          <w:sz w:val="24"/>
          <w:u w:val="single"/>
        </w:rPr>
      </w:pPr>
      <w:r>
        <w:rPr>
          <w:rFonts w:hint="eastAsia" w:ascii="宋体" w:hAnsi="宋体" w:cs="宋体"/>
          <w:color w:val="auto"/>
          <w:sz w:val="24"/>
        </w:rPr>
        <w:t>被投诉人1：</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2C603323">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2E99E50E">
      <w:pPr>
        <w:spacing w:line="360" w:lineRule="auto"/>
        <w:rPr>
          <w:rFonts w:ascii="宋体" w:hAnsi="宋体" w:cs="宋体"/>
          <w:color w:val="auto"/>
          <w:sz w:val="24"/>
          <w:u w:val="single"/>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2530746C">
      <w:pPr>
        <w:spacing w:line="360" w:lineRule="auto"/>
        <w:rPr>
          <w:rFonts w:ascii="宋体" w:hAnsi="宋体" w:cs="宋体"/>
          <w:color w:val="auto"/>
          <w:sz w:val="24"/>
        </w:rPr>
      </w:pPr>
      <w:r>
        <w:rPr>
          <w:rFonts w:hint="eastAsia" w:ascii="宋体" w:hAnsi="宋体" w:cs="宋体"/>
          <w:color w:val="auto"/>
          <w:sz w:val="24"/>
        </w:rPr>
        <w:t>被投诉人2</w:t>
      </w:r>
    </w:p>
    <w:p w14:paraId="4F92A1FD">
      <w:pPr>
        <w:spacing w:line="360" w:lineRule="auto"/>
        <w:rPr>
          <w:rFonts w:ascii="宋体" w:hAnsi="宋体" w:cs="宋体"/>
          <w:color w:val="auto"/>
          <w:sz w:val="24"/>
          <w:u w:val="dotted"/>
        </w:rPr>
      </w:pPr>
      <w:r>
        <w:rPr>
          <w:rFonts w:hint="eastAsia" w:ascii="宋体" w:hAnsi="宋体" w:cs="宋体"/>
          <w:color w:val="auto"/>
          <w:sz w:val="24"/>
        </w:rPr>
        <w:t>……</w:t>
      </w:r>
    </w:p>
    <w:p w14:paraId="4B735DBA">
      <w:pPr>
        <w:spacing w:line="360" w:lineRule="auto"/>
        <w:rPr>
          <w:rFonts w:ascii="宋体" w:hAnsi="宋体" w:cs="宋体"/>
          <w:color w:val="auto"/>
          <w:sz w:val="24"/>
          <w:u w:val="single"/>
        </w:rPr>
      </w:pPr>
      <w:r>
        <w:rPr>
          <w:rFonts w:hint="eastAsia" w:ascii="宋体" w:hAnsi="宋体" w:cs="宋体"/>
          <w:color w:val="auto"/>
          <w:sz w:val="24"/>
        </w:rPr>
        <w:t>相关供应商：</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1B98A6B4">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63D88E94">
      <w:pPr>
        <w:spacing w:line="360" w:lineRule="auto"/>
        <w:rPr>
          <w:rFonts w:ascii="宋体" w:hAnsi="宋体" w:cs="宋体"/>
          <w:color w:val="auto"/>
          <w:sz w:val="24"/>
          <w:u w:val="single"/>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28DA594D">
      <w:pPr>
        <w:spacing w:line="360" w:lineRule="auto"/>
        <w:rPr>
          <w:rFonts w:ascii="宋体" w:hAnsi="宋体" w:cs="宋体"/>
          <w:color w:val="auto"/>
          <w:sz w:val="24"/>
        </w:rPr>
      </w:pPr>
      <w:r>
        <w:rPr>
          <w:rFonts w:hint="eastAsia" w:ascii="宋体" w:hAnsi="宋体" w:cs="宋体"/>
          <w:color w:val="auto"/>
          <w:sz w:val="24"/>
        </w:rPr>
        <w:t>二、投诉项目基本情况</w:t>
      </w:r>
    </w:p>
    <w:p w14:paraId="447CE165">
      <w:pPr>
        <w:spacing w:line="360" w:lineRule="auto"/>
        <w:rPr>
          <w:rFonts w:ascii="宋体" w:hAnsi="宋体" w:cs="宋体"/>
          <w:color w:val="auto"/>
          <w:sz w:val="24"/>
          <w:u w:val="dotted"/>
        </w:rPr>
      </w:pPr>
      <w:r>
        <w:rPr>
          <w:rFonts w:hint="eastAsia" w:ascii="宋体" w:hAnsi="宋体" w:cs="宋体"/>
          <w:color w:val="auto"/>
          <w:sz w:val="24"/>
        </w:rPr>
        <w:t>采购项目名称：</w:t>
      </w:r>
      <w:r>
        <w:rPr>
          <w:rFonts w:hint="eastAsia" w:ascii="宋体" w:hAnsi="宋体" w:cs="宋体"/>
          <w:color w:val="auto"/>
          <w:sz w:val="24"/>
          <w:u w:val="dotted"/>
        </w:rPr>
        <w:t xml:space="preserve">                                        </w:t>
      </w:r>
    </w:p>
    <w:p w14:paraId="4E974FB7">
      <w:pPr>
        <w:spacing w:line="360" w:lineRule="auto"/>
        <w:rPr>
          <w:rFonts w:ascii="宋体" w:hAnsi="宋体" w:cs="宋体"/>
          <w:color w:val="auto"/>
          <w:sz w:val="24"/>
          <w:u w:val="single"/>
        </w:rPr>
      </w:pPr>
      <w:r>
        <w:rPr>
          <w:rFonts w:hint="eastAsia" w:ascii="宋体" w:hAnsi="宋体" w:cs="宋体"/>
          <w:color w:val="auto"/>
          <w:sz w:val="24"/>
        </w:rPr>
        <w:t>采购项目编号：</w:t>
      </w:r>
      <w:r>
        <w:rPr>
          <w:rFonts w:hint="eastAsia" w:ascii="宋体" w:hAnsi="宋体" w:cs="宋体"/>
          <w:color w:val="auto"/>
          <w:sz w:val="24"/>
          <w:u w:val="dotted"/>
        </w:rPr>
        <w:t xml:space="preserve">                 </w:t>
      </w:r>
      <w:r>
        <w:rPr>
          <w:rFonts w:hint="eastAsia" w:ascii="宋体" w:hAnsi="宋体" w:cs="宋体"/>
          <w:color w:val="auto"/>
          <w:sz w:val="24"/>
        </w:rPr>
        <w:t>包号：</w:t>
      </w:r>
      <w:r>
        <w:rPr>
          <w:rFonts w:hint="eastAsia" w:ascii="宋体" w:hAnsi="宋体" w:cs="宋体"/>
          <w:color w:val="auto"/>
          <w:sz w:val="24"/>
          <w:u w:val="dotted"/>
        </w:rPr>
        <w:t xml:space="preserve">              </w:t>
      </w:r>
    </w:p>
    <w:p w14:paraId="097A05B4">
      <w:pPr>
        <w:spacing w:line="360" w:lineRule="auto"/>
        <w:rPr>
          <w:rFonts w:ascii="宋体" w:hAnsi="宋体" w:cs="宋体"/>
          <w:color w:val="auto"/>
          <w:sz w:val="24"/>
        </w:rPr>
      </w:pPr>
      <w:r>
        <w:rPr>
          <w:rFonts w:hint="eastAsia" w:ascii="宋体" w:hAnsi="宋体" w:cs="宋体"/>
          <w:color w:val="auto"/>
          <w:sz w:val="24"/>
        </w:rPr>
        <w:t>采购人名称：</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480C5EFF">
      <w:pPr>
        <w:spacing w:line="360" w:lineRule="auto"/>
        <w:rPr>
          <w:rFonts w:ascii="宋体" w:hAnsi="宋体" w:cs="宋体"/>
          <w:color w:val="auto"/>
          <w:sz w:val="24"/>
          <w:u w:val="single"/>
        </w:rPr>
      </w:pPr>
      <w:r>
        <w:rPr>
          <w:rFonts w:hint="eastAsia" w:ascii="宋体" w:hAnsi="宋体" w:cs="宋体"/>
          <w:color w:val="auto"/>
          <w:sz w:val="24"/>
        </w:rPr>
        <w:t>代理机构名称：</w:t>
      </w:r>
      <w:r>
        <w:rPr>
          <w:rFonts w:hint="eastAsia" w:ascii="宋体" w:hAnsi="宋体" w:cs="宋体"/>
          <w:color w:val="auto"/>
          <w:sz w:val="24"/>
          <w:u w:val="dotted"/>
        </w:rPr>
        <w:t xml:space="preserve">                                         </w:t>
      </w:r>
    </w:p>
    <w:p w14:paraId="2F8F10AE">
      <w:pPr>
        <w:spacing w:line="360" w:lineRule="auto"/>
        <w:rPr>
          <w:rFonts w:ascii="宋体" w:hAnsi="宋体" w:cs="宋体"/>
          <w:color w:val="auto"/>
          <w:sz w:val="24"/>
          <w:u w:val="dotted"/>
        </w:rPr>
      </w:pPr>
      <w:r>
        <w:rPr>
          <w:rFonts w:hint="eastAsia" w:ascii="宋体" w:hAnsi="宋体" w:cs="宋体"/>
          <w:color w:val="auto"/>
          <w:sz w:val="24"/>
        </w:rPr>
        <w:t>采购文件公告:</w:t>
      </w:r>
      <w:r>
        <w:rPr>
          <w:rFonts w:hint="eastAsia" w:ascii="宋体" w:hAnsi="宋体" w:cs="宋体"/>
          <w:color w:val="auto"/>
          <w:sz w:val="24"/>
          <w:u w:val="dotted"/>
        </w:rPr>
        <w:t xml:space="preserve">是/否 </w:t>
      </w:r>
      <w:r>
        <w:rPr>
          <w:rFonts w:hint="eastAsia" w:ascii="宋体" w:hAnsi="宋体" w:cs="宋体"/>
          <w:color w:val="auto"/>
          <w:sz w:val="24"/>
        </w:rPr>
        <w:t>公告期限：</w:t>
      </w:r>
      <w:r>
        <w:rPr>
          <w:rFonts w:hint="eastAsia" w:ascii="宋体" w:hAnsi="宋体" w:cs="宋体"/>
          <w:color w:val="auto"/>
          <w:sz w:val="24"/>
          <w:u w:val="dotted"/>
        </w:rPr>
        <w:t xml:space="preserve">                                 </w:t>
      </w:r>
    </w:p>
    <w:p w14:paraId="51863049">
      <w:pPr>
        <w:spacing w:line="360" w:lineRule="auto"/>
        <w:rPr>
          <w:rFonts w:ascii="宋体" w:hAnsi="宋体" w:cs="宋体"/>
          <w:color w:val="auto"/>
          <w:sz w:val="24"/>
          <w:u w:val="single"/>
        </w:rPr>
      </w:pPr>
      <w:r>
        <w:rPr>
          <w:rFonts w:hint="eastAsia" w:ascii="宋体" w:hAnsi="宋体" w:cs="宋体"/>
          <w:color w:val="auto"/>
          <w:sz w:val="24"/>
        </w:rPr>
        <w:t>采购结果公告:</w:t>
      </w:r>
      <w:r>
        <w:rPr>
          <w:rFonts w:hint="eastAsia" w:ascii="宋体" w:hAnsi="宋体" w:cs="宋体"/>
          <w:color w:val="auto"/>
          <w:sz w:val="24"/>
          <w:u w:val="dotted"/>
        </w:rPr>
        <w:t xml:space="preserve">是/否 </w:t>
      </w:r>
      <w:r>
        <w:rPr>
          <w:rFonts w:hint="eastAsia" w:ascii="宋体" w:hAnsi="宋体" w:cs="宋体"/>
          <w:color w:val="auto"/>
          <w:sz w:val="24"/>
        </w:rPr>
        <w:t>公告期限：</w:t>
      </w:r>
      <w:r>
        <w:rPr>
          <w:rFonts w:hint="eastAsia" w:ascii="宋体" w:hAnsi="宋体" w:cs="宋体"/>
          <w:color w:val="auto"/>
          <w:sz w:val="24"/>
          <w:u w:val="dotted"/>
        </w:rPr>
        <w:t xml:space="preserve">                        </w:t>
      </w:r>
    </w:p>
    <w:p w14:paraId="1043792F">
      <w:pPr>
        <w:spacing w:line="360" w:lineRule="auto"/>
        <w:rPr>
          <w:rFonts w:ascii="宋体" w:hAnsi="宋体" w:cs="宋体"/>
          <w:color w:val="auto"/>
          <w:sz w:val="24"/>
        </w:rPr>
      </w:pPr>
      <w:r>
        <w:rPr>
          <w:rFonts w:hint="eastAsia" w:ascii="宋体" w:hAnsi="宋体" w:cs="宋体"/>
          <w:color w:val="auto"/>
          <w:sz w:val="24"/>
        </w:rPr>
        <w:t>三、质疑基本情况</w:t>
      </w:r>
    </w:p>
    <w:p w14:paraId="5EB4C51D">
      <w:pPr>
        <w:spacing w:line="360" w:lineRule="auto"/>
        <w:ind w:firstLine="480" w:firstLineChars="200"/>
        <w:rPr>
          <w:rFonts w:ascii="宋体" w:hAnsi="宋体" w:cs="宋体"/>
          <w:color w:val="auto"/>
          <w:sz w:val="24"/>
          <w:u w:val="dotted"/>
        </w:rPr>
      </w:pPr>
      <w:r>
        <w:rPr>
          <w:rFonts w:hint="eastAsia" w:ascii="宋体" w:hAnsi="宋体" w:cs="宋体"/>
          <w:color w:val="auto"/>
          <w:sz w:val="24"/>
        </w:rPr>
        <w:t>投诉人于</w:t>
      </w:r>
      <w:r>
        <w:rPr>
          <w:rFonts w:hint="eastAsia" w:ascii="宋体" w:hAnsi="宋体" w:cs="宋体"/>
          <w:color w:val="auto"/>
          <w:sz w:val="24"/>
          <w:u w:val="dotted"/>
        </w:rPr>
        <w:t xml:space="preserve">   </w:t>
      </w:r>
      <w:r>
        <w:rPr>
          <w:rFonts w:hint="eastAsia" w:ascii="宋体" w:hAnsi="宋体" w:cs="宋体"/>
          <w:color w:val="auto"/>
          <w:sz w:val="24"/>
        </w:rPr>
        <w:t>年</w:t>
      </w:r>
      <w:r>
        <w:rPr>
          <w:rFonts w:hint="eastAsia" w:ascii="宋体" w:hAnsi="宋体" w:cs="宋体"/>
          <w:color w:val="auto"/>
          <w:sz w:val="24"/>
          <w:u w:val="dotted"/>
        </w:rPr>
        <w:t xml:space="preserve">   </w:t>
      </w:r>
      <w:r>
        <w:rPr>
          <w:rFonts w:hint="eastAsia" w:ascii="宋体" w:hAnsi="宋体" w:cs="宋体"/>
          <w:color w:val="auto"/>
          <w:sz w:val="24"/>
        </w:rPr>
        <w:t>月</w:t>
      </w:r>
      <w:r>
        <w:rPr>
          <w:rFonts w:hint="eastAsia" w:ascii="宋体" w:hAnsi="宋体" w:cs="宋体"/>
          <w:color w:val="auto"/>
          <w:sz w:val="24"/>
          <w:u w:val="dotted"/>
        </w:rPr>
        <w:t xml:space="preserve">  </w:t>
      </w:r>
      <w:r>
        <w:rPr>
          <w:rFonts w:hint="eastAsia" w:ascii="宋体" w:hAnsi="宋体" w:cs="宋体"/>
          <w:color w:val="auto"/>
          <w:sz w:val="24"/>
        </w:rPr>
        <w:t>日,向</w:t>
      </w:r>
      <w:r>
        <w:rPr>
          <w:rFonts w:hint="eastAsia" w:ascii="宋体" w:hAnsi="宋体" w:cs="宋体"/>
          <w:color w:val="auto"/>
          <w:sz w:val="24"/>
          <w:u w:val="dotted"/>
        </w:rPr>
        <w:t xml:space="preserve">                   </w:t>
      </w:r>
      <w:r>
        <w:rPr>
          <w:rFonts w:hint="eastAsia" w:ascii="宋体" w:hAnsi="宋体" w:cs="宋体"/>
          <w:color w:val="auto"/>
          <w:sz w:val="24"/>
        </w:rPr>
        <w:t>提出质疑，质疑事项为：</w:t>
      </w:r>
      <w:r>
        <w:rPr>
          <w:rFonts w:hint="eastAsia" w:ascii="宋体" w:hAnsi="宋体" w:cs="宋体"/>
          <w:color w:val="auto"/>
          <w:sz w:val="24"/>
          <w:u w:val="dotted"/>
        </w:rPr>
        <w:t xml:space="preserve">                                </w:t>
      </w:r>
    </w:p>
    <w:p w14:paraId="4AFF5FF6">
      <w:pPr>
        <w:spacing w:line="360" w:lineRule="auto"/>
        <w:rPr>
          <w:rFonts w:ascii="宋体" w:hAnsi="宋体" w:cs="宋体"/>
          <w:color w:val="auto"/>
          <w:sz w:val="24"/>
          <w:u w:val="dotted"/>
        </w:rPr>
      </w:pPr>
      <w:r>
        <w:rPr>
          <w:rFonts w:hint="eastAsia" w:ascii="宋体" w:hAnsi="宋体" w:cs="宋体"/>
          <w:color w:val="auto"/>
          <w:sz w:val="24"/>
          <w:u w:val="dotted"/>
        </w:rPr>
        <w:t xml:space="preserve">                                                     </w:t>
      </w:r>
      <w:r>
        <w:rPr>
          <w:rFonts w:hint="eastAsia" w:ascii="宋体" w:hAnsi="宋体" w:cs="宋体"/>
          <w:color w:val="auto"/>
          <w:sz w:val="24"/>
        </w:rPr>
        <w:t xml:space="preserve">  </w:t>
      </w:r>
    </w:p>
    <w:p w14:paraId="603E4D8D">
      <w:pPr>
        <w:spacing w:line="360" w:lineRule="auto"/>
        <w:ind w:firstLine="360" w:firstLineChars="150"/>
        <w:rPr>
          <w:rFonts w:ascii="宋体" w:hAnsi="宋体" w:cs="宋体"/>
          <w:color w:val="auto"/>
          <w:sz w:val="24"/>
        </w:rPr>
      </w:pPr>
      <w:r>
        <w:rPr>
          <w:rFonts w:hint="eastAsia" w:ascii="宋体" w:hAnsi="宋体" w:cs="宋体"/>
          <w:color w:val="auto"/>
          <w:sz w:val="24"/>
          <w:u w:val="dotted"/>
        </w:rPr>
        <w:t>采购人/代理机构</w:t>
      </w:r>
      <w:r>
        <w:rPr>
          <w:rFonts w:hint="eastAsia" w:ascii="宋体" w:hAnsi="宋体" w:cs="宋体"/>
          <w:color w:val="auto"/>
          <w:sz w:val="24"/>
        </w:rPr>
        <w:t>于</w:t>
      </w:r>
      <w:r>
        <w:rPr>
          <w:rFonts w:hint="eastAsia" w:ascii="宋体" w:hAnsi="宋体" w:cs="宋体"/>
          <w:color w:val="auto"/>
          <w:sz w:val="24"/>
          <w:u w:val="dotted"/>
        </w:rPr>
        <w:t xml:space="preserve">   </w:t>
      </w:r>
      <w:r>
        <w:rPr>
          <w:rFonts w:hint="eastAsia" w:ascii="宋体" w:hAnsi="宋体" w:cs="宋体"/>
          <w:color w:val="auto"/>
          <w:sz w:val="24"/>
        </w:rPr>
        <w:t>年</w:t>
      </w:r>
      <w:r>
        <w:rPr>
          <w:rFonts w:hint="eastAsia" w:ascii="宋体" w:hAnsi="宋体" w:cs="宋体"/>
          <w:color w:val="auto"/>
          <w:sz w:val="24"/>
          <w:u w:val="dotted"/>
        </w:rPr>
        <w:t xml:space="preserve">   </w:t>
      </w:r>
      <w:r>
        <w:rPr>
          <w:rFonts w:hint="eastAsia" w:ascii="宋体" w:hAnsi="宋体" w:cs="宋体"/>
          <w:color w:val="auto"/>
          <w:sz w:val="24"/>
        </w:rPr>
        <w:t>月</w:t>
      </w:r>
      <w:r>
        <w:rPr>
          <w:rFonts w:hint="eastAsia" w:ascii="宋体" w:hAnsi="宋体" w:cs="宋体"/>
          <w:color w:val="auto"/>
          <w:sz w:val="24"/>
          <w:u w:val="dotted"/>
        </w:rPr>
        <w:t xml:space="preserve">   </w:t>
      </w:r>
      <w:r>
        <w:rPr>
          <w:rFonts w:hint="eastAsia" w:ascii="宋体" w:hAnsi="宋体" w:cs="宋体"/>
          <w:color w:val="auto"/>
          <w:sz w:val="24"/>
        </w:rPr>
        <w:t>日,就质疑事项作出了答复/没有在法定期限内作出答复。</w:t>
      </w:r>
    </w:p>
    <w:p w14:paraId="43FD7DD1">
      <w:pPr>
        <w:spacing w:line="360" w:lineRule="auto"/>
        <w:rPr>
          <w:rFonts w:ascii="宋体" w:hAnsi="宋体" w:cs="宋体"/>
          <w:color w:val="auto"/>
          <w:sz w:val="24"/>
        </w:rPr>
      </w:pPr>
      <w:r>
        <w:rPr>
          <w:rFonts w:hint="eastAsia" w:ascii="宋体" w:hAnsi="宋体" w:cs="宋体"/>
          <w:color w:val="auto"/>
          <w:sz w:val="24"/>
        </w:rPr>
        <w:t>四、投诉事项具体内容</w:t>
      </w:r>
    </w:p>
    <w:p w14:paraId="6A07E3E0">
      <w:pPr>
        <w:spacing w:line="360" w:lineRule="auto"/>
        <w:rPr>
          <w:rFonts w:ascii="宋体" w:hAnsi="宋体" w:cs="宋体"/>
          <w:color w:val="auto"/>
          <w:sz w:val="24"/>
          <w:u w:val="single"/>
        </w:rPr>
      </w:pPr>
      <w:r>
        <w:rPr>
          <w:rFonts w:hint="eastAsia" w:ascii="宋体" w:hAnsi="宋体" w:cs="宋体"/>
          <w:color w:val="auto"/>
          <w:sz w:val="24"/>
        </w:rPr>
        <w:t>投诉事项 1：</w:t>
      </w:r>
      <w:r>
        <w:rPr>
          <w:rFonts w:hint="eastAsia" w:ascii="宋体" w:hAnsi="宋体" w:cs="宋体"/>
          <w:color w:val="auto"/>
          <w:sz w:val="24"/>
          <w:u w:val="dotted"/>
        </w:rPr>
        <w:t xml:space="preserve">                                       </w:t>
      </w:r>
    </w:p>
    <w:p w14:paraId="24EDF0E1">
      <w:pPr>
        <w:spacing w:line="360" w:lineRule="auto"/>
        <w:rPr>
          <w:rFonts w:ascii="宋体" w:hAnsi="宋体" w:cs="宋体"/>
          <w:color w:val="auto"/>
          <w:sz w:val="24"/>
        </w:rPr>
      </w:pPr>
      <w:r>
        <w:rPr>
          <w:rFonts w:hint="eastAsia" w:ascii="宋体" w:hAnsi="宋体" w:cs="宋体"/>
          <w:color w:val="auto"/>
          <w:sz w:val="24"/>
        </w:rPr>
        <w:t>事实依据：</w:t>
      </w:r>
      <w:r>
        <w:rPr>
          <w:rFonts w:hint="eastAsia" w:ascii="宋体" w:hAnsi="宋体" w:cs="宋体"/>
          <w:color w:val="auto"/>
          <w:sz w:val="24"/>
          <w:u w:val="dotted"/>
        </w:rPr>
        <w:t xml:space="preserve">                                         </w:t>
      </w:r>
    </w:p>
    <w:p w14:paraId="0E20431A">
      <w:pPr>
        <w:spacing w:line="360" w:lineRule="auto"/>
        <w:rPr>
          <w:rFonts w:ascii="宋体" w:hAnsi="宋体" w:cs="宋体"/>
          <w:color w:val="auto"/>
          <w:sz w:val="24"/>
          <w:u w:val="dotted"/>
        </w:rPr>
      </w:pPr>
      <w:r>
        <w:rPr>
          <w:rFonts w:hint="eastAsia" w:ascii="宋体" w:hAnsi="宋体" w:cs="宋体"/>
          <w:color w:val="auto"/>
          <w:sz w:val="24"/>
          <w:u w:val="dotted"/>
        </w:rPr>
        <w:t xml:space="preserve">                                                      </w:t>
      </w:r>
    </w:p>
    <w:p w14:paraId="6368C434">
      <w:pPr>
        <w:spacing w:line="360" w:lineRule="auto"/>
        <w:rPr>
          <w:rFonts w:ascii="宋体" w:hAnsi="宋体" w:cs="宋体"/>
          <w:color w:val="auto"/>
          <w:sz w:val="24"/>
          <w:u w:val="single"/>
        </w:rPr>
      </w:pPr>
      <w:r>
        <w:rPr>
          <w:rFonts w:hint="eastAsia" w:ascii="宋体" w:hAnsi="宋体" w:cs="宋体"/>
          <w:color w:val="auto"/>
          <w:sz w:val="24"/>
        </w:rPr>
        <w:t>法律依据：</w:t>
      </w:r>
      <w:r>
        <w:rPr>
          <w:rFonts w:hint="eastAsia" w:ascii="宋体" w:hAnsi="宋体" w:cs="宋体"/>
          <w:color w:val="auto"/>
          <w:sz w:val="24"/>
          <w:u w:val="dotted"/>
        </w:rPr>
        <w:t xml:space="preserve">                                          </w:t>
      </w:r>
    </w:p>
    <w:p w14:paraId="3E4E80DF">
      <w:pPr>
        <w:spacing w:line="360" w:lineRule="auto"/>
        <w:rPr>
          <w:rFonts w:ascii="宋体" w:hAnsi="宋体" w:cs="宋体"/>
          <w:color w:val="auto"/>
          <w:sz w:val="24"/>
          <w:u w:val="dotted"/>
        </w:rPr>
      </w:pPr>
      <w:r>
        <w:rPr>
          <w:rFonts w:hint="eastAsia" w:ascii="宋体" w:hAnsi="宋体" w:cs="宋体"/>
          <w:color w:val="auto"/>
          <w:sz w:val="24"/>
          <w:u w:val="dotted"/>
        </w:rPr>
        <w:t xml:space="preserve">                                                      </w:t>
      </w:r>
    </w:p>
    <w:p w14:paraId="5FEB3FFD">
      <w:pPr>
        <w:spacing w:line="360" w:lineRule="auto"/>
        <w:rPr>
          <w:rFonts w:ascii="宋体" w:hAnsi="宋体" w:cs="宋体"/>
          <w:color w:val="auto"/>
          <w:sz w:val="24"/>
        </w:rPr>
      </w:pPr>
      <w:r>
        <w:rPr>
          <w:rFonts w:hint="eastAsia" w:ascii="宋体" w:hAnsi="宋体" w:cs="宋体"/>
          <w:color w:val="auto"/>
          <w:sz w:val="24"/>
        </w:rPr>
        <w:t>投诉事项2</w:t>
      </w:r>
    </w:p>
    <w:p w14:paraId="35A07D3E">
      <w:pPr>
        <w:spacing w:line="360" w:lineRule="auto"/>
        <w:rPr>
          <w:rFonts w:ascii="宋体" w:hAnsi="宋体" w:cs="宋体"/>
          <w:color w:val="auto"/>
          <w:sz w:val="24"/>
          <w:u w:val="dotted"/>
        </w:rPr>
      </w:pPr>
      <w:r>
        <w:rPr>
          <w:rFonts w:hint="eastAsia" w:ascii="宋体" w:hAnsi="宋体" w:cs="宋体"/>
          <w:color w:val="auto"/>
          <w:sz w:val="24"/>
        </w:rPr>
        <w:t>……</w:t>
      </w:r>
    </w:p>
    <w:p w14:paraId="6EA568E1">
      <w:pPr>
        <w:spacing w:line="360" w:lineRule="auto"/>
        <w:rPr>
          <w:rFonts w:ascii="宋体" w:hAnsi="宋体" w:cs="宋体"/>
          <w:color w:val="auto"/>
          <w:sz w:val="24"/>
        </w:rPr>
      </w:pPr>
      <w:r>
        <w:rPr>
          <w:rFonts w:hint="eastAsia" w:ascii="宋体" w:hAnsi="宋体" w:cs="宋体"/>
          <w:color w:val="auto"/>
          <w:sz w:val="24"/>
        </w:rPr>
        <w:t>五、与投诉事项相关的投诉请求</w:t>
      </w:r>
    </w:p>
    <w:p w14:paraId="73A7606D">
      <w:pPr>
        <w:spacing w:line="360" w:lineRule="auto"/>
        <w:rPr>
          <w:rFonts w:ascii="宋体" w:hAnsi="宋体" w:cs="宋体"/>
          <w:color w:val="auto"/>
          <w:sz w:val="24"/>
        </w:rPr>
      </w:pPr>
      <w:r>
        <w:rPr>
          <w:rFonts w:hint="eastAsia" w:ascii="宋体" w:hAnsi="宋体" w:cs="宋体"/>
          <w:color w:val="auto"/>
          <w:sz w:val="24"/>
        </w:rPr>
        <w:t>请求：</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5D55B250">
      <w:pPr>
        <w:spacing w:line="360" w:lineRule="auto"/>
        <w:rPr>
          <w:rFonts w:ascii="宋体" w:hAnsi="宋体" w:cs="宋体"/>
          <w:color w:val="auto"/>
          <w:sz w:val="24"/>
          <w:u w:val="single"/>
        </w:rPr>
      </w:pPr>
      <w:r>
        <w:rPr>
          <w:rFonts w:hint="eastAsia" w:ascii="宋体" w:hAnsi="宋体" w:cs="宋体"/>
          <w:color w:val="auto"/>
          <w:sz w:val="24"/>
        </w:rPr>
        <w:t xml:space="preserve">                                                                                                    </w:t>
      </w:r>
    </w:p>
    <w:p w14:paraId="25FC20E8">
      <w:pPr>
        <w:spacing w:line="360" w:lineRule="auto"/>
        <w:rPr>
          <w:rFonts w:ascii="宋体" w:hAnsi="宋体" w:cs="宋体"/>
          <w:color w:val="auto"/>
          <w:sz w:val="24"/>
        </w:rPr>
      </w:pPr>
      <w:r>
        <w:rPr>
          <w:rFonts w:hint="eastAsia" w:ascii="宋体" w:hAnsi="宋体" w:cs="宋体"/>
          <w:color w:val="auto"/>
          <w:sz w:val="24"/>
        </w:rPr>
        <w:t xml:space="preserve">签字(签章)：                   公章：                      </w:t>
      </w:r>
    </w:p>
    <w:p w14:paraId="2DB50DDE">
      <w:pPr>
        <w:spacing w:line="360" w:lineRule="auto"/>
        <w:rPr>
          <w:rFonts w:ascii="宋体" w:hAnsi="宋体" w:cs="宋体"/>
          <w:color w:val="auto"/>
          <w:sz w:val="24"/>
        </w:rPr>
      </w:pPr>
      <w:r>
        <w:rPr>
          <w:rFonts w:hint="eastAsia" w:ascii="宋体" w:hAnsi="宋体" w:cs="宋体"/>
          <w:color w:val="auto"/>
          <w:sz w:val="24"/>
        </w:rPr>
        <w:t xml:space="preserve">日期：    </w:t>
      </w:r>
    </w:p>
    <w:p w14:paraId="4D73079A">
      <w:pPr>
        <w:spacing w:line="360" w:lineRule="auto"/>
        <w:rPr>
          <w:rFonts w:ascii="宋体" w:hAnsi="宋体" w:cs="宋体"/>
          <w:b/>
          <w:color w:val="auto"/>
          <w:sz w:val="24"/>
        </w:rPr>
      </w:pPr>
    </w:p>
    <w:p w14:paraId="26B1A522">
      <w:pPr>
        <w:spacing w:line="360" w:lineRule="auto"/>
        <w:rPr>
          <w:rFonts w:ascii="宋体" w:hAnsi="宋体" w:cs="宋体"/>
          <w:b/>
          <w:color w:val="auto"/>
          <w:sz w:val="24"/>
        </w:rPr>
      </w:pPr>
    </w:p>
    <w:p w14:paraId="78139EC4">
      <w:pPr>
        <w:spacing w:line="360" w:lineRule="auto"/>
        <w:rPr>
          <w:rFonts w:ascii="宋体" w:hAnsi="宋体" w:cs="宋体"/>
          <w:b/>
          <w:color w:val="auto"/>
          <w:sz w:val="24"/>
        </w:rPr>
      </w:pPr>
      <w:r>
        <w:rPr>
          <w:rFonts w:hint="eastAsia" w:ascii="宋体" w:hAnsi="宋体" w:cs="宋体"/>
          <w:b/>
          <w:color w:val="auto"/>
          <w:sz w:val="24"/>
        </w:rPr>
        <w:t>投诉书制作说明：</w:t>
      </w:r>
    </w:p>
    <w:p w14:paraId="7DADB5D1">
      <w:pPr>
        <w:widowControl/>
        <w:spacing w:line="360" w:lineRule="auto"/>
        <w:ind w:firstLine="480" w:firstLineChars="200"/>
        <w:rPr>
          <w:rFonts w:ascii="宋体" w:hAnsi="宋体" w:cs="宋体"/>
          <w:color w:val="auto"/>
          <w:kern w:val="0"/>
          <w:sz w:val="24"/>
        </w:rPr>
      </w:pPr>
      <w:r>
        <w:rPr>
          <w:rFonts w:hint="eastAsia" w:ascii="宋体" w:hAnsi="宋体" w:cs="宋体"/>
          <w:color w:val="auto"/>
          <w:sz w:val="24"/>
        </w:rPr>
        <w:t>1.投诉人提起投诉时，应当提交投诉书和必要的证明材料，并按照被投诉人和与投诉事项有关的供应商数量提供投诉书副本。</w:t>
      </w:r>
    </w:p>
    <w:p w14:paraId="2556DF2F">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sz w:val="24"/>
        </w:rPr>
        <w:t>2.投诉人若委托代理人进行投诉的，投诉书应按照要求列明“授权代表”的有关内容，并在附件中提交由</w:t>
      </w:r>
      <w:r>
        <w:rPr>
          <w:rFonts w:hint="eastAsia" w:ascii="宋体" w:hAnsi="宋体" w:cs="宋体"/>
          <w:color w:val="auto"/>
          <w:kern w:val="0"/>
          <w:sz w:val="24"/>
        </w:rPr>
        <w:t>投诉人签署的授权委托书。授权委托书应当载明代理人的姓名或者名称、代理事项、具体权限、期限和相关事项。</w:t>
      </w:r>
    </w:p>
    <w:p w14:paraId="482A5237">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3.投诉人若对项目的某一分包进行投诉，投诉书应列明具体分包号。</w:t>
      </w:r>
    </w:p>
    <w:p w14:paraId="74AFB616">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4.投诉书应简要列明质疑事项，质疑函、质疑答复等作为附件材料提供。</w:t>
      </w:r>
    </w:p>
    <w:p w14:paraId="2909CE79">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5.投诉书的投诉事项应具体、明确，并有必要的事实依据和法律依据。</w:t>
      </w:r>
    </w:p>
    <w:p w14:paraId="24584B9E">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6.投诉书的投诉请求应与投诉事项相关。</w:t>
      </w:r>
    </w:p>
    <w:p w14:paraId="5F31BAB5">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sz w:val="24"/>
        </w:rPr>
        <w:t>7.投诉人为自然人的，投诉书应当由本人签字；投诉人为法人或者其他组织的，投诉书应当由法定代表人、主要负责人，或者其授权代表签字或者盖章，并加盖公章。</w:t>
      </w:r>
    </w:p>
    <w:p w14:paraId="6EE60A67">
      <w:pPr>
        <w:spacing w:line="360" w:lineRule="auto"/>
        <w:rPr>
          <w:rFonts w:ascii="宋体" w:hAnsi="宋体" w:cs="宋体"/>
          <w:b/>
          <w:color w:val="auto"/>
          <w:sz w:val="24"/>
        </w:rPr>
      </w:pPr>
    </w:p>
    <w:p w14:paraId="231ED1FF">
      <w:pPr>
        <w:autoSpaceDE w:val="0"/>
        <w:autoSpaceDN w:val="0"/>
        <w:jc w:val="center"/>
        <w:rPr>
          <w:rFonts w:ascii="宋体" w:hAnsi="宋体" w:cs="宋体"/>
          <w:b/>
          <w:color w:val="auto"/>
          <w:spacing w:val="6"/>
          <w:sz w:val="32"/>
          <w:szCs w:val="32"/>
        </w:rPr>
      </w:pPr>
    </w:p>
    <w:p w14:paraId="60B7E274">
      <w:pPr>
        <w:autoSpaceDE w:val="0"/>
        <w:autoSpaceDN w:val="0"/>
        <w:jc w:val="center"/>
        <w:rPr>
          <w:rFonts w:ascii="宋体" w:hAnsi="宋体" w:cs="宋体"/>
          <w:b/>
          <w:color w:val="auto"/>
          <w:spacing w:val="6"/>
          <w:sz w:val="32"/>
          <w:szCs w:val="32"/>
        </w:rPr>
      </w:pPr>
    </w:p>
    <w:p w14:paraId="2DA1881E">
      <w:pPr>
        <w:autoSpaceDE w:val="0"/>
        <w:autoSpaceDN w:val="0"/>
        <w:jc w:val="center"/>
        <w:rPr>
          <w:rFonts w:ascii="宋体" w:hAnsi="宋体" w:cs="宋体"/>
          <w:b/>
          <w:bCs/>
          <w:color w:val="auto"/>
          <w:sz w:val="32"/>
          <w:szCs w:val="32"/>
        </w:rPr>
      </w:pPr>
      <w:r>
        <w:rPr>
          <w:rFonts w:hint="eastAsia" w:ascii="宋体" w:hAnsi="宋体" w:cs="宋体"/>
          <w:b/>
          <w:color w:val="auto"/>
          <w:spacing w:val="6"/>
          <w:sz w:val="32"/>
          <w:szCs w:val="32"/>
        </w:rPr>
        <w:t>附件4：</w:t>
      </w:r>
      <w:r>
        <w:rPr>
          <w:rFonts w:hint="eastAsia" w:ascii="宋体" w:hAnsi="宋体" w:cs="宋体"/>
          <w:b/>
          <w:bCs/>
          <w:color w:val="auto"/>
          <w:sz w:val="32"/>
          <w:szCs w:val="32"/>
        </w:rPr>
        <w:t>业务专用章使用说明函</w:t>
      </w:r>
    </w:p>
    <w:p w14:paraId="6C02D805">
      <w:pPr>
        <w:spacing w:line="360" w:lineRule="auto"/>
        <w:rPr>
          <w:rFonts w:ascii="宋体" w:hAnsi="宋体" w:cs="宋体"/>
          <w:color w:val="auto"/>
          <w:sz w:val="24"/>
          <w:u w:val="single"/>
        </w:rPr>
      </w:pPr>
    </w:p>
    <w:p w14:paraId="0C2B683A">
      <w:pPr>
        <w:spacing w:line="360" w:lineRule="auto"/>
        <w:rPr>
          <w:rFonts w:ascii="宋体" w:hAnsi="宋体" w:cs="宋体"/>
          <w:color w:val="auto"/>
          <w:sz w:val="24"/>
        </w:rPr>
      </w:pPr>
      <w:r>
        <w:rPr>
          <w:rFonts w:hint="eastAsia" w:ascii="宋体" w:hAnsi="宋体" w:cs="宋体"/>
          <w:color w:val="auto"/>
          <w:sz w:val="24"/>
          <w:u w:val="single"/>
        </w:rPr>
        <w:t>（采购人）、（采购代理机构）：</w:t>
      </w:r>
    </w:p>
    <w:p w14:paraId="2B98E923">
      <w:pPr>
        <w:spacing w:line="360" w:lineRule="auto"/>
        <w:ind w:firstLine="480" w:firstLineChars="200"/>
        <w:rPr>
          <w:rFonts w:ascii="宋体" w:hAnsi="宋体" w:cs="宋体"/>
          <w:color w:val="auto"/>
          <w:sz w:val="24"/>
        </w:rPr>
      </w:pPr>
      <w:r>
        <w:rPr>
          <w:rFonts w:hint="eastAsia" w:ascii="宋体" w:hAnsi="宋体" w:cs="宋体"/>
          <w:color w:val="auto"/>
          <w:kern w:val="0"/>
          <w:sz w:val="24"/>
          <w:lang w:val="zh-CN"/>
        </w:rPr>
        <w:t>我方</w:t>
      </w:r>
      <w:r>
        <w:rPr>
          <w:rFonts w:hint="eastAsia" w:ascii="宋体" w:hAnsi="宋体" w:cs="宋体"/>
          <w:color w:val="auto"/>
          <w:kern w:val="0"/>
          <w:sz w:val="24"/>
          <w:u w:val="single"/>
          <w:lang w:val="zh-CN"/>
        </w:rPr>
        <w:t xml:space="preserve">                         </w:t>
      </w:r>
      <w:r>
        <w:rPr>
          <w:rFonts w:hint="eastAsia" w:ascii="宋体" w:hAnsi="宋体" w:cs="宋体"/>
          <w:color w:val="auto"/>
          <w:sz w:val="24"/>
        </w:rPr>
        <w:t>(投标人全称)是中华人民共和国依法登记注册的合法企业，</w:t>
      </w:r>
      <w:r>
        <w:rPr>
          <w:rFonts w:hint="eastAsia" w:ascii="宋体" w:hAnsi="宋体" w:cs="宋体"/>
          <w:bCs/>
          <w:color w:val="auto"/>
          <w:sz w:val="24"/>
        </w:rPr>
        <w:t>在参加</w:t>
      </w:r>
      <w:r>
        <w:rPr>
          <w:rFonts w:hint="eastAsia" w:ascii="宋体" w:hAnsi="宋体" w:cs="宋体"/>
          <w:color w:val="auto"/>
          <w:sz w:val="24"/>
        </w:rPr>
        <w:t>你方组织的（项目名称）【招标编号：（采购编号）】</w:t>
      </w:r>
      <w:r>
        <w:rPr>
          <w:rFonts w:hint="eastAsia" w:ascii="宋体" w:hAnsi="宋体" w:cs="宋体"/>
          <w:bCs/>
          <w:color w:val="auto"/>
          <w:sz w:val="24"/>
        </w:rPr>
        <w:t>投标活动中作如下说明：</w:t>
      </w:r>
      <w:r>
        <w:rPr>
          <w:rFonts w:hint="eastAsia" w:ascii="宋体" w:hAnsi="宋体" w:cs="宋体"/>
          <w:color w:val="auto"/>
          <w:sz w:val="24"/>
        </w:rPr>
        <w:t xml:space="preserve">我方所使用的“XX专用章”与法定名称章具有同等的法律效力，对使用“XX专用章”的行为予以完全承认，并愿意承担相应责任。   </w:t>
      </w:r>
    </w:p>
    <w:p w14:paraId="0CAD1AB7">
      <w:pPr>
        <w:spacing w:line="360" w:lineRule="auto"/>
        <w:ind w:firstLine="480" w:firstLineChars="200"/>
        <w:rPr>
          <w:rFonts w:ascii="宋体" w:hAnsi="宋体" w:cs="宋体"/>
          <w:color w:val="auto"/>
          <w:sz w:val="24"/>
        </w:rPr>
      </w:pPr>
      <w:r>
        <w:rPr>
          <w:rFonts w:hint="eastAsia" w:ascii="宋体" w:hAnsi="宋体" w:cs="宋体"/>
          <w:color w:val="auto"/>
          <w:sz w:val="24"/>
        </w:rPr>
        <w:t>特此说明。</w:t>
      </w:r>
    </w:p>
    <w:p w14:paraId="77AF6D09">
      <w:pPr>
        <w:spacing w:line="360" w:lineRule="auto"/>
        <w:ind w:firstLine="494"/>
        <w:rPr>
          <w:rFonts w:ascii="宋体" w:hAnsi="宋体" w:cs="宋体"/>
          <w:color w:val="auto"/>
          <w:sz w:val="24"/>
        </w:rPr>
      </w:pPr>
    </w:p>
    <w:p w14:paraId="0AEA27E2">
      <w:pPr>
        <w:spacing w:line="360" w:lineRule="auto"/>
        <w:ind w:firstLine="494"/>
        <w:rPr>
          <w:rFonts w:ascii="宋体" w:hAnsi="宋体" w:cs="宋体"/>
          <w:color w:val="auto"/>
          <w:sz w:val="24"/>
        </w:rPr>
      </w:pPr>
    </w:p>
    <w:p w14:paraId="6F8D1A97">
      <w:pPr>
        <w:spacing w:line="360" w:lineRule="auto"/>
        <w:ind w:firstLine="494"/>
        <w:rPr>
          <w:rFonts w:ascii="宋体" w:hAnsi="宋体" w:cs="宋体"/>
          <w:color w:val="auto"/>
          <w:sz w:val="24"/>
        </w:rPr>
      </w:pPr>
    </w:p>
    <w:p w14:paraId="742620AB">
      <w:pPr>
        <w:spacing w:line="360" w:lineRule="auto"/>
        <w:ind w:right="480" w:firstLine="4080" w:firstLineChars="1700"/>
        <w:rPr>
          <w:rFonts w:ascii="宋体" w:hAnsi="宋体" w:cs="宋体"/>
          <w:color w:val="auto"/>
          <w:sz w:val="24"/>
        </w:rPr>
      </w:pPr>
      <w:r>
        <w:rPr>
          <w:rFonts w:hint="eastAsia" w:ascii="宋体" w:hAnsi="宋体" w:cs="宋体"/>
          <w:color w:val="auto"/>
          <w:sz w:val="24"/>
        </w:rPr>
        <w:t>投标单位（法定名称章）：</w:t>
      </w:r>
    </w:p>
    <w:p w14:paraId="7936DEA3">
      <w:pPr>
        <w:ind w:right="1440" w:firstLine="494"/>
        <w:jc w:val="center"/>
        <w:rPr>
          <w:rFonts w:ascii="宋体" w:hAnsi="宋体" w:cs="宋体"/>
          <w:color w:val="auto"/>
          <w:sz w:val="24"/>
        </w:rPr>
      </w:pPr>
      <w:r>
        <w:rPr>
          <w:rFonts w:hint="eastAsia" w:ascii="宋体" w:hAnsi="宋体" w:cs="宋体"/>
          <w:color w:val="auto"/>
          <w:sz w:val="24"/>
        </w:rPr>
        <w:t xml:space="preserve">                              日期：       年     月     日</w:t>
      </w:r>
    </w:p>
    <w:p w14:paraId="6A20EEA8">
      <w:pPr>
        <w:rPr>
          <w:rFonts w:ascii="宋体" w:hAnsi="宋体" w:cs="宋体"/>
          <w:color w:val="auto"/>
          <w:sz w:val="24"/>
        </w:rPr>
      </w:pPr>
      <w:r>
        <w:rPr>
          <w:rFonts w:hint="eastAsia" w:ascii="宋体" w:hAnsi="宋体" w:cs="宋体"/>
          <w:b/>
          <w:bCs/>
          <w:color w:val="auto"/>
          <w:sz w:val="24"/>
        </w:rPr>
        <w:t>附：</w:t>
      </w:r>
    </w:p>
    <w:p w14:paraId="0F03138E">
      <w:pPr>
        <w:spacing w:line="360" w:lineRule="auto"/>
        <w:rPr>
          <w:rFonts w:ascii="宋体" w:hAnsi="宋体" w:cs="宋体"/>
          <w:bCs/>
          <w:color w:val="auto"/>
          <w:sz w:val="24"/>
        </w:rPr>
      </w:pPr>
      <w:r>
        <w:rPr>
          <w:rFonts w:hint="eastAsia" w:ascii="宋体" w:hAnsi="宋体" w:cs="宋体"/>
          <w:b/>
          <w:bCs/>
          <w:color w:val="auto"/>
          <w:sz w:val="24"/>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rPr>
        <w:t>投标单位法定名称章（印模）                投标单位“XX专用章”（印模）</w:t>
      </w:r>
    </w:p>
    <w:p w14:paraId="461CF74D">
      <w:pPr>
        <w:autoSpaceDE w:val="0"/>
        <w:autoSpaceDN w:val="0"/>
        <w:jc w:val="center"/>
        <w:rPr>
          <w:rFonts w:ascii="宋体" w:hAnsi="宋体" w:cs="宋体"/>
          <w:b/>
          <w:color w:val="auto"/>
          <w:spacing w:val="6"/>
          <w:sz w:val="32"/>
          <w:szCs w:val="32"/>
        </w:rPr>
      </w:pPr>
    </w:p>
    <w:p w14:paraId="0DA338D8">
      <w:pPr>
        <w:autoSpaceDE w:val="0"/>
        <w:autoSpaceDN w:val="0"/>
        <w:jc w:val="center"/>
        <w:rPr>
          <w:rFonts w:ascii="宋体" w:hAnsi="宋体" w:cs="宋体"/>
          <w:b/>
          <w:color w:val="auto"/>
          <w:spacing w:val="6"/>
          <w:sz w:val="32"/>
          <w:szCs w:val="32"/>
        </w:rPr>
      </w:pPr>
    </w:p>
    <w:p w14:paraId="283F2390">
      <w:pPr>
        <w:autoSpaceDE w:val="0"/>
        <w:autoSpaceDN w:val="0"/>
        <w:jc w:val="center"/>
        <w:rPr>
          <w:rFonts w:ascii="宋体" w:hAnsi="宋体" w:cs="宋体"/>
          <w:b/>
          <w:color w:val="auto"/>
          <w:spacing w:val="6"/>
          <w:sz w:val="32"/>
          <w:szCs w:val="32"/>
        </w:rPr>
      </w:pPr>
    </w:p>
    <w:p w14:paraId="4AD87F11">
      <w:pPr>
        <w:autoSpaceDE w:val="0"/>
        <w:autoSpaceDN w:val="0"/>
        <w:jc w:val="center"/>
        <w:rPr>
          <w:rFonts w:ascii="宋体" w:hAnsi="宋体" w:cs="宋体"/>
          <w:b/>
          <w:color w:val="auto"/>
          <w:spacing w:val="6"/>
          <w:sz w:val="32"/>
          <w:szCs w:val="32"/>
        </w:rPr>
      </w:pPr>
    </w:p>
    <w:p w14:paraId="31B62E88">
      <w:pPr>
        <w:autoSpaceDE w:val="0"/>
        <w:autoSpaceDN w:val="0"/>
        <w:jc w:val="center"/>
        <w:rPr>
          <w:rFonts w:ascii="宋体" w:hAnsi="宋体" w:cs="宋体"/>
          <w:b/>
          <w:color w:val="auto"/>
          <w:spacing w:val="6"/>
          <w:sz w:val="32"/>
          <w:szCs w:val="32"/>
        </w:rPr>
      </w:pPr>
    </w:p>
    <w:p w14:paraId="0FF2117E">
      <w:pPr>
        <w:snapToGrid w:val="0"/>
        <w:spacing w:line="360" w:lineRule="auto"/>
        <w:jc w:val="center"/>
        <w:outlineLvl w:val="0"/>
        <w:rPr>
          <w:rFonts w:ascii="宋体" w:hAnsi="宋体" w:cs="宋体"/>
          <w:b/>
          <w:color w:val="auto"/>
          <w:kern w:val="0"/>
          <w:sz w:val="32"/>
          <w:szCs w:val="32"/>
        </w:rPr>
      </w:pPr>
      <w:r>
        <w:rPr>
          <w:rFonts w:hint="eastAsia" w:ascii="宋体" w:hAnsi="宋体" w:cs="宋体"/>
          <w:b/>
          <w:color w:val="auto"/>
          <w:kern w:val="0"/>
          <w:sz w:val="32"/>
          <w:szCs w:val="32"/>
        </w:rPr>
        <w:t>附件</w:t>
      </w:r>
      <w:r>
        <w:rPr>
          <w:rFonts w:ascii="宋体" w:hAnsi="宋体" w:cs="宋体"/>
          <w:b/>
          <w:color w:val="auto"/>
          <w:kern w:val="0"/>
          <w:sz w:val="32"/>
          <w:szCs w:val="32"/>
        </w:rPr>
        <w:t>5</w:t>
      </w:r>
      <w:r>
        <w:rPr>
          <w:rFonts w:hint="eastAsia" w:ascii="宋体" w:hAnsi="宋体" w:cs="宋体"/>
          <w:b/>
          <w:color w:val="auto"/>
          <w:kern w:val="0"/>
          <w:sz w:val="32"/>
          <w:szCs w:val="32"/>
        </w:rPr>
        <w:t>：联合协议</w:t>
      </w:r>
    </w:p>
    <w:p w14:paraId="7AB306C5">
      <w:pPr>
        <w:widowControl/>
        <w:spacing w:line="360" w:lineRule="auto"/>
        <w:ind w:firstLine="482" w:firstLineChars="200"/>
        <w:jc w:val="left"/>
        <w:rPr>
          <w:rFonts w:ascii="宋体" w:hAnsi="宋体" w:cs="宋体"/>
          <w:b/>
          <w:color w:val="auto"/>
          <w:sz w:val="24"/>
        </w:rPr>
      </w:pPr>
      <w:r>
        <w:rPr>
          <w:rFonts w:hint="eastAsia" w:ascii="宋体" w:hAnsi="宋体" w:cs="宋体"/>
          <w:b/>
          <w:color w:val="auto"/>
          <w:sz w:val="24"/>
        </w:rPr>
        <w:t>（以联合体形式投标的，提供联合协议；本项目不接受联合体投标或者投标人不以联合体形式投标的，则不需要提供）</w:t>
      </w:r>
    </w:p>
    <w:p w14:paraId="2959B5BC">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（联合体所有成员名称）</w:t>
      </w:r>
      <w:r>
        <w:rPr>
          <w:rFonts w:hint="eastAsia" w:ascii="宋体" w:hAnsi="宋体" w:cs="宋体"/>
          <w:color w:val="auto"/>
          <w:kern w:val="0"/>
          <w:sz w:val="24"/>
        </w:rPr>
        <w:t>自愿</w:t>
      </w:r>
      <w:r>
        <w:rPr>
          <w:rFonts w:hint="eastAsia" w:ascii="宋体" w:hAnsi="宋体" w:cs="宋体"/>
          <w:color w:val="auto"/>
          <w:kern w:val="0"/>
          <w:sz w:val="24"/>
          <w:lang w:val="zh-CN"/>
        </w:rPr>
        <w:t>组成一个联合体，以一个投标人的身份</w:t>
      </w:r>
      <w:r>
        <w:rPr>
          <w:rFonts w:hint="eastAsia" w:ascii="宋体" w:hAnsi="宋体" w:cs="宋体"/>
          <w:color w:val="auto"/>
          <w:kern w:val="0"/>
          <w:sz w:val="24"/>
        </w:rPr>
        <w:t>参加</w:t>
      </w:r>
      <w:r>
        <w:rPr>
          <w:rFonts w:hint="eastAsia" w:ascii="宋体" w:hAnsi="宋体" w:cs="宋体"/>
          <w:color w:val="auto"/>
          <w:sz w:val="24"/>
        </w:rPr>
        <w:t>（项目名称）【招标编号：（采购编号）】</w:t>
      </w:r>
      <w:r>
        <w:rPr>
          <w:rFonts w:hint="eastAsia" w:ascii="宋体" w:hAnsi="宋体" w:cs="宋体"/>
          <w:color w:val="auto"/>
          <w:kern w:val="0"/>
          <w:sz w:val="24"/>
          <w:lang w:val="zh-CN"/>
        </w:rPr>
        <w:t xml:space="preserve">投标。 </w:t>
      </w:r>
    </w:p>
    <w:p w14:paraId="4A45B521">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一、各方一致决定，</w:t>
      </w:r>
      <w:r>
        <w:rPr>
          <w:rFonts w:hint="eastAsia" w:ascii="宋体" w:hAnsi="宋体" w:cs="宋体"/>
          <w:color w:val="auto"/>
          <w:kern w:val="0"/>
          <w:sz w:val="24"/>
          <w:u w:val="single"/>
        </w:rPr>
        <w:t>（某联合体成员名称）</w:t>
      </w:r>
      <w:r>
        <w:rPr>
          <w:rFonts w:hint="eastAsia" w:ascii="宋体" w:hAnsi="宋体" w:cs="宋体"/>
          <w:color w:val="auto"/>
          <w:kern w:val="0"/>
          <w:sz w:val="24"/>
        </w:rPr>
        <w:t>为联合体</w:t>
      </w:r>
      <w:r>
        <w:rPr>
          <w:rFonts w:hint="eastAsia" w:ascii="宋体" w:hAnsi="宋体" w:cs="宋体"/>
          <w:color w:val="auto"/>
          <w:kern w:val="0"/>
          <w:sz w:val="24"/>
          <w:lang w:val="zh-CN"/>
        </w:rPr>
        <w:t>牵头人</w:t>
      </w:r>
      <w:r>
        <w:rPr>
          <w:rFonts w:hint="eastAsia" w:ascii="宋体" w:hAnsi="宋体" w:cs="宋体"/>
          <w:color w:val="auto"/>
          <w:sz w:val="24"/>
        </w:rPr>
        <w:t>，代表所有联合体成员负责投标和合同实施阶段的主办、协调工作</w:t>
      </w:r>
      <w:r>
        <w:rPr>
          <w:rFonts w:hint="eastAsia" w:ascii="宋体" w:hAnsi="宋体" w:cs="宋体"/>
          <w:color w:val="auto"/>
          <w:kern w:val="0"/>
          <w:sz w:val="24"/>
          <w:lang w:val="zh-CN"/>
        </w:rPr>
        <w:t>。</w:t>
      </w:r>
    </w:p>
    <w:p w14:paraId="33409D69">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二、</w:t>
      </w:r>
      <w:r>
        <w:rPr>
          <w:rFonts w:hint="eastAsia" w:ascii="宋体" w:hAnsi="宋体" w:cs="宋体"/>
          <w:color w:val="auto"/>
          <w:sz w:val="24"/>
        </w:rPr>
        <w:t>所有联合体成员各方签署授权书，授权书载明的</w:t>
      </w:r>
      <w:r>
        <w:rPr>
          <w:rFonts w:hint="eastAsia" w:ascii="宋体" w:hAnsi="宋体" w:cs="宋体"/>
          <w:color w:val="auto"/>
          <w:kern w:val="0"/>
          <w:sz w:val="24"/>
          <w:lang w:val="zh-CN"/>
        </w:rPr>
        <w:t>授权代表根据招标文件规定及投标内容而对采购人、采购代理机构所作的任何合法承诺，包括书面澄清及响应等均对联合投标各方产生约束力。</w:t>
      </w:r>
    </w:p>
    <w:p w14:paraId="2B4846E4">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三、本次联合投标中，分工如下：</w:t>
      </w:r>
    </w:p>
    <w:p w14:paraId="3A276EF4">
      <w:pPr>
        <w:snapToGrid w:val="0"/>
        <w:spacing w:line="360" w:lineRule="auto"/>
        <w:ind w:firstLine="576"/>
        <w:rPr>
          <w:rFonts w:ascii="宋体" w:hAnsi="宋体" w:cs="宋体"/>
          <w:color w:val="auto"/>
          <w:kern w:val="0"/>
          <w:sz w:val="24"/>
          <w:lang w:val="zh-CN"/>
        </w:rPr>
      </w:pPr>
      <w:bookmarkStart w:id="412" w:name="_Hlk101134295"/>
      <w:r>
        <w:rPr>
          <w:rFonts w:hint="eastAsia" w:ascii="宋体" w:hAnsi="宋体" w:cs="宋体"/>
          <w:color w:val="auto"/>
          <w:kern w:val="0"/>
          <w:sz w:val="24"/>
          <w:u w:val="single"/>
        </w:rPr>
        <w:t>（联合体成员1）</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14:paraId="272A33FA">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（联合体成员</w:t>
      </w:r>
      <w:r>
        <w:rPr>
          <w:rFonts w:ascii="宋体" w:hAnsi="宋体" w:cs="宋体"/>
          <w:color w:val="auto"/>
          <w:kern w:val="0"/>
          <w:sz w:val="24"/>
          <w:u w:val="single"/>
        </w:rPr>
        <w:t>2</w:t>
      </w:r>
      <w:r>
        <w:rPr>
          <w:rFonts w:hint="eastAsia" w:ascii="宋体" w:hAnsi="宋体" w:cs="宋体"/>
          <w:color w:val="auto"/>
          <w:kern w:val="0"/>
          <w:sz w:val="24"/>
          <w:u w:val="single"/>
        </w:rPr>
        <w:t>）</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14:paraId="37AED304">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w:t>
      </w:r>
    </w:p>
    <w:bookmarkEnd w:id="412"/>
    <w:p w14:paraId="1A2CFAA9">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四、联合体成员中小企业合同份额。</w:t>
      </w:r>
    </w:p>
    <w:p w14:paraId="5733B028">
      <w:pPr>
        <w:snapToGrid w:val="0"/>
        <w:spacing w:line="360" w:lineRule="auto"/>
        <w:ind w:firstLine="576"/>
        <w:rPr>
          <w:rFonts w:ascii="宋体" w:hAnsi="宋体" w:cs="宋体"/>
          <w:b/>
          <w:color w:val="auto"/>
          <w:kern w:val="0"/>
          <w:sz w:val="24"/>
          <w:lang w:val="zh-CN"/>
        </w:rPr>
      </w:pPr>
      <w:r>
        <w:rPr>
          <w:rFonts w:hint="eastAsia" w:ascii="宋体" w:hAnsi="宋体" w:cs="宋体"/>
          <w:color w:val="auto"/>
          <w:kern w:val="0"/>
          <w:sz w:val="24"/>
          <w:lang w:val="zh-CN"/>
        </w:rPr>
        <w:t>1、</w:t>
      </w:r>
      <w:r>
        <w:rPr>
          <w:rFonts w:hint="eastAsia" w:ascii="宋体" w:hAnsi="宋体" w:cs="宋体"/>
          <w:color w:val="auto"/>
          <w:kern w:val="0"/>
          <w:sz w:val="24"/>
          <w:u w:val="single"/>
        </w:rPr>
        <w:t>（联合体成员</w:t>
      </w:r>
      <w:r>
        <w:rPr>
          <w:rFonts w:ascii="宋体" w:hAnsi="宋体" w:cs="宋体"/>
          <w:color w:val="auto"/>
          <w:kern w:val="0"/>
          <w:sz w:val="24"/>
          <w:u w:val="single"/>
        </w:rPr>
        <w:t>X,</w:t>
      </w:r>
      <w:r>
        <w:rPr>
          <w:rFonts w:hint="eastAsia" w:ascii="宋体" w:hAnsi="宋体" w:cs="宋体"/>
          <w:color w:val="auto"/>
          <w:kern w:val="0"/>
          <w:sz w:val="24"/>
          <w:u w:val="single"/>
        </w:rPr>
        <w:t>……）</w:t>
      </w:r>
      <w:r>
        <w:rPr>
          <w:rFonts w:hint="eastAsia" w:ascii="宋体" w:hAnsi="宋体" w:cs="宋体"/>
          <w:color w:val="auto"/>
          <w:kern w:val="0"/>
          <w:sz w:val="24"/>
        </w:rPr>
        <w:t>提供的全部货物由小微企业制造，其合同份额占到合同总金额</w:t>
      </w:r>
      <w:r>
        <w:rPr>
          <w:rFonts w:hint="eastAsia" w:ascii="宋体" w:hAnsi="宋体" w:cs="宋体"/>
          <w:color w:val="auto"/>
          <w:kern w:val="0"/>
          <w:sz w:val="24"/>
          <w:u w:val="single"/>
        </w:rPr>
        <w:t xml:space="preserve">     </w:t>
      </w:r>
      <w:r>
        <w:rPr>
          <w:rFonts w:hint="eastAsia" w:ascii="宋体" w:hAnsi="宋体" w:cs="宋体"/>
          <w:color w:val="auto"/>
          <w:kern w:val="0"/>
          <w:sz w:val="24"/>
        </w:rPr>
        <w:t>%以上；</w:t>
      </w:r>
      <w:r>
        <w:rPr>
          <w:rFonts w:hint="eastAsia" w:ascii="宋体" w:hAnsi="宋体" w:cs="宋体"/>
          <w:color w:val="auto"/>
          <w:kern w:val="0"/>
          <w:sz w:val="24"/>
          <w:lang w:val="zh-CN"/>
        </w:rPr>
        <w:t>……。</w:t>
      </w:r>
      <w:r>
        <w:rPr>
          <w:rFonts w:hint="eastAsia" w:ascii="宋体" w:hAnsi="宋体" w:cs="宋体"/>
          <w:b/>
          <w:color w:val="auto"/>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rPr>
        <w:t>拟享受以上价格扣除政策的，填写有关内容。</w:t>
      </w:r>
      <w:r>
        <w:rPr>
          <w:rFonts w:hint="eastAsia" w:ascii="宋体" w:hAnsi="宋体" w:cs="宋体"/>
          <w:b/>
          <w:color w:val="auto"/>
          <w:kern w:val="0"/>
          <w:sz w:val="24"/>
          <w:lang w:val="zh-CN"/>
        </w:rPr>
        <w:t>）</w:t>
      </w:r>
    </w:p>
    <w:p w14:paraId="7501C99B">
      <w:pPr>
        <w:snapToGrid w:val="0"/>
        <w:spacing w:line="360" w:lineRule="auto"/>
        <w:ind w:firstLine="576"/>
        <w:rPr>
          <w:rFonts w:ascii="宋体" w:hAnsi="宋体" w:cs="宋体"/>
          <w:color w:val="auto"/>
          <w:kern w:val="0"/>
          <w:sz w:val="24"/>
          <w:lang w:val="zh-CN"/>
        </w:rPr>
      </w:pPr>
      <w:r>
        <w:rPr>
          <w:rFonts w:hint="eastAsia" w:ascii="宋体" w:hAnsi="宋体" w:cs="宋体"/>
          <w:color w:val="auto"/>
          <w:sz w:val="24"/>
        </w:rPr>
        <w:t>2、中小企业合同金额达到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sz w:val="24"/>
          <w:highlight w:val="none"/>
        </w:rPr>
        <w:t>其中</w:t>
      </w:r>
      <w:r>
        <w:rPr>
          <w:rFonts w:hint="eastAsia" w:ascii="宋体" w:hAnsi="宋体" w:cs="宋体"/>
          <w:color w:val="auto"/>
          <w:sz w:val="24"/>
        </w:rPr>
        <w:t>小微企业合同金额达到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0"/>
          <w:sz w:val="24"/>
          <w:lang w:val="zh-CN"/>
        </w:rPr>
        <w:t>。</w:t>
      </w:r>
      <w:r>
        <w:rPr>
          <w:rFonts w:hint="eastAsia" w:ascii="宋体" w:hAnsi="宋体" w:cs="宋体"/>
          <w:b/>
          <w:bCs/>
          <w:color w:val="auto"/>
          <w:kern w:val="0"/>
          <w:sz w:val="24"/>
          <w:lang w:val="zh-CN"/>
        </w:rPr>
        <w:t>（</w:t>
      </w:r>
      <w:r>
        <w:rPr>
          <w:rFonts w:hint="eastAsia" w:ascii="宋体" w:hAnsi="宋体" w:cs="宋体"/>
          <w:b/>
          <w:bCs/>
          <w:color w:val="auto"/>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lang w:val="zh-CN"/>
        </w:rPr>
        <w:t>）</w:t>
      </w:r>
    </w:p>
    <w:p w14:paraId="0DB25A31">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五、如果中标，</w:t>
      </w:r>
      <w:r>
        <w:rPr>
          <w:rFonts w:hint="eastAsia" w:ascii="宋体" w:hAnsi="宋体" w:cs="宋体"/>
          <w:color w:val="auto"/>
          <w:sz w:val="24"/>
        </w:rPr>
        <w:t>联合体各成员方共同与采购人签订合同，并就采购合同约定的事项对采购人承担连带责任。</w:t>
      </w:r>
    </w:p>
    <w:p w14:paraId="3F500A05">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六、有关本次联合投标的其他事宜：</w:t>
      </w:r>
    </w:p>
    <w:p w14:paraId="7DC78D26">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1、联合体各方不再单独参加或者与其他供应商另外组成联合体参加同一合同项下的政府采购活动。</w:t>
      </w:r>
    </w:p>
    <w:p w14:paraId="64F3FE91">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2、联合体中有同类资质的各方按照联合体分工承担相同工作的，按照资质等级较低的供应商确定资质等级。</w:t>
      </w:r>
    </w:p>
    <w:p w14:paraId="5EB198A2">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3、本协议提交采购人、采购代理机构后，联合体各方不得以任何形式对上述内容进行修改或撤销。</w:t>
      </w:r>
    </w:p>
    <w:p w14:paraId="01A0B4FC">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5B5604D9">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629D649F">
      <w:pPr>
        <w:snapToGrid w:val="0"/>
        <w:spacing w:line="360" w:lineRule="auto"/>
        <w:ind w:right="960"/>
        <w:jc w:val="center"/>
        <w:rPr>
          <w:rFonts w:ascii="宋体" w:hAnsi="宋体" w:cs="宋体"/>
          <w:color w:val="auto"/>
          <w:kern w:val="0"/>
          <w:sz w:val="24"/>
          <w:lang w:val="zh-CN"/>
        </w:rPr>
      </w:pPr>
      <w:r>
        <w:rPr>
          <w:rFonts w:hint="eastAsia" w:ascii="宋体" w:hAnsi="宋体" w:cs="宋体"/>
          <w:color w:val="auto"/>
          <w:kern w:val="0"/>
          <w:sz w:val="24"/>
          <w:lang w:val="zh-CN"/>
        </w:rPr>
        <w:t xml:space="preserve">                   ……</w:t>
      </w:r>
    </w:p>
    <w:p w14:paraId="18623149">
      <w:pPr>
        <w:snapToGrid w:val="0"/>
        <w:spacing w:line="360" w:lineRule="auto"/>
        <w:jc w:val="right"/>
        <w:rPr>
          <w:rFonts w:ascii="宋体" w:hAnsi="宋体" w:cs="宋体"/>
          <w:color w:val="auto"/>
          <w:kern w:val="0"/>
          <w:sz w:val="24"/>
          <w:lang w:val="zh-CN"/>
        </w:rPr>
      </w:pPr>
      <w:r>
        <w:rPr>
          <w:rFonts w:hint="eastAsia" w:ascii="宋体" w:hAnsi="宋体" w:cs="宋体"/>
          <w:color w:val="auto"/>
          <w:kern w:val="0"/>
          <w:sz w:val="24"/>
          <w:lang w:val="zh-CN"/>
        </w:rPr>
        <w:t>日期：  年  月   日</w:t>
      </w:r>
    </w:p>
    <w:p w14:paraId="6F9E5E4B">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0403F680">
      <w:pPr>
        <w:autoSpaceDE w:val="0"/>
        <w:autoSpaceDN w:val="0"/>
        <w:jc w:val="center"/>
        <w:rPr>
          <w:rFonts w:ascii="宋体" w:hAnsi="宋体" w:cs="宋体"/>
          <w:b/>
          <w:color w:val="auto"/>
          <w:spacing w:val="6"/>
          <w:sz w:val="32"/>
          <w:szCs w:val="32"/>
        </w:rPr>
      </w:pPr>
    </w:p>
    <w:p w14:paraId="62EA1445">
      <w:pPr>
        <w:autoSpaceDE w:val="0"/>
        <w:autoSpaceDN w:val="0"/>
        <w:jc w:val="center"/>
        <w:rPr>
          <w:rFonts w:ascii="宋体" w:hAnsi="宋体" w:cs="宋体"/>
          <w:b/>
          <w:color w:val="auto"/>
          <w:spacing w:val="6"/>
          <w:sz w:val="32"/>
          <w:szCs w:val="32"/>
        </w:rPr>
      </w:pPr>
    </w:p>
    <w:p w14:paraId="333C2A32">
      <w:pPr>
        <w:autoSpaceDE w:val="0"/>
        <w:autoSpaceDN w:val="0"/>
        <w:jc w:val="center"/>
        <w:rPr>
          <w:rFonts w:ascii="宋体" w:hAnsi="宋体" w:cs="宋体"/>
          <w:b/>
          <w:color w:val="auto"/>
          <w:spacing w:val="6"/>
          <w:sz w:val="32"/>
          <w:szCs w:val="32"/>
        </w:rPr>
      </w:pPr>
    </w:p>
    <w:p w14:paraId="15FDF301">
      <w:pPr>
        <w:autoSpaceDE w:val="0"/>
        <w:autoSpaceDN w:val="0"/>
        <w:jc w:val="center"/>
        <w:rPr>
          <w:rFonts w:ascii="宋体" w:hAnsi="宋体" w:cs="宋体"/>
          <w:b/>
          <w:color w:val="auto"/>
          <w:spacing w:val="6"/>
          <w:sz w:val="32"/>
          <w:szCs w:val="32"/>
        </w:rPr>
      </w:pPr>
    </w:p>
    <w:p w14:paraId="2BC34D9C">
      <w:pPr>
        <w:autoSpaceDE w:val="0"/>
        <w:autoSpaceDN w:val="0"/>
        <w:jc w:val="center"/>
        <w:rPr>
          <w:rFonts w:ascii="宋体" w:hAnsi="宋体" w:cs="宋体"/>
          <w:b/>
          <w:color w:val="auto"/>
          <w:spacing w:val="6"/>
          <w:sz w:val="32"/>
          <w:szCs w:val="32"/>
        </w:rPr>
      </w:pPr>
    </w:p>
    <w:p w14:paraId="37DEC36B">
      <w:pPr>
        <w:autoSpaceDE w:val="0"/>
        <w:autoSpaceDN w:val="0"/>
        <w:jc w:val="center"/>
        <w:rPr>
          <w:rFonts w:ascii="宋体" w:hAnsi="宋体" w:cs="宋体"/>
          <w:b/>
          <w:color w:val="auto"/>
          <w:spacing w:val="6"/>
          <w:sz w:val="32"/>
          <w:szCs w:val="32"/>
        </w:rPr>
      </w:pPr>
    </w:p>
    <w:p w14:paraId="44ABEE84">
      <w:pPr>
        <w:autoSpaceDE w:val="0"/>
        <w:autoSpaceDN w:val="0"/>
        <w:jc w:val="center"/>
        <w:rPr>
          <w:rFonts w:ascii="宋体" w:hAnsi="宋体" w:cs="宋体"/>
          <w:b/>
          <w:color w:val="auto"/>
          <w:spacing w:val="6"/>
          <w:sz w:val="32"/>
          <w:szCs w:val="32"/>
        </w:rPr>
      </w:pPr>
    </w:p>
    <w:p w14:paraId="061D8763">
      <w:pPr>
        <w:autoSpaceDE w:val="0"/>
        <w:autoSpaceDN w:val="0"/>
        <w:jc w:val="center"/>
        <w:rPr>
          <w:rFonts w:ascii="宋体" w:hAnsi="宋体" w:cs="宋体"/>
          <w:b/>
          <w:color w:val="auto"/>
          <w:spacing w:val="6"/>
          <w:sz w:val="32"/>
          <w:szCs w:val="32"/>
        </w:rPr>
      </w:pPr>
    </w:p>
    <w:p w14:paraId="086F3FA5">
      <w:pPr>
        <w:autoSpaceDE w:val="0"/>
        <w:autoSpaceDN w:val="0"/>
        <w:jc w:val="center"/>
        <w:rPr>
          <w:rFonts w:ascii="宋体" w:hAnsi="宋体" w:cs="宋体"/>
          <w:b/>
          <w:color w:val="auto"/>
          <w:spacing w:val="6"/>
          <w:sz w:val="32"/>
          <w:szCs w:val="32"/>
        </w:rPr>
      </w:pPr>
    </w:p>
    <w:p w14:paraId="118FE987">
      <w:pPr>
        <w:autoSpaceDE w:val="0"/>
        <w:autoSpaceDN w:val="0"/>
        <w:jc w:val="center"/>
        <w:rPr>
          <w:rFonts w:ascii="宋体" w:hAnsi="宋体" w:cs="宋体"/>
          <w:b/>
          <w:color w:val="auto"/>
          <w:spacing w:val="6"/>
          <w:sz w:val="32"/>
          <w:szCs w:val="32"/>
        </w:rPr>
      </w:pPr>
    </w:p>
    <w:p w14:paraId="2E99A234">
      <w:pPr>
        <w:autoSpaceDE w:val="0"/>
        <w:autoSpaceDN w:val="0"/>
        <w:jc w:val="center"/>
        <w:rPr>
          <w:rFonts w:ascii="宋体" w:hAnsi="宋体" w:cs="宋体"/>
          <w:b/>
          <w:color w:val="auto"/>
          <w:spacing w:val="6"/>
          <w:sz w:val="32"/>
          <w:szCs w:val="32"/>
        </w:rPr>
      </w:pPr>
    </w:p>
    <w:p w14:paraId="465724A6">
      <w:pPr>
        <w:autoSpaceDE w:val="0"/>
        <w:autoSpaceDN w:val="0"/>
        <w:jc w:val="center"/>
        <w:rPr>
          <w:rFonts w:ascii="宋体" w:hAnsi="宋体" w:cs="宋体"/>
          <w:b/>
          <w:color w:val="auto"/>
          <w:spacing w:val="6"/>
          <w:sz w:val="32"/>
          <w:szCs w:val="32"/>
        </w:rPr>
      </w:pPr>
    </w:p>
    <w:p w14:paraId="718CA185">
      <w:pPr>
        <w:autoSpaceDE w:val="0"/>
        <w:autoSpaceDN w:val="0"/>
        <w:jc w:val="center"/>
        <w:rPr>
          <w:rFonts w:ascii="宋体" w:hAnsi="宋体" w:cs="宋体"/>
          <w:b/>
          <w:color w:val="auto"/>
          <w:spacing w:val="6"/>
          <w:sz w:val="32"/>
          <w:szCs w:val="32"/>
        </w:rPr>
      </w:pPr>
    </w:p>
    <w:p w14:paraId="0F563235">
      <w:pPr>
        <w:snapToGrid w:val="0"/>
        <w:spacing w:line="360" w:lineRule="auto"/>
        <w:jc w:val="center"/>
        <w:outlineLvl w:val="0"/>
        <w:rPr>
          <w:rFonts w:hint="eastAsia" w:ascii="宋体" w:hAnsi="宋体" w:cs="宋体"/>
          <w:b/>
          <w:color w:val="auto"/>
          <w:kern w:val="0"/>
          <w:sz w:val="32"/>
          <w:szCs w:val="32"/>
        </w:rPr>
      </w:pPr>
    </w:p>
    <w:p w14:paraId="54829E5F">
      <w:pPr>
        <w:snapToGrid w:val="0"/>
        <w:spacing w:line="360" w:lineRule="auto"/>
        <w:jc w:val="center"/>
        <w:outlineLvl w:val="0"/>
        <w:rPr>
          <w:rFonts w:ascii="宋体" w:hAnsi="宋体" w:cs="宋体"/>
          <w:b/>
          <w:color w:val="auto"/>
          <w:kern w:val="0"/>
          <w:sz w:val="32"/>
          <w:szCs w:val="32"/>
        </w:rPr>
      </w:pPr>
      <w:r>
        <w:rPr>
          <w:rFonts w:hint="eastAsia" w:ascii="宋体" w:hAnsi="宋体" w:cs="宋体"/>
          <w:b/>
          <w:color w:val="auto"/>
          <w:kern w:val="0"/>
          <w:sz w:val="32"/>
          <w:szCs w:val="32"/>
        </w:rPr>
        <w:t>附件</w:t>
      </w:r>
      <w:r>
        <w:rPr>
          <w:rFonts w:ascii="宋体" w:hAnsi="宋体" w:cs="宋体"/>
          <w:b/>
          <w:color w:val="auto"/>
          <w:kern w:val="0"/>
          <w:sz w:val="32"/>
          <w:szCs w:val="32"/>
        </w:rPr>
        <w:t>6</w:t>
      </w:r>
      <w:r>
        <w:rPr>
          <w:rFonts w:hint="eastAsia" w:ascii="宋体" w:hAnsi="宋体" w:cs="宋体"/>
          <w:b/>
          <w:color w:val="auto"/>
          <w:kern w:val="0"/>
          <w:sz w:val="32"/>
          <w:szCs w:val="32"/>
        </w:rPr>
        <w:t>：分包意向协议</w:t>
      </w:r>
    </w:p>
    <w:p w14:paraId="5088F8FC">
      <w:pPr>
        <w:widowControl/>
        <w:spacing w:line="360" w:lineRule="auto"/>
        <w:ind w:firstLine="120" w:firstLineChars="50"/>
        <w:jc w:val="left"/>
        <w:rPr>
          <w:rFonts w:ascii="宋体" w:hAnsi="宋体" w:cs="宋体"/>
          <w:color w:val="auto"/>
          <w:sz w:val="24"/>
        </w:rPr>
      </w:pPr>
      <w:r>
        <w:rPr>
          <w:rFonts w:hint="eastAsia" w:ascii="宋体" w:hAnsi="宋体" w:cs="宋体"/>
          <w:color w:val="auto"/>
          <w:sz w:val="24"/>
        </w:rPr>
        <w:t>（</w:t>
      </w:r>
      <w:r>
        <w:rPr>
          <w:rFonts w:hint="eastAsia" w:ascii="宋体" w:hAnsi="宋体" w:cs="宋体"/>
          <w:b/>
          <w:color w:val="auto"/>
          <w:sz w:val="24"/>
        </w:rPr>
        <w:t>中标后以分包方式履行合同的，提供分包意向协议；采购人不同意分包或者投标人中标后不以分包方式履行合同的，则不需要提供。</w:t>
      </w:r>
      <w:r>
        <w:rPr>
          <w:rFonts w:hint="eastAsia" w:ascii="宋体" w:hAnsi="宋体" w:cs="宋体"/>
          <w:color w:val="auto"/>
          <w:sz w:val="24"/>
        </w:rPr>
        <w:t>）</w:t>
      </w:r>
    </w:p>
    <w:p w14:paraId="6DBAE7DA">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（投标人名称）</w:t>
      </w:r>
      <w:r>
        <w:rPr>
          <w:rFonts w:hint="eastAsia" w:ascii="宋体" w:hAnsi="宋体" w:cs="宋体"/>
          <w:color w:val="auto"/>
          <w:kern w:val="0"/>
          <w:sz w:val="24"/>
          <w:lang w:val="zh-CN"/>
        </w:rPr>
        <w:t>若成为</w:t>
      </w:r>
      <w:r>
        <w:rPr>
          <w:rFonts w:hint="eastAsia" w:ascii="宋体" w:hAnsi="宋体" w:cs="宋体"/>
          <w:color w:val="auto"/>
          <w:sz w:val="24"/>
        </w:rPr>
        <w:t>（项目名称）【招标编号：（采购编号）】</w:t>
      </w:r>
      <w:r>
        <w:rPr>
          <w:rFonts w:hint="eastAsia" w:ascii="宋体" w:hAnsi="宋体" w:cs="宋体"/>
          <w:color w:val="auto"/>
          <w:kern w:val="0"/>
          <w:sz w:val="24"/>
          <w:lang w:val="zh-CN"/>
        </w:rPr>
        <w:t>的中标供应商，将依法采取分包方式履行合同。</w:t>
      </w:r>
      <w:r>
        <w:rPr>
          <w:rFonts w:hint="eastAsia" w:ascii="宋体" w:hAnsi="宋体" w:cs="宋体"/>
          <w:color w:val="auto"/>
          <w:kern w:val="0"/>
          <w:sz w:val="24"/>
          <w:u w:val="single"/>
        </w:rPr>
        <w:t>（投标人名称）</w:t>
      </w:r>
      <w:r>
        <w:rPr>
          <w:rFonts w:hint="eastAsia" w:ascii="宋体" w:hAnsi="宋体" w:cs="宋体"/>
          <w:color w:val="auto"/>
          <w:kern w:val="0"/>
          <w:sz w:val="24"/>
        </w:rPr>
        <w:t>与</w:t>
      </w:r>
      <w:r>
        <w:rPr>
          <w:rFonts w:hint="eastAsia" w:ascii="宋体" w:hAnsi="宋体" w:cs="宋体"/>
          <w:color w:val="auto"/>
          <w:kern w:val="0"/>
          <w:sz w:val="24"/>
          <w:u w:val="single"/>
        </w:rPr>
        <w:t>（所有分包供应商名称）</w:t>
      </w:r>
      <w:r>
        <w:rPr>
          <w:rFonts w:hint="eastAsia" w:ascii="宋体" w:hAnsi="宋体" w:cs="宋体"/>
          <w:color w:val="auto"/>
          <w:kern w:val="0"/>
          <w:sz w:val="24"/>
        </w:rPr>
        <w:t>达成分包意向协议</w:t>
      </w:r>
      <w:r>
        <w:rPr>
          <w:rFonts w:hint="eastAsia" w:ascii="宋体" w:hAnsi="宋体" w:cs="宋体"/>
          <w:color w:val="auto"/>
          <w:kern w:val="0"/>
          <w:sz w:val="24"/>
          <w:lang w:val="zh-CN"/>
        </w:rPr>
        <w:t xml:space="preserve">。 </w:t>
      </w:r>
    </w:p>
    <w:p w14:paraId="1337139E">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一、分包标的及数量</w:t>
      </w:r>
    </w:p>
    <w:p w14:paraId="2EFF359D">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（投标人名称）</w:t>
      </w:r>
      <w:r>
        <w:rPr>
          <w:rFonts w:hint="eastAsia" w:ascii="宋体" w:hAnsi="宋体" w:cs="宋体"/>
          <w:color w:val="auto"/>
          <w:kern w:val="0"/>
          <w:sz w:val="24"/>
          <w:lang w:val="zh-CN"/>
        </w:rPr>
        <w:t>将</w:t>
      </w:r>
      <w:r>
        <w:rPr>
          <w:rFonts w:hint="eastAsia" w:ascii="宋体" w:hAnsi="宋体" w:cs="宋体"/>
          <w:color w:val="auto"/>
          <w:u w:val="single"/>
        </w:rPr>
        <w:t xml:space="preserve"> </w:t>
      </w:r>
      <w:r>
        <w:rPr>
          <w:rFonts w:ascii="宋体" w:hAnsi="宋体" w:cs="宋体"/>
          <w:color w:val="auto"/>
          <w:kern w:val="0"/>
          <w:sz w:val="24"/>
          <w:u w:val="single"/>
        </w:rPr>
        <w:t xml:space="preserve">  XX工作内容   </w:t>
      </w:r>
      <w:r>
        <w:rPr>
          <w:rFonts w:hint="eastAsia" w:ascii="宋体" w:hAnsi="宋体" w:cs="宋体"/>
          <w:color w:val="auto"/>
          <w:sz w:val="24"/>
        </w:rPr>
        <w:t>分包给</w:t>
      </w:r>
      <w:r>
        <w:rPr>
          <w:rFonts w:hint="eastAsia" w:ascii="宋体" w:hAnsi="宋体" w:cs="宋体"/>
          <w:color w:val="auto"/>
          <w:kern w:val="0"/>
          <w:sz w:val="24"/>
          <w:u w:val="single"/>
        </w:rPr>
        <w:t>（分包供应商1名称）</w:t>
      </w:r>
      <w:r>
        <w:rPr>
          <w:rFonts w:hint="eastAsia" w:ascii="宋体" w:hAnsi="宋体" w:cs="宋体"/>
          <w:color w:val="auto"/>
          <w:kern w:val="0"/>
          <w:sz w:val="24"/>
          <w:lang w:val="zh-CN"/>
        </w:rPr>
        <w:t>，</w:t>
      </w:r>
      <w:r>
        <w:rPr>
          <w:rFonts w:hint="eastAsia" w:ascii="宋体" w:hAnsi="宋体" w:cs="宋体"/>
          <w:b/>
          <w:bCs/>
          <w:color w:val="auto"/>
          <w:kern w:val="0"/>
          <w:sz w:val="24"/>
          <w:u w:val="single"/>
        </w:rPr>
        <w:t>（分包供应商1名称），</w:t>
      </w:r>
      <w:r>
        <w:rPr>
          <w:rFonts w:hint="eastAsia" w:ascii="宋体" w:hAnsi="宋体" w:cs="宋体"/>
          <w:color w:val="auto"/>
          <w:kern w:val="0"/>
          <w:sz w:val="24"/>
          <w:lang w:val="zh-CN"/>
        </w:rPr>
        <w:t>具备承</w:t>
      </w:r>
      <w:r>
        <w:rPr>
          <w:rFonts w:hint="eastAsia" w:ascii="宋体" w:hAnsi="宋体" w:cs="宋体"/>
          <w:color w:val="auto"/>
          <w:kern w:val="0"/>
          <w:sz w:val="24"/>
        </w:rPr>
        <w:t>担</w:t>
      </w:r>
      <w:r>
        <w:rPr>
          <w:rFonts w:hint="eastAsia" w:ascii="宋体" w:hAnsi="宋体" w:cs="宋体"/>
          <w:color w:val="auto"/>
          <w:kern w:val="0"/>
          <w:sz w:val="24"/>
          <w:u w:val="single"/>
          <w:lang w:val="zh-CN"/>
        </w:rPr>
        <w:t>XX工作内容</w:t>
      </w:r>
      <w:r>
        <w:rPr>
          <w:rFonts w:hint="eastAsia" w:ascii="宋体" w:hAnsi="宋体" w:cs="宋体"/>
          <w:color w:val="auto"/>
          <w:kern w:val="0"/>
          <w:sz w:val="24"/>
          <w:lang w:val="zh-CN"/>
        </w:rPr>
        <w:t>相应资质条件且不得再次分包；</w:t>
      </w:r>
    </w:p>
    <w:p w14:paraId="503A455E">
      <w:pPr>
        <w:pStyle w:val="3"/>
        <w:ind w:left="664" w:leftChars="316" w:firstLine="229" w:firstLineChars="95"/>
        <w:rPr>
          <w:rFonts w:ascii="宋体" w:hAnsi="宋体" w:eastAsia="宋体" w:cs="宋体"/>
          <w:color w:val="auto"/>
          <w:kern w:val="0"/>
          <w:sz w:val="24"/>
          <w:szCs w:val="24"/>
        </w:rPr>
      </w:pPr>
      <w:r>
        <w:rPr>
          <w:rFonts w:hint="eastAsia" w:ascii="宋体" w:hAnsi="宋体" w:eastAsia="宋体" w:cs="宋体"/>
          <w:color w:val="auto"/>
          <w:kern w:val="0"/>
          <w:sz w:val="24"/>
          <w:szCs w:val="24"/>
        </w:rPr>
        <w:t>……</w:t>
      </w:r>
    </w:p>
    <w:p w14:paraId="44F38B04">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二、分包供应商中小企业合同份额</w:t>
      </w:r>
    </w:p>
    <w:p w14:paraId="3826762C">
      <w:pPr>
        <w:snapToGrid w:val="0"/>
        <w:spacing w:line="360" w:lineRule="auto"/>
        <w:ind w:firstLine="576"/>
        <w:rPr>
          <w:rFonts w:ascii="宋体" w:hAnsi="宋体" w:cs="宋体"/>
          <w:b/>
          <w:color w:val="auto"/>
          <w:kern w:val="0"/>
          <w:sz w:val="24"/>
          <w:lang w:val="zh-CN"/>
        </w:rPr>
      </w:pPr>
      <w:r>
        <w:rPr>
          <w:rFonts w:ascii="宋体" w:hAnsi="宋体" w:cs="宋体"/>
          <w:color w:val="auto"/>
          <w:kern w:val="0"/>
          <w:sz w:val="24"/>
        </w:rPr>
        <w:t>1、</w:t>
      </w:r>
      <w:r>
        <w:rPr>
          <w:rFonts w:hint="eastAsia" w:ascii="宋体" w:hAnsi="宋体" w:cs="宋体"/>
          <w:color w:val="auto"/>
          <w:kern w:val="0"/>
          <w:sz w:val="24"/>
          <w:u w:val="single"/>
        </w:rPr>
        <w:t>（分包供应商X</w:t>
      </w:r>
      <w:r>
        <w:rPr>
          <w:rFonts w:ascii="宋体" w:hAnsi="宋体" w:cs="宋体"/>
          <w:color w:val="auto"/>
          <w:kern w:val="0"/>
          <w:sz w:val="24"/>
          <w:u w:val="single"/>
        </w:rPr>
        <w:t>,</w:t>
      </w:r>
      <w:r>
        <w:rPr>
          <w:rFonts w:hint="eastAsia" w:ascii="宋体" w:hAnsi="宋体" w:cs="宋体"/>
          <w:color w:val="auto"/>
          <w:kern w:val="0"/>
          <w:sz w:val="24"/>
          <w:u w:val="single"/>
        </w:rPr>
        <w:t>……）提供的货物全部由小微企业制造，</w:t>
      </w:r>
      <w:r>
        <w:rPr>
          <w:rFonts w:hint="eastAsia" w:ascii="宋体" w:hAnsi="宋体" w:cs="宋体"/>
          <w:color w:val="auto"/>
          <w:kern w:val="0"/>
          <w:sz w:val="24"/>
        </w:rPr>
        <w:t>其合同份额占到合同总金额</w:t>
      </w:r>
      <w:r>
        <w:rPr>
          <w:rFonts w:hint="eastAsia" w:ascii="宋体" w:hAnsi="宋体" w:cs="宋体"/>
          <w:color w:val="auto"/>
          <w:kern w:val="0"/>
          <w:sz w:val="24"/>
          <w:u w:val="single"/>
        </w:rPr>
        <w:t xml:space="preserve">     </w:t>
      </w:r>
      <w:r>
        <w:rPr>
          <w:rFonts w:hint="eastAsia" w:ascii="宋体" w:hAnsi="宋体" w:cs="宋体"/>
          <w:color w:val="auto"/>
          <w:kern w:val="0"/>
          <w:sz w:val="24"/>
        </w:rPr>
        <w:t>%以上</w:t>
      </w:r>
      <w:r>
        <w:rPr>
          <w:rFonts w:hint="eastAsia" w:ascii="宋体" w:hAnsi="宋体" w:cs="宋体"/>
          <w:color w:val="auto"/>
        </w:rPr>
        <w:t>。</w:t>
      </w:r>
      <w:r>
        <w:rPr>
          <w:rFonts w:hint="eastAsia" w:ascii="宋体" w:hAnsi="宋体" w:cs="宋体"/>
          <w:b/>
          <w:color w:val="auto"/>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rPr>
        <w:t>拟享受以上价格扣除政策的，填写有关内容。</w:t>
      </w:r>
      <w:r>
        <w:rPr>
          <w:rFonts w:hint="eastAsia" w:ascii="宋体" w:hAnsi="宋体" w:cs="宋体"/>
          <w:b/>
          <w:color w:val="auto"/>
          <w:kern w:val="0"/>
          <w:sz w:val="24"/>
          <w:lang w:val="zh-CN"/>
        </w:rPr>
        <w:t>）</w:t>
      </w:r>
    </w:p>
    <w:p w14:paraId="65BC0E19">
      <w:pPr>
        <w:spacing w:line="360" w:lineRule="auto"/>
        <w:ind w:firstLine="480" w:firstLineChars="200"/>
        <w:rPr>
          <w:rFonts w:ascii="宋体" w:hAnsi="宋体" w:cs="宋体"/>
          <w:b/>
          <w:bCs/>
          <w:color w:val="auto"/>
          <w:kern w:val="0"/>
          <w:sz w:val="24"/>
          <w:lang w:val="zh-CN"/>
        </w:rPr>
      </w:pPr>
      <w:r>
        <w:rPr>
          <w:rFonts w:hint="eastAsia" w:ascii="宋体" w:hAnsi="宋体" w:cs="宋体"/>
          <w:color w:val="auto"/>
          <w:sz w:val="24"/>
        </w:rPr>
        <w:t>2、</w:t>
      </w:r>
      <w:bookmarkStart w:id="413" w:name="_Hlk101133173"/>
      <w:r>
        <w:rPr>
          <w:rFonts w:hint="eastAsia" w:ascii="宋体" w:hAnsi="宋体" w:cs="宋体"/>
          <w:color w:val="auto"/>
          <w:sz w:val="24"/>
        </w:rPr>
        <w:t>中小企业合同金额达到</w:t>
      </w:r>
      <w:r>
        <w:rPr>
          <w:rFonts w:hint="eastAsia" w:ascii="宋体" w:hAnsi="宋体" w:cs="宋体"/>
          <w:color w:val="auto"/>
          <w:sz w:val="24"/>
          <w:u w:val="single"/>
        </w:rPr>
        <w:t xml:space="preserve">  </w:t>
      </w:r>
      <w:r>
        <w:rPr>
          <w:rFonts w:hint="eastAsia" w:ascii="宋体" w:hAnsi="宋体" w:cs="宋体"/>
          <w:color w:val="auto"/>
          <w:sz w:val="24"/>
        </w:rPr>
        <w:t>%，其中小微企业合同金额达到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0"/>
          <w:sz w:val="24"/>
          <w:lang w:val="zh-CN"/>
        </w:rPr>
        <w:t>。</w:t>
      </w:r>
      <w:r>
        <w:rPr>
          <w:rFonts w:hint="eastAsia" w:ascii="宋体" w:hAnsi="宋体" w:cs="宋体"/>
          <w:b/>
          <w:bCs/>
          <w:color w:val="auto"/>
          <w:kern w:val="0"/>
          <w:sz w:val="24"/>
          <w:lang w:val="zh-CN"/>
        </w:rPr>
        <w:t>（</w:t>
      </w:r>
      <w:r>
        <w:rPr>
          <w:rFonts w:hint="eastAsia" w:ascii="宋体" w:hAnsi="宋体" w:cs="宋体"/>
          <w:b/>
          <w:bCs/>
          <w:color w:val="auto"/>
          <w:sz w:val="24"/>
        </w:rPr>
        <w:t>要求合同分包形式参加的项目或采购包，供应商按招标文件第一部分招标公告申请人的资格要求中规定的</w:t>
      </w:r>
      <w:r>
        <w:rPr>
          <w:rFonts w:hint="eastAsia" w:ascii="宋体" w:hAnsi="宋体" w:cs="宋体"/>
          <w:b/>
          <w:color w:val="auto"/>
          <w:kern w:val="0"/>
          <w:sz w:val="24"/>
          <w:lang w:val="zh-CN"/>
        </w:rPr>
        <w:t>分包意向协议</w:t>
      </w:r>
      <w:r>
        <w:rPr>
          <w:rFonts w:hint="eastAsia" w:ascii="宋体" w:hAnsi="宋体" w:cs="宋体"/>
          <w:b/>
          <w:bCs/>
          <w:color w:val="auto"/>
          <w:sz w:val="24"/>
        </w:rPr>
        <w:t>中中小企业、小微企业合同金额应当达到的比例要求填写。</w:t>
      </w:r>
      <w:r>
        <w:rPr>
          <w:rFonts w:hint="eastAsia" w:ascii="宋体" w:hAnsi="宋体" w:cs="宋体"/>
          <w:b/>
          <w:bCs/>
          <w:color w:val="auto"/>
          <w:kern w:val="0"/>
          <w:sz w:val="24"/>
          <w:lang w:val="zh-CN"/>
        </w:rPr>
        <w:t>）</w:t>
      </w:r>
      <w:bookmarkEnd w:id="413"/>
    </w:p>
    <w:p w14:paraId="41ED7D4F">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三、分包工作履行期限、地点、方式</w:t>
      </w:r>
    </w:p>
    <w:p w14:paraId="6231C8FB">
      <w:pPr>
        <w:snapToGrid w:val="0"/>
        <w:spacing w:line="360" w:lineRule="auto"/>
        <w:ind w:firstLine="576"/>
        <w:rPr>
          <w:rFonts w:ascii="宋体" w:hAnsi="宋体" w:cs="宋体"/>
          <w:color w:val="auto"/>
          <w:u w:val="single"/>
        </w:rPr>
      </w:pPr>
      <w:r>
        <w:rPr>
          <w:rFonts w:hint="eastAsia" w:ascii="宋体" w:hAnsi="宋体" w:cs="宋体"/>
          <w:color w:val="auto"/>
          <w:u w:val="single"/>
        </w:rPr>
        <w:t xml:space="preserve">                                                                                  </w:t>
      </w:r>
    </w:p>
    <w:p w14:paraId="5603DB18">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四、质量</w:t>
      </w:r>
    </w:p>
    <w:p w14:paraId="53C1CAE6">
      <w:pPr>
        <w:snapToGrid w:val="0"/>
        <w:spacing w:line="360" w:lineRule="auto"/>
        <w:ind w:firstLine="576"/>
        <w:rPr>
          <w:rFonts w:ascii="宋体" w:hAnsi="宋体" w:cs="宋体"/>
          <w:color w:val="auto"/>
          <w:kern w:val="0"/>
          <w:sz w:val="24"/>
          <w:lang w:val="zh-CN"/>
        </w:rPr>
      </w:pPr>
      <w:r>
        <w:rPr>
          <w:rFonts w:hint="eastAsia" w:ascii="宋体" w:hAnsi="宋体" w:cs="宋体"/>
          <w:color w:val="auto"/>
          <w:u w:val="single"/>
        </w:rPr>
        <w:t xml:space="preserve">                                                                                       </w:t>
      </w:r>
    </w:p>
    <w:p w14:paraId="08796C3B">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五、价款或者报酬</w:t>
      </w:r>
    </w:p>
    <w:p w14:paraId="5B1BCF6A">
      <w:pPr>
        <w:snapToGrid w:val="0"/>
        <w:spacing w:line="360" w:lineRule="auto"/>
        <w:ind w:left="573" w:leftChars="273"/>
        <w:rPr>
          <w:rFonts w:ascii="宋体" w:hAnsi="宋体" w:cs="宋体"/>
          <w:color w:val="auto"/>
          <w:kern w:val="0"/>
          <w:sz w:val="24"/>
          <w:lang w:val="zh-CN"/>
        </w:rPr>
      </w:pPr>
      <w:r>
        <w:rPr>
          <w:rFonts w:hint="eastAsia" w:ascii="宋体" w:hAnsi="宋体" w:cs="宋体"/>
          <w:color w:val="auto"/>
          <w:u w:val="single"/>
        </w:rPr>
        <w:t xml:space="preserve">                                                                                     </w:t>
      </w:r>
    </w:p>
    <w:p w14:paraId="4F6EED93">
      <w:pPr>
        <w:snapToGrid w:val="0"/>
        <w:spacing w:line="360" w:lineRule="auto"/>
        <w:ind w:left="573" w:leftChars="273"/>
        <w:rPr>
          <w:rFonts w:ascii="宋体" w:hAnsi="宋体" w:cs="宋体"/>
          <w:color w:val="auto"/>
          <w:kern w:val="0"/>
          <w:sz w:val="24"/>
          <w:lang w:val="zh-CN"/>
        </w:rPr>
      </w:pPr>
      <w:r>
        <w:rPr>
          <w:rFonts w:hint="eastAsia" w:ascii="宋体" w:hAnsi="宋体" w:cs="宋体"/>
          <w:color w:val="auto"/>
          <w:kern w:val="0"/>
          <w:sz w:val="24"/>
          <w:lang w:val="zh-CN"/>
        </w:rPr>
        <w:t>六、违约责任</w:t>
      </w:r>
    </w:p>
    <w:p w14:paraId="56914A5B">
      <w:pPr>
        <w:snapToGrid w:val="0"/>
        <w:spacing w:line="360" w:lineRule="auto"/>
        <w:ind w:firstLine="576"/>
        <w:rPr>
          <w:rFonts w:ascii="宋体" w:hAnsi="宋体" w:cs="宋体"/>
          <w:color w:val="auto"/>
          <w:kern w:val="0"/>
          <w:sz w:val="24"/>
          <w:lang w:val="zh-CN"/>
        </w:rPr>
      </w:pPr>
      <w:r>
        <w:rPr>
          <w:rFonts w:hint="eastAsia" w:ascii="宋体" w:hAnsi="宋体" w:cs="宋体"/>
          <w:color w:val="auto"/>
          <w:u w:val="single"/>
        </w:rPr>
        <w:t xml:space="preserve">                                                                                     </w:t>
      </w:r>
    </w:p>
    <w:p w14:paraId="54A5B2F3">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七、争议解决的办法</w:t>
      </w:r>
    </w:p>
    <w:p w14:paraId="2BE04ED7">
      <w:pPr>
        <w:snapToGrid w:val="0"/>
        <w:spacing w:line="360" w:lineRule="auto"/>
        <w:ind w:firstLine="576"/>
        <w:rPr>
          <w:rFonts w:ascii="宋体" w:hAnsi="宋体" w:cs="宋体"/>
          <w:color w:val="auto"/>
          <w:kern w:val="0"/>
          <w:sz w:val="24"/>
          <w:lang w:val="zh-CN"/>
        </w:rPr>
      </w:pPr>
      <w:r>
        <w:rPr>
          <w:rFonts w:hint="eastAsia" w:ascii="宋体" w:hAnsi="宋体" w:cs="宋体"/>
          <w:color w:val="auto"/>
          <w:u w:val="single"/>
        </w:rPr>
        <w:t xml:space="preserve">                                                                                  </w:t>
      </w:r>
    </w:p>
    <w:p w14:paraId="690E85CE">
      <w:pPr>
        <w:snapToGrid w:val="0"/>
        <w:spacing w:line="360" w:lineRule="auto"/>
        <w:ind w:left="5758" w:leftChars="342" w:hanging="5040" w:hangingChars="2100"/>
        <w:rPr>
          <w:rFonts w:ascii="宋体" w:hAnsi="宋体" w:cs="宋体"/>
          <w:color w:val="auto"/>
          <w:kern w:val="0"/>
          <w:sz w:val="24"/>
          <w:lang w:val="zh-CN"/>
        </w:rPr>
      </w:pPr>
      <w:r>
        <w:rPr>
          <w:rFonts w:hint="eastAsia" w:ascii="宋体" w:hAnsi="宋体" w:cs="宋体"/>
          <w:color w:val="auto"/>
          <w:kern w:val="0"/>
          <w:sz w:val="24"/>
          <w:lang w:val="zh-CN"/>
        </w:rPr>
        <w:t xml:space="preserve">                                          投标人名称(电子签名)：</w:t>
      </w:r>
    </w:p>
    <w:p w14:paraId="2A0AFB24">
      <w:pPr>
        <w:snapToGrid w:val="0"/>
        <w:spacing w:line="360" w:lineRule="auto"/>
        <w:jc w:val="right"/>
        <w:rPr>
          <w:rFonts w:ascii="宋体" w:hAnsi="宋体" w:cs="宋体"/>
          <w:color w:val="auto"/>
          <w:kern w:val="0"/>
          <w:sz w:val="24"/>
          <w:lang w:val="zh-CN"/>
        </w:rPr>
      </w:pPr>
      <w:r>
        <w:rPr>
          <w:rFonts w:hint="eastAsia" w:ascii="宋体" w:hAnsi="宋体" w:cs="宋体"/>
          <w:color w:val="auto"/>
          <w:kern w:val="0"/>
          <w:sz w:val="24"/>
          <w:lang w:val="zh-CN"/>
        </w:rPr>
        <w:t>分包供应商名称(电子签名/公章)：</w:t>
      </w:r>
    </w:p>
    <w:p w14:paraId="50804B32">
      <w:pPr>
        <w:snapToGrid w:val="0"/>
        <w:spacing w:line="360" w:lineRule="auto"/>
        <w:ind w:firstLine="5760" w:firstLineChars="2400"/>
        <w:rPr>
          <w:rFonts w:ascii="宋体" w:hAnsi="宋体" w:cs="宋体"/>
          <w:color w:val="auto"/>
        </w:rPr>
      </w:pPr>
      <w:r>
        <w:rPr>
          <w:rFonts w:hint="eastAsia" w:ascii="宋体" w:hAnsi="宋体" w:cs="宋体"/>
          <w:color w:val="auto"/>
          <w:kern w:val="0"/>
          <w:sz w:val="24"/>
          <w:lang w:val="zh-CN"/>
        </w:rPr>
        <w:t>……</w:t>
      </w:r>
    </w:p>
    <w:p w14:paraId="483A47FF">
      <w:pPr>
        <w:spacing w:line="360" w:lineRule="auto"/>
        <w:jc w:val="center"/>
        <w:rPr>
          <w:rFonts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28AE9883">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4D31EE3E">
      <w:pPr>
        <w:autoSpaceDE w:val="0"/>
        <w:autoSpaceDN w:val="0"/>
        <w:jc w:val="center"/>
        <w:rPr>
          <w:rFonts w:ascii="宋体" w:hAnsi="宋体" w:cs="宋体"/>
          <w:b/>
          <w:color w:val="auto"/>
          <w:spacing w:val="6"/>
          <w:sz w:val="32"/>
          <w:szCs w:val="32"/>
        </w:rPr>
      </w:pPr>
    </w:p>
    <w:p w14:paraId="3FDB519D">
      <w:pPr>
        <w:autoSpaceDE w:val="0"/>
        <w:autoSpaceDN w:val="0"/>
        <w:jc w:val="center"/>
        <w:rPr>
          <w:rFonts w:ascii="宋体" w:hAnsi="宋体" w:cs="宋体"/>
          <w:b/>
          <w:color w:val="auto"/>
          <w:spacing w:val="6"/>
          <w:sz w:val="32"/>
          <w:szCs w:val="32"/>
        </w:rPr>
      </w:pPr>
    </w:p>
    <w:p w14:paraId="65155E03">
      <w:pPr>
        <w:autoSpaceDE w:val="0"/>
        <w:autoSpaceDN w:val="0"/>
        <w:jc w:val="center"/>
        <w:rPr>
          <w:rFonts w:ascii="宋体" w:hAnsi="宋体" w:cs="宋体"/>
          <w:b/>
          <w:color w:val="auto"/>
          <w:spacing w:val="6"/>
          <w:sz w:val="32"/>
          <w:szCs w:val="32"/>
        </w:rPr>
      </w:pPr>
    </w:p>
    <w:p w14:paraId="0FA9E8D8">
      <w:pPr>
        <w:autoSpaceDE w:val="0"/>
        <w:autoSpaceDN w:val="0"/>
        <w:jc w:val="center"/>
        <w:rPr>
          <w:rFonts w:ascii="宋体" w:hAnsi="宋体" w:cs="宋体"/>
          <w:b/>
          <w:color w:val="auto"/>
          <w:spacing w:val="6"/>
          <w:sz w:val="32"/>
          <w:szCs w:val="32"/>
        </w:rPr>
      </w:pPr>
    </w:p>
    <w:p w14:paraId="5D709E00">
      <w:pPr>
        <w:autoSpaceDE w:val="0"/>
        <w:autoSpaceDN w:val="0"/>
        <w:jc w:val="center"/>
        <w:rPr>
          <w:rFonts w:ascii="宋体" w:hAnsi="宋体" w:cs="宋体"/>
          <w:b/>
          <w:color w:val="auto"/>
          <w:spacing w:val="6"/>
          <w:sz w:val="32"/>
          <w:szCs w:val="32"/>
        </w:rPr>
      </w:pPr>
    </w:p>
    <w:p w14:paraId="3C8E7D23">
      <w:pPr>
        <w:autoSpaceDE w:val="0"/>
        <w:autoSpaceDN w:val="0"/>
        <w:jc w:val="center"/>
        <w:rPr>
          <w:rFonts w:ascii="宋体" w:hAnsi="宋体" w:cs="宋体"/>
          <w:b/>
          <w:color w:val="auto"/>
          <w:spacing w:val="6"/>
          <w:sz w:val="32"/>
          <w:szCs w:val="32"/>
        </w:rPr>
      </w:pPr>
    </w:p>
    <w:p w14:paraId="074A6EE6">
      <w:pPr>
        <w:autoSpaceDE w:val="0"/>
        <w:autoSpaceDN w:val="0"/>
        <w:jc w:val="center"/>
        <w:rPr>
          <w:rFonts w:ascii="宋体" w:hAnsi="宋体" w:cs="宋体"/>
          <w:b/>
          <w:color w:val="auto"/>
          <w:spacing w:val="6"/>
          <w:sz w:val="32"/>
          <w:szCs w:val="32"/>
        </w:rPr>
      </w:pPr>
    </w:p>
    <w:p w14:paraId="10BA8CFB">
      <w:pPr>
        <w:autoSpaceDE w:val="0"/>
        <w:autoSpaceDN w:val="0"/>
        <w:jc w:val="center"/>
        <w:rPr>
          <w:rFonts w:ascii="宋体" w:hAnsi="宋体" w:cs="宋体"/>
          <w:b/>
          <w:color w:val="auto"/>
          <w:spacing w:val="6"/>
          <w:sz w:val="32"/>
          <w:szCs w:val="32"/>
        </w:rPr>
      </w:pPr>
    </w:p>
    <w:p w14:paraId="5804C3E5">
      <w:pPr>
        <w:autoSpaceDE w:val="0"/>
        <w:autoSpaceDN w:val="0"/>
        <w:jc w:val="center"/>
        <w:rPr>
          <w:rFonts w:ascii="宋体" w:hAnsi="宋体" w:cs="宋体"/>
          <w:b/>
          <w:color w:val="auto"/>
          <w:spacing w:val="6"/>
          <w:sz w:val="32"/>
          <w:szCs w:val="32"/>
        </w:rPr>
      </w:pPr>
    </w:p>
    <w:p w14:paraId="0E9C1A4A">
      <w:pPr>
        <w:autoSpaceDE w:val="0"/>
        <w:autoSpaceDN w:val="0"/>
        <w:jc w:val="center"/>
        <w:rPr>
          <w:rFonts w:ascii="宋体" w:hAnsi="宋体" w:cs="宋体"/>
          <w:b/>
          <w:color w:val="auto"/>
          <w:spacing w:val="6"/>
          <w:sz w:val="32"/>
          <w:szCs w:val="32"/>
        </w:rPr>
      </w:pPr>
    </w:p>
    <w:p w14:paraId="328E6229">
      <w:pPr>
        <w:autoSpaceDE w:val="0"/>
        <w:autoSpaceDN w:val="0"/>
        <w:jc w:val="center"/>
        <w:rPr>
          <w:rFonts w:ascii="宋体" w:hAnsi="宋体" w:cs="宋体"/>
          <w:b/>
          <w:color w:val="auto"/>
          <w:spacing w:val="6"/>
          <w:sz w:val="32"/>
          <w:szCs w:val="32"/>
        </w:rPr>
      </w:pPr>
    </w:p>
    <w:p w14:paraId="37F469A2">
      <w:pPr>
        <w:autoSpaceDE w:val="0"/>
        <w:autoSpaceDN w:val="0"/>
        <w:jc w:val="center"/>
        <w:rPr>
          <w:rFonts w:ascii="宋体" w:hAnsi="宋体" w:cs="宋体"/>
          <w:b/>
          <w:color w:val="auto"/>
          <w:spacing w:val="6"/>
          <w:sz w:val="32"/>
          <w:szCs w:val="32"/>
        </w:rPr>
      </w:pPr>
    </w:p>
    <w:p w14:paraId="3FC7536B">
      <w:pPr>
        <w:autoSpaceDE w:val="0"/>
        <w:autoSpaceDN w:val="0"/>
        <w:jc w:val="center"/>
        <w:rPr>
          <w:rFonts w:ascii="宋体" w:hAnsi="宋体" w:cs="宋体"/>
          <w:b/>
          <w:color w:val="auto"/>
          <w:spacing w:val="6"/>
          <w:sz w:val="32"/>
          <w:szCs w:val="32"/>
        </w:rPr>
      </w:pPr>
    </w:p>
    <w:p w14:paraId="49ED27BA">
      <w:pPr>
        <w:autoSpaceDE w:val="0"/>
        <w:autoSpaceDN w:val="0"/>
        <w:jc w:val="center"/>
        <w:rPr>
          <w:rFonts w:ascii="宋体" w:hAnsi="宋体" w:cs="宋体"/>
          <w:b/>
          <w:color w:val="auto"/>
          <w:spacing w:val="6"/>
          <w:sz w:val="32"/>
          <w:szCs w:val="32"/>
        </w:rPr>
      </w:pPr>
    </w:p>
    <w:p w14:paraId="07BC4FDF">
      <w:pPr>
        <w:autoSpaceDE w:val="0"/>
        <w:autoSpaceDN w:val="0"/>
        <w:jc w:val="center"/>
        <w:rPr>
          <w:rFonts w:ascii="宋体" w:hAnsi="宋体" w:cs="宋体"/>
          <w:b/>
          <w:color w:val="auto"/>
          <w:spacing w:val="6"/>
          <w:sz w:val="32"/>
          <w:szCs w:val="32"/>
        </w:rPr>
      </w:pPr>
    </w:p>
    <w:p w14:paraId="3ADDE889">
      <w:pPr>
        <w:autoSpaceDE w:val="0"/>
        <w:autoSpaceDN w:val="0"/>
        <w:jc w:val="center"/>
        <w:rPr>
          <w:rFonts w:ascii="宋体" w:hAnsi="宋体" w:cs="宋体"/>
          <w:b/>
          <w:color w:val="auto"/>
          <w:spacing w:val="6"/>
          <w:sz w:val="32"/>
          <w:szCs w:val="32"/>
        </w:rPr>
      </w:pPr>
    </w:p>
    <w:p w14:paraId="509B4A76">
      <w:pPr>
        <w:autoSpaceDE w:val="0"/>
        <w:autoSpaceDN w:val="0"/>
        <w:jc w:val="center"/>
        <w:rPr>
          <w:rFonts w:ascii="宋体" w:hAnsi="宋体" w:cs="宋体"/>
          <w:b/>
          <w:color w:val="auto"/>
          <w:spacing w:val="6"/>
          <w:sz w:val="32"/>
          <w:szCs w:val="32"/>
        </w:rPr>
      </w:pPr>
    </w:p>
    <w:p w14:paraId="20C6D6A4">
      <w:pPr>
        <w:snapToGrid w:val="0"/>
        <w:spacing w:line="360" w:lineRule="auto"/>
        <w:outlineLvl w:val="0"/>
        <w:rPr>
          <w:rFonts w:ascii="宋体" w:hAnsi="宋体" w:cs="宋体"/>
          <w:b/>
          <w:color w:val="auto"/>
          <w:kern w:val="0"/>
          <w:sz w:val="44"/>
          <w:szCs w:val="44"/>
        </w:rPr>
      </w:pPr>
      <w:r>
        <w:rPr>
          <w:rFonts w:hint="eastAsia" w:ascii="宋体" w:hAnsi="宋体" w:cs="宋体"/>
          <w:b/>
          <w:color w:val="auto"/>
          <w:kern w:val="0"/>
          <w:sz w:val="44"/>
          <w:szCs w:val="44"/>
        </w:rPr>
        <w:t>附件</w:t>
      </w:r>
      <w:r>
        <w:rPr>
          <w:rFonts w:ascii="宋体" w:hAnsi="宋体" w:cs="宋体"/>
          <w:b/>
          <w:color w:val="auto"/>
          <w:kern w:val="0"/>
          <w:sz w:val="44"/>
          <w:szCs w:val="44"/>
        </w:rPr>
        <w:t>7</w:t>
      </w:r>
      <w:r>
        <w:rPr>
          <w:rFonts w:hint="eastAsia" w:ascii="宋体" w:hAnsi="宋体" w:cs="宋体"/>
          <w:b/>
          <w:color w:val="auto"/>
          <w:kern w:val="0"/>
          <w:sz w:val="44"/>
          <w:szCs w:val="44"/>
        </w:rPr>
        <w:t>：中小企业声明函</w:t>
      </w:r>
    </w:p>
    <w:p w14:paraId="09A0A5DC">
      <w:pPr>
        <w:spacing w:line="360" w:lineRule="auto"/>
        <w:jc w:val="center"/>
        <w:rPr>
          <w:rFonts w:ascii="宋体" w:hAnsi="宋体" w:cs="宋体"/>
          <w:color w:val="auto"/>
          <w:sz w:val="24"/>
          <w:u w:val="single"/>
        </w:rPr>
      </w:pPr>
    </w:p>
    <w:p w14:paraId="5448DCD3">
      <w:pPr>
        <w:spacing w:line="360" w:lineRule="auto"/>
        <w:jc w:val="center"/>
        <w:rPr>
          <w:rFonts w:ascii="宋体" w:hAnsi="宋体" w:cs="宋体"/>
          <w:b/>
          <w:color w:val="auto"/>
          <w:sz w:val="32"/>
          <w:szCs w:val="32"/>
        </w:rPr>
      </w:pPr>
      <w:r>
        <w:rPr>
          <w:rFonts w:hint="eastAsia" w:ascii="宋体" w:hAnsi="宋体" w:cs="宋体"/>
          <w:b/>
          <w:color w:val="auto"/>
          <w:sz w:val="32"/>
          <w:szCs w:val="32"/>
        </w:rPr>
        <w:t>中小企业声明函（货物）</w:t>
      </w:r>
    </w:p>
    <w:p w14:paraId="66878B23">
      <w:pPr>
        <w:spacing w:line="360" w:lineRule="auto"/>
        <w:ind w:firstLine="480" w:firstLineChars="200"/>
        <w:rPr>
          <w:rFonts w:ascii="宋体" w:hAnsi="宋体" w:cs="宋体"/>
          <w:color w:val="auto"/>
          <w:sz w:val="24"/>
        </w:rPr>
      </w:pPr>
      <w:r>
        <w:rPr>
          <w:rFonts w:hint="eastAsia" w:ascii="宋体" w:hAnsi="宋体" w:cs="宋体"/>
          <w:color w:val="auto"/>
          <w:sz w:val="24"/>
        </w:rPr>
        <w:t xml:space="preserve">本公司（联合体）郑重声明，根据《政府采购促进中小企业发展管理办法》（财库﹝2020﹞46 号）的规定，本公司（联合体）参加 </w:t>
      </w:r>
      <w:r>
        <w:rPr>
          <w:rFonts w:hint="eastAsia" w:ascii="宋体" w:hAnsi="宋体" w:cs="宋体"/>
          <w:color w:val="auto"/>
          <w:sz w:val="24"/>
          <w:u w:val="single"/>
        </w:rPr>
        <w:t xml:space="preserve">（采购人） </w:t>
      </w:r>
      <w:r>
        <w:rPr>
          <w:rFonts w:hint="eastAsia" w:ascii="宋体" w:hAnsi="宋体" w:cs="宋体"/>
          <w:color w:val="auto"/>
          <w:sz w:val="24"/>
        </w:rPr>
        <w:t xml:space="preserve">的 </w:t>
      </w:r>
      <w:r>
        <w:rPr>
          <w:rFonts w:hint="eastAsia" w:ascii="宋体" w:hAnsi="宋体" w:cs="宋体"/>
          <w:color w:val="auto"/>
          <w:sz w:val="24"/>
          <w:u w:val="single"/>
        </w:rPr>
        <w:t>（项目名称）</w:t>
      </w:r>
      <w:r>
        <w:rPr>
          <w:rFonts w:hint="eastAsia" w:ascii="宋体" w:hAnsi="宋体" w:cs="宋体"/>
          <w:color w:val="auto"/>
          <w:sz w:val="24"/>
        </w:rPr>
        <w:t xml:space="preserve"> 采购活动，提供的货物全部由符合政策要求的中小企业制造。相关企业（含联合体中的中小企业、签订分包意向协议的中小企业）的具体情况如下：</w:t>
      </w:r>
    </w:p>
    <w:p w14:paraId="6FF6CEEB">
      <w:pPr>
        <w:spacing w:line="360" w:lineRule="auto"/>
        <w:ind w:firstLine="480" w:firstLineChars="200"/>
        <w:rPr>
          <w:rFonts w:ascii="宋体" w:hAnsi="宋体" w:cs="宋体"/>
          <w:color w:val="auto"/>
          <w:sz w:val="24"/>
        </w:rPr>
      </w:pPr>
      <w:r>
        <w:rPr>
          <w:rFonts w:hint="eastAsia" w:ascii="宋体" w:hAnsi="宋体" w:cs="宋体"/>
          <w:color w:val="auto"/>
          <w:sz w:val="24"/>
        </w:rPr>
        <w:t>1.</w:t>
      </w:r>
      <w:r>
        <w:rPr>
          <w:rFonts w:hint="eastAsia" w:ascii="宋体" w:hAnsi="宋体" w:cs="宋体"/>
          <w:color w:val="auto"/>
        </w:rPr>
        <w:t xml:space="preserve"> </w:t>
      </w:r>
      <w:r>
        <w:rPr>
          <w:rFonts w:hint="eastAsia" w:ascii="宋体" w:hAnsi="宋体" w:cs="宋体"/>
          <w:color w:val="auto"/>
          <w:sz w:val="24"/>
          <w:u w:val="single"/>
        </w:rPr>
        <w:t>（标的名称）</w:t>
      </w:r>
      <w:r>
        <w:rPr>
          <w:rFonts w:hint="eastAsia" w:ascii="宋体" w:hAnsi="宋体" w:cs="宋体"/>
          <w:color w:val="auto"/>
          <w:sz w:val="24"/>
        </w:rPr>
        <w:t xml:space="preserve"> ，属于 </w:t>
      </w:r>
      <w:r>
        <w:rPr>
          <w:rFonts w:hint="eastAsia" w:ascii="宋体" w:hAnsi="宋体" w:cs="宋体"/>
          <w:color w:val="auto"/>
          <w:sz w:val="24"/>
          <w:u w:val="single"/>
        </w:rPr>
        <w:t>（采购文件中明确的所属行业）</w:t>
      </w:r>
      <w:r>
        <w:rPr>
          <w:rFonts w:hint="eastAsia" w:ascii="宋体" w:hAnsi="宋体" w:cs="宋体"/>
          <w:color w:val="auto"/>
          <w:sz w:val="24"/>
        </w:rPr>
        <w:t>行业 ；制造商为</w:t>
      </w:r>
      <w:r>
        <w:rPr>
          <w:rFonts w:hint="eastAsia" w:ascii="宋体" w:hAnsi="宋体" w:cs="宋体"/>
          <w:color w:val="auto"/>
          <w:sz w:val="24"/>
          <w:u w:val="single"/>
        </w:rPr>
        <w:t xml:space="preserve"> （企业名称）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eastAsia" w:ascii="宋体" w:hAnsi="宋体" w:cs="宋体"/>
          <w:color w:val="auto"/>
          <w:sz w:val="24"/>
          <w:u w:val="single"/>
        </w:rPr>
        <w:t xml:space="preserve"> （中型企业、小型企业、微型企业）</w:t>
      </w:r>
      <w:r>
        <w:rPr>
          <w:rFonts w:hint="eastAsia" w:ascii="宋体" w:hAnsi="宋体" w:cs="宋体"/>
          <w:color w:val="auto"/>
          <w:sz w:val="24"/>
        </w:rPr>
        <w:t xml:space="preserve"> ；</w:t>
      </w:r>
    </w:p>
    <w:p w14:paraId="2404C621">
      <w:pPr>
        <w:spacing w:line="360" w:lineRule="auto"/>
        <w:ind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rPr>
        <w:t xml:space="preserve"> </w:t>
      </w:r>
      <w:r>
        <w:rPr>
          <w:rFonts w:hint="eastAsia" w:ascii="宋体" w:hAnsi="宋体" w:cs="宋体"/>
          <w:color w:val="auto"/>
          <w:sz w:val="24"/>
          <w:u w:val="single"/>
        </w:rPr>
        <w:t>（标的名称）</w:t>
      </w:r>
      <w:r>
        <w:rPr>
          <w:rFonts w:hint="eastAsia" w:ascii="宋体" w:hAnsi="宋体" w:cs="宋体"/>
          <w:color w:val="auto"/>
          <w:sz w:val="24"/>
        </w:rPr>
        <w:t xml:space="preserve"> ，属于 </w:t>
      </w:r>
      <w:r>
        <w:rPr>
          <w:rFonts w:hint="eastAsia" w:ascii="宋体" w:hAnsi="宋体" w:cs="宋体"/>
          <w:color w:val="auto"/>
          <w:sz w:val="24"/>
          <w:u w:val="single"/>
        </w:rPr>
        <w:t>（采购文件中明确的所属行业）</w:t>
      </w:r>
      <w:r>
        <w:rPr>
          <w:rFonts w:hint="eastAsia" w:ascii="宋体" w:hAnsi="宋体" w:cs="宋体"/>
          <w:color w:val="auto"/>
          <w:sz w:val="24"/>
        </w:rPr>
        <w:t>行业 ；制造商为</w:t>
      </w:r>
      <w:r>
        <w:rPr>
          <w:rFonts w:hint="eastAsia" w:ascii="宋体" w:hAnsi="宋体" w:cs="宋体"/>
          <w:color w:val="auto"/>
          <w:sz w:val="24"/>
          <w:u w:val="single"/>
        </w:rPr>
        <w:t xml:space="preserve"> （企业名称）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eastAsia" w:ascii="宋体" w:hAnsi="宋体" w:cs="宋体"/>
          <w:color w:val="auto"/>
          <w:sz w:val="24"/>
          <w:u w:val="single"/>
        </w:rPr>
        <w:t xml:space="preserve"> （中型企业、小型企业、微型企业）</w:t>
      </w:r>
      <w:r>
        <w:rPr>
          <w:rFonts w:hint="eastAsia" w:ascii="宋体" w:hAnsi="宋体" w:cs="宋体"/>
          <w:color w:val="auto"/>
          <w:sz w:val="24"/>
        </w:rPr>
        <w:t xml:space="preserve"> ；</w:t>
      </w:r>
    </w:p>
    <w:p w14:paraId="3D223634">
      <w:pPr>
        <w:spacing w:line="360" w:lineRule="auto"/>
        <w:ind w:firstLine="480" w:firstLineChars="200"/>
        <w:rPr>
          <w:rFonts w:ascii="宋体" w:hAnsi="宋体" w:cs="宋体"/>
          <w:color w:val="auto"/>
          <w:sz w:val="24"/>
        </w:rPr>
      </w:pPr>
      <w:r>
        <w:rPr>
          <w:rFonts w:hint="eastAsia" w:ascii="宋体" w:hAnsi="宋体" w:cs="宋体"/>
          <w:color w:val="auto"/>
          <w:sz w:val="24"/>
        </w:rPr>
        <w:t>……</w:t>
      </w:r>
    </w:p>
    <w:p w14:paraId="5AFE8275">
      <w:pPr>
        <w:spacing w:line="360" w:lineRule="auto"/>
        <w:ind w:firstLine="480" w:firstLineChars="200"/>
        <w:rPr>
          <w:rFonts w:ascii="宋体" w:hAnsi="宋体" w:cs="宋体"/>
          <w:color w:val="auto"/>
          <w:sz w:val="24"/>
        </w:rPr>
      </w:pPr>
      <w:r>
        <w:rPr>
          <w:rFonts w:hint="eastAsia" w:ascii="宋体" w:hAnsi="宋体" w:cs="宋体"/>
          <w:color w:val="auto"/>
          <w:sz w:val="24"/>
        </w:rPr>
        <w:t>以上企业，不属于大企业的分支机构，不存在控股股东为大企业的情形，也不存在与大企业的负责人为同一人的情形。</w:t>
      </w:r>
    </w:p>
    <w:p w14:paraId="71AC7B85">
      <w:pPr>
        <w:spacing w:line="360" w:lineRule="auto"/>
        <w:ind w:firstLine="480" w:firstLineChars="200"/>
        <w:rPr>
          <w:rFonts w:ascii="宋体" w:hAnsi="宋体" w:cs="宋体"/>
          <w:color w:val="auto"/>
          <w:sz w:val="24"/>
        </w:rPr>
      </w:pPr>
      <w:r>
        <w:rPr>
          <w:rFonts w:hint="eastAsia" w:ascii="宋体" w:hAnsi="宋体" w:cs="宋体"/>
          <w:color w:val="auto"/>
          <w:sz w:val="24"/>
        </w:rPr>
        <w:t>本企业对上述声明内容的真实性负责。如有虚假，将依法承担相应责任。</w:t>
      </w:r>
    </w:p>
    <w:p w14:paraId="1BCBF52A">
      <w:pPr>
        <w:snapToGrid w:val="0"/>
        <w:spacing w:line="360" w:lineRule="auto"/>
        <w:ind w:firstLine="5160" w:firstLineChars="2150"/>
        <w:rPr>
          <w:rFonts w:ascii="宋体" w:hAnsi="宋体" w:cs="宋体"/>
          <w:color w:val="auto"/>
          <w:kern w:val="0"/>
          <w:sz w:val="24"/>
        </w:rPr>
      </w:pPr>
      <w:r>
        <w:rPr>
          <w:rFonts w:hint="eastAsia" w:ascii="宋体" w:hAnsi="宋体" w:cs="宋体"/>
          <w:color w:val="auto"/>
          <w:kern w:val="0"/>
          <w:sz w:val="24"/>
          <w:lang w:val="zh-CN"/>
        </w:rPr>
        <w:t>投标人名称(电子签名)：</w:t>
      </w:r>
    </w:p>
    <w:p w14:paraId="53FCE241">
      <w:pPr>
        <w:snapToGrid w:val="0"/>
        <w:spacing w:line="360" w:lineRule="auto"/>
        <w:rPr>
          <w:rFonts w:ascii="宋体" w:hAnsi="宋体" w:cs="宋体"/>
          <w:color w:val="auto"/>
          <w:kern w:val="0"/>
          <w:sz w:val="24"/>
          <w:lang w:val="zh-CN"/>
        </w:rPr>
      </w:pPr>
      <w:r>
        <w:rPr>
          <w:rFonts w:hint="eastAsia" w:ascii="宋体" w:hAnsi="宋体" w:cs="宋体"/>
          <w:color w:val="auto"/>
          <w:kern w:val="0"/>
          <w:sz w:val="24"/>
          <w:lang w:val="zh-CN"/>
        </w:rPr>
        <w:t xml:space="preserve">                                           日期</w:t>
      </w:r>
      <w:r>
        <w:rPr>
          <w:rFonts w:hint="eastAsia" w:ascii="宋体" w:hAnsi="宋体" w:cs="宋体"/>
          <w:color w:val="auto"/>
          <w:kern w:val="0"/>
          <w:sz w:val="24"/>
        </w:rPr>
        <w:t xml:space="preserve">：  年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w:t>
      </w:r>
    </w:p>
    <w:p w14:paraId="5BD8C2A0">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注：</w:t>
      </w:r>
    </w:p>
    <w:p w14:paraId="503F95A0">
      <w:pPr>
        <w:spacing w:line="360" w:lineRule="auto"/>
        <w:rPr>
          <w:rFonts w:ascii="宋体" w:hAnsi="宋体" w:cs="宋体"/>
          <w:bCs/>
          <w:color w:val="auto"/>
          <w:sz w:val="24"/>
          <w:highlight w:val="none"/>
        </w:rPr>
      </w:pPr>
      <w:r>
        <w:rPr>
          <w:rFonts w:hint="eastAsia" w:ascii="宋体" w:hAnsi="宋体" w:cs="宋体"/>
          <w:color w:val="auto"/>
          <w:sz w:val="24"/>
          <w:highlight w:val="none"/>
          <w:lang w:eastAsia="zh-CN"/>
        </w:rPr>
        <w:t>①</w:t>
      </w:r>
      <w:r>
        <w:rPr>
          <w:rFonts w:hint="eastAsia" w:ascii="宋体" w:hAnsi="宋体" w:cs="宋体"/>
          <w:color w:val="auto"/>
          <w:sz w:val="24"/>
          <w:highlight w:val="none"/>
        </w:rPr>
        <w:t>从业人员、营业收入、资产总额填报上一年度数据，无上一年度数据的新成立企业可不填报</w:t>
      </w:r>
      <w:r>
        <w:rPr>
          <w:rFonts w:hint="eastAsia" w:ascii="宋体" w:hAnsi="宋体" w:cs="宋体"/>
          <w:color w:val="auto"/>
          <w:sz w:val="24"/>
          <w:highlight w:val="none"/>
          <w:lang w:eastAsia="zh-CN"/>
        </w:rPr>
        <w:t>。</w:t>
      </w:r>
      <w:r>
        <w:rPr>
          <w:rFonts w:hint="eastAsia" w:ascii="微软雅黑" w:hAnsi="微软雅黑" w:eastAsia="微软雅黑" w:cs="微软雅黑"/>
          <w:i w:val="0"/>
          <w:caps w:val="0"/>
          <w:color w:val="auto"/>
          <w:spacing w:val="0"/>
          <w:sz w:val="21"/>
          <w:szCs w:val="21"/>
          <w:highlight w:val="none"/>
          <w:shd w:val="clear" w:fill="C9E7FF"/>
          <w:lang w:eastAsia="zh-CN"/>
        </w:rPr>
        <w:t>②</w:t>
      </w:r>
      <w:r>
        <w:rPr>
          <w:rFonts w:ascii="微软雅黑" w:hAnsi="微软雅黑" w:eastAsia="微软雅黑" w:cs="微软雅黑"/>
          <w:i w:val="0"/>
          <w:caps w:val="0"/>
          <w:color w:val="auto"/>
          <w:spacing w:val="0"/>
          <w:sz w:val="21"/>
          <w:szCs w:val="21"/>
          <w:highlight w:val="none"/>
          <w:shd w:val="clear" w:fill="C9E7FF"/>
        </w:rPr>
        <w:t>《中小企业声明函》中“标的名称”、“采购文件中明确的所属行业”依据招标文件第二部分投标人须知前附表中“采购标的及其对应的中小企业划分标准所属行业”的指引，逐一填写，不得缺漏。《中小企业声明函》填写标的、行业错误或者未填写标的、行业的，声明函无效。</w:t>
      </w:r>
      <w:r>
        <w:rPr>
          <w:rFonts w:hint="eastAsia" w:ascii="微软雅黑" w:hAnsi="微软雅黑" w:eastAsia="微软雅黑" w:cs="微软雅黑"/>
          <w:i w:val="0"/>
          <w:caps w:val="0"/>
          <w:color w:val="auto"/>
          <w:spacing w:val="0"/>
          <w:sz w:val="21"/>
          <w:szCs w:val="21"/>
          <w:highlight w:val="none"/>
          <w:shd w:val="clear" w:fill="C9E7FF"/>
          <w:lang w:eastAsia="zh-CN"/>
        </w:rPr>
        <w:t>③</w:t>
      </w:r>
      <w:r>
        <w:rPr>
          <w:rFonts w:hint="eastAsia" w:ascii="宋体" w:hAnsi="宋体" w:cs="宋体"/>
          <w:color w:val="auto"/>
          <w:sz w:val="24"/>
          <w:highlight w:val="none"/>
          <w:lang w:val="en-US" w:eastAsia="zh-CN"/>
        </w:rPr>
        <w:t>《中小企业声明函》填写企业类型错误或者未填写企业类型的，投标无效。</w:t>
      </w:r>
    </w:p>
    <w:p w14:paraId="03B8A3A4">
      <w:pPr>
        <w:rPr>
          <w:color w:val="auto"/>
        </w:rPr>
      </w:pPr>
    </w:p>
    <w:sectPr>
      <w:headerReference r:id="rId23" w:type="first"/>
      <w:footerReference r:id="rId26" w:type="first"/>
      <w:headerReference r:id="rId22" w:type="default"/>
      <w:footerReference r:id="rId24" w:type="default"/>
      <w:footerReference r:id="rId25" w:type="even"/>
      <w:pgSz w:w="11906" w:h="16838"/>
      <w:pgMar w:top="1440" w:right="1803" w:bottom="1440" w:left="1803" w:header="851" w:footer="992" w:gutter="0"/>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decorative"/>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Times New Roman"/>
    <w:panose1 w:val="020B05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汉仪书宋二S">
    <w:altName w:val="宋体"/>
    <w:panose1 w:val="00000000000000000000"/>
    <w:charset w:val="00"/>
    <w:family w:val="auto"/>
    <w:pitch w:val="default"/>
    <w:sig w:usb0="00000000" w:usb1="00000000" w:usb2="00000000" w:usb3="00000000" w:csb0="00000000" w:csb1="00000000"/>
  </w:font>
  <w:font w:name="Yu Gothic UI">
    <w:panose1 w:val="020B0500000000000000"/>
    <w:charset w:val="80"/>
    <w:family w:val="auto"/>
    <w:pitch w:val="default"/>
    <w:sig w:usb0="E00002FF" w:usb1="2AC7FDFF" w:usb2="00000016" w:usb3="00000000" w:csb0="2002009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CB3ABF">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406812">
    <w:pPr>
      <w:pStyle w:val="39"/>
      <w:framePr w:wrap="around" w:vAnchor="text" w:hAnchor="margin" w:xAlign="right" w:y="1"/>
      <w:rPr>
        <w:rStyle w:val="72"/>
      </w:rPr>
    </w:pPr>
    <w:r>
      <w:fldChar w:fldCharType="begin"/>
    </w:r>
    <w:r>
      <w:rPr>
        <w:rStyle w:val="72"/>
      </w:rPr>
      <w:instrText xml:space="preserve">PAGE  </w:instrText>
    </w:r>
    <w:r>
      <w:fldChar w:fldCharType="end"/>
    </w:r>
  </w:p>
  <w:p w14:paraId="213A3FD8">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E9D650">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137807">
    <w:pPr>
      <w:pStyle w:val="39"/>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5DEFC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4E86B635">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B93D5C">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3F08F7A2">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67B42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7410DF45">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D6983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1062B1F4">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03C97A">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3BAF1292">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474762">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5AEFF5E2">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EF6806">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B52D74">
    <w:pPr>
      <w:pStyle w:val="39"/>
      <w:framePr w:wrap="around" w:vAnchor="text" w:hAnchor="margin" w:xAlign="right" w:y="1"/>
      <w:rPr>
        <w:rStyle w:val="72"/>
      </w:rPr>
    </w:pPr>
    <w:r>
      <w:fldChar w:fldCharType="begin"/>
    </w:r>
    <w:r>
      <w:rPr>
        <w:rStyle w:val="72"/>
      </w:rPr>
      <w:instrText xml:space="preserve">PAGE  </w:instrText>
    </w:r>
    <w:r>
      <w:fldChar w:fldCharType="end"/>
    </w:r>
  </w:p>
  <w:p w14:paraId="667E4704">
    <w:pPr>
      <w:pStyle w:val="39"/>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70C301">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414" w:name="_Toc91899912"/>
    <w:bookmarkStart w:id="415" w:name="_Toc131845147"/>
    <w:bookmarkStart w:id="416" w:name="_Toc164085800"/>
    <w:bookmarkStart w:id="417" w:name="_Toc36110187"/>
    <w:r>
      <w:rPr>
        <w:rFonts w:hint="eastAsia" w:ascii="仿宋_GB2312" w:eastAsia="仿宋_GB2312"/>
        <w:kern w:val="0"/>
        <w:szCs w:val="21"/>
      </w:rPr>
      <w:t xml:space="preserve"> 页</w:t>
    </w:r>
    <w:bookmarkEnd w:id="414"/>
    <w:bookmarkEnd w:id="415"/>
    <w:bookmarkEnd w:id="416"/>
    <w:bookmarkEnd w:id="417"/>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865CB4">
    <w:pPr>
      <w:pStyle w:val="40"/>
      <w:pBdr>
        <w:bottom w:val="single" w:color="auto" w:sz="6" w:space="4"/>
      </w:pBdr>
      <w:jc w:val="right"/>
    </w:pPr>
    <w:r>
      <w:t></w:t>
    </w:r>
    <w:r>
      <w:rPr>
        <w:rFonts w:hint="eastAsia"/>
      </w:rPr>
      <w:t xml:space="preserve">          </w:t>
    </w:r>
  </w:p>
  <w:p w14:paraId="1D75072A">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E41A2C">
    <w:pPr>
      <w:pStyle w:val="40"/>
      <w:pBdr>
        <w:bottom w:val="single" w:color="auto" w:sz="6" w:space="0"/>
      </w:pBdr>
      <w:tabs>
        <w:tab w:val="center" w:pos="4535"/>
        <w:tab w:val="right" w:pos="9070"/>
        <w:tab w:val="clear" w:pos="4153"/>
        <w:tab w:val="clear" w:pos="8306"/>
      </w:tabs>
      <w:jc w:val="both"/>
    </w:pPr>
    <w:r>
      <w:tab/>
    </w: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BA2AB3">
    <w:pPr>
      <w:pStyle w:val="4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864087">
    <w:pPr>
      <w:pStyle w:val="40"/>
      <w:wordWrap w:val="0"/>
      <w:jc w:val="right"/>
      <w:rPr>
        <w:rFonts w:hint="default" w:ascii="仿宋_GB2312" w:eastAsia="宋体"/>
        <w:b/>
        <w:i/>
        <w:u w:val="single"/>
        <w:lang w:val="en-US" w:eastAsia="zh-CN"/>
      </w:rPr>
    </w:pPr>
    <w:r>
      <w:t></w:t>
    </w:r>
    <w:r>
      <w:rPr>
        <w:rFonts w:hint="eastAsia"/>
      </w:rPr>
      <w:t xml:space="preserve">                               </w:t>
    </w:r>
    <w:r>
      <w:rPr>
        <w:rFonts w:hint="eastAsia"/>
        <w:lang w:val="en-US" w:eastAsia="zh-CN"/>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2329D4">
    <w:pPr>
      <w:pStyle w:val="40"/>
    </w:pPr>
    <w:r>
      <w:t></w:t>
    </w:r>
    <w:r>
      <w:rPr>
        <w:rFonts w:hint="eastAsia"/>
      </w:rPr>
      <w:t xml:space="preserve">         </w:t>
    </w:r>
  </w:p>
  <w:p w14:paraId="15BF72E5">
    <w:pPr>
      <w:pStyle w:val="40"/>
    </w:pPr>
    <w:r>
      <w:rPr>
        <w:rFonts w:hint="eastAsia"/>
      </w:rPr>
      <w:t xml:space="preserve">                                                                  </w:t>
    </w: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7AD03E">
    <w:pPr>
      <w:pStyle w:val="40"/>
      <w:rPr>
        <w:rFonts w:hint="eastAsia" w:ascii="仿宋_GB2312" w:eastAsia="宋体"/>
        <w:b/>
        <w:i/>
        <w:u w:val="single"/>
        <w:lang w:val="en-US" w:eastAsia="zh-CN"/>
      </w:rPr>
    </w:pPr>
    <w:r>
      <w:t></w:t>
    </w:r>
    <w:r>
      <w:rPr>
        <w:rFonts w:hint="eastAsia"/>
      </w:rPr>
      <w:t xml:space="preserve">                                              </w:t>
    </w:r>
  </w:p>
  <w:p w14:paraId="5BA4B46A">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25F2F4">
    <w:pPr>
      <w:pStyle w:val="40"/>
      <w:jc w:val="right"/>
    </w:pPr>
    <w:r>
      <w:t></w:t>
    </w: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064143">
    <w:pPr>
      <w:pStyle w:val="40"/>
      <w:jc w:val="right"/>
      <w:rPr>
        <w:rFonts w:hint="eastAsia" w:ascii="仿宋_GB2312" w:eastAsia="宋体"/>
        <w:b/>
        <w:i/>
        <w:u w:val="single"/>
        <w:lang w:eastAsia="zh-CN"/>
      </w:rPr>
    </w:pPr>
    <w:r>
      <w:rPr>
        <w:rFonts w:hint="eastAsia"/>
      </w:rPr>
      <w:t xml:space="preserve">                                  </w:t>
    </w:r>
    <w:r>
      <w:rPr>
        <w:rFonts w:hint="eastAsia"/>
        <w:lang w:val="en-US" w:eastAsia="zh-CN"/>
      </w:rPr>
      <w:t xml:space="preserve"> </w:t>
    </w:r>
  </w:p>
  <w:p w14:paraId="0A6170C8">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72213D">
    <w:pPr>
      <w:pStyle w:val="40"/>
      <w:jc w:val="right"/>
    </w:pPr>
    <w:r>
      <w:rPr>
        <w:rFonts w:hint="eastAsia"/>
      </w:rPr>
      <w:t xml:space="preserve">                                                                                                        </w:t>
    </w: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F92E03">
    <w:pPr>
      <w:pStyle w:val="40"/>
      <w:jc w:val="right"/>
      <w:rPr>
        <w:rFonts w:hint="eastAsia" w:ascii="仿宋_GB2312" w:eastAsia="宋体"/>
        <w:b/>
        <w:i/>
        <w:iCs/>
        <w:u w:val="single"/>
        <w:lang w:eastAsia="zh-CN"/>
      </w:rPr>
    </w:pPr>
    <w:r>
      <w:t></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87F32F">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2901E3D"/>
    <w:multiLevelType w:val="singleLevel"/>
    <w:tmpl w:val="C2901E3D"/>
    <w:lvl w:ilvl="0" w:tentative="0">
      <w:start w:val="1"/>
      <w:numFmt w:val="decimal"/>
      <w:suff w:val="nothing"/>
      <w:lvlText w:val="%1、"/>
      <w:lvlJc w:val="left"/>
      <w:pPr>
        <w:ind w:left="86"/>
      </w:pPr>
    </w:lvl>
  </w:abstractNum>
  <w:abstractNum w:abstractNumId="2">
    <w:nsid w:val="CF13A496"/>
    <w:multiLevelType w:val="singleLevel"/>
    <w:tmpl w:val="CF13A496"/>
    <w:lvl w:ilvl="0" w:tentative="0">
      <w:start w:val="1"/>
      <w:numFmt w:val="decimal"/>
      <w:suff w:val="nothing"/>
      <w:lvlText w:val="（%1）"/>
      <w:lvlJc w:val="left"/>
    </w:lvl>
  </w:abstractNum>
  <w:abstractNum w:abstractNumId="3">
    <w:nsid w:val="CFE7C3F8"/>
    <w:multiLevelType w:val="singleLevel"/>
    <w:tmpl w:val="CFE7C3F8"/>
    <w:lvl w:ilvl="0" w:tentative="0">
      <w:start w:val="1"/>
      <w:numFmt w:val="decimal"/>
      <w:suff w:val="nothing"/>
      <w:lvlText w:val="（%1）"/>
      <w:lvlJc w:val="left"/>
    </w:lvl>
  </w:abstractNum>
  <w:abstractNum w:abstractNumId="4">
    <w:nsid w:val="DDECD3BC"/>
    <w:multiLevelType w:val="singleLevel"/>
    <w:tmpl w:val="DDECD3BC"/>
    <w:lvl w:ilvl="0" w:tentative="0">
      <w:start w:val="6"/>
      <w:numFmt w:val="decimal"/>
      <w:suff w:val="space"/>
      <w:lvlText w:val="%1."/>
      <w:lvlJc w:val="left"/>
    </w:lvl>
  </w:abstractNum>
  <w:abstractNum w:abstractNumId="5">
    <w:nsid w:val="DE759F4B"/>
    <w:multiLevelType w:val="singleLevel"/>
    <w:tmpl w:val="DE759F4B"/>
    <w:lvl w:ilvl="0" w:tentative="0">
      <w:start w:val="2"/>
      <w:numFmt w:val="decimal"/>
      <w:suff w:val="space"/>
      <w:lvlText w:val="%1."/>
      <w:lvlJc w:val="left"/>
    </w:lvl>
  </w:abstractNum>
  <w:abstractNum w:abstractNumId="6">
    <w:nsid w:val="DEABE1DB"/>
    <w:multiLevelType w:val="singleLevel"/>
    <w:tmpl w:val="DEABE1DB"/>
    <w:lvl w:ilvl="0" w:tentative="0">
      <w:start w:val="23"/>
      <w:numFmt w:val="decimal"/>
      <w:suff w:val="space"/>
      <w:lvlText w:val="%1."/>
      <w:lvlJc w:val="left"/>
    </w:lvl>
  </w:abstractNum>
  <w:abstractNum w:abstractNumId="7">
    <w:nsid w:val="FFEFC674"/>
    <w:multiLevelType w:val="singleLevel"/>
    <w:tmpl w:val="FFEFC674"/>
    <w:lvl w:ilvl="0" w:tentative="0">
      <w:start w:val="1"/>
      <w:numFmt w:val="decimal"/>
      <w:suff w:val="nothing"/>
      <w:lvlText w:val="（%1）"/>
      <w:lvlJc w:val="left"/>
    </w:lvl>
  </w:abstractNum>
  <w:abstractNum w:abstractNumId="8">
    <w:nsid w:val="3195C9F0"/>
    <w:multiLevelType w:val="singleLevel"/>
    <w:tmpl w:val="3195C9F0"/>
    <w:lvl w:ilvl="0" w:tentative="0">
      <w:start w:val="1"/>
      <w:numFmt w:val="decimal"/>
      <w:lvlText w:val="(%1)"/>
      <w:lvlJc w:val="left"/>
      <w:pPr>
        <w:ind w:left="425" w:hanging="425"/>
      </w:pPr>
      <w:rPr>
        <w:rFonts w:hint="default"/>
      </w:rPr>
    </w:lvl>
  </w:abstractNum>
  <w:abstractNum w:abstractNumId="9">
    <w:nsid w:val="381455C9"/>
    <w:multiLevelType w:val="singleLevel"/>
    <w:tmpl w:val="381455C9"/>
    <w:lvl w:ilvl="0" w:tentative="0">
      <w:start w:val="4"/>
      <w:numFmt w:val="decimal"/>
      <w:suff w:val="space"/>
      <w:lvlText w:val="%1."/>
      <w:lvlJc w:val="left"/>
    </w:lvl>
  </w:abstractNum>
  <w:abstractNum w:abstractNumId="10">
    <w:nsid w:val="7A0F6431"/>
    <w:multiLevelType w:val="singleLevel"/>
    <w:tmpl w:val="7A0F6431"/>
    <w:lvl w:ilvl="0" w:tentative="0">
      <w:start w:val="1"/>
      <w:numFmt w:val="decimal"/>
      <w:suff w:val="space"/>
      <w:lvlText w:val="%1."/>
      <w:lvlJc w:val="left"/>
    </w:lvl>
  </w:abstractNum>
  <w:num w:numId="1">
    <w:abstractNumId w:val="8"/>
  </w:num>
  <w:num w:numId="2">
    <w:abstractNumId w:val="9"/>
  </w:num>
  <w:num w:numId="3">
    <w:abstractNumId w:val="1"/>
  </w:num>
  <w:num w:numId="4">
    <w:abstractNumId w:val="10"/>
  </w:num>
  <w:num w:numId="5">
    <w:abstractNumId w:val="3"/>
  </w:num>
  <w:num w:numId="6">
    <w:abstractNumId w:val="7"/>
  </w:num>
  <w:num w:numId="7">
    <w:abstractNumId w:val="5"/>
  </w:num>
  <w:num w:numId="8">
    <w:abstractNumId w:val="4"/>
  </w:num>
  <w:num w:numId="9">
    <w:abstractNumId w:val="0"/>
  </w:num>
  <w:num w:numId="10">
    <w:abstractNumId w:val="6"/>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hideSpellingErrors/>
  <w:documentProtection w:enforcement="0"/>
  <w:defaultTabStop w:val="420"/>
  <w:drawingGridHorizontalSpacing w:val="210"/>
  <w:drawingGridVerticalSpacing w:val="159"/>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A3NGRkZjk4MTFkZTkwNjA2NWI2M2UyYWFiODc5YjY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7244EE"/>
    <w:rsid w:val="019F7441"/>
    <w:rsid w:val="01B37585"/>
    <w:rsid w:val="01D55165"/>
    <w:rsid w:val="01DF6BF8"/>
    <w:rsid w:val="01EC2C57"/>
    <w:rsid w:val="02503B1B"/>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871610"/>
    <w:rsid w:val="06930BB8"/>
    <w:rsid w:val="07245D42"/>
    <w:rsid w:val="07264C62"/>
    <w:rsid w:val="0779354C"/>
    <w:rsid w:val="08061376"/>
    <w:rsid w:val="08452D77"/>
    <w:rsid w:val="086401F8"/>
    <w:rsid w:val="08751CAA"/>
    <w:rsid w:val="087E4C40"/>
    <w:rsid w:val="08A871D0"/>
    <w:rsid w:val="08D66AD6"/>
    <w:rsid w:val="08DA33A3"/>
    <w:rsid w:val="08E80F13"/>
    <w:rsid w:val="08E87F44"/>
    <w:rsid w:val="09335624"/>
    <w:rsid w:val="0944690F"/>
    <w:rsid w:val="09535675"/>
    <w:rsid w:val="095F057D"/>
    <w:rsid w:val="09642282"/>
    <w:rsid w:val="09733572"/>
    <w:rsid w:val="09772C16"/>
    <w:rsid w:val="098353B5"/>
    <w:rsid w:val="09925623"/>
    <w:rsid w:val="09A92330"/>
    <w:rsid w:val="09B06B87"/>
    <w:rsid w:val="09C13146"/>
    <w:rsid w:val="09E04166"/>
    <w:rsid w:val="0A116B8A"/>
    <w:rsid w:val="0A1C0718"/>
    <w:rsid w:val="0A3E7710"/>
    <w:rsid w:val="0A5B7E63"/>
    <w:rsid w:val="0AA374A5"/>
    <w:rsid w:val="0AAB7649"/>
    <w:rsid w:val="0ABC5606"/>
    <w:rsid w:val="0ACF4E8E"/>
    <w:rsid w:val="0B30404E"/>
    <w:rsid w:val="0B4C6C14"/>
    <w:rsid w:val="0B547599"/>
    <w:rsid w:val="0B631A88"/>
    <w:rsid w:val="0B683D45"/>
    <w:rsid w:val="0B7F3F11"/>
    <w:rsid w:val="0B884417"/>
    <w:rsid w:val="0BB42F72"/>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1A2A5B"/>
    <w:rsid w:val="0D4A7419"/>
    <w:rsid w:val="0D827401"/>
    <w:rsid w:val="0D84094E"/>
    <w:rsid w:val="0D854AD0"/>
    <w:rsid w:val="0D8A00E9"/>
    <w:rsid w:val="0D8D589E"/>
    <w:rsid w:val="0DA01C73"/>
    <w:rsid w:val="0DD63300"/>
    <w:rsid w:val="0DF50604"/>
    <w:rsid w:val="0DF702FE"/>
    <w:rsid w:val="0E060E51"/>
    <w:rsid w:val="0E5604B2"/>
    <w:rsid w:val="0E5D2D5F"/>
    <w:rsid w:val="0E6D5D79"/>
    <w:rsid w:val="0E9D0089"/>
    <w:rsid w:val="0EA474D2"/>
    <w:rsid w:val="0EB803EE"/>
    <w:rsid w:val="0EEF2833"/>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77A9D"/>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7F3587B"/>
    <w:rsid w:val="18244F26"/>
    <w:rsid w:val="1830729E"/>
    <w:rsid w:val="1852128A"/>
    <w:rsid w:val="1870062C"/>
    <w:rsid w:val="18817102"/>
    <w:rsid w:val="18830A15"/>
    <w:rsid w:val="18852B28"/>
    <w:rsid w:val="188B5321"/>
    <w:rsid w:val="19932372"/>
    <w:rsid w:val="19A20DD5"/>
    <w:rsid w:val="19AE03F1"/>
    <w:rsid w:val="1A071A03"/>
    <w:rsid w:val="1A1F16AE"/>
    <w:rsid w:val="1A3B5C77"/>
    <w:rsid w:val="1A600DC3"/>
    <w:rsid w:val="1A6B1B55"/>
    <w:rsid w:val="1A984BAD"/>
    <w:rsid w:val="1AB8220E"/>
    <w:rsid w:val="1AE4166C"/>
    <w:rsid w:val="1AF06CFB"/>
    <w:rsid w:val="1AF11B8D"/>
    <w:rsid w:val="1B11359C"/>
    <w:rsid w:val="1B2A271F"/>
    <w:rsid w:val="1B304628"/>
    <w:rsid w:val="1B530544"/>
    <w:rsid w:val="1B713184"/>
    <w:rsid w:val="1BA209CF"/>
    <w:rsid w:val="1BB4777D"/>
    <w:rsid w:val="1BD75AB8"/>
    <w:rsid w:val="1C0459C2"/>
    <w:rsid w:val="1C094003"/>
    <w:rsid w:val="1C1B3B4A"/>
    <w:rsid w:val="1C1C0DAE"/>
    <w:rsid w:val="1C88086E"/>
    <w:rsid w:val="1CCB5193"/>
    <w:rsid w:val="1D266CE1"/>
    <w:rsid w:val="1D3963AF"/>
    <w:rsid w:val="1D6A673C"/>
    <w:rsid w:val="1D9247AE"/>
    <w:rsid w:val="1DB567EC"/>
    <w:rsid w:val="1DF51A98"/>
    <w:rsid w:val="1E051CD9"/>
    <w:rsid w:val="1E3D060F"/>
    <w:rsid w:val="1E3F7D2E"/>
    <w:rsid w:val="1E4134E4"/>
    <w:rsid w:val="1E5062B3"/>
    <w:rsid w:val="1E523514"/>
    <w:rsid w:val="1E714A66"/>
    <w:rsid w:val="1E802593"/>
    <w:rsid w:val="1E8B6156"/>
    <w:rsid w:val="1EA703CC"/>
    <w:rsid w:val="1EB7330C"/>
    <w:rsid w:val="1F0A0FF3"/>
    <w:rsid w:val="1F5771FF"/>
    <w:rsid w:val="1FD52574"/>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BE6801"/>
    <w:rsid w:val="23085827"/>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4E10487"/>
    <w:rsid w:val="25152081"/>
    <w:rsid w:val="258B00E2"/>
    <w:rsid w:val="25A917A6"/>
    <w:rsid w:val="25BE27CC"/>
    <w:rsid w:val="25F74A5C"/>
    <w:rsid w:val="2628662C"/>
    <w:rsid w:val="262D45DE"/>
    <w:rsid w:val="26663631"/>
    <w:rsid w:val="26871DC8"/>
    <w:rsid w:val="26A53EF9"/>
    <w:rsid w:val="26A94201"/>
    <w:rsid w:val="26AC274F"/>
    <w:rsid w:val="26EA4592"/>
    <w:rsid w:val="27044A29"/>
    <w:rsid w:val="271D34C8"/>
    <w:rsid w:val="276142BF"/>
    <w:rsid w:val="27783712"/>
    <w:rsid w:val="27907362"/>
    <w:rsid w:val="28333E1D"/>
    <w:rsid w:val="28454BD6"/>
    <w:rsid w:val="28455253"/>
    <w:rsid w:val="28551971"/>
    <w:rsid w:val="285B1C53"/>
    <w:rsid w:val="289A25AC"/>
    <w:rsid w:val="289C547E"/>
    <w:rsid w:val="289F7086"/>
    <w:rsid w:val="28C32028"/>
    <w:rsid w:val="28CC490F"/>
    <w:rsid w:val="28DE40AA"/>
    <w:rsid w:val="29345E77"/>
    <w:rsid w:val="294C65AD"/>
    <w:rsid w:val="29806583"/>
    <w:rsid w:val="298B3C4C"/>
    <w:rsid w:val="2998358C"/>
    <w:rsid w:val="29EF179F"/>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BF346BB"/>
    <w:rsid w:val="2BF443AB"/>
    <w:rsid w:val="2C09049E"/>
    <w:rsid w:val="2C0A653C"/>
    <w:rsid w:val="2C191F85"/>
    <w:rsid w:val="2CE82D6F"/>
    <w:rsid w:val="2D2139AE"/>
    <w:rsid w:val="2D343236"/>
    <w:rsid w:val="2D38455E"/>
    <w:rsid w:val="2D575011"/>
    <w:rsid w:val="2DD15014"/>
    <w:rsid w:val="2DF72DE4"/>
    <w:rsid w:val="2E0220AF"/>
    <w:rsid w:val="2E4B082A"/>
    <w:rsid w:val="2E59653C"/>
    <w:rsid w:val="2E5D4E86"/>
    <w:rsid w:val="2E5D790B"/>
    <w:rsid w:val="2E9A3C18"/>
    <w:rsid w:val="2EBB0FEE"/>
    <w:rsid w:val="2EC63002"/>
    <w:rsid w:val="2F0A6B38"/>
    <w:rsid w:val="2F3F4F0C"/>
    <w:rsid w:val="2F7456AB"/>
    <w:rsid w:val="2F946CCB"/>
    <w:rsid w:val="2FD25781"/>
    <w:rsid w:val="2FDC745C"/>
    <w:rsid w:val="2FFD7934"/>
    <w:rsid w:val="30733ACD"/>
    <w:rsid w:val="308C3862"/>
    <w:rsid w:val="309379D8"/>
    <w:rsid w:val="30A270F7"/>
    <w:rsid w:val="30DF1478"/>
    <w:rsid w:val="30EC586F"/>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202102"/>
    <w:rsid w:val="373F410B"/>
    <w:rsid w:val="376F510C"/>
    <w:rsid w:val="37EE7094"/>
    <w:rsid w:val="38296C89"/>
    <w:rsid w:val="383002EB"/>
    <w:rsid w:val="38586797"/>
    <w:rsid w:val="385D15DF"/>
    <w:rsid w:val="38BC0149"/>
    <w:rsid w:val="38D87D1C"/>
    <w:rsid w:val="39636459"/>
    <w:rsid w:val="396B7F6C"/>
    <w:rsid w:val="39B417A9"/>
    <w:rsid w:val="39FC5695"/>
    <w:rsid w:val="3A006D8E"/>
    <w:rsid w:val="3A3651E5"/>
    <w:rsid w:val="3A744481"/>
    <w:rsid w:val="3A8C7BEF"/>
    <w:rsid w:val="3A906246"/>
    <w:rsid w:val="3B18127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A33A6C"/>
    <w:rsid w:val="41D01505"/>
    <w:rsid w:val="42474939"/>
    <w:rsid w:val="424C3C57"/>
    <w:rsid w:val="42613FF3"/>
    <w:rsid w:val="42660D96"/>
    <w:rsid w:val="428667D2"/>
    <w:rsid w:val="42B75CD1"/>
    <w:rsid w:val="42CD1CE0"/>
    <w:rsid w:val="42E1381E"/>
    <w:rsid w:val="42ED6459"/>
    <w:rsid w:val="42FE58DD"/>
    <w:rsid w:val="43174B3D"/>
    <w:rsid w:val="43342EA7"/>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450296"/>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C32699"/>
    <w:rsid w:val="4AEB7664"/>
    <w:rsid w:val="4AFD7C19"/>
    <w:rsid w:val="4B0567D1"/>
    <w:rsid w:val="4B236AAE"/>
    <w:rsid w:val="4B707271"/>
    <w:rsid w:val="4B8D5369"/>
    <w:rsid w:val="4B9739F7"/>
    <w:rsid w:val="4BCB2D0A"/>
    <w:rsid w:val="4BEE2503"/>
    <w:rsid w:val="4C245A30"/>
    <w:rsid w:val="4C3666F7"/>
    <w:rsid w:val="4CB6685F"/>
    <w:rsid w:val="4CC367FE"/>
    <w:rsid w:val="4D073CA4"/>
    <w:rsid w:val="4D077F3C"/>
    <w:rsid w:val="4D123355"/>
    <w:rsid w:val="4D2A3B31"/>
    <w:rsid w:val="4D312C52"/>
    <w:rsid w:val="4D905305"/>
    <w:rsid w:val="4D964A72"/>
    <w:rsid w:val="4D9C1254"/>
    <w:rsid w:val="4E4050D1"/>
    <w:rsid w:val="4E793892"/>
    <w:rsid w:val="4E800872"/>
    <w:rsid w:val="4EC569ED"/>
    <w:rsid w:val="4ED50EA1"/>
    <w:rsid w:val="4EEC050C"/>
    <w:rsid w:val="4F104EC3"/>
    <w:rsid w:val="4F47354A"/>
    <w:rsid w:val="4F8D1C8E"/>
    <w:rsid w:val="4F911C54"/>
    <w:rsid w:val="4FE625E0"/>
    <w:rsid w:val="5021480F"/>
    <w:rsid w:val="50962ECB"/>
    <w:rsid w:val="509B22D6"/>
    <w:rsid w:val="50A42E38"/>
    <w:rsid w:val="50A4577F"/>
    <w:rsid w:val="50B73D1F"/>
    <w:rsid w:val="50BD5BC9"/>
    <w:rsid w:val="50C11EEE"/>
    <w:rsid w:val="50E97CFC"/>
    <w:rsid w:val="50FA4028"/>
    <w:rsid w:val="510C0A49"/>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471638"/>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864336D"/>
    <w:rsid w:val="58917D2F"/>
    <w:rsid w:val="5894085C"/>
    <w:rsid w:val="58AE4F0C"/>
    <w:rsid w:val="58B85899"/>
    <w:rsid w:val="58E363A9"/>
    <w:rsid w:val="59166304"/>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1F1034"/>
    <w:rsid w:val="5C2A048C"/>
    <w:rsid w:val="5C80234E"/>
    <w:rsid w:val="5C8A680C"/>
    <w:rsid w:val="5D0C4701"/>
    <w:rsid w:val="5D0F0395"/>
    <w:rsid w:val="5D1210F8"/>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10538E1"/>
    <w:rsid w:val="61054A27"/>
    <w:rsid w:val="610A52BC"/>
    <w:rsid w:val="611D2366"/>
    <w:rsid w:val="61421856"/>
    <w:rsid w:val="615227C4"/>
    <w:rsid w:val="61654E3F"/>
    <w:rsid w:val="617A0FC6"/>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A564EF"/>
    <w:rsid w:val="68B96DBB"/>
    <w:rsid w:val="68CA2805"/>
    <w:rsid w:val="68E937A3"/>
    <w:rsid w:val="693E15D3"/>
    <w:rsid w:val="69450E38"/>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8E4F15"/>
    <w:rsid w:val="6D9078AF"/>
    <w:rsid w:val="6DAA3FEF"/>
    <w:rsid w:val="6DC0172B"/>
    <w:rsid w:val="6DCB690C"/>
    <w:rsid w:val="6DD41A5B"/>
    <w:rsid w:val="6DF43C2E"/>
    <w:rsid w:val="6DF51CA3"/>
    <w:rsid w:val="6E8335BD"/>
    <w:rsid w:val="6E8E12EF"/>
    <w:rsid w:val="6E972936"/>
    <w:rsid w:val="6ED446C5"/>
    <w:rsid w:val="6F2A7D94"/>
    <w:rsid w:val="6F6049BF"/>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0920EF"/>
    <w:rsid w:val="78775729"/>
    <w:rsid w:val="78A42DB0"/>
    <w:rsid w:val="78A656AB"/>
    <w:rsid w:val="78B2245C"/>
    <w:rsid w:val="78E172CC"/>
    <w:rsid w:val="78EA1D1F"/>
    <w:rsid w:val="7904172F"/>
    <w:rsid w:val="790F7E27"/>
    <w:rsid w:val="792A231A"/>
    <w:rsid w:val="79316829"/>
    <w:rsid w:val="796A0258"/>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833D4D"/>
    <w:rsid w:val="7BEE0103"/>
    <w:rsid w:val="7C0A0FE4"/>
    <w:rsid w:val="7C254906"/>
    <w:rsid w:val="7C590818"/>
    <w:rsid w:val="7C7C10F6"/>
    <w:rsid w:val="7C853BEA"/>
    <w:rsid w:val="7C881368"/>
    <w:rsid w:val="7CE27788"/>
    <w:rsid w:val="7D0C32F1"/>
    <w:rsid w:val="7D0F408D"/>
    <w:rsid w:val="7D491C6C"/>
    <w:rsid w:val="7D4E2F8F"/>
    <w:rsid w:val="7D5429C0"/>
    <w:rsid w:val="7D6E6D43"/>
    <w:rsid w:val="7DB57A34"/>
    <w:rsid w:val="7DD86F60"/>
    <w:rsid w:val="7DE60973"/>
    <w:rsid w:val="7DEF0916"/>
    <w:rsid w:val="7E1E5218"/>
    <w:rsid w:val="7E9A4E1F"/>
    <w:rsid w:val="7EA7723A"/>
    <w:rsid w:val="7EF56FBB"/>
    <w:rsid w:val="7F0768EB"/>
    <w:rsid w:val="7F143BEC"/>
    <w:rsid w:val="7F715AF2"/>
    <w:rsid w:val="7F886E69"/>
    <w:rsid w:val="7F961E7F"/>
    <w:rsid w:val="BB7FA927"/>
    <w:rsid w:val="F5FFD31F"/>
    <w:rsid w:val="FFCF17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unhideWhenUsed/>
    <w:qFormat/>
    <w:uiPriority w:val="1"/>
  </w:style>
  <w:style w:type="table" w:default="1" w:styleId="62">
    <w:name w:val="Normal Table"/>
    <w:unhideWhenUsed/>
    <w:qFormat/>
    <w:uiPriority w:val="99"/>
    <w:tblPr>
      <w:tblCellMar>
        <w:top w:w="0" w:type="dxa"/>
        <w:left w:w="108" w:type="dxa"/>
        <w:bottom w:w="0" w:type="dxa"/>
        <w:right w:w="108" w:type="dxa"/>
      </w:tblCellMar>
    </w:tblPr>
  </w:style>
  <w:style w:type="paragraph" w:styleId="5">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2"/>
    <w:qFormat/>
    <w:uiPriority w:val="0"/>
    <w:pPr>
      <w:shd w:val="clear" w:color="auto" w:fill="000080"/>
    </w:pPr>
  </w:style>
  <w:style w:type="paragraph" w:styleId="19">
    <w:name w:val="annotation text"/>
    <w:basedOn w:val="1"/>
    <w:link w:val="344"/>
    <w:qFormat/>
    <w:uiPriority w:val="99"/>
    <w:pPr>
      <w:jc w:val="left"/>
    </w:pPr>
  </w:style>
  <w:style w:type="paragraph" w:styleId="20">
    <w:name w:val="Salutation"/>
    <w:basedOn w:val="1"/>
    <w:next w:val="1"/>
    <w:link w:val="298"/>
    <w:qFormat/>
    <w:uiPriority w:val="0"/>
    <w:rPr>
      <w:rFonts w:ascii="仿宋_GB2312" w:eastAsia="仿宋_GB2312"/>
      <w:sz w:val="28"/>
      <w:szCs w:val="20"/>
    </w:rPr>
  </w:style>
  <w:style w:type="paragraph" w:styleId="21">
    <w:name w:val="Body Text 3"/>
    <w:basedOn w:val="1"/>
    <w:link w:val="330"/>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30"/>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5"/>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5"/>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1"/>
    <w:qFormat/>
    <w:uiPriority w:val="0"/>
    <w:pPr>
      <w:ind w:left="100" w:leftChars="2500"/>
    </w:pPr>
    <w:rPr>
      <w:rFonts w:ascii="宋体"/>
      <w:sz w:val="24"/>
      <w:szCs w:val="21"/>
      <w:lang w:val="zh-CN"/>
    </w:rPr>
  </w:style>
  <w:style w:type="paragraph" w:styleId="36">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7">
    <w:name w:val="endnote text"/>
    <w:basedOn w:val="1"/>
    <w:link w:val="932"/>
    <w:qFormat/>
    <w:uiPriority w:val="0"/>
    <w:rPr>
      <w:lang w:val="zh-CN"/>
    </w:rPr>
  </w:style>
  <w:style w:type="paragraph" w:styleId="38">
    <w:name w:val="Balloon Text"/>
    <w:basedOn w:val="1"/>
    <w:link w:val="188"/>
    <w:qFormat/>
    <w:uiPriority w:val="0"/>
    <w:rPr>
      <w:sz w:val="18"/>
      <w:szCs w:val="18"/>
    </w:rPr>
  </w:style>
  <w:style w:type="paragraph" w:styleId="39">
    <w:name w:val="footer"/>
    <w:basedOn w:val="1"/>
    <w:link w:val="383"/>
    <w:qFormat/>
    <w:uiPriority w:val="99"/>
    <w:pPr>
      <w:tabs>
        <w:tab w:val="center" w:pos="4153"/>
        <w:tab w:val="right" w:pos="8306"/>
      </w:tabs>
      <w:snapToGrid w:val="0"/>
      <w:jc w:val="left"/>
    </w:pPr>
    <w:rPr>
      <w:sz w:val="18"/>
      <w:szCs w:val="18"/>
    </w:rPr>
  </w:style>
  <w:style w:type="paragraph" w:styleId="40">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310"/>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5"/>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2"/>
    <w:qFormat/>
    <w:uiPriority w:val="0"/>
    <w:pPr>
      <w:spacing w:after="120" w:line="480" w:lineRule="auto"/>
    </w:pPr>
  </w:style>
  <w:style w:type="paragraph" w:styleId="56">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6"/>
    <w:qFormat/>
    <w:uiPriority w:val="0"/>
    <w:rPr>
      <w:b/>
      <w:bCs/>
    </w:rPr>
  </w:style>
  <w:style w:type="paragraph" w:styleId="60">
    <w:name w:val="Body Text First Indent"/>
    <w:basedOn w:val="23"/>
    <w:link w:val="321"/>
    <w:qFormat/>
    <w:uiPriority w:val="0"/>
    <w:pPr>
      <w:ind w:firstLine="420"/>
    </w:pPr>
    <w:rPr>
      <w:rFonts w:hAnsi="Calibri" w:cs="Times New Roman"/>
      <w:snapToGrid/>
      <w:szCs w:val="20"/>
    </w:rPr>
  </w:style>
  <w:style w:type="paragraph" w:styleId="61">
    <w:name w:val="Body Text First Indent 2"/>
    <w:basedOn w:val="24"/>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59"/>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6"/>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3"/>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5"/>
    <w:qFormat/>
    <w:uiPriority w:val="0"/>
    <w:rPr>
      <w:rFonts w:ascii="宋体"/>
      <w:kern w:val="2"/>
      <w:sz w:val="24"/>
      <w:szCs w:val="21"/>
      <w:lang w:val="zh-CN"/>
    </w:rPr>
  </w:style>
  <w:style w:type="character" w:customStyle="1" w:styleId="182">
    <w:name w:val="标题 9 Char"/>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0"/>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38"/>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8"/>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29"/>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4"/>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2"/>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8"/>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7"/>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0"/>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6"/>
    <w:qFormat/>
    <w:uiPriority w:val="0"/>
    <w:rPr>
      <w:rFonts w:ascii="黑体" w:hAnsi="Courier New" w:eastAsia="黑体"/>
    </w:rPr>
  </w:style>
  <w:style w:type="character" w:customStyle="1" w:styleId="302">
    <w:name w:val="正文文本 2 Char1"/>
    <w:link w:val="55"/>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6"/>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9"/>
    <w:qFormat/>
    <w:uiPriority w:val="0"/>
    <w:rPr>
      <w:b/>
      <w:bCs/>
      <w:kern w:val="2"/>
      <w:sz w:val="24"/>
      <w:szCs w:val="24"/>
    </w:rPr>
  </w:style>
  <w:style w:type="character" w:customStyle="1" w:styleId="308">
    <w:name w:val="正文文本缩进 2 Char"/>
    <w:link w:val="36"/>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49"/>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60"/>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6"/>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1"/>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19"/>
    <w:qFormat/>
    <w:uiPriority w:val="0"/>
    <w:rPr>
      <w:kern w:val="2"/>
      <w:sz w:val="21"/>
      <w:szCs w:val="24"/>
    </w:rPr>
  </w:style>
  <w:style w:type="character" w:customStyle="1" w:styleId="345">
    <w:name w:val="签名 Char"/>
    <w:link w:val="41"/>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0"/>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2"/>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39"/>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0"/>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3"/>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7"/>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5"/>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2"/>
    <w:qFormat/>
    <w:uiPriority w:val="0"/>
    <w:pPr>
      <w:tabs>
        <w:tab w:val="left" w:pos="840"/>
      </w:tabs>
      <w:adjustRightInd/>
      <w:ind w:left="840" w:hanging="420"/>
    </w:pPr>
  </w:style>
  <w:style w:type="paragraph" w:customStyle="1" w:styleId="626">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6"/>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8"/>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7"/>
    <w:next w:val="1"/>
    <w:qFormat/>
    <w:uiPriority w:val="0"/>
    <w:pPr>
      <w:tabs>
        <w:tab w:val="left" w:pos="1080"/>
      </w:tabs>
      <w:ind w:left="1080" w:hanging="1080"/>
    </w:pPr>
  </w:style>
  <w:style w:type="paragraph" w:customStyle="1" w:styleId="897">
    <w:name w:val="数字标题1"/>
    <w:basedOn w:val="2"/>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7"/>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5">
    <w:name w:val="footer"/>
    <w:basedOn w:val="1"/>
    <w:qFormat/>
    <w:uiPriority w:val="0"/>
    <w:pPr>
      <w:tabs>
        <w:tab w:val="center" w:pos="4153"/>
        <w:tab w:val="right" w:pos="8306"/>
      </w:tabs>
      <w:snapToGrid w:val="0"/>
      <w:jc w:val="left"/>
    </w:pPr>
    <w:rPr>
      <w:rFonts w:eastAsia="宋体"/>
      <w:kern w:val="2"/>
      <w:sz w:val="18"/>
      <w:lang w:val="en-US" w:eastAsia="zh-CN"/>
    </w:rPr>
  </w:style>
</w:styles>
</file>

<file path=word/_rels/document.xml.rels><?xml version="1.0" encoding="UTF-8" standalone="yes"?>
<Relationships xmlns="http://schemas.openxmlformats.org/package/2006/relationships"><Relationship Id="rId99" Type="http://schemas.openxmlformats.org/officeDocument/2006/relationships/image" Target="media/image72.png"/><Relationship Id="rId98" Type="http://schemas.openxmlformats.org/officeDocument/2006/relationships/image" Target="media/image71.png"/><Relationship Id="rId97" Type="http://schemas.openxmlformats.org/officeDocument/2006/relationships/image" Target="media/image70.png"/><Relationship Id="rId96" Type="http://schemas.openxmlformats.org/officeDocument/2006/relationships/image" Target="media/image69.png"/><Relationship Id="rId95" Type="http://schemas.openxmlformats.org/officeDocument/2006/relationships/image" Target="media/image68.png"/><Relationship Id="rId94" Type="http://schemas.openxmlformats.org/officeDocument/2006/relationships/image" Target="media/image67.png"/><Relationship Id="rId93" Type="http://schemas.openxmlformats.org/officeDocument/2006/relationships/image" Target="media/image66.png"/><Relationship Id="rId92" Type="http://schemas.openxmlformats.org/officeDocument/2006/relationships/image" Target="media/image65.png"/><Relationship Id="rId91" Type="http://schemas.openxmlformats.org/officeDocument/2006/relationships/image" Target="media/image64.png"/><Relationship Id="rId90" Type="http://schemas.openxmlformats.org/officeDocument/2006/relationships/image" Target="media/image63.png"/><Relationship Id="rId9" Type="http://schemas.openxmlformats.org/officeDocument/2006/relationships/footer" Target="footer4.xml"/><Relationship Id="rId89" Type="http://schemas.openxmlformats.org/officeDocument/2006/relationships/image" Target="media/image62.png"/><Relationship Id="rId88" Type="http://schemas.openxmlformats.org/officeDocument/2006/relationships/image" Target="media/image61.png"/><Relationship Id="rId87" Type="http://schemas.openxmlformats.org/officeDocument/2006/relationships/image" Target="media/image60.png"/><Relationship Id="rId86" Type="http://schemas.openxmlformats.org/officeDocument/2006/relationships/image" Target="media/image59.png"/><Relationship Id="rId85" Type="http://schemas.openxmlformats.org/officeDocument/2006/relationships/image" Target="media/image58.png"/><Relationship Id="rId84" Type="http://schemas.openxmlformats.org/officeDocument/2006/relationships/image" Target="media/image57.png"/><Relationship Id="rId83" Type="http://schemas.openxmlformats.org/officeDocument/2006/relationships/image" Target="media/image56.png"/><Relationship Id="rId82" Type="http://schemas.openxmlformats.org/officeDocument/2006/relationships/image" Target="media/image55.png"/><Relationship Id="rId81" Type="http://schemas.openxmlformats.org/officeDocument/2006/relationships/image" Target="media/image54.png"/><Relationship Id="rId80" Type="http://schemas.openxmlformats.org/officeDocument/2006/relationships/image" Target="media/image53.png"/><Relationship Id="rId8" Type="http://schemas.openxmlformats.org/officeDocument/2006/relationships/header" Target="header3.xml"/><Relationship Id="rId79" Type="http://schemas.openxmlformats.org/officeDocument/2006/relationships/image" Target="media/image52.png"/><Relationship Id="rId78" Type="http://schemas.openxmlformats.org/officeDocument/2006/relationships/image" Target="media/image51.png"/><Relationship Id="rId77" Type="http://schemas.openxmlformats.org/officeDocument/2006/relationships/image" Target="media/image50.png"/><Relationship Id="rId76" Type="http://schemas.openxmlformats.org/officeDocument/2006/relationships/image" Target="media/image49.png"/><Relationship Id="rId75" Type="http://schemas.openxmlformats.org/officeDocument/2006/relationships/image" Target="media/image48.png"/><Relationship Id="rId74" Type="http://schemas.openxmlformats.org/officeDocument/2006/relationships/image" Target="media/image47.png"/><Relationship Id="rId73" Type="http://schemas.openxmlformats.org/officeDocument/2006/relationships/image" Target="media/image46.png"/><Relationship Id="rId72" Type="http://schemas.openxmlformats.org/officeDocument/2006/relationships/image" Target="media/image45.png"/><Relationship Id="rId71" Type="http://schemas.openxmlformats.org/officeDocument/2006/relationships/image" Target="media/image44.png"/><Relationship Id="rId70" Type="http://schemas.openxmlformats.org/officeDocument/2006/relationships/image" Target="media/image43.png"/><Relationship Id="rId7" Type="http://schemas.openxmlformats.org/officeDocument/2006/relationships/footer" Target="footer3.xml"/><Relationship Id="rId69" Type="http://schemas.openxmlformats.org/officeDocument/2006/relationships/image" Target="media/image42.png"/><Relationship Id="rId68" Type="http://schemas.openxmlformats.org/officeDocument/2006/relationships/image" Target="media/image41.png"/><Relationship Id="rId67" Type="http://schemas.openxmlformats.org/officeDocument/2006/relationships/image" Target="media/image40.png"/><Relationship Id="rId66" Type="http://schemas.openxmlformats.org/officeDocument/2006/relationships/image" Target="media/image39.png"/><Relationship Id="rId65" Type="http://schemas.openxmlformats.org/officeDocument/2006/relationships/image" Target="media/image38.png"/><Relationship Id="rId64" Type="http://schemas.openxmlformats.org/officeDocument/2006/relationships/image" Target="media/image37.png"/><Relationship Id="rId63" Type="http://schemas.openxmlformats.org/officeDocument/2006/relationships/image" Target="media/image36.png"/><Relationship Id="rId62" Type="http://schemas.openxmlformats.org/officeDocument/2006/relationships/image" Target="media/image35.png"/><Relationship Id="rId61" Type="http://schemas.openxmlformats.org/officeDocument/2006/relationships/image" Target="media/image34.png"/><Relationship Id="rId60" Type="http://schemas.openxmlformats.org/officeDocument/2006/relationships/image" Target="media/image33.png"/><Relationship Id="rId6" Type="http://schemas.openxmlformats.org/officeDocument/2006/relationships/footer" Target="footer2.xml"/><Relationship Id="rId59" Type="http://schemas.openxmlformats.org/officeDocument/2006/relationships/image" Target="media/image32.png"/><Relationship Id="rId58" Type="http://schemas.openxmlformats.org/officeDocument/2006/relationships/image" Target="media/image31.png"/><Relationship Id="rId57" Type="http://schemas.openxmlformats.org/officeDocument/2006/relationships/image" Target="media/image30.png"/><Relationship Id="rId56" Type="http://schemas.openxmlformats.org/officeDocument/2006/relationships/image" Target="media/image29.png"/><Relationship Id="rId55" Type="http://schemas.openxmlformats.org/officeDocument/2006/relationships/image" Target="media/image28.png"/><Relationship Id="rId54" Type="http://schemas.openxmlformats.org/officeDocument/2006/relationships/image" Target="media/image27.png"/><Relationship Id="rId53" Type="http://schemas.openxmlformats.org/officeDocument/2006/relationships/image" Target="media/image26.png"/><Relationship Id="rId52" Type="http://schemas.openxmlformats.org/officeDocument/2006/relationships/image" Target="media/image25.png"/><Relationship Id="rId51" Type="http://schemas.openxmlformats.org/officeDocument/2006/relationships/image" Target="media/image24.png"/><Relationship Id="rId50" Type="http://schemas.openxmlformats.org/officeDocument/2006/relationships/image" Target="media/image23.png"/><Relationship Id="rId5" Type="http://schemas.openxmlformats.org/officeDocument/2006/relationships/footer" Target="footer1.xml"/><Relationship Id="rId49" Type="http://schemas.openxmlformats.org/officeDocument/2006/relationships/image" Target="media/image22.png"/><Relationship Id="rId48" Type="http://schemas.openxmlformats.org/officeDocument/2006/relationships/image" Target="media/image21.png"/><Relationship Id="rId47" Type="http://schemas.openxmlformats.org/officeDocument/2006/relationships/image" Target="media/image20.png"/><Relationship Id="rId46" Type="http://schemas.openxmlformats.org/officeDocument/2006/relationships/image" Target="media/image19.png"/><Relationship Id="rId45" Type="http://schemas.openxmlformats.org/officeDocument/2006/relationships/image" Target="media/image18.png"/><Relationship Id="rId44" Type="http://schemas.openxmlformats.org/officeDocument/2006/relationships/image" Target="media/image17.png"/><Relationship Id="rId43" Type="http://schemas.openxmlformats.org/officeDocument/2006/relationships/image" Target="media/image16.png"/><Relationship Id="rId42" Type="http://schemas.openxmlformats.org/officeDocument/2006/relationships/image" Target="media/image15.png"/><Relationship Id="rId41" Type="http://schemas.openxmlformats.org/officeDocument/2006/relationships/image" Target="media/image14.png"/><Relationship Id="rId40" Type="http://schemas.openxmlformats.org/officeDocument/2006/relationships/image" Target="media/image13.png"/><Relationship Id="rId4" Type="http://schemas.openxmlformats.org/officeDocument/2006/relationships/header" Target="header2.xml"/><Relationship Id="rId39" Type="http://schemas.openxmlformats.org/officeDocument/2006/relationships/image" Target="media/image12.png"/><Relationship Id="rId38" Type="http://schemas.openxmlformats.org/officeDocument/2006/relationships/image" Target="media/image11.png"/><Relationship Id="rId37" Type="http://schemas.openxmlformats.org/officeDocument/2006/relationships/image" Target="media/image10.png"/><Relationship Id="rId36" Type="http://schemas.openxmlformats.org/officeDocument/2006/relationships/image" Target="media/image9.png"/><Relationship Id="rId35" Type="http://schemas.openxmlformats.org/officeDocument/2006/relationships/image" Target="media/image8.png"/><Relationship Id="rId34" Type="http://schemas.openxmlformats.org/officeDocument/2006/relationships/image" Target="media/image7.png"/><Relationship Id="rId33" Type="http://schemas.openxmlformats.org/officeDocument/2006/relationships/image" Target="media/image6.png"/><Relationship Id="rId32" Type="http://schemas.openxmlformats.org/officeDocument/2006/relationships/image" Target="media/image5.png"/><Relationship Id="rId31" Type="http://schemas.openxmlformats.org/officeDocument/2006/relationships/image" Target="media/image4.png"/><Relationship Id="rId30" Type="http://schemas.openxmlformats.org/officeDocument/2006/relationships/image" Target="media/image3.png"/><Relationship Id="rId3" Type="http://schemas.openxmlformats.org/officeDocument/2006/relationships/header" Target="header1.xml"/><Relationship Id="rId29" Type="http://schemas.openxmlformats.org/officeDocument/2006/relationships/image" Target="media/image2.png"/><Relationship Id="rId28" Type="http://schemas.openxmlformats.org/officeDocument/2006/relationships/image" Target="media/image1.png"/><Relationship Id="rId27" Type="http://schemas.openxmlformats.org/officeDocument/2006/relationships/theme" Target="theme/theme1.xml"/><Relationship Id="rId26" Type="http://schemas.openxmlformats.org/officeDocument/2006/relationships/footer" Target="footer13.xml"/><Relationship Id="rId258" Type="http://schemas.openxmlformats.org/officeDocument/2006/relationships/fontTable" Target="fontTable.xml"/><Relationship Id="rId257" Type="http://schemas.openxmlformats.org/officeDocument/2006/relationships/numbering" Target="numbering.xml"/><Relationship Id="rId256" Type="http://schemas.openxmlformats.org/officeDocument/2006/relationships/customXml" Target="../customXml/item1.xml"/><Relationship Id="rId255" Type="http://schemas.openxmlformats.org/officeDocument/2006/relationships/image" Target="media/image228.png"/><Relationship Id="rId254" Type="http://schemas.openxmlformats.org/officeDocument/2006/relationships/image" Target="media/image227.png"/><Relationship Id="rId253" Type="http://schemas.openxmlformats.org/officeDocument/2006/relationships/image" Target="media/image226.png"/><Relationship Id="rId252" Type="http://schemas.openxmlformats.org/officeDocument/2006/relationships/image" Target="media/image225.png"/><Relationship Id="rId251" Type="http://schemas.openxmlformats.org/officeDocument/2006/relationships/image" Target="media/image224.png"/><Relationship Id="rId250" Type="http://schemas.openxmlformats.org/officeDocument/2006/relationships/image" Target="media/image223.png"/><Relationship Id="rId25" Type="http://schemas.openxmlformats.org/officeDocument/2006/relationships/footer" Target="footer12.xml"/><Relationship Id="rId249" Type="http://schemas.openxmlformats.org/officeDocument/2006/relationships/image" Target="media/image222.png"/><Relationship Id="rId248" Type="http://schemas.openxmlformats.org/officeDocument/2006/relationships/image" Target="media/image221.png"/><Relationship Id="rId247" Type="http://schemas.openxmlformats.org/officeDocument/2006/relationships/image" Target="media/image220.png"/><Relationship Id="rId246" Type="http://schemas.openxmlformats.org/officeDocument/2006/relationships/image" Target="media/image219.png"/><Relationship Id="rId245" Type="http://schemas.openxmlformats.org/officeDocument/2006/relationships/image" Target="media/image218.png"/><Relationship Id="rId244" Type="http://schemas.openxmlformats.org/officeDocument/2006/relationships/image" Target="media/image217.png"/><Relationship Id="rId243" Type="http://schemas.openxmlformats.org/officeDocument/2006/relationships/image" Target="media/image216.png"/><Relationship Id="rId242" Type="http://schemas.openxmlformats.org/officeDocument/2006/relationships/image" Target="media/image215.png"/><Relationship Id="rId241" Type="http://schemas.openxmlformats.org/officeDocument/2006/relationships/image" Target="media/image214.png"/><Relationship Id="rId240" Type="http://schemas.openxmlformats.org/officeDocument/2006/relationships/image" Target="media/image213.png"/><Relationship Id="rId24" Type="http://schemas.openxmlformats.org/officeDocument/2006/relationships/footer" Target="footer11.xml"/><Relationship Id="rId239" Type="http://schemas.openxmlformats.org/officeDocument/2006/relationships/image" Target="media/image212.png"/><Relationship Id="rId238" Type="http://schemas.openxmlformats.org/officeDocument/2006/relationships/image" Target="media/image211.png"/><Relationship Id="rId237" Type="http://schemas.openxmlformats.org/officeDocument/2006/relationships/image" Target="media/image210.png"/><Relationship Id="rId236" Type="http://schemas.openxmlformats.org/officeDocument/2006/relationships/image" Target="media/image209.png"/><Relationship Id="rId235" Type="http://schemas.openxmlformats.org/officeDocument/2006/relationships/image" Target="media/image208.png"/><Relationship Id="rId234" Type="http://schemas.openxmlformats.org/officeDocument/2006/relationships/image" Target="media/image207.png"/><Relationship Id="rId233" Type="http://schemas.openxmlformats.org/officeDocument/2006/relationships/image" Target="media/image206.png"/><Relationship Id="rId232" Type="http://schemas.openxmlformats.org/officeDocument/2006/relationships/image" Target="media/image205.png"/><Relationship Id="rId231" Type="http://schemas.openxmlformats.org/officeDocument/2006/relationships/image" Target="media/image204.png"/><Relationship Id="rId230" Type="http://schemas.openxmlformats.org/officeDocument/2006/relationships/image" Target="media/image203.png"/><Relationship Id="rId23" Type="http://schemas.openxmlformats.org/officeDocument/2006/relationships/header" Target="header11.xml"/><Relationship Id="rId229" Type="http://schemas.openxmlformats.org/officeDocument/2006/relationships/image" Target="media/image202.png"/><Relationship Id="rId228" Type="http://schemas.openxmlformats.org/officeDocument/2006/relationships/image" Target="media/image201.png"/><Relationship Id="rId227" Type="http://schemas.openxmlformats.org/officeDocument/2006/relationships/image" Target="media/image200.png"/><Relationship Id="rId226" Type="http://schemas.openxmlformats.org/officeDocument/2006/relationships/image" Target="media/image199.png"/><Relationship Id="rId225" Type="http://schemas.openxmlformats.org/officeDocument/2006/relationships/image" Target="media/image198.png"/><Relationship Id="rId224" Type="http://schemas.openxmlformats.org/officeDocument/2006/relationships/image" Target="media/image197.png"/><Relationship Id="rId223" Type="http://schemas.openxmlformats.org/officeDocument/2006/relationships/image" Target="media/image196.png"/><Relationship Id="rId222" Type="http://schemas.openxmlformats.org/officeDocument/2006/relationships/image" Target="media/image195.png"/><Relationship Id="rId221" Type="http://schemas.openxmlformats.org/officeDocument/2006/relationships/image" Target="media/image194.png"/><Relationship Id="rId220" Type="http://schemas.openxmlformats.org/officeDocument/2006/relationships/image" Target="media/image193.png"/><Relationship Id="rId22" Type="http://schemas.openxmlformats.org/officeDocument/2006/relationships/header" Target="header10.xml"/><Relationship Id="rId219" Type="http://schemas.openxmlformats.org/officeDocument/2006/relationships/image" Target="media/image192.png"/><Relationship Id="rId218" Type="http://schemas.openxmlformats.org/officeDocument/2006/relationships/image" Target="media/image191.png"/><Relationship Id="rId217" Type="http://schemas.openxmlformats.org/officeDocument/2006/relationships/image" Target="media/image190.png"/><Relationship Id="rId216" Type="http://schemas.openxmlformats.org/officeDocument/2006/relationships/image" Target="media/image189.png"/><Relationship Id="rId215" Type="http://schemas.openxmlformats.org/officeDocument/2006/relationships/image" Target="media/image188.png"/><Relationship Id="rId214" Type="http://schemas.openxmlformats.org/officeDocument/2006/relationships/image" Target="media/image187.png"/><Relationship Id="rId213" Type="http://schemas.openxmlformats.org/officeDocument/2006/relationships/image" Target="media/image186.png"/><Relationship Id="rId212" Type="http://schemas.openxmlformats.org/officeDocument/2006/relationships/image" Target="media/image185.png"/><Relationship Id="rId211" Type="http://schemas.openxmlformats.org/officeDocument/2006/relationships/image" Target="media/image184.png"/><Relationship Id="rId210" Type="http://schemas.openxmlformats.org/officeDocument/2006/relationships/image" Target="media/image183.png"/><Relationship Id="rId21" Type="http://schemas.openxmlformats.org/officeDocument/2006/relationships/footer" Target="footer10.xml"/><Relationship Id="rId209" Type="http://schemas.openxmlformats.org/officeDocument/2006/relationships/image" Target="media/image182.png"/><Relationship Id="rId208" Type="http://schemas.openxmlformats.org/officeDocument/2006/relationships/image" Target="media/image181.png"/><Relationship Id="rId207" Type="http://schemas.openxmlformats.org/officeDocument/2006/relationships/image" Target="media/image180.png"/><Relationship Id="rId206" Type="http://schemas.openxmlformats.org/officeDocument/2006/relationships/image" Target="media/image179.png"/><Relationship Id="rId205" Type="http://schemas.openxmlformats.org/officeDocument/2006/relationships/image" Target="media/image178.png"/><Relationship Id="rId204" Type="http://schemas.openxmlformats.org/officeDocument/2006/relationships/image" Target="media/image177.png"/><Relationship Id="rId203" Type="http://schemas.openxmlformats.org/officeDocument/2006/relationships/image" Target="media/image176.png"/><Relationship Id="rId202" Type="http://schemas.openxmlformats.org/officeDocument/2006/relationships/image" Target="media/image175.png"/><Relationship Id="rId201" Type="http://schemas.openxmlformats.org/officeDocument/2006/relationships/image" Target="media/image174.png"/><Relationship Id="rId200" Type="http://schemas.openxmlformats.org/officeDocument/2006/relationships/image" Target="media/image173.png"/><Relationship Id="rId20" Type="http://schemas.openxmlformats.org/officeDocument/2006/relationships/footer" Target="footer9.xml"/><Relationship Id="rId2" Type="http://schemas.openxmlformats.org/officeDocument/2006/relationships/settings" Target="settings.xml"/><Relationship Id="rId199" Type="http://schemas.openxmlformats.org/officeDocument/2006/relationships/image" Target="media/image172.png"/><Relationship Id="rId198" Type="http://schemas.openxmlformats.org/officeDocument/2006/relationships/image" Target="media/image171.png"/><Relationship Id="rId197" Type="http://schemas.openxmlformats.org/officeDocument/2006/relationships/image" Target="media/image170.png"/><Relationship Id="rId196" Type="http://schemas.openxmlformats.org/officeDocument/2006/relationships/image" Target="media/image169.png"/><Relationship Id="rId195" Type="http://schemas.openxmlformats.org/officeDocument/2006/relationships/image" Target="media/image168.png"/><Relationship Id="rId194" Type="http://schemas.openxmlformats.org/officeDocument/2006/relationships/image" Target="media/image167.png"/><Relationship Id="rId193" Type="http://schemas.openxmlformats.org/officeDocument/2006/relationships/image" Target="media/image166.png"/><Relationship Id="rId192" Type="http://schemas.openxmlformats.org/officeDocument/2006/relationships/image" Target="media/image165.png"/><Relationship Id="rId191" Type="http://schemas.openxmlformats.org/officeDocument/2006/relationships/image" Target="media/image164.png"/><Relationship Id="rId190" Type="http://schemas.openxmlformats.org/officeDocument/2006/relationships/image" Target="media/image163.png"/><Relationship Id="rId19" Type="http://schemas.openxmlformats.org/officeDocument/2006/relationships/header" Target="header9.xml"/><Relationship Id="rId189" Type="http://schemas.openxmlformats.org/officeDocument/2006/relationships/image" Target="media/image162.png"/><Relationship Id="rId188" Type="http://schemas.openxmlformats.org/officeDocument/2006/relationships/image" Target="media/image161.png"/><Relationship Id="rId187" Type="http://schemas.openxmlformats.org/officeDocument/2006/relationships/image" Target="media/image160.png"/><Relationship Id="rId186" Type="http://schemas.openxmlformats.org/officeDocument/2006/relationships/image" Target="media/image159.png"/><Relationship Id="rId185" Type="http://schemas.openxmlformats.org/officeDocument/2006/relationships/image" Target="media/image158.png"/><Relationship Id="rId184" Type="http://schemas.openxmlformats.org/officeDocument/2006/relationships/image" Target="media/image157.png"/><Relationship Id="rId183" Type="http://schemas.openxmlformats.org/officeDocument/2006/relationships/image" Target="media/image156.png"/><Relationship Id="rId182" Type="http://schemas.openxmlformats.org/officeDocument/2006/relationships/image" Target="media/image155.png"/><Relationship Id="rId181" Type="http://schemas.openxmlformats.org/officeDocument/2006/relationships/image" Target="media/image154.png"/><Relationship Id="rId180" Type="http://schemas.openxmlformats.org/officeDocument/2006/relationships/image" Target="media/image153.png"/><Relationship Id="rId18" Type="http://schemas.openxmlformats.org/officeDocument/2006/relationships/header" Target="header8.xml"/><Relationship Id="rId179" Type="http://schemas.openxmlformats.org/officeDocument/2006/relationships/image" Target="media/image152.png"/><Relationship Id="rId178" Type="http://schemas.openxmlformats.org/officeDocument/2006/relationships/image" Target="media/image151.png"/><Relationship Id="rId177" Type="http://schemas.openxmlformats.org/officeDocument/2006/relationships/image" Target="media/image150.png"/><Relationship Id="rId176" Type="http://schemas.openxmlformats.org/officeDocument/2006/relationships/image" Target="media/image149.png"/><Relationship Id="rId175" Type="http://schemas.openxmlformats.org/officeDocument/2006/relationships/image" Target="media/image148.png"/><Relationship Id="rId174" Type="http://schemas.openxmlformats.org/officeDocument/2006/relationships/image" Target="media/image147.png"/><Relationship Id="rId173" Type="http://schemas.openxmlformats.org/officeDocument/2006/relationships/image" Target="media/image146.png"/><Relationship Id="rId172" Type="http://schemas.openxmlformats.org/officeDocument/2006/relationships/image" Target="media/image145.png"/><Relationship Id="rId171" Type="http://schemas.openxmlformats.org/officeDocument/2006/relationships/image" Target="media/image144.png"/><Relationship Id="rId170" Type="http://schemas.openxmlformats.org/officeDocument/2006/relationships/image" Target="media/image143.png"/><Relationship Id="rId17" Type="http://schemas.openxmlformats.org/officeDocument/2006/relationships/footer" Target="footer8.xml"/><Relationship Id="rId169" Type="http://schemas.openxmlformats.org/officeDocument/2006/relationships/image" Target="media/image142.png"/><Relationship Id="rId168" Type="http://schemas.openxmlformats.org/officeDocument/2006/relationships/image" Target="media/image141.png"/><Relationship Id="rId167" Type="http://schemas.openxmlformats.org/officeDocument/2006/relationships/image" Target="media/image140.png"/><Relationship Id="rId166" Type="http://schemas.openxmlformats.org/officeDocument/2006/relationships/image" Target="media/image139.png"/><Relationship Id="rId165" Type="http://schemas.openxmlformats.org/officeDocument/2006/relationships/image" Target="media/image138.png"/><Relationship Id="rId164" Type="http://schemas.openxmlformats.org/officeDocument/2006/relationships/image" Target="media/image137.png"/><Relationship Id="rId163" Type="http://schemas.openxmlformats.org/officeDocument/2006/relationships/image" Target="media/image136.png"/><Relationship Id="rId162" Type="http://schemas.openxmlformats.org/officeDocument/2006/relationships/image" Target="media/image135.png"/><Relationship Id="rId161" Type="http://schemas.openxmlformats.org/officeDocument/2006/relationships/image" Target="media/image134.png"/><Relationship Id="rId160" Type="http://schemas.openxmlformats.org/officeDocument/2006/relationships/image" Target="media/image133.png"/><Relationship Id="rId16" Type="http://schemas.openxmlformats.org/officeDocument/2006/relationships/footer" Target="footer7.xml"/><Relationship Id="rId159" Type="http://schemas.openxmlformats.org/officeDocument/2006/relationships/image" Target="media/image132.png"/><Relationship Id="rId158" Type="http://schemas.openxmlformats.org/officeDocument/2006/relationships/image" Target="media/image131.png"/><Relationship Id="rId157" Type="http://schemas.openxmlformats.org/officeDocument/2006/relationships/image" Target="media/image130.png"/><Relationship Id="rId156" Type="http://schemas.openxmlformats.org/officeDocument/2006/relationships/image" Target="media/image129.png"/><Relationship Id="rId155" Type="http://schemas.openxmlformats.org/officeDocument/2006/relationships/image" Target="media/image128.png"/><Relationship Id="rId154" Type="http://schemas.openxmlformats.org/officeDocument/2006/relationships/image" Target="media/image127.png"/><Relationship Id="rId153" Type="http://schemas.openxmlformats.org/officeDocument/2006/relationships/image" Target="media/image126.png"/><Relationship Id="rId152" Type="http://schemas.openxmlformats.org/officeDocument/2006/relationships/image" Target="media/image125.png"/><Relationship Id="rId151" Type="http://schemas.openxmlformats.org/officeDocument/2006/relationships/image" Target="media/image124.png"/><Relationship Id="rId150" Type="http://schemas.openxmlformats.org/officeDocument/2006/relationships/image" Target="media/image123.png"/><Relationship Id="rId15" Type="http://schemas.openxmlformats.org/officeDocument/2006/relationships/header" Target="header7.xml"/><Relationship Id="rId149" Type="http://schemas.openxmlformats.org/officeDocument/2006/relationships/image" Target="media/image122.png"/><Relationship Id="rId148" Type="http://schemas.openxmlformats.org/officeDocument/2006/relationships/image" Target="media/image121.png"/><Relationship Id="rId147" Type="http://schemas.openxmlformats.org/officeDocument/2006/relationships/image" Target="media/image120.png"/><Relationship Id="rId146" Type="http://schemas.openxmlformats.org/officeDocument/2006/relationships/image" Target="media/image119.png"/><Relationship Id="rId145" Type="http://schemas.openxmlformats.org/officeDocument/2006/relationships/image" Target="media/image118.png"/><Relationship Id="rId144" Type="http://schemas.openxmlformats.org/officeDocument/2006/relationships/image" Target="media/image117.png"/><Relationship Id="rId143" Type="http://schemas.openxmlformats.org/officeDocument/2006/relationships/image" Target="media/image116.png"/><Relationship Id="rId142" Type="http://schemas.openxmlformats.org/officeDocument/2006/relationships/image" Target="media/image115.png"/><Relationship Id="rId141" Type="http://schemas.openxmlformats.org/officeDocument/2006/relationships/image" Target="media/image114.png"/><Relationship Id="rId140" Type="http://schemas.openxmlformats.org/officeDocument/2006/relationships/image" Target="media/image113.png"/><Relationship Id="rId14" Type="http://schemas.openxmlformats.org/officeDocument/2006/relationships/header" Target="header6.xml"/><Relationship Id="rId139" Type="http://schemas.openxmlformats.org/officeDocument/2006/relationships/image" Target="media/image112.png"/><Relationship Id="rId138" Type="http://schemas.openxmlformats.org/officeDocument/2006/relationships/image" Target="media/image111.png"/><Relationship Id="rId137" Type="http://schemas.openxmlformats.org/officeDocument/2006/relationships/image" Target="media/image110.png"/><Relationship Id="rId136" Type="http://schemas.openxmlformats.org/officeDocument/2006/relationships/image" Target="media/image109.png"/><Relationship Id="rId135" Type="http://schemas.openxmlformats.org/officeDocument/2006/relationships/image" Target="media/image108.png"/><Relationship Id="rId134" Type="http://schemas.openxmlformats.org/officeDocument/2006/relationships/image" Target="media/image107.png"/><Relationship Id="rId133" Type="http://schemas.openxmlformats.org/officeDocument/2006/relationships/image" Target="media/image106.png"/><Relationship Id="rId132" Type="http://schemas.openxmlformats.org/officeDocument/2006/relationships/image" Target="media/image105.png"/><Relationship Id="rId131" Type="http://schemas.openxmlformats.org/officeDocument/2006/relationships/image" Target="media/image104.png"/><Relationship Id="rId130" Type="http://schemas.openxmlformats.org/officeDocument/2006/relationships/image" Target="media/image103.png"/><Relationship Id="rId13" Type="http://schemas.openxmlformats.org/officeDocument/2006/relationships/footer" Target="footer6.xml"/><Relationship Id="rId129" Type="http://schemas.openxmlformats.org/officeDocument/2006/relationships/image" Target="media/image102.png"/><Relationship Id="rId128" Type="http://schemas.openxmlformats.org/officeDocument/2006/relationships/image" Target="media/image101.png"/><Relationship Id="rId127" Type="http://schemas.openxmlformats.org/officeDocument/2006/relationships/image" Target="media/image100.png"/><Relationship Id="rId126" Type="http://schemas.openxmlformats.org/officeDocument/2006/relationships/image" Target="media/image99.png"/><Relationship Id="rId125" Type="http://schemas.openxmlformats.org/officeDocument/2006/relationships/image" Target="media/image98.png"/><Relationship Id="rId124" Type="http://schemas.openxmlformats.org/officeDocument/2006/relationships/image" Target="media/image97.png"/><Relationship Id="rId123" Type="http://schemas.openxmlformats.org/officeDocument/2006/relationships/image" Target="media/image96.png"/><Relationship Id="rId122" Type="http://schemas.openxmlformats.org/officeDocument/2006/relationships/image" Target="media/image95.png"/><Relationship Id="rId121" Type="http://schemas.openxmlformats.org/officeDocument/2006/relationships/image" Target="media/image94.png"/><Relationship Id="rId120" Type="http://schemas.openxmlformats.org/officeDocument/2006/relationships/image" Target="media/image93.png"/><Relationship Id="rId12" Type="http://schemas.openxmlformats.org/officeDocument/2006/relationships/footer" Target="footer5.xml"/><Relationship Id="rId119" Type="http://schemas.openxmlformats.org/officeDocument/2006/relationships/image" Target="media/image92.png"/><Relationship Id="rId118" Type="http://schemas.openxmlformats.org/officeDocument/2006/relationships/image" Target="media/image91.png"/><Relationship Id="rId117" Type="http://schemas.openxmlformats.org/officeDocument/2006/relationships/image" Target="media/image90.png"/><Relationship Id="rId116" Type="http://schemas.openxmlformats.org/officeDocument/2006/relationships/image" Target="media/image89.png"/><Relationship Id="rId115" Type="http://schemas.openxmlformats.org/officeDocument/2006/relationships/image" Target="media/image88.png"/><Relationship Id="rId114" Type="http://schemas.openxmlformats.org/officeDocument/2006/relationships/image" Target="media/image87.png"/><Relationship Id="rId113" Type="http://schemas.openxmlformats.org/officeDocument/2006/relationships/image" Target="media/image86.png"/><Relationship Id="rId112" Type="http://schemas.openxmlformats.org/officeDocument/2006/relationships/image" Target="media/image85.png"/><Relationship Id="rId111" Type="http://schemas.openxmlformats.org/officeDocument/2006/relationships/image" Target="media/image84.png"/><Relationship Id="rId110" Type="http://schemas.openxmlformats.org/officeDocument/2006/relationships/image" Target="media/image83.png"/><Relationship Id="rId11" Type="http://schemas.openxmlformats.org/officeDocument/2006/relationships/header" Target="header5.xml"/><Relationship Id="rId109" Type="http://schemas.openxmlformats.org/officeDocument/2006/relationships/image" Target="media/image82.png"/><Relationship Id="rId108" Type="http://schemas.openxmlformats.org/officeDocument/2006/relationships/image" Target="media/image81.png"/><Relationship Id="rId107" Type="http://schemas.openxmlformats.org/officeDocument/2006/relationships/image" Target="media/image80.png"/><Relationship Id="rId106" Type="http://schemas.openxmlformats.org/officeDocument/2006/relationships/image" Target="media/image79.png"/><Relationship Id="rId105" Type="http://schemas.openxmlformats.org/officeDocument/2006/relationships/image" Target="media/image78.png"/><Relationship Id="rId104" Type="http://schemas.openxmlformats.org/officeDocument/2006/relationships/image" Target="media/image77.png"/><Relationship Id="rId103" Type="http://schemas.openxmlformats.org/officeDocument/2006/relationships/image" Target="media/image76.png"/><Relationship Id="rId102" Type="http://schemas.openxmlformats.org/officeDocument/2006/relationships/image" Target="media/image75.png"/><Relationship Id="rId101" Type="http://schemas.openxmlformats.org/officeDocument/2006/relationships/image" Target="media/image74.png"/><Relationship Id="rId100" Type="http://schemas.openxmlformats.org/officeDocument/2006/relationships/image" Target="media/image73.png"/><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144</Pages>
  <Words>507</Words>
  <Characters>591</Characters>
  <Lines>279</Lines>
  <Paragraphs>78</Paragraphs>
  <TotalTime>4</TotalTime>
  <ScaleCrop>false</ScaleCrop>
  <LinksUpToDate>false</LinksUpToDate>
  <CharactersWithSpaces>695</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招标代理</cp:lastModifiedBy>
  <cp:lastPrinted>2021-12-27T11:06:00Z</cp:lastPrinted>
  <dcterms:modified xsi:type="dcterms:W3CDTF">2025-03-31T12:56:24Z</dcterms:modified>
  <dc:title>杭州市市民卡扩大发卡工程</dc:title>
  <cp:revision>342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F82B8C87914F45B4BD8F7E60764B2967_13</vt:lpwstr>
  </property>
  <property fmtid="{D5CDD505-2E9C-101B-9397-08002B2CF9AE}" pid="5" name="KSOTemplateDocerSaveRecord">
    <vt:lpwstr>eyJoZGlkIjoiNDI1NTQ3NzFjZTRhMWNiNTNiMzJjZTgxNDFlZDBmM2UiLCJ1c2VySWQiOiIxOTg5NzQ2MzMifQ==</vt:lpwstr>
  </property>
</Properties>
</file>